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8AAD" w14:textId="77777777" w:rsidR="00191999" w:rsidRPr="00691F33" w:rsidRDefault="00191999" w:rsidP="00C25BF3">
      <w:pPr>
        <w:spacing w:before="240" w:after="2280"/>
        <w:ind w:left="227"/>
        <w:rPr>
          <w:rFonts w:ascii="Arial" w:hAnsi="Arial" w:cs="Arial"/>
        </w:rPr>
      </w:pPr>
      <w:r w:rsidRPr="00F538E9">
        <w:rPr>
          <w:noProof/>
        </w:rPr>
        <w:drawing>
          <wp:inline distT="0" distB="0" distL="0" distR="0" wp14:anchorId="6DF61DAE" wp14:editId="59D6810C">
            <wp:extent cx="3543749" cy="756000"/>
            <wp:effectExtent l="0" t="0" r="0" b="0"/>
            <wp:docPr id="4"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7AF3CB89" w14:textId="2E20891B" w:rsidR="00191999" w:rsidRDefault="00BD2816" w:rsidP="00CF75F4">
      <w:pPr>
        <w:pStyle w:val="DescriptorCP"/>
        <w:spacing w:before="0"/>
      </w:pPr>
      <w:fldSimple w:instr=" DOCPROPERTY  &quot;Document type&quot;  \* MERGEFORMAT ">
        <w:r w:rsidR="00853A2A">
          <w:t>CONSULTATION PAPER</w:t>
        </w:r>
      </w:fldSimple>
      <w:r w:rsidR="00191999" w:rsidRPr="00B110C1">
        <w:t xml:space="preserve"> </w:t>
      </w:r>
      <w:fldSimple w:instr=" DOCPROPERTY  &quot;Document num&quot;  \* MERGEFORMAT ">
        <w:r w:rsidR="00853A2A">
          <w:t>361</w:t>
        </w:r>
      </w:fldSimple>
    </w:p>
    <w:p w14:paraId="75D44BEA" w14:textId="660B9312" w:rsidR="00191999" w:rsidRDefault="00191999" w:rsidP="00191999">
      <w:pPr>
        <w:ind w:left="2268"/>
        <w:rPr>
          <w:rFonts w:ascii="Arial" w:hAnsi="Arial" w:cs="Arial"/>
          <w:b/>
          <w:sz w:val="48"/>
          <w:szCs w:val="48"/>
        </w:rPr>
      </w:pPr>
      <w:r>
        <w:fldChar w:fldCharType="begin"/>
      </w:r>
      <w:r>
        <w:instrText xml:space="preserve"> </w:instrText>
      </w:r>
      <w:r w:rsidRPr="00396FD5">
        <w:rPr>
          <w:rFonts w:ascii="Arial" w:hAnsi="Arial"/>
          <w:b/>
          <w:sz w:val="48"/>
        </w:rPr>
        <w:instrText>D</w:instrText>
      </w:r>
      <w:r>
        <w:instrText xml:space="preserve">OCPROPERTY  "Document title"  \* charformat </w:instrText>
      </w:r>
      <w:r>
        <w:fldChar w:fldCharType="separate"/>
      </w:r>
      <w:r w:rsidR="00853A2A">
        <w:rPr>
          <w:rFonts w:ascii="Arial" w:hAnsi="Arial"/>
          <w:b/>
          <w:sz w:val="48"/>
        </w:rPr>
        <w:t>Proposed changes to simplify the ASIC Derivative Transaction Rules (Reporting): Second consultation</w:t>
      </w:r>
      <w:r>
        <w:fldChar w:fldCharType="end"/>
      </w:r>
    </w:p>
    <w:p w14:paraId="6C7147AA" w14:textId="17827244" w:rsidR="00191999" w:rsidRDefault="00191999" w:rsidP="0099609B">
      <w:pPr>
        <w:pStyle w:val="Bodytextplain"/>
        <w:spacing w:before="360"/>
      </w:pPr>
      <w:r>
        <w:rPr>
          <w:rFonts w:ascii="Arial" w:hAnsi="Arial" w:cs="Arial"/>
        </w:rPr>
        <w:fldChar w:fldCharType="begin"/>
      </w:r>
      <w:r>
        <w:rPr>
          <w:rFonts w:ascii="Arial" w:hAnsi="Arial" w:cs="Arial"/>
        </w:rPr>
        <w:instrText xml:space="preserve"> DOCPROPERTY  "Issue date"  \* MERGEFORMAT </w:instrText>
      </w:r>
      <w:r>
        <w:rPr>
          <w:rFonts w:ascii="Arial" w:hAnsi="Arial" w:cs="Arial"/>
        </w:rPr>
        <w:fldChar w:fldCharType="separate"/>
      </w:r>
      <w:r w:rsidR="00853A2A">
        <w:rPr>
          <w:rFonts w:ascii="Arial" w:hAnsi="Arial" w:cs="Arial"/>
        </w:rPr>
        <w:t>May 2022</w:t>
      </w:r>
      <w:r>
        <w:rPr>
          <w:rFonts w:ascii="Arial" w:hAnsi="Arial" w:cs="Arial"/>
        </w:rPr>
        <w:fldChar w:fldCharType="end"/>
      </w:r>
    </w:p>
    <w:p w14:paraId="50D7481B" w14:textId="77777777" w:rsidR="00191999" w:rsidRDefault="00191999" w:rsidP="008E3B37">
      <w:pPr>
        <w:pStyle w:val="Frontheading"/>
        <w:spacing w:before="720"/>
      </w:pPr>
      <w:r>
        <w:t>About this paper</w:t>
      </w:r>
    </w:p>
    <w:p w14:paraId="079E6A0B" w14:textId="02664DCF" w:rsidR="00FC511F" w:rsidRDefault="00FC511F">
      <w:pPr>
        <w:pStyle w:val="Fronttext"/>
      </w:pPr>
      <w:r>
        <w:t xml:space="preserve">This consultation paper </w:t>
      </w:r>
      <w:r w:rsidR="00CF75F4">
        <w:t>sets out</w:t>
      </w:r>
      <w:r w:rsidR="00042DD7">
        <w:t xml:space="preserve"> f</w:t>
      </w:r>
      <w:r w:rsidR="008B0CFE">
        <w:t>urther</w:t>
      </w:r>
      <w:r w:rsidR="00042DD7">
        <w:t xml:space="preserve"> proposals to amend the </w:t>
      </w:r>
      <w:r w:rsidR="00042DD7" w:rsidRPr="001E4956">
        <w:rPr>
          <w:i/>
          <w:iCs/>
        </w:rPr>
        <w:t>ASIC Derivative Transaction Rules (Reporting) 2013</w:t>
      </w:r>
      <w:r w:rsidR="00042DD7">
        <w:t xml:space="preserve"> made under s901A of the </w:t>
      </w:r>
      <w:r w:rsidR="00042DD7" w:rsidRPr="001E4956">
        <w:rPr>
          <w:i/>
          <w:iCs/>
        </w:rPr>
        <w:t>Corporations Act</w:t>
      </w:r>
      <w:r w:rsidR="00191999" w:rsidRPr="001E4956">
        <w:rPr>
          <w:i/>
          <w:iCs/>
        </w:rPr>
        <w:t xml:space="preserve"> 2001</w:t>
      </w:r>
      <w:r w:rsidR="00042DD7">
        <w:t xml:space="preserve">, following our first round of consultation in </w:t>
      </w:r>
      <w:hyperlink r:id="rId14" w:history="1">
        <w:r w:rsidR="00042DD7" w:rsidRPr="00191999">
          <w:rPr>
            <w:rStyle w:val="Hyperlink"/>
          </w:rPr>
          <w:t>Consultation Paper 334</w:t>
        </w:r>
      </w:hyperlink>
      <w:r w:rsidR="00191999">
        <w:t xml:space="preserve"> </w:t>
      </w:r>
      <w:r w:rsidR="00191999" w:rsidRPr="001E4956">
        <w:rPr>
          <w:i/>
          <w:iCs/>
        </w:rPr>
        <w:t xml:space="preserve">Proposed changes to simplify the ASIC Derivative Transaction Rules (Reporting): </w:t>
      </w:r>
      <w:r w:rsidR="00191999">
        <w:rPr>
          <w:i/>
          <w:iCs/>
        </w:rPr>
        <w:t xml:space="preserve">First </w:t>
      </w:r>
      <w:r w:rsidR="00191999" w:rsidRPr="001E4956">
        <w:rPr>
          <w:i/>
          <w:iCs/>
        </w:rPr>
        <w:t>consultation</w:t>
      </w:r>
      <w:r w:rsidR="00191999">
        <w:t xml:space="preserve"> (CP 334)</w:t>
      </w:r>
      <w:r>
        <w:t>.</w:t>
      </w:r>
      <w:r w:rsidR="001273ED">
        <w:t xml:space="preserve"> We are also giving our feedback on the first round of consultation.</w:t>
      </w:r>
    </w:p>
    <w:p w14:paraId="612414B0" w14:textId="3380B89B" w:rsidR="00862FF6" w:rsidRDefault="00862FF6">
      <w:pPr>
        <w:pStyle w:val="Fronttext"/>
      </w:pPr>
      <w:r>
        <w:t>We are seeking the views of interested stakeholders on our proposals. We also request certain information from stakeholders to inform the development of our final rules.</w:t>
      </w:r>
    </w:p>
    <w:p w14:paraId="6C36CED9" w14:textId="29C3AD08" w:rsidR="00E80843" w:rsidRDefault="00E80843" w:rsidP="00E80843">
      <w:pPr>
        <w:pStyle w:val="Frontmatternote"/>
      </w:pPr>
      <w:r>
        <w:t xml:space="preserve">Note: The draft </w:t>
      </w:r>
      <w:r w:rsidR="00864F2E">
        <w:t xml:space="preserve">remade ASIC </w:t>
      </w:r>
      <w:r w:rsidR="008452A7">
        <w:t>R</w:t>
      </w:r>
      <w:r>
        <w:t xml:space="preserve">ules </w:t>
      </w:r>
      <w:r w:rsidR="00864F2E">
        <w:t xml:space="preserve">(Attachment 1) and the draft amended ASIC </w:t>
      </w:r>
      <w:r w:rsidR="008452A7">
        <w:t>R</w:t>
      </w:r>
      <w:r w:rsidR="00864F2E">
        <w:t xml:space="preserve">ules (Attachment 2) </w:t>
      </w:r>
      <w:r>
        <w:t xml:space="preserve">are available on our website at </w:t>
      </w:r>
      <w:hyperlink r:id="rId15" w:history="1">
        <w:r w:rsidRPr="00741362">
          <w:rPr>
            <w:rStyle w:val="Hyperlink"/>
          </w:rPr>
          <w:t>www.asic.gov.au/cp</w:t>
        </w:r>
      </w:hyperlink>
      <w:r>
        <w:t xml:space="preserve"> under CP </w:t>
      </w:r>
      <w:r w:rsidR="00B110C1">
        <w:t>361</w:t>
      </w:r>
      <w:r>
        <w:t>.</w:t>
      </w:r>
    </w:p>
    <w:p w14:paraId="1668000C" w14:textId="77777777" w:rsidR="00FC511F" w:rsidRDefault="00FC511F" w:rsidP="00042DD7">
      <w:pPr>
        <w:pStyle w:val="Frontheading"/>
        <w:ind w:left="0"/>
        <w:sectPr w:rsidR="00FC511F" w:rsidSect="00414BEA">
          <w:headerReference w:type="even" r:id="rId16"/>
          <w:headerReference w:type="default" r:id="rId17"/>
          <w:footerReference w:type="even" r:id="rId18"/>
          <w:footerReference w:type="default" r:id="rId19"/>
          <w:headerReference w:type="first" r:id="rId20"/>
          <w:pgSz w:w="11906" w:h="16838" w:code="9"/>
          <w:pgMar w:top="1644" w:right="1418" w:bottom="1418" w:left="1418" w:header="567" w:footer="567" w:gutter="0"/>
          <w:cols w:space="720"/>
          <w:titlePg/>
        </w:sectPr>
      </w:pPr>
    </w:p>
    <w:tbl>
      <w:tblPr>
        <w:tblW w:w="0" w:type="auto"/>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6804"/>
      </w:tblGrid>
      <w:tr w:rsidR="00FC511F" w14:paraId="75075104" w14:textId="77777777" w:rsidTr="00414BEA">
        <w:trPr>
          <w:cantSplit/>
          <w:tblHeader/>
        </w:trPr>
        <w:tc>
          <w:tcPr>
            <w:tcW w:w="6804" w:type="dxa"/>
            <w:tcBorders>
              <w:top w:val="single" w:sz="4" w:space="0" w:color="0072CE"/>
              <w:left w:val="single" w:sz="4" w:space="0" w:color="0072CE"/>
              <w:bottom w:val="single" w:sz="4" w:space="0" w:color="0072CE"/>
              <w:right w:val="single" w:sz="4" w:space="0" w:color="0072CE"/>
            </w:tcBorders>
            <w:shd w:val="clear" w:color="auto" w:fill="0072CE"/>
          </w:tcPr>
          <w:p w14:paraId="2ED679B1" w14:textId="77777777" w:rsidR="00FC511F" w:rsidRDefault="00FC511F">
            <w:pPr>
              <w:pStyle w:val="tablehead"/>
              <w:rPr>
                <w:color w:val="FFFFFF"/>
                <w:sz w:val="20"/>
                <w:szCs w:val="20"/>
              </w:rPr>
            </w:pPr>
            <w:r>
              <w:rPr>
                <w:color w:val="FFFFFF"/>
                <w:sz w:val="20"/>
                <w:szCs w:val="20"/>
              </w:rPr>
              <w:lastRenderedPageBreak/>
              <w:t>About ASIC regulatory documents</w:t>
            </w:r>
          </w:p>
        </w:tc>
      </w:tr>
      <w:tr w:rsidR="00FC511F" w14:paraId="3E4BE085" w14:textId="77777777" w:rsidTr="00414BEA">
        <w:trPr>
          <w:cantSplit/>
        </w:trPr>
        <w:tc>
          <w:tcPr>
            <w:tcW w:w="6804" w:type="dxa"/>
            <w:tcBorders>
              <w:top w:val="single" w:sz="4" w:space="0" w:color="0072CE"/>
              <w:left w:val="single" w:sz="4" w:space="0" w:color="0072CE"/>
              <w:bottom w:val="single" w:sz="4" w:space="0" w:color="0072CE"/>
              <w:right w:val="single" w:sz="4" w:space="0" w:color="0072CE"/>
            </w:tcBorders>
          </w:tcPr>
          <w:p w14:paraId="34BBFEDD" w14:textId="77777777" w:rsidR="00FC511F" w:rsidRDefault="00FC511F">
            <w:pPr>
              <w:pStyle w:val="boxtext"/>
            </w:pPr>
            <w:r>
              <w:t>In administering legislation ASIC issues the following types of regulatory documents.</w:t>
            </w:r>
          </w:p>
          <w:p w14:paraId="2B2D3A3B" w14:textId="77777777" w:rsidR="00FC511F" w:rsidRDefault="00FC511F">
            <w:pPr>
              <w:pStyle w:val="boxtext"/>
            </w:pPr>
            <w:r>
              <w:rPr>
                <w:b/>
              </w:rPr>
              <w:t>Consultation papers</w:t>
            </w:r>
            <w:r>
              <w:t>: seek feedback from stakeholders on matters ASIC is considering, such as proposed relief or proposed regulatory guidance.</w:t>
            </w:r>
          </w:p>
          <w:p w14:paraId="011FAA07" w14:textId="77777777" w:rsidR="00FC511F" w:rsidRDefault="00FC511F">
            <w:pPr>
              <w:pStyle w:val="boxtext"/>
            </w:pPr>
            <w:bookmarkStart w:id="0" w:name="RegGuide"/>
            <w:bookmarkEnd w:id="0"/>
            <w:r>
              <w:rPr>
                <w:b/>
              </w:rPr>
              <w:t>Regulatory guides</w:t>
            </w:r>
            <w:r>
              <w:t>: give guidance to regulated entities by:</w:t>
            </w:r>
          </w:p>
          <w:p w14:paraId="36CA71AF" w14:textId="77777777" w:rsidR="00FC511F" w:rsidRDefault="00FC511F">
            <w:pPr>
              <w:pStyle w:val="boxbullet"/>
            </w:pPr>
            <w:r>
              <w:t>explaining when and how ASIC will exercise specific powers under legislation (primarily the Corporations Act)</w:t>
            </w:r>
          </w:p>
          <w:p w14:paraId="0F7827B0" w14:textId="77777777" w:rsidR="00FC511F" w:rsidRDefault="00FC511F">
            <w:pPr>
              <w:pStyle w:val="boxbullet"/>
            </w:pPr>
            <w:r>
              <w:t>explaining how ASIC interprets the law</w:t>
            </w:r>
          </w:p>
          <w:p w14:paraId="0F97331A" w14:textId="77777777" w:rsidR="00FC511F" w:rsidRDefault="00FC511F">
            <w:pPr>
              <w:pStyle w:val="boxbullet"/>
            </w:pPr>
            <w:r>
              <w:t>describing the principles underlying ASIC’s approach</w:t>
            </w:r>
          </w:p>
          <w:p w14:paraId="36902DB5" w14:textId="77777777" w:rsidR="00FC511F" w:rsidRDefault="00FC511F">
            <w:pPr>
              <w:pStyle w:val="boxbullet"/>
            </w:pPr>
            <w:r>
              <w:t>giving practical guidance (e.g. describing the steps of a process such as applying for a licence or giving practical examples of how regulated entities may decide to meet their obligations).</w:t>
            </w:r>
          </w:p>
          <w:p w14:paraId="54365A9C" w14:textId="77777777" w:rsidR="00FC511F" w:rsidRDefault="00FC511F">
            <w:pPr>
              <w:pStyle w:val="boxtext"/>
            </w:pPr>
            <w:r>
              <w:rPr>
                <w:b/>
              </w:rPr>
              <w:t>Information</w:t>
            </w:r>
            <w:r>
              <w:t xml:space="preserve"> </w:t>
            </w:r>
            <w:r>
              <w:rPr>
                <w:b/>
              </w:rPr>
              <w:t>sheets</w:t>
            </w:r>
            <w:r>
              <w:t>: provide concise guidance on a specific process or compliance issue or an overview of detailed guidance.</w:t>
            </w:r>
          </w:p>
          <w:p w14:paraId="443EF50E" w14:textId="77777777" w:rsidR="00FC511F" w:rsidRDefault="00FC511F">
            <w:pPr>
              <w:pStyle w:val="boxtext"/>
            </w:pPr>
            <w:r>
              <w:rPr>
                <w:b/>
              </w:rPr>
              <w:t>Reports</w:t>
            </w:r>
            <w:r>
              <w:t>: describe ASIC compliance or relief activity or the results of a research project.</w:t>
            </w:r>
          </w:p>
        </w:tc>
      </w:tr>
    </w:tbl>
    <w:p w14:paraId="7FF11E43" w14:textId="77777777" w:rsidR="00FC511F" w:rsidRDefault="00FC511F">
      <w:pPr>
        <w:pStyle w:val="Frontheading"/>
      </w:pPr>
      <w:r>
        <w:t>Document history</w:t>
      </w:r>
    </w:p>
    <w:p w14:paraId="6022E946" w14:textId="4E5CE7B4" w:rsidR="00FC511F" w:rsidRDefault="00FC511F">
      <w:pPr>
        <w:pStyle w:val="Fronttext"/>
      </w:pPr>
      <w:r>
        <w:t xml:space="preserve">This paper was issued on </w:t>
      </w:r>
      <w:r w:rsidR="00B110C1">
        <w:t>12</w:t>
      </w:r>
      <w:r>
        <w:t xml:space="preserve"> </w:t>
      </w:r>
      <w:fldSimple w:instr=" DOCPROPERTY  &quot;Issue date&quot;  \* MERGEFORMAT ">
        <w:r w:rsidR="00853A2A">
          <w:t>May 2022</w:t>
        </w:r>
      </w:fldSimple>
      <w:r>
        <w:t xml:space="preserve"> and is based on the legislation as at the date of issue.</w:t>
      </w:r>
    </w:p>
    <w:p w14:paraId="365C02DD" w14:textId="77777777" w:rsidR="00FC511F" w:rsidRDefault="00FC511F">
      <w:pPr>
        <w:pStyle w:val="Frontheading"/>
      </w:pPr>
      <w:r>
        <w:t xml:space="preserve">Disclaimer </w:t>
      </w:r>
    </w:p>
    <w:p w14:paraId="02E6A95D" w14:textId="77777777" w:rsidR="00FC511F" w:rsidRDefault="00FC511F" w:rsidP="00414BEA">
      <w:pPr>
        <w:pStyle w:val="Fronttext"/>
      </w:pPr>
      <w:r>
        <w:t>The proposals, explanations and examples in this paper do not constitute legal advice. They are also at a preliminary stage only. Our conclusions and views may change as a result of the comments we receive or as other circumstances change.</w:t>
      </w:r>
    </w:p>
    <w:p w14:paraId="65FBF66D" w14:textId="77777777" w:rsidR="00FC511F" w:rsidRDefault="00FC511F" w:rsidP="00414BEA">
      <w:pPr>
        <w:pStyle w:val="TOCHeading"/>
        <w:rPr>
          <w:b w:val="0"/>
        </w:rPr>
      </w:pPr>
      <w:r>
        <w:lastRenderedPageBreak/>
        <w:t>Contents</w:t>
      </w:r>
    </w:p>
    <w:p w14:paraId="510EBAD6" w14:textId="3F3C5336" w:rsidR="00344352" w:rsidRDefault="00FC511F">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Pr>
          <w:rFonts w:ascii="HelveticaNeue LT 55 Roman" w:hAnsi="HelveticaNeue LT 55 Roman"/>
        </w:rPr>
        <w:instrText xml:space="preserve"> TOC \h \z \t "Heading 1,1,Heading 2,2,Heading 1 no number,1" </w:instrText>
      </w:r>
      <w:r>
        <w:rPr>
          <w:rFonts w:ascii="HelveticaNeue LT 55 Roman" w:hAnsi="HelveticaNeue LT 55 Roman"/>
        </w:rPr>
        <w:fldChar w:fldCharType="separate"/>
      </w:r>
      <w:hyperlink w:anchor="_Toc103174616" w:history="1">
        <w:r w:rsidR="00344352" w:rsidRPr="00B11C41">
          <w:rPr>
            <w:rStyle w:val="Hyperlink"/>
          </w:rPr>
          <w:t>The consultation process</w:t>
        </w:r>
        <w:r w:rsidR="00344352">
          <w:rPr>
            <w:webHidden/>
          </w:rPr>
          <w:tab/>
        </w:r>
        <w:r w:rsidR="00344352">
          <w:rPr>
            <w:webHidden/>
          </w:rPr>
          <w:fldChar w:fldCharType="begin"/>
        </w:r>
        <w:r w:rsidR="00344352">
          <w:rPr>
            <w:webHidden/>
          </w:rPr>
          <w:instrText xml:space="preserve"> PAGEREF _Toc103174616 \h </w:instrText>
        </w:r>
        <w:r w:rsidR="00344352">
          <w:rPr>
            <w:webHidden/>
          </w:rPr>
        </w:r>
        <w:r w:rsidR="00344352">
          <w:rPr>
            <w:webHidden/>
          </w:rPr>
          <w:fldChar w:fldCharType="separate"/>
        </w:r>
        <w:r w:rsidR="00344352">
          <w:rPr>
            <w:webHidden/>
          </w:rPr>
          <w:t>5</w:t>
        </w:r>
        <w:r w:rsidR="00344352">
          <w:rPr>
            <w:webHidden/>
          </w:rPr>
          <w:fldChar w:fldCharType="end"/>
        </w:r>
      </w:hyperlink>
    </w:p>
    <w:p w14:paraId="3D2296FB" w14:textId="3C2F4E38" w:rsidR="00344352" w:rsidRDefault="00096A20">
      <w:pPr>
        <w:pStyle w:val="TOC1"/>
        <w:rPr>
          <w:rFonts w:asciiTheme="minorHAnsi" w:eastAsiaTheme="minorEastAsia" w:hAnsiTheme="minorHAnsi" w:cstheme="minorBidi"/>
          <w:b w:val="0"/>
          <w:sz w:val="22"/>
          <w:szCs w:val="22"/>
        </w:rPr>
      </w:pPr>
      <w:hyperlink w:anchor="_Toc103174617" w:history="1">
        <w:r w:rsidR="00344352" w:rsidRPr="00B11C41">
          <w:rPr>
            <w:rStyle w:val="Hyperlink"/>
          </w:rPr>
          <w:t>A</w:t>
        </w:r>
        <w:r w:rsidR="00344352">
          <w:rPr>
            <w:rFonts w:asciiTheme="minorHAnsi" w:eastAsiaTheme="minorEastAsia" w:hAnsiTheme="minorHAnsi" w:cstheme="minorBidi"/>
            <w:b w:val="0"/>
            <w:sz w:val="22"/>
            <w:szCs w:val="22"/>
          </w:rPr>
          <w:tab/>
        </w:r>
        <w:r w:rsidR="00344352" w:rsidRPr="00B11C41">
          <w:rPr>
            <w:rStyle w:val="Hyperlink"/>
          </w:rPr>
          <w:t>Background to the proposals</w:t>
        </w:r>
        <w:r w:rsidR="00344352">
          <w:rPr>
            <w:webHidden/>
          </w:rPr>
          <w:tab/>
        </w:r>
        <w:r w:rsidR="00344352">
          <w:rPr>
            <w:webHidden/>
          </w:rPr>
          <w:fldChar w:fldCharType="begin"/>
        </w:r>
        <w:r w:rsidR="00344352">
          <w:rPr>
            <w:webHidden/>
          </w:rPr>
          <w:instrText xml:space="preserve"> PAGEREF _Toc103174617 \h </w:instrText>
        </w:r>
        <w:r w:rsidR="00344352">
          <w:rPr>
            <w:webHidden/>
          </w:rPr>
        </w:r>
        <w:r w:rsidR="00344352">
          <w:rPr>
            <w:webHidden/>
          </w:rPr>
          <w:fldChar w:fldCharType="separate"/>
        </w:r>
        <w:r w:rsidR="00344352">
          <w:rPr>
            <w:webHidden/>
          </w:rPr>
          <w:t>7</w:t>
        </w:r>
        <w:r w:rsidR="00344352">
          <w:rPr>
            <w:webHidden/>
          </w:rPr>
          <w:fldChar w:fldCharType="end"/>
        </w:r>
      </w:hyperlink>
    </w:p>
    <w:p w14:paraId="730702F5" w14:textId="59B0A828" w:rsidR="00344352" w:rsidRDefault="00096A20">
      <w:pPr>
        <w:pStyle w:val="TOC2"/>
        <w:rPr>
          <w:rFonts w:asciiTheme="minorHAnsi" w:eastAsiaTheme="minorEastAsia" w:hAnsiTheme="minorHAnsi" w:cstheme="minorBidi"/>
          <w:sz w:val="22"/>
          <w:szCs w:val="22"/>
        </w:rPr>
      </w:pPr>
      <w:hyperlink w:anchor="_Toc103174618" w:history="1">
        <w:r w:rsidR="00344352" w:rsidRPr="00B11C41">
          <w:rPr>
            <w:rStyle w:val="Hyperlink"/>
          </w:rPr>
          <w:t>What we are doing now</w:t>
        </w:r>
        <w:r w:rsidR="00344352">
          <w:rPr>
            <w:webHidden/>
          </w:rPr>
          <w:tab/>
        </w:r>
        <w:r w:rsidR="00344352">
          <w:rPr>
            <w:webHidden/>
          </w:rPr>
          <w:fldChar w:fldCharType="begin"/>
        </w:r>
        <w:r w:rsidR="00344352">
          <w:rPr>
            <w:webHidden/>
          </w:rPr>
          <w:instrText xml:space="preserve"> PAGEREF _Toc103174618 \h </w:instrText>
        </w:r>
        <w:r w:rsidR="00344352">
          <w:rPr>
            <w:webHidden/>
          </w:rPr>
        </w:r>
        <w:r w:rsidR="00344352">
          <w:rPr>
            <w:webHidden/>
          </w:rPr>
          <w:fldChar w:fldCharType="separate"/>
        </w:r>
        <w:r w:rsidR="00344352">
          <w:rPr>
            <w:webHidden/>
          </w:rPr>
          <w:t>7</w:t>
        </w:r>
        <w:r w:rsidR="00344352">
          <w:rPr>
            <w:webHidden/>
          </w:rPr>
          <w:fldChar w:fldCharType="end"/>
        </w:r>
      </w:hyperlink>
    </w:p>
    <w:p w14:paraId="6F0960CB" w14:textId="6865F768" w:rsidR="00344352" w:rsidRDefault="00096A20">
      <w:pPr>
        <w:pStyle w:val="TOC1"/>
        <w:rPr>
          <w:rFonts w:asciiTheme="minorHAnsi" w:eastAsiaTheme="minorEastAsia" w:hAnsiTheme="minorHAnsi" w:cstheme="minorBidi"/>
          <w:b w:val="0"/>
          <w:sz w:val="22"/>
          <w:szCs w:val="22"/>
        </w:rPr>
      </w:pPr>
      <w:hyperlink w:anchor="_Toc103174619" w:history="1">
        <w:r w:rsidR="00344352" w:rsidRPr="00B11C41">
          <w:rPr>
            <w:rStyle w:val="Hyperlink"/>
          </w:rPr>
          <w:t>B</w:t>
        </w:r>
        <w:r w:rsidR="00344352">
          <w:rPr>
            <w:rFonts w:asciiTheme="minorHAnsi" w:eastAsiaTheme="minorEastAsia" w:hAnsiTheme="minorHAnsi" w:cstheme="minorBidi"/>
            <w:b w:val="0"/>
            <w:sz w:val="22"/>
            <w:szCs w:val="22"/>
          </w:rPr>
          <w:tab/>
        </w:r>
        <w:r w:rsidR="00344352" w:rsidRPr="00B11C41">
          <w:rPr>
            <w:rStyle w:val="Hyperlink"/>
          </w:rPr>
          <w:t>The unique transaction identifier (UTI)</w:t>
        </w:r>
        <w:r w:rsidR="00344352">
          <w:rPr>
            <w:webHidden/>
          </w:rPr>
          <w:tab/>
        </w:r>
        <w:r w:rsidR="00344352">
          <w:rPr>
            <w:webHidden/>
          </w:rPr>
          <w:fldChar w:fldCharType="begin"/>
        </w:r>
        <w:r w:rsidR="00344352">
          <w:rPr>
            <w:webHidden/>
          </w:rPr>
          <w:instrText xml:space="preserve"> PAGEREF _Toc103174619 \h </w:instrText>
        </w:r>
        <w:r w:rsidR="00344352">
          <w:rPr>
            <w:webHidden/>
          </w:rPr>
        </w:r>
        <w:r w:rsidR="00344352">
          <w:rPr>
            <w:webHidden/>
          </w:rPr>
          <w:fldChar w:fldCharType="separate"/>
        </w:r>
        <w:r w:rsidR="00344352">
          <w:rPr>
            <w:webHidden/>
          </w:rPr>
          <w:t>17</w:t>
        </w:r>
        <w:r w:rsidR="00344352">
          <w:rPr>
            <w:webHidden/>
          </w:rPr>
          <w:fldChar w:fldCharType="end"/>
        </w:r>
      </w:hyperlink>
    </w:p>
    <w:p w14:paraId="55D34C3F" w14:textId="338D2037" w:rsidR="00344352" w:rsidRDefault="00096A20">
      <w:pPr>
        <w:pStyle w:val="TOC2"/>
        <w:rPr>
          <w:rFonts w:asciiTheme="minorHAnsi" w:eastAsiaTheme="minorEastAsia" w:hAnsiTheme="minorHAnsi" w:cstheme="minorBidi"/>
          <w:sz w:val="22"/>
          <w:szCs w:val="22"/>
        </w:rPr>
      </w:pPr>
      <w:hyperlink w:anchor="_Toc103174620"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_Toc103174620 \h </w:instrText>
        </w:r>
        <w:r w:rsidR="00344352">
          <w:rPr>
            <w:webHidden/>
          </w:rPr>
        </w:r>
        <w:r w:rsidR="00344352">
          <w:rPr>
            <w:webHidden/>
          </w:rPr>
          <w:fldChar w:fldCharType="separate"/>
        </w:r>
        <w:r w:rsidR="00344352">
          <w:rPr>
            <w:webHidden/>
          </w:rPr>
          <w:t>17</w:t>
        </w:r>
        <w:r w:rsidR="00344352">
          <w:rPr>
            <w:webHidden/>
          </w:rPr>
          <w:fldChar w:fldCharType="end"/>
        </w:r>
      </w:hyperlink>
    </w:p>
    <w:p w14:paraId="2620FA82" w14:textId="77F8FB10" w:rsidR="00344352" w:rsidRDefault="00096A20">
      <w:pPr>
        <w:pStyle w:val="TOC2"/>
        <w:rPr>
          <w:rFonts w:asciiTheme="minorHAnsi" w:eastAsiaTheme="minorEastAsia" w:hAnsiTheme="minorHAnsi" w:cstheme="minorBidi"/>
          <w:sz w:val="22"/>
          <w:szCs w:val="22"/>
        </w:rPr>
      </w:pPr>
      <w:hyperlink w:anchor="_Toc103174621" w:history="1">
        <w:r w:rsidR="00344352" w:rsidRPr="00B11C41">
          <w:rPr>
            <w:rStyle w:val="Hyperlink"/>
          </w:rPr>
          <w:t>ASIC’s proposed approach to the UTI in CP 334</w:t>
        </w:r>
        <w:r w:rsidR="00344352">
          <w:rPr>
            <w:webHidden/>
          </w:rPr>
          <w:tab/>
        </w:r>
        <w:r w:rsidR="00344352">
          <w:rPr>
            <w:webHidden/>
          </w:rPr>
          <w:fldChar w:fldCharType="begin"/>
        </w:r>
        <w:r w:rsidR="00344352">
          <w:rPr>
            <w:webHidden/>
          </w:rPr>
          <w:instrText xml:space="preserve"> PAGEREF _Toc103174621 \h </w:instrText>
        </w:r>
        <w:r w:rsidR="00344352">
          <w:rPr>
            <w:webHidden/>
          </w:rPr>
        </w:r>
        <w:r w:rsidR="00344352">
          <w:rPr>
            <w:webHidden/>
          </w:rPr>
          <w:fldChar w:fldCharType="separate"/>
        </w:r>
        <w:r w:rsidR="00344352">
          <w:rPr>
            <w:webHidden/>
          </w:rPr>
          <w:t>18</w:t>
        </w:r>
        <w:r w:rsidR="00344352">
          <w:rPr>
            <w:webHidden/>
          </w:rPr>
          <w:fldChar w:fldCharType="end"/>
        </w:r>
      </w:hyperlink>
    </w:p>
    <w:p w14:paraId="5A371D19" w14:textId="1CB4A0EE" w:rsidR="00344352" w:rsidRDefault="00096A20">
      <w:pPr>
        <w:pStyle w:val="TOC2"/>
        <w:rPr>
          <w:rFonts w:asciiTheme="minorHAnsi" w:eastAsiaTheme="minorEastAsia" w:hAnsiTheme="minorHAnsi" w:cstheme="minorBidi"/>
          <w:sz w:val="22"/>
          <w:szCs w:val="22"/>
        </w:rPr>
      </w:pPr>
      <w:hyperlink w:anchor="_Toc103174622" w:history="1">
        <w:r w:rsidR="00344352" w:rsidRPr="00B11C41">
          <w:rPr>
            <w:rStyle w:val="Hyperlink"/>
          </w:rPr>
          <w:t>Feedback on our proposed approach in CP 334</w:t>
        </w:r>
        <w:r w:rsidR="00344352">
          <w:rPr>
            <w:webHidden/>
          </w:rPr>
          <w:tab/>
        </w:r>
        <w:r w:rsidR="00344352">
          <w:rPr>
            <w:webHidden/>
          </w:rPr>
          <w:fldChar w:fldCharType="begin"/>
        </w:r>
        <w:r w:rsidR="00344352">
          <w:rPr>
            <w:webHidden/>
          </w:rPr>
          <w:instrText xml:space="preserve"> PAGEREF _Toc103174622 \h </w:instrText>
        </w:r>
        <w:r w:rsidR="00344352">
          <w:rPr>
            <w:webHidden/>
          </w:rPr>
        </w:r>
        <w:r w:rsidR="00344352">
          <w:rPr>
            <w:webHidden/>
          </w:rPr>
          <w:fldChar w:fldCharType="separate"/>
        </w:r>
        <w:r w:rsidR="00344352">
          <w:rPr>
            <w:webHidden/>
          </w:rPr>
          <w:t>20</w:t>
        </w:r>
        <w:r w:rsidR="00344352">
          <w:rPr>
            <w:webHidden/>
          </w:rPr>
          <w:fldChar w:fldCharType="end"/>
        </w:r>
      </w:hyperlink>
    </w:p>
    <w:p w14:paraId="0F643A0D" w14:textId="6B188CCB" w:rsidR="00344352" w:rsidRDefault="00096A20">
      <w:pPr>
        <w:pStyle w:val="TOC2"/>
        <w:rPr>
          <w:rFonts w:asciiTheme="minorHAnsi" w:eastAsiaTheme="minorEastAsia" w:hAnsiTheme="minorHAnsi" w:cstheme="minorBidi"/>
          <w:sz w:val="22"/>
          <w:szCs w:val="22"/>
        </w:rPr>
      </w:pPr>
      <w:hyperlink w:anchor="_Toc103174623" w:history="1">
        <w:r w:rsidR="00344352" w:rsidRPr="00B11C41">
          <w:rPr>
            <w:rStyle w:val="Hyperlink"/>
          </w:rPr>
          <w:t>ASIC’s revised proposals</w:t>
        </w:r>
        <w:r w:rsidR="00344352">
          <w:rPr>
            <w:webHidden/>
          </w:rPr>
          <w:tab/>
        </w:r>
        <w:r w:rsidR="00344352">
          <w:rPr>
            <w:webHidden/>
          </w:rPr>
          <w:fldChar w:fldCharType="begin"/>
        </w:r>
        <w:r w:rsidR="00344352">
          <w:rPr>
            <w:webHidden/>
          </w:rPr>
          <w:instrText xml:space="preserve"> PAGEREF _Toc103174623 \h </w:instrText>
        </w:r>
        <w:r w:rsidR="00344352">
          <w:rPr>
            <w:webHidden/>
          </w:rPr>
        </w:r>
        <w:r w:rsidR="00344352">
          <w:rPr>
            <w:webHidden/>
          </w:rPr>
          <w:fldChar w:fldCharType="separate"/>
        </w:r>
        <w:r w:rsidR="00344352">
          <w:rPr>
            <w:webHidden/>
          </w:rPr>
          <w:t>24</w:t>
        </w:r>
        <w:r w:rsidR="00344352">
          <w:rPr>
            <w:webHidden/>
          </w:rPr>
          <w:fldChar w:fldCharType="end"/>
        </w:r>
      </w:hyperlink>
    </w:p>
    <w:p w14:paraId="1313C2C4" w14:textId="62F61346" w:rsidR="00344352" w:rsidRDefault="00096A20">
      <w:pPr>
        <w:pStyle w:val="TOC1"/>
        <w:rPr>
          <w:rFonts w:asciiTheme="minorHAnsi" w:eastAsiaTheme="minorEastAsia" w:hAnsiTheme="minorHAnsi" w:cstheme="minorBidi"/>
          <w:b w:val="0"/>
          <w:sz w:val="22"/>
          <w:szCs w:val="22"/>
        </w:rPr>
      </w:pPr>
      <w:hyperlink w:anchor="_Toc103174624" w:history="1">
        <w:r w:rsidR="00344352" w:rsidRPr="00B11C41">
          <w:rPr>
            <w:rStyle w:val="Hyperlink"/>
          </w:rPr>
          <w:t>C</w:t>
        </w:r>
        <w:r w:rsidR="00344352">
          <w:rPr>
            <w:rFonts w:asciiTheme="minorHAnsi" w:eastAsiaTheme="minorEastAsia" w:hAnsiTheme="minorHAnsi" w:cstheme="minorBidi"/>
            <w:b w:val="0"/>
            <w:sz w:val="22"/>
            <w:szCs w:val="22"/>
          </w:rPr>
          <w:tab/>
        </w:r>
        <w:r w:rsidR="00344352" w:rsidRPr="00B11C41">
          <w:rPr>
            <w:rStyle w:val="Hyperlink"/>
          </w:rPr>
          <w:t>The unique product identifier (UPI)</w:t>
        </w:r>
        <w:r w:rsidR="00344352">
          <w:rPr>
            <w:webHidden/>
          </w:rPr>
          <w:tab/>
        </w:r>
        <w:r w:rsidR="00344352">
          <w:rPr>
            <w:webHidden/>
          </w:rPr>
          <w:fldChar w:fldCharType="begin"/>
        </w:r>
        <w:r w:rsidR="00344352">
          <w:rPr>
            <w:webHidden/>
          </w:rPr>
          <w:instrText xml:space="preserve"> PAGEREF _Toc103174624 \h </w:instrText>
        </w:r>
        <w:r w:rsidR="00344352">
          <w:rPr>
            <w:webHidden/>
          </w:rPr>
        </w:r>
        <w:r w:rsidR="00344352">
          <w:rPr>
            <w:webHidden/>
          </w:rPr>
          <w:fldChar w:fldCharType="separate"/>
        </w:r>
        <w:r w:rsidR="00344352">
          <w:rPr>
            <w:webHidden/>
          </w:rPr>
          <w:t>55</w:t>
        </w:r>
        <w:r w:rsidR="00344352">
          <w:rPr>
            <w:webHidden/>
          </w:rPr>
          <w:fldChar w:fldCharType="end"/>
        </w:r>
      </w:hyperlink>
    </w:p>
    <w:p w14:paraId="78239BF6" w14:textId="7118421D" w:rsidR="00344352" w:rsidRDefault="00096A20">
      <w:pPr>
        <w:pStyle w:val="TOC2"/>
        <w:rPr>
          <w:rFonts w:asciiTheme="minorHAnsi" w:eastAsiaTheme="minorEastAsia" w:hAnsiTheme="minorHAnsi" w:cstheme="minorBidi"/>
          <w:sz w:val="22"/>
          <w:szCs w:val="22"/>
        </w:rPr>
      </w:pPr>
      <w:hyperlink w:anchor="_Toc103174625"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_Toc103174625 \h </w:instrText>
        </w:r>
        <w:r w:rsidR="00344352">
          <w:rPr>
            <w:webHidden/>
          </w:rPr>
        </w:r>
        <w:r w:rsidR="00344352">
          <w:rPr>
            <w:webHidden/>
          </w:rPr>
          <w:fldChar w:fldCharType="separate"/>
        </w:r>
        <w:r w:rsidR="00344352">
          <w:rPr>
            <w:webHidden/>
          </w:rPr>
          <w:t>55</w:t>
        </w:r>
        <w:r w:rsidR="00344352">
          <w:rPr>
            <w:webHidden/>
          </w:rPr>
          <w:fldChar w:fldCharType="end"/>
        </w:r>
      </w:hyperlink>
    </w:p>
    <w:p w14:paraId="09232681" w14:textId="730763B1" w:rsidR="00344352" w:rsidRDefault="00096A20">
      <w:pPr>
        <w:pStyle w:val="TOC2"/>
        <w:rPr>
          <w:rFonts w:asciiTheme="minorHAnsi" w:eastAsiaTheme="minorEastAsia" w:hAnsiTheme="minorHAnsi" w:cstheme="minorBidi"/>
          <w:sz w:val="22"/>
          <w:szCs w:val="22"/>
        </w:rPr>
      </w:pPr>
      <w:hyperlink w:anchor="_Toc103174626" w:history="1">
        <w:r w:rsidR="00344352" w:rsidRPr="00B11C41">
          <w:rPr>
            <w:rStyle w:val="Hyperlink"/>
          </w:rPr>
          <w:t>Developments in the UPI system since the release of CP 334</w:t>
        </w:r>
        <w:r w:rsidR="00344352">
          <w:rPr>
            <w:webHidden/>
          </w:rPr>
          <w:tab/>
        </w:r>
        <w:r w:rsidR="00344352">
          <w:rPr>
            <w:webHidden/>
          </w:rPr>
          <w:fldChar w:fldCharType="begin"/>
        </w:r>
        <w:r w:rsidR="00344352">
          <w:rPr>
            <w:webHidden/>
          </w:rPr>
          <w:instrText xml:space="preserve"> PAGEREF _Toc103174626 \h </w:instrText>
        </w:r>
        <w:r w:rsidR="00344352">
          <w:rPr>
            <w:webHidden/>
          </w:rPr>
        </w:r>
        <w:r w:rsidR="00344352">
          <w:rPr>
            <w:webHidden/>
          </w:rPr>
          <w:fldChar w:fldCharType="separate"/>
        </w:r>
        <w:r w:rsidR="00344352">
          <w:rPr>
            <w:webHidden/>
          </w:rPr>
          <w:t>56</w:t>
        </w:r>
        <w:r w:rsidR="00344352">
          <w:rPr>
            <w:webHidden/>
          </w:rPr>
          <w:fldChar w:fldCharType="end"/>
        </w:r>
      </w:hyperlink>
    </w:p>
    <w:p w14:paraId="2488D957" w14:textId="4FAEFC33" w:rsidR="00344352" w:rsidRDefault="00096A20">
      <w:pPr>
        <w:pStyle w:val="TOC2"/>
        <w:rPr>
          <w:rFonts w:asciiTheme="minorHAnsi" w:eastAsiaTheme="minorEastAsia" w:hAnsiTheme="minorHAnsi" w:cstheme="minorBidi"/>
          <w:sz w:val="22"/>
          <w:szCs w:val="22"/>
        </w:rPr>
      </w:pPr>
      <w:hyperlink w:anchor="_Toc103174627" w:history="1">
        <w:r w:rsidR="00344352" w:rsidRPr="00B11C41">
          <w:rPr>
            <w:rStyle w:val="Hyperlink"/>
          </w:rPr>
          <w:t>ASIC’s proposed approach to the UPI system in CP 334</w:t>
        </w:r>
        <w:r w:rsidR="00344352">
          <w:rPr>
            <w:webHidden/>
          </w:rPr>
          <w:tab/>
        </w:r>
        <w:r w:rsidR="00344352">
          <w:rPr>
            <w:webHidden/>
          </w:rPr>
          <w:fldChar w:fldCharType="begin"/>
        </w:r>
        <w:r w:rsidR="00344352">
          <w:rPr>
            <w:webHidden/>
          </w:rPr>
          <w:instrText xml:space="preserve"> PAGEREF _Toc103174627 \h </w:instrText>
        </w:r>
        <w:r w:rsidR="00344352">
          <w:rPr>
            <w:webHidden/>
          </w:rPr>
        </w:r>
        <w:r w:rsidR="00344352">
          <w:rPr>
            <w:webHidden/>
          </w:rPr>
          <w:fldChar w:fldCharType="separate"/>
        </w:r>
        <w:r w:rsidR="00344352">
          <w:rPr>
            <w:webHidden/>
          </w:rPr>
          <w:t>59</w:t>
        </w:r>
        <w:r w:rsidR="00344352">
          <w:rPr>
            <w:webHidden/>
          </w:rPr>
          <w:fldChar w:fldCharType="end"/>
        </w:r>
      </w:hyperlink>
    </w:p>
    <w:p w14:paraId="3106941B" w14:textId="6FFD2285" w:rsidR="00344352" w:rsidRDefault="00096A20">
      <w:pPr>
        <w:pStyle w:val="TOC2"/>
        <w:rPr>
          <w:rFonts w:asciiTheme="minorHAnsi" w:eastAsiaTheme="minorEastAsia" w:hAnsiTheme="minorHAnsi" w:cstheme="minorBidi"/>
          <w:sz w:val="22"/>
          <w:szCs w:val="22"/>
        </w:rPr>
      </w:pPr>
      <w:hyperlink w:anchor="_Toc103174628" w:history="1">
        <w:r w:rsidR="00344352" w:rsidRPr="00B11C41">
          <w:rPr>
            <w:rStyle w:val="Hyperlink"/>
          </w:rPr>
          <w:t>Feedback on our proposed approach in CP 334</w:t>
        </w:r>
        <w:r w:rsidR="00344352">
          <w:rPr>
            <w:webHidden/>
          </w:rPr>
          <w:tab/>
        </w:r>
        <w:r w:rsidR="00344352">
          <w:rPr>
            <w:webHidden/>
          </w:rPr>
          <w:fldChar w:fldCharType="begin"/>
        </w:r>
        <w:r w:rsidR="00344352">
          <w:rPr>
            <w:webHidden/>
          </w:rPr>
          <w:instrText xml:space="preserve"> PAGEREF _Toc103174628 \h </w:instrText>
        </w:r>
        <w:r w:rsidR="00344352">
          <w:rPr>
            <w:webHidden/>
          </w:rPr>
        </w:r>
        <w:r w:rsidR="00344352">
          <w:rPr>
            <w:webHidden/>
          </w:rPr>
          <w:fldChar w:fldCharType="separate"/>
        </w:r>
        <w:r w:rsidR="00344352">
          <w:rPr>
            <w:webHidden/>
          </w:rPr>
          <w:t>59</w:t>
        </w:r>
        <w:r w:rsidR="00344352">
          <w:rPr>
            <w:webHidden/>
          </w:rPr>
          <w:fldChar w:fldCharType="end"/>
        </w:r>
      </w:hyperlink>
    </w:p>
    <w:p w14:paraId="646C9DCF" w14:textId="3538DC58" w:rsidR="00344352" w:rsidRDefault="00096A20">
      <w:pPr>
        <w:pStyle w:val="TOC2"/>
        <w:rPr>
          <w:rFonts w:asciiTheme="minorHAnsi" w:eastAsiaTheme="minorEastAsia" w:hAnsiTheme="minorHAnsi" w:cstheme="minorBidi"/>
          <w:sz w:val="22"/>
          <w:szCs w:val="22"/>
        </w:rPr>
      </w:pPr>
      <w:hyperlink w:anchor="_Toc103174629" w:history="1">
        <w:r w:rsidR="00344352" w:rsidRPr="00B11C41">
          <w:rPr>
            <w:rStyle w:val="Hyperlink"/>
          </w:rPr>
          <w:t>ASIC’s revised proposals</w:t>
        </w:r>
        <w:r w:rsidR="00344352">
          <w:rPr>
            <w:webHidden/>
          </w:rPr>
          <w:tab/>
        </w:r>
        <w:r w:rsidR="00344352">
          <w:rPr>
            <w:webHidden/>
          </w:rPr>
          <w:fldChar w:fldCharType="begin"/>
        </w:r>
        <w:r w:rsidR="00344352">
          <w:rPr>
            <w:webHidden/>
          </w:rPr>
          <w:instrText xml:space="preserve"> PAGEREF _Toc103174629 \h </w:instrText>
        </w:r>
        <w:r w:rsidR="00344352">
          <w:rPr>
            <w:webHidden/>
          </w:rPr>
        </w:r>
        <w:r w:rsidR="00344352">
          <w:rPr>
            <w:webHidden/>
          </w:rPr>
          <w:fldChar w:fldCharType="separate"/>
        </w:r>
        <w:r w:rsidR="00344352">
          <w:rPr>
            <w:webHidden/>
          </w:rPr>
          <w:t>61</w:t>
        </w:r>
        <w:r w:rsidR="00344352">
          <w:rPr>
            <w:webHidden/>
          </w:rPr>
          <w:fldChar w:fldCharType="end"/>
        </w:r>
      </w:hyperlink>
    </w:p>
    <w:p w14:paraId="35EEEB69" w14:textId="523AAEE4" w:rsidR="00344352" w:rsidRDefault="00096A20">
      <w:pPr>
        <w:pStyle w:val="TOC2"/>
        <w:rPr>
          <w:rFonts w:asciiTheme="minorHAnsi" w:eastAsiaTheme="minorEastAsia" w:hAnsiTheme="minorHAnsi" w:cstheme="minorBidi"/>
          <w:sz w:val="22"/>
          <w:szCs w:val="22"/>
        </w:rPr>
      </w:pPr>
      <w:hyperlink w:anchor="_Toc103174630" w:history="1">
        <w:r w:rsidR="00344352" w:rsidRPr="00B11C41">
          <w:rPr>
            <w:rStyle w:val="Hyperlink"/>
          </w:rPr>
          <w:t>Reporting a UPI</w:t>
        </w:r>
        <w:r w:rsidR="00344352">
          <w:rPr>
            <w:webHidden/>
          </w:rPr>
          <w:tab/>
        </w:r>
        <w:r w:rsidR="00344352">
          <w:rPr>
            <w:webHidden/>
          </w:rPr>
          <w:fldChar w:fldCharType="begin"/>
        </w:r>
        <w:r w:rsidR="00344352">
          <w:rPr>
            <w:webHidden/>
          </w:rPr>
          <w:instrText xml:space="preserve"> PAGEREF _Toc103174630 \h </w:instrText>
        </w:r>
        <w:r w:rsidR="00344352">
          <w:rPr>
            <w:webHidden/>
          </w:rPr>
        </w:r>
        <w:r w:rsidR="00344352">
          <w:rPr>
            <w:webHidden/>
          </w:rPr>
          <w:fldChar w:fldCharType="separate"/>
        </w:r>
        <w:r w:rsidR="00344352">
          <w:rPr>
            <w:webHidden/>
          </w:rPr>
          <w:t>64</w:t>
        </w:r>
        <w:r w:rsidR="00344352">
          <w:rPr>
            <w:webHidden/>
          </w:rPr>
          <w:fldChar w:fldCharType="end"/>
        </w:r>
      </w:hyperlink>
    </w:p>
    <w:p w14:paraId="29C9F37D" w14:textId="6B5A9B9A" w:rsidR="00344352" w:rsidRDefault="00096A20">
      <w:pPr>
        <w:pStyle w:val="TOC1"/>
        <w:rPr>
          <w:rFonts w:asciiTheme="minorHAnsi" w:eastAsiaTheme="minorEastAsia" w:hAnsiTheme="minorHAnsi" w:cstheme="minorBidi"/>
          <w:b w:val="0"/>
          <w:sz w:val="22"/>
          <w:szCs w:val="22"/>
        </w:rPr>
      </w:pPr>
      <w:hyperlink w:anchor="_Toc103174631" w:history="1">
        <w:r w:rsidR="00344352" w:rsidRPr="00B11C41">
          <w:rPr>
            <w:rStyle w:val="Hyperlink"/>
          </w:rPr>
          <w:t>D</w:t>
        </w:r>
        <w:r w:rsidR="00344352">
          <w:rPr>
            <w:rFonts w:asciiTheme="minorHAnsi" w:eastAsiaTheme="minorEastAsia" w:hAnsiTheme="minorHAnsi" w:cstheme="minorBidi"/>
            <w:b w:val="0"/>
            <w:sz w:val="22"/>
            <w:szCs w:val="22"/>
          </w:rPr>
          <w:tab/>
        </w:r>
        <w:r w:rsidR="00344352" w:rsidRPr="00B11C41">
          <w:rPr>
            <w:rStyle w:val="Hyperlink"/>
          </w:rPr>
          <w:t>The legal entity identifier (LEI)</w:t>
        </w:r>
        <w:r w:rsidR="00344352">
          <w:rPr>
            <w:webHidden/>
          </w:rPr>
          <w:tab/>
        </w:r>
        <w:r w:rsidR="00344352">
          <w:rPr>
            <w:webHidden/>
          </w:rPr>
          <w:fldChar w:fldCharType="begin"/>
        </w:r>
        <w:r w:rsidR="00344352">
          <w:rPr>
            <w:webHidden/>
          </w:rPr>
          <w:instrText xml:space="preserve"> PAGEREF _Toc103174631 \h </w:instrText>
        </w:r>
        <w:r w:rsidR="00344352">
          <w:rPr>
            <w:webHidden/>
          </w:rPr>
        </w:r>
        <w:r w:rsidR="00344352">
          <w:rPr>
            <w:webHidden/>
          </w:rPr>
          <w:fldChar w:fldCharType="separate"/>
        </w:r>
        <w:r w:rsidR="00344352">
          <w:rPr>
            <w:webHidden/>
          </w:rPr>
          <w:t>66</w:t>
        </w:r>
        <w:r w:rsidR="00344352">
          <w:rPr>
            <w:webHidden/>
          </w:rPr>
          <w:fldChar w:fldCharType="end"/>
        </w:r>
      </w:hyperlink>
    </w:p>
    <w:p w14:paraId="438EBBCE" w14:textId="5613A896" w:rsidR="00344352" w:rsidRDefault="00096A20">
      <w:pPr>
        <w:pStyle w:val="TOC2"/>
        <w:rPr>
          <w:rFonts w:asciiTheme="minorHAnsi" w:eastAsiaTheme="minorEastAsia" w:hAnsiTheme="minorHAnsi" w:cstheme="minorBidi"/>
          <w:sz w:val="22"/>
          <w:szCs w:val="22"/>
        </w:rPr>
      </w:pPr>
      <w:hyperlink w:anchor="_Toc103174632"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_Toc103174632 \h </w:instrText>
        </w:r>
        <w:r w:rsidR="00344352">
          <w:rPr>
            <w:webHidden/>
          </w:rPr>
        </w:r>
        <w:r w:rsidR="00344352">
          <w:rPr>
            <w:webHidden/>
          </w:rPr>
          <w:fldChar w:fldCharType="separate"/>
        </w:r>
        <w:r w:rsidR="00344352">
          <w:rPr>
            <w:webHidden/>
          </w:rPr>
          <w:t>66</w:t>
        </w:r>
        <w:r w:rsidR="00344352">
          <w:rPr>
            <w:webHidden/>
          </w:rPr>
          <w:fldChar w:fldCharType="end"/>
        </w:r>
      </w:hyperlink>
    </w:p>
    <w:p w14:paraId="55C7ACEB" w14:textId="25551CEA" w:rsidR="00344352" w:rsidRDefault="00096A20">
      <w:pPr>
        <w:pStyle w:val="TOC2"/>
        <w:rPr>
          <w:rFonts w:asciiTheme="minorHAnsi" w:eastAsiaTheme="minorEastAsia" w:hAnsiTheme="minorHAnsi" w:cstheme="minorBidi"/>
          <w:sz w:val="22"/>
          <w:szCs w:val="22"/>
        </w:rPr>
      </w:pPr>
      <w:hyperlink w:anchor="_Toc103174633" w:history="1">
        <w:r w:rsidR="00344352" w:rsidRPr="00B11C41">
          <w:rPr>
            <w:rStyle w:val="Hyperlink"/>
          </w:rPr>
          <w:t>ASIC’s proposed approach to LEIs in CP 334</w:t>
        </w:r>
        <w:r w:rsidR="00344352">
          <w:rPr>
            <w:webHidden/>
          </w:rPr>
          <w:tab/>
        </w:r>
        <w:r w:rsidR="00344352">
          <w:rPr>
            <w:webHidden/>
          </w:rPr>
          <w:fldChar w:fldCharType="begin"/>
        </w:r>
        <w:r w:rsidR="00344352">
          <w:rPr>
            <w:webHidden/>
          </w:rPr>
          <w:instrText xml:space="preserve"> PAGEREF _Toc103174633 \h </w:instrText>
        </w:r>
        <w:r w:rsidR="00344352">
          <w:rPr>
            <w:webHidden/>
          </w:rPr>
        </w:r>
        <w:r w:rsidR="00344352">
          <w:rPr>
            <w:webHidden/>
          </w:rPr>
          <w:fldChar w:fldCharType="separate"/>
        </w:r>
        <w:r w:rsidR="00344352">
          <w:rPr>
            <w:webHidden/>
          </w:rPr>
          <w:t>68</w:t>
        </w:r>
        <w:r w:rsidR="00344352">
          <w:rPr>
            <w:webHidden/>
          </w:rPr>
          <w:fldChar w:fldCharType="end"/>
        </w:r>
      </w:hyperlink>
    </w:p>
    <w:p w14:paraId="6841A077" w14:textId="41B7FB54" w:rsidR="00344352" w:rsidRDefault="00096A20">
      <w:pPr>
        <w:pStyle w:val="TOC2"/>
        <w:rPr>
          <w:rFonts w:asciiTheme="minorHAnsi" w:eastAsiaTheme="minorEastAsia" w:hAnsiTheme="minorHAnsi" w:cstheme="minorBidi"/>
          <w:sz w:val="22"/>
          <w:szCs w:val="22"/>
        </w:rPr>
      </w:pPr>
      <w:hyperlink w:anchor="_Toc103174634" w:history="1">
        <w:r w:rsidR="00344352" w:rsidRPr="00B11C41">
          <w:rPr>
            <w:rStyle w:val="Hyperlink"/>
          </w:rPr>
          <w:t>Feedback on our proposed approach in CP 334</w:t>
        </w:r>
        <w:r w:rsidR="00344352">
          <w:rPr>
            <w:webHidden/>
          </w:rPr>
          <w:tab/>
        </w:r>
        <w:r w:rsidR="00344352">
          <w:rPr>
            <w:webHidden/>
          </w:rPr>
          <w:fldChar w:fldCharType="begin"/>
        </w:r>
        <w:r w:rsidR="00344352">
          <w:rPr>
            <w:webHidden/>
          </w:rPr>
          <w:instrText xml:space="preserve"> PAGEREF _Toc103174634 \h </w:instrText>
        </w:r>
        <w:r w:rsidR="00344352">
          <w:rPr>
            <w:webHidden/>
          </w:rPr>
        </w:r>
        <w:r w:rsidR="00344352">
          <w:rPr>
            <w:webHidden/>
          </w:rPr>
          <w:fldChar w:fldCharType="separate"/>
        </w:r>
        <w:r w:rsidR="00344352">
          <w:rPr>
            <w:webHidden/>
          </w:rPr>
          <w:t>68</w:t>
        </w:r>
        <w:r w:rsidR="00344352">
          <w:rPr>
            <w:webHidden/>
          </w:rPr>
          <w:fldChar w:fldCharType="end"/>
        </w:r>
      </w:hyperlink>
    </w:p>
    <w:p w14:paraId="38B5E10E" w14:textId="4E872170" w:rsidR="00344352" w:rsidRDefault="00096A20">
      <w:pPr>
        <w:pStyle w:val="TOC1"/>
        <w:rPr>
          <w:rFonts w:asciiTheme="minorHAnsi" w:eastAsiaTheme="minorEastAsia" w:hAnsiTheme="minorHAnsi" w:cstheme="minorBidi"/>
          <w:b w:val="0"/>
          <w:sz w:val="22"/>
          <w:szCs w:val="22"/>
        </w:rPr>
      </w:pPr>
      <w:hyperlink w:anchor="_Toc103174635" w:history="1">
        <w:r w:rsidR="00344352" w:rsidRPr="00B11C41">
          <w:rPr>
            <w:rStyle w:val="Hyperlink"/>
          </w:rPr>
          <w:t>E</w:t>
        </w:r>
        <w:r w:rsidR="00344352">
          <w:rPr>
            <w:rFonts w:asciiTheme="minorHAnsi" w:eastAsiaTheme="minorEastAsia" w:hAnsiTheme="minorHAnsi" w:cstheme="minorBidi"/>
            <w:b w:val="0"/>
            <w:sz w:val="22"/>
            <w:szCs w:val="22"/>
          </w:rPr>
          <w:tab/>
        </w:r>
        <w:r w:rsidR="00344352" w:rsidRPr="00B11C41">
          <w:rPr>
            <w:rStyle w:val="Hyperlink"/>
          </w:rPr>
          <w:t>The ASIC data elements</w:t>
        </w:r>
        <w:r w:rsidR="00344352">
          <w:rPr>
            <w:webHidden/>
          </w:rPr>
          <w:tab/>
        </w:r>
        <w:r w:rsidR="00344352">
          <w:rPr>
            <w:webHidden/>
          </w:rPr>
          <w:fldChar w:fldCharType="begin"/>
        </w:r>
        <w:r w:rsidR="00344352">
          <w:rPr>
            <w:webHidden/>
          </w:rPr>
          <w:instrText xml:space="preserve"> PAGEREF _Toc103174635 \h </w:instrText>
        </w:r>
        <w:r w:rsidR="00344352">
          <w:rPr>
            <w:webHidden/>
          </w:rPr>
        </w:r>
        <w:r w:rsidR="00344352">
          <w:rPr>
            <w:webHidden/>
          </w:rPr>
          <w:fldChar w:fldCharType="separate"/>
        </w:r>
        <w:r w:rsidR="00344352">
          <w:rPr>
            <w:webHidden/>
          </w:rPr>
          <w:t>77</w:t>
        </w:r>
        <w:r w:rsidR="00344352">
          <w:rPr>
            <w:webHidden/>
          </w:rPr>
          <w:fldChar w:fldCharType="end"/>
        </w:r>
      </w:hyperlink>
    </w:p>
    <w:p w14:paraId="3487982C" w14:textId="07C83EA1" w:rsidR="00344352" w:rsidRDefault="00096A20">
      <w:pPr>
        <w:pStyle w:val="TOC2"/>
        <w:rPr>
          <w:rFonts w:asciiTheme="minorHAnsi" w:eastAsiaTheme="minorEastAsia" w:hAnsiTheme="minorHAnsi" w:cstheme="minorBidi"/>
          <w:sz w:val="22"/>
          <w:szCs w:val="22"/>
        </w:rPr>
      </w:pPr>
      <w:hyperlink w:anchor="_Toc103174636"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_Toc103174636 \h </w:instrText>
        </w:r>
        <w:r w:rsidR="00344352">
          <w:rPr>
            <w:webHidden/>
          </w:rPr>
        </w:r>
        <w:r w:rsidR="00344352">
          <w:rPr>
            <w:webHidden/>
          </w:rPr>
          <w:fldChar w:fldCharType="separate"/>
        </w:r>
        <w:r w:rsidR="00344352">
          <w:rPr>
            <w:webHidden/>
          </w:rPr>
          <w:t>77</w:t>
        </w:r>
        <w:r w:rsidR="00344352">
          <w:rPr>
            <w:webHidden/>
          </w:rPr>
          <w:fldChar w:fldCharType="end"/>
        </w:r>
      </w:hyperlink>
    </w:p>
    <w:p w14:paraId="50E5B1C4" w14:textId="3F19B86A" w:rsidR="00344352" w:rsidRDefault="00096A20">
      <w:pPr>
        <w:pStyle w:val="TOC2"/>
        <w:rPr>
          <w:rFonts w:asciiTheme="minorHAnsi" w:eastAsiaTheme="minorEastAsia" w:hAnsiTheme="minorHAnsi" w:cstheme="minorBidi"/>
          <w:sz w:val="22"/>
          <w:szCs w:val="22"/>
        </w:rPr>
      </w:pPr>
      <w:hyperlink w:anchor="_Toc103174637" w:history="1">
        <w:r w:rsidR="00344352" w:rsidRPr="00B11C41">
          <w:rPr>
            <w:rStyle w:val="Hyperlink"/>
          </w:rPr>
          <w:t>ASIC’s proposed approach to data elements in CP 334</w:t>
        </w:r>
        <w:r w:rsidR="00344352">
          <w:rPr>
            <w:webHidden/>
          </w:rPr>
          <w:tab/>
        </w:r>
        <w:r w:rsidR="00344352">
          <w:rPr>
            <w:webHidden/>
          </w:rPr>
          <w:fldChar w:fldCharType="begin"/>
        </w:r>
        <w:r w:rsidR="00344352">
          <w:rPr>
            <w:webHidden/>
          </w:rPr>
          <w:instrText xml:space="preserve"> PAGEREF _Toc103174637 \h </w:instrText>
        </w:r>
        <w:r w:rsidR="00344352">
          <w:rPr>
            <w:webHidden/>
          </w:rPr>
        </w:r>
        <w:r w:rsidR="00344352">
          <w:rPr>
            <w:webHidden/>
          </w:rPr>
          <w:fldChar w:fldCharType="separate"/>
        </w:r>
        <w:r w:rsidR="00344352">
          <w:rPr>
            <w:webHidden/>
          </w:rPr>
          <w:t>79</w:t>
        </w:r>
        <w:r w:rsidR="00344352">
          <w:rPr>
            <w:webHidden/>
          </w:rPr>
          <w:fldChar w:fldCharType="end"/>
        </w:r>
      </w:hyperlink>
    </w:p>
    <w:p w14:paraId="16E1879E" w14:textId="3B1F9BBA" w:rsidR="00344352" w:rsidRDefault="00096A20">
      <w:pPr>
        <w:pStyle w:val="TOC2"/>
        <w:rPr>
          <w:rFonts w:asciiTheme="minorHAnsi" w:eastAsiaTheme="minorEastAsia" w:hAnsiTheme="minorHAnsi" w:cstheme="minorBidi"/>
          <w:sz w:val="22"/>
          <w:szCs w:val="22"/>
        </w:rPr>
      </w:pPr>
      <w:hyperlink w:anchor="_Toc103174638" w:history="1">
        <w:r w:rsidR="00344352" w:rsidRPr="00B11C41">
          <w:rPr>
            <w:rStyle w:val="Hyperlink"/>
          </w:rPr>
          <w:t>Feedback on our proposed approach in CP 334</w:t>
        </w:r>
        <w:r w:rsidR="00344352">
          <w:rPr>
            <w:webHidden/>
          </w:rPr>
          <w:tab/>
        </w:r>
        <w:r w:rsidR="00344352">
          <w:rPr>
            <w:webHidden/>
          </w:rPr>
          <w:fldChar w:fldCharType="begin"/>
        </w:r>
        <w:r w:rsidR="00344352">
          <w:rPr>
            <w:webHidden/>
          </w:rPr>
          <w:instrText xml:space="preserve"> PAGEREF _Toc103174638 \h </w:instrText>
        </w:r>
        <w:r w:rsidR="00344352">
          <w:rPr>
            <w:webHidden/>
          </w:rPr>
        </w:r>
        <w:r w:rsidR="00344352">
          <w:rPr>
            <w:webHidden/>
          </w:rPr>
          <w:fldChar w:fldCharType="separate"/>
        </w:r>
        <w:r w:rsidR="00344352">
          <w:rPr>
            <w:webHidden/>
          </w:rPr>
          <w:t>80</w:t>
        </w:r>
        <w:r w:rsidR="00344352">
          <w:rPr>
            <w:webHidden/>
          </w:rPr>
          <w:fldChar w:fldCharType="end"/>
        </w:r>
      </w:hyperlink>
    </w:p>
    <w:p w14:paraId="651C82F3" w14:textId="5596D4DD" w:rsidR="00344352" w:rsidRDefault="00096A20">
      <w:pPr>
        <w:pStyle w:val="TOC2"/>
        <w:rPr>
          <w:rFonts w:asciiTheme="minorHAnsi" w:eastAsiaTheme="minorEastAsia" w:hAnsiTheme="minorHAnsi" w:cstheme="minorBidi"/>
          <w:sz w:val="22"/>
          <w:szCs w:val="22"/>
        </w:rPr>
      </w:pPr>
      <w:hyperlink w:anchor="_Toc103174639" w:history="1">
        <w:r w:rsidR="00344352" w:rsidRPr="00B11C41">
          <w:rPr>
            <w:rStyle w:val="Hyperlink"/>
          </w:rPr>
          <w:t>ASIC’s proposals</w:t>
        </w:r>
        <w:r w:rsidR="00344352">
          <w:rPr>
            <w:webHidden/>
          </w:rPr>
          <w:tab/>
        </w:r>
        <w:r w:rsidR="00344352">
          <w:rPr>
            <w:webHidden/>
          </w:rPr>
          <w:fldChar w:fldCharType="begin"/>
        </w:r>
        <w:r w:rsidR="00344352">
          <w:rPr>
            <w:webHidden/>
          </w:rPr>
          <w:instrText xml:space="preserve"> PAGEREF _Toc103174639 \h </w:instrText>
        </w:r>
        <w:r w:rsidR="00344352">
          <w:rPr>
            <w:webHidden/>
          </w:rPr>
        </w:r>
        <w:r w:rsidR="00344352">
          <w:rPr>
            <w:webHidden/>
          </w:rPr>
          <w:fldChar w:fldCharType="separate"/>
        </w:r>
        <w:r w:rsidR="00344352">
          <w:rPr>
            <w:webHidden/>
          </w:rPr>
          <w:t>90</w:t>
        </w:r>
        <w:r w:rsidR="00344352">
          <w:rPr>
            <w:webHidden/>
          </w:rPr>
          <w:fldChar w:fldCharType="end"/>
        </w:r>
      </w:hyperlink>
    </w:p>
    <w:p w14:paraId="11D89A38" w14:textId="61F072BF" w:rsidR="00344352" w:rsidRDefault="00096A20">
      <w:pPr>
        <w:pStyle w:val="TOC1"/>
        <w:rPr>
          <w:rFonts w:asciiTheme="minorHAnsi" w:eastAsiaTheme="minorEastAsia" w:hAnsiTheme="minorHAnsi" w:cstheme="minorBidi"/>
          <w:b w:val="0"/>
          <w:sz w:val="22"/>
          <w:szCs w:val="22"/>
        </w:rPr>
      </w:pPr>
      <w:hyperlink w:anchor="_Toc103174640" w:history="1">
        <w:r w:rsidR="00344352" w:rsidRPr="00B11C41">
          <w:rPr>
            <w:rStyle w:val="Hyperlink"/>
          </w:rPr>
          <w:t>F</w:t>
        </w:r>
        <w:r w:rsidR="00344352">
          <w:rPr>
            <w:rFonts w:asciiTheme="minorHAnsi" w:eastAsiaTheme="minorEastAsia" w:hAnsiTheme="minorHAnsi" w:cstheme="minorBidi"/>
            <w:b w:val="0"/>
            <w:sz w:val="22"/>
            <w:szCs w:val="22"/>
          </w:rPr>
          <w:tab/>
        </w:r>
        <w:r w:rsidR="00344352" w:rsidRPr="00B11C41">
          <w:rPr>
            <w:rStyle w:val="Hyperlink"/>
          </w:rPr>
          <w:t>ISO 20022 messaging standard</w:t>
        </w:r>
        <w:r w:rsidR="00344352">
          <w:rPr>
            <w:webHidden/>
          </w:rPr>
          <w:tab/>
        </w:r>
        <w:r w:rsidR="00344352">
          <w:rPr>
            <w:webHidden/>
          </w:rPr>
          <w:fldChar w:fldCharType="begin"/>
        </w:r>
        <w:r w:rsidR="00344352">
          <w:rPr>
            <w:webHidden/>
          </w:rPr>
          <w:instrText xml:space="preserve"> PAGEREF _Toc103174640 \h </w:instrText>
        </w:r>
        <w:r w:rsidR="00344352">
          <w:rPr>
            <w:webHidden/>
          </w:rPr>
        </w:r>
        <w:r w:rsidR="00344352">
          <w:rPr>
            <w:webHidden/>
          </w:rPr>
          <w:fldChar w:fldCharType="separate"/>
        </w:r>
        <w:r w:rsidR="00344352">
          <w:rPr>
            <w:webHidden/>
          </w:rPr>
          <w:t>154</w:t>
        </w:r>
        <w:r w:rsidR="00344352">
          <w:rPr>
            <w:webHidden/>
          </w:rPr>
          <w:fldChar w:fldCharType="end"/>
        </w:r>
      </w:hyperlink>
    </w:p>
    <w:p w14:paraId="3DA10613" w14:textId="56B991F9" w:rsidR="00344352" w:rsidRDefault="00096A20">
      <w:pPr>
        <w:pStyle w:val="TOC2"/>
        <w:rPr>
          <w:rFonts w:asciiTheme="minorHAnsi" w:eastAsiaTheme="minorEastAsia" w:hAnsiTheme="minorHAnsi" w:cstheme="minorBidi"/>
          <w:sz w:val="22"/>
          <w:szCs w:val="22"/>
        </w:rPr>
      </w:pPr>
      <w:hyperlink w:anchor="_Toc103174641"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_Toc103174641 \h </w:instrText>
        </w:r>
        <w:r w:rsidR="00344352">
          <w:rPr>
            <w:webHidden/>
          </w:rPr>
        </w:r>
        <w:r w:rsidR="00344352">
          <w:rPr>
            <w:webHidden/>
          </w:rPr>
          <w:fldChar w:fldCharType="separate"/>
        </w:r>
        <w:r w:rsidR="00344352">
          <w:rPr>
            <w:webHidden/>
          </w:rPr>
          <w:t>154</w:t>
        </w:r>
        <w:r w:rsidR="00344352">
          <w:rPr>
            <w:webHidden/>
          </w:rPr>
          <w:fldChar w:fldCharType="end"/>
        </w:r>
      </w:hyperlink>
    </w:p>
    <w:p w14:paraId="6572D56D" w14:textId="3A364E81" w:rsidR="00344352" w:rsidRDefault="00096A20">
      <w:pPr>
        <w:pStyle w:val="TOC2"/>
        <w:rPr>
          <w:rFonts w:asciiTheme="minorHAnsi" w:eastAsiaTheme="minorEastAsia" w:hAnsiTheme="minorHAnsi" w:cstheme="minorBidi"/>
          <w:sz w:val="22"/>
          <w:szCs w:val="22"/>
        </w:rPr>
      </w:pPr>
      <w:hyperlink w:anchor="_Toc103174642" w:history="1">
        <w:r w:rsidR="00344352" w:rsidRPr="00B11C41">
          <w:rPr>
            <w:rStyle w:val="Hyperlink"/>
          </w:rPr>
          <w:t>Developments since the release of CP 334</w:t>
        </w:r>
        <w:r w:rsidR="00344352">
          <w:rPr>
            <w:webHidden/>
          </w:rPr>
          <w:tab/>
        </w:r>
        <w:r w:rsidR="00344352">
          <w:rPr>
            <w:webHidden/>
          </w:rPr>
          <w:fldChar w:fldCharType="begin"/>
        </w:r>
        <w:r w:rsidR="00344352">
          <w:rPr>
            <w:webHidden/>
          </w:rPr>
          <w:instrText xml:space="preserve"> PAGEREF _Toc103174642 \h </w:instrText>
        </w:r>
        <w:r w:rsidR="00344352">
          <w:rPr>
            <w:webHidden/>
          </w:rPr>
        </w:r>
        <w:r w:rsidR="00344352">
          <w:rPr>
            <w:webHidden/>
          </w:rPr>
          <w:fldChar w:fldCharType="separate"/>
        </w:r>
        <w:r w:rsidR="00344352">
          <w:rPr>
            <w:webHidden/>
          </w:rPr>
          <w:t>155</w:t>
        </w:r>
        <w:r w:rsidR="00344352">
          <w:rPr>
            <w:webHidden/>
          </w:rPr>
          <w:fldChar w:fldCharType="end"/>
        </w:r>
      </w:hyperlink>
    </w:p>
    <w:p w14:paraId="01729E3A" w14:textId="1E1587CE" w:rsidR="00344352" w:rsidRDefault="00096A20">
      <w:pPr>
        <w:pStyle w:val="TOC2"/>
        <w:rPr>
          <w:rFonts w:asciiTheme="minorHAnsi" w:eastAsiaTheme="minorEastAsia" w:hAnsiTheme="minorHAnsi" w:cstheme="minorBidi"/>
          <w:sz w:val="22"/>
          <w:szCs w:val="22"/>
        </w:rPr>
      </w:pPr>
      <w:hyperlink w:anchor="_Toc103174643" w:history="1">
        <w:r w:rsidR="00344352" w:rsidRPr="00B11C41">
          <w:rPr>
            <w:rStyle w:val="Hyperlink"/>
          </w:rPr>
          <w:t>ASIC’s proposed approach in CP 334</w:t>
        </w:r>
        <w:r w:rsidR="00344352">
          <w:rPr>
            <w:webHidden/>
          </w:rPr>
          <w:tab/>
        </w:r>
        <w:r w:rsidR="00344352">
          <w:rPr>
            <w:webHidden/>
          </w:rPr>
          <w:fldChar w:fldCharType="begin"/>
        </w:r>
        <w:r w:rsidR="00344352">
          <w:rPr>
            <w:webHidden/>
          </w:rPr>
          <w:instrText xml:space="preserve"> PAGEREF _Toc103174643 \h </w:instrText>
        </w:r>
        <w:r w:rsidR="00344352">
          <w:rPr>
            <w:webHidden/>
          </w:rPr>
        </w:r>
        <w:r w:rsidR="00344352">
          <w:rPr>
            <w:webHidden/>
          </w:rPr>
          <w:fldChar w:fldCharType="separate"/>
        </w:r>
        <w:r w:rsidR="00344352">
          <w:rPr>
            <w:webHidden/>
          </w:rPr>
          <w:t>156</w:t>
        </w:r>
        <w:r w:rsidR="00344352">
          <w:rPr>
            <w:webHidden/>
          </w:rPr>
          <w:fldChar w:fldCharType="end"/>
        </w:r>
      </w:hyperlink>
    </w:p>
    <w:p w14:paraId="252CD291" w14:textId="72701A1F" w:rsidR="00344352" w:rsidRDefault="00096A20">
      <w:pPr>
        <w:pStyle w:val="TOC2"/>
        <w:rPr>
          <w:rFonts w:asciiTheme="minorHAnsi" w:eastAsiaTheme="minorEastAsia" w:hAnsiTheme="minorHAnsi" w:cstheme="minorBidi"/>
          <w:sz w:val="22"/>
          <w:szCs w:val="22"/>
        </w:rPr>
      </w:pPr>
      <w:hyperlink w:anchor="_Toc103174644" w:history="1">
        <w:r w:rsidR="00344352" w:rsidRPr="00B11C41">
          <w:rPr>
            <w:rStyle w:val="Hyperlink"/>
          </w:rPr>
          <w:t>Feedback on ISO 20022 in CP 334</w:t>
        </w:r>
        <w:r w:rsidR="00344352">
          <w:rPr>
            <w:webHidden/>
          </w:rPr>
          <w:tab/>
        </w:r>
        <w:r w:rsidR="00344352">
          <w:rPr>
            <w:webHidden/>
          </w:rPr>
          <w:fldChar w:fldCharType="begin"/>
        </w:r>
        <w:r w:rsidR="00344352">
          <w:rPr>
            <w:webHidden/>
          </w:rPr>
          <w:instrText xml:space="preserve"> PAGEREF _Toc103174644 \h </w:instrText>
        </w:r>
        <w:r w:rsidR="00344352">
          <w:rPr>
            <w:webHidden/>
          </w:rPr>
        </w:r>
        <w:r w:rsidR="00344352">
          <w:rPr>
            <w:webHidden/>
          </w:rPr>
          <w:fldChar w:fldCharType="separate"/>
        </w:r>
        <w:r w:rsidR="00344352">
          <w:rPr>
            <w:webHidden/>
          </w:rPr>
          <w:t>156</w:t>
        </w:r>
        <w:r w:rsidR="00344352">
          <w:rPr>
            <w:webHidden/>
          </w:rPr>
          <w:fldChar w:fldCharType="end"/>
        </w:r>
      </w:hyperlink>
    </w:p>
    <w:p w14:paraId="4396C0B2" w14:textId="6DB04F21" w:rsidR="00344352" w:rsidRDefault="00096A20">
      <w:pPr>
        <w:pStyle w:val="TOC2"/>
        <w:rPr>
          <w:rFonts w:asciiTheme="minorHAnsi" w:eastAsiaTheme="minorEastAsia" w:hAnsiTheme="minorHAnsi" w:cstheme="minorBidi"/>
          <w:sz w:val="22"/>
          <w:szCs w:val="22"/>
        </w:rPr>
      </w:pPr>
      <w:hyperlink w:anchor="_Toc103174645" w:history="1">
        <w:r w:rsidR="00344352" w:rsidRPr="00B11C41">
          <w:rPr>
            <w:rStyle w:val="Hyperlink"/>
          </w:rPr>
          <w:t>ASIC’s proposals</w:t>
        </w:r>
        <w:r w:rsidR="00344352">
          <w:rPr>
            <w:webHidden/>
          </w:rPr>
          <w:tab/>
        </w:r>
        <w:r w:rsidR="00344352">
          <w:rPr>
            <w:webHidden/>
          </w:rPr>
          <w:fldChar w:fldCharType="begin"/>
        </w:r>
        <w:r w:rsidR="00344352">
          <w:rPr>
            <w:webHidden/>
          </w:rPr>
          <w:instrText xml:space="preserve"> PAGEREF _Toc103174645 \h </w:instrText>
        </w:r>
        <w:r w:rsidR="00344352">
          <w:rPr>
            <w:webHidden/>
          </w:rPr>
        </w:r>
        <w:r w:rsidR="00344352">
          <w:rPr>
            <w:webHidden/>
          </w:rPr>
          <w:fldChar w:fldCharType="separate"/>
        </w:r>
        <w:r w:rsidR="00344352">
          <w:rPr>
            <w:webHidden/>
          </w:rPr>
          <w:t>156</w:t>
        </w:r>
        <w:r w:rsidR="00344352">
          <w:rPr>
            <w:webHidden/>
          </w:rPr>
          <w:fldChar w:fldCharType="end"/>
        </w:r>
      </w:hyperlink>
    </w:p>
    <w:p w14:paraId="096B3E9A" w14:textId="39A72633" w:rsidR="00344352" w:rsidRDefault="00096A20">
      <w:pPr>
        <w:pStyle w:val="TOC1"/>
        <w:rPr>
          <w:rFonts w:asciiTheme="minorHAnsi" w:eastAsiaTheme="minorEastAsia" w:hAnsiTheme="minorHAnsi" w:cstheme="minorBidi"/>
          <w:b w:val="0"/>
          <w:sz w:val="22"/>
          <w:szCs w:val="22"/>
        </w:rPr>
      </w:pPr>
      <w:hyperlink w:anchor="_Toc103174646" w:history="1">
        <w:r w:rsidR="00344352" w:rsidRPr="00B11C41">
          <w:rPr>
            <w:rStyle w:val="Hyperlink"/>
          </w:rPr>
          <w:t>G</w:t>
        </w:r>
        <w:r w:rsidR="00344352">
          <w:rPr>
            <w:rFonts w:asciiTheme="minorHAnsi" w:eastAsiaTheme="minorEastAsia" w:hAnsiTheme="minorHAnsi" w:cstheme="minorBidi"/>
            <w:b w:val="0"/>
            <w:sz w:val="22"/>
            <w:szCs w:val="22"/>
          </w:rPr>
          <w:tab/>
        </w:r>
        <w:r w:rsidR="00344352" w:rsidRPr="00B11C41">
          <w:rPr>
            <w:rStyle w:val="Hyperlink"/>
          </w:rPr>
          <w:t>Scope of reportable transactions and reporting entities</w:t>
        </w:r>
        <w:r w:rsidR="00344352">
          <w:rPr>
            <w:webHidden/>
          </w:rPr>
          <w:tab/>
        </w:r>
        <w:r w:rsidR="00344352">
          <w:rPr>
            <w:webHidden/>
          </w:rPr>
          <w:fldChar w:fldCharType="begin"/>
        </w:r>
        <w:r w:rsidR="00344352">
          <w:rPr>
            <w:webHidden/>
          </w:rPr>
          <w:instrText xml:space="preserve"> PAGEREF _Toc103174646 \h </w:instrText>
        </w:r>
        <w:r w:rsidR="00344352">
          <w:rPr>
            <w:webHidden/>
          </w:rPr>
        </w:r>
        <w:r w:rsidR="00344352">
          <w:rPr>
            <w:webHidden/>
          </w:rPr>
          <w:fldChar w:fldCharType="separate"/>
        </w:r>
        <w:r w:rsidR="00344352">
          <w:rPr>
            <w:webHidden/>
          </w:rPr>
          <w:t>160</w:t>
        </w:r>
        <w:r w:rsidR="00344352">
          <w:rPr>
            <w:webHidden/>
          </w:rPr>
          <w:fldChar w:fldCharType="end"/>
        </w:r>
      </w:hyperlink>
    </w:p>
    <w:p w14:paraId="724D5224" w14:textId="5EE16C84" w:rsidR="00344352" w:rsidRDefault="00096A20">
      <w:pPr>
        <w:pStyle w:val="TOC2"/>
        <w:rPr>
          <w:rFonts w:asciiTheme="minorHAnsi" w:eastAsiaTheme="minorEastAsia" w:hAnsiTheme="minorHAnsi" w:cstheme="minorBidi"/>
          <w:sz w:val="22"/>
          <w:szCs w:val="22"/>
        </w:rPr>
      </w:pPr>
      <w:hyperlink w:anchor="_Toc103174647"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_Toc103174647 \h </w:instrText>
        </w:r>
        <w:r w:rsidR="00344352">
          <w:rPr>
            <w:webHidden/>
          </w:rPr>
        </w:r>
        <w:r w:rsidR="00344352">
          <w:rPr>
            <w:webHidden/>
          </w:rPr>
          <w:fldChar w:fldCharType="separate"/>
        </w:r>
        <w:r w:rsidR="00344352">
          <w:rPr>
            <w:webHidden/>
          </w:rPr>
          <w:t>160</w:t>
        </w:r>
        <w:r w:rsidR="00344352">
          <w:rPr>
            <w:webHidden/>
          </w:rPr>
          <w:fldChar w:fldCharType="end"/>
        </w:r>
      </w:hyperlink>
    </w:p>
    <w:p w14:paraId="1B5511C3" w14:textId="469057B6" w:rsidR="00344352" w:rsidRDefault="00096A20">
      <w:pPr>
        <w:pStyle w:val="TOC2"/>
        <w:rPr>
          <w:rFonts w:asciiTheme="minorHAnsi" w:eastAsiaTheme="minorEastAsia" w:hAnsiTheme="minorHAnsi" w:cstheme="minorBidi"/>
          <w:sz w:val="22"/>
          <w:szCs w:val="22"/>
        </w:rPr>
      </w:pPr>
      <w:hyperlink w:anchor="_Toc103174648" w:history="1">
        <w:r w:rsidR="00344352" w:rsidRPr="00B11C41">
          <w:rPr>
            <w:rStyle w:val="Hyperlink"/>
          </w:rPr>
          <w:t>ASIC’s proposed approach to the scope of reportable transactions and reporting entities in CP 334</w:t>
        </w:r>
        <w:r w:rsidR="00344352">
          <w:rPr>
            <w:webHidden/>
          </w:rPr>
          <w:tab/>
        </w:r>
        <w:r w:rsidR="00344352">
          <w:rPr>
            <w:webHidden/>
          </w:rPr>
          <w:fldChar w:fldCharType="begin"/>
        </w:r>
        <w:r w:rsidR="00344352">
          <w:rPr>
            <w:webHidden/>
          </w:rPr>
          <w:instrText xml:space="preserve"> PAGEREF _Toc103174648 \h </w:instrText>
        </w:r>
        <w:r w:rsidR="00344352">
          <w:rPr>
            <w:webHidden/>
          </w:rPr>
        </w:r>
        <w:r w:rsidR="00344352">
          <w:rPr>
            <w:webHidden/>
          </w:rPr>
          <w:fldChar w:fldCharType="separate"/>
        </w:r>
        <w:r w:rsidR="00344352">
          <w:rPr>
            <w:webHidden/>
          </w:rPr>
          <w:t>163</w:t>
        </w:r>
        <w:r w:rsidR="00344352">
          <w:rPr>
            <w:webHidden/>
          </w:rPr>
          <w:fldChar w:fldCharType="end"/>
        </w:r>
      </w:hyperlink>
    </w:p>
    <w:p w14:paraId="299721DC" w14:textId="5AF8E9E9" w:rsidR="00344352" w:rsidRDefault="00096A20">
      <w:pPr>
        <w:pStyle w:val="TOC2"/>
        <w:rPr>
          <w:rFonts w:asciiTheme="minorHAnsi" w:eastAsiaTheme="minorEastAsia" w:hAnsiTheme="minorHAnsi" w:cstheme="minorBidi"/>
          <w:sz w:val="22"/>
          <w:szCs w:val="22"/>
        </w:rPr>
      </w:pPr>
      <w:hyperlink w:anchor="_Toc103174649" w:history="1">
        <w:r w:rsidR="00344352" w:rsidRPr="00B11C41">
          <w:rPr>
            <w:rStyle w:val="Hyperlink"/>
          </w:rPr>
          <w:t>Feedback on our proposed approach in CP 334</w:t>
        </w:r>
        <w:r w:rsidR="00344352">
          <w:rPr>
            <w:webHidden/>
          </w:rPr>
          <w:tab/>
        </w:r>
        <w:r w:rsidR="00344352">
          <w:rPr>
            <w:webHidden/>
          </w:rPr>
          <w:fldChar w:fldCharType="begin"/>
        </w:r>
        <w:r w:rsidR="00344352">
          <w:rPr>
            <w:webHidden/>
          </w:rPr>
          <w:instrText xml:space="preserve"> PAGEREF _Toc103174649 \h </w:instrText>
        </w:r>
        <w:r w:rsidR="00344352">
          <w:rPr>
            <w:webHidden/>
          </w:rPr>
        </w:r>
        <w:r w:rsidR="00344352">
          <w:rPr>
            <w:webHidden/>
          </w:rPr>
          <w:fldChar w:fldCharType="separate"/>
        </w:r>
        <w:r w:rsidR="00344352">
          <w:rPr>
            <w:webHidden/>
          </w:rPr>
          <w:t>163</w:t>
        </w:r>
        <w:r w:rsidR="00344352">
          <w:rPr>
            <w:webHidden/>
          </w:rPr>
          <w:fldChar w:fldCharType="end"/>
        </w:r>
      </w:hyperlink>
    </w:p>
    <w:p w14:paraId="25FABB5B" w14:textId="79D3E3FD" w:rsidR="00344352" w:rsidRDefault="00096A20">
      <w:pPr>
        <w:pStyle w:val="TOC1"/>
        <w:rPr>
          <w:rFonts w:asciiTheme="minorHAnsi" w:eastAsiaTheme="minorEastAsia" w:hAnsiTheme="minorHAnsi" w:cstheme="minorBidi"/>
          <w:b w:val="0"/>
          <w:sz w:val="22"/>
          <w:szCs w:val="22"/>
        </w:rPr>
      </w:pPr>
      <w:hyperlink w:anchor="_Toc103174650" w:history="1">
        <w:r w:rsidR="00344352" w:rsidRPr="00B11C41">
          <w:rPr>
            <w:rStyle w:val="Hyperlink"/>
          </w:rPr>
          <w:t>H</w:t>
        </w:r>
        <w:r w:rsidR="00344352">
          <w:rPr>
            <w:rFonts w:asciiTheme="minorHAnsi" w:eastAsiaTheme="minorEastAsia" w:hAnsiTheme="minorHAnsi" w:cstheme="minorBidi"/>
            <w:b w:val="0"/>
            <w:sz w:val="22"/>
            <w:szCs w:val="22"/>
          </w:rPr>
          <w:tab/>
        </w:r>
        <w:r w:rsidR="00344352" w:rsidRPr="00B11C41">
          <w:rPr>
            <w:rStyle w:val="Hyperlink"/>
          </w:rPr>
          <w:t>Alternative reporting and delegated reporting</w:t>
        </w:r>
        <w:r w:rsidR="00344352">
          <w:rPr>
            <w:webHidden/>
          </w:rPr>
          <w:tab/>
        </w:r>
        <w:r w:rsidR="00344352">
          <w:rPr>
            <w:webHidden/>
          </w:rPr>
          <w:fldChar w:fldCharType="begin"/>
        </w:r>
        <w:r w:rsidR="00344352">
          <w:rPr>
            <w:webHidden/>
          </w:rPr>
          <w:instrText xml:space="preserve"> PAGEREF _Toc103174650 \h </w:instrText>
        </w:r>
        <w:r w:rsidR="00344352">
          <w:rPr>
            <w:webHidden/>
          </w:rPr>
        </w:r>
        <w:r w:rsidR="00344352">
          <w:rPr>
            <w:webHidden/>
          </w:rPr>
          <w:fldChar w:fldCharType="separate"/>
        </w:r>
        <w:r w:rsidR="00344352">
          <w:rPr>
            <w:webHidden/>
          </w:rPr>
          <w:t>171</w:t>
        </w:r>
        <w:r w:rsidR="00344352">
          <w:rPr>
            <w:webHidden/>
          </w:rPr>
          <w:fldChar w:fldCharType="end"/>
        </w:r>
      </w:hyperlink>
    </w:p>
    <w:p w14:paraId="1EF26202" w14:textId="64B75C18" w:rsidR="00344352" w:rsidRDefault="00096A20">
      <w:pPr>
        <w:pStyle w:val="TOC2"/>
        <w:rPr>
          <w:rFonts w:asciiTheme="minorHAnsi" w:eastAsiaTheme="minorEastAsia" w:hAnsiTheme="minorHAnsi" w:cstheme="minorBidi"/>
          <w:sz w:val="22"/>
          <w:szCs w:val="22"/>
        </w:rPr>
      </w:pPr>
      <w:hyperlink w:anchor="_Toc103174651"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_Toc103174651 \h </w:instrText>
        </w:r>
        <w:r w:rsidR="00344352">
          <w:rPr>
            <w:webHidden/>
          </w:rPr>
        </w:r>
        <w:r w:rsidR="00344352">
          <w:rPr>
            <w:webHidden/>
          </w:rPr>
          <w:fldChar w:fldCharType="separate"/>
        </w:r>
        <w:r w:rsidR="00344352">
          <w:rPr>
            <w:webHidden/>
          </w:rPr>
          <w:t>171</w:t>
        </w:r>
        <w:r w:rsidR="00344352">
          <w:rPr>
            <w:webHidden/>
          </w:rPr>
          <w:fldChar w:fldCharType="end"/>
        </w:r>
      </w:hyperlink>
    </w:p>
    <w:p w14:paraId="53A6B94C" w14:textId="0DB80998" w:rsidR="00344352" w:rsidRDefault="00096A20">
      <w:pPr>
        <w:pStyle w:val="TOC2"/>
        <w:rPr>
          <w:rFonts w:asciiTheme="minorHAnsi" w:eastAsiaTheme="minorEastAsia" w:hAnsiTheme="minorHAnsi" w:cstheme="minorBidi"/>
          <w:sz w:val="22"/>
          <w:szCs w:val="22"/>
        </w:rPr>
      </w:pPr>
      <w:hyperlink w:anchor="_Toc103174652" w:history="1">
        <w:r w:rsidR="00344352" w:rsidRPr="00B11C41">
          <w:rPr>
            <w:rStyle w:val="Hyperlink"/>
          </w:rPr>
          <w:t>ASIC’s discussion of alternative reporting and delegated reporting in CP 334</w:t>
        </w:r>
        <w:r w:rsidR="00344352">
          <w:rPr>
            <w:webHidden/>
          </w:rPr>
          <w:tab/>
        </w:r>
        <w:r w:rsidR="00344352">
          <w:rPr>
            <w:webHidden/>
          </w:rPr>
          <w:fldChar w:fldCharType="begin"/>
        </w:r>
        <w:r w:rsidR="00344352">
          <w:rPr>
            <w:webHidden/>
          </w:rPr>
          <w:instrText xml:space="preserve"> PAGEREF _Toc103174652 \h </w:instrText>
        </w:r>
        <w:r w:rsidR="00344352">
          <w:rPr>
            <w:webHidden/>
          </w:rPr>
        </w:r>
        <w:r w:rsidR="00344352">
          <w:rPr>
            <w:webHidden/>
          </w:rPr>
          <w:fldChar w:fldCharType="separate"/>
        </w:r>
        <w:r w:rsidR="00344352">
          <w:rPr>
            <w:webHidden/>
          </w:rPr>
          <w:t>172</w:t>
        </w:r>
        <w:r w:rsidR="00344352">
          <w:rPr>
            <w:webHidden/>
          </w:rPr>
          <w:fldChar w:fldCharType="end"/>
        </w:r>
      </w:hyperlink>
    </w:p>
    <w:p w14:paraId="3E1F78E5" w14:textId="615499A3" w:rsidR="00344352" w:rsidRDefault="00096A20">
      <w:pPr>
        <w:pStyle w:val="TOC2"/>
        <w:rPr>
          <w:rFonts w:asciiTheme="minorHAnsi" w:eastAsiaTheme="minorEastAsia" w:hAnsiTheme="minorHAnsi" w:cstheme="minorBidi"/>
          <w:sz w:val="22"/>
          <w:szCs w:val="22"/>
        </w:rPr>
      </w:pPr>
      <w:hyperlink w:anchor="_Toc103174653" w:history="1">
        <w:r w:rsidR="00344352" w:rsidRPr="00B11C41">
          <w:rPr>
            <w:rStyle w:val="Hyperlink"/>
          </w:rPr>
          <w:t>Feedback on our discussions in CP 334</w:t>
        </w:r>
        <w:r w:rsidR="00344352">
          <w:rPr>
            <w:webHidden/>
          </w:rPr>
          <w:tab/>
        </w:r>
        <w:r w:rsidR="00344352">
          <w:rPr>
            <w:webHidden/>
          </w:rPr>
          <w:fldChar w:fldCharType="begin"/>
        </w:r>
        <w:r w:rsidR="00344352">
          <w:rPr>
            <w:webHidden/>
          </w:rPr>
          <w:instrText xml:space="preserve"> PAGEREF _Toc103174653 \h </w:instrText>
        </w:r>
        <w:r w:rsidR="00344352">
          <w:rPr>
            <w:webHidden/>
          </w:rPr>
        </w:r>
        <w:r w:rsidR="00344352">
          <w:rPr>
            <w:webHidden/>
          </w:rPr>
          <w:fldChar w:fldCharType="separate"/>
        </w:r>
        <w:r w:rsidR="00344352">
          <w:rPr>
            <w:webHidden/>
          </w:rPr>
          <w:t>173</w:t>
        </w:r>
        <w:r w:rsidR="00344352">
          <w:rPr>
            <w:webHidden/>
          </w:rPr>
          <w:fldChar w:fldCharType="end"/>
        </w:r>
      </w:hyperlink>
    </w:p>
    <w:p w14:paraId="586DAC53" w14:textId="484BA515" w:rsidR="00344352" w:rsidRDefault="00096A20">
      <w:pPr>
        <w:pStyle w:val="TOC2"/>
        <w:rPr>
          <w:rFonts w:asciiTheme="minorHAnsi" w:eastAsiaTheme="minorEastAsia" w:hAnsiTheme="minorHAnsi" w:cstheme="minorBidi"/>
          <w:sz w:val="22"/>
          <w:szCs w:val="22"/>
        </w:rPr>
      </w:pPr>
      <w:hyperlink w:anchor="_Toc103174654" w:history="1">
        <w:r w:rsidR="00344352" w:rsidRPr="00B11C41">
          <w:rPr>
            <w:rStyle w:val="Hyperlink"/>
          </w:rPr>
          <w:t>ASIC’s proposals</w:t>
        </w:r>
        <w:r w:rsidR="00344352">
          <w:rPr>
            <w:webHidden/>
          </w:rPr>
          <w:tab/>
        </w:r>
        <w:r w:rsidR="00344352">
          <w:rPr>
            <w:webHidden/>
          </w:rPr>
          <w:fldChar w:fldCharType="begin"/>
        </w:r>
        <w:r w:rsidR="00344352">
          <w:rPr>
            <w:webHidden/>
          </w:rPr>
          <w:instrText xml:space="preserve"> PAGEREF _Toc103174654 \h </w:instrText>
        </w:r>
        <w:r w:rsidR="00344352">
          <w:rPr>
            <w:webHidden/>
          </w:rPr>
        </w:r>
        <w:r w:rsidR="00344352">
          <w:rPr>
            <w:webHidden/>
          </w:rPr>
          <w:fldChar w:fldCharType="separate"/>
        </w:r>
        <w:r w:rsidR="00344352">
          <w:rPr>
            <w:webHidden/>
          </w:rPr>
          <w:t>176</w:t>
        </w:r>
        <w:r w:rsidR="00344352">
          <w:rPr>
            <w:webHidden/>
          </w:rPr>
          <w:fldChar w:fldCharType="end"/>
        </w:r>
      </w:hyperlink>
    </w:p>
    <w:p w14:paraId="0278E2C5" w14:textId="68F6D837" w:rsidR="00344352" w:rsidRDefault="00096A20">
      <w:pPr>
        <w:pStyle w:val="TOC1"/>
        <w:rPr>
          <w:rFonts w:asciiTheme="minorHAnsi" w:eastAsiaTheme="minorEastAsia" w:hAnsiTheme="minorHAnsi" w:cstheme="minorBidi"/>
          <w:b w:val="0"/>
          <w:sz w:val="22"/>
          <w:szCs w:val="22"/>
        </w:rPr>
      </w:pPr>
      <w:hyperlink w:anchor="_Toc103174655" w:history="1">
        <w:r w:rsidR="00344352" w:rsidRPr="00B11C41">
          <w:rPr>
            <w:rStyle w:val="Hyperlink"/>
          </w:rPr>
          <w:t>I</w:t>
        </w:r>
        <w:r w:rsidR="00344352">
          <w:rPr>
            <w:rFonts w:asciiTheme="minorHAnsi" w:eastAsiaTheme="minorEastAsia" w:hAnsiTheme="minorHAnsi" w:cstheme="minorBidi"/>
            <w:b w:val="0"/>
            <w:sz w:val="22"/>
            <w:szCs w:val="22"/>
          </w:rPr>
          <w:tab/>
        </w:r>
        <w:r w:rsidR="00344352" w:rsidRPr="00B11C41">
          <w:rPr>
            <w:rStyle w:val="Hyperlink"/>
          </w:rPr>
          <w:t>Reporting requirements</w:t>
        </w:r>
        <w:r w:rsidR="00344352">
          <w:rPr>
            <w:webHidden/>
          </w:rPr>
          <w:tab/>
        </w:r>
        <w:r w:rsidR="00344352">
          <w:rPr>
            <w:webHidden/>
          </w:rPr>
          <w:fldChar w:fldCharType="begin"/>
        </w:r>
        <w:r w:rsidR="00344352">
          <w:rPr>
            <w:webHidden/>
          </w:rPr>
          <w:instrText xml:space="preserve"> PAGEREF _Toc103174655 \h </w:instrText>
        </w:r>
        <w:r w:rsidR="00344352">
          <w:rPr>
            <w:webHidden/>
          </w:rPr>
        </w:r>
        <w:r w:rsidR="00344352">
          <w:rPr>
            <w:webHidden/>
          </w:rPr>
          <w:fldChar w:fldCharType="separate"/>
        </w:r>
        <w:r w:rsidR="00344352">
          <w:rPr>
            <w:webHidden/>
          </w:rPr>
          <w:t>181</w:t>
        </w:r>
        <w:r w:rsidR="00344352">
          <w:rPr>
            <w:webHidden/>
          </w:rPr>
          <w:fldChar w:fldCharType="end"/>
        </w:r>
      </w:hyperlink>
    </w:p>
    <w:p w14:paraId="72A04148" w14:textId="231DE6DF" w:rsidR="00344352" w:rsidRDefault="00096A20">
      <w:pPr>
        <w:pStyle w:val="TOC2"/>
        <w:rPr>
          <w:rFonts w:asciiTheme="minorHAnsi" w:eastAsiaTheme="minorEastAsia" w:hAnsiTheme="minorHAnsi" w:cstheme="minorBidi"/>
          <w:sz w:val="22"/>
          <w:szCs w:val="22"/>
        </w:rPr>
      </w:pPr>
      <w:hyperlink w:anchor="_Toc103174656" w:history="1">
        <w:r w:rsidR="00344352" w:rsidRPr="00B11C41">
          <w:rPr>
            <w:rStyle w:val="Hyperlink"/>
          </w:rPr>
          <w:t>Background</w:t>
        </w:r>
        <w:r w:rsidR="00344352">
          <w:rPr>
            <w:webHidden/>
          </w:rPr>
          <w:tab/>
        </w:r>
        <w:r w:rsidR="00344352">
          <w:rPr>
            <w:webHidden/>
          </w:rPr>
          <w:fldChar w:fldCharType="begin"/>
        </w:r>
        <w:r w:rsidR="00344352">
          <w:rPr>
            <w:webHidden/>
          </w:rPr>
          <w:instrText xml:space="preserve"> PAGEREF _Toc103174656 \h </w:instrText>
        </w:r>
        <w:r w:rsidR="00344352">
          <w:rPr>
            <w:webHidden/>
          </w:rPr>
        </w:r>
        <w:r w:rsidR="00344352">
          <w:rPr>
            <w:webHidden/>
          </w:rPr>
          <w:fldChar w:fldCharType="separate"/>
        </w:r>
        <w:r w:rsidR="00344352">
          <w:rPr>
            <w:webHidden/>
          </w:rPr>
          <w:t>181</w:t>
        </w:r>
        <w:r w:rsidR="00344352">
          <w:rPr>
            <w:webHidden/>
          </w:rPr>
          <w:fldChar w:fldCharType="end"/>
        </w:r>
      </w:hyperlink>
    </w:p>
    <w:p w14:paraId="08F55D53" w14:textId="43711F0B" w:rsidR="00344352" w:rsidRDefault="00096A20">
      <w:pPr>
        <w:pStyle w:val="TOC2"/>
        <w:rPr>
          <w:rFonts w:asciiTheme="minorHAnsi" w:eastAsiaTheme="minorEastAsia" w:hAnsiTheme="minorHAnsi" w:cstheme="minorBidi"/>
          <w:sz w:val="22"/>
          <w:szCs w:val="22"/>
        </w:rPr>
      </w:pPr>
      <w:hyperlink w:anchor="_Toc103174657" w:history="1">
        <w:r w:rsidR="00344352" w:rsidRPr="00B11C41">
          <w:rPr>
            <w:rStyle w:val="Hyperlink"/>
          </w:rPr>
          <w:t>ASIC’s proposed approach to reporting requirements in CP 334</w:t>
        </w:r>
        <w:r w:rsidR="00344352">
          <w:rPr>
            <w:webHidden/>
          </w:rPr>
          <w:tab/>
        </w:r>
        <w:r w:rsidR="00344352">
          <w:rPr>
            <w:webHidden/>
          </w:rPr>
          <w:fldChar w:fldCharType="begin"/>
        </w:r>
        <w:r w:rsidR="00344352">
          <w:rPr>
            <w:webHidden/>
          </w:rPr>
          <w:instrText xml:space="preserve"> PAGEREF _Toc103174657 \h </w:instrText>
        </w:r>
        <w:r w:rsidR="00344352">
          <w:rPr>
            <w:webHidden/>
          </w:rPr>
        </w:r>
        <w:r w:rsidR="00344352">
          <w:rPr>
            <w:webHidden/>
          </w:rPr>
          <w:fldChar w:fldCharType="separate"/>
        </w:r>
        <w:r w:rsidR="00344352">
          <w:rPr>
            <w:webHidden/>
          </w:rPr>
          <w:t>182</w:t>
        </w:r>
        <w:r w:rsidR="00344352">
          <w:rPr>
            <w:webHidden/>
          </w:rPr>
          <w:fldChar w:fldCharType="end"/>
        </w:r>
      </w:hyperlink>
    </w:p>
    <w:p w14:paraId="4809EE6D" w14:textId="3D6E1870" w:rsidR="00344352" w:rsidRDefault="00096A20">
      <w:pPr>
        <w:pStyle w:val="TOC2"/>
        <w:rPr>
          <w:rFonts w:asciiTheme="minorHAnsi" w:eastAsiaTheme="minorEastAsia" w:hAnsiTheme="minorHAnsi" w:cstheme="minorBidi"/>
          <w:sz w:val="22"/>
          <w:szCs w:val="22"/>
        </w:rPr>
      </w:pPr>
      <w:hyperlink w:anchor="_Toc103174658" w:history="1">
        <w:r w:rsidR="00344352" w:rsidRPr="00B11C41">
          <w:rPr>
            <w:rStyle w:val="Hyperlink"/>
          </w:rPr>
          <w:t>Feedback on our proposed approaches in CP 334</w:t>
        </w:r>
        <w:r w:rsidR="00344352">
          <w:rPr>
            <w:webHidden/>
          </w:rPr>
          <w:tab/>
        </w:r>
        <w:r w:rsidR="00344352">
          <w:rPr>
            <w:webHidden/>
          </w:rPr>
          <w:fldChar w:fldCharType="begin"/>
        </w:r>
        <w:r w:rsidR="00344352">
          <w:rPr>
            <w:webHidden/>
          </w:rPr>
          <w:instrText xml:space="preserve"> PAGEREF _Toc103174658 \h </w:instrText>
        </w:r>
        <w:r w:rsidR="00344352">
          <w:rPr>
            <w:webHidden/>
          </w:rPr>
        </w:r>
        <w:r w:rsidR="00344352">
          <w:rPr>
            <w:webHidden/>
          </w:rPr>
          <w:fldChar w:fldCharType="separate"/>
        </w:r>
        <w:r w:rsidR="00344352">
          <w:rPr>
            <w:webHidden/>
          </w:rPr>
          <w:t>184</w:t>
        </w:r>
        <w:r w:rsidR="00344352">
          <w:rPr>
            <w:webHidden/>
          </w:rPr>
          <w:fldChar w:fldCharType="end"/>
        </w:r>
      </w:hyperlink>
    </w:p>
    <w:p w14:paraId="400CAB0E" w14:textId="36AE2634" w:rsidR="00344352" w:rsidRDefault="00096A20">
      <w:pPr>
        <w:pStyle w:val="TOC2"/>
        <w:rPr>
          <w:rFonts w:asciiTheme="minorHAnsi" w:eastAsiaTheme="minorEastAsia" w:hAnsiTheme="minorHAnsi" w:cstheme="minorBidi"/>
          <w:sz w:val="22"/>
          <w:szCs w:val="22"/>
        </w:rPr>
      </w:pPr>
      <w:hyperlink w:anchor="_Toc103174659" w:history="1">
        <w:r w:rsidR="00344352" w:rsidRPr="00B11C41">
          <w:rPr>
            <w:rStyle w:val="Hyperlink"/>
          </w:rPr>
          <w:t>ASIC’s further proposals</w:t>
        </w:r>
        <w:r w:rsidR="00344352">
          <w:rPr>
            <w:webHidden/>
          </w:rPr>
          <w:tab/>
        </w:r>
        <w:r w:rsidR="00344352">
          <w:rPr>
            <w:webHidden/>
          </w:rPr>
          <w:fldChar w:fldCharType="begin"/>
        </w:r>
        <w:r w:rsidR="00344352">
          <w:rPr>
            <w:webHidden/>
          </w:rPr>
          <w:instrText xml:space="preserve"> PAGEREF _Toc103174659 \h </w:instrText>
        </w:r>
        <w:r w:rsidR="00344352">
          <w:rPr>
            <w:webHidden/>
          </w:rPr>
        </w:r>
        <w:r w:rsidR="00344352">
          <w:rPr>
            <w:webHidden/>
          </w:rPr>
          <w:fldChar w:fldCharType="separate"/>
        </w:r>
        <w:r w:rsidR="00344352">
          <w:rPr>
            <w:webHidden/>
          </w:rPr>
          <w:t>186</w:t>
        </w:r>
        <w:r w:rsidR="00344352">
          <w:rPr>
            <w:webHidden/>
          </w:rPr>
          <w:fldChar w:fldCharType="end"/>
        </w:r>
      </w:hyperlink>
    </w:p>
    <w:p w14:paraId="410B21A9" w14:textId="2DDD59C7" w:rsidR="00344352" w:rsidRDefault="00096A20">
      <w:pPr>
        <w:pStyle w:val="TOC1"/>
        <w:rPr>
          <w:rFonts w:asciiTheme="minorHAnsi" w:eastAsiaTheme="minorEastAsia" w:hAnsiTheme="minorHAnsi" w:cstheme="minorBidi"/>
          <w:b w:val="0"/>
          <w:sz w:val="22"/>
          <w:szCs w:val="22"/>
        </w:rPr>
      </w:pPr>
      <w:hyperlink w:anchor="_Toc103174660" w:history="1">
        <w:r w:rsidR="00344352" w:rsidRPr="00B11C41">
          <w:rPr>
            <w:rStyle w:val="Hyperlink"/>
          </w:rPr>
          <w:t>J</w:t>
        </w:r>
        <w:r w:rsidR="00344352">
          <w:rPr>
            <w:rFonts w:asciiTheme="minorHAnsi" w:eastAsiaTheme="minorEastAsia" w:hAnsiTheme="minorHAnsi" w:cstheme="minorBidi"/>
            <w:b w:val="0"/>
            <w:sz w:val="22"/>
            <w:szCs w:val="22"/>
          </w:rPr>
          <w:tab/>
        </w:r>
        <w:r w:rsidR="00344352" w:rsidRPr="00B11C41">
          <w:rPr>
            <w:rStyle w:val="Hyperlink"/>
          </w:rPr>
          <w:t>Outstanding matters</w:t>
        </w:r>
        <w:r w:rsidR="00344352">
          <w:rPr>
            <w:webHidden/>
          </w:rPr>
          <w:tab/>
        </w:r>
        <w:r w:rsidR="00344352">
          <w:rPr>
            <w:webHidden/>
          </w:rPr>
          <w:fldChar w:fldCharType="begin"/>
        </w:r>
        <w:r w:rsidR="00344352">
          <w:rPr>
            <w:webHidden/>
          </w:rPr>
          <w:instrText xml:space="preserve"> PAGEREF _Toc103174660 \h </w:instrText>
        </w:r>
        <w:r w:rsidR="00344352">
          <w:rPr>
            <w:webHidden/>
          </w:rPr>
        </w:r>
        <w:r w:rsidR="00344352">
          <w:rPr>
            <w:webHidden/>
          </w:rPr>
          <w:fldChar w:fldCharType="separate"/>
        </w:r>
        <w:r w:rsidR="00344352">
          <w:rPr>
            <w:webHidden/>
          </w:rPr>
          <w:t>187</w:t>
        </w:r>
        <w:r w:rsidR="00344352">
          <w:rPr>
            <w:webHidden/>
          </w:rPr>
          <w:fldChar w:fldCharType="end"/>
        </w:r>
      </w:hyperlink>
    </w:p>
    <w:p w14:paraId="6317279C" w14:textId="1DCA28CA" w:rsidR="00344352" w:rsidRDefault="00096A20">
      <w:pPr>
        <w:pStyle w:val="TOC1"/>
        <w:rPr>
          <w:rFonts w:asciiTheme="minorHAnsi" w:eastAsiaTheme="minorEastAsia" w:hAnsiTheme="minorHAnsi" w:cstheme="minorBidi"/>
          <w:b w:val="0"/>
          <w:sz w:val="22"/>
          <w:szCs w:val="22"/>
        </w:rPr>
      </w:pPr>
      <w:hyperlink w:anchor="_Toc103174661" w:history="1">
        <w:r w:rsidR="00344352" w:rsidRPr="00B11C41">
          <w:rPr>
            <w:rStyle w:val="Hyperlink"/>
          </w:rPr>
          <w:t>K</w:t>
        </w:r>
        <w:r w:rsidR="00344352">
          <w:rPr>
            <w:rFonts w:asciiTheme="minorHAnsi" w:eastAsiaTheme="minorEastAsia" w:hAnsiTheme="minorHAnsi" w:cstheme="minorBidi"/>
            <w:b w:val="0"/>
            <w:sz w:val="22"/>
            <w:szCs w:val="22"/>
          </w:rPr>
          <w:tab/>
        </w:r>
        <w:r w:rsidR="00344352" w:rsidRPr="00B11C41">
          <w:rPr>
            <w:rStyle w:val="Hyperlink"/>
          </w:rPr>
          <w:t>Regulatory and financial impact</w:t>
        </w:r>
        <w:r w:rsidR="00344352">
          <w:rPr>
            <w:webHidden/>
          </w:rPr>
          <w:tab/>
        </w:r>
        <w:r w:rsidR="00344352">
          <w:rPr>
            <w:webHidden/>
          </w:rPr>
          <w:fldChar w:fldCharType="begin"/>
        </w:r>
        <w:r w:rsidR="00344352">
          <w:rPr>
            <w:webHidden/>
          </w:rPr>
          <w:instrText xml:space="preserve"> PAGEREF _Toc103174661 \h </w:instrText>
        </w:r>
        <w:r w:rsidR="00344352">
          <w:rPr>
            <w:webHidden/>
          </w:rPr>
        </w:r>
        <w:r w:rsidR="00344352">
          <w:rPr>
            <w:webHidden/>
          </w:rPr>
          <w:fldChar w:fldCharType="separate"/>
        </w:r>
        <w:r w:rsidR="00344352">
          <w:rPr>
            <w:webHidden/>
          </w:rPr>
          <w:t>188</w:t>
        </w:r>
        <w:r w:rsidR="00344352">
          <w:rPr>
            <w:webHidden/>
          </w:rPr>
          <w:fldChar w:fldCharType="end"/>
        </w:r>
      </w:hyperlink>
    </w:p>
    <w:p w14:paraId="0A577600" w14:textId="4F7807BE" w:rsidR="00344352" w:rsidRDefault="00096A20">
      <w:pPr>
        <w:pStyle w:val="TOC2"/>
        <w:rPr>
          <w:rFonts w:asciiTheme="minorHAnsi" w:eastAsiaTheme="minorEastAsia" w:hAnsiTheme="minorHAnsi" w:cstheme="minorBidi"/>
          <w:sz w:val="22"/>
          <w:szCs w:val="22"/>
        </w:rPr>
      </w:pPr>
      <w:hyperlink w:anchor="_Toc103174662" w:history="1">
        <w:r w:rsidR="00344352" w:rsidRPr="00B11C41">
          <w:rPr>
            <w:rStyle w:val="Hyperlink"/>
          </w:rPr>
          <w:t>ASIC’s estimates of the regulatory compliance burden of implementing the draft amended ASIC Rules</w:t>
        </w:r>
        <w:r w:rsidR="00344352">
          <w:rPr>
            <w:webHidden/>
          </w:rPr>
          <w:tab/>
        </w:r>
        <w:r w:rsidR="00344352">
          <w:rPr>
            <w:webHidden/>
          </w:rPr>
          <w:fldChar w:fldCharType="begin"/>
        </w:r>
        <w:r w:rsidR="00344352">
          <w:rPr>
            <w:webHidden/>
          </w:rPr>
          <w:instrText xml:space="preserve"> PAGEREF _Toc103174662 \h </w:instrText>
        </w:r>
        <w:r w:rsidR="00344352">
          <w:rPr>
            <w:webHidden/>
          </w:rPr>
        </w:r>
        <w:r w:rsidR="00344352">
          <w:rPr>
            <w:webHidden/>
          </w:rPr>
          <w:fldChar w:fldCharType="separate"/>
        </w:r>
        <w:r w:rsidR="00344352">
          <w:rPr>
            <w:webHidden/>
          </w:rPr>
          <w:t>189</w:t>
        </w:r>
        <w:r w:rsidR="00344352">
          <w:rPr>
            <w:webHidden/>
          </w:rPr>
          <w:fldChar w:fldCharType="end"/>
        </w:r>
      </w:hyperlink>
    </w:p>
    <w:p w14:paraId="585687CF" w14:textId="2EC20164" w:rsidR="00344352" w:rsidRDefault="00096A20">
      <w:pPr>
        <w:pStyle w:val="TOC1"/>
        <w:rPr>
          <w:rFonts w:asciiTheme="minorHAnsi" w:eastAsiaTheme="minorEastAsia" w:hAnsiTheme="minorHAnsi" w:cstheme="minorBidi"/>
          <w:b w:val="0"/>
          <w:sz w:val="22"/>
          <w:szCs w:val="22"/>
        </w:rPr>
      </w:pPr>
      <w:hyperlink w:anchor="_Toc103174663" w:history="1">
        <w:r w:rsidR="00344352" w:rsidRPr="00B11C41">
          <w:rPr>
            <w:rStyle w:val="Hyperlink"/>
          </w:rPr>
          <w:t>Appendix 1: Data elements by rules version</w:t>
        </w:r>
        <w:r w:rsidR="00344352">
          <w:rPr>
            <w:webHidden/>
          </w:rPr>
          <w:tab/>
        </w:r>
        <w:r w:rsidR="00344352">
          <w:rPr>
            <w:webHidden/>
          </w:rPr>
          <w:fldChar w:fldCharType="begin"/>
        </w:r>
        <w:r w:rsidR="00344352">
          <w:rPr>
            <w:webHidden/>
          </w:rPr>
          <w:instrText xml:space="preserve"> PAGEREF _Toc103174663 \h </w:instrText>
        </w:r>
        <w:r w:rsidR="00344352">
          <w:rPr>
            <w:webHidden/>
          </w:rPr>
        </w:r>
        <w:r w:rsidR="00344352">
          <w:rPr>
            <w:webHidden/>
          </w:rPr>
          <w:fldChar w:fldCharType="separate"/>
        </w:r>
        <w:r w:rsidR="00344352">
          <w:rPr>
            <w:webHidden/>
          </w:rPr>
          <w:t>209</w:t>
        </w:r>
        <w:r w:rsidR="00344352">
          <w:rPr>
            <w:webHidden/>
          </w:rPr>
          <w:fldChar w:fldCharType="end"/>
        </w:r>
      </w:hyperlink>
    </w:p>
    <w:p w14:paraId="0AA4F7AE" w14:textId="07C730B4" w:rsidR="00344352" w:rsidRDefault="00096A20">
      <w:pPr>
        <w:pStyle w:val="TOC1"/>
        <w:rPr>
          <w:rFonts w:asciiTheme="minorHAnsi" w:eastAsiaTheme="minorEastAsia" w:hAnsiTheme="minorHAnsi" w:cstheme="minorBidi"/>
          <w:b w:val="0"/>
          <w:sz w:val="22"/>
          <w:szCs w:val="22"/>
        </w:rPr>
      </w:pPr>
      <w:hyperlink w:anchor="_Toc103174664" w:history="1">
        <w:r w:rsidR="00344352" w:rsidRPr="00B11C41">
          <w:rPr>
            <w:rStyle w:val="Hyperlink"/>
          </w:rPr>
          <w:t>Key terms</w:t>
        </w:r>
        <w:r w:rsidR="00344352">
          <w:rPr>
            <w:webHidden/>
          </w:rPr>
          <w:tab/>
        </w:r>
        <w:r w:rsidR="00344352">
          <w:rPr>
            <w:webHidden/>
          </w:rPr>
          <w:fldChar w:fldCharType="begin"/>
        </w:r>
        <w:r w:rsidR="00344352">
          <w:rPr>
            <w:webHidden/>
          </w:rPr>
          <w:instrText xml:space="preserve"> PAGEREF _Toc103174664 \h </w:instrText>
        </w:r>
        <w:r w:rsidR="00344352">
          <w:rPr>
            <w:webHidden/>
          </w:rPr>
        </w:r>
        <w:r w:rsidR="00344352">
          <w:rPr>
            <w:webHidden/>
          </w:rPr>
          <w:fldChar w:fldCharType="separate"/>
        </w:r>
        <w:r w:rsidR="00344352">
          <w:rPr>
            <w:webHidden/>
          </w:rPr>
          <w:t>220</w:t>
        </w:r>
        <w:r w:rsidR="00344352">
          <w:rPr>
            <w:webHidden/>
          </w:rPr>
          <w:fldChar w:fldCharType="end"/>
        </w:r>
      </w:hyperlink>
    </w:p>
    <w:p w14:paraId="75BE7BC4" w14:textId="72582F17" w:rsidR="00344352" w:rsidRDefault="00096A20">
      <w:pPr>
        <w:pStyle w:val="TOC1"/>
        <w:rPr>
          <w:rFonts w:asciiTheme="minorHAnsi" w:eastAsiaTheme="minorEastAsia" w:hAnsiTheme="minorHAnsi" w:cstheme="minorBidi"/>
          <w:b w:val="0"/>
          <w:sz w:val="22"/>
          <w:szCs w:val="22"/>
        </w:rPr>
      </w:pPr>
      <w:hyperlink w:anchor="_Toc103174665" w:history="1">
        <w:r w:rsidR="00344352" w:rsidRPr="00B11C41">
          <w:rPr>
            <w:rStyle w:val="Hyperlink"/>
          </w:rPr>
          <w:t>List of proposals and questions</w:t>
        </w:r>
        <w:r w:rsidR="00344352">
          <w:rPr>
            <w:webHidden/>
          </w:rPr>
          <w:tab/>
        </w:r>
        <w:r w:rsidR="00344352">
          <w:rPr>
            <w:webHidden/>
          </w:rPr>
          <w:fldChar w:fldCharType="begin"/>
        </w:r>
        <w:r w:rsidR="00344352">
          <w:rPr>
            <w:webHidden/>
          </w:rPr>
          <w:instrText xml:space="preserve"> PAGEREF _Toc103174665 \h </w:instrText>
        </w:r>
        <w:r w:rsidR="00344352">
          <w:rPr>
            <w:webHidden/>
          </w:rPr>
        </w:r>
        <w:r w:rsidR="00344352">
          <w:rPr>
            <w:webHidden/>
          </w:rPr>
          <w:fldChar w:fldCharType="separate"/>
        </w:r>
        <w:r w:rsidR="00344352">
          <w:rPr>
            <w:webHidden/>
          </w:rPr>
          <w:t>224</w:t>
        </w:r>
        <w:r w:rsidR="00344352">
          <w:rPr>
            <w:webHidden/>
          </w:rPr>
          <w:fldChar w:fldCharType="end"/>
        </w:r>
      </w:hyperlink>
    </w:p>
    <w:p w14:paraId="2842A425" w14:textId="279EF8D4" w:rsidR="00FC511F" w:rsidRDefault="00FC511F" w:rsidP="00776DED">
      <w:pPr>
        <w:pStyle w:val="TOC1"/>
      </w:pPr>
      <w:r>
        <w:rPr>
          <w:rFonts w:ascii="HelveticaNeue LT 55 Roman" w:hAnsi="HelveticaNeue LT 55 Roman"/>
          <w:color w:val="000000" w:themeColor="text1"/>
        </w:rPr>
        <w:fldChar w:fldCharType="end"/>
      </w:r>
    </w:p>
    <w:p w14:paraId="1F9FF83C" w14:textId="77777777" w:rsidR="00FC511F" w:rsidRDefault="00FC511F" w:rsidP="00414BEA">
      <w:pPr>
        <w:pStyle w:val="Heading1nonumber"/>
      </w:pPr>
      <w:bookmarkStart w:id="1" w:name="_Toc153171472"/>
      <w:bookmarkStart w:id="2" w:name="_Toc158520462"/>
      <w:bookmarkStart w:id="3" w:name="_Toc164436789"/>
      <w:bookmarkStart w:id="4" w:name="_Toc103174616"/>
      <w:r>
        <w:t>The consultation process</w:t>
      </w:r>
      <w:bookmarkEnd w:id="1"/>
      <w:bookmarkEnd w:id="2"/>
      <w:bookmarkEnd w:id="3"/>
      <w:bookmarkEnd w:id="4"/>
    </w:p>
    <w:p w14:paraId="5702D2A3" w14:textId="23277E93" w:rsidR="00FC511F" w:rsidRDefault="00FC511F">
      <w:pPr>
        <w:pStyle w:val="Fronttext"/>
      </w:pPr>
      <w:bookmarkStart w:id="5" w:name="ConsultationProcess"/>
      <w:bookmarkEnd w:id="5"/>
      <w:r>
        <w:t>You are invited to comment on the proposals in this paper, which are only an indication of the approach we may take and are not our final policy.</w:t>
      </w:r>
    </w:p>
    <w:p w14:paraId="2257A3F0" w14:textId="77777777" w:rsidR="00FC511F" w:rsidRDefault="00FC511F">
      <w:pPr>
        <w:pStyle w:val="Fronttext"/>
      </w:pPr>
      <w:r>
        <w:t>As well as responding to the specific proposals and questions, we also ask you to describe any alternative approaches you think would achieve our objectives.</w:t>
      </w:r>
    </w:p>
    <w:p w14:paraId="1738F72C" w14:textId="77777777" w:rsidR="00FC511F" w:rsidRDefault="00FC511F">
      <w:pPr>
        <w:pStyle w:val="Fronttext"/>
      </w:pPr>
      <w:r>
        <w:t>We are keen to fully understand and assess the financial and other impacts of our proposals and any alternative approaches. Therefore, we ask you to comment on:</w:t>
      </w:r>
    </w:p>
    <w:p w14:paraId="7F6F034F" w14:textId="77777777" w:rsidR="00FC511F" w:rsidRDefault="00FC511F" w:rsidP="00FC511F">
      <w:pPr>
        <w:pStyle w:val="Frontbullet"/>
      </w:pPr>
      <w:r>
        <w:t xml:space="preserve">the likely compliance costs; </w:t>
      </w:r>
    </w:p>
    <w:p w14:paraId="60DEF3F8" w14:textId="77777777" w:rsidR="00FC511F" w:rsidRDefault="00FC511F" w:rsidP="00FC511F">
      <w:pPr>
        <w:pStyle w:val="Frontbullet"/>
      </w:pPr>
      <w:r>
        <w:t>the likely effect on competition; and</w:t>
      </w:r>
    </w:p>
    <w:p w14:paraId="64425E1D" w14:textId="77777777" w:rsidR="00FC511F" w:rsidRDefault="00FC511F" w:rsidP="00FC511F">
      <w:pPr>
        <w:pStyle w:val="Frontbullet"/>
      </w:pPr>
      <w:r>
        <w:t>other impacts, costs and benefits.</w:t>
      </w:r>
    </w:p>
    <w:p w14:paraId="61216363" w14:textId="77777777" w:rsidR="00FC511F" w:rsidRDefault="00FC511F" w:rsidP="00414BEA">
      <w:pPr>
        <w:pStyle w:val="Frontbullet"/>
        <w:numPr>
          <w:ilvl w:val="0"/>
          <w:numId w:val="0"/>
        </w:numPr>
        <w:ind w:left="2268"/>
      </w:pPr>
      <w:r>
        <w:t>Where possible, we are seeking both quantitative and qualitative information. We are also keen to hear from you on any other issues you consider important.</w:t>
      </w:r>
    </w:p>
    <w:p w14:paraId="58EEB989" w14:textId="09AE4E65" w:rsidR="00FC511F" w:rsidRDefault="00FC511F">
      <w:pPr>
        <w:pStyle w:val="Fronttext"/>
      </w:pPr>
      <w:r>
        <w:t xml:space="preserve">Your comments will help us develop our policy on </w:t>
      </w:r>
      <w:r w:rsidR="008A751C">
        <w:t>over-the-counter (</w:t>
      </w:r>
      <w:r w:rsidR="008745E4">
        <w:t>OTC</w:t>
      </w:r>
      <w:r w:rsidR="008A751C">
        <w:t>)</w:t>
      </w:r>
      <w:r w:rsidR="008745E4">
        <w:t xml:space="preserve"> derivative transaction reporting requirements</w:t>
      </w:r>
      <w:r>
        <w:t xml:space="preserve">. In particular, any information about compliance costs, impacts on competition and other impacts, costs and benefits will be taken into account if we prepare </w:t>
      </w:r>
      <w:r w:rsidRPr="00A915C1">
        <w:t xml:space="preserve">a Regulation Impact Statement: see Section </w:t>
      </w:r>
      <w:r w:rsidR="00A46EDB">
        <w:fldChar w:fldCharType="begin" w:fldLock="1"/>
      </w:r>
      <w:r w:rsidR="00A46EDB">
        <w:instrText xml:space="preserve"> REF _ASICRef634 \w \h </w:instrText>
      </w:r>
      <w:r w:rsidR="00A46EDB">
        <w:fldChar w:fldCharType="separate"/>
      </w:r>
      <w:r w:rsidR="00853A2A">
        <w:t>K</w:t>
      </w:r>
      <w:r w:rsidR="00A46EDB">
        <w:fldChar w:fldCharType="end"/>
      </w:r>
      <w:r w:rsidRPr="00A915C1">
        <w:t>, ‘Regulatory and financial impact’.</w:t>
      </w:r>
      <w:r>
        <w:t xml:space="preserve"> </w:t>
      </w:r>
    </w:p>
    <w:p w14:paraId="59509E2D" w14:textId="77777777" w:rsidR="00FC511F" w:rsidRDefault="00FC511F" w:rsidP="00414BEA">
      <w:pPr>
        <w:pStyle w:val="Heading2indented"/>
      </w:pPr>
      <w:r>
        <w:t>Making a submission</w:t>
      </w:r>
    </w:p>
    <w:p w14:paraId="04D10349" w14:textId="77777777" w:rsidR="00FC511F" w:rsidRDefault="00FC511F" w:rsidP="00414BEA">
      <w:pPr>
        <w:pStyle w:val="Fronttext"/>
      </w:pPr>
      <w:r w:rsidRPr="00284D17">
        <w:t>You may choose to remain anonymous or use an alias when making a submission. However, if you do remain anonymous we will not be able to contact you to discuss your submission should we need to.</w:t>
      </w:r>
    </w:p>
    <w:p w14:paraId="6177C050" w14:textId="77777777" w:rsidR="00FC511F" w:rsidRDefault="00FC511F" w:rsidP="00414BEA">
      <w:pPr>
        <w:pStyle w:val="Fronttext"/>
      </w:pPr>
      <w:r>
        <w:t>Please note we will not treat your submission as confidential unless you specifically request that we treat the whole or part of it (such as any personal or financial information) as confidential.</w:t>
      </w:r>
    </w:p>
    <w:p w14:paraId="4A19B120" w14:textId="7F023C46" w:rsidR="00FC511F" w:rsidRDefault="00FC511F" w:rsidP="00414BEA">
      <w:pPr>
        <w:pStyle w:val="Fronttext"/>
      </w:pPr>
      <w:r w:rsidRPr="00284D17">
        <w:t xml:space="preserve">Please refer to our </w:t>
      </w:r>
      <w:hyperlink r:id="rId21" w:history="1">
        <w:r w:rsidRPr="0024411E">
          <w:rPr>
            <w:rStyle w:val="Hyperlink"/>
          </w:rPr>
          <w:t>privacy policy</w:t>
        </w:r>
      </w:hyperlink>
      <w:r w:rsidRPr="00284D17">
        <w:t xml:space="preserve"> for more information </w:t>
      </w:r>
      <w:r>
        <w:t>on</w:t>
      </w:r>
      <w:r w:rsidRPr="00284D17">
        <w:t xml:space="preserve"> how we handle personal information, your rights to seek access to and correct personal information, and your right to complain about breaches of privacy by ASIC.</w:t>
      </w:r>
    </w:p>
    <w:p w14:paraId="56AD0053" w14:textId="5B531120" w:rsidR="00FC511F" w:rsidRDefault="00FC511F" w:rsidP="00E42593">
      <w:pPr>
        <w:pStyle w:val="Fronttext"/>
        <w:keepNext/>
      </w:pPr>
      <w:r>
        <w:t xml:space="preserve">Comments should be sent by </w:t>
      </w:r>
      <w:r w:rsidR="00B110C1">
        <w:t>8 July 2022</w:t>
      </w:r>
      <w:r w:rsidR="00E42593">
        <w:br/>
        <w:t xml:space="preserve">Please send comments </w:t>
      </w:r>
      <w:r>
        <w:t>to:</w:t>
      </w:r>
    </w:p>
    <w:p w14:paraId="45F258FA" w14:textId="4268D924" w:rsidR="00FC511F" w:rsidRDefault="00C92F1B" w:rsidP="00414BEA">
      <w:pPr>
        <w:pStyle w:val="Fronttext"/>
        <w:keepNext/>
        <w:spacing w:before="100"/>
        <w:ind w:left="2693"/>
      </w:pPr>
      <w:r>
        <w:t>Craig McBurnie</w:t>
      </w:r>
      <w:r w:rsidR="00FC511F">
        <w:t xml:space="preserve">, </w:t>
      </w:r>
      <w:r>
        <w:t>Senior Analyst</w:t>
      </w:r>
    </w:p>
    <w:p w14:paraId="7D4C4D14" w14:textId="3EC95C1D" w:rsidR="00FC511F" w:rsidRDefault="00C92F1B">
      <w:pPr>
        <w:pStyle w:val="Fronttext"/>
        <w:keepNext/>
        <w:spacing w:before="20"/>
        <w:ind w:left="2693"/>
      </w:pPr>
      <w:r>
        <w:t>Market Infrastructure</w:t>
      </w:r>
    </w:p>
    <w:p w14:paraId="7335E56F" w14:textId="77777777" w:rsidR="00FC511F" w:rsidRDefault="00FC511F">
      <w:pPr>
        <w:pStyle w:val="Fronttext"/>
        <w:spacing w:before="20"/>
        <w:ind w:left="2693"/>
      </w:pPr>
      <w:r>
        <w:t>Australian Securities and Investments Commission</w:t>
      </w:r>
    </w:p>
    <w:p w14:paraId="73530ACF" w14:textId="76CE4D8F" w:rsidR="00FC511F" w:rsidRDefault="00C92F1B" w:rsidP="00414BEA">
      <w:pPr>
        <w:pStyle w:val="Fronttext"/>
        <w:spacing w:before="20"/>
        <w:ind w:left="2693"/>
      </w:pPr>
      <w:r>
        <w:t>Level 5, 100 Market Street, Sydney, NSW 2000</w:t>
      </w:r>
    </w:p>
    <w:p w14:paraId="53D28C47" w14:textId="13CF437E" w:rsidR="00FC511F" w:rsidRDefault="00FC511F">
      <w:pPr>
        <w:pStyle w:val="Fronttext"/>
        <w:spacing w:before="20"/>
        <w:ind w:left="2693"/>
      </w:pPr>
      <w:r>
        <w:t xml:space="preserve">email: </w:t>
      </w:r>
      <w:hyperlink r:id="rId22" w:history="1">
        <w:r w:rsidR="00C92F1B" w:rsidRPr="008F54D9">
          <w:rPr>
            <w:rStyle w:val="Hyperlink"/>
          </w:rPr>
          <w:t>otcd@asic.gov.au</w:t>
        </w:r>
      </w:hyperlink>
      <w:r w:rsidR="00C92F1B">
        <w:t xml:space="preserve"> </w:t>
      </w:r>
    </w:p>
    <w:p w14:paraId="4F5C5AFB" w14:textId="77777777" w:rsidR="00FC511F" w:rsidRDefault="00FC511F" w:rsidP="00414BEA">
      <w:pPr>
        <w:pStyle w:val="Heading2indented"/>
        <w:spacing w:after="240"/>
      </w:pPr>
      <w:bookmarkStart w:id="6" w:name="_Toc152037861"/>
      <w:bookmarkStart w:id="7" w:name="_Ref154450000"/>
      <w:r>
        <w:br w:type="page"/>
        <w:t>What will happen next?</w:t>
      </w:r>
      <w:bookmarkEnd w:id="6"/>
    </w:p>
    <w:tbl>
      <w:tblPr>
        <w:tblW w:w="6804" w:type="dxa"/>
        <w:tblInd w:w="2268" w:type="dxa"/>
        <w:tblBorders>
          <w:top w:val="single" w:sz="4" w:space="0" w:color="auto"/>
          <w:bottom w:val="single" w:sz="4" w:space="0" w:color="auto"/>
          <w:insideH w:val="single" w:sz="4" w:space="0" w:color="auto"/>
        </w:tblBorders>
        <w:tblLayout w:type="fixed"/>
        <w:tblCellMar>
          <w:bottom w:w="85" w:type="dxa"/>
        </w:tblCellMar>
        <w:tblLook w:val="00A0" w:firstRow="1" w:lastRow="0" w:firstColumn="1" w:lastColumn="0" w:noHBand="0" w:noVBand="0"/>
      </w:tblPr>
      <w:tblGrid>
        <w:gridCol w:w="1276"/>
        <w:gridCol w:w="1843"/>
        <w:gridCol w:w="3685"/>
      </w:tblGrid>
      <w:tr w:rsidR="00FC511F" w14:paraId="3F58CE99" w14:textId="77777777" w:rsidTr="00BD303D">
        <w:trPr>
          <w:cantSplit/>
        </w:trPr>
        <w:tc>
          <w:tcPr>
            <w:tcW w:w="1276" w:type="dxa"/>
            <w:tcBorders>
              <w:top w:val="single" w:sz="4" w:space="0" w:color="999999"/>
              <w:bottom w:val="single" w:sz="4" w:space="0" w:color="999999"/>
            </w:tcBorders>
            <w:shd w:val="clear" w:color="auto" w:fill="C2E3FA"/>
          </w:tcPr>
          <w:p w14:paraId="251B2B33" w14:textId="77777777" w:rsidR="00FC511F" w:rsidRDefault="00FC511F">
            <w:pPr>
              <w:pStyle w:val="tablehead"/>
            </w:pPr>
            <w:r>
              <w:t>Stage 1</w:t>
            </w:r>
          </w:p>
        </w:tc>
        <w:tc>
          <w:tcPr>
            <w:tcW w:w="1843" w:type="dxa"/>
            <w:tcBorders>
              <w:top w:val="single" w:sz="4" w:space="0" w:color="999999"/>
              <w:bottom w:val="single" w:sz="4" w:space="0" w:color="999999"/>
            </w:tcBorders>
          </w:tcPr>
          <w:p w14:paraId="1E54F91A" w14:textId="7E9C7D6D" w:rsidR="00FC511F" w:rsidRDefault="00B110C1">
            <w:pPr>
              <w:pStyle w:val="tabletext"/>
            </w:pPr>
            <w:r>
              <w:t>12 May 2022</w:t>
            </w:r>
          </w:p>
        </w:tc>
        <w:tc>
          <w:tcPr>
            <w:tcW w:w="3685" w:type="dxa"/>
            <w:tcBorders>
              <w:top w:val="single" w:sz="4" w:space="0" w:color="999999"/>
              <w:bottom w:val="single" w:sz="4" w:space="0" w:color="999999"/>
            </w:tcBorders>
          </w:tcPr>
          <w:p w14:paraId="3CE52F6A" w14:textId="14BF8C73" w:rsidR="00FC511F" w:rsidRDefault="00DA08B5">
            <w:pPr>
              <w:pStyle w:val="tabletext"/>
            </w:pPr>
            <w:r>
              <w:t xml:space="preserve">ASIC’s </w:t>
            </w:r>
            <w:r w:rsidR="00BA0D02">
              <w:t>second</w:t>
            </w:r>
            <w:r>
              <w:t xml:space="preserve"> consultation paper released</w:t>
            </w:r>
          </w:p>
        </w:tc>
      </w:tr>
      <w:tr w:rsidR="00347888" w14:paraId="70CBF787" w14:textId="77777777" w:rsidTr="00BD303D">
        <w:trPr>
          <w:cantSplit/>
        </w:trPr>
        <w:tc>
          <w:tcPr>
            <w:tcW w:w="1276" w:type="dxa"/>
            <w:tcBorders>
              <w:top w:val="single" w:sz="4" w:space="0" w:color="999999"/>
              <w:bottom w:val="nil"/>
            </w:tcBorders>
            <w:shd w:val="clear" w:color="auto" w:fill="C2E3FA"/>
          </w:tcPr>
          <w:p w14:paraId="29C07D61" w14:textId="77777777" w:rsidR="00347888" w:rsidRDefault="00347888" w:rsidP="00517F05">
            <w:pPr>
              <w:pStyle w:val="tablehead"/>
            </w:pPr>
            <w:r>
              <w:t>Stage 2</w:t>
            </w:r>
          </w:p>
        </w:tc>
        <w:tc>
          <w:tcPr>
            <w:tcW w:w="1843" w:type="dxa"/>
            <w:tcBorders>
              <w:top w:val="single" w:sz="4" w:space="0" w:color="999999"/>
              <w:bottom w:val="nil"/>
            </w:tcBorders>
          </w:tcPr>
          <w:p w14:paraId="5896BA2B" w14:textId="420442B1" w:rsidR="00347888" w:rsidRDefault="00B110C1" w:rsidP="00517F05">
            <w:pPr>
              <w:pStyle w:val="tabletext"/>
            </w:pPr>
            <w:r>
              <w:t>8 July 2022</w:t>
            </w:r>
          </w:p>
        </w:tc>
        <w:tc>
          <w:tcPr>
            <w:tcW w:w="3685" w:type="dxa"/>
            <w:tcBorders>
              <w:top w:val="single" w:sz="4" w:space="0" w:color="999999"/>
              <w:bottom w:val="nil"/>
            </w:tcBorders>
          </w:tcPr>
          <w:p w14:paraId="6C14B0B5" w14:textId="668C1312" w:rsidR="00347888" w:rsidRDefault="00347888" w:rsidP="00517F05">
            <w:pPr>
              <w:pStyle w:val="tabletext"/>
            </w:pPr>
            <w:r>
              <w:t>Comments due on the second consultation pape</w:t>
            </w:r>
            <w:r w:rsidR="009D3EB3">
              <w:t>r</w:t>
            </w:r>
          </w:p>
        </w:tc>
      </w:tr>
      <w:tr w:rsidR="00BA0D02" w14:paraId="0549C383" w14:textId="77777777" w:rsidTr="00BD303D">
        <w:trPr>
          <w:cantSplit/>
        </w:trPr>
        <w:tc>
          <w:tcPr>
            <w:tcW w:w="1276" w:type="dxa"/>
            <w:tcBorders>
              <w:top w:val="single" w:sz="4" w:space="0" w:color="999999"/>
              <w:bottom w:val="single" w:sz="4" w:space="0" w:color="999999"/>
            </w:tcBorders>
            <w:shd w:val="clear" w:color="auto" w:fill="C2E3FA"/>
          </w:tcPr>
          <w:p w14:paraId="1EF1B90B" w14:textId="727D77D3" w:rsidR="00BA0D02" w:rsidRDefault="00BA0D02" w:rsidP="00B30292">
            <w:pPr>
              <w:pStyle w:val="tablehead"/>
            </w:pPr>
            <w:r>
              <w:t>Stage 3</w:t>
            </w:r>
          </w:p>
        </w:tc>
        <w:tc>
          <w:tcPr>
            <w:tcW w:w="1843" w:type="dxa"/>
            <w:tcBorders>
              <w:top w:val="single" w:sz="4" w:space="0" w:color="999999"/>
              <w:bottom w:val="single" w:sz="4" w:space="0" w:color="999999"/>
            </w:tcBorders>
          </w:tcPr>
          <w:p w14:paraId="3A549644" w14:textId="4FE2A255" w:rsidR="00594F8A" w:rsidRDefault="00594F8A" w:rsidP="00B30292">
            <w:pPr>
              <w:pStyle w:val="tabletext"/>
            </w:pPr>
            <w:r>
              <w:t>To be confirmed</w:t>
            </w:r>
          </w:p>
        </w:tc>
        <w:tc>
          <w:tcPr>
            <w:tcW w:w="3685" w:type="dxa"/>
            <w:tcBorders>
              <w:top w:val="single" w:sz="4" w:space="0" w:color="999999"/>
              <w:bottom w:val="single" w:sz="4" w:space="0" w:color="999999"/>
            </w:tcBorders>
          </w:tcPr>
          <w:p w14:paraId="5A157C2D" w14:textId="47DF9E6F" w:rsidR="00BA0D02" w:rsidRDefault="00C003B0" w:rsidP="00B30292">
            <w:pPr>
              <w:pStyle w:val="tabletext"/>
            </w:pPr>
            <w:r>
              <w:t>Related to this second consultation and s</w:t>
            </w:r>
            <w:r w:rsidR="00BD49E2">
              <w:t xml:space="preserve">ubject to </w:t>
            </w:r>
            <w:r w:rsidR="00A915C1">
              <w:t xml:space="preserve">the </w:t>
            </w:r>
            <w:r w:rsidR="00BD49E2">
              <w:t>Minister’s consent</w:t>
            </w:r>
            <w:r w:rsidR="00594F8A">
              <w:t xml:space="preserve">, </w:t>
            </w:r>
            <w:r w:rsidR="00BA0D02">
              <w:t>rules</w:t>
            </w:r>
            <w:r w:rsidR="00594F8A">
              <w:t xml:space="preserve"> made</w:t>
            </w:r>
            <w:r w:rsidR="00D01473">
              <w:t xml:space="preserve"> and</w:t>
            </w:r>
            <w:r w:rsidR="00594F8A">
              <w:t xml:space="preserve"> </w:t>
            </w:r>
            <w:r w:rsidR="00BA0D02" w:rsidRPr="00594F8A">
              <w:t>feedback report released</w:t>
            </w:r>
          </w:p>
        </w:tc>
      </w:tr>
      <w:tr w:rsidR="00FC511F" w14:paraId="1D2B294B" w14:textId="77777777" w:rsidTr="00BD303D">
        <w:trPr>
          <w:cantSplit/>
        </w:trPr>
        <w:tc>
          <w:tcPr>
            <w:tcW w:w="1276" w:type="dxa"/>
            <w:tcBorders>
              <w:top w:val="single" w:sz="4" w:space="0" w:color="999999"/>
              <w:bottom w:val="single" w:sz="4" w:space="0" w:color="999999"/>
            </w:tcBorders>
            <w:shd w:val="clear" w:color="auto" w:fill="C2E3FA"/>
          </w:tcPr>
          <w:p w14:paraId="6E58A955" w14:textId="657717DC" w:rsidR="00FC511F" w:rsidRDefault="00FC511F">
            <w:pPr>
              <w:pStyle w:val="tablehead"/>
            </w:pPr>
            <w:r>
              <w:t xml:space="preserve">Stage </w:t>
            </w:r>
            <w:r w:rsidR="00BA0D02">
              <w:t>4</w:t>
            </w:r>
          </w:p>
        </w:tc>
        <w:tc>
          <w:tcPr>
            <w:tcW w:w="1843" w:type="dxa"/>
            <w:tcBorders>
              <w:top w:val="single" w:sz="4" w:space="0" w:color="999999"/>
              <w:bottom w:val="single" w:sz="4" w:space="0" w:color="999999"/>
            </w:tcBorders>
          </w:tcPr>
          <w:p w14:paraId="5A651664" w14:textId="513F7AE4" w:rsidR="00FC511F" w:rsidRDefault="00BA0D02">
            <w:pPr>
              <w:pStyle w:val="tabletext"/>
            </w:pPr>
            <w:r>
              <w:t>Q</w:t>
            </w:r>
            <w:r w:rsidR="00594F8A">
              <w:t>4</w:t>
            </w:r>
            <w:r>
              <w:t xml:space="preserve"> 2022</w:t>
            </w:r>
          </w:p>
        </w:tc>
        <w:tc>
          <w:tcPr>
            <w:tcW w:w="3685" w:type="dxa"/>
            <w:tcBorders>
              <w:top w:val="single" w:sz="4" w:space="0" w:color="999999"/>
              <w:bottom w:val="single" w:sz="4" w:space="0" w:color="999999"/>
            </w:tcBorders>
          </w:tcPr>
          <w:p w14:paraId="7318E58C" w14:textId="1661CF6F" w:rsidR="00FC511F" w:rsidRDefault="00DA08B5">
            <w:pPr>
              <w:pStyle w:val="tabletext"/>
            </w:pPr>
            <w:r>
              <w:t xml:space="preserve">ASIC’s </w:t>
            </w:r>
            <w:r w:rsidR="00BA0D02">
              <w:t xml:space="preserve">third </w:t>
            </w:r>
            <w:r>
              <w:t>consultation paper released</w:t>
            </w:r>
          </w:p>
        </w:tc>
      </w:tr>
      <w:tr w:rsidR="00DA08B5" w14:paraId="57F1753C" w14:textId="77777777" w:rsidTr="00BD303D">
        <w:trPr>
          <w:cantSplit/>
        </w:trPr>
        <w:tc>
          <w:tcPr>
            <w:tcW w:w="1276" w:type="dxa"/>
            <w:tcBorders>
              <w:top w:val="single" w:sz="4" w:space="0" w:color="999999"/>
              <w:bottom w:val="single" w:sz="4" w:space="0" w:color="999999"/>
            </w:tcBorders>
            <w:shd w:val="clear" w:color="auto" w:fill="C2E3FA"/>
          </w:tcPr>
          <w:p w14:paraId="2FC4D952" w14:textId="09818D4C" w:rsidR="00DA08B5" w:rsidRDefault="00DA08B5">
            <w:pPr>
              <w:pStyle w:val="tablehead"/>
            </w:pPr>
            <w:r>
              <w:t xml:space="preserve">Stage </w:t>
            </w:r>
            <w:r w:rsidR="00BA0D02">
              <w:t>5</w:t>
            </w:r>
          </w:p>
        </w:tc>
        <w:tc>
          <w:tcPr>
            <w:tcW w:w="1843" w:type="dxa"/>
            <w:tcBorders>
              <w:top w:val="single" w:sz="4" w:space="0" w:color="999999"/>
              <w:bottom w:val="single" w:sz="4" w:space="0" w:color="999999"/>
            </w:tcBorders>
          </w:tcPr>
          <w:p w14:paraId="2DD1F69B" w14:textId="4C522088" w:rsidR="00DA08B5" w:rsidRDefault="00BA0D02">
            <w:pPr>
              <w:pStyle w:val="tabletext"/>
            </w:pPr>
            <w:r>
              <w:t>+ 6</w:t>
            </w:r>
            <w:r w:rsidR="00A46EDB">
              <w:t>–</w:t>
            </w:r>
            <w:r>
              <w:t>8 weeks</w:t>
            </w:r>
          </w:p>
        </w:tc>
        <w:tc>
          <w:tcPr>
            <w:tcW w:w="3685" w:type="dxa"/>
            <w:tcBorders>
              <w:top w:val="single" w:sz="4" w:space="0" w:color="999999"/>
              <w:bottom w:val="single" w:sz="4" w:space="0" w:color="999999"/>
            </w:tcBorders>
          </w:tcPr>
          <w:p w14:paraId="6AEE6DA6" w14:textId="2813EAFA" w:rsidR="00DA08B5" w:rsidRDefault="00DA08B5">
            <w:pPr>
              <w:pStyle w:val="tabletext"/>
            </w:pPr>
            <w:r>
              <w:t xml:space="preserve">Comments due on the </w:t>
            </w:r>
            <w:r w:rsidR="00BA0D02">
              <w:t>third</w:t>
            </w:r>
            <w:r>
              <w:t xml:space="preserve"> consultation paper</w:t>
            </w:r>
          </w:p>
        </w:tc>
      </w:tr>
      <w:tr w:rsidR="00BA0D02" w14:paraId="49516CAA" w14:textId="77777777" w:rsidTr="00BD303D">
        <w:trPr>
          <w:cantSplit/>
        </w:trPr>
        <w:tc>
          <w:tcPr>
            <w:tcW w:w="1276" w:type="dxa"/>
            <w:tcBorders>
              <w:top w:val="single" w:sz="4" w:space="0" w:color="999999"/>
              <w:bottom w:val="single" w:sz="4" w:space="0" w:color="999999"/>
            </w:tcBorders>
            <w:shd w:val="clear" w:color="auto" w:fill="C2E3FA"/>
          </w:tcPr>
          <w:p w14:paraId="5A676F19" w14:textId="55478AF2" w:rsidR="00BA0D02" w:rsidRDefault="00BA0D02" w:rsidP="00B30292">
            <w:pPr>
              <w:pStyle w:val="tablehead"/>
            </w:pPr>
            <w:r>
              <w:t>Stage 6</w:t>
            </w:r>
          </w:p>
        </w:tc>
        <w:tc>
          <w:tcPr>
            <w:tcW w:w="1843" w:type="dxa"/>
            <w:tcBorders>
              <w:top w:val="single" w:sz="4" w:space="0" w:color="999999"/>
              <w:bottom w:val="single" w:sz="4" w:space="0" w:color="999999"/>
            </w:tcBorders>
          </w:tcPr>
          <w:p w14:paraId="4D1E00D3" w14:textId="1C81ACA9" w:rsidR="00D01473" w:rsidRDefault="00D01473" w:rsidP="00B30292">
            <w:pPr>
              <w:pStyle w:val="tabletext"/>
            </w:pPr>
            <w:r>
              <w:t>To be confirmed</w:t>
            </w:r>
          </w:p>
        </w:tc>
        <w:tc>
          <w:tcPr>
            <w:tcW w:w="3685" w:type="dxa"/>
            <w:tcBorders>
              <w:top w:val="single" w:sz="4" w:space="0" w:color="999999"/>
              <w:bottom w:val="single" w:sz="4" w:space="0" w:color="999999"/>
            </w:tcBorders>
          </w:tcPr>
          <w:p w14:paraId="13128A54" w14:textId="741A91C4" w:rsidR="00BA0D02" w:rsidRDefault="00C003B0" w:rsidP="00B30292">
            <w:pPr>
              <w:pStyle w:val="tabletext"/>
            </w:pPr>
            <w:r>
              <w:t>Related to the third consultation and s</w:t>
            </w:r>
            <w:r w:rsidR="00D01473">
              <w:t xml:space="preserve">ubject to </w:t>
            </w:r>
            <w:r>
              <w:t xml:space="preserve">the </w:t>
            </w:r>
            <w:r w:rsidR="00D01473">
              <w:t xml:space="preserve">Minister’s consent, </w:t>
            </w:r>
            <w:r w:rsidR="00A915C1">
              <w:t xml:space="preserve">rule amendments, if any, </w:t>
            </w:r>
            <w:r w:rsidR="00BA0D02">
              <w:t xml:space="preserve">made, </w:t>
            </w:r>
            <w:r w:rsidR="00BA0D02" w:rsidRPr="00594F8A">
              <w:t>feedback report released and regulatory guide amended</w:t>
            </w:r>
          </w:p>
        </w:tc>
      </w:tr>
      <w:tr w:rsidR="00BA0D02" w14:paraId="00C90051" w14:textId="77777777" w:rsidTr="00BD303D">
        <w:trPr>
          <w:cantSplit/>
        </w:trPr>
        <w:tc>
          <w:tcPr>
            <w:tcW w:w="1276" w:type="dxa"/>
            <w:tcBorders>
              <w:top w:val="single" w:sz="4" w:space="0" w:color="999999"/>
              <w:bottom w:val="single" w:sz="4" w:space="0" w:color="999999"/>
            </w:tcBorders>
            <w:shd w:val="clear" w:color="auto" w:fill="C2E3FA"/>
          </w:tcPr>
          <w:p w14:paraId="041906E5" w14:textId="27739A74" w:rsidR="00BA0D02" w:rsidRDefault="00BA0D02" w:rsidP="00B30292">
            <w:pPr>
              <w:pStyle w:val="tablehead"/>
            </w:pPr>
            <w:r>
              <w:t>Stage 7</w:t>
            </w:r>
          </w:p>
        </w:tc>
        <w:tc>
          <w:tcPr>
            <w:tcW w:w="1843" w:type="dxa"/>
            <w:tcBorders>
              <w:top w:val="single" w:sz="4" w:space="0" w:color="999999"/>
              <w:bottom w:val="single" w:sz="4" w:space="0" w:color="999999"/>
            </w:tcBorders>
          </w:tcPr>
          <w:p w14:paraId="4F2A3EE1" w14:textId="1FF37BE3" w:rsidR="00BA0D02" w:rsidRDefault="00594F8A" w:rsidP="00B30292">
            <w:pPr>
              <w:pStyle w:val="tabletext"/>
            </w:pPr>
            <w:r>
              <w:t xml:space="preserve">est. 1 October </w:t>
            </w:r>
            <w:r w:rsidR="00BA0D02">
              <w:t>2023</w:t>
            </w:r>
          </w:p>
        </w:tc>
        <w:tc>
          <w:tcPr>
            <w:tcW w:w="3685" w:type="dxa"/>
            <w:tcBorders>
              <w:top w:val="single" w:sz="4" w:space="0" w:color="999999"/>
              <w:bottom w:val="single" w:sz="4" w:space="0" w:color="999999"/>
            </w:tcBorders>
          </w:tcPr>
          <w:p w14:paraId="22BB26B7" w14:textId="1C3907FE" w:rsidR="00BA0D02" w:rsidRDefault="00A915C1" w:rsidP="00B30292">
            <w:pPr>
              <w:pStyle w:val="tabletext"/>
            </w:pPr>
            <w:r>
              <w:t>Remade ASIC Rules commence</w:t>
            </w:r>
          </w:p>
        </w:tc>
      </w:tr>
      <w:tr w:rsidR="00D01473" w14:paraId="7738553B" w14:textId="77777777" w:rsidTr="00BD303D">
        <w:trPr>
          <w:cantSplit/>
        </w:trPr>
        <w:tc>
          <w:tcPr>
            <w:tcW w:w="1276" w:type="dxa"/>
            <w:tcBorders>
              <w:top w:val="single" w:sz="4" w:space="0" w:color="999999"/>
              <w:bottom w:val="single" w:sz="4" w:space="0" w:color="999999"/>
            </w:tcBorders>
            <w:shd w:val="clear" w:color="auto" w:fill="C2E3FA"/>
          </w:tcPr>
          <w:p w14:paraId="56A514C1" w14:textId="7222B012" w:rsidR="00D01473" w:rsidRDefault="00D01473" w:rsidP="00B30292">
            <w:pPr>
              <w:pStyle w:val="tablehead"/>
            </w:pPr>
            <w:r>
              <w:t>Stage 8</w:t>
            </w:r>
          </w:p>
        </w:tc>
        <w:tc>
          <w:tcPr>
            <w:tcW w:w="1843" w:type="dxa"/>
            <w:tcBorders>
              <w:top w:val="single" w:sz="4" w:space="0" w:color="999999"/>
              <w:bottom w:val="single" w:sz="4" w:space="0" w:color="999999"/>
            </w:tcBorders>
          </w:tcPr>
          <w:p w14:paraId="161A0A1B" w14:textId="7636A9F3" w:rsidR="00D01473" w:rsidRDefault="00D01473" w:rsidP="00B30292">
            <w:pPr>
              <w:pStyle w:val="tabletext"/>
            </w:pPr>
            <w:r>
              <w:t>est. 1 April 2024</w:t>
            </w:r>
          </w:p>
        </w:tc>
        <w:tc>
          <w:tcPr>
            <w:tcW w:w="3685" w:type="dxa"/>
            <w:tcBorders>
              <w:top w:val="single" w:sz="4" w:space="0" w:color="999999"/>
              <w:bottom w:val="single" w:sz="4" w:space="0" w:color="999999"/>
            </w:tcBorders>
          </w:tcPr>
          <w:p w14:paraId="0002670F" w14:textId="36087E75" w:rsidR="00D01473" w:rsidRDefault="00A915C1" w:rsidP="00B30292">
            <w:pPr>
              <w:pStyle w:val="tabletext"/>
            </w:pPr>
            <w:r>
              <w:t>Further amended ASIC Rules commence</w:t>
            </w:r>
          </w:p>
        </w:tc>
      </w:tr>
    </w:tbl>
    <w:p w14:paraId="1BDBD86C" w14:textId="78AB0742" w:rsidR="00FC511F" w:rsidRDefault="00AE2986" w:rsidP="00FC511F">
      <w:pPr>
        <w:pStyle w:val="Heading1"/>
      </w:pPr>
      <w:bookmarkStart w:id="8" w:name="_Toc103174617"/>
      <w:bookmarkEnd w:id="7"/>
      <w:r>
        <w:t>Background to the proposals</w:t>
      </w:r>
      <w:bookmarkEnd w:id="8"/>
      <w:r w:rsidR="00FC511F">
        <w:t xml:space="preserve"> </w:t>
      </w:r>
    </w:p>
    <w:p w14:paraId="5C0A6739" w14:textId="77777777" w:rsidR="00FC511F" w:rsidRDefault="00FC511F">
      <w:pPr>
        <w:pStyle w:val="KPhead"/>
      </w:pPr>
      <w:r>
        <w:t>Key points</w:t>
      </w:r>
    </w:p>
    <w:p w14:paraId="1626D432" w14:textId="42A0E2BB" w:rsidR="00FC511F" w:rsidRDefault="00AE2986" w:rsidP="00291029">
      <w:pPr>
        <w:pStyle w:val="KPtext"/>
        <w:spacing w:line="270" w:lineRule="atLeast"/>
      </w:pPr>
      <w:r>
        <w:t xml:space="preserve">Australian requirements to report derivative transactions have been in place under the </w:t>
      </w:r>
      <w:r w:rsidRPr="00291029">
        <w:rPr>
          <w:i/>
          <w:iCs/>
        </w:rPr>
        <w:t>ASIC Derivative Transaction Rules (Reporting) 2013</w:t>
      </w:r>
      <w:r w:rsidR="00D96B23">
        <w:t xml:space="preserve"> (</w:t>
      </w:r>
      <w:bookmarkStart w:id="9" w:name="_Hlk99447527"/>
      <w:r w:rsidR="00D57D23">
        <w:t>c</w:t>
      </w:r>
      <w:r w:rsidR="00437B65">
        <w:t xml:space="preserve">urrent </w:t>
      </w:r>
      <w:r w:rsidR="00D96B23">
        <w:t>ASIC Rules</w:t>
      </w:r>
      <w:bookmarkEnd w:id="9"/>
      <w:r w:rsidR="00D96B23">
        <w:t>)</w:t>
      </w:r>
      <w:r w:rsidRPr="00AE2986">
        <w:t xml:space="preserve">. This has provided </w:t>
      </w:r>
      <w:r w:rsidR="00C03383">
        <w:t xml:space="preserve">regulators with </w:t>
      </w:r>
      <w:r w:rsidRPr="00AE2986">
        <w:t xml:space="preserve">transparency </w:t>
      </w:r>
      <w:r w:rsidR="00C03383">
        <w:t xml:space="preserve">in relation </w:t>
      </w:r>
      <w:r w:rsidRPr="00AE2986">
        <w:t>to trading activity and positions and counterparty exposures</w:t>
      </w:r>
      <w:r w:rsidR="00C03383">
        <w:t xml:space="preserve">, which </w:t>
      </w:r>
      <w:r w:rsidRPr="00AE2986">
        <w:t>assists regulators in identifying financial system vulnerabilities, conducting market surveillance, monitoring market metrics and practices, and informing policy developments and assessing outcomes.</w:t>
      </w:r>
    </w:p>
    <w:p w14:paraId="6AA73783" w14:textId="264F2F1A" w:rsidR="00FC511F" w:rsidRDefault="00B30292" w:rsidP="00291029">
      <w:pPr>
        <w:pStyle w:val="KPtext"/>
        <w:spacing w:line="270" w:lineRule="atLeast"/>
      </w:pPr>
      <w:r>
        <w:t>I</w:t>
      </w:r>
      <w:r w:rsidR="00AE2986" w:rsidRPr="00AE2986">
        <w:t>nternational standards have been developed for entity identifiers, transaction identifiers, product identifiers and c</w:t>
      </w:r>
      <w:r w:rsidR="002C3762">
        <w:t>ritical</w:t>
      </w:r>
      <w:r w:rsidR="00AE2986" w:rsidRPr="00AE2986">
        <w:t xml:space="preserve"> data elements for transaction terms and valuation and collateral information</w:t>
      </w:r>
      <w:r>
        <w:t xml:space="preserve"> for use in </w:t>
      </w:r>
      <w:r w:rsidRPr="008A5D77">
        <w:t>derivative transaction reporting</w:t>
      </w:r>
      <w:r w:rsidR="00AE2986" w:rsidRPr="008A5D77">
        <w:t>.</w:t>
      </w:r>
      <w:r w:rsidR="00AE2986" w:rsidRPr="00AE2986">
        <w:t xml:space="preserve"> Several overseas regulators have made proposals and/or finalised rules to implement these standards.</w:t>
      </w:r>
    </w:p>
    <w:p w14:paraId="2C098305" w14:textId="72518105" w:rsidR="00FC511F" w:rsidRDefault="00B30292" w:rsidP="00291029">
      <w:pPr>
        <w:pStyle w:val="KPtext"/>
        <w:spacing w:line="270" w:lineRule="atLeast"/>
      </w:pPr>
      <w:r>
        <w:t xml:space="preserve">We presented our proposals to implement these internationally harmonised standards in our </w:t>
      </w:r>
      <w:r w:rsidR="00292D42" w:rsidRPr="00291029">
        <w:t>first consultation paper</w:t>
      </w:r>
      <w:r w:rsidR="008D0C3F">
        <w:t xml:space="preserve"> </w:t>
      </w:r>
      <w:r w:rsidR="00292D42">
        <w:t>(</w:t>
      </w:r>
      <w:hyperlink r:id="rId23" w:history="1">
        <w:r w:rsidR="00292D42" w:rsidRPr="00292D42">
          <w:rPr>
            <w:rStyle w:val="Hyperlink"/>
          </w:rPr>
          <w:t>CP 334</w:t>
        </w:r>
      </w:hyperlink>
      <w:r w:rsidR="00292D42">
        <w:t xml:space="preserve">) </w:t>
      </w:r>
      <w:r>
        <w:t>released in November 2020. Having considered the consultation submissions, we are now proposing</w:t>
      </w:r>
      <w:r w:rsidR="00280664">
        <w:t>, in this</w:t>
      </w:r>
      <w:r w:rsidR="00D96B23">
        <w:t xml:space="preserve"> second</w:t>
      </w:r>
      <w:r w:rsidR="00280664">
        <w:t xml:space="preserve"> consultation paper,</w:t>
      </w:r>
      <w:r>
        <w:t xml:space="preserve"> to </w:t>
      </w:r>
      <w:r w:rsidR="00C003B0">
        <w:t>make</w:t>
      </w:r>
      <w:r>
        <w:t xml:space="preserve"> </w:t>
      </w:r>
      <w:r w:rsidR="00831898">
        <w:t>rules</w:t>
      </w:r>
      <w:r w:rsidR="00F0228D">
        <w:t xml:space="preserve"> to implement these standards</w:t>
      </w:r>
      <w:r w:rsidR="00AE2986">
        <w:t>: see Sections</w:t>
      </w:r>
      <w:r w:rsidR="00A0738D">
        <w:t xml:space="preserve"> </w:t>
      </w:r>
      <w:r w:rsidR="00A0738D">
        <w:fldChar w:fldCharType="begin" w:fldLock="1"/>
      </w:r>
      <w:r w:rsidR="00A0738D">
        <w:instrText xml:space="preserve"> REF _ASICRef272 \w \h </w:instrText>
      </w:r>
      <w:r w:rsidR="00A0738D">
        <w:fldChar w:fldCharType="separate"/>
      </w:r>
      <w:r w:rsidR="00853A2A">
        <w:t>B</w:t>
      </w:r>
      <w:r w:rsidR="00A0738D">
        <w:fldChar w:fldCharType="end"/>
      </w:r>
      <w:r w:rsidR="00A0738D">
        <w:t>–</w:t>
      </w:r>
      <w:r w:rsidR="00292D42">
        <w:rPr>
          <w:highlight w:val="yellow"/>
        </w:rPr>
        <w:fldChar w:fldCharType="begin" w:fldLock="1"/>
      </w:r>
      <w:r w:rsidR="00292D42">
        <w:instrText xml:space="preserve"> REF _ASICRef620 \w \h </w:instrText>
      </w:r>
      <w:r w:rsidR="00292D42">
        <w:rPr>
          <w:highlight w:val="yellow"/>
        </w:rPr>
      </w:r>
      <w:r w:rsidR="00292D42">
        <w:rPr>
          <w:highlight w:val="yellow"/>
        </w:rPr>
        <w:fldChar w:fldCharType="separate"/>
      </w:r>
      <w:r w:rsidR="00853A2A">
        <w:t>E</w:t>
      </w:r>
      <w:r w:rsidR="00292D42">
        <w:rPr>
          <w:highlight w:val="yellow"/>
        </w:rPr>
        <w:fldChar w:fldCharType="end"/>
      </w:r>
      <w:r w:rsidR="00AE2986">
        <w:t>.</w:t>
      </w:r>
    </w:p>
    <w:p w14:paraId="6789B1BB" w14:textId="3126F01C" w:rsidR="00AE2986" w:rsidRDefault="00F0228D" w:rsidP="00291029">
      <w:pPr>
        <w:pStyle w:val="KPtext"/>
        <w:spacing w:line="270" w:lineRule="atLeast"/>
      </w:pPr>
      <w:r>
        <w:t xml:space="preserve">Our </w:t>
      </w:r>
      <w:r w:rsidR="00D96B23">
        <w:t xml:space="preserve">first </w:t>
      </w:r>
      <w:r>
        <w:t xml:space="preserve">consultation paper also </w:t>
      </w:r>
      <w:r w:rsidR="00831898">
        <w:t xml:space="preserve">discussed other issues related to </w:t>
      </w:r>
      <w:r w:rsidR="00AE2986">
        <w:t xml:space="preserve">the structure, scope and operation of the </w:t>
      </w:r>
      <w:r w:rsidR="00AE2986" w:rsidRPr="00BD303D">
        <w:t xml:space="preserve">rules </w:t>
      </w:r>
      <w:r w:rsidR="00831898" w:rsidRPr="00BD303D">
        <w:t xml:space="preserve">with a view to simplifying the rules </w:t>
      </w:r>
      <w:r w:rsidR="00AE2986" w:rsidRPr="00BD303D">
        <w:t>and improv</w:t>
      </w:r>
      <w:r w:rsidR="00831898" w:rsidRPr="00BD303D">
        <w:t>ing</w:t>
      </w:r>
      <w:r w:rsidR="00AE2986" w:rsidRPr="00BD303D">
        <w:t xml:space="preserve"> their fitness for purpose</w:t>
      </w:r>
      <w:r w:rsidR="00296DFD" w:rsidRPr="00BD303D">
        <w:t>.</w:t>
      </w:r>
      <w:r w:rsidR="00831898" w:rsidRPr="00BD303D">
        <w:t xml:space="preserve"> </w:t>
      </w:r>
      <w:r w:rsidR="00280664" w:rsidRPr="00BD303D">
        <w:t>Some</w:t>
      </w:r>
      <w:r w:rsidR="00280664">
        <w:t xml:space="preserve"> of these issues are included in these proposals </w:t>
      </w:r>
      <w:r w:rsidR="00831898">
        <w:t xml:space="preserve">We intend to issue a </w:t>
      </w:r>
      <w:r w:rsidR="00D96B23">
        <w:t>third</w:t>
      </w:r>
      <w:r w:rsidR="00831898">
        <w:t xml:space="preserve"> consultation paper</w:t>
      </w:r>
      <w:r w:rsidR="00280664">
        <w:t xml:space="preserve"> in Q</w:t>
      </w:r>
      <w:r w:rsidR="002C3762">
        <w:t>4</w:t>
      </w:r>
      <w:r w:rsidR="00280664">
        <w:t xml:space="preserve"> 2022 </w:t>
      </w:r>
      <w:r w:rsidR="00292D42">
        <w:t>covering</w:t>
      </w:r>
      <w:r w:rsidR="00D96B23">
        <w:t xml:space="preserve"> the rest of the issues.</w:t>
      </w:r>
    </w:p>
    <w:p w14:paraId="2984ADDF" w14:textId="538E0D1D" w:rsidR="0067567D" w:rsidRDefault="0067567D" w:rsidP="0067567D">
      <w:pPr>
        <w:pStyle w:val="Heading2"/>
      </w:pPr>
      <w:bookmarkStart w:id="10" w:name="_Toc103174618"/>
      <w:r>
        <w:t>What we are doing now</w:t>
      </w:r>
      <w:bookmarkEnd w:id="10"/>
    </w:p>
    <w:p w14:paraId="0B99F98A" w14:textId="3BCF8F4F" w:rsidR="00727C33" w:rsidRDefault="00727C33" w:rsidP="00291029">
      <w:pPr>
        <w:pStyle w:val="BodyText"/>
        <w:spacing w:before="220" w:line="310" w:lineRule="atLeast"/>
        <w:ind w:left="2268"/>
      </w:pPr>
      <w:bookmarkStart w:id="11" w:name="_ASICRef289"/>
      <w:r>
        <w:t xml:space="preserve">On 27 November 2020, ASIC issued </w:t>
      </w:r>
      <w:hyperlink r:id="rId24" w:history="1">
        <w:r w:rsidRPr="00292D42">
          <w:rPr>
            <w:rStyle w:val="Hyperlink"/>
          </w:rPr>
          <w:t>Consultation Paper 334</w:t>
        </w:r>
      </w:hyperlink>
      <w:r>
        <w:t xml:space="preserve"> </w:t>
      </w:r>
      <w:r>
        <w:rPr>
          <w:i/>
          <w:iCs/>
        </w:rPr>
        <w:t>Proposed changes to simplify the ASIC Derivative Transaction Rules (Reporting): First consultation</w:t>
      </w:r>
      <w:r>
        <w:t xml:space="preserve"> </w:t>
      </w:r>
      <w:r w:rsidR="00437F49">
        <w:t>(</w:t>
      </w:r>
      <w:r w:rsidR="00292D42" w:rsidRPr="00291029">
        <w:t>CP 334</w:t>
      </w:r>
      <w:r w:rsidR="00437F49">
        <w:t xml:space="preserve">) </w:t>
      </w:r>
      <w:r w:rsidR="008B1573">
        <w:t>in which we consulted on our</w:t>
      </w:r>
      <w:r>
        <w:t xml:space="preserve"> first proposals to </w:t>
      </w:r>
      <w:r w:rsidR="00C003B0">
        <w:t>update</w:t>
      </w:r>
      <w:r>
        <w:t xml:space="preserve"> the </w:t>
      </w:r>
      <w:r w:rsidRPr="00177AE0">
        <w:t xml:space="preserve">ASIC </w:t>
      </w:r>
      <w:r w:rsidR="00543B78" w:rsidRPr="00177AE0">
        <w:t>Rules</w:t>
      </w:r>
      <w:r w:rsidR="00543B78">
        <w:t>.</w:t>
      </w:r>
      <w:bookmarkEnd w:id="11"/>
    </w:p>
    <w:p w14:paraId="7EFAD8E7" w14:textId="62B215A5" w:rsidR="00D96B23" w:rsidRDefault="00D96B23" w:rsidP="00291029">
      <w:pPr>
        <w:pStyle w:val="BodyText"/>
        <w:spacing w:before="220" w:line="310" w:lineRule="atLeast"/>
        <w:ind w:left="2268"/>
      </w:pPr>
      <w:r w:rsidRPr="00291029">
        <w:t>In</w:t>
      </w:r>
      <w:r>
        <w:t xml:space="preserve"> CP</w:t>
      </w:r>
      <w:r w:rsidR="009A0228">
        <w:t xml:space="preserve"> </w:t>
      </w:r>
      <w:r>
        <w:t xml:space="preserve">334, we made proposals to update the </w:t>
      </w:r>
      <w:r w:rsidR="00D57D23">
        <w:t>c</w:t>
      </w:r>
      <w:r w:rsidR="00437B65">
        <w:t xml:space="preserve">urrent </w:t>
      </w:r>
      <w:r>
        <w:t>ASIC Rules so that they are:</w:t>
      </w:r>
    </w:p>
    <w:p w14:paraId="0C1C89B7" w14:textId="77777777" w:rsidR="00D96B23" w:rsidRDefault="00D96B23" w:rsidP="00C443A0">
      <w:pPr>
        <w:pStyle w:val="subparaa"/>
        <w:numPr>
          <w:ilvl w:val="1"/>
          <w:numId w:val="17"/>
        </w:numPr>
        <w:spacing w:before="120" w:line="310" w:lineRule="atLeast"/>
      </w:pPr>
      <w:bookmarkStart w:id="12" w:name="_ASICRef579"/>
      <w:r>
        <w:t>harmonised to international standards resulting in reduced cost and complexity for industry, improved data quality for the Australian regulators, more comprehensive and fit-for-purpose trade details and improved inter-jurisdictional data handling;</w:t>
      </w:r>
      <w:bookmarkEnd w:id="12"/>
    </w:p>
    <w:p w14:paraId="3DDBDD50" w14:textId="79A07E61" w:rsidR="00D96B23" w:rsidRPr="00177AE0" w:rsidRDefault="00D96B23" w:rsidP="00C443A0">
      <w:pPr>
        <w:pStyle w:val="subparaa"/>
        <w:keepNext/>
        <w:numPr>
          <w:ilvl w:val="1"/>
          <w:numId w:val="17"/>
        </w:numPr>
        <w:spacing w:before="120" w:line="310" w:lineRule="atLeast"/>
      </w:pPr>
      <w:r>
        <w:t xml:space="preserve">simplified by the removal of outdated transitional provisions and consolidation of exemptions within </w:t>
      </w:r>
      <w:r w:rsidRPr="00177AE0">
        <w:t xml:space="preserve">the </w:t>
      </w:r>
      <w:r w:rsidR="00437B65" w:rsidRPr="00177AE0">
        <w:t>rules</w:t>
      </w:r>
      <w:r w:rsidRPr="00177AE0">
        <w:t>; and</w:t>
      </w:r>
    </w:p>
    <w:p w14:paraId="21FC24B5" w14:textId="66B3D107" w:rsidR="00D96B23" w:rsidRDefault="00D96B23" w:rsidP="00C443A0">
      <w:pPr>
        <w:pStyle w:val="subparaa"/>
        <w:numPr>
          <w:ilvl w:val="1"/>
          <w:numId w:val="17"/>
        </w:numPr>
        <w:spacing w:before="120" w:line="310" w:lineRule="atLeast"/>
      </w:pPr>
      <w:r w:rsidRPr="00177AE0">
        <w:t>fit</w:t>
      </w:r>
      <w:r w:rsidR="00213645" w:rsidRPr="00177AE0">
        <w:t xml:space="preserve"> </w:t>
      </w:r>
      <w:r w:rsidRPr="00177AE0">
        <w:t>for</w:t>
      </w:r>
      <w:r w:rsidR="00213645" w:rsidRPr="00177AE0">
        <w:t xml:space="preserve"> </w:t>
      </w:r>
      <w:r w:rsidRPr="00177AE0">
        <w:t xml:space="preserve">purpose as to the scope of reporting entities, derivative products and lifecycle transaction events that are subject to the </w:t>
      </w:r>
      <w:r w:rsidR="00437B65" w:rsidRPr="00177AE0">
        <w:t>r</w:t>
      </w:r>
      <w:r w:rsidRPr="00177AE0">
        <w:t>ules</w:t>
      </w:r>
      <w:r w:rsidR="00213645" w:rsidRPr="00177AE0">
        <w:t>,</w:t>
      </w:r>
      <w:r w:rsidRPr="00177AE0">
        <w:t xml:space="preserve"> and clear as to the roles and responsibilities of entities submitting derivative</w:t>
      </w:r>
      <w:r>
        <w:t xml:space="preserve"> transaction reports.</w:t>
      </w:r>
    </w:p>
    <w:p w14:paraId="1C1D96DA" w14:textId="7F1BF405" w:rsidR="00086009" w:rsidRDefault="00213645" w:rsidP="00291029">
      <w:pPr>
        <w:pStyle w:val="BodyText"/>
        <w:spacing w:before="220" w:line="310" w:lineRule="atLeast"/>
        <w:ind w:left="2268"/>
      </w:pPr>
      <w:r>
        <w:t xml:space="preserve">We </w:t>
      </w:r>
      <w:r w:rsidR="009A0228">
        <w:t xml:space="preserve">received 40 submissions from 39 respondents to </w:t>
      </w:r>
      <w:hyperlink r:id="rId25" w:history="1">
        <w:r w:rsidR="009A0228" w:rsidRPr="00213645">
          <w:rPr>
            <w:rStyle w:val="Hyperlink"/>
          </w:rPr>
          <w:t>CP</w:t>
        </w:r>
        <w:r w:rsidRPr="00213645">
          <w:rPr>
            <w:rStyle w:val="Hyperlink"/>
          </w:rPr>
          <w:t xml:space="preserve"> </w:t>
        </w:r>
        <w:r w:rsidR="009A0228" w:rsidRPr="00213645">
          <w:rPr>
            <w:rStyle w:val="Hyperlink"/>
          </w:rPr>
          <w:t>334</w:t>
        </w:r>
      </w:hyperlink>
      <w:r w:rsidR="009A0228">
        <w:t>, of which 32 were confidential submission</w:t>
      </w:r>
      <w:r>
        <w:t>s</w:t>
      </w:r>
      <w:r w:rsidR="009A0228">
        <w:t xml:space="preserve"> and </w:t>
      </w:r>
      <w:r>
        <w:t xml:space="preserve">eight </w:t>
      </w:r>
      <w:r w:rsidR="009A0228">
        <w:t xml:space="preserve">were </w:t>
      </w:r>
      <w:hyperlink r:id="rId26" w:history="1">
        <w:r w:rsidR="009A0228" w:rsidRPr="00086009">
          <w:rPr>
            <w:rStyle w:val="Hyperlink"/>
          </w:rPr>
          <w:t>non-confidential</w:t>
        </w:r>
      </w:hyperlink>
      <w:r w:rsidR="009A0228">
        <w:t xml:space="preserve">. </w:t>
      </w:r>
      <w:r w:rsidR="00AE7C18">
        <w:fldChar w:fldCharType="begin" w:fldLock="1"/>
      </w:r>
      <w:r w:rsidR="00AE7C18">
        <w:instrText xml:space="preserve"> REF _Ref99364177 \h </w:instrText>
      </w:r>
      <w:r w:rsidR="00AE7C18">
        <w:fldChar w:fldCharType="separate"/>
      </w:r>
      <w:r w:rsidR="00853A2A">
        <w:t xml:space="preserve">Table </w:t>
      </w:r>
      <w:r w:rsidR="00853A2A">
        <w:rPr>
          <w:noProof/>
        </w:rPr>
        <w:t>1</w:t>
      </w:r>
      <w:r w:rsidR="00AE7C18">
        <w:fldChar w:fldCharType="end"/>
      </w:r>
      <w:r>
        <w:t xml:space="preserve"> </w:t>
      </w:r>
      <w:r w:rsidR="00AE7C18">
        <w:t xml:space="preserve">lists the number of respondents </w:t>
      </w:r>
      <w:r w:rsidR="00177AE0">
        <w:t>by type of respondent</w:t>
      </w:r>
      <w:r w:rsidR="00AE7C18">
        <w:t>.</w:t>
      </w:r>
      <w:r w:rsidR="00051A93">
        <w:t xml:space="preserve"> </w:t>
      </w:r>
    </w:p>
    <w:p w14:paraId="4ED8F8CC" w14:textId="5917CC23" w:rsidR="009D3EB3" w:rsidRDefault="009D3EB3" w:rsidP="009D3EB3">
      <w:pPr>
        <w:pStyle w:val="tabletitleindented"/>
      </w:pPr>
      <w:bookmarkStart w:id="13" w:name="_Ref99364177"/>
      <w:r>
        <w:t xml:space="preserve">Table </w:t>
      </w:r>
      <w:fldSimple w:instr=" SEQ Table \* ARABIC ">
        <w:r w:rsidR="006679BA">
          <w:rPr>
            <w:noProof/>
          </w:rPr>
          <w:t>1</w:t>
        </w:r>
      </w:fldSimple>
      <w:bookmarkEnd w:id="13"/>
      <w:r>
        <w:t>:</w:t>
      </w:r>
      <w:r>
        <w:tab/>
      </w:r>
      <w:r w:rsidR="00437B65">
        <w:t>Number of respondents by type of respondent</w:t>
      </w:r>
    </w:p>
    <w:tbl>
      <w:tblPr>
        <w:tblW w:w="5671"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835"/>
        <w:gridCol w:w="2836"/>
      </w:tblGrid>
      <w:tr w:rsidR="009A0228" w:rsidRPr="000540E1" w14:paraId="7580D23B" w14:textId="77777777" w:rsidTr="009A0228">
        <w:trPr>
          <w:cantSplit/>
          <w:tblHeader/>
        </w:trPr>
        <w:tc>
          <w:tcPr>
            <w:tcW w:w="2500" w:type="pct"/>
            <w:shd w:val="clear" w:color="auto" w:fill="C2E3FA"/>
          </w:tcPr>
          <w:p w14:paraId="274C6DC6" w14:textId="0C22A587" w:rsidR="009A0228" w:rsidRPr="000540E1" w:rsidRDefault="009A0228" w:rsidP="00291029">
            <w:pPr>
              <w:pStyle w:val="tablehead"/>
              <w:spacing w:line="250" w:lineRule="atLeast"/>
            </w:pPr>
            <w:r>
              <w:t xml:space="preserve">Type of </w:t>
            </w:r>
            <w:r w:rsidR="00213645">
              <w:t>respondent</w:t>
            </w:r>
          </w:p>
        </w:tc>
        <w:tc>
          <w:tcPr>
            <w:tcW w:w="2500" w:type="pct"/>
            <w:shd w:val="clear" w:color="auto" w:fill="C2E3FA"/>
          </w:tcPr>
          <w:p w14:paraId="089919A0" w14:textId="0E02B36A" w:rsidR="009A0228" w:rsidRDefault="009A0228" w:rsidP="00291029">
            <w:pPr>
              <w:pStyle w:val="tablehead"/>
              <w:spacing w:line="250" w:lineRule="atLeast"/>
              <w:jc w:val="center"/>
            </w:pPr>
            <w:r>
              <w:t>No.</w:t>
            </w:r>
            <w:r w:rsidR="00213645">
              <w:t xml:space="preserve"> </w:t>
            </w:r>
            <w:r>
              <w:t xml:space="preserve">of </w:t>
            </w:r>
            <w:r w:rsidR="00213645">
              <w:t>respondents</w:t>
            </w:r>
          </w:p>
        </w:tc>
      </w:tr>
      <w:tr w:rsidR="009A0228" w:rsidRPr="000540E1" w14:paraId="62C1C6B7" w14:textId="77777777" w:rsidTr="009A0228">
        <w:trPr>
          <w:cantSplit/>
        </w:trPr>
        <w:tc>
          <w:tcPr>
            <w:tcW w:w="2500" w:type="pct"/>
          </w:tcPr>
          <w:p w14:paraId="2732D8B9" w14:textId="77777777" w:rsidR="009A0228" w:rsidRDefault="009A0228" w:rsidP="00291029">
            <w:pPr>
              <w:pStyle w:val="tbltext"/>
              <w:spacing w:line="250" w:lineRule="atLeast"/>
            </w:pPr>
            <w:r>
              <w:t>Reporting entity (CFD Provider)</w:t>
            </w:r>
          </w:p>
        </w:tc>
        <w:tc>
          <w:tcPr>
            <w:tcW w:w="2500" w:type="pct"/>
          </w:tcPr>
          <w:p w14:paraId="64B1095C" w14:textId="77777777" w:rsidR="009A0228" w:rsidRDefault="009A0228" w:rsidP="00291029">
            <w:pPr>
              <w:pStyle w:val="tbltext"/>
              <w:spacing w:line="250" w:lineRule="atLeast"/>
              <w:jc w:val="center"/>
            </w:pPr>
            <w:r>
              <w:t>15</w:t>
            </w:r>
          </w:p>
        </w:tc>
      </w:tr>
      <w:tr w:rsidR="009A0228" w:rsidRPr="000540E1" w14:paraId="05C26083" w14:textId="77777777" w:rsidTr="009A0228">
        <w:trPr>
          <w:cantSplit/>
        </w:trPr>
        <w:tc>
          <w:tcPr>
            <w:tcW w:w="2500" w:type="pct"/>
          </w:tcPr>
          <w:p w14:paraId="5858F447" w14:textId="77777777" w:rsidR="009A0228" w:rsidRPr="000540E1" w:rsidRDefault="009A0228" w:rsidP="00291029">
            <w:pPr>
              <w:pStyle w:val="tbltext"/>
              <w:spacing w:line="250" w:lineRule="atLeast"/>
            </w:pPr>
            <w:r>
              <w:t>Reporting entity (buy-side)</w:t>
            </w:r>
          </w:p>
        </w:tc>
        <w:tc>
          <w:tcPr>
            <w:tcW w:w="2500" w:type="pct"/>
          </w:tcPr>
          <w:p w14:paraId="67A02620" w14:textId="77777777" w:rsidR="009A0228" w:rsidRDefault="009A0228" w:rsidP="00291029">
            <w:pPr>
              <w:pStyle w:val="tbltext"/>
              <w:spacing w:line="250" w:lineRule="atLeast"/>
              <w:jc w:val="center"/>
            </w:pPr>
            <w:r>
              <w:t>11</w:t>
            </w:r>
          </w:p>
        </w:tc>
      </w:tr>
      <w:tr w:rsidR="009A0228" w:rsidRPr="000540E1" w14:paraId="2AB2E4F3" w14:textId="77777777" w:rsidTr="009A0228">
        <w:trPr>
          <w:cantSplit/>
        </w:trPr>
        <w:tc>
          <w:tcPr>
            <w:tcW w:w="2500" w:type="pct"/>
          </w:tcPr>
          <w:p w14:paraId="36DC23B8" w14:textId="77777777" w:rsidR="009A0228" w:rsidRDefault="009A0228" w:rsidP="00291029">
            <w:pPr>
              <w:pStyle w:val="tbltext"/>
              <w:spacing w:line="250" w:lineRule="atLeast"/>
            </w:pPr>
            <w:r>
              <w:t>Reporting entity (sell-side)</w:t>
            </w:r>
          </w:p>
        </w:tc>
        <w:tc>
          <w:tcPr>
            <w:tcW w:w="2500" w:type="pct"/>
          </w:tcPr>
          <w:p w14:paraId="365307CF" w14:textId="77777777" w:rsidR="009A0228" w:rsidRDefault="009A0228" w:rsidP="00291029">
            <w:pPr>
              <w:pStyle w:val="tbltext"/>
              <w:spacing w:line="250" w:lineRule="atLeast"/>
              <w:jc w:val="center"/>
            </w:pPr>
            <w:r>
              <w:t>5</w:t>
            </w:r>
          </w:p>
        </w:tc>
      </w:tr>
      <w:tr w:rsidR="009A0228" w:rsidRPr="000540E1" w14:paraId="781009B6" w14:textId="77777777" w:rsidTr="009A0228">
        <w:trPr>
          <w:cantSplit/>
        </w:trPr>
        <w:tc>
          <w:tcPr>
            <w:tcW w:w="2500" w:type="pct"/>
          </w:tcPr>
          <w:p w14:paraId="550F5BD3" w14:textId="77777777" w:rsidR="009A0228" w:rsidRDefault="009A0228" w:rsidP="00291029">
            <w:pPr>
              <w:pStyle w:val="tbltext"/>
              <w:spacing w:line="250" w:lineRule="atLeast"/>
            </w:pPr>
            <w:r w:rsidRPr="008A5D77">
              <w:t>Industry Association</w:t>
            </w:r>
          </w:p>
        </w:tc>
        <w:tc>
          <w:tcPr>
            <w:tcW w:w="2500" w:type="pct"/>
          </w:tcPr>
          <w:p w14:paraId="494291D5" w14:textId="77777777" w:rsidR="009A0228" w:rsidRDefault="009A0228" w:rsidP="00291029">
            <w:pPr>
              <w:pStyle w:val="tbltext"/>
              <w:spacing w:line="250" w:lineRule="atLeast"/>
              <w:jc w:val="center"/>
            </w:pPr>
            <w:r>
              <w:t>3</w:t>
            </w:r>
          </w:p>
        </w:tc>
      </w:tr>
      <w:tr w:rsidR="009A0228" w:rsidRPr="000540E1" w14:paraId="3789E5DD" w14:textId="77777777" w:rsidTr="009A0228">
        <w:trPr>
          <w:cantSplit/>
        </w:trPr>
        <w:tc>
          <w:tcPr>
            <w:tcW w:w="2500" w:type="pct"/>
          </w:tcPr>
          <w:p w14:paraId="3CA20C3B" w14:textId="71670712" w:rsidR="009A0228" w:rsidRPr="000540E1" w:rsidRDefault="009A0228" w:rsidP="00291029">
            <w:pPr>
              <w:pStyle w:val="tbltext"/>
              <w:spacing w:line="250" w:lineRule="atLeast"/>
            </w:pPr>
            <w:r>
              <w:t>Global LEI System entity</w:t>
            </w:r>
          </w:p>
        </w:tc>
        <w:tc>
          <w:tcPr>
            <w:tcW w:w="2500" w:type="pct"/>
          </w:tcPr>
          <w:p w14:paraId="6BA09DC0" w14:textId="6CED1550" w:rsidR="009A0228" w:rsidRDefault="009A0228" w:rsidP="00291029">
            <w:pPr>
              <w:pStyle w:val="tbltext"/>
              <w:spacing w:line="250" w:lineRule="atLeast"/>
              <w:jc w:val="center"/>
            </w:pPr>
            <w:r>
              <w:t>2</w:t>
            </w:r>
          </w:p>
        </w:tc>
      </w:tr>
      <w:tr w:rsidR="009A0228" w:rsidRPr="000540E1" w14:paraId="11C523FB" w14:textId="77777777" w:rsidTr="009A0228">
        <w:trPr>
          <w:cantSplit/>
        </w:trPr>
        <w:tc>
          <w:tcPr>
            <w:tcW w:w="2500" w:type="pct"/>
          </w:tcPr>
          <w:p w14:paraId="1AA350D4" w14:textId="46CEC1F3" w:rsidR="009A0228" w:rsidRPr="000540E1" w:rsidRDefault="009A0228" w:rsidP="00291029">
            <w:pPr>
              <w:pStyle w:val="tbltext"/>
              <w:spacing w:line="250" w:lineRule="atLeast"/>
            </w:pPr>
            <w:r>
              <w:t>Derivative Trade Repository</w:t>
            </w:r>
          </w:p>
        </w:tc>
        <w:tc>
          <w:tcPr>
            <w:tcW w:w="2500" w:type="pct"/>
          </w:tcPr>
          <w:p w14:paraId="44383B22" w14:textId="5E5784CA" w:rsidR="009A0228" w:rsidRDefault="009A0228" w:rsidP="00291029">
            <w:pPr>
              <w:pStyle w:val="tbltext"/>
              <w:spacing w:line="250" w:lineRule="atLeast"/>
              <w:jc w:val="center"/>
            </w:pPr>
            <w:r>
              <w:t>1</w:t>
            </w:r>
          </w:p>
        </w:tc>
      </w:tr>
      <w:tr w:rsidR="009A0228" w:rsidRPr="000540E1" w14:paraId="26FC094B" w14:textId="77777777" w:rsidTr="009A0228">
        <w:trPr>
          <w:cantSplit/>
        </w:trPr>
        <w:tc>
          <w:tcPr>
            <w:tcW w:w="2500" w:type="pct"/>
          </w:tcPr>
          <w:p w14:paraId="72F4E33D" w14:textId="57791AA8" w:rsidR="009A0228" w:rsidRDefault="009A0228" w:rsidP="00291029">
            <w:pPr>
              <w:pStyle w:val="tbltext"/>
              <w:spacing w:line="250" w:lineRule="atLeast"/>
            </w:pPr>
            <w:r>
              <w:t>Reporting services provider</w:t>
            </w:r>
          </w:p>
        </w:tc>
        <w:tc>
          <w:tcPr>
            <w:tcW w:w="2500" w:type="pct"/>
          </w:tcPr>
          <w:p w14:paraId="156AD415" w14:textId="41BB6523" w:rsidR="009A0228" w:rsidRDefault="009A0228" w:rsidP="00291029">
            <w:pPr>
              <w:pStyle w:val="tbltext"/>
              <w:spacing w:line="250" w:lineRule="atLeast"/>
              <w:jc w:val="center"/>
            </w:pPr>
            <w:r>
              <w:t>1</w:t>
            </w:r>
          </w:p>
        </w:tc>
      </w:tr>
      <w:tr w:rsidR="009A0228" w:rsidRPr="000540E1" w14:paraId="237F7881" w14:textId="77777777" w:rsidTr="009A0228">
        <w:trPr>
          <w:cantSplit/>
        </w:trPr>
        <w:tc>
          <w:tcPr>
            <w:tcW w:w="2500" w:type="pct"/>
          </w:tcPr>
          <w:p w14:paraId="07E9AED4" w14:textId="6A49AAFA" w:rsidR="009A0228" w:rsidRDefault="009A0228" w:rsidP="00291029">
            <w:pPr>
              <w:pStyle w:val="tbltext"/>
              <w:spacing w:line="250" w:lineRule="atLeast"/>
            </w:pPr>
            <w:r>
              <w:t>CCP</w:t>
            </w:r>
          </w:p>
        </w:tc>
        <w:tc>
          <w:tcPr>
            <w:tcW w:w="2500" w:type="pct"/>
          </w:tcPr>
          <w:p w14:paraId="789D363E" w14:textId="713A3B48" w:rsidR="009A0228" w:rsidRDefault="009A0228" w:rsidP="00291029">
            <w:pPr>
              <w:pStyle w:val="tbltext"/>
              <w:spacing w:line="250" w:lineRule="atLeast"/>
              <w:jc w:val="center"/>
            </w:pPr>
            <w:r>
              <w:t>1</w:t>
            </w:r>
          </w:p>
        </w:tc>
      </w:tr>
    </w:tbl>
    <w:p w14:paraId="70580090" w14:textId="491A09AB" w:rsidR="00E12EBB" w:rsidRDefault="00E12EBB" w:rsidP="00291029">
      <w:pPr>
        <w:pStyle w:val="BodyText"/>
        <w:spacing w:before="220" w:line="310" w:lineRule="atLeast"/>
        <w:ind w:left="2268"/>
      </w:pPr>
      <w:r>
        <w:t>We acknowledge, and are grateful for, the valuable contributions made by respondents and the time and effort they went to.</w:t>
      </w:r>
    </w:p>
    <w:p w14:paraId="663A2756" w14:textId="6B9AF7BD" w:rsidR="00F3378D" w:rsidRDefault="00D96B23" w:rsidP="00291029">
      <w:pPr>
        <w:pStyle w:val="BodyText"/>
        <w:spacing w:before="220" w:line="310" w:lineRule="atLeast"/>
        <w:ind w:left="2268"/>
      </w:pPr>
      <w:r>
        <w:t xml:space="preserve">Having </w:t>
      </w:r>
      <w:r w:rsidR="008B1573">
        <w:t xml:space="preserve">considered the feedback </w:t>
      </w:r>
      <w:r w:rsidR="00F3378D">
        <w:t xml:space="preserve">we received </w:t>
      </w:r>
      <w:r>
        <w:t xml:space="preserve">from stakeholders </w:t>
      </w:r>
      <w:r w:rsidR="008B1573">
        <w:t>to CP</w:t>
      </w:r>
      <w:r w:rsidR="00AE7C18">
        <w:t xml:space="preserve"> </w:t>
      </w:r>
      <w:r w:rsidR="008B1573">
        <w:t>334</w:t>
      </w:r>
      <w:r w:rsidR="00F3378D">
        <w:t>, the breadth of the consultation matters</w:t>
      </w:r>
      <w:r w:rsidR="008B1573">
        <w:t xml:space="preserve"> and </w:t>
      </w:r>
      <w:r>
        <w:t xml:space="preserve">the long lead times requested by stakeholders to implement systems and process changes, we have decided </w:t>
      </w:r>
      <w:r w:rsidR="00F3378D">
        <w:t xml:space="preserve">to split our further proposals into two </w:t>
      </w:r>
      <w:r w:rsidR="00437B65">
        <w:t xml:space="preserve">more </w:t>
      </w:r>
      <w:r w:rsidR="00C923C1">
        <w:t xml:space="preserve">rounds of </w:t>
      </w:r>
      <w:r w:rsidR="00F3378D">
        <w:t>consultation.</w:t>
      </w:r>
    </w:p>
    <w:p w14:paraId="6E07A655" w14:textId="6E6D558F" w:rsidR="00F3378D" w:rsidRDefault="00F3378D" w:rsidP="00291029">
      <w:pPr>
        <w:pStyle w:val="BodyText"/>
        <w:spacing w:before="220" w:line="310" w:lineRule="atLeast"/>
        <w:ind w:left="2268"/>
      </w:pPr>
      <w:r>
        <w:t xml:space="preserve">In this second consultation, we </w:t>
      </w:r>
      <w:r w:rsidR="008B1573">
        <w:t xml:space="preserve">are proposing </w:t>
      </w:r>
      <w:r w:rsidR="00D96B23">
        <w:t xml:space="preserve">specific changes </w:t>
      </w:r>
      <w:r w:rsidR="008B1573">
        <w:t xml:space="preserve">to the </w:t>
      </w:r>
      <w:r w:rsidR="0065506F">
        <w:t>c</w:t>
      </w:r>
      <w:r w:rsidR="00437B65">
        <w:t xml:space="preserve">urrent </w:t>
      </w:r>
      <w:r w:rsidR="008B1573">
        <w:t>ASIC Rules</w:t>
      </w:r>
      <w:r>
        <w:t xml:space="preserve"> relating to the long lead time elements of implementing the internationally harmonised standards</w:t>
      </w:r>
      <w:r w:rsidR="00FD2702">
        <w:t xml:space="preserve"> of the UTI, UPI and data elements and to specify </w:t>
      </w:r>
      <w:hyperlink r:id="rId27" w:history="1">
        <w:r w:rsidR="00FD2702" w:rsidRPr="00044945">
          <w:rPr>
            <w:rStyle w:val="Hyperlink"/>
          </w:rPr>
          <w:t>ISO 20022</w:t>
        </w:r>
      </w:hyperlink>
      <w:r w:rsidR="00FD2702">
        <w:t xml:space="preserve"> </w:t>
      </w:r>
      <w:r w:rsidR="00044945" w:rsidRPr="003F6083">
        <w:rPr>
          <w:i/>
          <w:iCs/>
        </w:rPr>
        <w:t>Financial Services</w:t>
      </w:r>
      <w:r w:rsidR="003F6083" w:rsidRPr="003F6083">
        <w:rPr>
          <w:i/>
          <w:iCs/>
        </w:rPr>
        <w:t>—</w:t>
      </w:r>
      <w:r w:rsidR="00044945" w:rsidRPr="003F6083">
        <w:rPr>
          <w:i/>
          <w:iCs/>
        </w:rPr>
        <w:t>Universal financial industry message scheme</w:t>
      </w:r>
      <w:r w:rsidR="00044945">
        <w:t xml:space="preserve"> </w:t>
      </w:r>
      <w:r w:rsidR="00FD2702">
        <w:t>as the data messaging standard</w:t>
      </w:r>
      <w:r>
        <w:t xml:space="preserve">. We are also proposing specific changes to simplify the </w:t>
      </w:r>
      <w:r w:rsidR="0065506F">
        <w:t>c</w:t>
      </w:r>
      <w:r w:rsidR="00437B65">
        <w:t xml:space="preserve">urrent </w:t>
      </w:r>
      <w:r>
        <w:t>ASIC Rules by removing the outdated transitional provisions</w:t>
      </w:r>
      <w:r w:rsidR="008B1573">
        <w:t xml:space="preserve"> </w:t>
      </w:r>
      <w:r>
        <w:t xml:space="preserve">and consolidating some exemptions within the </w:t>
      </w:r>
      <w:r w:rsidR="009A0228">
        <w:t>c</w:t>
      </w:r>
      <w:r w:rsidR="00437B65">
        <w:t xml:space="preserve">urrent </w:t>
      </w:r>
      <w:r>
        <w:t>ASIC Rules.</w:t>
      </w:r>
    </w:p>
    <w:p w14:paraId="29C01E18" w14:textId="4DEFDB23" w:rsidR="009A0228" w:rsidRDefault="009A0228" w:rsidP="00291029">
      <w:pPr>
        <w:pStyle w:val="BodyText"/>
        <w:spacing w:before="220" w:line="310" w:lineRule="atLeast"/>
        <w:ind w:left="2268"/>
      </w:pPr>
      <w:bookmarkStart w:id="14" w:name="_ASICRef457"/>
      <w:bookmarkStart w:id="15" w:name="_ASICRef191"/>
      <w:r>
        <w:t xml:space="preserve">The </w:t>
      </w:r>
      <w:r w:rsidR="0065506F">
        <w:t>c</w:t>
      </w:r>
      <w:r>
        <w:t>urrent ASIC Rules cease on 1 October 2023 and we are proposing a two-stage process to effect updates to the rules:</w:t>
      </w:r>
      <w:bookmarkEnd w:id="14"/>
      <w:bookmarkEnd w:id="15"/>
    </w:p>
    <w:p w14:paraId="4A4F4FCA" w14:textId="49F9C515" w:rsidR="009A0228" w:rsidRDefault="00FC0EAD" w:rsidP="00C443A0">
      <w:pPr>
        <w:pStyle w:val="subparaa"/>
        <w:numPr>
          <w:ilvl w:val="1"/>
          <w:numId w:val="17"/>
        </w:numPr>
        <w:spacing w:before="120" w:line="310" w:lineRule="atLeast"/>
      </w:pPr>
      <w:r>
        <w:t>s</w:t>
      </w:r>
      <w:r w:rsidR="009A0228">
        <w:t xml:space="preserve">ubject to the Minister’s consent, commencing on the cessation of the </w:t>
      </w:r>
      <w:r w:rsidR="0065506F">
        <w:t>c</w:t>
      </w:r>
      <w:r w:rsidR="009A0228">
        <w:t>urrent ASIC Rules</w:t>
      </w:r>
      <w:r w:rsidR="00214693">
        <w:t xml:space="preserve"> on 1 October 2023</w:t>
      </w:r>
      <w:r w:rsidR="009A0228">
        <w:t>, a new legislative instrument</w:t>
      </w:r>
      <w:r w:rsidR="00214693" w:rsidRPr="00291029">
        <w:t>—</w:t>
      </w:r>
      <w:r w:rsidR="009A0228" w:rsidRPr="00C02A1D">
        <w:t xml:space="preserve">the </w:t>
      </w:r>
      <w:r w:rsidR="009A0228" w:rsidRPr="00291029">
        <w:rPr>
          <w:i/>
          <w:iCs/>
        </w:rPr>
        <w:t>ASIC Derivative Transaction Rules (Reporting) 2022</w:t>
      </w:r>
      <w:r w:rsidR="00214693" w:rsidRPr="00BA10DC">
        <w:t>—</w:t>
      </w:r>
      <w:r w:rsidR="009A0228">
        <w:t xml:space="preserve">would implement the UTI, fully implement LEI </w:t>
      </w:r>
      <w:r w:rsidR="00C003B0">
        <w:t xml:space="preserve">requirements </w:t>
      </w:r>
      <w:r w:rsidR="009A0228">
        <w:t>and make other changes, but not add any new data elements beyond those currently reported</w:t>
      </w:r>
      <w:r w:rsidR="00214693">
        <w:t xml:space="preserve">. In </w:t>
      </w:r>
      <w:r w:rsidR="009A0228">
        <w:t xml:space="preserve">this consultation paper we refer to these rules as the </w:t>
      </w:r>
      <w:r w:rsidR="009A0228" w:rsidRPr="00FC0EAD">
        <w:rPr>
          <w:b/>
          <w:bCs/>
        </w:rPr>
        <w:t>draft remade ASIC Rules</w:t>
      </w:r>
      <w:r w:rsidR="009A0228">
        <w:t>; and</w:t>
      </w:r>
    </w:p>
    <w:p w14:paraId="5FB4E6C0" w14:textId="61FD0F9B" w:rsidR="009A0228" w:rsidRDefault="00FC0EAD" w:rsidP="00C443A0">
      <w:pPr>
        <w:pStyle w:val="subparaa"/>
        <w:numPr>
          <w:ilvl w:val="1"/>
          <w:numId w:val="17"/>
        </w:numPr>
        <w:spacing w:before="120" w:line="310" w:lineRule="atLeast"/>
      </w:pPr>
      <w:r>
        <w:t>s</w:t>
      </w:r>
      <w:r w:rsidR="009A0228">
        <w:t xml:space="preserve">ubject to the Minister’s consent, commencing on 1 April 2024, an amendment to the new </w:t>
      </w:r>
      <w:r w:rsidR="009A0228" w:rsidRPr="000A4612">
        <w:rPr>
          <w:i/>
          <w:iCs/>
        </w:rPr>
        <w:t>ASIC Derivative Transaction Rules (Reporting) 2022</w:t>
      </w:r>
      <w:r w:rsidR="009A0228">
        <w:t xml:space="preserve"> would implement the UPI and fully implement the additional data elements</w:t>
      </w:r>
      <w:r w:rsidR="00214693">
        <w:t>. I</w:t>
      </w:r>
      <w:r w:rsidR="009A0228">
        <w:t xml:space="preserve">n this consultation paper we refer to the amended rules as the </w:t>
      </w:r>
      <w:r w:rsidR="009A0228" w:rsidRPr="00FC0EAD">
        <w:rPr>
          <w:b/>
          <w:bCs/>
        </w:rPr>
        <w:t>draft amended ASIC Rules</w:t>
      </w:r>
      <w:r w:rsidR="009A0228">
        <w:t>.</w:t>
      </w:r>
    </w:p>
    <w:p w14:paraId="34003263" w14:textId="444C9948" w:rsidR="00E4571C" w:rsidRDefault="009A0228" w:rsidP="00291029">
      <w:pPr>
        <w:pStyle w:val="Note"/>
        <w:spacing w:before="220" w:line="250" w:lineRule="atLeast"/>
      </w:pPr>
      <w:r>
        <w:t xml:space="preserve">Note: </w:t>
      </w:r>
      <w:r w:rsidR="00214693">
        <w:t>I</w:t>
      </w:r>
      <w:r>
        <w:t xml:space="preserve">n this consultation paper, where we refer to the </w:t>
      </w:r>
      <w:r w:rsidR="00EA4991">
        <w:t>‘</w:t>
      </w:r>
      <w:r w:rsidRPr="000A4612">
        <w:t>ASIC Rules</w:t>
      </w:r>
      <w:r w:rsidR="00EA4991" w:rsidRPr="000A4612">
        <w:t>’</w:t>
      </w:r>
      <w:r>
        <w:t xml:space="preserve"> in a future state context, we are referring to either or both of the draft remade ASIC Rules and the draft amended ASIC Rules</w:t>
      </w:r>
      <w:r w:rsidR="00214693">
        <w:t>,</w:t>
      </w:r>
      <w:r>
        <w:t xml:space="preserve"> as the context implies.</w:t>
      </w:r>
    </w:p>
    <w:p w14:paraId="502D4842" w14:textId="73783586" w:rsidR="009A0228" w:rsidRPr="00291029" w:rsidRDefault="009A0228" w:rsidP="00291029">
      <w:pPr>
        <w:pStyle w:val="BodyText"/>
        <w:spacing w:before="220" w:line="310" w:lineRule="atLeast"/>
        <w:ind w:left="2268"/>
        <w:rPr>
          <w:spacing w:val="2"/>
        </w:rPr>
      </w:pPr>
      <w:r w:rsidRPr="00291029">
        <w:rPr>
          <w:spacing w:val="2"/>
        </w:rPr>
        <w:t xml:space="preserve">Our proposals in </w:t>
      </w:r>
      <w:hyperlink r:id="rId28" w:history="1">
        <w:r w:rsidRPr="00291029">
          <w:rPr>
            <w:rStyle w:val="Hyperlink"/>
            <w:spacing w:val="2"/>
          </w:rPr>
          <w:t>CP 334</w:t>
        </w:r>
      </w:hyperlink>
      <w:r w:rsidRPr="00291029">
        <w:rPr>
          <w:spacing w:val="2"/>
        </w:rPr>
        <w:t xml:space="preserve"> were of a final future state of the ASIC Rules (</w:t>
      </w:r>
      <w:r w:rsidRPr="000A4612">
        <w:rPr>
          <w:spacing w:val="2"/>
        </w:rPr>
        <w:t>CP</w:t>
      </w:r>
      <w:r w:rsidR="00214693" w:rsidRPr="000A4612">
        <w:rPr>
          <w:spacing w:val="2"/>
        </w:rPr>
        <w:t> </w:t>
      </w:r>
      <w:r w:rsidRPr="000A4612">
        <w:rPr>
          <w:spacing w:val="2"/>
        </w:rPr>
        <w:t>334 future state)</w:t>
      </w:r>
      <w:r w:rsidRPr="00EA4991">
        <w:rPr>
          <w:spacing w:val="2"/>
        </w:rPr>
        <w:t>.</w:t>
      </w:r>
      <w:r w:rsidRPr="00291029">
        <w:rPr>
          <w:spacing w:val="2"/>
        </w:rPr>
        <w:t xml:space="preserve"> Under our two-stage plan, the draft amended ASIC Rules reflect this final future state, with the changes of greatest </w:t>
      </w:r>
      <w:r w:rsidR="00C003B0" w:rsidRPr="00291029">
        <w:rPr>
          <w:spacing w:val="2"/>
        </w:rPr>
        <w:t>impact</w:t>
      </w:r>
      <w:r w:rsidRPr="00291029">
        <w:rPr>
          <w:spacing w:val="2"/>
        </w:rPr>
        <w:t xml:space="preserve"> on systems and processes only taking effect in those rules. The earlier draft remade ASIC Rules would include other elements of the final future state that we think are appropriate and important to implement at this earlier stage.</w:t>
      </w:r>
    </w:p>
    <w:p w14:paraId="5FE15875" w14:textId="29E59102" w:rsidR="009A0228" w:rsidRDefault="009A0228" w:rsidP="00291029">
      <w:pPr>
        <w:pStyle w:val="BodyText"/>
        <w:spacing w:before="220" w:line="310" w:lineRule="atLeast"/>
        <w:ind w:left="2268"/>
      </w:pPr>
      <w:r>
        <w:t xml:space="preserve">The rules elements of each of these stages are summarised in </w:t>
      </w:r>
      <w:r w:rsidR="00BF67C7">
        <w:fldChar w:fldCharType="begin" w:fldLock="1"/>
      </w:r>
      <w:r w:rsidR="00BF67C7">
        <w:instrText xml:space="preserve"> REF _Ref101168874 \h </w:instrText>
      </w:r>
      <w:r w:rsidR="00BF67C7">
        <w:fldChar w:fldCharType="separate"/>
      </w:r>
      <w:r w:rsidR="00853A2A">
        <w:t xml:space="preserve">Table </w:t>
      </w:r>
      <w:r w:rsidR="00853A2A">
        <w:rPr>
          <w:noProof/>
        </w:rPr>
        <w:t>2</w:t>
      </w:r>
      <w:r w:rsidR="00BF67C7">
        <w:fldChar w:fldCharType="end"/>
      </w:r>
      <w:r w:rsidR="005851D0">
        <w:t>.</w:t>
      </w:r>
    </w:p>
    <w:p w14:paraId="002D5CD9" w14:textId="7E2A29E2" w:rsidR="00D60F8D" w:rsidRDefault="0078199F" w:rsidP="00D60F8D">
      <w:pPr>
        <w:pStyle w:val="tabletitlefullwidth"/>
      </w:pPr>
      <w:bookmarkStart w:id="16" w:name="_Ref101168874"/>
      <w:r>
        <w:t xml:space="preserve">Table </w:t>
      </w:r>
      <w:fldSimple w:instr=" SEQ Table \* ARABIC ">
        <w:r w:rsidR="006679BA">
          <w:rPr>
            <w:noProof/>
          </w:rPr>
          <w:t>2</w:t>
        </w:r>
      </w:fldSimple>
      <w:bookmarkEnd w:id="16"/>
      <w:r>
        <w:t>:</w:t>
      </w:r>
      <w:r>
        <w:tab/>
      </w:r>
      <w:r w:rsidR="00D60F8D">
        <w:t>Elements of the rules by stage</w:t>
      </w:r>
    </w:p>
    <w:tbl>
      <w:tblPr>
        <w:tblW w:w="5000" w:type="pct"/>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2127"/>
        <w:gridCol w:w="6943"/>
      </w:tblGrid>
      <w:tr w:rsidR="00D60F8D" w:rsidRPr="000540E1" w14:paraId="2251281C" w14:textId="77777777" w:rsidTr="00291029">
        <w:tc>
          <w:tcPr>
            <w:tcW w:w="2127" w:type="dxa"/>
            <w:shd w:val="clear" w:color="auto" w:fill="C2E3FA"/>
          </w:tcPr>
          <w:p w14:paraId="674FAF65" w14:textId="396A8B0A" w:rsidR="00D60F8D" w:rsidRPr="000540E1" w:rsidRDefault="00D60F8D" w:rsidP="00291029">
            <w:pPr>
              <w:pStyle w:val="tablehead"/>
              <w:spacing w:line="250" w:lineRule="atLeast"/>
            </w:pPr>
            <w:r>
              <w:t>In the draft remade ASIC Rules</w:t>
            </w:r>
          </w:p>
        </w:tc>
        <w:tc>
          <w:tcPr>
            <w:tcW w:w="6943" w:type="dxa"/>
          </w:tcPr>
          <w:p w14:paraId="6B0716FD" w14:textId="77777777" w:rsidR="00D60F8D" w:rsidRDefault="00D60F8D" w:rsidP="005E3758">
            <w:pPr>
              <w:pStyle w:val="tablebullet"/>
              <w:spacing w:before="120" w:line="250" w:lineRule="atLeast"/>
            </w:pPr>
            <w:r>
              <w:t>Implement the UTI and fully implement the LEI</w:t>
            </w:r>
          </w:p>
          <w:p w14:paraId="0A09E5CB" w14:textId="77777777" w:rsidR="00D60F8D" w:rsidRDefault="00D60F8D" w:rsidP="005E3758">
            <w:pPr>
              <w:pStyle w:val="tablebullet"/>
              <w:spacing w:before="120" w:line="250" w:lineRule="atLeast"/>
            </w:pPr>
            <w:r>
              <w:t>Include an LEI ‘grace period’ and require an LEI for joint counterparties</w:t>
            </w:r>
          </w:p>
          <w:p w14:paraId="38C15638" w14:textId="77777777" w:rsidR="00D60F8D" w:rsidRPr="00E4571C" w:rsidRDefault="00D60F8D" w:rsidP="005E3758">
            <w:pPr>
              <w:pStyle w:val="tablebullet"/>
              <w:spacing w:before="120" w:line="250" w:lineRule="atLeast"/>
            </w:pPr>
            <w:r w:rsidRPr="00E4571C">
              <w:t xml:space="preserve">Revise the </w:t>
            </w:r>
            <w:r>
              <w:t xml:space="preserve">schedule of </w:t>
            </w:r>
            <w:r w:rsidRPr="00E4571C">
              <w:t>data elements to:</w:t>
            </w:r>
          </w:p>
          <w:p w14:paraId="6C156208" w14:textId="27212711" w:rsidR="00D60F8D" w:rsidRDefault="00D60F8D" w:rsidP="005E3758">
            <w:pPr>
              <w:pStyle w:val="tabledash"/>
              <w:spacing w:before="120" w:line="250" w:lineRule="atLeast"/>
            </w:pPr>
            <w:r>
              <w:t>remove data elements that are not present in the CP 334 future state</w:t>
            </w:r>
          </w:p>
          <w:p w14:paraId="0B5EB5E2" w14:textId="3616FF30" w:rsidR="00D60F8D" w:rsidRDefault="00D60F8D" w:rsidP="005E3758">
            <w:pPr>
              <w:pStyle w:val="tabledash"/>
              <w:spacing w:before="120" w:line="250" w:lineRule="atLeast"/>
            </w:pPr>
            <w:r>
              <w:t>add data elements that are present in the CP 334 future state and are, in practice, currently reported (albeit not as required data elements under the current ASIC Rules)</w:t>
            </w:r>
          </w:p>
          <w:p w14:paraId="4B746502" w14:textId="0CBE22A5" w:rsidR="00D60F8D" w:rsidRDefault="00D60F8D" w:rsidP="005E3758">
            <w:pPr>
              <w:pStyle w:val="tabledash"/>
              <w:spacing w:before="120" w:line="250" w:lineRule="atLeast"/>
            </w:pPr>
            <w:r>
              <w:t>introduce requirements for formats and allowable values, but which are generally as per current reporting practices</w:t>
            </w:r>
            <w:r w:rsidR="008A751C">
              <w:t>,</w:t>
            </w:r>
            <w:r>
              <w:t xml:space="preserve"> and</w:t>
            </w:r>
          </w:p>
          <w:p w14:paraId="4B53E99F" w14:textId="73B452CE" w:rsidR="00D60F8D" w:rsidRPr="00A10375" w:rsidRDefault="00D60F8D" w:rsidP="005E3758">
            <w:pPr>
              <w:pStyle w:val="tabledash"/>
              <w:spacing w:before="120" w:line="250" w:lineRule="atLeast"/>
            </w:pPr>
            <w:r>
              <w:t>amend most of the name and meanings of the data elements to conform to the CP 334 future state international standards</w:t>
            </w:r>
          </w:p>
          <w:p w14:paraId="6D36682D" w14:textId="77777777" w:rsidR="00D60F8D" w:rsidRDefault="00D60F8D" w:rsidP="005E3758">
            <w:pPr>
              <w:pStyle w:val="tablebullet"/>
              <w:spacing w:before="120" w:line="250" w:lineRule="atLeast"/>
            </w:pPr>
            <w:r>
              <w:t>Implement lifecycle reporting for all products</w:t>
            </w:r>
          </w:p>
          <w:p w14:paraId="5B478A5F" w14:textId="454AD344" w:rsidR="00D60F8D" w:rsidRDefault="00D60F8D" w:rsidP="005E3758">
            <w:pPr>
              <w:pStyle w:val="tablebullet"/>
              <w:spacing w:before="120" w:line="250" w:lineRule="atLeast"/>
            </w:pPr>
            <w:r>
              <w:t>Exempt small-scale buy-side entities from the extended lifecycle reporting requirements</w:t>
            </w:r>
          </w:p>
          <w:p w14:paraId="62943A72" w14:textId="77777777" w:rsidR="00D60F8D" w:rsidRDefault="00D60F8D" w:rsidP="005E3758">
            <w:pPr>
              <w:pStyle w:val="tablebullet"/>
              <w:spacing w:before="120" w:line="250" w:lineRule="atLeast"/>
            </w:pPr>
            <w:r>
              <w:t>Remove the delegated reporting ‘safe harbour’</w:t>
            </w:r>
          </w:p>
          <w:p w14:paraId="6B9322BE" w14:textId="77777777" w:rsidR="00D60F8D" w:rsidRDefault="00D60F8D" w:rsidP="005E3758">
            <w:pPr>
              <w:pStyle w:val="tablebullet"/>
              <w:spacing w:before="120" w:line="250" w:lineRule="atLeast"/>
            </w:pPr>
            <w:r>
              <w:t>Bring the FX securities conversion exemption into the rules</w:t>
            </w:r>
          </w:p>
          <w:p w14:paraId="06A8D27B" w14:textId="77777777" w:rsidR="00D60F8D" w:rsidRDefault="00D60F8D" w:rsidP="005E3758">
            <w:pPr>
              <w:pStyle w:val="tablebullet"/>
              <w:spacing w:before="120" w:line="250" w:lineRule="atLeast"/>
            </w:pPr>
            <w:r>
              <w:t>Introduce a ‘spot’ transaction exclusion</w:t>
            </w:r>
          </w:p>
          <w:p w14:paraId="159F6B1D" w14:textId="341A7D54" w:rsidR="00D60F8D" w:rsidRDefault="00D60F8D" w:rsidP="005E3758">
            <w:pPr>
              <w:pStyle w:val="tablebullet"/>
              <w:spacing w:before="120" w:line="250" w:lineRule="atLeast"/>
            </w:pPr>
            <w:r>
              <w:t xml:space="preserve">Reflect the ‘end-user’ exemption of reg 7.5A.50 </w:t>
            </w:r>
            <w:r w:rsidR="005E3758">
              <w:t xml:space="preserve">of the </w:t>
            </w:r>
            <w:r w:rsidR="005E3758" w:rsidRPr="008A751C">
              <w:rPr>
                <w:i/>
                <w:iCs/>
              </w:rPr>
              <w:t>Corporations Regulations 2001</w:t>
            </w:r>
            <w:r w:rsidR="005E3758">
              <w:t xml:space="preserve"> </w:t>
            </w:r>
            <w:r w:rsidR="00EA4991">
              <w:t xml:space="preserve">(Corporations Regulations) </w:t>
            </w:r>
            <w:r>
              <w:t xml:space="preserve">for certain </w:t>
            </w:r>
            <w:r w:rsidR="005710D5">
              <w:t>Australian financial services (</w:t>
            </w:r>
            <w:r>
              <w:t>AFS</w:t>
            </w:r>
            <w:r w:rsidR="005710D5">
              <w:t>)</w:t>
            </w:r>
            <w:r>
              <w:t xml:space="preserve"> licensees</w:t>
            </w:r>
          </w:p>
          <w:p w14:paraId="1FDCF461" w14:textId="77777777" w:rsidR="00D60F8D" w:rsidRDefault="00D60F8D" w:rsidP="005E3758">
            <w:pPr>
              <w:pStyle w:val="tablebullet"/>
              <w:spacing w:before="120" w:line="250" w:lineRule="atLeast"/>
            </w:pPr>
            <w:r>
              <w:t>Bring the exemption for clearing members in agency clearing into the rules</w:t>
            </w:r>
          </w:p>
          <w:p w14:paraId="7A97F398" w14:textId="77777777" w:rsidR="00D60F8D" w:rsidRDefault="00D60F8D" w:rsidP="005E3758">
            <w:pPr>
              <w:pStyle w:val="tablebullet"/>
              <w:spacing w:before="120" w:line="250" w:lineRule="atLeast"/>
            </w:pPr>
            <w:r>
              <w:t>Clarify that trades with Australian retail clients are always reportable</w:t>
            </w:r>
          </w:p>
          <w:p w14:paraId="3268FD90" w14:textId="77777777" w:rsidR="00D60F8D" w:rsidRDefault="00D60F8D" w:rsidP="005E3758">
            <w:pPr>
              <w:pStyle w:val="tablebullet"/>
              <w:spacing w:before="120" w:line="250" w:lineRule="atLeast"/>
            </w:pPr>
            <w:r>
              <w:t>Curtail duplicative reporting</w:t>
            </w:r>
          </w:p>
          <w:p w14:paraId="00D45429" w14:textId="00E2744D" w:rsidR="00D60F8D" w:rsidRDefault="00D60F8D" w:rsidP="005E3758">
            <w:pPr>
              <w:pStyle w:val="tablebullet"/>
              <w:spacing w:before="120" w:line="250" w:lineRule="atLeast"/>
            </w:pPr>
            <w:r>
              <w:t xml:space="preserve">Recognise that a derivative trade repository may create derivative transaction information </w:t>
            </w:r>
            <w:r w:rsidRPr="00D54602">
              <w:t>for reporting entities</w:t>
            </w:r>
            <w:r w:rsidR="005E3758" w:rsidRPr="00D54602">
              <w:t>’</w:t>
            </w:r>
            <w:r w:rsidRPr="00D54602">
              <w:t xml:space="preserve"> reports that</w:t>
            </w:r>
            <w:r>
              <w:t xml:space="preserve"> is derived from other information</w:t>
            </w:r>
          </w:p>
          <w:p w14:paraId="6CAD4A03" w14:textId="7BCCF99D" w:rsidR="00D60F8D" w:rsidRDefault="00D60F8D" w:rsidP="005E3758">
            <w:pPr>
              <w:pStyle w:val="tablebullet"/>
              <w:spacing w:before="120" w:line="250" w:lineRule="atLeast"/>
            </w:pPr>
            <w:r>
              <w:t xml:space="preserve">Recognise that fund managers, and other persons appointed </w:t>
            </w:r>
            <w:r w:rsidRPr="00043F1E">
              <w:t xml:space="preserve">to enter into OTC </w:t>
            </w:r>
            <w:r w:rsidR="005E3758">
              <w:t>d</w:t>
            </w:r>
            <w:r w:rsidRPr="00043F1E">
              <w:t>erivatives</w:t>
            </w:r>
            <w:r>
              <w:t xml:space="preserve"> on behalf of a reporting entity, may fulfil certain reporting requirements </w:t>
            </w:r>
            <w:r w:rsidRPr="00043F1E">
              <w:t xml:space="preserve">on behalf of the </w:t>
            </w:r>
            <w:r>
              <w:t>r</w:t>
            </w:r>
            <w:r w:rsidRPr="00043F1E">
              <w:t xml:space="preserve">eporting </w:t>
            </w:r>
            <w:r>
              <w:t>e</w:t>
            </w:r>
            <w:r w:rsidRPr="00043F1E">
              <w:t>ntity</w:t>
            </w:r>
          </w:p>
          <w:p w14:paraId="7708A93B" w14:textId="4EFD39DE" w:rsidR="00D60F8D" w:rsidRPr="000540E1" w:rsidRDefault="00D60F8D" w:rsidP="005E3758">
            <w:pPr>
              <w:pStyle w:val="tablebullet"/>
              <w:spacing w:before="120" w:line="250" w:lineRule="atLeast"/>
            </w:pPr>
            <w:r>
              <w:t>Remove the outdated opt-in and transition provisions</w:t>
            </w:r>
          </w:p>
        </w:tc>
      </w:tr>
      <w:tr w:rsidR="00D60F8D" w:rsidRPr="000540E1" w14:paraId="7E14551D" w14:textId="77777777" w:rsidTr="00291029">
        <w:tc>
          <w:tcPr>
            <w:tcW w:w="2127" w:type="dxa"/>
            <w:shd w:val="clear" w:color="auto" w:fill="C2E3FA"/>
          </w:tcPr>
          <w:p w14:paraId="1E7C6E66" w14:textId="1D297164" w:rsidR="00D60F8D" w:rsidRPr="000540E1" w:rsidRDefault="00D60F8D" w:rsidP="00291029">
            <w:pPr>
              <w:pStyle w:val="tablehead"/>
              <w:spacing w:line="250" w:lineRule="atLeast"/>
            </w:pPr>
            <w:r>
              <w:t>In the draft amended ASIC Rules</w:t>
            </w:r>
          </w:p>
        </w:tc>
        <w:tc>
          <w:tcPr>
            <w:tcW w:w="6943" w:type="dxa"/>
          </w:tcPr>
          <w:p w14:paraId="63A1EADD" w14:textId="77777777" w:rsidR="00D60F8D" w:rsidRPr="00E4571C" w:rsidRDefault="00D60F8D" w:rsidP="008A751C">
            <w:pPr>
              <w:pStyle w:val="tablebullet"/>
              <w:spacing w:before="120" w:line="250" w:lineRule="atLeast"/>
            </w:pPr>
            <w:r>
              <w:t>Amend the r</w:t>
            </w:r>
            <w:r w:rsidRPr="00E4571C">
              <w:t>evise</w:t>
            </w:r>
            <w:r>
              <w:t>d</w:t>
            </w:r>
            <w:r w:rsidRPr="00E4571C">
              <w:t xml:space="preserve"> </w:t>
            </w:r>
            <w:r>
              <w:t xml:space="preserve">schedule of </w:t>
            </w:r>
            <w:r w:rsidRPr="00E4571C">
              <w:t>data elements to:</w:t>
            </w:r>
          </w:p>
          <w:p w14:paraId="55BC0BBB" w14:textId="33D2351E" w:rsidR="00D60F8D" w:rsidRDefault="00D60F8D" w:rsidP="008A751C">
            <w:pPr>
              <w:pStyle w:val="tabledash"/>
              <w:spacing w:before="120" w:line="250" w:lineRule="atLeast"/>
            </w:pPr>
            <w:r>
              <w:t>add data elements to complete the CP 334 future state</w:t>
            </w:r>
            <w:r w:rsidR="008A751C">
              <w:t>,</w:t>
            </w:r>
            <w:r>
              <w:t xml:space="preserve"> and</w:t>
            </w:r>
          </w:p>
          <w:p w14:paraId="2A1AF0E8" w14:textId="1CCB44FC" w:rsidR="00D60F8D" w:rsidRPr="00A10375" w:rsidRDefault="00D60F8D" w:rsidP="008A751C">
            <w:pPr>
              <w:pStyle w:val="tabledash"/>
              <w:spacing w:before="120" w:line="250" w:lineRule="atLeast"/>
            </w:pPr>
            <w:r>
              <w:t>replace the asset</w:t>
            </w:r>
            <w:r w:rsidR="00BF67C7">
              <w:t>-</w:t>
            </w:r>
            <w:r>
              <w:t>class-specific tables of data elements with report</w:t>
            </w:r>
            <w:r w:rsidR="00BF67C7">
              <w:t>-</w:t>
            </w:r>
            <w:r>
              <w:t>type-specific tables of data elements</w:t>
            </w:r>
          </w:p>
          <w:p w14:paraId="6698C44D" w14:textId="74B2B16F" w:rsidR="00D60F8D" w:rsidRDefault="00D60F8D" w:rsidP="008A751C">
            <w:pPr>
              <w:pStyle w:val="tablebullet"/>
              <w:spacing w:before="120" w:line="250" w:lineRule="atLeast"/>
            </w:pPr>
            <w:r>
              <w:t>Exempt small-scale buy-side entities from certain of the extended reporting requirements</w:t>
            </w:r>
          </w:p>
          <w:p w14:paraId="0DAFBDE1" w14:textId="77777777" w:rsidR="00D60F8D" w:rsidRDefault="00D60F8D" w:rsidP="008A751C">
            <w:pPr>
              <w:pStyle w:val="tablebullet"/>
              <w:spacing w:before="120" w:line="250" w:lineRule="atLeast"/>
            </w:pPr>
            <w:r>
              <w:t>Require re-reporting to update existing transactions to the reporting requirements of the draft amended ASIC Rules</w:t>
            </w:r>
          </w:p>
          <w:p w14:paraId="26A409AF" w14:textId="2A14168A" w:rsidR="00D60F8D" w:rsidRPr="000540E1" w:rsidRDefault="00D60F8D" w:rsidP="00D54602">
            <w:pPr>
              <w:pStyle w:val="tablebullet"/>
              <w:spacing w:before="120" w:line="250" w:lineRule="atLeast"/>
            </w:pPr>
            <w:r>
              <w:t>Require reporting to a derivative trade repository to conform to the technical standard of ISO 20022</w:t>
            </w:r>
          </w:p>
        </w:tc>
      </w:tr>
    </w:tbl>
    <w:p w14:paraId="6F184FC0" w14:textId="26B847FE" w:rsidR="009A0228" w:rsidRPr="006F53EC" w:rsidRDefault="009A0228" w:rsidP="00D12273">
      <w:pPr>
        <w:pStyle w:val="BodyText"/>
        <w:keepNext/>
        <w:tabs>
          <w:tab w:val="clear" w:pos="4394"/>
          <w:tab w:val="num" w:pos="2268"/>
        </w:tabs>
        <w:spacing w:line="290" w:lineRule="atLeast"/>
        <w:ind w:left="2268"/>
      </w:pPr>
      <w:r w:rsidRPr="009A0228">
        <w:t xml:space="preserve">After considering the feedback to this consultation, we intend to finalise the </w:t>
      </w:r>
      <w:r w:rsidR="00044945">
        <w:t xml:space="preserve">draft </w:t>
      </w:r>
      <w:r w:rsidRPr="009A0228">
        <w:t xml:space="preserve">remade ASIC Rules and the amendments to the </w:t>
      </w:r>
      <w:r w:rsidR="00044945">
        <w:t xml:space="preserve">draft </w:t>
      </w:r>
      <w:r w:rsidR="00893720">
        <w:t>amended</w:t>
      </w:r>
      <w:r w:rsidR="00893720" w:rsidRPr="009A0228">
        <w:t xml:space="preserve"> </w:t>
      </w:r>
      <w:r w:rsidRPr="009A0228">
        <w:t xml:space="preserve">ASIC Rules and request the Minister’s consent under </w:t>
      </w:r>
      <w:r w:rsidR="007C7935">
        <w:t>s</w:t>
      </w:r>
      <w:r w:rsidRPr="009A0228">
        <w:t xml:space="preserve">901K of the </w:t>
      </w:r>
      <w:r w:rsidRPr="000A4612">
        <w:rPr>
          <w:i/>
          <w:iCs/>
        </w:rPr>
        <w:t xml:space="preserve">Corporations Act </w:t>
      </w:r>
      <w:r w:rsidR="007C7935" w:rsidRPr="000A4612">
        <w:rPr>
          <w:i/>
          <w:iCs/>
        </w:rPr>
        <w:t>2001</w:t>
      </w:r>
      <w:r w:rsidR="007C7935">
        <w:t xml:space="preserve"> (Corporations Act</w:t>
      </w:r>
      <w:r w:rsidR="007C7935" w:rsidRPr="006F53EC">
        <w:t xml:space="preserve">) </w:t>
      </w:r>
      <w:r w:rsidRPr="006F53EC">
        <w:t>to make the rules and the amendments to the rules.</w:t>
      </w:r>
    </w:p>
    <w:p w14:paraId="12B865A0" w14:textId="0AD39EC6" w:rsidR="009A0228" w:rsidRPr="006F53EC" w:rsidRDefault="009A0228" w:rsidP="00D12273">
      <w:pPr>
        <w:pStyle w:val="BodyText"/>
        <w:tabs>
          <w:tab w:val="clear" w:pos="4394"/>
          <w:tab w:val="num" w:pos="2268"/>
        </w:tabs>
        <w:spacing w:line="290" w:lineRule="atLeast"/>
        <w:ind w:left="2268"/>
      </w:pPr>
      <w:bookmarkStart w:id="17" w:name="_ASICRef678"/>
      <w:r w:rsidRPr="006F53EC">
        <w:t xml:space="preserve">We are proposing to request that the Minister consent to ASIC making the </w:t>
      </w:r>
      <w:r w:rsidR="00044945" w:rsidRPr="006F53EC">
        <w:t xml:space="preserve">draft </w:t>
      </w:r>
      <w:r w:rsidRPr="006F53EC">
        <w:t xml:space="preserve">remade ASIC Rules with an effective date of 1 October 2023. We are also proposing, at the same time, </w:t>
      </w:r>
      <w:r w:rsidR="007C7935" w:rsidRPr="006F53EC">
        <w:t xml:space="preserve">to </w:t>
      </w:r>
      <w:r w:rsidRPr="006F53EC">
        <w:t xml:space="preserve">request </w:t>
      </w:r>
      <w:r w:rsidR="00D95CAC">
        <w:t xml:space="preserve">that </w:t>
      </w:r>
      <w:r w:rsidRPr="006F53EC">
        <w:t xml:space="preserve">the Minister consent to ASIC making the amendments to the rules to implement the </w:t>
      </w:r>
      <w:r w:rsidR="00044945" w:rsidRPr="006F53EC">
        <w:t xml:space="preserve">draft </w:t>
      </w:r>
      <w:r w:rsidRPr="006F53EC">
        <w:t xml:space="preserve">amended ASIC </w:t>
      </w:r>
      <w:r w:rsidR="004E40E5">
        <w:t>R</w:t>
      </w:r>
      <w:r w:rsidRPr="006F53EC">
        <w:t>ules with an effective date of 1 April 2024.</w:t>
      </w:r>
      <w:bookmarkEnd w:id="17"/>
    </w:p>
    <w:p w14:paraId="471F5BC1" w14:textId="77777777" w:rsidR="009A0228" w:rsidRPr="006F53EC" w:rsidRDefault="009A0228" w:rsidP="00D12273">
      <w:pPr>
        <w:pStyle w:val="BodyText"/>
        <w:tabs>
          <w:tab w:val="clear" w:pos="4394"/>
          <w:tab w:val="num" w:pos="2268"/>
        </w:tabs>
        <w:spacing w:line="290" w:lineRule="atLeast"/>
        <w:ind w:left="2268"/>
      </w:pPr>
      <w:r w:rsidRPr="006F53EC">
        <w:t>We intend to release our third consultation paper in Q4 2022, which may make proposals for further changes to the ASIC Rules about any matters not addressed in these first changes.</w:t>
      </w:r>
    </w:p>
    <w:p w14:paraId="190FD089" w14:textId="77777777" w:rsidR="009A0228" w:rsidRPr="009A0228" w:rsidRDefault="009A0228" w:rsidP="00D12273">
      <w:pPr>
        <w:pStyle w:val="BodyText"/>
        <w:tabs>
          <w:tab w:val="clear" w:pos="4394"/>
          <w:tab w:val="num" w:pos="2268"/>
        </w:tabs>
        <w:spacing w:line="290" w:lineRule="atLeast"/>
        <w:ind w:left="2268"/>
      </w:pPr>
      <w:r w:rsidRPr="006F53EC">
        <w:t>We consider that any remaining matters are not likely to be matters of the long lead time nature of the first changes. We anticipate requesting the Minister’s consent to ASIC making any changes to the rules in Q2</w:t>
      </w:r>
      <w:r w:rsidRPr="009A0228">
        <w:t xml:space="preserve"> 2023 with an effective date of 1 April 2024.</w:t>
      </w:r>
    </w:p>
    <w:p w14:paraId="3A764B85" w14:textId="1FBC687D" w:rsidR="00CD6A3B" w:rsidRDefault="00CD6A3B" w:rsidP="00CD6A3B">
      <w:pPr>
        <w:pStyle w:val="Heading3"/>
      </w:pPr>
      <w:r>
        <w:t>This consultation package</w:t>
      </w:r>
    </w:p>
    <w:p w14:paraId="1A015310" w14:textId="6F2ACC8D" w:rsidR="00CD6A3B" w:rsidRDefault="00CD6A3B" w:rsidP="00D12273">
      <w:pPr>
        <w:pStyle w:val="BodyText"/>
        <w:tabs>
          <w:tab w:val="clear" w:pos="4394"/>
          <w:tab w:val="num" w:pos="2268"/>
        </w:tabs>
        <w:spacing w:line="290" w:lineRule="atLeast"/>
        <w:ind w:left="2268"/>
      </w:pPr>
      <w:r>
        <w:t>This consultation package comprises:</w:t>
      </w:r>
    </w:p>
    <w:p w14:paraId="57F630B0" w14:textId="1E12D160" w:rsidR="00CD6A3B" w:rsidRDefault="009A0228" w:rsidP="00D12273">
      <w:pPr>
        <w:pStyle w:val="subparaa"/>
        <w:numPr>
          <w:ilvl w:val="1"/>
          <w:numId w:val="17"/>
        </w:numPr>
        <w:spacing w:line="290" w:lineRule="atLeast"/>
      </w:pPr>
      <w:r>
        <w:t>t</w:t>
      </w:r>
      <w:r w:rsidR="00CD6A3B">
        <w:t>his consultation paper</w:t>
      </w:r>
      <w:r w:rsidR="00287DF1">
        <w:t>;</w:t>
      </w:r>
    </w:p>
    <w:p w14:paraId="54FDFF6A" w14:textId="30BCB3E2" w:rsidR="009A0228" w:rsidRDefault="009A0228" w:rsidP="00D12273">
      <w:pPr>
        <w:pStyle w:val="subparaa"/>
        <w:numPr>
          <w:ilvl w:val="1"/>
          <w:numId w:val="17"/>
        </w:numPr>
        <w:spacing w:line="290" w:lineRule="atLeast"/>
      </w:pPr>
      <w:r>
        <w:t xml:space="preserve">the draft remade ASIC Rules as </w:t>
      </w:r>
      <w:r w:rsidRPr="000A4612">
        <w:rPr>
          <w:i/>
          <w:iCs/>
        </w:rPr>
        <w:t>ASIC Derivative Transaction Rules (Reporting) 2022</w:t>
      </w:r>
      <w:r>
        <w:t xml:space="preserve"> with effect from 1 October 2023</w:t>
      </w:r>
      <w:r w:rsidR="00631638" w:rsidRPr="00D54602">
        <w:t>—</w:t>
      </w:r>
      <w:r>
        <w:t xml:space="preserve">see </w:t>
      </w:r>
      <w:r w:rsidRPr="00D54602">
        <w:t>Attachment 1</w:t>
      </w:r>
      <w:r w:rsidRPr="00FA0519">
        <w:t>;</w:t>
      </w:r>
    </w:p>
    <w:p w14:paraId="0232B34C" w14:textId="092D718C" w:rsidR="002A6003" w:rsidRDefault="009A0228" w:rsidP="00D12273">
      <w:pPr>
        <w:pStyle w:val="subparaa"/>
        <w:numPr>
          <w:ilvl w:val="1"/>
          <w:numId w:val="17"/>
        </w:numPr>
        <w:spacing w:line="290" w:lineRule="atLeast"/>
      </w:pPr>
      <w:r>
        <w:t xml:space="preserve">the draft amended ASIC Rules as </w:t>
      </w:r>
      <w:r w:rsidRPr="000A4612">
        <w:rPr>
          <w:i/>
          <w:iCs/>
        </w:rPr>
        <w:t>ASIC Derivative Transaction Rules (Reporting) 2022</w:t>
      </w:r>
      <w:r w:rsidR="009F07BB">
        <w:t>, as a compilation that takes into account amendments with effect from 1 April 2024</w:t>
      </w:r>
      <w:r w:rsidR="00631638" w:rsidRPr="00BA10DC">
        <w:t>—</w:t>
      </w:r>
      <w:r w:rsidRPr="00FA0519">
        <w:t xml:space="preserve">see </w:t>
      </w:r>
      <w:r w:rsidRPr="000A4612">
        <w:t>Attachment 2</w:t>
      </w:r>
      <w:r w:rsidR="002A6003" w:rsidRPr="00FA0519">
        <w:t>;</w:t>
      </w:r>
      <w:r w:rsidR="002A6003">
        <w:t xml:space="preserve"> and</w:t>
      </w:r>
    </w:p>
    <w:p w14:paraId="4B6B0D74" w14:textId="6BCD9D24" w:rsidR="00CD6A3B" w:rsidRDefault="002A6003" w:rsidP="00D12273">
      <w:pPr>
        <w:pStyle w:val="subparaa"/>
        <w:numPr>
          <w:ilvl w:val="1"/>
          <w:numId w:val="17"/>
        </w:numPr>
        <w:spacing w:line="290" w:lineRule="atLeast"/>
      </w:pPr>
      <w:r>
        <w:t>a mapping of t</w:t>
      </w:r>
      <w:r w:rsidRPr="002A6003">
        <w:t>he changes in data elements from the current ASIC Rules through the draft remade ASIC Rules to the draft amended ASIC Rules</w:t>
      </w:r>
      <w:r w:rsidR="00E80843" w:rsidRPr="00BA10DC">
        <w:t>—</w:t>
      </w:r>
      <w:r w:rsidR="00E80843" w:rsidRPr="00097D50">
        <w:t>see Appendix 1</w:t>
      </w:r>
      <w:r w:rsidRPr="00097D50">
        <w:t>.</w:t>
      </w:r>
    </w:p>
    <w:p w14:paraId="3BD9430C" w14:textId="66F8BC09" w:rsidR="00CC0B7D" w:rsidRDefault="00CC0B7D" w:rsidP="00601746">
      <w:pPr>
        <w:pStyle w:val="Note"/>
      </w:pPr>
      <w:r>
        <w:t xml:space="preserve">Note: The draft remade ASIC Rules (Attachment 1) and the draft amended ASIC Rules (Attachment 2) are available on our website at </w:t>
      </w:r>
      <w:hyperlink r:id="rId29" w:history="1">
        <w:r w:rsidRPr="00741362">
          <w:rPr>
            <w:rStyle w:val="Hyperlink"/>
          </w:rPr>
          <w:t>www.asic.gov.au/cp</w:t>
        </w:r>
      </w:hyperlink>
      <w:r>
        <w:t xml:space="preserve"> under CP</w:t>
      </w:r>
      <w:r w:rsidR="00B110C1">
        <w:t xml:space="preserve"> 361</w:t>
      </w:r>
      <w:r>
        <w:t>.</w:t>
      </w:r>
    </w:p>
    <w:p w14:paraId="3F798046" w14:textId="1EE3CD16" w:rsidR="00317D94" w:rsidRDefault="00317D94" w:rsidP="00317D94">
      <w:pPr>
        <w:pStyle w:val="Heading3"/>
      </w:pPr>
      <w:r>
        <w:t>Legislative and regulatory architecture</w:t>
      </w:r>
    </w:p>
    <w:p w14:paraId="45EF3EC9" w14:textId="4B520CAC" w:rsidR="00DB4EDF" w:rsidRDefault="00317D94" w:rsidP="00D12273">
      <w:pPr>
        <w:pStyle w:val="BodyText"/>
        <w:tabs>
          <w:tab w:val="clear" w:pos="4394"/>
          <w:tab w:val="num" w:pos="2268"/>
        </w:tabs>
        <w:spacing w:line="290" w:lineRule="atLeast"/>
        <w:ind w:left="2268"/>
      </w:pPr>
      <w:r>
        <w:t xml:space="preserve">From the current ASIC Rules through the </w:t>
      </w:r>
      <w:r w:rsidR="00C003B0">
        <w:t>draft r</w:t>
      </w:r>
      <w:r>
        <w:t xml:space="preserve">emade ASIC Rules to the </w:t>
      </w:r>
      <w:r w:rsidR="00893720">
        <w:t>draft amended</w:t>
      </w:r>
      <w:r>
        <w:t xml:space="preserve"> ASIC Rules, the legislative and regulatory architecture is expected to be as set out in </w:t>
      </w:r>
      <w:r w:rsidR="00C55C96">
        <w:fldChar w:fldCharType="begin" w:fldLock="1"/>
      </w:r>
      <w:r w:rsidR="00C55C96">
        <w:instrText xml:space="preserve"> REF _Ref91047124 \h </w:instrText>
      </w:r>
      <w:r w:rsidR="001314C4">
        <w:instrText xml:space="preserve"> \* MERGEFORMAT </w:instrText>
      </w:r>
      <w:r w:rsidR="00C55C96">
        <w:fldChar w:fldCharType="separate"/>
      </w:r>
      <w:r w:rsidR="00853A2A">
        <w:t>Table 3</w:t>
      </w:r>
      <w:r w:rsidR="00C55C96">
        <w:fldChar w:fldCharType="end"/>
      </w:r>
      <w:r w:rsidR="00C55C96">
        <w:t xml:space="preserve">. In the final future state of the </w:t>
      </w:r>
      <w:r w:rsidR="00893720">
        <w:t>draft amended</w:t>
      </w:r>
      <w:r w:rsidR="00C55C96">
        <w:t xml:space="preserve"> ASIC Rules, the operative legislation and instruments are expected to be the relevant provisions of the Corporations Act, the </w:t>
      </w:r>
      <w:r w:rsidR="00C003B0">
        <w:t xml:space="preserve">Minister’s determination, </w:t>
      </w:r>
      <w:r w:rsidR="00C55C96">
        <w:t xml:space="preserve">Corporations Regulations and the </w:t>
      </w:r>
      <w:r w:rsidR="00C003B0">
        <w:t xml:space="preserve">draft amended ASIC Rules </w:t>
      </w:r>
      <w:r w:rsidR="00631638" w:rsidRPr="000A4612">
        <w:t>—</w:t>
      </w:r>
      <w:r w:rsidR="00C55C96">
        <w:t xml:space="preserve">there </w:t>
      </w:r>
      <w:r w:rsidR="0063039F">
        <w:t xml:space="preserve">are </w:t>
      </w:r>
      <w:r w:rsidR="00C55C96">
        <w:t>not expected to be any other ASIC-made determinations or exemptions.</w:t>
      </w:r>
    </w:p>
    <w:p w14:paraId="795A8216" w14:textId="56A9AA18" w:rsidR="00042C0E" w:rsidRDefault="00042C0E" w:rsidP="00A72C41">
      <w:pPr>
        <w:pStyle w:val="BodyText"/>
        <w:numPr>
          <w:ilvl w:val="0"/>
          <w:numId w:val="0"/>
        </w:numPr>
        <w:spacing w:line="290" w:lineRule="atLeast"/>
        <w:ind w:left="4394" w:hanging="1134"/>
        <w:sectPr w:rsidR="00042C0E" w:rsidSect="00FC511F">
          <w:headerReference w:type="even" r:id="rId30"/>
          <w:headerReference w:type="default" r:id="rId31"/>
          <w:footerReference w:type="even" r:id="rId32"/>
          <w:footerReference w:type="default" r:id="rId33"/>
          <w:headerReference w:type="first" r:id="rId34"/>
          <w:pgSz w:w="11906" w:h="16838" w:code="9"/>
          <w:pgMar w:top="1644" w:right="1418" w:bottom="1418" w:left="1418" w:header="567" w:footer="567" w:gutter="0"/>
          <w:cols w:space="720"/>
          <w:docGrid w:linePitch="299"/>
        </w:sectPr>
      </w:pPr>
    </w:p>
    <w:p w14:paraId="21F62754" w14:textId="3763763E" w:rsidR="006E20A4" w:rsidRDefault="006E20A4" w:rsidP="0030238A">
      <w:pPr>
        <w:pStyle w:val="tabletitlefullwidth"/>
      </w:pPr>
      <w:bookmarkStart w:id="18" w:name="_Ref91047124"/>
      <w:r>
        <w:t xml:space="preserve">Table </w:t>
      </w:r>
      <w:fldSimple w:instr=" SEQ Table \* ARABIC ">
        <w:r w:rsidR="006679BA">
          <w:rPr>
            <w:noProof/>
          </w:rPr>
          <w:t>3</w:t>
        </w:r>
      </w:fldSimple>
      <w:bookmarkEnd w:id="18"/>
      <w:r>
        <w:t>:</w:t>
      </w:r>
      <w:r>
        <w:tab/>
      </w:r>
      <w:r w:rsidR="00C55C96">
        <w:t>Legislative and regulatory architecture</w:t>
      </w:r>
      <w:r w:rsidR="00FB7EE9" w:rsidRPr="00D54602">
        <w:t>—</w:t>
      </w:r>
      <w:r w:rsidR="00C55C96">
        <w:t xml:space="preserve">from now to </w:t>
      </w:r>
      <w:r w:rsidR="00AB4836">
        <w:t>‘</w:t>
      </w:r>
      <w:r w:rsidR="00FB7EE9">
        <w:t xml:space="preserve">from </w:t>
      </w:r>
      <w:r w:rsidR="00C55C96">
        <w:t>1 April 2024</w:t>
      </w:r>
      <w:r w:rsidR="00AB4836">
        <w:t>’</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444"/>
        <w:gridCol w:w="3444"/>
        <w:gridCol w:w="3444"/>
        <w:gridCol w:w="3444"/>
      </w:tblGrid>
      <w:tr w:rsidR="00DB4EDF" w:rsidRPr="000540E1" w14:paraId="58DA6F72" w14:textId="77777777" w:rsidTr="00D54602">
        <w:trPr>
          <w:cantSplit/>
          <w:tblHeader/>
        </w:trPr>
        <w:tc>
          <w:tcPr>
            <w:tcW w:w="1250" w:type="pct"/>
            <w:shd w:val="clear" w:color="auto" w:fill="C2E3FA"/>
          </w:tcPr>
          <w:p w14:paraId="27B664C3" w14:textId="77777777" w:rsidR="00DB4EDF" w:rsidRDefault="00DB4EDF" w:rsidP="00DB4EDF">
            <w:pPr>
              <w:pStyle w:val="tablehead"/>
            </w:pPr>
            <w:r>
              <w:t>Purpose of the legislation and regulatory architecture</w:t>
            </w:r>
          </w:p>
        </w:tc>
        <w:tc>
          <w:tcPr>
            <w:tcW w:w="1250" w:type="pct"/>
            <w:shd w:val="clear" w:color="auto" w:fill="C2E3FA"/>
          </w:tcPr>
          <w:p w14:paraId="2580C84C" w14:textId="13CCDD89" w:rsidR="00DB4EDF" w:rsidRDefault="00DB4EDF" w:rsidP="0073383B">
            <w:pPr>
              <w:pStyle w:val="tablehead"/>
            </w:pPr>
            <w:r>
              <w:t>Current ASIC Rules</w:t>
            </w:r>
            <w:r w:rsidR="0073383B">
              <w:br/>
            </w:r>
            <w:r>
              <w:t>From now to 30 Sep 2023</w:t>
            </w:r>
          </w:p>
        </w:tc>
        <w:tc>
          <w:tcPr>
            <w:tcW w:w="1250" w:type="pct"/>
            <w:shd w:val="clear" w:color="auto" w:fill="C2E3FA"/>
          </w:tcPr>
          <w:p w14:paraId="4607C942" w14:textId="345D8056" w:rsidR="00DB4EDF" w:rsidRPr="000540E1" w:rsidRDefault="00DB4EDF" w:rsidP="0073383B">
            <w:pPr>
              <w:pStyle w:val="tablehead"/>
            </w:pPr>
            <w:r>
              <w:t>Draft remade ASIC Rules</w:t>
            </w:r>
            <w:r w:rsidR="0073383B">
              <w:br/>
            </w:r>
            <w:r>
              <w:t>From 1 Oct 2023 to 31 Mar 2024</w:t>
            </w:r>
          </w:p>
        </w:tc>
        <w:tc>
          <w:tcPr>
            <w:tcW w:w="1250" w:type="pct"/>
            <w:shd w:val="clear" w:color="auto" w:fill="C2E3FA"/>
          </w:tcPr>
          <w:p w14:paraId="0260DBBC" w14:textId="0F2B6DAF" w:rsidR="00DB4EDF" w:rsidRPr="000540E1" w:rsidRDefault="00DB4EDF" w:rsidP="0073383B">
            <w:pPr>
              <w:pStyle w:val="tablehead"/>
            </w:pPr>
            <w:r>
              <w:t>Draft amended ASIC Rules</w:t>
            </w:r>
            <w:r w:rsidR="0073383B">
              <w:br/>
            </w:r>
            <w:r>
              <w:t>From 1 Apr 2024</w:t>
            </w:r>
          </w:p>
        </w:tc>
      </w:tr>
      <w:tr w:rsidR="00DB4EDF" w:rsidRPr="000540E1" w14:paraId="199E72CB" w14:textId="77777777" w:rsidTr="00D54602">
        <w:trPr>
          <w:cantSplit/>
        </w:trPr>
        <w:tc>
          <w:tcPr>
            <w:tcW w:w="1250" w:type="pct"/>
            <w:tcBorders>
              <w:bottom w:val="single" w:sz="4" w:space="0" w:color="999999"/>
            </w:tcBorders>
          </w:tcPr>
          <w:p w14:paraId="4EF25270" w14:textId="22290EA1" w:rsidR="00DB4EDF" w:rsidRDefault="00EE6C03" w:rsidP="00DB4EDF">
            <w:pPr>
              <w:pStyle w:val="tbltext"/>
            </w:pPr>
            <w:r>
              <w:t>Primary legislation for the regulation of derivative transactions and derivative trade repositories</w:t>
            </w:r>
          </w:p>
        </w:tc>
        <w:tc>
          <w:tcPr>
            <w:tcW w:w="1250" w:type="pct"/>
            <w:tcBorders>
              <w:bottom w:val="single" w:sz="4" w:space="0" w:color="999999"/>
            </w:tcBorders>
          </w:tcPr>
          <w:p w14:paraId="4151845B" w14:textId="77777777" w:rsidR="00DB4EDF" w:rsidRPr="000540E1" w:rsidRDefault="00DB4EDF" w:rsidP="00DB4EDF">
            <w:pPr>
              <w:pStyle w:val="tbltext"/>
            </w:pPr>
            <w:r>
              <w:t>Corporations Act, Pt 7.5A</w:t>
            </w:r>
          </w:p>
        </w:tc>
        <w:tc>
          <w:tcPr>
            <w:tcW w:w="1250" w:type="pct"/>
            <w:tcBorders>
              <w:bottom w:val="single" w:sz="4" w:space="0" w:color="999999"/>
            </w:tcBorders>
          </w:tcPr>
          <w:p w14:paraId="6F4F5F96" w14:textId="77777777" w:rsidR="00DB4EDF" w:rsidRPr="000540E1" w:rsidRDefault="00DB4EDF" w:rsidP="00DB4EDF">
            <w:pPr>
              <w:pStyle w:val="tbltext"/>
            </w:pPr>
            <w:r>
              <w:t>Corporations Act, Pt 7.5A</w:t>
            </w:r>
          </w:p>
        </w:tc>
        <w:tc>
          <w:tcPr>
            <w:tcW w:w="1250" w:type="pct"/>
            <w:tcBorders>
              <w:bottom w:val="single" w:sz="4" w:space="0" w:color="999999"/>
            </w:tcBorders>
          </w:tcPr>
          <w:p w14:paraId="5312F71A" w14:textId="77777777" w:rsidR="00DB4EDF" w:rsidRPr="000540E1" w:rsidRDefault="00DB4EDF" w:rsidP="00DB4EDF">
            <w:pPr>
              <w:pStyle w:val="tbltext"/>
            </w:pPr>
            <w:r>
              <w:t>Corporations Act, Pt 7.5A</w:t>
            </w:r>
          </w:p>
        </w:tc>
      </w:tr>
      <w:tr w:rsidR="00DB4EDF" w:rsidRPr="000540E1" w14:paraId="43D30DD5" w14:textId="77777777" w:rsidTr="00D54602">
        <w:trPr>
          <w:cantSplit/>
        </w:trPr>
        <w:tc>
          <w:tcPr>
            <w:tcW w:w="1250" w:type="pct"/>
            <w:tcBorders>
              <w:bottom w:val="nil"/>
            </w:tcBorders>
          </w:tcPr>
          <w:p w14:paraId="6EA6A11F" w14:textId="77777777" w:rsidR="00DB4EDF" w:rsidRDefault="00DB4EDF" w:rsidP="00DB4EDF">
            <w:pPr>
              <w:pStyle w:val="tbltext"/>
            </w:pPr>
            <w:r w:rsidRPr="00BE02C7">
              <w:t>Prescribes the classes of derivatives in relation to which reporting requirements may be imposed by ASIC-made rules</w:t>
            </w:r>
          </w:p>
        </w:tc>
        <w:tc>
          <w:tcPr>
            <w:tcW w:w="1250" w:type="pct"/>
            <w:tcBorders>
              <w:bottom w:val="nil"/>
            </w:tcBorders>
          </w:tcPr>
          <w:p w14:paraId="09801821" w14:textId="25BD0564" w:rsidR="00DB4EDF" w:rsidRPr="000540E1" w:rsidRDefault="00096A20" w:rsidP="00DB4EDF">
            <w:pPr>
              <w:pStyle w:val="tbltext"/>
            </w:pPr>
            <w:hyperlink r:id="rId35" w:history="1">
              <w:r w:rsidR="00DB4EDF" w:rsidRPr="001B59CA">
                <w:rPr>
                  <w:rStyle w:val="Hyperlink"/>
                </w:rPr>
                <w:t>Minister’s determination under s901B(2)</w:t>
              </w:r>
            </w:hyperlink>
          </w:p>
        </w:tc>
        <w:tc>
          <w:tcPr>
            <w:tcW w:w="1250" w:type="pct"/>
            <w:tcBorders>
              <w:bottom w:val="nil"/>
            </w:tcBorders>
          </w:tcPr>
          <w:p w14:paraId="122A52D4" w14:textId="77777777" w:rsidR="00DB4EDF" w:rsidRPr="000540E1" w:rsidRDefault="00DB4EDF" w:rsidP="00DB4EDF">
            <w:pPr>
              <w:pStyle w:val="tbltext"/>
            </w:pPr>
            <w:r>
              <w:t>Minister’s determination under s901B(2)</w:t>
            </w:r>
          </w:p>
        </w:tc>
        <w:tc>
          <w:tcPr>
            <w:tcW w:w="1250" w:type="pct"/>
            <w:tcBorders>
              <w:bottom w:val="nil"/>
            </w:tcBorders>
          </w:tcPr>
          <w:p w14:paraId="7CB84243" w14:textId="77777777" w:rsidR="00DB4EDF" w:rsidRPr="000540E1" w:rsidRDefault="00DB4EDF" w:rsidP="00DB4EDF">
            <w:pPr>
              <w:pStyle w:val="tbltext"/>
            </w:pPr>
            <w:r>
              <w:t>Minister’s determination under s901B(2)</w:t>
            </w:r>
          </w:p>
        </w:tc>
      </w:tr>
      <w:tr w:rsidR="00DB4EDF" w:rsidRPr="000540E1" w14:paraId="18B07D75" w14:textId="77777777" w:rsidTr="00D54602">
        <w:trPr>
          <w:cantSplit/>
        </w:trPr>
        <w:tc>
          <w:tcPr>
            <w:tcW w:w="1250" w:type="pct"/>
            <w:tcBorders>
              <w:bottom w:val="nil"/>
            </w:tcBorders>
          </w:tcPr>
          <w:p w14:paraId="12C68A36" w14:textId="77777777" w:rsidR="00DB4EDF" w:rsidRPr="00886237" w:rsidRDefault="00DB4EDF" w:rsidP="00DB4EDF">
            <w:pPr>
              <w:pStyle w:val="tbltext"/>
            </w:pPr>
            <w:r w:rsidRPr="00BE02C7">
              <w:t>Precludes imposing requirements on end users</w:t>
            </w:r>
          </w:p>
        </w:tc>
        <w:tc>
          <w:tcPr>
            <w:tcW w:w="1250" w:type="pct"/>
            <w:tcBorders>
              <w:bottom w:val="nil"/>
            </w:tcBorders>
          </w:tcPr>
          <w:p w14:paraId="65B0E752" w14:textId="77777777" w:rsidR="00DB4EDF" w:rsidRPr="000540E1" w:rsidRDefault="00DB4EDF" w:rsidP="00DB4EDF">
            <w:pPr>
              <w:pStyle w:val="tbltext"/>
            </w:pPr>
            <w:r w:rsidRPr="00886237">
              <w:t>Corporations Regulation</w:t>
            </w:r>
            <w:r>
              <w:t>s, reg </w:t>
            </w:r>
            <w:r w:rsidRPr="00886237">
              <w:t>7.5A.50</w:t>
            </w:r>
          </w:p>
        </w:tc>
        <w:tc>
          <w:tcPr>
            <w:tcW w:w="1250" w:type="pct"/>
            <w:tcBorders>
              <w:bottom w:val="nil"/>
            </w:tcBorders>
          </w:tcPr>
          <w:p w14:paraId="4EA72D59" w14:textId="77777777" w:rsidR="00DB4EDF" w:rsidRPr="000540E1" w:rsidRDefault="00DB4EDF" w:rsidP="00DB4EDF">
            <w:pPr>
              <w:pStyle w:val="tbltext"/>
            </w:pPr>
            <w:r w:rsidRPr="00886237">
              <w:t>Corporations Regulation</w:t>
            </w:r>
            <w:r>
              <w:t>s, reg </w:t>
            </w:r>
            <w:r w:rsidRPr="00886237">
              <w:t>7.5A.50</w:t>
            </w:r>
          </w:p>
        </w:tc>
        <w:tc>
          <w:tcPr>
            <w:tcW w:w="1250" w:type="pct"/>
            <w:tcBorders>
              <w:bottom w:val="nil"/>
            </w:tcBorders>
          </w:tcPr>
          <w:p w14:paraId="7E839322" w14:textId="77777777" w:rsidR="00DB4EDF" w:rsidRPr="000540E1" w:rsidRDefault="00DB4EDF" w:rsidP="00DB4EDF">
            <w:pPr>
              <w:pStyle w:val="tbltext"/>
            </w:pPr>
            <w:r w:rsidRPr="00886237">
              <w:t>Corporations Regulation</w:t>
            </w:r>
            <w:r>
              <w:t>s, reg </w:t>
            </w:r>
            <w:r w:rsidRPr="00886237">
              <w:t>7.5A.50</w:t>
            </w:r>
          </w:p>
        </w:tc>
      </w:tr>
      <w:tr w:rsidR="00DB4EDF" w:rsidRPr="00886237" w14:paraId="3263D975" w14:textId="77777777" w:rsidTr="00D54602">
        <w:trPr>
          <w:cantSplit/>
        </w:trPr>
        <w:tc>
          <w:tcPr>
            <w:tcW w:w="1250" w:type="pct"/>
            <w:tcBorders>
              <w:bottom w:val="nil"/>
            </w:tcBorders>
          </w:tcPr>
          <w:p w14:paraId="45C9BFF4" w14:textId="77777777" w:rsidR="00DB4EDF" w:rsidRPr="00886237" w:rsidRDefault="00DB4EDF" w:rsidP="00DB4EDF">
            <w:pPr>
              <w:pStyle w:val="tbltext"/>
            </w:pPr>
            <w:r w:rsidRPr="00BE02C7">
              <w:t>Exempts entities with small-scale gross notional outstanding positions from reporting transactions where their counterparty reports the transactions</w:t>
            </w:r>
          </w:p>
        </w:tc>
        <w:tc>
          <w:tcPr>
            <w:tcW w:w="1250" w:type="pct"/>
            <w:tcBorders>
              <w:bottom w:val="nil"/>
            </w:tcBorders>
          </w:tcPr>
          <w:p w14:paraId="67D5D44C" w14:textId="77777777" w:rsidR="00DB4EDF" w:rsidRPr="00886237" w:rsidRDefault="00DB4EDF" w:rsidP="00DB4EDF">
            <w:pPr>
              <w:pStyle w:val="tbltext"/>
            </w:pPr>
            <w:r w:rsidRPr="00886237">
              <w:t>Corporations Regulations</w:t>
            </w:r>
            <w:r>
              <w:t>, regs </w:t>
            </w:r>
            <w:r w:rsidRPr="00886237">
              <w:t>7.5A.71</w:t>
            </w:r>
            <w:r>
              <w:t>–</w:t>
            </w:r>
            <w:r w:rsidRPr="00886237">
              <w:t>7.5A.74</w:t>
            </w:r>
          </w:p>
        </w:tc>
        <w:tc>
          <w:tcPr>
            <w:tcW w:w="1250" w:type="pct"/>
            <w:tcBorders>
              <w:bottom w:val="nil"/>
            </w:tcBorders>
          </w:tcPr>
          <w:p w14:paraId="113E4D97" w14:textId="77777777" w:rsidR="00DB4EDF" w:rsidRPr="00886237" w:rsidRDefault="00DB4EDF" w:rsidP="00DB4EDF">
            <w:pPr>
              <w:pStyle w:val="tbltext"/>
            </w:pPr>
            <w:r w:rsidRPr="00886237">
              <w:t>Corporations Regulations</w:t>
            </w:r>
            <w:r>
              <w:t>, regs </w:t>
            </w:r>
            <w:r w:rsidRPr="00886237">
              <w:t>7.5A.71</w:t>
            </w:r>
            <w:r>
              <w:t>–</w:t>
            </w:r>
            <w:r w:rsidRPr="00886237">
              <w:t>7.5A.74</w:t>
            </w:r>
          </w:p>
        </w:tc>
        <w:tc>
          <w:tcPr>
            <w:tcW w:w="1250" w:type="pct"/>
            <w:tcBorders>
              <w:bottom w:val="nil"/>
            </w:tcBorders>
          </w:tcPr>
          <w:p w14:paraId="1E335580" w14:textId="77777777" w:rsidR="00DB4EDF" w:rsidRPr="00886237" w:rsidRDefault="00DB4EDF" w:rsidP="00DB4EDF">
            <w:pPr>
              <w:pStyle w:val="tbltext"/>
            </w:pPr>
            <w:r w:rsidRPr="00886237">
              <w:t>Corporations Regulations</w:t>
            </w:r>
            <w:r>
              <w:t>, regs </w:t>
            </w:r>
            <w:r w:rsidRPr="00886237">
              <w:t>7.5A.71</w:t>
            </w:r>
            <w:r>
              <w:t>–</w:t>
            </w:r>
            <w:r w:rsidRPr="00886237">
              <w:t>7.5A.74</w:t>
            </w:r>
          </w:p>
        </w:tc>
      </w:tr>
      <w:tr w:rsidR="00DB4EDF" w14:paraId="1EA97662" w14:textId="77777777" w:rsidTr="00D54602">
        <w:trPr>
          <w:cantSplit/>
        </w:trPr>
        <w:tc>
          <w:tcPr>
            <w:tcW w:w="1250" w:type="pct"/>
            <w:tcBorders>
              <w:top w:val="single" w:sz="4" w:space="0" w:color="999999"/>
              <w:bottom w:val="nil"/>
            </w:tcBorders>
          </w:tcPr>
          <w:p w14:paraId="3B9A1BB2" w14:textId="77777777" w:rsidR="00DB4EDF" w:rsidRPr="00886237" w:rsidRDefault="00DB4EDF" w:rsidP="00DB4EDF">
            <w:pPr>
              <w:pStyle w:val="tbltext"/>
            </w:pPr>
            <w:r w:rsidRPr="00BE02C7">
              <w:t>Exempts AFS licensees and Australian credit licensees from having to notify ASIC of certain breaches</w:t>
            </w:r>
          </w:p>
        </w:tc>
        <w:tc>
          <w:tcPr>
            <w:tcW w:w="1250" w:type="pct"/>
            <w:tcBorders>
              <w:top w:val="single" w:sz="4" w:space="0" w:color="999999"/>
              <w:bottom w:val="nil"/>
            </w:tcBorders>
          </w:tcPr>
          <w:p w14:paraId="22254C5D" w14:textId="77777777" w:rsidR="00DB4EDF" w:rsidRDefault="00DB4EDF" w:rsidP="00DB4EDF">
            <w:pPr>
              <w:pStyle w:val="tbltext"/>
            </w:pPr>
            <w:r w:rsidRPr="00886237">
              <w:t>Corporations Regulation</w:t>
            </w:r>
            <w:r>
              <w:t>s, reg </w:t>
            </w:r>
            <w:r w:rsidRPr="00886237">
              <w:t>7.</w:t>
            </w:r>
            <w:r>
              <w:t>6.02A</w:t>
            </w:r>
          </w:p>
        </w:tc>
        <w:tc>
          <w:tcPr>
            <w:tcW w:w="1250" w:type="pct"/>
            <w:tcBorders>
              <w:top w:val="single" w:sz="4" w:space="0" w:color="999999"/>
              <w:bottom w:val="nil"/>
            </w:tcBorders>
          </w:tcPr>
          <w:p w14:paraId="0BEF5751" w14:textId="77777777" w:rsidR="00DB4EDF" w:rsidRDefault="00DB4EDF" w:rsidP="00DB4EDF">
            <w:pPr>
              <w:pStyle w:val="tbltext"/>
            </w:pPr>
            <w:r w:rsidRPr="00886237">
              <w:t>Corporations Regulation</w:t>
            </w:r>
            <w:r>
              <w:t>s, reg </w:t>
            </w:r>
            <w:r w:rsidRPr="00886237">
              <w:t>7.</w:t>
            </w:r>
            <w:r>
              <w:t>6.02A</w:t>
            </w:r>
          </w:p>
        </w:tc>
        <w:tc>
          <w:tcPr>
            <w:tcW w:w="1250" w:type="pct"/>
            <w:tcBorders>
              <w:top w:val="single" w:sz="4" w:space="0" w:color="999999"/>
              <w:bottom w:val="nil"/>
            </w:tcBorders>
          </w:tcPr>
          <w:p w14:paraId="77F5757F" w14:textId="77777777" w:rsidR="00DB4EDF" w:rsidRDefault="00DB4EDF" w:rsidP="00DB4EDF">
            <w:pPr>
              <w:pStyle w:val="tbltext"/>
            </w:pPr>
            <w:r w:rsidRPr="00886237">
              <w:t>Corporations Regulation</w:t>
            </w:r>
            <w:r>
              <w:t>s, reg </w:t>
            </w:r>
            <w:r w:rsidRPr="00886237">
              <w:t>7.</w:t>
            </w:r>
            <w:r>
              <w:t>6.02A</w:t>
            </w:r>
          </w:p>
        </w:tc>
      </w:tr>
      <w:tr w:rsidR="00DB4EDF" w:rsidRPr="00886237" w14:paraId="317F8DF5" w14:textId="77777777" w:rsidTr="00D54602">
        <w:trPr>
          <w:cantSplit/>
        </w:trPr>
        <w:tc>
          <w:tcPr>
            <w:tcW w:w="1250" w:type="pct"/>
            <w:tcBorders>
              <w:bottom w:val="single" w:sz="4" w:space="0" w:color="999999"/>
            </w:tcBorders>
          </w:tcPr>
          <w:p w14:paraId="662F6125" w14:textId="694BF5FE" w:rsidR="00DB4EDF" w:rsidRDefault="00EE6C03" w:rsidP="00DB4EDF">
            <w:pPr>
              <w:pStyle w:val="tbltext"/>
            </w:pPr>
            <w:r>
              <w:t>ASIC-made rules imposing specific reporting requirements</w:t>
            </w:r>
          </w:p>
        </w:tc>
        <w:tc>
          <w:tcPr>
            <w:tcW w:w="1250" w:type="pct"/>
            <w:tcBorders>
              <w:bottom w:val="single" w:sz="4" w:space="0" w:color="999999"/>
            </w:tcBorders>
          </w:tcPr>
          <w:p w14:paraId="42AEB696" w14:textId="5F849E2D" w:rsidR="00DB4EDF" w:rsidRPr="00BA10DC" w:rsidRDefault="00096A20" w:rsidP="00DB4EDF">
            <w:pPr>
              <w:pStyle w:val="tbltext"/>
              <w:rPr>
                <w:i/>
                <w:iCs/>
              </w:rPr>
            </w:pPr>
            <w:hyperlink r:id="rId36" w:history="1">
              <w:r w:rsidR="00DB4EDF" w:rsidRPr="00BA10DC">
                <w:rPr>
                  <w:rStyle w:val="Hyperlink"/>
                  <w:i/>
                  <w:iCs/>
                </w:rPr>
                <w:t>ASIC Derivative Transaction Rules (Reporting) 2013</w:t>
              </w:r>
            </w:hyperlink>
          </w:p>
        </w:tc>
        <w:tc>
          <w:tcPr>
            <w:tcW w:w="1250" w:type="pct"/>
            <w:tcBorders>
              <w:bottom w:val="single" w:sz="4" w:space="0" w:color="999999"/>
            </w:tcBorders>
          </w:tcPr>
          <w:p w14:paraId="439F72C8" w14:textId="77777777" w:rsidR="00DB4EDF" w:rsidRPr="00BA10DC" w:rsidRDefault="00DB4EDF" w:rsidP="00DB4EDF">
            <w:pPr>
              <w:pStyle w:val="tbltext"/>
              <w:rPr>
                <w:i/>
                <w:iCs/>
              </w:rPr>
            </w:pPr>
            <w:r w:rsidRPr="00BA10DC">
              <w:rPr>
                <w:i/>
                <w:iCs/>
              </w:rPr>
              <w:t>ASIC Derivative Transaction Rules (Reporting) 2022</w:t>
            </w:r>
          </w:p>
        </w:tc>
        <w:tc>
          <w:tcPr>
            <w:tcW w:w="1250" w:type="pct"/>
            <w:tcBorders>
              <w:bottom w:val="single" w:sz="4" w:space="0" w:color="999999"/>
            </w:tcBorders>
          </w:tcPr>
          <w:p w14:paraId="570337C6" w14:textId="7C39950F" w:rsidR="00DB4EDF" w:rsidRPr="00886237" w:rsidRDefault="00DB4EDF" w:rsidP="00DB4EDF">
            <w:pPr>
              <w:pStyle w:val="tbltext"/>
            </w:pPr>
            <w:r w:rsidRPr="00BA10DC">
              <w:rPr>
                <w:i/>
                <w:iCs/>
              </w:rPr>
              <w:t>ASIC Derivative Transaction Rules (Reporting) 2022</w:t>
            </w:r>
            <w:r>
              <w:t xml:space="preserve"> with amended Schedule 1 </w:t>
            </w:r>
            <w:r w:rsidR="005E261B">
              <w:t>‘</w:t>
            </w:r>
            <w:r>
              <w:t>Information requirements</w:t>
            </w:r>
            <w:r w:rsidR="005E261B">
              <w:t>’</w:t>
            </w:r>
            <w:r>
              <w:t xml:space="preserve"> and related rules amendments</w:t>
            </w:r>
          </w:p>
        </w:tc>
      </w:tr>
      <w:tr w:rsidR="00DB4EDF" w14:paraId="242AD6EB" w14:textId="77777777" w:rsidTr="00D54602">
        <w:trPr>
          <w:cantSplit/>
        </w:trPr>
        <w:tc>
          <w:tcPr>
            <w:tcW w:w="1250" w:type="pct"/>
            <w:tcBorders>
              <w:bottom w:val="nil"/>
            </w:tcBorders>
          </w:tcPr>
          <w:p w14:paraId="0575C07B" w14:textId="77777777" w:rsidR="00DB4EDF" w:rsidRDefault="00DB4EDF" w:rsidP="00DB4EDF">
            <w:pPr>
              <w:pStyle w:val="tbltext"/>
            </w:pPr>
            <w:r w:rsidRPr="00BE02C7">
              <w:t>Lists 32 individual foreign financial markets and two classes of financial markets whose traded derivatives are exchange-traded derivatives (and, therefore, not reportable OTC derivatives)</w:t>
            </w:r>
          </w:p>
        </w:tc>
        <w:tc>
          <w:tcPr>
            <w:tcW w:w="1250" w:type="pct"/>
            <w:tcBorders>
              <w:bottom w:val="nil"/>
            </w:tcBorders>
          </w:tcPr>
          <w:p w14:paraId="1165E54F" w14:textId="7DB4FDCF" w:rsidR="00DB4EDF" w:rsidRPr="00BA10DC" w:rsidRDefault="00096A20" w:rsidP="00DB4EDF">
            <w:pPr>
              <w:pStyle w:val="tbltext"/>
              <w:rPr>
                <w:i/>
                <w:iCs/>
                <w:color w:val="0000FF"/>
                <w:u w:val="single"/>
              </w:rPr>
            </w:pPr>
            <w:hyperlink r:id="rId37" w:history="1">
              <w:r w:rsidR="00DB4EDF" w:rsidRPr="00BA10DC">
                <w:rPr>
                  <w:rStyle w:val="Hyperlink"/>
                  <w:i/>
                  <w:iCs/>
                </w:rPr>
                <w:t>ASIC Regulated Foreign Markets Determination [OTC DET 13/1145]</w:t>
              </w:r>
            </w:hyperlink>
          </w:p>
        </w:tc>
        <w:tc>
          <w:tcPr>
            <w:tcW w:w="1250" w:type="pct"/>
            <w:tcBorders>
              <w:bottom w:val="nil"/>
            </w:tcBorders>
          </w:tcPr>
          <w:p w14:paraId="0D1ACB23" w14:textId="77777777" w:rsidR="00DB4EDF" w:rsidRPr="00BA10DC" w:rsidRDefault="00DB4EDF" w:rsidP="00DB4EDF">
            <w:pPr>
              <w:pStyle w:val="tbltext"/>
              <w:rPr>
                <w:i/>
                <w:iCs/>
              </w:rPr>
            </w:pPr>
            <w:r w:rsidRPr="00BA10DC">
              <w:rPr>
                <w:i/>
                <w:iCs/>
              </w:rPr>
              <w:t>ASIC Regulated Foreign Markets Determination [OTC DET 13/1145]</w:t>
            </w:r>
          </w:p>
        </w:tc>
        <w:tc>
          <w:tcPr>
            <w:tcW w:w="1250" w:type="pct"/>
            <w:tcBorders>
              <w:bottom w:val="nil"/>
            </w:tcBorders>
          </w:tcPr>
          <w:p w14:paraId="57EFC379" w14:textId="77777777" w:rsidR="00DB4EDF" w:rsidRDefault="00DB4EDF" w:rsidP="00DB4EDF">
            <w:pPr>
              <w:pStyle w:val="tbltext"/>
            </w:pPr>
            <w:r>
              <w:t>Not applicable</w:t>
            </w:r>
            <w:r w:rsidRPr="00EA4991">
              <w:t>—</w:t>
            </w:r>
            <w:r>
              <w:t xml:space="preserve">intended to be repealed under proposals in the third consultation </w:t>
            </w:r>
            <w:r w:rsidRPr="00313678">
              <w:t>to give effect to the instrument within the rules themselves</w:t>
            </w:r>
          </w:p>
        </w:tc>
      </w:tr>
      <w:tr w:rsidR="00DB4EDF" w14:paraId="6C6F4BB8" w14:textId="77777777" w:rsidTr="00D54602">
        <w:trPr>
          <w:cantSplit/>
        </w:trPr>
        <w:tc>
          <w:tcPr>
            <w:tcW w:w="1250" w:type="pct"/>
            <w:tcBorders>
              <w:bottom w:val="nil"/>
            </w:tcBorders>
          </w:tcPr>
          <w:p w14:paraId="1A83C6AC" w14:textId="77777777" w:rsidR="00DB4EDF" w:rsidRDefault="00DB4EDF" w:rsidP="00DB4EDF">
            <w:pPr>
              <w:pStyle w:val="tbltext"/>
            </w:pPr>
            <w:r w:rsidRPr="00BE02C7">
              <w:t>Determines equity derivatives, contracts for difference (CFDs) and margin FX derivatives as excluded derivatives for which lifecycle reporting applies</w:t>
            </w:r>
          </w:p>
        </w:tc>
        <w:tc>
          <w:tcPr>
            <w:tcW w:w="1250" w:type="pct"/>
            <w:tcBorders>
              <w:bottom w:val="nil"/>
            </w:tcBorders>
          </w:tcPr>
          <w:p w14:paraId="4C696B08" w14:textId="2379E9C2" w:rsidR="00DB4EDF" w:rsidRDefault="00096A20" w:rsidP="00DB4EDF">
            <w:pPr>
              <w:pStyle w:val="tbltext"/>
            </w:pPr>
            <w:hyperlink r:id="rId38" w:history="1">
              <w:r w:rsidR="00DB4EDF" w:rsidRPr="00BA10DC">
                <w:rPr>
                  <w:rStyle w:val="Hyperlink"/>
                  <w:i/>
                  <w:iCs/>
                </w:rPr>
                <w:t>ASIC Derivative Transaction Rules (Reporting) Determination 2018/1096</w:t>
              </w:r>
            </w:hyperlink>
            <w:r w:rsidR="00DB4EDF">
              <w:t xml:space="preserve"> (PDF 105 KB)</w:t>
            </w:r>
          </w:p>
        </w:tc>
        <w:tc>
          <w:tcPr>
            <w:tcW w:w="1250" w:type="pct"/>
            <w:tcBorders>
              <w:bottom w:val="nil"/>
            </w:tcBorders>
          </w:tcPr>
          <w:p w14:paraId="033BF4BE" w14:textId="77777777" w:rsidR="00DB4EDF" w:rsidRDefault="00DB4EDF" w:rsidP="00DB4EDF">
            <w:pPr>
              <w:pStyle w:val="tbltext"/>
            </w:pPr>
            <w:r>
              <w:t>Repealed</w:t>
            </w:r>
            <w:r w:rsidRPr="00BA10DC">
              <w:t>—</w:t>
            </w:r>
            <w:r>
              <w:t>lifecycle reporting to apply to all products</w:t>
            </w:r>
          </w:p>
        </w:tc>
        <w:tc>
          <w:tcPr>
            <w:tcW w:w="1250" w:type="pct"/>
            <w:tcBorders>
              <w:bottom w:val="nil"/>
            </w:tcBorders>
          </w:tcPr>
          <w:p w14:paraId="2E28C08A" w14:textId="77777777" w:rsidR="00DB4EDF" w:rsidRDefault="00DB4EDF" w:rsidP="00DB4EDF">
            <w:pPr>
              <w:pStyle w:val="tbltext"/>
            </w:pPr>
            <w:r>
              <w:t>Not applicable</w:t>
            </w:r>
          </w:p>
        </w:tc>
      </w:tr>
      <w:tr w:rsidR="00DB4EDF" w14:paraId="37A21A55" w14:textId="77777777" w:rsidTr="00D54602">
        <w:trPr>
          <w:cantSplit/>
        </w:trPr>
        <w:tc>
          <w:tcPr>
            <w:tcW w:w="1250" w:type="pct"/>
            <w:tcBorders>
              <w:bottom w:val="nil"/>
            </w:tcBorders>
          </w:tcPr>
          <w:p w14:paraId="04B8BDAB" w14:textId="3A4E836E" w:rsidR="00DB4EDF" w:rsidRDefault="00DB4EDF" w:rsidP="00DB4EDF">
            <w:pPr>
              <w:pStyle w:val="tbltext"/>
            </w:pPr>
            <w:r w:rsidRPr="00BE02C7">
              <w:t>Provides that foreign reporting entities may opt</w:t>
            </w:r>
            <w:r w:rsidR="00B02C96">
              <w:t xml:space="preserve"> </w:t>
            </w:r>
            <w:r w:rsidRPr="00BE02C7">
              <w:t>in to applying a ‘sales or trader basis’ test to the ‘entered into’ test to determine ASIC-reportable transactions</w:t>
            </w:r>
          </w:p>
        </w:tc>
        <w:tc>
          <w:tcPr>
            <w:tcW w:w="1250" w:type="pct"/>
            <w:tcBorders>
              <w:bottom w:val="nil"/>
            </w:tcBorders>
          </w:tcPr>
          <w:p w14:paraId="3E510B49" w14:textId="17097F30" w:rsidR="00DB4EDF" w:rsidRPr="00BA10DC" w:rsidRDefault="00096A20" w:rsidP="00DB4EDF">
            <w:pPr>
              <w:pStyle w:val="tbltext"/>
              <w:rPr>
                <w:i/>
                <w:iCs/>
              </w:rPr>
            </w:pPr>
            <w:hyperlink r:id="rId39" w:history="1">
              <w:r w:rsidR="00DB4EDF" w:rsidRPr="00BA10DC">
                <w:rPr>
                  <w:rStyle w:val="Hyperlink"/>
                  <w:i/>
                  <w:iCs/>
                </w:rPr>
                <w:t>ASIC Derivative Transaction Rules (Nexus Derivatives) Class Exemption 2015</w:t>
              </w:r>
            </w:hyperlink>
          </w:p>
        </w:tc>
        <w:tc>
          <w:tcPr>
            <w:tcW w:w="1250" w:type="pct"/>
            <w:tcBorders>
              <w:bottom w:val="nil"/>
            </w:tcBorders>
          </w:tcPr>
          <w:p w14:paraId="462AB1E8" w14:textId="77777777" w:rsidR="00DB4EDF" w:rsidRPr="00BA10DC" w:rsidRDefault="00DB4EDF" w:rsidP="00DB4EDF">
            <w:pPr>
              <w:pStyle w:val="tbltext"/>
              <w:rPr>
                <w:i/>
                <w:iCs/>
              </w:rPr>
            </w:pPr>
            <w:r w:rsidRPr="00BA10DC">
              <w:rPr>
                <w:i/>
                <w:iCs/>
                <w:color w:val="000000" w:themeColor="text1"/>
              </w:rPr>
              <w:t>ASIC Derivative Transaction Rules (Nexus Derivatives) Class Exemption 2015</w:t>
            </w:r>
          </w:p>
        </w:tc>
        <w:tc>
          <w:tcPr>
            <w:tcW w:w="1250" w:type="pct"/>
            <w:tcBorders>
              <w:bottom w:val="nil"/>
            </w:tcBorders>
          </w:tcPr>
          <w:p w14:paraId="6EF7E892" w14:textId="77777777" w:rsidR="00DB4EDF" w:rsidRDefault="00DB4EDF" w:rsidP="00DB4EDF">
            <w:pPr>
              <w:pStyle w:val="tbltext"/>
            </w:pPr>
            <w:r>
              <w:t>Not applicable</w:t>
            </w:r>
            <w:r w:rsidRPr="00BA10DC">
              <w:t>—</w:t>
            </w:r>
            <w:r>
              <w:t>intended to be repealed under proposals in the third consultation to give effect to the instrument within the rules themselves</w:t>
            </w:r>
          </w:p>
        </w:tc>
      </w:tr>
      <w:tr w:rsidR="00DB4EDF" w14:paraId="736E88F7" w14:textId="77777777" w:rsidTr="00D54602">
        <w:trPr>
          <w:cantSplit/>
        </w:trPr>
        <w:tc>
          <w:tcPr>
            <w:tcW w:w="1250" w:type="pct"/>
          </w:tcPr>
          <w:p w14:paraId="60D8FAEE" w14:textId="77777777" w:rsidR="00DB4EDF" w:rsidRDefault="00DB4EDF" w:rsidP="00DB4EDF">
            <w:pPr>
              <w:pStyle w:val="tbltext"/>
            </w:pPr>
            <w:r w:rsidRPr="00BE02C7">
              <w:t>Having regard to the agency OTC clearing model of ASX Clear (Futures) for affiliates and clients, the clearing participant is exempt from reporting cleared transactions with ASX Clear (Futures) that are entered into by an affiliate or client</w:t>
            </w:r>
          </w:p>
        </w:tc>
        <w:tc>
          <w:tcPr>
            <w:tcW w:w="1250" w:type="pct"/>
          </w:tcPr>
          <w:p w14:paraId="7F1F644F" w14:textId="62610165" w:rsidR="00DB4EDF" w:rsidRPr="00BA10DC" w:rsidRDefault="00096A20" w:rsidP="00DB4EDF">
            <w:pPr>
              <w:pStyle w:val="tbltext"/>
              <w:rPr>
                <w:i/>
                <w:iCs/>
              </w:rPr>
            </w:pPr>
            <w:hyperlink r:id="rId40" w:history="1">
              <w:r w:rsidR="00DB4EDF" w:rsidRPr="00BA10DC">
                <w:rPr>
                  <w:rStyle w:val="Hyperlink"/>
                  <w:i/>
                  <w:iCs/>
                </w:rPr>
                <w:t>ASIC Corporations (Derivative Transaction Reporting Exemption) Instrument 2016/0688</w:t>
              </w:r>
            </w:hyperlink>
          </w:p>
        </w:tc>
        <w:tc>
          <w:tcPr>
            <w:tcW w:w="1250" w:type="pct"/>
          </w:tcPr>
          <w:p w14:paraId="72582175" w14:textId="77777777" w:rsidR="00DB4EDF" w:rsidRDefault="00DB4EDF" w:rsidP="00DB4EDF">
            <w:pPr>
              <w:pStyle w:val="tbltext"/>
            </w:pPr>
            <w:r>
              <w:t>Not applicable</w:t>
            </w:r>
            <w:r w:rsidRPr="00BA10DC">
              <w:t>—</w:t>
            </w:r>
            <w:r>
              <w:t>proposed to be repealed in this second consultation by giving effect to the instrument within the rules themselves</w:t>
            </w:r>
          </w:p>
        </w:tc>
        <w:tc>
          <w:tcPr>
            <w:tcW w:w="1250" w:type="pct"/>
          </w:tcPr>
          <w:p w14:paraId="3A0881F6" w14:textId="77777777" w:rsidR="00DB4EDF" w:rsidRDefault="00DB4EDF" w:rsidP="00DB4EDF">
            <w:pPr>
              <w:pStyle w:val="tbltext"/>
            </w:pPr>
            <w:r>
              <w:t>Not applicable</w:t>
            </w:r>
          </w:p>
        </w:tc>
      </w:tr>
      <w:tr w:rsidR="00DB4EDF" w14:paraId="5440A0CF" w14:textId="77777777" w:rsidTr="00D54602">
        <w:trPr>
          <w:cantSplit/>
        </w:trPr>
        <w:tc>
          <w:tcPr>
            <w:tcW w:w="1250" w:type="pct"/>
          </w:tcPr>
          <w:p w14:paraId="72895A52" w14:textId="77777777" w:rsidR="00DB4EDF" w:rsidRDefault="00DB4EDF" w:rsidP="00DB4EDF">
            <w:pPr>
              <w:pStyle w:val="tbltext"/>
            </w:pPr>
            <w:r>
              <w:t>Exemptions for:</w:t>
            </w:r>
          </w:p>
          <w:p w14:paraId="1A5AFFE4" w14:textId="77777777" w:rsidR="00DB4EDF" w:rsidRDefault="00DB4EDF" w:rsidP="00C443A0">
            <w:pPr>
              <w:pStyle w:val="tablebullet"/>
              <w:numPr>
                <w:ilvl w:val="0"/>
                <w:numId w:val="15"/>
              </w:numPr>
              <w:tabs>
                <w:tab w:val="num" w:pos="170"/>
              </w:tabs>
              <w:ind w:left="170" w:hanging="170"/>
            </w:pPr>
            <w:r>
              <w:t>entity name information where entity identifiers of certain types are reported</w:t>
            </w:r>
          </w:p>
          <w:p w14:paraId="30178A4C" w14:textId="77777777" w:rsidR="00DB4EDF" w:rsidRDefault="00DB4EDF" w:rsidP="00C443A0">
            <w:pPr>
              <w:pStyle w:val="tablebullet"/>
              <w:numPr>
                <w:ilvl w:val="0"/>
                <w:numId w:val="15"/>
              </w:numPr>
              <w:tabs>
                <w:tab w:val="num" w:pos="170"/>
              </w:tabs>
              <w:ind w:left="170" w:hanging="170"/>
            </w:pPr>
            <w:r>
              <w:t>UTIs other than identifiers generated under foreign rules or by certain trading platforms or confirmation platforms</w:t>
            </w:r>
          </w:p>
          <w:p w14:paraId="12214F7E" w14:textId="77777777" w:rsidR="00DB4EDF" w:rsidRDefault="00DB4EDF" w:rsidP="00C443A0">
            <w:pPr>
              <w:pStyle w:val="tablebullet"/>
              <w:numPr>
                <w:ilvl w:val="0"/>
                <w:numId w:val="15"/>
              </w:numPr>
              <w:tabs>
                <w:tab w:val="num" w:pos="170"/>
              </w:tabs>
              <w:ind w:left="170" w:hanging="170"/>
            </w:pPr>
            <w:r>
              <w:t>short-dated foreign exchange transactions facilitating foreign currency securities settlement</w:t>
            </w:r>
          </w:p>
        </w:tc>
        <w:tc>
          <w:tcPr>
            <w:tcW w:w="1250" w:type="pct"/>
          </w:tcPr>
          <w:p w14:paraId="22F34BFF" w14:textId="3E7F58EE" w:rsidR="00DB4EDF" w:rsidRPr="00BA10DC" w:rsidRDefault="00096A20" w:rsidP="00DB4EDF">
            <w:pPr>
              <w:pStyle w:val="tbltext"/>
              <w:rPr>
                <w:i/>
                <w:iCs/>
              </w:rPr>
            </w:pPr>
            <w:hyperlink r:id="rId41" w:history="1">
              <w:r w:rsidR="00DB4EDF" w:rsidRPr="00BA10DC">
                <w:rPr>
                  <w:rStyle w:val="Hyperlink"/>
                  <w:i/>
                  <w:iCs/>
                </w:rPr>
                <w:t>ASIC Corporations (Derivative Transaction Reporting Exemption) Instrument 2015/844</w:t>
              </w:r>
            </w:hyperlink>
          </w:p>
          <w:p w14:paraId="6AB74A74" w14:textId="74F58958" w:rsidR="00DB4EDF" w:rsidRPr="00BA10DC" w:rsidRDefault="00DB4EDF" w:rsidP="00DB4EDF">
            <w:pPr>
              <w:pStyle w:val="tbltext"/>
              <w:rPr>
                <w:i/>
                <w:iCs/>
              </w:rPr>
            </w:pPr>
            <w:r>
              <w:t>Previously expected to sunset on 30 September 2022, these exemptions extended to 30 September 2023</w:t>
            </w:r>
          </w:p>
        </w:tc>
        <w:tc>
          <w:tcPr>
            <w:tcW w:w="1250" w:type="pct"/>
          </w:tcPr>
          <w:p w14:paraId="14B035A9" w14:textId="77777777" w:rsidR="00DB4EDF" w:rsidRDefault="00DB4EDF" w:rsidP="00DB4EDF">
            <w:pPr>
              <w:pStyle w:val="tbltext"/>
            </w:pPr>
            <w:r>
              <w:t>These exemptions repealed because:</w:t>
            </w:r>
          </w:p>
          <w:p w14:paraId="47074EFD" w14:textId="77777777" w:rsidR="00DB4EDF" w:rsidRDefault="00DB4EDF" w:rsidP="00C443A0">
            <w:pPr>
              <w:pStyle w:val="tablebullet"/>
              <w:numPr>
                <w:ilvl w:val="0"/>
                <w:numId w:val="15"/>
              </w:numPr>
              <w:tabs>
                <w:tab w:val="num" w:pos="170"/>
              </w:tabs>
              <w:ind w:left="170" w:hanging="170"/>
            </w:pPr>
            <w:r>
              <w:t>entity name information no longer required under the rules</w:t>
            </w:r>
          </w:p>
          <w:p w14:paraId="7E6E1B65" w14:textId="77777777" w:rsidR="00DB4EDF" w:rsidRDefault="00DB4EDF" w:rsidP="00C443A0">
            <w:pPr>
              <w:pStyle w:val="tablebullet"/>
              <w:numPr>
                <w:ilvl w:val="0"/>
                <w:numId w:val="15"/>
              </w:numPr>
              <w:tabs>
                <w:tab w:val="num" w:pos="170"/>
              </w:tabs>
              <w:ind w:left="170" w:hanging="170"/>
            </w:pPr>
            <w:r>
              <w:t>UTI requirements commence under the rules</w:t>
            </w:r>
          </w:p>
          <w:p w14:paraId="611DE993" w14:textId="77777777" w:rsidR="00DB4EDF" w:rsidRDefault="00DB4EDF" w:rsidP="00C443A0">
            <w:pPr>
              <w:pStyle w:val="tablebullet"/>
              <w:numPr>
                <w:ilvl w:val="0"/>
                <w:numId w:val="15"/>
              </w:numPr>
              <w:tabs>
                <w:tab w:val="num" w:pos="170"/>
              </w:tabs>
              <w:ind w:left="170" w:hanging="170"/>
            </w:pPr>
            <w:r>
              <w:t>short-dated foreign exchange transaction exemption effected within the rules themselves</w:t>
            </w:r>
          </w:p>
        </w:tc>
        <w:tc>
          <w:tcPr>
            <w:tcW w:w="1250" w:type="pct"/>
          </w:tcPr>
          <w:p w14:paraId="53969E38" w14:textId="77777777" w:rsidR="00DB4EDF" w:rsidRDefault="00DB4EDF" w:rsidP="00DB4EDF">
            <w:pPr>
              <w:pStyle w:val="tbltext"/>
            </w:pPr>
            <w:r>
              <w:t>Not applicable</w:t>
            </w:r>
          </w:p>
        </w:tc>
      </w:tr>
      <w:tr w:rsidR="00DB4EDF" w14:paraId="7F339480" w14:textId="77777777" w:rsidTr="00D54602">
        <w:trPr>
          <w:cantSplit/>
        </w:trPr>
        <w:tc>
          <w:tcPr>
            <w:tcW w:w="1250" w:type="pct"/>
          </w:tcPr>
          <w:p w14:paraId="4E661691" w14:textId="77777777" w:rsidR="00DB4EDF" w:rsidRDefault="00DB4EDF" w:rsidP="00DB4EDF">
            <w:pPr>
              <w:pStyle w:val="tbltext"/>
            </w:pPr>
            <w:r>
              <w:t>Exemptions for exchange-traded derivatives traded on other than a regulated foreign market</w:t>
            </w:r>
          </w:p>
        </w:tc>
        <w:tc>
          <w:tcPr>
            <w:tcW w:w="1250" w:type="pct"/>
          </w:tcPr>
          <w:p w14:paraId="3D7C8BB2" w14:textId="3683891D" w:rsidR="00DB4EDF" w:rsidRPr="00BA10DC" w:rsidRDefault="00096A20" w:rsidP="00DB4EDF">
            <w:pPr>
              <w:pStyle w:val="tbltext"/>
              <w:rPr>
                <w:i/>
                <w:iCs/>
              </w:rPr>
            </w:pPr>
            <w:hyperlink r:id="rId42" w:history="1">
              <w:r w:rsidR="00DB4EDF" w:rsidRPr="00BA10DC">
                <w:rPr>
                  <w:rStyle w:val="Hyperlink"/>
                  <w:i/>
                  <w:iCs/>
                </w:rPr>
                <w:t>ASIC Corporations (Derivative Transaction Reporting Exemption) Instrument 2015/844</w:t>
              </w:r>
            </w:hyperlink>
          </w:p>
          <w:p w14:paraId="6E080F64" w14:textId="54D94992" w:rsidR="00DB4EDF" w:rsidRDefault="00DB4EDF" w:rsidP="00DB4EDF">
            <w:pPr>
              <w:pStyle w:val="tbltext"/>
            </w:pPr>
            <w:r>
              <w:t>Previously expected to sunset on 30</w:t>
            </w:r>
            <w:r w:rsidR="00B02C96">
              <w:t> </w:t>
            </w:r>
            <w:r>
              <w:t>September 2022, these exemptions extended to 31 March 2024</w:t>
            </w:r>
          </w:p>
        </w:tc>
        <w:tc>
          <w:tcPr>
            <w:tcW w:w="1250" w:type="pct"/>
          </w:tcPr>
          <w:p w14:paraId="46436677" w14:textId="77777777" w:rsidR="00DB4EDF" w:rsidRPr="00FD2F42" w:rsidRDefault="00DB4EDF" w:rsidP="00DB4EDF">
            <w:pPr>
              <w:pStyle w:val="tbltext"/>
              <w:rPr>
                <w:i/>
                <w:iCs/>
              </w:rPr>
            </w:pPr>
            <w:r w:rsidRPr="00FD2F42">
              <w:rPr>
                <w:i/>
                <w:iCs/>
              </w:rPr>
              <w:t>ASIC Corporations (Derivative Transaction Reporting Exemption) Instrument 2015/844</w:t>
            </w:r>
          </w:p>
          <w:p w14:paraId="22BEB5E1" w14:textId="77777777" w:rsidR="00DB4EDF" w:rsidRDefault="00DB4EDF" w:rsidP="00DB4EDF">
            <w:pPr>
              <w:pStyle w:val="tbltext"/>
            </w:pPr>
            <w:r>
              <w:t>Previously expected to sunset on 30 September 2022, these exemptions extended to 31 March 2024</w:t>
            </w:r>
          </w:p>
        </w:tc>
        <w:tc>
          <w:tcPr>
            <w:tcW w:w="1250" w:type="pct"/>
          </w:tcPr>
          <w:p w14:paraId="095439A1" w14:textId="77777777" w:rsidR="00DB4EDF" w:rsidRDefault="00DB4EDF" w:rsidP="00DB4EDF">
            <w:pPr>
              <w:pStyle w:val="tbltext"/>
            </w:pPr>
            <w:r>
              <w:t>Not applicable</w:t>
            </w:r>
            <w:r w:rsidRPr="00BA10DC">
              <w:t>—</w:t>
            </w:r>
            <w:r>
              <w:t>intended to be repealed under proposals in the third consultation to give effect to the instrument within the rules themselves</w:t>
            </w:r>
          </w:p>
        </w:tc>
      </w:tr>
      <w:tr w:rsidR="00DB4EDF" w14:paraId="3D730160" w14:textId="77777777" w:rsidTr="00D54602">
        <w:trPr>
          <w:cantSplit/>
        </w:trPr>
        <w:tc>
          <w:tcPr>
            <w:tcW w:w="1250" w:type="pct"/>
          </w:tcPr>
          <w:p w14:paraId="78D4E97C" w14:textId="77777777" w:rsidR="00DB4EDF" w:rsidRDefault="00DB4EDF" w:rsidP="00DB4EDF">
            <w:pPr>
              <w:pStyle w:val="tbltext"/>
            </w:pPr>
            <w:r>
              <w:t>Exemptions for:</w:t>
            </w:r>
          </w:p>
          <w:p w14:paraId="1B0E24F9" w14:textId="77777777" w:rsidR="00DB4EDF" w:rsidRDefault="00DB4EDF" w:rsidP="00C443A0">
            <w:pPr>
              <w:pStyle w:val="tablebullet"/>
              <w:numPr>
                <w:ilvl w:val="0"/>
                <w:numId w:val="15"/>
              </w:numPr>
              <w:tabs>
                <w:tab w:val="num" w:pos="170"/>
              </w:tabs>
              <w:ind w:left="170" w:hanging="170"/>
            </w:pPr>
            <w:r>
              <w:t>entity identifiers where entity identifiers of certain types are applied for within two business days</w:t>
            </w:r>
          </w:p>
          <w:p w14:paraId="08AD1FBB" w14:textId="77777777" w:rsidR="00DB4EDF" w:rsidRDefault="00DB4EDF" w:rsidP="00C443A0">
            <w:pPr>
              <w:pStyle w:val="tablebullet"/>
              <w:numPr>
                <w:ilvl w:val="0"/>
                <w:numId w:val="15"/>
              </w:numPr>
              <w:tabs>
                <w:tab w:val="num" w:pos="170"/>
              </w:tabs>
              <w:ind w:left="170" w:hanging="170"/>
            </w:pPr>
            <w:r>
              <w:t>entity identifiers for certain types of foreign counterparties in transactions entered into by NZ registered banks</w:t>
            </w:r>
          </w:p>
          <w:p w14:paraId="74A6F00B" w14:textId="77777777" w:rsidR="00DB4EDF" w:rsidRDefault="00DB4EDF" w:rsidP="00C443A0">
            <w:pPr>
              <w:pStyle w:val="tablebullet"/>
              <w:numPr>
                <w:ilvl w:val="0"/>
                <w:numId w:val="15"/>
              </w:numPr>
              <w:tabs>
                <w:tab w:val="num" w:pos="170"/>
              </w:tabs>
              <w:ind w:left="170" w:hanging="170"/>
            </w:pPr>
            <w:r>
              <w:t>entity identifiers for counterparties who have entered into transactions as joint or joint and several counterparties</w:t>
            </w:r>
          </w:p>
          <w:p w14:paraId="4353CF28" w14:textId="77777777" w:rsidR="00DB4EDF" w:rsidRDefault="00DB4EDF" w:rsidP="00C443A0">
            <w:pPr>
              <w:pStyle w:val="tablebullet"/>
              <w:numPr>
                <w:ilvl w:val="0"/>
                <w:numId w:val="15"/>
              </w:numPr>
              <w:tabs>
                <w:tab w:val="num" w:pos="170"/>
              </w:tabs>
              <w:ind w:left="170" w:hanging="170"/>
            </w:pPr>
            <w:r>
              <w:t>reference entity identifiers for certain types of credit derivatives where an identifier of a certain type is reported</w:t>
            </w:r>
          </w:p>
        </w:tc>
        <w:tc>
          <w:tcPr>
            <w:tcW w:w="1250" w:type="pct"/>
          </w:tcPr>
          <w:p w14:paraId="013F006F" w14:textId="6F2FF187" w:rsidR="00DB4EDF" w:rsidRDefault="00096A20" w:rsidP="00DB4EDF">
            <w:pPr>
              <w:pStyle w:val="tbltext"/>
            </w:pPr>
            <w:hyperlink r:id="rId43" w:history="1">
              <w:r w:rsidR="00DB4EDF" w:rsidRPr="00BA10DC">
                <w:rPr>
                  <w:rStyle w:val="Hyperlink"/>
                  <w:i/>
                  <w:iCs/>
                </w:rPr>
                <w:t>ASIC Corporations (Derivative Transaction Reporting Exemption) Instrument 2015/844</w:t>
              </w:r>
            </w:hyperlink>
          </w:p>
        </w:tc>
        <w:tc>
          <w:tcPr>
            <w:tcW w:w="1250" w:type="pct"/>
          </w:tcPr>
          <w:p w14:paraId="69006010" w14:textId="77777777" w:rsidR="00DB4EDF" w:rsidRDefault="00DB4EDF" w:rsidP="00DB4EDF">
            <w:pPr>
              <w:pStyle w:val="tbltext"/>
            </w:pPr>
            <w:r w:rsidRPr="00FD2F42">
              <w:rPr>
                <w:i/>
                <w:iCs/>
              </w:rPr>
              <w:t>ASIC Corporations (Derivative Transaction Reporting Exemption) Instrument 2015/844</w:t>
            </w:r>
          </w:p>
          <w:p w14:paraId="4E72396D" w14:textId="77777777" w:rsidR="00DB4EDF" w:rsidRDefault="00DB4EDF" w:rsidP="00DB4EDF">
            <w:pPr>
              <w:pStyle w:val="tbltext"/>
            </w:pPr>
            <w:r>
              <w:t>Repeal of exemptions for entity identifiers:</w:t>
            </w:r>
          </w:p>
          <w:p w14:paraId="0F11FA52" w14:textId="77777777" w:rsidR="00DB4EDF" w:rsidRDefault="00DB4EDF" w:rsidP="00C443A0">
            <w:pPr>
              <w:pStyle w:val="tablebullet"/>
              <w:numPr>
                <w:ilvl w:val="0"/>
                <w:numId w:val="15"/>
              </w:numPr>
              <w:tabs>
                <w:tab w:val="num" w:pos="170"/>
              </w:tabs>
              <w:ind w:left="170" w:hanging="170"/>
            </w:pPr>
            <w:r>
              <w:t>applied within two business days—a form of the exemption effected within the rules themselves</w:t>
            </w:r>
          </w:p>
          <w:p w14:paraId="3FBCC899" w14:textId="77777777" w:rsidR="00DB4EDF" w:rsidRDefault="00DB4EDF" w:rsidP="00C443A0">
            <w:pPr>
              <w:pStyle w:val="tablebullet"/>
              <w:numPr>
                <w:ilvl w:val="0"/>
                <w:numId w:val="15"/>
              </w:numPr>
              <w:tabs>
                <w:tab w:val="num" w:pos="170"/>
              </w:tabs>
              <w:ind w:left="170" w:hanging="170"/>
            </w:pPr>
            <w:r>
              <w:t>for certain types of foreign counterparties</w:t>
            </w:r>
            <w:r w:rsidRPr="00BA10DC">
              <w:t>—</w:t>
            </w:r>
            <w:r>
              <w:t>rules no longer have the scope for which the exemption was required</w:t>
            </w:r>
          </w:p>
          <w:p w14:paraId="486860E3" w14:textId="77777777" w:rsidR="00DB4EDF" w:rsidRDefault="00DB4EDF" w:rsidP="00C443A0">
            <w:pPr>
              <w:pStyle w:val="tablebullet"/>
              <w:numPr>
                <w:ilvl w:val="0"/>
                <w:numId w:val="15"/>
              </w:numPr>
              <w:tabs>
                <w:tab w:val="num" w:pos="170"/>
              </w:tabs>
              <w:ind w:left="170" w:hanging="170"/>
            </w:pPr>
            <w:r>
              <w:t>for joint or joint and several counterparties</w:t>
            </w:r>
            <w:r w:rsidRPr="00BA10DC">
              <w:t>—</w:t>
            </w:r>
            <w:r>
              <w:t>propose to cease the exemption</w:t>
            </w:r>
          </w:p>
          <w:p w14:paraId="6759ACFE" w14:textId="77777777" w:rsidR="00DB4EDF" w:rsidRDefault="00DB4EDF" w:rsidP="00C443A0">
            <w:pPr>
              <w:pStyle w:val="tablebullet"/>
              <w:numPr>
                <w:ilvl w:val="0"/>
                <w:numId w:val="15"/>
              </w:numPr>
              <w:tabs>
                <w:tab w:val="num" w:pos="170"/>
              </w:tabs>
              <w:ind w:left="170" w:hanging="170"/>
            </w:pPr>
            <w:r>
              <w:t>for certain types of credit derivatives</w:t>
            </w:r>
            <w:r w:rsidRPr="00BA10DC">
              <w:t>—</w:t>
            </w:r>
            <w:r>
              <w:t>these kinds of identifiers no longer required under the rules</w:t>
            </w:r>
          </w:p>
        </w:tc>
        <w:tc>
          <w:tcPr>
            <w:tcW w:w="1250" w:type="pct"/>
          </w:tcPr>
          <w:p w14:paraId="764E85E1" w14:textId="77777777" w:rsidR="00DB4EDF" w:rsidRDefault="00DB4EDF" w:rsidP="00DB4EDF">
            <w:pPr>
              <w:pStyle w:val="tbltext"/>
            </w:pPr>
            <w:r>
              <w:t>Not applicable</w:t>
            </w:r>
          </w:p>
        </w:tc>
      </w:tr>
      <w:tr w:rsidR="00DB4EDF" w:rsidRPr="00AA5079" w14:paraId="7F2EA9C4" w14:textId="77777777" w:rsidTr="00D54602">
        <w:trPr>
          <w:cantSplit/>
        </w:trPr>
        <w:tc>
          <w:tcPr>
            <w:tcW w:w="1250" w:type="pct"/>
            <w:tcBorders>
              <w:top w:val="single" w:sz="4" w:space="0" w:color="auto"/>
            </w:tcBorders>
          </w:tcPr>
          <w:p w14:paraId="00088470" w14:textId="77777777" w:rsidR="00DB4EDF" w:rsidRDefault="00DB4EDF" w:rsidP="00DB4EDF">
            <w:pPr>
              <w:pStyle w:val="tbltext"/>
            </w:pPr>
            <w:r>
              <w:t>An exemption for certain transactions of foreign subsidiaries of Australian deposit-taking institutions (ADIs)</w:t>
            </w:r>
          </w:p>
        </w:tc>
        <w:tc>
          <w:tcPr>
            <w:tcW w:w="1250" w:type="pct"/>
            <w:tcBorders>
              <w:top w:val="single" w:sz="4" w:space="0" w:color="auto"/>
            </w:tcBorders>
          </w:tcPr>
          <w:p w14:paraId="61CD77E1" w14:textId="1D51B9A3" w:rsidR="00DB4EDF" w:rsidRPr="00BA10DC" w:rsidRDefault="00096A20" w:rsidP="00DB4EDF">
            <w:pPr>
              <w:pStyle w:val="tbltext"/>
              <w:rPr>
                <w:i/>
                <w:iCs/>
              </w:rPr>
            </w:pPr>
            <w:hyperlink r:id="rId44" w:history="1">
              <w:r w:rsidR="00DB4EDF" w:rsidRPr="000A4612">
                <w:rPr>
                  <w:rStyle w:val="Hyperlink"/>
                  <w:i/>
                  <w:iCs/>
                </w:rPr>
                <w:t>ASIC Derivative Transaction Rules (ADI Foreign Subsidiaries) Class Exemption 2021/51</w:t>
              </w:r>
            </w:hyperlink>
          </w:p>
        </w:tc>
        <w:tc>
          <w:tcPr>
            <w:tcW w:w="1250" w:type="pct"/>
            <w:tcBorders>
              <w:top w:val="single" w:sz="4" w:space="0" w:color="auto"/>
            </w:tcBorders>
          </w:tcPr>
          <w:p w14:paraId="227CDF9D" w14:textId="77777777" w:rsidR="00DB4EDF" w:rsidRPr="00AA5079" w:rsidRDefault="00DB4EDF" w:rsidP="00DB4EDF">
            <w:pPr>
              <w:pStyle w:val="tbltext"/>
            </w:pPr>
            <w:r>
              <w:t>Repealed</w:t>
            </w:r>
            <w:r w:rsidRPr="00BA10DC">
              <w:t>—</w:t>
            </w:r>
            <w:r>
              <w:t>rules no longer have the scope for which the exemption was required</w:t>
            </w:r>
          </w:p>
        </w:tc>
        <w:tc>
          <w:tcPr>
            <w:tcW w:w="1250" w:type="pct"/>
            <w:tcBorders>
              <w:top w:val="single" w:sz="4" w:space="0" w:color="auto"/>
            </w:tcBorders>
          </w:tcPr>
          <w:p w14:paraId="2B9B483A" w14:textId="77777777" w:rsidR="00DB4EDF" w:rsidRPr="00AA5079" w:rsidRDefault="00DB4EDF" w:rsidP="00DB4EDF">
            <w:pPr>
              <w:pStyle w:val="tbltext"/>
            </w:pPr>
            <w:r>
              <w:t>Not applicable</w:t>
            </w:r>
          </w:p>
        </w:tc>
      </w:tr>
    </w:tbl>
    <w:p w14:paraId="4B908366" w14:textId="77777777" w:rsidR="00DB4EDF" w:rsidRDefault="00DB4EDF" w:rsidP="00DB4EDF">
      <w:pPr>
        <w:pStyle w:val="Bodytextplain"/>
        <w:sectPr w:rsidR="00DB4EDF" w:rsidSect="00AD3B39">
          <w:headerReference w:type="default" r:id="rId45"/>
          <w:footerReference w:type="default" r:id="rId46"/>
          <w:pgSz w:w="16838" w:h="11906" w:orient="landscape" w:code="9"/>
          <w:pgMar w:top="1418" w:right="1644" w:bottom="1418" w:left="1418" w:header="567" w:footer="567" w:gutter="0"/>
          <w:cols w:space="720"/>
          <w:docGrid w:linePitch="299"/>
        </w:sectPr>
      </w:pPr>
    </w:p>
    <w:p w14:paraId="1ACC7FB0" w14:textId="203D7410" w:rsidR="003E2552" w:rsidRDefault="00E555C1" w:rsidP="00E555C1">
      <w:pPr>
        <w:pStyle w:val="Heading3"/>
      </w:pPr>
      <w:r w:rsidRPr="002A130C">
        <w:t>Note on interpretation</w:t>
      </w:r>
    </w:p>
    <w:p w14:paraId="3B367811" w14:textId="60EE0700" w:rsidR="005678C4" w:rsidRPr="005678C4" w:rsidRDefault="00E555C1" w:rsidP="00D54602">
      <w:pPr>
        <w:pStyle w:val="BodyText"/>
        <w:tabs>
          <w:tab w:val="clear" w:pos="4394"/>
          <w:tab w:val="num" w:pos="2268"/>
        </w:tabs>
        <w:ind w:left="2268"/>
        <w:rPr>
          <w:b/>
          <w:bCs/>
        </w:rPr>
      </w:pPr>
      <w:r w:rsidRPr="002A130C">
        <w:t xml:space="preserve">Words and expressions defined in the Corporations Act and the </w:t>
      </w:r>
      <w:r w:rsidRPr="00D54602">
        <w:t>ASIC Rules</w:t>
      </w:r>
      <w:r w:rsidRPr="002A130C">
        <w:t xml:space="preserve"> will, unless otherwise defined or specified</w:t>
      </w:r>
      <w:r>
        <w:t xml:space="preserve"> in this consultation paper or the contrary intention appears, have the same meaning in this consultation paper.</w:t>
      </w:r>
    </w:p>
    <w:p w14:paraId="00439C72" w14:textId="634B63C6" w:rsidR="005678C4" w:rsidRPr="00E555C1" w:rsidRDefault="005678C4" w:rsidP="005678C4">
      <w:pPr>
        <w:pStyle w:val="BodyText"/>
        <w:numPr>
          <w:ilvl w:val="0"/>
          <w:numId w:val="0"/>
        </w:numPr>
        <w:ind w:left="2268"/>
      </w:pPr>
      <w:r w:rsidRPr="005678C4">
        <w:rPr>
          <w:b/>
          <w:bCs/>
        </w:rPr>
        <w:t>CDE Guidance</w:t>
      </w:r>
      <w:r>
        <w:t xml:space="preserve"> means Regulatory Oversight Committee, </w:t>
      </w:r>
      <w:hyperlink r:id="rId47" w:history="1">
        <w:r w:rsidRPr="004A1E65">
          <w:rPr>
            <w:rStyle w:val="Hyperlink"/>
            <w:i/>
            <w:iCs/>
          </w:rPr>
          <w:t>Technical guidance:</w:t>
        </w:r>
        <w:r w:rsidRPr="004A1E65">
          <w:rPr>
            <w:rStyle w:val="Hyperlink"/>
          </w:rPr>
          <w:t xml:space="preserve"> </w:t>
        </w:r>
        <w:r w:rsidRPr="004A1E65">
          <w:rPr>
            <w:rStyle w:val="Hyperlink"/>
            <w:i/>
            <w:iCs/>
          </w:rPr>
          <w:t>Harmonisation of critical OTC derivatives data elements (other</w:t>
        </w:r>
        <w:r w:rsidR="004927C5">
          <w:rPr>
            <w:rStyle w:val="Hyperlink"/>
            <w:i/>
            <w:iCs/>
          </w:rPr>
          <w:t> </w:t>
        </w:r>
        <w:r w:rsidRPr="004A1E65">
          <w:rPr>
            <w:rStyle w:val="Hyperlink"/>
            <w:i/>
            <w:iCs/>
          </w:rPr>
          <w:t>than UTI and UPI)</w:t>
        </w:r>
      </w:hyperlink>
      <w:r>
        <w:t xml:space="preserve"> </w:t>
      </w:r>
      <w:r w:rsidRPr="00454E49">
        <w:rPr>
          <w:i/>
          <w:iCs/>
        </w:rPr>
        <w:t>Revised CDE Technical Guidance</w:t>
      </w:r>
      <w:r>
        <w:rPr>
          <w:i/>
          <w:iCs/>
        </w:rPr>
        <w:t>—</w:t>
      </w:r>
      <w:r w:rsidRPr="00454E49">
        <w:rPr>
          <w:i/>
          <w:iCs/>
        </w:rPr>
        <w:t>version 2</w:t>
      </w:r>
      <w:r>
        <w:rPr>
          <w:i/>
          <w:iCs/>
        </w:rPr>
        <w:t xml:space="preserve"> </w:t>
      </w:r>
      <w:r>
        <w:t>(PDF 1.01 MB), September 2021.</w:t>
      </w:r>
    </w:p>
    <w:p w14:paraId="2E1356FA" w14:textId="268F84FC" w:rsidR="00E555C1" w:rsidRDefault="00E555C1" w:rsidP="00E555C1">
      <w:pPr>
        <w:pStyle w:val="BodyText"/>
        <w:numPr>
          <w:ilvl w:val="0"/>
          <w:numId w:val="0"/>
        </w:numPr>
        <w:ind w:left="2268"/>
      </w:pPr>
      <w:r w:rsidRPr="000A4612">
        <w:rPr>
          <w:b/>
          <w:bCs/>
        </w:rPr>
        <w:t>CFTC</w:t>
      </w:r>
      <w:r>
        <w:t xml:space="preserve"> means the </w:t>
      </w:r>
      <w:r w:rsidR="00A20CB6">
        <w:t>US</w:t>
      </w:r>
      <w:r>
        <w:t xml:space="preserve"> Commodity Futures Trading Commission. </w:t>
      </w:r>
    </w:p>
    <w:p w14:paraId="5EE2E56E" w14:textId="77777777" w:rsidR="005678C4" w:rsidRDefault="005678C4" w:rsidP="005678C4">
      <w:pPr>
        <w:pStyle w:val="BodyText"/>
        <w:numPr>
          <w:ilvl w:val="0"/>
          <w:numId w:val="0"/>
        </w:numPr>
        <w:ind w:left="2268"/>
      </w:pPr>
      <w:r w:rsidRPr="00BA10DC">
        <w:rPr>
          <w:b/>
          <w:bCs/>
        </w:rPr>
        <w:t>ESMA</w:t>
      </w:r>
      <w:r>
        <w:t xml:space="preserve"> means the European Securities and Markets Authority.</w:t>
      </w:r>
    </w:p>
    <w:p w14:paraId="0AE64F15" w14:textId="5E3FA0A8" w:rsidR="005678C4" w:rsidRDefault="005678C4" w:rsidP="005678C4">
      <w:pPr>
        <w:pStyle w:val="BodyText"/>
        <w:numPr>
          <w:ilvl w:val="0"/>
          <w:numId w:val="0"/>
        </w:numPr>
        <w:ind w:left="2268"/>
      </w:pPr>
      <w:r w:rsidRPr="00BA10DC">
        <w:rPr>
          <w:b/>
          <w:bCs/>
        </w:rPr>
        <w:t>ESMA proposals</w:t>
      </w:r>
      <w:r w:rsidRPr="000B6003">
        <w:t xml:space="preserve"> means </w:t>
      </w:r>
      <w:hyperlink r:id="rId48" w:history="1">
        <w:r w:rsidRPr="00924DAA">
          <w:rPr>
            <w:rStyle w:val="Hyperlink"/>
            <w:i/>
            <w:iCs/>
          </w:rPr>
          <w:t>Consultation Paper: T</w:t>
        </w:r>
        <w:r w:rsidRPr="001722BB">
          <w:rPr>
            <w:rStyle w:val="Hyperlink"/>
            <w:i/>
            <w:iCs/>
          </w:rPr>
          <w:t>echnical standards on reporting, data</w:t>
        </w:r>
        <w:r w:rsidRPr="00924DAA">
          <w:rPr>
            <w:rStyle w:val="Hyperlink"/>
            <w:i/>
            <w:iCs/>
          </w:rPr>
          <w:t xml:space="preserve"> quality, data access and registration of Trade Repositories under EMIR REFIT</w:t>
        </w:r>
      </w:hyperlink>
      <w:r w:rsidRPr="000B6003">
        <w:t>, 26 March 2020, ESMA74-362-47.</w:t>
      </w:r>
    </w:p>
    <w:p w14:paraId="44D1372A" w14:textId="77777777" w:rsidR="005678C4" w:rsidRDefault="005678C4" w:rsidP="005678C4">
      <w:pPr>
        <w:pStyle w:val="BodyText"/>
        <w:numPr>
          <w:ilvl w:val="0"/>
          <w:numId w:val="0"/>
        </w:numPr>
        <w:ind w:left="2268"/>
      </w:pPr>
      <w:r w:rsidRPr="00BA10DC">
        <w:rPr>
          <w:b/>
          <w:bCs/>
        </w:rPr>
        <w:t>EU rules</w:t>
      </w:r>
      <w:r>
        <w:t xml:space="preserve"> means Regulation (EU) No. 648/2012 of the European Parliament and Council of 4 July 2012 (EMIR) and Regulation (EU) 2019/834 of the European Parliament and of the Council of 20 May 2019 amending Regulation (EU) No. 648/2012 (EMIR REFIT) and Commission Implementing Regulation (EU) No. 1247/2012 of 19 December 2012 as amended by Commission Implementing Regulation 2017/105 of 19 October 2016 and by Commission Implementing Regulation 2019/363 (ITS) and Commission Delegated Regulation (EU) No. 148/2013 of 19 December 2012 as amended by Commission Delegated Regulation No. 2017/104 of 19 October 2016, supplementing Regulation (EU) No. 648/2012 (RTS).</w:t>
      </w:r>
    </w:p>
    <w:p w14:paraId="7A09E935" w14:textId="7C9653A2" w:rsidR="00E555C1" w:rsidRDefault="00E555C1" w:rsidP="00E555C1">
      <w:pPr>
        <w:pStyle w:val="BodyText"/>
        <w:numPr>
          <w:ilvl w:val="0"/>
          <w:numId w:val="0"/>
        </w:numPr>
        <w:ind w:left="2268"/>
      </w:pPr>
      <w:r w:rsidRPr="000A4612">
        <w:rPr>
          <w:b/>
          <w:bCs/>
        </w:rPr>
        <w:t>final CFTC rules</w:t>
      </w:r>
      <w:r>
        <w:t xml:space="preserve"> means the final rule RIN 3038-AE31 for 17 CFR Parts 45, 46 and 49 Swap Data Recordkeeping and Reporting Requirements and the final rule RIN 3038-AE60 for 17 CFR Part 43 Real-Time Public Reporting Requirements. </w:t>
      </w:r>
    </w:p>
    <w:p w14:paraId="61686277" w14:textId="4A03454A" w:rsidR="00E555C1" w:rsidRDefault="00D16F70" w:rsidP="00E555C1">
      <w:pPr>
        <w:pStyle w:val="BodyText"/>
        <w:numPr>
          <w:ilvl w:val="0"/>
          <w:numId w:val="0"/>
        </w:numPr>
        <w:ind w:left="2268"/>
      </w:pPr>
      <w:r w:rsidRPr="000A4612">
        <w:rPr>
          <w:b/>
          <w:bCs/>
        </w:rPr>
        <w:t xml:space="preserve">final </w:t>
      </w:r>
      <w:r w:rsidR="00E555C1" w:rsidRPr="000A4612">
        <w:rPr>
          <w:b/>
          <w:bCs/>
        </w:rPr>
        <w:t>ESMA</w:t>
      </w:r>
      <w:r w:rsidR="00E555C1" w:rsidRPr="005678C4">
        <w:t xml:space="preserve"> </w:t>
      </w:r>
      <w:r w:rsidRPr="000A4612">
        <w:rPr>
          <w:b/>
          <w:bCs/>
        </w:rPr>
        <w:t>rules</w:t>
      </w:r>
      <w:r w:rsidR="00E555C1">
        <w:t xml:space="preserve"> means </w:t>
      </w:r>
      <w:hyperlink r:id="rId49" w:history="1">
        <w:r w:rsidR="00E67D18" w:rsidRPr="00924DAA">
          <w:rPr>
            <w:rStyle w:val="Hyperlink"/>
            <w:i/>
            <w:iCs/>
          </w:rPr>
          <w:t>Final Report</w:t>
        </w:r>
        <w:r w:rsidR="00E555C1" w:rsidRPr="00924DAA">
          <w:rPr>
            <w:rStyle w:val="Hyperlink"/>
            <w:i/>
            <w:iCs/>
          </w:rPr>
          <w:t xml:space="preserve">: </w:t>
        </w:r>
        <w:r w:rsidR="00E555C1" w:rsidRPr="001722BB">
          <w:rPr>
            <w:rStyle w:val="Hyperlink"/>
            <w:i/>
            <w:iCs/>
          </w:rPr>
          <w:t>Technical standards on reporting, data quality, data access and registration of Trade Repositories under EMIR REFIT</w:t>
        </w:r>
      </w:hyperlink>
      <w:r w:rsidR="00E555C1">
        <w:t xml:space="preserve">, </w:t>
      </w:r>
      <w:r w:rsidR="00E67D18">
        <w:t xml:space="preserve">17 December </w:t>
      </w:r>
      <w:r w:rsidR="00E555C1">
        <w:t>2020, ESMA74-362-</w:t>
      </w:r>
      <w:r w:rsidR="00E67D18">
        <w:t>824</w:t>
      </w:r>
      <w:r w:rsidR="00E555C1">
        <w:t>.</w:t>
      </w:r>
    </w:p>
    <w:p w14:paraId="3AB4AD18" w14:textId="7A86162D" w:rsidR="005678C4" w:rsidRDefault="005678C4" w:rsidP="000A4612">
      <w:pPr>
        <w:pStyle w:val="BodyText"/>
        <w:numPr>
          <w:ilvl w:val="0"/>
          <w:numId w:val="0"/>
        </w:numPr>
        <w:spacing w:line="290" w:lineRule="atLeast"/>
        <w:ind w:left="2268"/>
      </w:pPr>
      <w:r w:rsidRPr="005678C4">
        <w:rPr>
          <w:b/>
          <w:bCs/>
        </w:rPr>
        <w:t>UPI Guidance</w:t>
      </w:r>
      <w:r w:rsidRPr="005678C4">
        <w:t xml:space="preserve"> </w:t>
      </w:r>
      <w:r w:rsidRPr="00B178E8">
        <w:t xml:space="preserve">means </w:t>
      </w:r>
      <w:r>
        <w:t xml:space="preserve">CPMI IOSCO, </w:t>
      </w:r>
      <w:hyperlink r:id="rId50" w:history="1">
        <w:r w:rsidRPr="004A1E65">
          <w:rPr>
            <w:rStyle w:val="Hyperlink"/>
            <w:i/>
            <w:iCs/>
          </w:rPr>
          <w:t>Technical guidance: Harmonisation of the unique product identifier</w:t>
        </w:r>
      </w:hyperlink>
      <w:r>
        <w:t xml:space="preserve"> (PDF 602 KB), September 2017.</w:t>
      </w:r>
    </w:p>
    <w:p w14:paraId="0FA71E80" w14:textId="050DA494" w:rsidR="00B178E8" w:rsidRDefault="00B178E8" w:rsidP="00B178E8">
      <w:pPr>
        <w:pStyle w:val="BodyText"/>
        <w:numPr>
          <w:ilvl w:val="0"/>
          <w:numId w:val="0"/>
        </w:numPr>
        <w:spacing w:line="290" w:lineRule="atLeast"/>
        <w:ind w:left="2268"/>
      </w:pPr>
      <w:r w:rsidRPr="005678C4">
        <w:rPr>
          <w:b/>
          <w:bCs/>
        </w:rPr>
        <w:t>UTI Guidance</w:t>
      </w:r>
      <w:r>
        <w:rPr>
          <w:b/>
          <w:bCs/>
        </w:rPr>
        <w:t xml:space="preserve"> </w:t>
      </w:r>
      <w:r>
        <w:t xml:space="preserve">means CPMI IOSCO, </w:t>
      </w:r>
      <w:hyperlink r:id="rId51" w:history="1">
        <w:r w:rsidRPr="00036EE7">
          <w:rPr>
            <w:rStyle w:val="Hyperlink"/>
            <w:i/>
            <w:iCs/>
          </w:rPr>
          <w:t>Technical guidance: Harmonisation of the unique transaction identifier</w:t>
        </w:r>
      </w:hyperlink>
      <w:r>
        <w:t xml:space="preserve"> (PDF 570 KB), February 2017.</w:t>
      </w:r>
    </w:p>
    <w:p w14:paraId="79612B7C" w14:textId="4A78AF2D" w:rsidR="00FC511F" w:rsidRDefault="00B815C2" w:rsidP="00FC511F">
      <w:pPr>
        <w:pStyle w:val="Heading1"/>
      </w:pPr>
      <w:bookmarkStart w:id="19" w:name="_Toc100748798"/>
      <w:bookmarkStart w:id="20" w:name="_Toc100748799"/>
      <w:bookmarkStart w:id="21" w:name="_ASICRef705"/>
      <w:bookmarkStart w:id="22" w:name="_ASICRef272"/>
      <w:bookmarkStart w:id="23" w:name="_ASICRef219"/>
      <w:bookmarkStart w:id="24" w:name="_Toc103174619"/>
      <w:bookmarkEnd w:id="19"/>
      <w:bookmarkEnd w:id="20"/>
      <w:r>
        <w:t>The unique transaction identifier (UTI)</w:t>
      </w:r>
      <w:bookmarkEnd w:id="21"/>
      <w:bookmarkEnd w:id="22"/>
      <w:bookmarkEnd w:id="23"/>
      <w:bookmarkEnd w:id="24"/>
    </w:p>
    <w:p w14:paraId="1FCE3F0B" w14:textId="77777777" w:rsidR="00FC511F" w:rsidRDefault="00FC511F" w:rsidP="00414BEA">
      <w:pPr>
        <w:pStyle w:val="KPhead"/>
      </w:pPr>
      <w:r>
        <w:t>Key points</w:t>
      </w:r>
    </w:p>
    <w:p w14:paraId="4EEB0041" w14:textId="77777777" w:rsidR="00081DC1" w:rsidRDefault="00081DC1" w:rsidP="00081DC1">
      <w:pPr>
        <w:pStyle w:val="KPtext"/>
      </w:pPr>
      <w:r>
        <w:t xml:space="preserve">The UTI is a globally unique transaction identifier used in derivative transaction reporting by each party to the transaction so that each reported transaction is solely identified by a single UTI. </w:t>
      </w:r>
    </w:p>
    <w:p w14:paraId="28759D26" w14:textId="46702D1B" w:rsidR="00081DC1" w:rsidRDefault="001A4F48" w:rsidP="00081DC1">
      <w:pPr>
        <w:pStyle w:val="KPtext"/>
      </w:pPr>
      <w:r>
        <w:t xml:space="preserve">After considering </w:t>
      </w:r>
      <w:r w:rsidR="00081DC1">
        <w:t>the feedback to CP 334, we have decided to implement several of our proposals in CP 334 for steps of ASIC UTI rules, including detailing the definitions and provisions for market infrastructures, single-jurisdictional transactions, providing UTIs to counterparties, non-receipt of UTIs and the roles of third parties in UTI generation.</w:t>
      </w:r>
    </w:p>
    <w:p w14:paraId="431A84FC" w14:textId="77777777" w:rsidR="00081DC1" w:rsidRDefault="00081DC1" w:rsidP="00081DC1">
      <w:pPr>
        <w:pStyle w:val="KPtext"/>
      </w:pPr>
      <w:r>
        <w:t>However, we are now also proposing significant revisions to provide increased flexibility for UTI generation for cross-jurisdictional transactions.</w:t>
      </w:r>
    </w:p>
    <w:p w14:paraId="46553A60" w14:textId="6E1359D1" w:rsidR="00FC511F" w:rsidRDefault="00081DC1" w:rsidP="00081DC1">
      <w:pPr>
        <w:pStyle w:val="KPtext"/>
      </w:pPr>
      <w:r>
        <w:t xml:space="preserve">We are proposing to implement the provisions as the draft new </w:t>
      </w:r>
      <w:r w:rsidR="00924DAA">
        <w:t>R</w:t>
      </w:r>
      <w:r>
        <w:t>ule 2.2.9 in the draft remade ASIC Rules</w:t>
      </w:r>
      <w:r w:rsidR="0068751F">
        <w:t xml:space="preserve">: </w:t>
      </w:r>
      <w:r w:rsidR="0068751F" w:rsidRPr="00FA0519">
        <w:t xml:space="preserve">see </w:t>
      </w:r>
      <w:r w:rsidRPr="00D54602">
        <w:t>Attachment 1</w:t>
      </w:r>
      <w:r w:rsidRPr="00FA0519">
        <w:t>.</w:t>
      </w:r>
    </w:p>
    <w:p w14:paraId="74782C48" w14:textId="6B48BF86" w:rsidR="00FC511F" w:rsidRDefault="00510C3F" w:rsidP="00414BEA">
      <w:pPr>
        <w:pStyle w:val="Heading2"/>
      </w:pPr>
      <w:bookmarkStart w:id="25" w:name="_Toc103174620"/>
      <w:r>
        <w:t>Background</w:t>
      </w:r>
      <w:bookmarkEnd w:id="25"/>
    </w:p>
    <w:p w14:paraId="73888BD6" w14:textId="77777777" w:rsidR="00081DC1" w:rsidRDefault="00081DC1" w:rsidP="00C443A0">
      <w:pPr>
        <w:pStyle w:val="BodyText"/>
        <w:numPr>
          <w:ilvl w:val="0"/>
          <w:numId w:val="17"/>
        </w:numPr>
      </w:pPr>
      <w:r w:rsidRPr="0068751F">
        <w:t>The</w:t>
      </w:r>
      <w:r w:rsidRPr="00E238DF">
        <w:t xml:space="preserve"> UTI is a globally unique transaction identifier used to ensure that each reportable derivative transaction is identifiable and that each party to the transaction reports the same UTI. It will provide significant regulatory benefit in terms of matching both sides of the same transaction, including avoiding double-count in market metrics such as turnover and aggregate notional principal.</w:t>
      </w:r>
    </w:p>
    <w:p w14:paraId="58698481" w14:textId="776F685A" w:rsidR="00081DC1" w:rsidRDefault="00081DC1" w:rsidP="00C443A0">
      <w:pPr>
        <w:pStyle w:val="BodyText"/>
        <w:numPr>
          <w:ilvl w:val="0"/>
          <w:numId w:val="17"/>
        </w:numPr>
        <w:rPr>
          <w:rStyle w:val="Hyperlink"/>
          <w:color w:val="auto"/>
          <w:u w:val="none"/>
        </w:rPr>
      </w:pPr>
      <w:r>
        <w:rPr>
          <w:rStyle w:val="Hyperlink"/>
          <w:color w:val="auto"/>
          <w:u w:val="none"/>
        </w:rPr>
        <w:t xml:space="preserve">In Section B of </w:t>
      </w:r>
      <w:hyperlink r:id="rId52" w:history="1">
        <w:r w:rsidRPr="0068751F">
          <w:rPr>
            <w:rStyle w:val="Hyperlink"/>
          </w:rPr>
          <w:t>CP 334</w:t>
        </w:r>
      </w:hyperlink>
      <w:r>
        <w:rPr>
          <w:rStyle w:val="Hyperlink"/>
          <w:color w:val="auto"/>
          <w:u w:val="none"/>
        </w:rPr>
        <w:t>, we described the background to the development of the UTI and its governance and operations arrangements.</w:t>
      </w:r>
    </w:p>
    <w:p w14:paraId="630D3B21" w14:textId="08033371" w:rsidR="00081DC1" w:rsidRPr="00036EE7" w:rsidRDefault="00081DC1" w:rsidP="00C443A0">
      <w:pPr>
        <w:pStyle w:val="BodyText"/>
        <w:numPr>
          <w:ilvl w:val="0"/>
          <w:numId w:val="17"/>
        </w:numPr>
      </w:pPr>
      <w:r>
        <w:t>The UTI is one of the international harmonised standards</w:t>
      </w:r>
      <w:r w:rsidRPr="001500F7">
        <w:t xml:space="preserve"> </w:t>
      </w:r>
      <w:r>
        <w:t xml:space="preserve">for which the Committee on Payments and Market Infrastructures (CPMI) of the Bank for International Settlements and the International Organization of Securities Commissions (IOSCO) have developed global guidance: CPMI IOSCO, </w:t>
      </w:r>
      <w:hyperlink r:id="rId53" w:history="1">
        <w:r w:rsidRPr="001500F7">
          <w:rPr>
            <w:rStyle w:val="Hyperlink"/>
            <w:i/>
            <w:iCs/>
          </w:rPr>
          <w:t>Technical guidance: Harmonisation of the unique transaction identifier</w:t>
        </w:r>
      </w:hyperlink>
      <w:r>
        <w:t xml:space="preserve"> (PDF 570 KB), February 2017 (</w:t>
      </w:r>
      <w:r w:rsidRPr="007E5BC8">
        <w:t>UTI Guidance</w:t>
      </w:r>
      <w:r w:rsidRPr="001500F7">
        <w:rPr>
          <w:rStyle w:val="Hyperlink"/>
          <w:color w:val="auto"/>
          <w:u w:val="none"/>
        </w:rPr>
        <w:t>)</w:t>
      </w:r>
      <w:r>
        <w:rPr>
          <w:rStyle w:val="Hyperlink"/>
          <w:color w:val="auto"/>
          <w:u w:val="none"/>
        </w:rPr>
        <w:t>.</w:t>
      </w:r>
    </w:p>
    <w:p w14:paraId="0DA23AE8" w14:textId="14715AF4" w:rsidR="00081DC1" w:rsidRDefault="00081DC1" w:rsidP="00C443A0">
      <w:pPr>
        <w:pStyle w:val="BodyText"/>
        <w:numPr>
          <w:ilvl w:val="0"/>
          <w:numId w:val="17"/>
        </w:numPr>
      </w:pPr>
      <w:r w:rsidRPr="000A35EB">
        <w:t>The</w:t>
      </w:r>
      <w:r>
        <w:t xml:space="preserve"> </w:t>
      </w:r>
      <w:r w:rsidRPr="00537821">
        <w:t>International Organization for Standardization</w:t>
      </w:r>
      <w:r>
        <w:t xml:space="preserve"> (ISO) is the data standard and maintenance body for the UTI</w:t>
      </w:r>
      <w:r w:rsidR="00031F74">
        <w:t>,</w:t>
      </w:r>
      <w:r>
        <w:t xml:space="preserve"> and </w:t>
      </w:r>
      <w:r w:rsidR="00031F74">
        <w:t xml:space="preserve">the </w:t>
      </w:r>
      <w:r>
        <w:t xml:space="preserve">structure and format </w:t>
      </w:r>
      <w:r w:rsidR="00031F74">
        <w:t xml:space="preserve">of the UTI </w:t>
      </w:r>
      <w:r w:rsidR="005A5E1A">
        <w:t>are</w:t>
      </w:r>
      <w:r>
        <w:t xml:space="preserve"> specified in ISO 23897</w:t>
      </w:r>
      <w:r w:rsidR="00031F74">
        <w:t xml:space="preserve">:2020 </w:t>
      </w:r>
      <w:r w:rsidR="00031F74" w:rsidRPr="000A4612">
        <w:rPr>
          <w:i/>
          <w:iCs/>
        </w:rPr>
        <w:t>Financial Services: Unique Transaction Identifier (UTI)</w:t>
      </w:r>
      <w:r w:rsidR="00031F74">
        <w:t xml:space="preserve"> </w:t>
      </w:r>
      <w:r>
        <w:t>as an alphanumeric code of up to 52 characters:</w:t>
      </w:r>
    </w:p>
    <w:p w14:paraId="23BA888F" w14:textId="77777777" w:rsidR="00081DC1" w:rsidRDefault="00081DC1" w:rsidP="00C443A0">
      <w:pPr>
        <w:pStyle w:val="subparaa"/>
        <w:numPr>
          <w:ilvl w:val="1"/>
          <w:numId w:val="17"/>
        </w:numPr>
      </w:pPr>
      <w:r>
        <w:t>the first 20 characters are the LEI of the entity generating the UTI;</w:t>
      </w:r>
    </w:p>
    <w:p w14:paraId="4615AB38" w14:textId="77777777" w:rsidR="00081DC1" w:rsidRDefault="00081DC1" w:rsidP="00C443A0">
      <w:pPr>
        <w:pStyle w:val="subparaa"/>
        <w:numPr>
          <w:ilvl w:val="1"/>
          <w:numId w:val="17"/>
        </w:numPr>
        <w:spacing w:line="310" w:lineRule="atLeast"/>
      </w:pPr>
      <w:r>
        <w:t>followed by up to 32 characters of a unique identifier assigned by the generating entity.</w:t>
      </w:r>
    </w:p>
    <w:p w14:paraId="485651F1" w14:textId="77777777" w:rsidR="00081DC1" w:rsidRDefault="00081DC1" w:rsidP="00C443A0">
      <w:pPr>
        <w:pStyle w:val="BodyText"/>
        <w:numPr>
          <w:ilvl w:val="0"/>
          <w:numId w:val="17"/>
        </w:numPr>
        <w:spacing w:line="310" w:lineRule="atLeast"/>
      </w:pPr>
      <w:r w:rsidRPr="00031F74">
        <w:t>The</w:t>
      </w:r>
      <w:r>
        <w:t xml:space="preserve"> UTI Guidance recommends to regulators an international standard for:</w:t>
      </w:r>
    </w:p>
    <w:p w14:paraId="32927925" w14:textId="77777777" w:rsidR="00081DC1" w:rsidRDefault="00081DC1" w:rsidP="00C443A0">
      <w:pPr>
        <w:pStyle w:val="subparaa"/>
        <w:numPr>
          <w:ilvl w:val="1"/>
          <w:numId w:val="17"/>
        </w:numPr>
        <w:spacing w:line="310" w:lineRule="atLeast"/>
      </w:pPr>
      <w:r>
        <w:t>the transaction lifecycle events that require a new UTI or the continued use of the existing UTI;</w:t>
      </w:r>
    </w:p>
    <w:p w14:paraId="383E5E2D" w14:textId="77777777" w:rsidR="00081DC1" w:rsidRDefault="00081DC1" w:rsidP="00C443A0">
      <w:pPr>
        <w:pStyle w:val="subparaa"/>
        <w:numPr>
          <w:ilvl w:val="1"/>
          <w:numId w:val="17"/>
        </w:numPr>
        <w:spacing w:line="310" w:lineRule="atLeast"/>
      </w:pPr>
      <w:r>
        <w:t>determining which entity should generate the UTI; and</w:t>
      </w:r>
    </w:p>
    <w:p w14:paraId="4BAFC71A" w14:textId="77777777" w:rsidR="00081DC1" w:rsidRDefault="00081DC1" w:rsidP="00C443A0">
      <w:pPr>
        <w:pStyle w:val="subparaa"/>
        <w:numPr>
          <w:ilvl w:val="1"/>
          <w:numId w:val="17"/>
        </w:numPr>
        <w:spacing w:line="310" w:lineRule="atLeast"/>
      </w:pPr>
      <w:r>
        <w:t>the technical specification for the UTI (i.e. as the entity’s LEI plus additional characters).</w:t>
      </w:r>
    </w:p>
    <w:p w14:paraId="317619B9" w14:textId="77777777" w:rsidR="00081DC1" w:rsidRDefault="00081DC1" w:rsidP="00C443A0">
      <w:pPr>
        <w:pStyle w:val="BodyText"/>
        <w:numPr>
          <w:ilvl w:val="0"/>
          <w:numId w:val="17"/>
        </w:numPr>
        <w:spacing w:line="310" w:lineRule="atLeast"/>
      </w:pPr>
      <w:r w:rsidRPr="00031F74">
        <w:t>The</w:t>
      </w:r>
      <w:r>
        <w:t xml:space="preserve"> UTI Guidance is not prescriptive and allows for variations according to individual jurisdictional circumstances. ASIC’s approach to implementing the UTI is to respect as far practicable each of:</w:t>
      </w:r>
    </w:p>
    <w:p w14:paraId="1AC5898E" w14:textId="77777777" w:rsidR="00081DC1" w:rsidRDefault="00081DC1" w:rsidP="00C443A0">
      <w:pPr>
        <w:pStyle w:val="subparaa"/>
        <w:numPr>
          <w:ilvl w:val="1"/>
          <w:numId w:val="17"/>
        </w:numPr>
        <w:spacing w:line="310" w:lineRule="atLeast"/>
      </w:pPr>
      <w:r>
        <w:t>the UTI Guidance;</w:t>
      </w:r>
    </w:p>
    <w:p w14:paraId="273ABAAB" w14:textId="77777777" w:rsidR="00081DC1" w:rsidRDefault="00081DC1" w:rsidP="00C443A0">
      <w:pPr>
        <w:pStyle w:val="subparaa"/>
        <w:numPr>
          <w:ilvl w:val="1"/>
          <w:numId w:val="17"/>
        </w:numPr>
        <w:spacing w:line="310" w:lineRule="atLeast"/>
      </w:pPr>
      <w:r>
        <w:t>the UTI rules of other jurisdictions; and</w:t>
      </w:r>
    </w:p>
    <w:p w14:paraId="131800CD" w14:textId="77777777" w:rsidR="00081DC1" w:rsidRDefault="00081DC1" w:rsidP="00C443A0">
      <w:pPr>
        <w:pStyle w:val="subparaa"/>
        <w:numPr>
          <w:ilvl w:val="1"/>
          <w:numId w:val="17"/>
        </w:numPr>
        <w:spacing w:line="310" w:lineRule="atLeast"/>
      </w:pPr>
      <w:r>
        <w:t>existing industry practices.</w:t>
      </w:r>
    </w:p>
    <w:p w14:paraId="1AE36150" w14:textId="2D36F0E1" w:rsidR="00081DC1" w:rsidRDefault="00081DC1" w:rsidP="00C443A0">
      <w:pPr>
        <w:pStyle w:val="BodyText"/>
        <w:numPr>
          <w:ilvl w:val="0"/>
          <w:numId w:val="17"/>
        </w:numPr>
        <w:spacing w:line="310" w:lineRule="atLeast"/>
      </w:pPr>
      <w:r w:rsidRPr="006B1361">
        <w:t>The</w:t>
      </w:r>
      <w:r>
        <w:t xml:space="preserve"> UTI implementation will require ASIC reporting entities to be able to:</w:t>
      </w:r>
    </w:p>
    <w:p w14:paraId="2018ED51" w14:textId="77777777" w:rsidR="00081DC1" w:rsidRDefault="00081DC1" w:rsidP="00C443A0">
      <w:pPr>
        <w:pStyle w:val="subparaa"/>
        <w:numPr>
          <w:ilvl w:val="1"/>
          <w:numId w:val="17"/>
        </w:numPr>
        <w:spacing w:line="310" w:lineRule="atLeast"/>
      </w:pPr>
      <w:r>
        <w:t>in certain circumstances, receive and report a UTI generated by another entity; and</w:t>
      </w:r>
    </w:p>
    <w:p w14:paraId="72CF133D" w14:textId="33551E21" w:rsidR="003E37B3" w:rsidRDefault="00081DC1" w:rsidP="00C443A0">
      <w:pPr>
        <w:pStyle w:val="subparaa"/>
        <w:numPr>
          <w:ilvl w:val="1"/>
          <w:numId w:val="17"/>
        </w:numPr>
        <w:spacing w:line="310" w:lineRule="atLeast"/>
      </w:pPr>
      <w:r>
        <w:t>in other circumstances, generate, report and provide a UTI to another entity</w:t>
      </w:r>
      <w:r w:rsidR="001B2E5C">
        <w:t>.</w:t>
      </w:r>
    </w:p>
    <w:p w14:paraId="6C5A54B4" w14:textId="39429F98" w:rsidR="003E37B3" w:rsidRDefault="00081DC1" w:rsidP="003E37B3">
      <w:pPr>
        <w:pStyle w:val="Heading2"/>
      </w:pPr>
      <w:bookmarkStart w:id="26" w:name="_Toc103174621"/>
      <w:r w:rsidRPr="00081DC1">
        <w:t xml:space="preserve">ASIC’s proposed approach to </w:t>
      </w:r>
      <w:r w:rsidR="00E7101A">
        <w:t xml:space="preserve">the </w:t>
      </w:r>
      <w:r w:rsidRPr="00081DC1">
        <w:t>UTI in CP 334</w:t>
      </w:r>
      <w:bookmarkEnd w:id="26"/>
    </w:p>
    <w:p w14:paraId="476210B0" w14:textId="7DD93B82" w:rsidR="00081DC1" w:rsidRDefault="00081DC1" w:rsidP="00C443A0">
      <w:pPr>
        <w:pStyle w:val="BodyText"/>
        <w:numPr>
          <w:ilvl w:val="0"/>
          <w:numId w:val="17"/>
        </w:numPr>
        <w:spacing w:line="310" w:lineRule="atLeast"/>
      </w:pPr>
      <w:r>
        <w:t xml:space="preserve">In </w:t>
      </w:r>
      <w:hyperlink r:id="rId54" w:history="1">
        <w:r w:rsidRPr="001B2E5C">
          <w:rPr>
            <w:rStyle w:val="Hyperlink"/>
          </w:rPr>
          <w:t>CP 334</w:t>
        </w:r>
      </w:hyperlink>
      <w:r>
        <w:t>, we proposed a UTI implementation of, in summary:</w:t>
      </w:r>
    </w:p>
    <w:p w14:paraId="1826F972" w14:textId="2E66CFBC" w:rsidR="00081DC1" w:rsidRDefault="00081DC1" w:rsidP="00C443A0">
      <w:pPr>
        <w:pStyle w:val="subparaa"/>
        <w:numPr>
          <w:ilvl w:val="1"/>
          <w:numId w:val="17"/>
        </w:numPr>
        <w:spacing w:line="310" w:lineRule="atLeast"/>
      </w:pPr>
      <w:r>
        <w:t xml:space="preserve">adopting </w:t>
      </w:r>
      <w:r w:rsidR="008751C4">
        <w:t xml:space="preserve">steps </w:t>
      </w:r>
      <w:r>
        <w:t xml:space="preserve">1, 2 and 3 of the UTI Guidance which specifies the </w:t>
      </w:r>
      <w:r w:rsidR="00DB03AA">
        <w:t>central counterparty (</w:t>
      </w:r>
      <w:r w:rsidRPr="000A4612">
        <w:t>CCP</w:t>
      </w:r>
      <w:r w:rsidR="00DB03AA">
        <w:t>)</w:t>
      </w:r>
      <w:r>
        <w:t>, clearing member and trading platform respectively as the UTI generator; and</w:t>
      </w:r>
    </w:p>
    <w:p w14:paraId="2A3C4529" w14:textId="77777777" w:rsidR="00081DC1" w:rsidRDefault="00081DC1" w:rsidP="00C443A0">
      <w:pPr>
        <w:pStyle w:val="subparaa"/>
        <w:numPr>
          <w:ilvl w:val="1"/>
          <w:numId w:val="17"/>
        </w:numPr>
        <w:spacing w:line="310" w:lineRule="atLeast"/>
      </w:pPr>
      <w:r>
        <w:t>adopting the same steps as in the ESMA proposals for the later steps of the UTI Guidance that relate to bilateral transactions, whether cross-jurisdictional or single-jurisdictional transactions. Our proposals for determining the UTI generator included that:</w:t>
      </w:r>
    </w:p>
    <w:p w14:paraId="6535F8F4" w14:textId="77777777" w:rsidR="00081DC1" w:rsidRDefault="00081DC1" w:rsidP="00C443A0">
      <w:pPr>
        <w:pStyle w:val="subsubparai"/>
        <w:numPr>
          <w:ilvl w:val="2"/>
          <w:numId w:val="17"/>
        </w:numPr>
        <w:spacing w:line="310" w:lineRule="atLeast"/>
      </w:pPr>
      <w:r>
        <w:t>if the transaction was electronically confirmed, the confirmation platform is the UTI generator; else</w:t>
      </w:r>
    </w:p>
    <w:p w14:paraId="629C9848" w14:textId="77777777" w:rsidR="00081DC1" w:rsidRDefault="00081DC1" w:rsidP="00C443A0">
      <w:pPr>
        <w:pStyle w:val="subsubparai"/>
        <w:numPr>
          <w:ilvl w:val="2"/>
          <w:numId w:val="17"/>
        </w:numPr>
        <w:spacing w:line="310" w:lineRule="atLeast"/>
      </w:pPr>
      <w:r>
        <w:t>if only one of the counterparties is a reporting entity, that entity is the UTI generator;</w:t>
      </w:r>
    </w:p>
    <w:p w14:paraId="2C8AF4B9" w14:textId="77777777" w:rsidR="00081DC1" w:rsidRDefault="00081DC1" w:rsidP="00C443A0">
      <w:pPr>
        <w:pStyle w:val="subsubparai"/>
        <w:numPr>
          <w:ilvl w:val="2"/>
          <w:numId w:val="17"/>
        </w:numPr>
        <w:spacing w:line="310" w:lineRule="atLeast"/>
      </w:pPr>
      <w:r>
        <w:t>there should be the same subsequent steps for a cross-jurisdictional transaction and a single-jurisdictional transaction;</w:t>
      </w:r>
    </w:p>
    <w:p w14:paraId="69DB2CA1" w14:textId="76D8BCA9" w:rsidR="00081DC1" w:rsidRDefault="00081DC1" w:rsidP="00C443A0">
      <w:pPr>
        <w:pStyle w:val="subsubparai"/>
        <w:numPr>
          <w:ilvl w:val="2"/>
          <w:numId w:val="17"/>
        </w:numPr>
        <w:spacing w:line="310" w:lineRule="atLeast"/>
      </w:pPr>
      <w:r>
        <w:t xml:space="preserve">the subsequent steps could be either ESMA’s Option 1 proposal based on the ‘side’ of the counterparties or ESMA’s Option 2 proposal of an agreement between the counterparties, but if no such agreement </w:t>
      </w:r>
      <w:r w:rsidR="001B2E5C">
        <w:t xml:space="preserve">is </w:t>
      </w:r>
      <w:r>
        <w:t>made, based on a particular sort order of the LEIs of the counterparties.</w:t>
      </w:r>
    </w:p>
    <w:p w14:paraId="184C0B03" w14:textId="11CCD2AE" w:rsidR="00081DC1" w:rsidRDefault="00081DC1" w:rsidP="00C443A0">
      <w:pPr>
        <w:pStyle w:val="BodyText"/>
        <w:numPr>
          <w:ilvl w:val="0"/>
          <w:numId w:val="17"/>
        </w:numPr>
        <w:spacing w:line="310" w:lineRule="atLeast"/>
      </w:pPr>
      <w:bookmarkStart w:id="27" w:name="_ASICRef827"/>
      <w:r>
        <w:t xml:space="preserve">In </w:t>
      </w:r>
      <w:hyperlink r:id="rId55" w:history="1">
        <w:r w:rsidRPr="001B2E5C">
          <w:rPr>
            <w:rStyle w:val="Hyperlink"/>
          </w:rPr>
          <w:t>CP 334</w:t>
        </w:r>
      </w:hyperlink>
      <w:r>
        <w:t>, we also discussed certain difficulties and uncertainties with a UTI implementation, including:</w:t>
      </w:r>
      <w:bookmarkEnd w:id="27"/>
    </w:p>
    <w:p w14:paraId="384F227F" w14:textId="1538FFFB" w:rsidR="00081DC1" w:rsidRDefault="00081DC1" w:rsidP="00C443A0">
      <w:pPr>
        <w:pStyle w:val="subparaa"/>
        <w:numPr>
          <w:ilvl w:val="1"/>
          <w:numId w:val="17"/>
        </w:numPr>
        <w:spacing w:line="310" w:lineRule="atLeast"/>
      </w:pPr>
      <w:r>
        <w:t xml:space="preserve">identifying the jurisdictions in which a cross-jurisdictional transaction is reported </w:t>
      </w:r>
      <w:r w:rsidR="001B2E5C">
        <w:t>so</w:t>
      </w:r>
      <w:r>
        <w:t xml:space="preserve"> that the jurisdiction with the sooner reporting deadline can be determined;</w:t>
      </w:r>
    </w:p>
    <w:p w14:paraId="4EEB22A6" w14:textId="77777777" w:rsidR="00081DC1" w:rsidRDefault="00081DC1" w:rsidP="00C443A0">
      <w:pPr>
        <w:pStyle w:val="subparaa"/>
        <w:numPr>
          <w:ilvl w:val="1"/>
          <w:numId w:val="17"/>
        </w:numPr>
        <w:spacing w:line="310" w:lineRule="atLeast"/>
      </w:pPr>
      <w:r>
        <w:t>interpreting the meaning of ‘sooner’ in order to determine the jurisdiction with the sooner reporting deadline;</w:t>
      </w:r>
    </w:p>
    <w:p w14:paraId="2D9D2335" w14:textId="77777777" w:rsidR="00081DC1" w:rsidRDefault="00081DC1" w:rsidP="00C443A0">
      <w:pPr>
        <w:pStyle w:val="subparaa"/>
        <w:numPr>
          <w:ilvl w:val="1"/>
          <w:numId w:val="17"/>
        </w:numPr>
        <w:spacing w:line="310" w:lineRule="atLeast"/>
      </w:pPr>
      <w:r>
        <w:t>whether CCPs and trading platforms would be recognised as being of that kind in a consistent manner in all jurisdictions or if it may be that, for example, a particular trading platform is recognised as being a trading platform under one jurisdiction’s UTI rules but not under another jurisdiction’s rules; and</w:t>
      </w:r>
    </w:p>
    <w:p w14:paraId="005C671F" w14:textId="77777777" w:rsidR="00081DC1" w:rsidRDefault="00081DC1" w:rsidP="00C443A0">
      <w:pPr>
        <w:pStyle w:val="subparaa"/>
        <w:numPr>
          <w:ilvl w:val="1"/>
          <w:numId w:val="17"/>
        </w:numPr>
        <w:spacing w:line="310" w:lineRule="atLeast"/>
      </w:pPr>
      <w:r>
        <w:t>whether there may be rules implementation timing differences between jurisdictions such that an entity has an obligation to report the UTI received from an entity in another jurisdiction, but that other entity is not subject to an obligation to generate and give that UTI to the receiving entity.</w:t>
      </w:r>
    </w:p>
    <w:p w14:paraId="73ECD2F2" w14:textId="46C0F409" w:rsidR="00081DC1" w:rsidRDefault="00081DC1" w:rsidP="00C443A0">
      <w:pPr>
        <w:pStyle w:val="BodyText"/>
        <w:numPr>
          <w:ilvl w:val="0"/>
          <w:numId w:val="17"/>
        </w:numPr>
        <w:spacing w:line="310" w:lineRule="atLeast"/>
      </w:pPr>
      <w:r>
        <w:t>In addressing these difficulties and uncertainties, ASIC’s proposals or proposal options included</w:t>
      </w:r>
      <w:r w:rsidR="00E047D6">
        <w:t xml:space="preserve"> the following</w:t>
      </w:r>
      <w:r>
        <w:t>:</w:t>
      </w:r>
    </w:p>
    <w:p w14:paraId="5F658114" w14:textId="735ECB6B" w:rsidR="00081DC1" w:rsidRDefault="00081DC1" w:rsidP="00C443A0">
      <w:pPr>
        <w:pStyle w:val="subparaa"/>
        <w:numPr>
          <w:ilvl w:val="1"/>
          <w:numId w:val="17"/>
        </w:numPr>
        <w:spacing w:line="310" w:lineRule="atLeast"/>
      </w:pPr>
      <w:r>
        <w:t>to reduce the number of jurisdictions that need to be identified for a cross-jurisdictional transaction, reporting entities could disregard a jurisdiction in which a reporting requirement only arises due to a ‘nexus’ or ‘trader location’ connection and could base their UTI generator evaluations on how each counterparty identifies itself to the other party</w:t>
      </w:r>
      <w:r w:rsidR="00E047D6" w:rsidRPr="002B1D22">
        <w:t>—</w:t>
      </w:r>
      <w:r>
        <w:t>such as a ‘head office’, a ‘branch’ and/or a ‘US swap dealer’;</w:t>
      </w:r>
    </w:p>
    <w:p w14:paraId="5415CB89" w14:textId="77777777" w:rsidR="00081DC1" w:rsidRDefault="00081DC1" w:rsidP="00C443A0">
      <w:pPr>
        <w:pStyle w:val="subparaa"/>
        <w:numPr>
          <w:ilvl w:val="1"/>
          <w:numId w:val="17"/>
        </w:numPr>
        <w:spacing w:line="310" w:lineRule="atLeast"/>
      </w:pPr>
      <w:r>
        <w:t>for the meaning of ‘sooner’, we identified three interpretations and sought comment from stakeholders on their preferred interpretations:</w:t>
      </w:r>
    </w:p>
    <w:p w14:paraId="632E167E" w14:textId="77777777" w:rsidR="00081DC1" w:rsidRDefault="00081DC1" w:rsidP="00C443A0">
      <w:pPr>
        <w:pStyle w:val="subsubparai"/>
        <w:numPr>
          <w:ilvl w:val="2"/>
          <w:numId w:val="17"/>
        </w:numPr>
        <w:spacing w:line="310" w:lineRule="atLeast"/>
      </w:pPr>
      <w:r>
        <w:t>a ‘semantic’ interpretation such that all</w:t>
      </w:r>
      <w:r w:rsidRPr="00207DDE">
        <w:t xml:space="preserve"> </w:t>
      </w:r>
      <w:r>
        <w:t>T+1 reporting deadlines are the same deadline;</w:t>
      </w:r>
    </w:p>
    <w:p w14:paraId="7A21C3CD" w14:textId="77777777" w:rsidR="00081DC1" w:rsidRDefault="00081DC1" w:rsidP="00C443A0">
      <w:pPr>
        <w:pStyle w:val="subsubparai"/>
        <w:numPr>
          <w:ilvl w:val="2"/>
          <w:numId w:val="17"/>
        </w:numPr>
        <w:spacing w:line="310" w:lineRule="atLeast"/>
      </w:pPr>
      <w:r>
        <w:t>a ‘follow the sun’ interpretation such that, for example, Australia is always sooner than the European Union/United Kingdom which is always sooner than the United States/Canada; or</w:t>
      </w:r>
    </w:p>
    <w:p w14:paraId="7C617C1E" w14:textId="16AEB305" w:rsidR="00081DC1" w:rsidRDefault="00081DC1" w:rsidP="00C443A0">
      <w:pPr>
        <w:pStyle w:val="subsubparai"/>
        <w:numPr>
          <w:ilvl w:val="2"/>
          <w:numId w:val="17"/>
        </w:numPr>
        <w:spacing w:line="310" w:lineRule="atLeast"/>
      </w:pPr>
      <w:r>
        <w:t>an ‘execution clock’ interpretation such that the next occurring actual reporting deadline is sooner than, in turn, each of the successive actual reporting deadlines</w:t>
      </w:r>
      <w:r w:rsidR="008751C4">
        <w:t>;</w:t>
      </w:r>
    </w:p>
    <w:p w14:paraId="42E3736C" w14:textId="47169711" w:rsidR="00081DC1" w:rsidRPr="003C67FB" w:rsidRDefault="00081DC1" w:rsidP="00C443A0">
      <w:pPr>
        <w:pStyle w:val="subparaa"/>
        <w:keepNext/>
        <w:numPr>
          <w:ilvl w:val="1"/>
          <w:numId w:val="17"/>
        </w:numPr>
      </w:pPr>
      <w:r>
        <w:t>we also considered that, g</w:t>
      </w:r>
      <w:r w:rsidRPr="003C67FB">
        <w:t xml:space="preserve">iven the prevalence of CFTC reportable transactions that are required to be, or in practice would continue to be, reported on an </w:t>
      </w:r>
      <w:r>
        <w:t>‘as soon as technologically possible’ (</w:t>
      </w:r>
      <w:r w:rsidRPr="003C67FB">
        <w:t>ASATP</w:t>
      </w:r>
      <w:r>
        <w:t>)</w:t>
      </w:r>
      <w:r w:rsidRPr="003C67FB">
        <w:t xml:space="preserve"> basis, </w:t>
      </w:r>
      <w:r>
        <w:t>one</w:t>
      </w:r>
      <w:r w:rsidRPr="003C67FB">
        <w:t xml:space="preserve"> pragmatic proposal </w:t>
      </w:r>
      <w:r>
        <w:t xml:space="preserve">to simplify the ‘sooner’ issue may </w:t>
      </w:r>
      <w:r w:rsidRPr="003C67FB">
        <w:t>be</w:t>
      </w:r>
      <w:r>
        <w:t xml:space="preserve"> for the ASIC Rules </w:t>
      </w:r>
      <w:r w:rsidRPr="003C67FB">
        <w:t xml:space="preserve">to </w:t>
      </w:r>
      <w:r>
        <w:t xml:space="preserve">deem </w:t>
      </w:r>
      <w:r w:rsidRPr="003C67FB">
        <w:t>that the CFTC is</w:t>
      </w:r>
      <w:r w:rsidR="00DB03AA">
        <w:t xml:space="preserve"> always</w:t>
      </w:r>
      <w:r w:rsidRPr="003C67FB">
        <w:t xml:space="preserve"> the sooner jurisdiction in </w:t>
      </w:r>
      <w:r>
        <w:t xml:space="preserve">ASIC/CFTC </w:t>
      </w:r>
      <w:r w:rsidRPr="003C67FB">
        <w:t>cross-jurisdictional transactions</w:t>
      </w:r>
      <w:r w:rsidR="008751C4">
        <w:t>; and</w:t>
      </w:r>
    </w:p>
    <w:p w14:paraId="2ACFDF10" w14:textId="77777777" w:rsidR="00081DC1" w:rsidRDefault="00081DC1" w:rsidP="00C443A0">
      <w:pPr>
        <w:pStyle w:val="subparaa"/>
        <w:numPr>
          <w:ilvl w:val="1"/>
          <w:numId w:val="17"/>
        </w:numPr>
      </w:pPr>
      <w:r>
        <w:t>to address issues where the ASIC UTI rules would identify a foreign entity as the UTI generator but that entity was not obliged by the rules of its home jurisdiction to generate a UTI, we outlined a possible provision, generalised to any ‘non-receipt of UTI’ circumstance, of the reporting entity self-generating and reporting a UTI and then making subsequent correcting reports if and when the UTI is received as originally intended.</w:t>
      </w:r>
    </w:p>
    <w:p w14:paraId="03AD20B7" w14:textId="79BB18C7" w:rsidR="00081DC1" w:rsidRDefault="00081DC1" w:rsidP="00C443A0">
      <w:pPr>
        <w:pStyle w:val="BodyText"/>
        <w:numPr>
          <w:ilvl w:val="0"/>
          <w:numId w:val="17"/>
        </w:numPr>
      </w:pPr>
      <w:r>
        <w:t xml:space="preserve">In Section I of </w:t>
      </w:r>
      <w:hyperlink r:id="rId56" w:history="1">
        <w:r w:rsidRPr="008751C4">
          <w:rPr>
            <w:rStyle w:val="Hyperlink"/>
          </w:rPr>
          <w:t>CP 334</w:t>
        </w:r>
      </w:hyperlink>
      <w:r>
        <w:t xml:space="preserve">, we also noted that the </w:t>
      </w:r>
      <w:r w:rsidR="0065506F">
        <w:t>c</w:t>
      </w:r>
      <w:r>
        <w:t xml:space="preserve">urrent ASIC Rules do not specify a singular time as the deadline for reporting. The deadline for reporting a reportable transaction is </w:t>
      </w:r>
      <w:r w:rsidRPr="00C6045C">
        <w:t xml:space="preserve">the end of the next </w:t>
      </w:r>
      <w:r>
        <w:t>b</w:t>
      </w:r>
      <w:r w:rsidRPr="00C6045C">
        <w:t xml:space="preserve">usiness </w:t>
      </w:r>
      <w:r>
        <w:t>d</w:t>
      </w:r>
      <w:r w:rsidRPr="00C6045C">
        <w:t>ay</w:t>
      </w:r>
      <w:r>
        <w:t xml:space="preserve"> in </w:t>
      </w:r>
      <w:r w:rsidRPr="00C0702E">
        <w:rPr>
          <w:i/>
          <w:iCs/>
        </w:rPr>
        <w:t>the jurisdiction</w:t>
      </w:r>
      <w:r>
        <w:t xml:space="preserve"> in which the reportable transaction is entered into</w:t>
      </w:r>
      <w:r w:rsidR="008751C4" w:rsidRPr="002B1D22">
        <w:t>—</w:t>
      </w:r>
      <w:r>
        <w:t>‘</w:t>
      </w:r>
      <w:r w:rsidRPr="00C0702E">
        <w:rPr>
          <w:i/>
          <w:iCs/>
        </w:rPr>
        <w:t>the jurisdiction</w:t>
      </w:r>
      <w:r>
        <w:t>’ is not necessarily ‘this jurisdiction’ and the deadline for reporting a reportable transaction is not necessarily the end of the next business day in Sydney.</w:t>
      </w:r>
    </w:p>
    <w:p w14:paraId="317F61C1" w14:textId="3B2D4415" w:rsidR="00654B68" w:rsidRDefault="00081DC1" w:rsidP="00C443A0">
      <w:pPr>
        <w:pStyle w:val="BodyText"/>
        <w:numPr>
          <w:ilvl w:val="0"/>
          <w:numId w:val="17"/>
        </w:numPr>
      </w:pPr>
      <w:r>
        <w:t>As we thought that this may introduce a complexity under the UTI rules in determining the ‘jurisdiction with the sooner deadline for reporting’ for a cross-jurisdictional transaction, w</w:t>
      </w:r>
      <w:r w:rsidRPr="00E24C3C">
        <w:t>e propose</w:t>
      </w:r>
      <w:r>
        <w:t>d</w:t>
      </w:r>
      <w:r w:rsidRPr="00E24C3C">
        <w:t xml:space="preserve"> to clarify in the ASIC Rules that the deadline for reporting </w:t>
      </w:r>
      <w:r w:rsidRPr="00E24C3C">
        <w:rPr>
          <w:i/>
          <w:iCs/>
        </w:rPr>
        <w:t>for the purposes of the UTI rules</w:t>
      </w:r>
      <w:r w:rsidRPr="00E24C3C">
        <w:t xml:space="preserve"> is a singular time referring to Sydney time</w:t>
      </w:r>
      <w:r>
        <w:t>.</w:t>
      </w:r>
    </w:p>
    <w:p w14:paraId="2D18716F" w14:textId="77777777" w:rsidR="00C30AE4" w:rsidRDefault="00C30AE4" w:rsidP="00C30AE4">
      <w:pPr>
        <w:pStyle w:val="Heading2"/>
      </w:pPr>
      <w:bookmarkStart w:id="28" w:name="_Toc103174622"/>
      <w:r>
        <w:t>Feedback on our proposed approach in CP 33</w:t>
      </w:r>
      <w:r w:rsidRPr="00553DDF">
        <w:t>4</w:t>
      </w:r>
      <w:bookmarkEnd w:id="28"/>
    </w:p>
    <w:p w14:paraId="00F10169" w14:textId="77777777" w:rsidR="00C30AE4" w:rsidRPr="00C30AE4" w:rsidRDefault="00C30AE4" w:rsidP="00FC0EAD">
      <w:pPr>
        <w:pStyle w:val="Heading3"/>
      </w:pPr>
      <w:r w:rsidRPr="00C30AE4">
        <w:t>Determining the UTI generator</w:t>
      </w:r>
    </w:p>
    <w:p w14:paraId="38CFD311" w14:textId="5D57C6C6" w:rsidR="00C30AE4" w:rsidRPr="00C30AE4" w:rsidRDefault="00C30AE4" w:rsidP="00C443A0">
      <w:pPr>
        <w:numPr>
          <w:ilvl w:val="0"/>
          <w:numId w:val="17"/>
        </w:numPr>
        <w:spacing w:before="200" w:after="0" w:line="300" w:lineRule="atLeast"/>
        <w:rPr>
          <w:szCs w:val="22"/>
        </w:rPr>
      </w:pPr>
      <w:r w:rsidRPr="00C30AE4">
        <w:rPr>
          <w:szCs w:val="22"/>
        </w:rPr>
        <w:t>Respondents expressed support for adopting steps 1, 2 and 3 of the UTI Guidance which specifies the CCP, clearing member and trading platform respectively as the UTI generator. Respondents’ comments included support for the ‘first touch’ principle and the advantages of having market infrastructures high in the UTI waterfall. However, several respondents agreed that there were implementation uncertainties requiring clarification, particularly in relation to common cross-jurisdictional recognition of trading platforms and differences in implementation timings between jurisdictions.</w:t>
      </w:r>
    </w:p>
    <w:p w14:paraId="17E0F651" w14:textId="0B7184EE" w:rsidR="00C30AE4" w:rsidRPr="00C30AE4" w:rsidRDefault="00C30AE4" w:rsidP="00C443A0">
      <w:pPr>
        <w:numPr>
          <w:ilvl w:val="0"/>
          <w:numId w:val="17"/>
        </w:numPr>
        <w:spacing w:before="200" w:after="0" w:line="300" w:lineRule="atLeast"/>
        <w:rPr>
          <w:szCs w:val="22"/>
        </w:rPr>
      </w:pPr>
      <w:r w:rsidRPr="00C30AE4">
        <w:rPr>
          <w:szCs w:val="22"/>
        </w:rPr>
        <w:t>Most respondents were opposed to ASIC’s proposals on how to identify the jurisdictions involved in reporting a cross-jurisdictional transaction, of which the UTI rules of the jurisdiction with the sooner deadline for reporting are to be followed. Respondents cited difficulties with the need to obtain and maintain information about the jurisdictional reporting requirements of their counterparties. Respondents commonly advocated allowing an agreement (a ‘bilateral agreement’) between the counterparties as to who is the UTI generator to take precedence over determining the jurisdiction whose UTI rules are to be followed. Buy-side respondents indicated an expectation that they would receive a UTI from their counterparty or the trading platform as part of market practice post-trade messaging workflows.</w:t>
      </w:r>
    </w:p>
    <w:p w14:paraId="2C5636C7" w14:textId="77777777" w:rsidR="00C30AE4" w:rsidRPr="00C30AE4" w:rsidRDefault="00C30AE4" w:rsidP="00C443A0">
      <w:pPr>
        <w:numPr>
          <w:ilvl w:val="0"/>
          <w:numId w:val="17"/>
        </w:numPr>
        <w:spacing w:before="200" w:after="0" w:line="300" w:lineRule="atLeast"/>
        <w:rPr>
          <w:szCs w:val="22"/>
        </w:rPr>
      </w:pPr>
      <w:bookmarkStart w:id="29" w:name="_ASICRef207"/>
      <w:r w:rsidRPr="00C30AE4">
        <w:rPr>
          <w:szCs w:val="22"/>
        </w:rPr>
        <w:t>In relation to the meaning of ‘sooner’, not all respondents commented and we did not find any consensus or strong preference expressed for any of the ‘semantic’, ‘follow the sun’ or ‘execution clock’ interpretations of the way to determine ‘sooner’. Generally, respondents felt there were various difficulties with each of the interpretations, reinforcing their arguments in favour of giving precedence to bilateral agreements.</w:t>
      </w:r>
      <w:bookmarkEnd w:id="29"/>
    </w:p>
    <w:p w14:paraId="0280305C" w14:textId="34613F8F" w:rsidR="00C30AE4" w:rsidRPr="00C30AE4" w:rsidRDefault="00C30AE4" w:rsidP="00C443A0">
      <w:pPr>
        <w:numPr>
          <w:ilvl w:val="0"/>
          <w:numId w:val="17"/>
        </w:numPr>
        <w:spacing w:before="200" w:after="0" w:line="300" w:lineRule="atLeast"/>
        <w:rPr>
          <w:szCs w:val="22"/>
        </w:rPr>
      </w:pPr>
      <w:r w:rsidRPr="00C30AE4">
        <w:rPr>
          <w:szCs w:val="22"/>
        </w:rPr>
        <w:t xml:space="preserve">After the cross-jurisdictional test, the later steps in the UTI Guidance relate to bilateral transactions, whether cross-jurisdictional or single-jurisdictional transactions. Several respondents supported </w:t>
      </w:r>
      <w:r w:rsidR="008B7814">
        <w:rPr>
          <w:szCs w:val="22"/>
        </w:rPr>
        <w:t xml:space="preserve">our proposals </w:t>
      </w:r>
      <w:r w:rsidRPr="00C30AE4">
        <w:rPr>
          <w:szCs w:val="22"/>
        </w:rPr>
        <w:t>that the confirmation platform (if applicable) and the sole reporting entity among the counterparties would be the UTI generator</w:t>
      </w:r>
      <w:r w:rsidR="00E61E17" w:rsidRPr="002B1D22">
        <w:rPr>
          <w:szCs w:val="22"/>
        </w:rPr>
        <w:t>—</w:t>
      </w:r>
      <w:r w:rsidRPr="00C30AE4">
        <w:rPr>
          <w:szCs w:val="22"/>
        </w:rPr>
        <w:t>there were no responses that opposed these proposals.</w:t>
      </w:r>
    </w:p>
    <w:p w14:paraId="0ACBF884" w14:textId="19B273A5" w:rsidR="00C30AE4" w:rsidRPr="00C30AE4" w:rsidRDefault="00C30AE4" w:rsidP="00C443A0">
      <w:pPr>
        <w:numPr>
          <w:ilvl w:val="0"/>
          <w:numId w:val="17"/>
        </w:numPr>
        <w:spacing w:before="200" w:after="0" w:line="300" w:lineRule="atLeast"/>
        <w:rPr>
          <w:szCs w:val="22"/>
        </w:rPr>
      </w:pPr>
      <w:r w:rsidRPr="00C30AE4">
        <w:rPr>
          <w:szCs w:val="22"/>
        </w:rPr>
        <w:t xml:space="preserve">Respondents to </w:t>
      </w:r>
      <w:hyperlink r:id="rId57" w:history="1">
        <w:r w:rsidRPr="001A0FAD">
          <w:rPr>
            <w:rStyle w:val="Hyperlink"/>
            <w:szCs w:val="22"/>
          </w:rPr>
          <w:t>CP 334</w:t>
        </w:r>
      </w:hyperlink>
      <w:r w:rsidRPr="00C30AE4">
        <w:rPr>
          <w:szCs w:val="22"/>
        </w:rPr>
        <w:t xml:space="preserve"> generally expressed support for our proposals for determining the UTI</w:t>
      </w:r>
      <w:r w:rsidR="002B1D22">
        <w:rPr>
          <w:szCs w:val="22"/>
        </w:rPr>
        <w:t xml:space="preserve"> </w:t>
      </w:r>
      <w:r w:rsidRPr="00C30AE4">
        <w:rPr>
          <w:szCs w:val="22"/>
        </w:rPr>
        <w:t xml:space="preserve">generating entity for single-jurisdictional transactions. Some respondents noted that identifying a single-jurisdictional transaction still required knowing the jurisdictional reporting requirements of their counterparty, and that providing for a bilateral agreement between the counterparties would ameliorate this difficulty. Some respondents also </w:t>
      </w:r>
      <w:r w:rsidR="008B7814">
        <w:rPr>
          <w:szCs w:val="22"/>
        </w:rPr>
        <w:t>advocated</w:t>
      </w:r>
      <w:r w:rsidR="008B7814" w:rsidRPr="00C30AE4">
        <w:rPr>
          <w:szCs w:val="22"/>
        </w:rPr>
        <w:t xml:space="preserve"> </w:t>
      </w:r>
      <w:r w:rsidRPr="00C30AE4">
        <w:rPr>
          <w:szCs w:val="22"/>
        </w:rPr>
        <w:t xml:space="preserve">that the confirmation platform (if applicable) should be higher in the UTI waterfall and before the single- or cross-jurisdictional test. </w:t>
      </w:r>
      <w:r w:rsidR="001A0FAD">
        <w:rPr>
          <w:szCs w:val="22"/>
        </w:rPr>
        <w:t>The proposal t</w:t>
      </w:r>
      <w:r w:rsidR="001A0FAD" w:rsidRPr="00C30AE4">
        <w:rPr>
          <w:szCs w:val="22"/>
        </w:rPr>
        <w:t xml:space="preserve">hat </w:t>
      </w:r>
      <w:r w:rsidRPr="00C30AE4">
        <w:rPr>
          <w:szCs w:val="22"/>
        </w:rPr>
        <w:t>the sole reporter should be the UTI generator was supported</w:t>
      </w:r>
      <w:r w:rsidR="001A0FAD" w:rsidRPr="002B1D22">
        <w:rPr>
          <w:szCs w:val="22"/>
        </w:rPr>
        <w:t>—</w:t>
      </w:r>
      <w:r w:rsidRPr="00C30AE4">
        <w:rPr>
          <w:szCs w:val="22"/>
        </w:rPr>
        <w:t xml:space="preserve">there were no responses that opposed </w:t>
      </w:r>
      <w:r w:rsidR="008B7814" w:rsidRPr="00C30AE4">
        <w:rPr>
          <w:szCs w:val="22"/>
        </w:rPr>
        <w:t>th</w:t>
      </w:r>
      <w:r w:rsidR="008B7814">
        <w:rPr>
          <w:szCs w:val="22"/>
        </w:rPr>
        <w:t>is</w:t>
      </w:r>
      <w:r w:rsidR="008B7814" w:rsidRPr="00C30AE4">
        <w:rPr>
          <w:szCs w:val="22"/>
        </w:rPr>
        <w:t xml:space="preserve"> </w:t>
      </w:r>
      <w:r w:rsidRPr="00C30AE4">
        <w:rPr>
          <w:szCs w:val="22"/>
        </w:rPr>
        <w:t>proposal.</w:t>
      </w:r>
    </w:p>
    <w:p w14:paraId="4E09912F" w14:textId="2126B3BF" w:rsidR="00C30AE4" w:rsidRPr="00C30AE4" w:rsidRDefault="00C30AE4" w:rsidP="00C443A0">
      <w:pPr>
        <w:numPr>
          <w:ilvl w:val="0"/>
          <w:numId w:val="17"/>
        </w:numPr>
        <w:spacing w:before="200" w:after="0" w:line="300" w:lineRule="atLeast"/>
        <w:rPr>
          <w:szCs w:val="22"/>
        </w:rPr>
      </w:pPr>
      <w:r w:rsidRPr="00C30AE4">
        <w:rPr>
          <w:szCs w:val="22"/>
        </w:rPr>
        <w:t xml:space="preserve">In relation to the subsequent steps, one respondent commented that Option 1 </w:t>
      </w:r>
      <w:r w:rsidR="00DB03AA">
        <w:rPr>
          <w:szCs w:val="22"/>
        </w:rPr>
        <w:t xml:space="preserve">in the ESMA proposals </w:t>
      </w:r>
      <w:r w:rsidRPr="00C30AE4">
        <w:rPr>
          <w:szCs w:val="22"/>
        </w:rPr>
        <w:t xml:space="preserve">based on the ‘side’ of the counterparties was preferable </w:t>
      </w:r>
      <w:r w:rsidR="001F5E60">
        <w:rPr>
          <w:szCs w:val="22"/>
        </w:rPr>
        <w:t>because it was</w:t>
      </w:r>
      <w:r w:rsidRPr="00C30AE4">
        <w:rPr>
          <w:szCs w:val="22"/>
        </w:rPr>
        <w:t xml:space="preserve"> a simpler approach but there was stronger support among other respondents for Option 2, noting that it included the ‘bilateral agreement’ approach.</w:t>
      </w:r>
    </w:p>
    <w:p w14:paraId="60138F81" w14:textId="6E0B4366" w:rsidR="00C30AE4" w:rsidRPr="00C30AE4" w:rsidRDefault="00C30AE4" w:rsidP="00C443A0">
      <w:pPr>
        <w:numPr>
          <w:ilvl w:val="0"/>
          <w:numId w:val="17"/>
        </w:numPr>
        <w:spacing w:before="200" w:after="0" w:line="300" w:lineRule="atLeast"/>
        <w:rPr>
          <w:szCs w:val="22"/>
        </w:rPr>
      </w:pPr>
      <w:bookmarkStart w:id="30" w:name="_ASICRef695"/>
      <w:r w:rsidRPr="00C30AE4">
        <w:rPr>
          <w:szCs w:val="22"/>
        </w:rPr>
        <w:t xml:space="preserve">After the release of CP 334, on 17 December 2020 ESMA published </w:t>
      </w:r>
      <w:r w:rsidR="001F5E60">
        <w:rPr>
          <w:szCs w:val="22"/>
        </w:rPr>
        <w:t>a</w:t>
      </w:r>
      <w:r w:rsidR="001F5E60" w:rsidRPr="00C30AE4">
        <w:rPr>
          <w:szCs w:val="22"/>
        </w:rPr>
        <w:t xml:space="preserve"> </w:t>
      </w:r>
      <w:hyperlink r:id="rId58" w:history="1">
        <w:r w:rsidRPr="001F5E60">
          <w:rPr>
            <w:rStyle w:val="Hyperlink"/>
            <w:szCs w:val="22"/>
          </w:rPr>
          <w:t>final report</w:t>
        </w:r>
      </w:hyperlink>
      <w:r w:rsidRPr="00C30AE4">
        <w:rPr>
          <w:szCs w:val="22"/>
        </w:rPr>
        <w:t xml:space="preserve"> on its proposals which included </w:t>
      </w:r>
      <w:r w:rsidR="001F5E60">
        <w:rPr>
          <w:szCs w:val="22"/>
        </w:rPr>
        <w:t>a decision</w:t>
      </w:r>
      <w:r w:rsidRPr="00C30AE4">
        <w:rPr>
          <w:szCs w:val="22"/>
        </w:rPr>
        <w:t xml:space="preserve"> to adopt Option 2 and also apply the same UTI rules for cross-jurisdictional transactions and single-jurisdictional transactions.</w:t>
      </w:r>
      <w:bookmarkEnd w:id="30"/>
    </w:p>
    <w:p w14:paraId="697537CE" w14:textId="77777777" w:rsidR="00C30AE4" w:rsidRPr="00C30AE4" w:rsidRDefault="00C30AE4" w:rsidP="00FC0EAD">
      <w:pPr>
        <w:pStyle w:val="Heading3"/>
      </w:pPr>
      <w:r w:rsidRPr="00C30AE4">
        <w:t>Other elements of ASIC’s UTI proposals</w:t>
      </w:r>
    </w:p>
    <w:p w14:paraId="50EAC1E9" w14:textId="77777777" w:rsidR="00C30AE4" w:rsidRPr="00C30AE4" w:rsidRDefault="00C30AE4" w:rsidP="00C443A0">
      <w:pPr>
        <w:numPr>
          <w:ilvl w:val="0"/>
          <w:numId w:val="17"/>
        </w:numPr>
        <w:spacing w:before="220" w:after="0" w:line="310" w:lineRule="atLeast"/>
        <w:rPr>
          <w:szCs w:val="22"/>
        </w:rPr>
      </w:pPr>
      <w:r w:rsidRPr="00C30AE4">
        <w:rPr>
          <w:szCs w:val="22"/>
        </w:rPr>
        <w:t>Respondents made comments about a number of the other elements of ASIC’s UTI proposals.</w:t>
      </w:r>
    </w:p>
    <w:p w14:paraId="591DECF2" w14:textId="4193425A" w:rsidR="00C30AE4" w:rsidRPr="00C30AE4" w:rsidRDefault="00C30AE4" w:rsidP="00C443A0">
      <w:pPr>
        <w:numPr>
          <w:ilvl w:val="0"/>
          <w:numId w:val="17"/>
        </w:numPr>
        <w:spacing w:before="220" w:after="0" w:line="310" w:lineRule="atLeast"/>
        <w:rPr>
          <w:szCs w:val="22"/>
        </w:rPr>
      </w:pPr>
      <w:r w:rsidRPr="00C30AE4">
        <w:rPr>
          <w:szCs w:val="22"/>
        </w:rPr>
        <w:t xml:space="preserve">Several respondents requested that ASIC provide comprehensive guidance about when a new UTI should be generated or an existing UTI </w:t>
      </w:r>
      <w:r w:rsidR="001F5E60">
        <w:rPr>
          <w:szCs w:val="22"/>
        </w:rPr>
        <w:t xml:space="preserve">should </w:t>
      </w:r>
      <w:r w:rsidRPr="00C30AE4">
        <w:rPr>
          <w:szCs w:val="22"/>
        </w:rPr>
        <w:t>continue to be used in a variety of transactional circumstances.</w:t>
      </w:r>
    </w:p>
    <w:p w14:paraId="6C17EFEE" w14:textId="77777777" w:rsidR="00C30AE4" w:rsidRPr="00C30AE4" w:rsidRDefault="00C30AE4" w:rsidP="00C443A0">
      <w:pPr>
        <w:numPr>
          <w:ilvl w:val="0"/>
          <w:numId w:val="17"/>
        </w:numPr>
        <w:spacing w:before="220" w:after="0" w:line="310" w:lineRule="atLeast"/>
        <w:rPr>
          <w:szCs w:val="22"/>
        </w:rPr>
      </w:pPr>
      <w:r w:rsidRPr="00C30AE4">
        <w:rPr>
          <w:szCs w:val="22"/>
        </w:rPr>
        <w:t>Respondents were also concerned that ASIC clarify the requirements in relation to whether existing transactions, at the time that any rule changes became effective, would be required to be re-reported with a new UTI conforming to the then applicable UTI requirements.</w:t>
      </w:r>
    </w:p>
    <w:p w14:paraId="6D5C6C81" w14:textId="7C93DEE1" w:rsidR="00C30AE4" w:rsidRPr="00C30AE4" w:rsidRDefault="00C30AE4" w:rsidP="00C443A0">
      <w:pPr>
        <w:numPr>
          <w:ilvl w:val="0"/>
          <w:numId w:val="17"/>
        </w:numPr>
        <w:spacing w:before="220" w:after="0" w:line="310" w:lineRule="atLeast"/>
        <w:rPr>
          <w:szCs w:val="22"/>
        </w:rPr>
      </w:pPr>
      <w:r w:rsidRPr="00C30AE4">
        <w:rPr>
          <w:szCs w:val="22"/>
        </w:rPr>
        <w:t>There was a broad consensus expressed by respondents, particularly from the buy-side, that there should be an obligation on reporting entities, when acting as a UTI generator, to provide the UTI to its counterparty in a time-bound manner. There were different views on the preferred expression of a time limit</w:t>
      </w:r>
      <w:r w:rsidR="001F5E60" w:rsidRPr="002B1D22">
        <w:rPr>
          <w:szCs w:val="22"/>
        </w:rPr>
        <w:t>—</w:t>
      </w:r>
      <w:r w:rsidRPr="00C30AE4">
        <w:rPr>
          <w:szCs w:val="22"/>
        </w:rPr>
        <w:t>the sell-side tended to support a number of hours limit, the buy-side tended to support a particular time of next day deadline and others suggested including UTI provision in on-demand or intraday client ‘pull’ processes supplemented or backstopped by end-of-day client ‘push’ processes.</w:t>
      </w:r>
    </w:p>
    <w:p w14:paraId="0DBB7233" w14:textId="77777777" w:rsidR="00C30AE4" w:rsidRPr="00C30AE4" w:rsidRDefault="00C30AE4" w:rsidP="00C443A0">
      <w:pPr>
        <w:numPr>
          <w:ilvl w:val="0"/>
          <w:numId w:val="17"/>
        </w:numPr>
        <w:spacing w:before="220" w:after="0" w:line="310" w:lineRule="atLeast"/>
        <w:rPr>
          <w:szCs w:val="22"/>
        </w:rPr>
      </w:pPr>
      <w:r w:rsidRPr="00C30AE4">
        <w:rPr>
          <w:szCs w:val="22"/>
        </w:rPr>
        <w:t>Respondents also raised other concerns or made other comments, including:</w:t>
      </w:r>
    </w:p>
    <w:p w14:paraId="6B18C034" w14:textId="77777777" w:rsidR="00C30AE4" w:rsidRPr="00C30AE4" w:rsidRDefault="00C30AE4" w:rsidP="00C443A0">
      <w:pPr>
        <w:numPr>
          <w:ilvl w:val="1"/>
          <w:numId w:val="17"/>
        </w:numPr>
        <w:spacing w:before="120" w:after="0" w:line="310" w:lineRule="atLeast"/>
        <w:rPr>
          <w:szCs w:val="22"/>
        </w:rPr>
      </w:pPr>
      <w:r w:rsidRPr="00C30AE4">
        <w:rPr>
          <w:szCs w:val="22"/>
        </w:rPr>
        <w:t>uncertainty about how UTI requirements are intended to be satisfied in each jurisdiction in the scenario that the UTI requirements would be implemented in a staggered manner across different jurisdictions;</w:t>
      </w:r>
    </w:p>
    <w:p w14:paraId="2F927524" w14:textId="77777777" w:rsidR="00C30AE4" w:rsidRPr="00C30AE4" w:rsidRDefault="00C30AE4" w:rsidP="00C443A0">
      <w:pPr>
        <w:numPr>
          <w:ilvl w:val="1"/>
          <w:numId w:val="17"/>
        </w:numPr>
        <w:spacing w:before="120" w:after="0" w:line="310" w:lineRule="atLeast"/>
        <w:rPr>
          <w:szCs w:val="22"/>
        </w:rPr>
      </w:pPr>
      <w:r w:rsidRPr="00C30AE4">
        <w:rPr>
          <w:szCs w:val="22"/>
        </w:rPr>
        <w:t xml:space="preserve">that referencing all UTI rules to the same time zone (i.e. Sydney time) will lead to potential non-compliance with current timeliness obligations for reporting where counterparties are subject to different regulatory reporting timeframes; </w:t>
      </w:r>
    </w:p>
    <w:p w14:paraId="20A4AF6F" w14:textId="776997FD" w:rsidR="00C30AE4" w:rsidRPr="00C30AE4" w:rsidRDefault="00C30AE4" w:rsidP="00C443A0">
      <w:pPr>
        <w:numPr>
          <w:ilvl w:val="1"/>
          <w:numId w:val="17"/>
        </w:numPr>
        <w:spacing w:before="120" w:after="0" w:line="310" w:lineRule="atLeast"/>
        <w:rPr>
          <w:szCs w:val="22"/>
        </w:rPr>
      </w:pPr>
      <w:r w:rsidRPr="00C30AE4">
        <w:rPr>
          <w:szCs w:val="22"/>
        </w:rPr>
        <w:t>that the reporting entity self-generating and reporting a UTI in the case of a ‘non-receipt of a UTI’ could also be used in the case where the UTI</w:t>
      </w:r>
      <w:r w:rsidR="008467F9">
        <w:rPr>
          <w:szCs w:val="22"/>
        </w:rPr>
        <w:t> </w:t>
      </w:r>
      <w:r w:rsidRPr="00C30AE4">
        <w:rPr>
          <w:szCs w:val="22"/>
        </w:rPr>
        <w:t>generating entity had not been determined in time for reporting; and</w:t>
      </w:r>
    </w:p>
    <w:p w14:paraId="68EB087E" w14:textId="77777777" w:rsidR="00C30AE4" w:rsidRPr="00C30AE4" w:rsidRDefault="00C30AE4" w:rsidP="00C443A0">
      <w:pPr>
        <w:numPr>
          <w:ilvl w:val="1"/>
          <w:numId w:val="17"/>
        </w:numPr>
        <w:spacing w:before="120" w:after="0" w:line="310" w:lineRule="atLeast"/>
        <w:rPr>
          <w:szCs w:val="22"/>
        </w:rPr>
      </w:pPr>
      <w:r w:rsidRPr="00C30AE4">
        <w:rPr>
          <w:szCs w:val="22"/>
        </w:rPr>
        <w:t>that ASIC should provide regulatory guidance on UTI sharing requirements, such as the technical means of doing so and the minimum related transaction information in a ‘UTI sharing message’ that enables the recipient to match the message to a transaction.</w:t>
      </w:r>
    </w:p>
    <w:p w14:paraId="1CE0BB47" w14:textId="77777777" w:rsidR="00C30AE4" w:rsidRDefault="00C30AE4" w:rsidP="000D606A">
      <w:pPr>
        <w:pStyle w:val="Heading3"/>
      </w:pPr>
      <w:r>
        <w:t>Our response</w:t>
      </w:r>
    </w:p>
    <w:p w14:paraId="747D6210" w14:textId="77777777" w:rsidR="00C30AE4" w:rsidRPr="00C30AE4" w:rsidRDefault="00C30AE4" w:rsidP="00C443A0">
      <w:pPr>
        <w:keepNext/>
        <w:numPr>
          <w:ilvl w:val="0"/>
          <w:numId w:val="17"/>
        </w:numPr>
        <w:spacing w:before="220" w:after="0" w:line="310" w:lineRule="atLeast"/>
        <w:rPr>
          <w:szCs w:val="22"/>
        </w:rPr>
      </w:pPr>
      <w:r w:rsidRPr="00C30AE4">
        <w:rPr>
          <w:szCs w:val="22"/>
        </w:rPr>
        <w:t>We have decided to proceed with several of the elements of our proposals to adopt:</w:t>
      </w:r>
    </w:p>
    <w:p w14:paraId="092806C3" w14:textId="4125A4AE" w:rsidR="00C30AE4" w:rsidRDefault="00C30AE4" w:rsidP="00C443A0">
      <w:pPr>
        <w:pStyle w:val="subparaa"/>
        <w:numPr>
          <w:ilvl w:val="1"/>
          <w:numId w:val="17"/>
        </w:numPr>
        <w:spacing w:before="120" w:line="310" w:lineRule="atLeast"/>
      </w:pPr>
      <w:r>
        <w:t>steps 1, 2 and 3 of the UTI Guidance</w:t>
      </w:r>
      <w:r w:rsidR="00404CA5">
        <w:t>—</w:t>
      </w:r>
      <w:r>
        <w:t>CCPs, clearing members and trading platforms</w:t>
      </w:r>
      <w:r w:rsidR="008E089C" w:rsidRPr="00BA10DC">
        <w:t>—</w:t>
      </w:r>
      <w:r>
        <w:t xml:space="preserve">proposal C2 in </w:t>
      </w:r>
      <w:hyperlink r:id="rId59" w:history="1">
        <w:r w:rsidRPr="008E089C">
          <w:rPr>
            <w:rStyle w:val="Hyperlink"/>
          </w:rPr>
          <w:t>CP 334</w:t>
        </w:r>
      </w:hyperlink>
      <w:r>
        <w:t>;</w:t>
      </w:r>
    </w:p>
    <w:p w14:paraId="5F981F8F" w14:textId="5C2B6E2B" w:rsidR="00C30AE4" w:rsidRDefault="00C30AE4" w:rsidP="00C443A0">
      <w:pPr>
        <w:pStyle w:val="subparaa"/>
        <w:numPr>
          <w:ilvl w:val="1"/>
          <w:numId w:val="17"/>
        </w:numPr>
        <w:spacing w:before="120" w:line="310" w:lineRule="atLeast"/>
      </w:pPr>
      <w:r>
        <w:t>the steps for a single-jurisdictional transaction as we foreshadowed to align with the final ESMA rules</w:t>
      </w:r>
      <w:r w:rsidR="008E089C" w:rsidRPr="00BA10DC">
        <w:t>—</w:t>
      </w:r>
      <w:r>
        <w:t xml:space="preserve">in-principle proposal C3 in </w:t>
      </w:r>
      <w:hyperlink r:id="rId60" w:history="1">
        <w:r w:rsidRPr="008E089C">
          <w:rPr>
            <w:rStyle w:val="Hyperlink"/>
          </w:rPr>
          <w:t>CP 334</w:t>
        </w:r>
      </w:hyperlink>
      <w:r>
        <w:t>;</w:t>
      </w:r>
    </w:p>
    <w:p w14:paraId="69FF9E0B" w14:textId="092E41FD" w:rsidR="00C30AE4" w:rsidRDefault="00C30AE4" w:rsidP="00C443A0">
      <w:pPr>
        <w:pStyle w:val="subparaa"/>
        <w:numPr>
          <w:ilvl w:val="1"/>
          <w:numId w:val="17"/>
        </w:numPr>
        <w:spacing w:before="120" w:line="310" w:lineRule="atLeast"/>
      </w:pPr>
      <w:r>
        <w:t>the steps for a cross-jurisdictional transaction where this jurisdiction is the jurisdiction with the sooner reporting deadline as mirroring the steps for a single-jurisdictional transaction</w:t>
      </w:r>
      <w:r w:rsidR="008E089C" w:rsidRPr="00BA10DC">
        <w:t>—</w:t>
      </w:r>
      <w:r>
        <w:t xml:space="preserve">in-principle proposal C6 in </w:t>
      </w:r>
      <w:hyperlink r:id="rId61" w:history="1">
        <w:r w:rsidRPr="008E089C">
          <w:rPr>
            <w:rStyle w:val="Hyperlink"/>
          </w:rPr>
          <w:t>CP</w:t>
        </w:r>
        <w:r w:rsidR="008E089C" w:rsidRPr="008E089C">
          <w:rPr>
            <w:rStyle w:val="Hyperlink"/>
          </w:rPr>
          <w:t> </w:t>
        </w:r>
        <w:r w:rsidRPr="008E089C">
          <w:rPr>
            <w:rStyle w:val="Hyperlink"/>
          </w:rPr>
          <w:t>334</w:t>
        </w:r>
      </w:hyperlink>
      <w:r>
        <w:t>; and</w:t>
      </w:r>
    </w:p>
    <w:p w14:paraId="0E5EF7D2" w14:textId="4EA63CA2" w:rsidR="00C30AE4" w:rsidRDefault="00C30AE4" w:rsidP="00C443A0">
      <w:pPr>
        <w:pStyle w:val="subparaa"/>
        <w:numPr>
          <w:ilvl w:val="1"/>
          <w:numId w:val="17"/>
        </w:numPr>
        <w:spacing w:before="120" w:line="310" w:lineRule="atLeast"/>
      </w:pPr>
      <w:r>
        <w:t>for UTI purposes only, a singular reporting deadline of the end of the next business day in Sydney</w:t>
      </w:r>
      <w:r w:rsidR="008E089C" w:rsidRPr="00BA10DC">
        <w:t>—</w:t>
      </w:r>
      <w:r>
        <w:t xml:space="preserve">proposal I1 of </w:t>
      </w:r>
      <w:hyperlink r:id="rId62" w:history="1">
        <w:r w:rsidRPr="008E089C">
          <w:rPr>
            <w:rStyle w:val="Hyperlink"/>
          </w:rPr>
          <w:t>CP 334</w:t>
        </w:r>
      </w:hyperlink>
      <w:r>
        <w:t>.</w:t>
      </w:r>
    </w:p>
    <w:p w14:paraId="6C55F560" w14:textId="77777777" w:rsidR="00C30AE4" w:rsidRPr="00C30AE4" w:rsidRDefault="00C30AE4" w:rsidP="00C443A0">
      <w:pPr>
        <w:numPr>
          <w:ilvl w:val="0"/>
          <w:numId w:val="17"/>
        </w:numPr>
        <w:spacing w:before="220" w:after="0" w:line="310" w:lineRule="atLeast"/>
        <w:rPr>
          <w:szCs w:val="22"/>
        </w:rPr>
      </w:pPr>
      <w:r w:rsidRPr="00C30AE4">
        <w:rPr>
          <w:szCs w:val="22"/>
        </w:rPr>
        <w:t>However, we are responding to the CP 334 feedback with a significantly revised proposal on the key element of proposed approaches to the cross-jurisdictional test.</w:t>
      </w:r>
    </w:p>
    <w:p w14:paraId="38B345A8" w14:textId="77777777" w:rsidR="00C30AE4" w:rsidRDefault="00C30AE4" w:rsidP="00C443A0">
      <w:pPr>
        <w:pStyle w:val="BodyText"/>
        <w:numPr>
          <w:ilvl w:val="0"/>
          <w:numId w:val="17"/>
        </w:numPr>
        <w:spacing w:before="220" w:line="310" w:lineRule="atLeast"/>
      </w:pPr>
      <w:r>
        <w:t>Overall, our decisions and revised proposals:</w:t>
      </w:r>
    </w:p>
    <w:p w14:paraId="50841985" w14:textId="437B9505" w:rsidR="00C30AE4" w:rsidRDefault="00C30AE4" w:rsidP="00C443A0">
      <w:pPr>
        <w:pStyle w:val="subparaa"/>
        <w:numPr>
          <w:ilvl w:val="1"/>
          <w:numId w:val="17"/>
        </w:numPr>
        <w:spacing w:before="120" w:line="310" w:lineRule="atLeast"/>
      </w:pPr>
      <w:r w:rsidRPr="0092259B">
        <w:t>provide increased flexibility for UTI generation for cross-jurisdictional transactions</w:t>
      </w:r>
      <w:r>
        <w:t>;</w:t>
      </w:r>
    </w:p>
    <w:p w14:paraId="76D3D4D6" w14:textId="28F8C8DC" w:rsidR="00C30AE4" w:rsidRDefault="00C30AE4" w:rsidP="00C443A0">
      <w:pPr>
        <w:pStyle w:val="subparaa"/>
        <w:numPr>
          <w:ilvl w:val="1"/>
          <w:numId w:val="17"/>
        </w:numPr>
        <w:spacing w:before="120" w:line="310" w:lineRule="atLeast"/>
      </w:pPr>
      <w:r w:rsidRPr="0092259B">
        <w:t>detail the definitions and provisions for market infrastructures</w:t>
      </w:r>
      <w:r>
        <w:t xml:space="preserve"> as UTI</w:t>
      </w:r>
      <w:r w:rsidR="008467F9">
        <w:t xml:space="preserve"> </w:t>
      </w:r>
      <w:r>
        <w:t>generating entities;</w:t>
      </w:r>
    </w:p>
    <w:p w14:paraId="3799078F" w14:textId="6B3E74D0" w:rsidR="00C30AE4" w:rsidRDefault="00C30AE4" w:rsidP="00C443A0">
      <w:pPr>
        <w:pStyle w:val="subparaa"/>
        <w:numPr>
          <w:ilvl w:val="1"/>
          <w:numId w:val="17"/>
        </w:numPr>
        <w:spacing w:before="120" w:line="310" w:lineRule="atLeast"/>
      </w:pPr>
      <w:r>
        <w:t xml:space="preserve">finalise methods for </w:t>
      </w:r>
      <w:r w:rsidRPr="0092259B">
        <w:t>single</w:t>
      </w:r>
      <w:r>
        <w:t>-</w:t>
      </w:r>
      <w:r w:rsidRPr="0092259B">
        <w:t>jurisdictional transactions</w:t>
      </w:r>
      <w:r>
        <w:t>; and</w:t>
      </w:r>
    </w:p>
    <w:p w14:paraId="04C3CF7F" w14:textId="5614480C" w:rsidR="00C30AE4" w:rsidRDefault="00C30AE4" w:rsidP="00C443A0">
      <w:pPr>
        <w:pStyle w:val="subparaa"/>
        <w:numPr>
          <w:ilvl w:val="1"/>
          <w:numId w:val="17"/>
        </w:numPr>
        <w:spacing w:before="120" w:line="310" w:lineRule="atLeast"/>
      </w:pPr>
      <w:r>
        <w:t xml:space="preserve">set out requirements for </w:t>
      </w:r>
      <w:r w:rsidRPr="0092259B">
        <w:t xml:space="preserve">providing UTIs to counterparties, </w:t>
      </w:r>
      <w:r>
        <w:t xml:space="preserve">the </w:t>
      </w:r>
      <w:r w:rsidRPr="0092259B">
        <w:t>non-receipt of UTIs and the roles of third parties in UTI generation.</w:t>
      </w:r>
    </w:p>
    <w:p w14:paraId="66FBE6BE" w14:textId="700C847F" w:rsidR="00C30AE4" w:rsidRDefault="00C30AE4" w:rsidP="00C443A0">
      <w:pPr>
        <w:pStyle w:val="BodyText"/>
        <w:numPr>
          <w:ilvl w:val="0"/>
          <w:numId w:val="17"/>
        </w:numPr>
        <w:spacing w:before="220" w:line="310" w:lineRule="atLeast"/>
      </w:pPr>
      <w:r>
        <w:t xml:space="preserve">Having regard to the feedback to CP 334, our response and revised proposals are summarised in </w:t>
      </w:r>
      <w:r>
        <w:fldChar w:fldCharType="begin" w:fldLock="1"/>
      </w:r>
      <w:r>
        <w:instrText xml:space="preserve"> REF _Ref97530199 \h </w:instrText>
      </w:r>
      <w:r>
        <w:fldChar w:fldCharType="separate"/>
      </w:r>
      <w:r w:rsidR="00853A2A">
        <w:t xml:space="preserve">Table </w:t>
      </w:r>
      <w:r w:rsidR="00853A2A">
        <w:rPr>
          <w:noProof/>
        </w:rPr>
        <w:t>4</w:t>
      </w:r>
      <w:r>
        <w:fldChar w:fldCharType="end"/>
      </w:r>
      <w:r w:rsidR="008B446E">
        <w:t>.</w:t>
      </w:r>
    </w:p>
    <w:p w14:paraId="68CFFC49" w14:textId="190F8DAB" w:rsidR="00C30AE4" w:rsidRDefault="00C30AE4" w:rsidP="00C30AE4">
      <w:pPr>
        <w:pStyle w:val="tabletitleindented"/>
      </w:pPr>
      <w:bookmarkStart w:id="31" w:name="_Ref97530199"/>
      <w:r>
        <w:t xml:space="preserve">Table </w:t>
      </w:r>
      <w:fldSimple w:instr=" SEQ Table \* ARABIC ">
        <w:r w:rsidR="006679BA">
          <w:rPr>
            <w:noProof/>
          </w:rPr>
          <w:t>4</w:t>
        </w:r>
      </w:fldSimple>
      <w:bookmarkEnd w:id="31"/>
      <w:r>
        <w:t>:</w:t>
      </w:r>
      <w:r>
        <w:tab/>
        <w:t>Summary of ASIC response and revised proposals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2268"/>
        <w:gridCol w:w="4536"/>
      </w:tblGrid>
      <w:tr w:rsidR="00C30AE4" w:rsidRPr="000540E1" w14:paraId="045B155D" w14:textId="77777777" w:rsidTr="009E722B">
        <w:trPr>
          <w:cantSplit/>
        </w:trPr>
        <w:tc>
          <w:tcPr>
            <w:tcW w:w="2268" w:type="dxa"/>
            <w:shd w:val="clear" w:color="auto" w:fill="C2E3FA"/>
          </w:tcPr>
          <w:p w14:paraId="0E0E60A1" w14:textId="77777777" w:rsidR="00C30AE4" w:rsidRPr="000540E1" w:rsidRDefault="00C30AE4" w:rsidP="0079758F">
            <w:pPr>
              <w:pStyle w:val="tablehead"/>
              <w:spacing w:line="250" w:lineRule="atLeast"/>
            </w:pPr>
            <w:r>
              <w:t>Decisions for the draft remade ASIC Rules</w:t>
            </w:r>
          </w:p>
        </w:tc>
        <w:tc>
          <w:tcPr>
            <w:tcW w:w="4536" w:type="dxa"/>
          </w:tcPr>
          <w:p w14:paraId="589DA760" w14:textId="77777777" w:rsidR="00C30AE4" w:rsidRDefault="00C30AE4" w:rsidP="0079758F">
            <w:pPr>
              <w:pStyle w:val="tbltext"/>
              <w:spacing w:line="250" w:lineRule="atLeast"/>
            </w:pPr>
            <w:r>
              <w:t>Implement steps 1, 2 and 3 of the UTI Guidance</w:t>
            </w:r>
          </w:p>
          <w:p w14:paraId="332AF221" w14:textId="77777777" w:rsidR="00C30AE4" w:rsidRDefault="00C30AE4" w:rsidP="0079758F">
            <w:pPr>
              <w:pStyle w:val="tbltext"/>
              <w:spacing w:line="250" w:lineRule="atLeast"/>
            </w:pPr>
            <w:r>
              <w:t>Implement the steps for a single-jurisdictional transaction in alignment with the final ESMA rules and mirror those steps for a cross-jurisdictional transaction where this jurisdiction is the jurisdiction with the sooner reporting deadline</w:t>
            </w:r>
          </w:p>
          <w:p w14:paraId="1197B72E" w14:textId="77777777" w:rsidR="00C30AE4" w:rsidRPr="000540E1" w:rsidRDefault="00C30AE4" w:rsidP="0079758F">
            <w:pPr>
              <w:pStyle w:val="tbltext"/>
              <w:spacing w:line="250" w:lineRule="atLeast"/>
            </w:pPr>
            <w:r>
              <w:t>Specify, for UTI purposes only, the end of</w:t>
            </w:r>
            <w:r w:rsidRPr="00C75483">
              <w:t xml:space="preserve"> the next business day in Sydney </w:t>
            </w:r>
            <w:r>
              <w:t xml:space="preserve">as the </w:t>
            </w:r>
            <w:r w:rsidRPr="00C75483">
              <w:t>reporting deadline in this jurisdiction</w:t>
            </w:r>
          </w:p>
        </w:tc>
      </w:tr>
      <w:tr w:rsidR="00C30AE4" w:rsidRPr="000540E1" w14:paraId="1C8D9F6A" w14:textId="77777777" w:rsidTr="009E722B">
        <w:trPr>
          <w:cantSplit/>
        </w:trPr>
        <w:tc>
          <w:tcPr>
            <w:tcW w:w="2268" w:type="dxa"/>
            <w:shd w:val="clear" w:color="auto" w:fill="C2E3FA"/>
          </w:tcPr>
          <w:p w14:paraId="354F465C" w14:textId="77777777" w:rsidR="00C30AE4" w:rsidRPr="000540E1" w:rsidRDefault="00C30AE4" w:rsidP="0079758F">
            <w:pPr>
              <w:pStyle w:val="tablehead"/>
              <w:spacing w:line="250" w:lineRule="atLeast"/>
            </w:pPr>
            <w:r>
              <w:t>Proposals for the draft remade ASIC Rules</w:t>
            </w:r>
          </w:p>
        </w:tc>
        <w:tc>
          <w:tcPr>
            <w:tcW w:w="4536" w:type="dxa"/>
          </w:tcPr>
          <w:p w14:paraId="3D4B0C64" w14:textId="631CD132" w:rsidR="00C30AE4" w:rsidRDefault="00C30AE4" w:rsidP="0079758F">
            <w:pPr>
              <w:pStyle w:val="tbltext"/>
              <w:spacing w:line="250" w:lineRule="atLeast"/>
            </w:pPr>
            <w:r>
              <w:t>Introduce a conditional ‘bilateral agreement’ as a method to determine the UTI</w:t>
            </w:r>
            <w:r w:rsidR="008467F9">
              <w:t xml:space="preserve"> </w:t>
            </w:r>
            <w:r>
              <w:t>generating entity for cross-jurisdictional transactions</w:t>
            </w:r>
          </w:p>
          <w:p w14:paraId="0327316C" w14:textId="63924706" w:rsidR="00C30AE4" w:rsidRDefault="00C30AE4" w:rsidP="0079758F">
            <w:pPr>
              <w:pStyle w:val="tbltext"/>
              <w:spacing w:line="250" w:lineRule="atLeast"/>
            </w:pPr>
            <w:r>
              <w:t>Recognise that persons other than responsible entities and trustees may, in practice, determine the UTI</w:t>
            </w:r>
            <w:r w:rsidR="008467F9">
              <w:t xml:space="preserve"> </w:t>
            </w:r>
            <w:r>
              <w:t>generating entity for a responsible entity or trustee</w:t>
            </w:r>
          </w:p>
          <w:p w14:paraId="119FAE97" w14:textId="37C1D7D5" w:rsidR="00C30AE4" w:rsidRDefault="00C30AE4" w:rsidP="0079758F">
            <w:pPr>
              <w:pStyle w:val="tbltext"/>
              <w:spacing w:line="250" w:lineRule="atLeast"/>
            </w:pPr>
            <w:r>
              <w:t>Require that a reporting entity provide a UTI to its counterparty</w:t>
            </w:r>
            <w:r w:rsidRPr="00C75483">
              <w:t xml:space="preserve"> </w:t>
            </w:r>
            <w:r>
              <w:t>by 10</w:t>
            </w:r>
            <w:r w:rsidR="001F3C9F">
              <w:t xml:space="preserve"> </w:t>
            </w:r>
            <w:r>
              <w:t xml:space="preserve">am on the </w:t>
            </w:r>
            <w:r w:rsidRPr="00C75483">
              <w:t>next business day in Sydney</w:t>
            </w:r>
          </w:p>
          <w:p w14:paraId="35F98CBB" w14:textId="7DBBA58A" w:rsidR="00C30AE4" w:rsidRDefault="00C30AE4" w:rsidP="0079758F">
            <w:pPr>
              <w:pStyle w:val="tbltext"/>
              <w:spacing w:line="250" w:lineRule="atLeast"/>
            </w:pPr>
            <w:r>
              <w:t>Require that a reporting entity generate and report its own UTI if it does not receive a UTI from another entity that is the UTI</w:t>
            </w:r>
            <w:r w:rsidR="008467F9">
              <w:t xml:space="preserve"> </w:t>
            </w:r>
            <w:r>
              <w:t>generating entity</w:t>
            </w:r>
          </w:p>
          <w:p w14:paraId="4198C36A" w14:textId="6FF47EF2" w:rsidR="00C30AE4" w:rsidRPr="008F4463" w:rsidRDefault="00C30AE4" w:rsidP="0079758F">
            <w:pPr>
              <w:pStyle w:val="tbltext"/>
              <w:spacing w:line="250" w:lineRule="atLeast"/>
            </w:pPr>
            <w:r>
              <w:t xml:space="preserve">Allow that reporting entities may appoint other persons to generate a UTI </w:t>
            </w:r>
            <w:r w:rsidRPr="001D147B">
              <w:t>but that the reporting entity remains responsible for complying with the UTI requirements</w:t>
            </w:r>
          </w:p>
        </w:tc>
      </w:tr>
      <w:tr w:rsidR="00C30AE4" w:rsidRPr="000540E1" w14:paraId="316814FD" w14:textId="77777777" w:rsidTr="009E722B">
        <w:trPr>
          <w:cantSplit/>
        </w:trPr>
        <w:tc>
          <w:tcPr>
            <w:tcW w:w="2268" w:type="dxa"/>
            <w:shd w:val="clear" w:color="auto" w:fill="C2E3FA"/>
          </w:tcPr>
          <w:p w14:paraId="00295A30" w14:textId="77777777" w:rsidR="00C30AE4" w:rsidRPr="000540E1" w:rsidRDefault="00C30AE4" w:rsidP="0079758F">
            <w:pPr>
              <w:pStyle w:val="tablehead"/>
              <w:spacing w:line="250" w:lineRule="atLeast"/>
            </w:pPr>
            <w:r>
              <w:t>Decisions for the draft amended ASIC Rules</w:t>
            </w:r>
          </w:p>
        </w:tc>
        <w:tc>
          <w:tcPr>
            <w:tcW w:w="4536" w:type="dxa"/>
          </w:tcPr>
          <w:p w14:paraId="4D758B26" w14:textId="65805D86" w:rsidR="00C30AE4" w:rsidRPr="000540E1" w:rsidRDefault="00B02C96" w:rsidP="0079758F">
            <w:pPr>
              <w:pStyle w:val="tbltext"/>
              <w:spacing w:line="250" w:lineRule="atLeast"/>
            </w:pPr>
            <w:r>
              <w:t>Not applicable</w:t>
            </w:r>
          </w:p>
        </w:tc>
      </w:tr>
      <w:tr w:rsidR="00C30AE4" w:rsidRPr="000540E1" w14:paraId="1377FFD1" w14:textId="77777777" w:rsidTr="009E722B">
        <w:trPr>
          <w:cantSplit/>
        </w:trPr>
        <w:tc>
          <w:tcPr>
            <w:tcW w:w="2268" w:type="dxa"/>
            <w:shd w:val="clear" w:color="auto" w:fill="C2E3FA"/>
          </w:tcPr>
          <w:p w14:paraId="00F9EA28" w14:textId="77777777" w:rsidR="00C30AE4" w:rsidRPr="000540E1" w:rsidRDefault="00C30AE4" w:rsidP="0079758F">
            <w:pPr>
              <w:pStyle w:val="tablehead"/>
              <w:spacing w:line="250" w:lineRule="atLeast"/>
            </w:pPr>
            <w:r>
              <w:t>Proposals for the draft amended ASIC Rules</w:t>
            </w:r>
          </w:p>
        </w:tc>
        <w:tc>
          <w:tcPr>
            <w:tcW w:w="4536" w:type="dxa"/>
          </w:tcPr>
          <w:p w14:paraId="0E98B582" w14:textId="0890DDD0" w:rsidR="00C30AE4" w:rsidRPr="000540E1" w:rsidRDefault="00B02C96" w:rsidP="0079758F">
            <w:pPr>
              <w:pStyle w:val="tbltext"/>
              <w:spacing w:line="250" w:lineRule="atLeast"/>
            </w:pPr>
            <w:r>
              <w:t>Not applicable</w:t>
            </w:r>
          </w:p>
        </w:tc>
      </w:tr>
      <w:tr w:rsidR="00C30AE4" w:rsidRPr="000540E1" w14:paraId="507563F7" w14:textId="77777777" w:rsidTr="009E722B">
        <w:trPr>
          <w:cantSplit/>
        </w:trPr>
        <w:tc>
          <w:tcPr>
            <w:tcW w:w="2268" w:type="dxa"/>
            <w:shd w:val="clear" w:color="auto" w:fill="C2E3FA"/>
          </w:tcPr>
          <w:p w14:paraId="7D9DADC1" w14:textId="77777777" w:rsidR="00C30AE4" w:rsidRDefault="00C30AE4" w:rsidP="0079758F">
            <w:pPr>
              <w:pStyle w:val="tablehead"/>
              <w:spacing w:line="250" w:lineRule="atLeast"/>
            </w:pPr>
            <w:r>
              <w:t>Matters deferred to the third consultation</w:t>
            </w:r>
          </w:p>
        </w:tc>
        <w:tc>
          <w:tcPr>
            <w:tcW w:w="4536" w:type="dxa"/>
          </w:tcPr>
          <w:p w14:paraId="251FCFD8" w14:textId="389A18E7" w:rsidR="00C30AE4" w:rsidRDefault="00B02C96" w:rsidP="0079758F">
            <w:pPr>
              <w:pStyle w:val="tbltext"/>
              <w:spacing w:line="250" w:lineRule="atLeast"/>
            </w:pPr>
            <w:r>
              <w:t>Not applicable</w:t>
            </w:r>
          </w:p>
        </w:tc>
      </w:tr>
    </w:tbl>
    <w:p w14:paraId="73495404" w14:textId="77777777" w:rsidR="00A723B1" w:rsidRDefault="00A723B1" w:rsidP="00A723B1">
      <w:pPr>
        <w:pStyle w:val="Heading2"/>
      </w:pPr>
      <w:bookmarkStart w:id="32" w:name="_Toc95401984"/>
      <w:bookmarkStart w:id="33" w:name="_Toc103174623"/>
      <w:r>
        <w:t>ASIC’s revised proposals</w:t>
      </w:r>
      <w:bookmarkEnd w:id="32"/>
      <w:bookmarkEnd w:id="33"/>
    </w:p>
    <w:p w14:paraId="5F291B55" w14:textId="77777777" w:rsidR="00A723B1" w:rsidRDefault="00A723B1" w:rsidP="00A723B1">
      <w:pPr>
        <w:pStyle w:val="Proposalhead"/>
      </w:pPr>
      <w:r>
        <w:t>Proposal</w:t>
      </w:r>
    </w:p>
    <w:p w14:paraId="470A6BB6" w14:textId="2453D0D0" w:rsidR="00A723B1" w:rsidRDefault="00A723B1" w:rsidP="00A723B1">
      <w:pPr>
        <w:pStyle w:val="Proposaltext"/>
        <w:tabs>
          <w:tab w:val="clear" w:pos="2693"/>
          <w:tab w:val="num" w:pos="425"/>
        </w:tabs>
      </w:pPr>
      <w:r>
        <w:t xml:space="preserve">We propose to make new draft </w:t>
      </w:r>
      <w:r w:rsidR="00B76AAF">
        <w:t>R</w:t>
      </w:r>
      <w:r>
        <w:t xml:space="preserve">ule 2.2.9 </w:t>
      </w:r>
      <w:r w:rsidR="00FA0519">
        <w:t>‘</w:t>
      </w:r>
      <w:r>
        <w:t>Reporting requirement</w:t>
      </w:r>
      <w:r w:rsidR="00AA584E" w:rsidRPr="006F1410">
        <w:t>—</w:t>
      </w:r>
      <w:r>
        <w:t>Unique transaction identifier</w:t>
      </w:r>
      <w:r w:rsidR="00FA0519">
        <w:t>’</w:t>
      </w:r>
      <w:r>
        <w:t xml:space="preserve"> in the draft remade ASIC Rules (</w:t>
      </w:r>
      <w:r w:rsidR="00FA0519">
        <w:t xml:space="preserve">see </w:t>
      </w:r>
      <w:r w:rsidRPr="002B1D22">
        <w:t>Attachment 1</w:t>
      </w:r>
      <w:r w:rsidRPr="00FA0519">
        <w:t>)</w:t>
      </w:r>
      <w:r>
        <w:t xml:space="preserve"> setting out UTI requirements for a reporting entity to:</w:t>
      </w:r>
    </w:p>
    <w:p w14:paraId="75D30B2B" w14:textId="3E7E8AD6" w:rsidR="00A723B1" w:rsidRDefault="00A723B1" w:rsidP="00A723B1">
      <w:pPr>
        <w:pStyle w:val="Proposalsubpara"/>
      </w:pPr>
      <w:r>
        <w:t>apply the rule if the r</w:t>
      </w:r>
      <w:r w:rsidRPr="00041A3B">
        <w:t xml:space="preserve">eporting </w:t>
      </w:r>
      <w:r>
        <w:t>e</w:t>
      </w:r>
      <w:r w:rsidRPr="00041A3B">
        <w:t xml:space="preserve">ntity is required to report a UTI for a </w:t>
      </w:r>
      <w:r>
        <w:t>new transaction</w:t>
      </w:r>
      <w:r w:rsidR="00AA584E">
        <w:t xml:space="preserve"> (Rule 2.2.9</w:t>
      </w:r>
      <w:r>
        <w:t>(1)</w:t>
      </w:r>
      <w:r w:rsidR="00AA584E">
        <w:t>)</w:t>
      </w:r>
      <w:r>
        <w:t>;</w:t>
      </w:r>
    </w:p>
    <w:p w14:paraId="3C605999" w14:textId="22CAA2B6" w:rsidR="00A723B1" w:rsidRPr="009558EC" w:rsidRDefault="00A723B1" w:rsidP="0079758F">
      <w:pPr>
        <w:pStyle w:val="Proposalsubpara"/>
        <w:spacing w:line="270" w:lineRule="atLeast"/>
      </w:pPr>
      <w:r w:rsidRPr="009558EC">
        <w:t>determine the UTI</w:t>
      </w:r>
      <w:r w:rsidR="008467F9">
        <w:t xml:space="preserve"> </w:t>
      </w:r>
      <w:r w:rsidRPr="009558EC">
        <w:t xml:space="preserve">generating entity according to the steps set out in Table </w:t>
      </w:r>
      <w:r>
        <w:t>2</w:t>
      </w:r>
      <w:r w:rsidRPr="00C23AFC">
        <w:t xml:space="preserve">: </w:t>
      </w:r>
      <w:r w:rsidR="002B1D22">
        <w:t>UTI generating</w:t>
      </w:r>
      <w:r w:rsidRPr="00C23AFC">
        <w:t xml:space="preserve"> entity for specified </w:t>
      </w:r>
      <w:r w:rsidR="007A53D8">
        <w:t>r</w:t>
      </w:r>
      <w:r w:rsidR="007A53D8" w:rsidRPr="00C23AFC">
        <w:t xml:space="preserve">eportable </w:t>
      </w:r>
      <w:r w:rsidR="007A53D8">
        <w:t>t</w:t>
      </w:r>
      <w:r w:rsidR="007A53D8" w:rsidRPr="00C23AFC">
        <w:t xml:space="preserve">ransactions </w:t>
      </w:r>
      <w:r w:rsidRPr="00C23AFC">
        <w:t xml:space="preserve">of </w:t>
      </w:r>
      <w:r w:rsidR="00C23AFC">
        <w:t>R</w:t>
      </w:r>
      <w:r w:rsidRPr="00C23AFC">
        <w:t>ule 2.2.9</w:t>
      </w:r>
      <w:r w:rsidR="00AA584E" w:rsidRPr="006F1410">
        <w:t>—</w:t>
      </w:r>
      <w:r w:rsidRPr="009558EC">
        <w:t xml:space="preserve">this is the </w:t>
      </w:r>
      <w:r>
        <w:t>draft ASIC UTI waterfall</w:t>
      </w:r>
      <w:r w:rsidRPr="009558EC">
        <w:t xml:space="preserve"> </w:t>
      </w:r>
      <w:r w:rsidR="00C23AFC">
        <w:t>(R</w:t>
      </w:r>
      <w:r w:rsidR="00C23AFC" w:rsidRPr="009558EC">
        <w:t xml:space="preserve">ule </w:t>
      </w:r>
      <w:r w:rsidR="00C23AFC">
        <w:t>2.2.9</w:t>
      </w:r>
      <w:r w:rsidRPr="009558EC">
        <w:t>(3)</w:t>
      </w:r>
      <w:r w:rsidR="00C23AFC">
        <w:t>)</w:t>
      </w:r>
      <w:r w:rsidRPr="009558EC">
        <w:t>;</w:t>
      </w:r>
    </w:p>
    <w:p w14:paraId="575A087D" w14:textId="52D0D218" w:rsidR="00A723B1" w:rsidRPr="009558EC" w:rsidRDefault="00A723B1" w:rsidP="0079758F">
      <w:pPr>
        <w:pStyle w:val="Proposalsubpara"/>
        <w:spacing w:line="270" w:lineRule="atLeast"/>
      </w:pPr>
      <w:r w:rsidRPr="009558EC">
        <w:t>if the reporting entity is the UTI</w:t>
      </w:r>
      <w:r w:rsidR="008467F9">
        <w:t xml:space="preserve"> </w:t>
      </w:r>
      <w:r w:rsidRPr="009558EC">
        <w:t xml:space="preserve">generating entity, generate the UTI and provide the UTI to the other counterparty in a timely manner and no later than 10 am Sydney time on the next business day </w:t>
      </w:r>
      <w:r w:rsidR="00C23AFC">
        <w:t>(R</w:t>
      </w:r>
      <w:r w:rsidR="00C23AFC" w:rsidRPr="009558EC">
        <w:t xml:space="preserve">ule </w:t>
      </w:r>
      <w:r w:rsidR="00C23AFC">
        <w:t>2.2.9</w:t>
      </w:r>
      <w:r w:rsidRPr="009558EC">
        <w:t>(5)</w:t>
      </w:r>
      <w:r w:rsidR="00C23AFC">
        <w:t>)</w:t>
      </w:r>
      <w:r w:rsidRPr="009558EC">
        <w:t>;</w:t>
      </w:r>
    </w:p>
    <w:p w14:paraId="34048F4F" w14:textId="3018C27A" w:rsidR="00A723B1" w:rsidRDefault="00A723B1" w:rsidP="0079758F">
      <w:pPr>
        <w:pStyle w:val="Proposalsubpara"/>
        <w:spacing w:line="270" w:lineRule="atLeast"/>
      </w:pPr>
      <w:r>
        <w:t>if the reporting entity does not receive a UTI from the other UTI</w:t>
      </w:r>
      <w:r w:rsidR="008467F9">
        <w:t xml:space="preserve"> </w:t>
      </w:r>
      <w:r>
        <w:t>generating entity in sufficient time for reporting:</w:t>
      </w:r>
    </w:p>
    <w:p w14:paraId="2DFA92C1" w14:textId="756B4783" w:rsidR="00A723B1" w:rsidRDefault="00A723B1" w:rsidP="0079758F">
      <w:pPr>
        <w:pStyle w:val="Proposalsubsubpara"/>
        <w:spacing w:line="270" w:lineRule="atLeast"/>
      </w:pPr>
      <w:r>
        <w:t>if the reporting entity reasonably believes that it will, at a later time, receive the UTI</w:t>
      </w:r>
      <w:r w:rsidR="00C23AFC" w:rsidRPr="006F1410">
        <w:t>—</w:t>
      </w:r>
      <w:r>
        <w:t>a ‘temporary’ non-receipt of a UTI</w:t>
      </w:r>
      <w:r w:rsidR="00C23AFC" w:rsidRPr="006F1410">
        <w:t>—</w:t>
      </w:r>
      <w:r>
        <w:t>generate its own UTI for reporting; or</w:t>
      </w:r>
    </w:p>
    <w:p w14:paraId="00DCD3C7" w14:textId="40E9A168" w:rsidR="00A723B1" w:rsidRDefault="00A723B1" w:rsidP="0079758F">
      <w:pPr>
        <w:pStyle w:val="Proposalsubsubpara"/>
        <w:spacing w:line="270" w:lineRule="atLeast"/>
      </w:pPr>
      <w:r>
        <w:t>if the reporting entity reasonably believes that it will not receive the UTI</w:t>
      </w:r>
      <w:r w:rsidR="003B14C3" w:rsidRPr="00BA10DC">
        <w:t>—</w:t>
      </w:r>
      <w:r>
        <w:t>a ‘permanent’ non-receipt of a UTI</w:t>
      </w:r>
      <w:r w:rsidR="003B14C3" w:rsidRPr="00BA10DC">
        <w:t>—</w:t>
      </w:r>
      <w:r>
        <w:t>use its best endeavours to determine the UTI</w:t>
      </w:r>
      <w:r w:rsidR="008467F9">
        <w:t xml:space="preserve"> </w:t>
      </w:r>
      <w:r>
        <w:t xml:space="preserve">generating entity according to the next applicable method </w:t>
      </w:r>
      <w:r w:rsidRPr="00B844B8">
        <w:t>in the draft ASIC UTI waterfall</w:t>
      </w:r>
      <w:r>
        <w:t>; but</w:t>
      </w:r>
    </w:p>
    <w:p w14:paraId="32B52EB8" w14:textId="5DE1D983" w:rsidR="00A723B1" w:rsidRDefault="00A723B1" w:rsidP="0079758F">
      <w:pPr>
        <w:pStyle w:val="Proposalsubsubpara"/>
        <w:spacing w:line="270" w:lineRule="atLeast"/>
      </w:pPr>
      <w:r>
        <w:t>if the UTI</w:t>
      </w:r>
      <w:r w:rsidR="008467F9">
        <w:t xml:space="preserve"> </w:t>
      </w:r>
      <w:r>
        <w:t xml:space="preserve">generating entity determined according to the next applicable method does not provide the UTI, the reporting entity must generate and report its own UTI </w:t>
      </w:r>
      <w:r w:rsidR="00503A1A">
        <w:t>(Rule 2.2.9</w:t>
      </w:r>
      <w:r>
        <w:t>(6)</w:t>
      </w:r>
      <w:r w:rsidR="00503A1A">
        <w:t>)</w:t>
      </w:r>
      <w:r>
        <w:t>.</w:t>
      </w:r>
    </w:p>
    <w:p w14:paraId="5B43F135" w14:textId="77777777" w:rsidR="00A723B1" w:rsidRDefault="00A723B1" w:rsidP="00A723B1">
      <w:pPr>
        <w:pStyle w:val="Feedbackhead"/>
      </w:pPr>
      <w:r>
        <w:t>Your feedback</w:t>
      </w:r>
    </w:p>
    <w:p w14:paraId="588964FB" w14:textId="77777777" w:rsidR="00A723B1" w:rsidRDefault="00A723B1" w:rsidP="0079758F">
      <w:pPr>
        <w:pStyle w:val="Feedbackquestion"/>
        <w:pBdr>
          <w:left w:val="single" w:sz="6" w:space="2" w:color="117DC7"/>
        </w:pBdr>
        <w:spacing w:line="270" w:lineRule="atLeast"/>
      </w:pPr>
      <w:r>
        <w:t>Do you agree with this proposal? In your response, please give detailed reasons for your answer.</w:t>
      </w:r>
    </w:p>
    <w:p w14:paraId="29F3CC26" w14:textId="6BB343D1" w:rsidR="00A723B1" w:rsidRDefault="00A723B1" w:rsidP="0079758F">
      <w:pPr>
        <w:pStyle w:val="Feedbackquestion"/>
        <w:pBdr>
          <w:left w:val="single" w:sz="6" w:space="2" w:color="117DC7"/>
        </w:pBdr>
        <w:spacing w:line="270" w:lineRule="atLeast"/>
      </w:pPr>
      <w:r>
        <w:t xml:space="preserve">Do you consider that you would have any issues of interpretation of the definitions or text of draft </w:t>
      </w:r>
      <w:r w:rsidR="00503A1A">
        <w:t>R</w:t>
      </w:r>
      <w:r>
        <w:t>ule 2.2.9? In your response, please give detailed reasons for your answer.</w:t>
      </w:r>
    </w:p>
    <w:p w14:paraId="50BC96F2" w14:textId="6EEDDE04" w:rsidR="00A723B1" w:rsidRDefault="00A723B1" w:rsidP="0079758F">
      <w:pPr>
        <w:pStyle w:val="Proposaltext"/>
        <w:tabs>
          <w:tab w:val="clear" w:pos="2693"/>
          <w:tab w:val="num" w:pos="425"/>
        </w:tabs>
        <w:spacing w:line="270" w:lineRule="atLeast"/>
      </w:pPr>
      <w:r>
        <w:t xml:space="preserve">We also propose that new </w:t>
      </w:r>
      <w:r w:rsidR="00503A1A">
        <w:t xml:space="preserve">Rule </w:t>
      </w:r>
      <w:r>
        <w:t>2.2.9 provides that:</w:t>
      </w:r>
    </w:p>
    <w:p w14:paraId="6DF795C2" w14:textId="2E020025" w:rsidR="00A723B1" w:rsidRDefault="00A723B1" w:rsidP="0079758F">
      <w:pPr>
        <w:pStyle w:val="Proposalsubpara"/>
        <w:spacing w:line="270" w:lineRule="atLeast"/>
      </w:pPr>
      <w:r w:rsidRPr="00CB7560">
        <w:t xml:space="preserve">a reference to a </w:t>
      </w:r>
      <w:r>
        <w:t>r</w:t>
      </w:r>
      <w:r w:rsidRPr="00CB7560">
        <w:t xml:space="preserve">eporting </w:t>
      </w:r>
      <w:r>
        <w:t>e</w:t>
      </w:r>
      <w:r w:rsidRPr="00CB7560">
        <w:t>ntity that is a</w:t>
      </w:r>
      <w:r w:rsidR="00B01143">
        <w:t xml:space="preserve"> responsible entity </w:t>
      </w:r>
      <w:r w:rsidRPr="00CB7560">
        <w:t xml:space="preserve">or </w:t>
      </w:r>
      <w:r>
        <w:t>t</w:t>
      </w:r>
      <w:r w:rsidRPr="00CB7560">
        <w:t xml:space="preserve">rustee </w:t>
      </w:r>
      <w:r>
        <w:t>includes</w:t>
      </w:r>
      <w:r w:rsidRPr="00CB7560">
        <w:t xml:space="preserve"> a person appointed by the </w:t>
      </w:r>
      <w:r>
        <w:t>r</w:t>
      </w:r>
      <w:r w:rsidRPr="00CB7560">
        <w:t xml:space="preserve">eporting </w:t>
      </w:r>
      <w:r>
        <w:t>e</w:t>
      </w:r>
      <w:r w:rsidRPr="00CB7560">
        <w:t xml:space="preserve">ntity to enter into OTC </w:t>
      </w:r>
      <w:r>
        <w:t>d</w:t>
      </w:r>
      <w:r w:rsidRPr="00CB7560">
        <w:t xml:space="preserve">erivatives on behalf of the </w:t>
      </w:r>
      <w:r>
        <w:t>r</w:t>
      </w:r>
      <w:r w:rsidRPr="00CB7560">
        <w:t xml:space="preserve">eporting </w:t>
      </w:r>
      <w:r>
        <w:t>e</w:t>
      </w:r>
      <w:r w:rsidRPr="00CB7560">
        <w:t>ntity</w:t>
      </w:r>
      <w:r w:rsidR="003B14C3" w:rsidRPr="00BA10DC">
        <w:t>—</w:t>
      </w:r>
      <w:r>
        <w:t>for example, a fund manager</w:t>
      </w:r>
      <w:r w:rsidR="00503A1A">
        <w:t xml:space="preserve"> (R</w:t>
      </w:r>
      <w:r>
        <w:t>ule</w:t>
      </w:r>
      <w:r w:rsidR="00503A1A">
        <w:t xml:space="preserve"> 2.2.9</w:t>
      </w:r>
      <w:r>
        <w:t>(2)</w:t>
      </w:r>
      <w:r w:rsidR="00503A1A">
        <w:t>)</w:t>
      </w:r>
      <w:r>
        <w:t>;</w:t>
      </w:r>
    </w:p>
    <w:p w14:paraId="4E391721" w14:textId="1DCC5EB0" w:rsidR="00A723B1" w:rsidRDefault="00A723B1" w:rsidP="0079758F">
      <w:pPr>
        <w:pStyle w:val="Proposalsubpara"/>
        <w:spacing w:line="270" w:lineRule="atLeast"/>
      </w:pPr>
      <w:r>
        <w:t>a</w:t>
      </w:r>
      <w:r w:rsidRPr="00CB7560">
        <w:t xml:space="preserve"> </w:t>
      </w:r>
      <w:r>
        <w:t>r</w:t>
      </w:r>
      <w:r w:rsidRPr="00CB7560">
        <w:t xml:space="preserve">eporting </w:t>
      </w:r>
      <w:r>
        <w:t>e</w:t>
      </w:r>
      <w:r w:rsidRPr="00CB7560">
        <w:t>ntity may</w:t>
      </w:r>
      <w:r>
        <w:t>, subject to conditions,</w:t>
      </w:r>
      <w:r w:rsidRPr="00CB7560">
        <w:t xml:space="preserve"> appoint a </w:t>
      </w:r>
      <w:r>
        <w:t>s</w:t>
      </w:r>
      <w:r w:rsidRPr="00CB7560">
        <w:t xml:space="preserve">ervice </w:t>
      </w:r>
      <w:r>
        <w:t>p</w:t>
      </w:r>
      <w:r w:rsidRPr="00CB7560">
        <w:t>rovider to generate the UTI</w:t>
      </w:r>
      <w:r w:rsidR="00503A1A">
        <w:t xml:space="preserve"> (R</w:t>
      </w:r>
      <w:r>
        <w:t xml:space="preserve">ule </w:t>
      </w:r>
      <w:r w:rsidR="00503A1A">
        <w:t>2.2.9</w:t>
      </w:r>
      <w:r>
        <w:t>(7)</w:t>
      </w:r>
      <w:r w:rsidR="00503A1A">
        <w:t>)</w:t>
      </w:r>
      <w:r>
        <w:t>;</w:t>
      </w:r>
    </w:p>
    <w:p w14:paraId="7F393D4D" w14:textId="44595835" w:rsidR="00A723B1" w:rsidRPr="001D147B" w:rsidRDefault="00A723B1" w:rsidP="0079758F">
      <w:pPr>
        <w:pStyle w:val="Proposalsubpara"/>
        <w:spacing w:line="270" w:lineRule="atLeast"/>
      </w:pPr>
      <w:r w:rsidRPr="001D147B">
        <w:t>if the UTI requirements are met by another person on behalf of the reporting entity; the reporting entity remains responsible for the obligations of the reporting entity</w:t>
      </w:r>
      <w:r w:rsidR="00503A1A">
        <w:t xml:space="preserve"> (R</w:t>
      </w:r>
      <w:r w:rsidRPr="001D147B">
        <w:t>ule</w:t>
      </w:r>
      <w:r w:rsidR="00503A1A">
        <w:t xml:space="preserve"> 2.2.9</w:t>
      </w:r>
      <w:r w:rsidRPr="001D147B">
        <w:t>(8)</w:t>
      </w:r>
      <w:r w:rsidR="00503A1A">
        <w:t>)</w:t>
      </w:r>
      <w:r w:rsidRPr="001D147B">
        <w:t>; and</w:t>
      </w:r>
    </w:p>
    <w:p w14:paraId="51F1BDE4" w14:textId="76A8EE01" w:rsidR="00A723B1" w:rsidRDefault="00A723B1" w:rsidP="0079758F">
      <w:pPr>
        <w:pStyle w:val="Proposalsubpara"/>
        <w:spacing w:line="270" w:lineRule="atLeast"/>
      </w:pPr>
      <w:r>
        <w:t xml:space="preserve">for the purposes of </w:t>
      </w:r>
      <w:r w:rsidR="00503A1A">
        <w:t>R</w:t>
      </w:r>
      <w:r>
        <w:t>ule 2.2.9, the reporting deadline in this jurisdiction is the end of the next business day in Sydney</w:t>
      </w:r>
      <w:r w:rsidR="00503A1A">
        <w:t xml:space="preserve"> (R</w:t>
      </w:r>
      <w:r>
        <w:t>ule</w:t>
      </w:r>
      <w:r w:rsidR="00503A1A">
        <w:t> 2.2.9</w:t>
      </w:r>
      <w:r>
        <w:t>(4)</w:t>
      </w:r>
      <w:r w:rsidR="00503A1A">
        <w:t>)</w:t>
      </w:r>
      <w:r>
        <w:t>.</w:t>
      </w:r>
    </w:p>
    <w:p w14:paraId="29975381" w14:textId="77777777" w:rsidR="008E41A3" w:rsidRPr="008E41A3" w:rsidRDefault="008E41A3" w:rsidP="008E41A3">
      <w:pPr>
        <w:pStyle w:val="Bodytextplain"/>
        <w:keepNext/>
        <w:spacing w:before="0" w:line="240" w:lineRule="auto"/>
        <w:rPr>
          <w:sz w:val="4"/>
          <w:szCs w:val="4"/>
        </w:rPr>
      </w:pPr>
    </w:p>
    <w:p w14:paraId="420EA4AD" w14:textId="526C8E2E" w:rsidR="00A723B1" w:rsidRDefault="00A723B1" w:rsidP="008E41A3">
      <w:pPr>
        <w:pStyle w:val="Feedbackhead"/>
        <w:spacing w:before="0"/>
      </w:pPr>
      <w:r>
        <w:t>Your feedback</w:t>
      </w:r>
    </w:p>
    <w:p w14:paraId="46D05A50" w14:textId="77777777" w:rsidR="00A723B1" w:rsidRPr="00C12D6A" w:rsidRDefault="00A723B1" w:rsidP="0079758F">
      <w:pPr>
        <w:pStyle w:val="Feedbackquestion"/>
        <w:keepNext/>
        <w:pBdr>
          <w:left w:val="single" w:sz="6" w:space="2" w:color="117DC7"/>
        </w:pBdr>
        <w:spacing w:line="270" w:lineRule="atLeast"/>
      </w:pPr>
      <w:r>
        <w:t>Do you agree with this proposal? In your response, please give detailed reasons for your answer.</w:t>
      </w:r>
    </w:p>
    <w:p w14:paraId="42258442" w14:textId="49BF98E5" w:rsidR="00A723B1" w:rsidRDefault="00A723B1" w:rsidP="0079758F">
      <w:pPr>
        <w:pStyle w:val="Feedbackquestion"/>
        <w:pBdr>
          <w:left w:val="single" w:sz="6" w:space="2" w:color="117DC7"/>
        </w:pBdr>
        <w:spacing w:line="270" w:lineRule="atLeast"/>
      </w:pPr>
      <w:r>
        <w:t xml:space="preserve">Do you consider that you would have any issues of interpretation of the definitions or text of draft </w:t>
      </w:r>
      <w:r w:rsidR="00503A1A">
        <w:t>R</w:t>
      </w:r>
      <w:r>
        <w:t>ule 2.2.9? In your response, please give detailed reasons for your answer.</w:t>
      </w:r>
    </w:p>
    <w:p w14:paraId="1316B3F9" w14:textId="77777777" w:rsidR="00E06383" w:rsidRDefault="00E06383" w:rsidP="00E06383">
      <w:pPr>
        <w:pStyle w:val="Heading3"/>
      </w:pPr>
      <w:bookmarkStart w:id="34" w:name="_Hlk95450115"/>
      <w:r>
        <w:t>Rationale</w:t>
      </w:r>
    </w:p>
    <w:bookmarkEnd w:id="34"/>
    <w:p w14:paraId="69032515" w14:textId="6E05ABCB" w:rsidR="00E06383" w:rsidRDefault="00E06383" w:rsidP="0079758F">
      <w:pPr>
        <w:pStyle w:val="BodyText"/>
        <w:numPr>
          <w:ilvl w:val="0"/>
          <w:numId w:val="17"/>
        </w:numPr>
        <w:spacing w:line="310" w:lineRule="atLeast"/>
      </w:pPr>
      <w:r>
        <w:t xml:space="preserve">The draft new </w:t>
      </w:r>
      <w:r w:rsidR="00412C43">
        <w:t xml:space="preserve">Rule </w:t>
      </w:r>
      <w:r>
        <w:t>2.2.9 is explained in the paragraphs of this section as set out in</w:t>
      </w:r>
      <w:r w:rsidR="00FC0B6C">
        <w:t xml:space="preserve"> </w:t>
      </w:r>
      <w:r w:rsidR="00FC0B6C">
        <w:fldChar w:fldCharType="begin" w:fldLock="1"/>
      </w:r>
      <w:r w:rsidR="00FC0B6C">
        <w:instrText xml:space="preserve"> REF _Ref97530653 \h </w:instrText>
      </w:r>
      <w:r w:rsidR="00FC0B6C">
        <w:fldChar w:fldCharType="separate"/>
      </w:r>
      <w:r w:rsidR="00853A2A">
        <w:t xml:space="preserve">Table </w:t>
      </w:r>
      <w:r w:rsidR="00853A2A">
        <w:rPr>
          <w:noProof/>
        </w:rPr>
        <w:t>5</w:t>
      </w:r>
      <w:r w:rsidR="00FC0B6C">
        <w:fldChar w:fldCharType="end"/>
      </w:r>
      <w:r>
        <w:t>.</w:t>
      </w:r>
    </w:p>
    <w:p w14:paraId="38B2775D" w14:textId="52B7EA38" w:rsidR="00E06383" w:rsidRDefault="00E06383" w:rsidP="00E06383">
      <w:pPr>
        <w:pStyle w:val="tabletitleindented"/>
      </w:pPr>
      <w:bookmarkStart w:id="35" w:name="_Ref97530653"/>
      <w:r>
        <w:t xml:space="preserve">Table </w:t>
      </w:r>
      <w:fldSimple w:instr=" SEQ Table \* ARABIC ">
        <w:r w:rsidR="006679BA">
          <w:rPr>
            <w:noProof/>
          </w:rPr>
          <w:t>5</w:t>
        </w:r>
      </w:fldSimple>
      <w:bookmarkEnd w:id="35"/>
      <w:r>
        <w:t>:</w:t>
      </w:r>
      <w:r>
        <w:tab/>
        <w:t xml:space="preserve">Explanations of </w:t>
      </w:r>
      <w:r w:rsidR="00412C43">
        <w:t xml:space="preserve">Rule </w:t>
      </w:r>
      <w:r>
        <w:t>2.2.9</w:t>
      </w:r>
    </w:p>
    <w:tbl>
      <w:tblPr>
        <w:tblW w:w="6803"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418"/>
        <w:gridCol w:w="3118"/>
        <w:gridCol w:w="2267"/>
      </w:tblGrid>
      <w:tr w:rsidR="00E06383" w:rsidRPr="000540E1" w14:paraId="220FCE9E" w14:textId="77777777" w:rsidTr="00C54AA7">
        <w:trPr>
          <w:cantSplit/>
          <w:tblHeader/>
        </w:trPr>
        <w:tc>
          <w:tcPr>
            <w:tcW w:w="1042" w:type="pct"/>
            <w:shd w:val="clear" w:color="auto" w:fill="C2E3FA"/>
          </w:tcPr>
          <w:p w14:paraId="3199F15E" w14:textId="0BB10C48" w:rsidR="00E06383" w:rsidRDefault="00412C43" w:rsidP="0079758F">
            <w:pPr>
              <w:pStyle w:val="tablehead"/>
              <w:spacing w:line="250" w:lineRule="atLeast"/>
            </w:pPr>
            <w:r>
              <w:t>Rule</w:t>
            </w:r>
          </w:p>
        </w:tc>
        <w:tc>
          <w:tcPr>
            <w:tcW w:w="2292" w:type="pct"/>
            <w:shd w:val="clear" w:color="auto" w:fill="C2E3FA"/>
          </w:tcPr>
          <w:p w14:paraId="79CD8108" w14:textId="77777777" w:rsidR="00E06383" w:rsidRPr="000540E1" w:rsidRDefault="00E06383" w:rsidP="0079758F">
            <w:pPr>
              <w:pStyle w:val="tablehead"/>
              <w:spacing w:line="250" w:lineRule="atLeast"/>
            </w:pPr>
            <w:r>
              <w:t>Scope</w:t>
            </w:r>
          </w:p>
        </w:tc>
        <w:tc>
          <w:tcPr>
            <w:tcW w:w="1666" w:type="pct"/>
            <w:shd w:val="clear" w:color="auto" w:fill="C2E3FA"/>
          </w:tcPr>
          <w:p w14:paraId="5BDC0099" w14:textId="77777777" w:rsidR="00E06383" w:rsidRPr="000540E1" w:rsidRDefault="00E06383" w:rsidP="0079758F">
            <w:pPr>
              <w:pStyle w:val="tablehead"/>
              <w:spacing w:line="250" w:lineRule="atLeast"/>
            </w:pPr>
            <w:r>
              <w:t>Paragraphs</w:t>
            </w:r>
          </w:p>
        </w:tc>
      </w:tr>
      <w:tr w:rsidR="00E06383" w:rsidRPr="000540E1" w14:paraId="0843554C" w14:textId="77777777" w:rsidTr="00C54AA7">
        <w:trPr>
          <w:cantSplit/>
        </w:trPr>
        <w:tc>
          <w:tcPr>
            <w:tcW w:w="1042" w:type="pct"/>
          </w:tcPr>
          <w:p w14:paraId="53763F7D" w14:textId="56EDF414" w:rsidR="00E06383" w:rsidRPr="000540E1" w:rsidRDefault="00412C43" w:rsidP="0079758F">
            <w:pPr>
              <w:pStyle w:val="tbltext"/>
              <w:spacing w:line="250" w:lineRule="atLeast"/>
            </w:pPr>
            <w:r>
              <w:t>2.2.9</w:t>
            </w:r>
            <w:r w:rsidR="00E06383">
              <w:t>(1)</w:t>
            </w:r>
          </w:p>
        </w:tc>
        <w:tc>
          <w:tcPr>
            <w:tcW w:w="2292" w:type="pct"/>
          </w:tcPr>
          <w:p w14:paraId="7A6E922C" w14:textId="77777777" w:rsidR="00E06383" w:rsidRPr="000540E1" w:rsidRDefault="00E06383" w:rsidP="0079758F">
            <w:pPr>
              <w:pStyle w:val="tbltext"/>
              <w:spacing w:line="250" w:lineRule="atLeast"/>
            </w:pPr>
            <w:r>
              <w:t>When a UTI is required</w:t>
            </w:r>
          </w:p>
        </w:tc>
        <w:tc>
          <w:tcPr>
            <w:tcW w:w="1666" w:type="pct"/>
          </w:tcPr>
          <w:p w14:paraId="7EEA942C" w14:textId="67B03AA6" w:rsidR="00E06383" w:rsidRPr="00DB798B" w:rsidRDefault="00E06383" w:rsidP="0079758F">
            <w:pPr>
              <w:pStyle w:val="tbltext"/>
              <w:spacing w:line="250" w:lineRule="atLeast"/>
              <w:rPr>
                <w:highlight w:val="yellow"/>
              </w:rPr>
            </w:pPr>
            <w:r w:rsidRPr="00F86FF1">
              <w:fldChar w:fldCharType="begin" w:fldLock="1"/>
            </w:r>
            <w:r w:rsidRPr="00F86FF1">
              <w:instrText xml:space="preserve"> REF _ASICRef279 \w \h </w:instrText>
            </w:r>
            <w:r w:rsidR="00F86FF1">
              <w:instrText xml:space="preserve"> \* MERGEFORMAT </w:instrText>
            </w:r>
            <w:r w:rsidRPr="00F86FF1">
              <w:fldChar w:fldCharType="separate"/>
            </w:r>
            <w:r w:rsidR="00853A2A">
              <w:t>48</w:t>
            </w:r>
            <w:r w:rsidRPr="00F86FF1">
              <w:fldChar w:fldCharType="end"/>
            </w:r>
            <w:r w:rsidRPr="00F86FF1">
              <w:t>–</w:t>
            </w:r>
            <w:r w:rsidRPr="00F86FF1">
              <w:fldChar w:fldCharType="begin" w:fldLock="1"/>
            </w:r>
            <w:r w:rsidRPr="00F86FF1">
              <w:instrText xml:space="preserve"> REF _ASICRef829 \w \h </w:instrText>
            </w:r>
            <w:r w:rsidR="00F86FF1">
              <w:instrText xml:space="preserve"> \* MERGEFORMAT </w:instrText>
            </w:r>
            <w:r w:rsidRPr="00F86FF1">
              <w:fldChar w:fldCharType="separate"/>
            </w:r>
            <w:r w:rsidR="00853A2A">
              <w:t>53</w:t>
            </w:r>
            <w:r w:rsidRPr="00F86FF1">
              <w:fldChar w:fldCharType="end"/>
            </w:r>
          </w:p>
        </w:tc>
      </w:tr>
      <w:tr w:rsidR="00E06383" w:rsidRPr="000540E1" w14:paraId="38E8CC24" w14:textId="77777777" w:rsidTr="00C54AA7">
        <w:trPr>
          <w:cantSplit/>
        </w:trPr>
        <w:tc>
          <w:tcPr>
            <w:tcW w:w="1042" w:type="pct"/>
          </w:tcPr>
          <w:p w14:paraId="1A2BFB16" w14:textId="24B89B1E" w:rsidR="00E06383" w:rsidRPr="000540E1" w:rsidRDefault="00412C43" w:rsidP="0079758F">
            <w:pPr>
              <w:pStyle w:val="tbltext"/>
              <w:spacing w:line="250" w:lineRule="atLeast"/>
            </w:pPr>
            <w:r>
              <w:t>2.2.9</w:t>
            </w:r>
            <w:r w:rsidR="00E06383">
              <w:t>(2)</w:t>
            </w:r>
          </w:p>
        </w:tc>
        <w:tc>
          <w:tcPr>
            <w:tcW w:w="2292" w:type="pct"/>
          </w:tcPr>
          <w:p w14:paraId="244C307E" w14:textId="77777777" w:rsidR="00E06383" w:rsidRPr="000540E1" w:rsidRDefault="00E06383" w:rsidP="0079758F">
            <w:pPr>
              <w:pStyle w:val="tbltext"/>
              <w:spacing w:line="250" w:lineRule="atLeast"/>
            </w:pPr>
            <w:r>
              <w:t>Persons dealing on behalf of a responsible entity or trustee</w:t>
            </w:r>
          </w:p>
        </w:tc>
        <w:tc>
          <w:tcPr>
            <w:tcW w:w="1666" w:type="pct"/>
          </w:tcPr>
          <w:p w14:paraId="19ED1FC7" w14:textId="01DC5A35" w:rsidR="00E06383" w:rsidRPr="00DB798B" w:rsidRDefault="00E06383" w:rsidP="0079758F">
            <w:pPr>
              <w:pStyle w:val="tbltext"/>
              <w:spacing w:line="250" w:lineRule="atLeast"/>
              <w:rPr>
                <w:highlight w:val="yellow"/>
              </w:rPr>
            </w:pPr>
            <w:r w:rsidRPr="00F86FF1">
              <w:fldChar w:fldCharType="begin" w:fldLock="1"/>
            </w:r>
            <w:r w:rsidRPr="00F86FF1">
              <w:instrText xml:space="preserve"> REF _ASICRef284 \w \h </w:instrText>
            </w:r>
            <w:r w:rsidR="00F86FF1">
              <w:instrText xml:space="preserve"> \* MERGEFORMAT </w:instrText>
            </w:r>
            <w:r w:rsidRPr="00F86FF1">
              <w:fldChar w:fldCharType="separate"/>
            </w:r>
            <w:r w:rsidR="00853A2A">
              <w:t>191</w:t>
            </w:r>
            <w:r w:rsidRPr="00F86FF1">
              <w:fldChar w:fldCharType="end"/>
            </w:r>
            <w:r w:rsidRPr="00F86FF1">
              <w:t>–</w:t>
            </w:r>
            <w:r w:rsidRPr="00F86FF1">
              <w:fldChar w:fldCharType="begin" w:fldLock="1"/>
            </w:r>
            <w:r w:rsidRPr="00F86FF1">
              <w:instrText xml:space="preserve"> REF _ASICRef295 \w \h </w:instrText>
            </w:r>
            <w:r w:rsidR="00F86FF1">
              <w:instrText xml:space="preserve"> \* MERGEFORMAT </w:instrText>
            </w:r>
            <w:r w:rsidRPr="00F86FF1">
              <w:fldChar w:fldCharType="separate"/>
            </w:r>
            <w:r w:rsidR="00853A2A">
              <w:t>192</w:t>
            </w:r>
            <w:r w:rsidRPr="00F86FF1">
              <w:fldChar w:fldCharType="end"/>
            </w:r>
          </w:p>
        </w:tc>
      </w:tr>
      <w:tr w:rsidR="00E06383" w:rsidRPr="000540E1" w14:paraId="5C8D5622" w14:textId="77777777" w:rsidTr="00C54AA7">
        <w:trPr>
          <w:cantSplit/>
        </w:trPr>
        <w:tc>
          <w:tcPr>
            <w:tcW w:w="1042" w:type="pct"/>
          </w:tcPr>
          <w:p w14:paraId="55EC596B" w14:textId="407CC8E1" w:rsidR="00E06383" w:rsidRPr="000540E1" w:rsidRDefault="00412C43" w:rsidP="0079758F">
            <w:pPr>
              <w:pStyle w:val="tbltext"/>
              <w:spacing w:line="250" w:lineRule="atLeast"/>
            </w:pPr>
            <w:r>
              <w:t>2.2.9</w:t>
            </w:r>
            <w:r w:rsidR="00E06383">
              <w:t>(3)</w:t>
            </w:r>
          </w:p>
        </w:tc>
        <w:tc>
          <w:tcPr>
            <w:tcW w:w="2292" w:type="pct"/>
          </w:tcPr>
          <w:p w14:paraId="672F3DA1" w14:textId="77777777" w:rsidR="00E06383" w:rsidRPr="000540E1" w:rsidRDefault="00E06383" w:rsidP="0079758F">
            <w:pPr>
              <w:pStyle w:val="tbltext"/>
              <w:spacing w:line="250" w:lineRule="atLeast"/>
            </w:pPr>
            <w:r>
              <w:t>The ASIC UTI waterfall</w:t>
            </w:r>
          </w:p>
        </w:tc>
        <w:tc>
          <w:tcPr>
            <w:tcW w:w="1666" w:type="pct"/>
          </w:tcPr>
          <w:p w14:paraId="1A5C2893" w14:textId="2D6D2A62" w:rsidR="00E06383" w:rsidRPr="00DB798B" w:rsidRDefault="00F86FF1" w:rsidP="0079758F">
            <w:pPr>
              <w:pStyle w:val="tbltext"/>
              <w:spacing w:line="250" w:lineRule="atLeast"/>
              <w:rPr>
                <w:highlight w:val="yellow"/>
              </w:rPr>
            </w:pPr>
            <w:r w:rsidRPr="00F86FF1">
              <w:fldChar w:fldCharType="begin" w:fldLock="1"/>
            </w:r>
            <w:r w:rsidRPr="00F86FF1">
              <w:instrText xml:space="preserve"> REF _ASICRef814 \w \h </w:instrText>
            </w:r>
            <w:r>
              <w:instrText xml:space="preserve"> \* MERGEFORMAT </w:instrText>
            </w:r>
            <w:r w:rsidRPr="00F86FF1">
              <w:fldChar w:fldCharType="separate"/>
            </w:r>
            <w:r w:rsidR="00853A2A">
              <w:t>54</w:t>
            </w:r>
            <w:r w:rsidRPr="00F86FF1">
              <w:fldChar w:fldCharType="end"/>
            </w:r>
            <w:r w:rsidRPr="00F86FF1">
              <w:t>–</w:t>
            </w:r>
            <w:r w:rsidRPr="00F86FF1">
              <w:fldChar w:fldCharType="begin" w:fldLock="1"/>
            </w:r>
            <w:r w:rsidRPr="00F86FF1">
              <w:instrText xml:space="preserve"> REF _ASICRef592 \w \h </w:instrText>
            </w:r>
            <w:r>
              <w:instrText xml:space="preserve"> \* MERGEFORMAT </w:instrText>
            </w:r>
            <w:r w:rsidRPr="00F86FF1">
              <w:fldChar w:fldCharType="separate"/>
            </w:r>
            <w:r w:rsidR="00853A2A">
              <w:t>175</w:t>
            </w:r>
            <w:r w:rsidRPr="00F86FF1">
              <w:fldChar w:fldCharType="end"/>
            </w:r>
          </w:p>
        </w:tc>
      </w:tr>
      <w:tr w:rsidR="00E06383" w:rsidRPr="000540E1" w14:paraId="11A8A539" w14:textId="77777777" w:rsidTr="00C54AA7">
        <w:trPr>
          <w:cantSplit/>
        </w:trPr>
        <w:tc>
          <w:tcPr>
            <w:tcW w:w="1042" w:type="pct"/>
          </w:tcPr>
          <w:p w14:paraId="352E422D" w14:textId="3FC7EDB8" w:rsidR="00E06383" w:rsidRPr="000540E1" w:rsidRDefault="00412C43" w:rsidP="0079758F">
            <w:pPr>
              <w:pStyle w:val="tbltext"/>
              <w:spacing w:line="250" w:lineRule="atLeast"/>
            </w:pPr>
            <w:r>
              <w:t>2.2.9</w:t>
            </w:r>
            <w:r w:rsidR="00E06383">
              <w:t>(4)</w:t>
            </w:r>
          </w:p>
        </w:tc>
        <w:tc>
          <w:tcPr>
            <w:tcW w:w="2292" w:type="pct"/>
          </w:tcPr>
          <w:p w14:paraId="4AAD7A6F" w14:textId="77777777" w:rsidR="00E06383" w:rsidRPr="000540E1" w:rsidRDefault="00E06383" w:rsidP="0079758F">
            <w:pPr>
              <w:pStyle w:val="tbltext"/>
              <w:spacing w:line="250" w:lineRule="atLeast"/>
            </w:pPr>
            <w:r>
              <w:t>ASIC reporting deadline for UTI purposes</w:t>
            </w:r>
          </w:p>
        </w:tc>
        <w:tc>
          <w:tcPr>
            <w:tcW w:w="1666" w:type="pct"/>
          </w:tcPr>
          <w:p w14:paraId="7C3ED61A" w14:textId="6FA74194" w:rsidR="00E06383" w:rsidRPr="00DB798B" w:rsidRDefault="00E06383" w:rsidP="0079758F">
            <w:pPr>
              <w:pStyle w:val="tbltext"/>
              <w:spacing w:line="250" w:lineRule="atLeast"/>
              <w:rPr>
                <w:highlight w:val="yellow"/>
              </w:rPr>
            </w:pPr>
            <w:r w:rsidRPr="00DE29DC">
              <w:fldChar w:fldCharType="begin" w:fldLock="1"/>
            </w:r>
            <w:r w:rsidRPr="00DE29DC">
              <w:instrText xml:space="preserve"> REF _ASICRef948 \w \h </w:instrText>
            </w:r>
            <w:r w:rsidR="00DE29DC">
              <w:instrText xml:space="preserve"> \* MERGEFORMAT </w:instrText>
            </w:r>
            <w:r w:rsidRPr="00DE29DC">
              <w:fldChar w:fldCharType="separate"/>
            </w:r>
            <w:r w:rsidR="00853A2A">
              <w:t>198</w:t>
            </w:r>
            <w:r w:rsidRPr="00DE29DC">
              <w:fldChar w:fldCharType="end"/>
            </w:r>
            <w:r w:rsidRPr="00DE29DC">
              <w:t>–</w:t>
            </w:r>
            <w:r w:rsidRPr="00DE29DC">
              <w:fldChar w:fldCharType="begin" w:fldLock="1"/>
            </w:r>
            <w:r w:rsidRPr="00DE29DC">
              <w:instrText xml:space="preserve"> REF _ASICRef979 \w \h </w:instrText>
            </w:r>
            <w:r w:rsidR="00DE29DC">
              <w:instrText xml:space="preserve"> \* MERGEFORMAT </w:instrText>
            </w:r>
            <w:r w:rsidRPr="00DE29DC">
              <w:fldChar w:fldCharType="separate"/>
            </w:r>
            <w:r w:rsidR="00853A2A">
              <w:t>203</w:t>
            </w:r>
            <w:r w:rsidRPr="00DE29DC">
              <w:fldChar w:fldCharType="end"/>
            </w:r>
          </w:p>
        </w:tc>
      </w:tr>
      <w:tr w:rsidR="00E06383" w:rsidRPr="000540E1" w14:paraId="47CB5DF8" w14:textId="77777777" w:rsidTr="00C54AA7">
        <w:trPr>
          <w:cantSplit/>
        </w:trPr>
        <w:tc>
          <w:tcPr>
            <w:tcW w:w="1042" w:type="pct"/>
          </w:tcPr>
          <w:p w14:paraId="0DD74644" w14:textId="1795A6BC" w:rsidR="00E06383" w:rsidRDefault="00412C43" w:rsidP="0079758F">
            <w:pPr>
              <w:pStyle w:val="tbltext"/>
              <w:spacing w:line="250" w:lineRule="atLeast"/>
            </w:pPr>
            <w:r>
              <w:t>2.2.9</w:t>
            </w:r>
            <w:r w:rsidR="00E06383">
              <w:t>(5)</w:t>
            </w:r>
          </w:p>
        </w:tc>
        <w:tc>
          <w:tcPr>
            <w:tcW w:w="2292" w:type="pct"/>
          </w:tcPr>
          <w:p w14:paraId="16AF47EB" w14:textId="77777777" w:rsidR="00E06383" w:rsidRDefault="00E06383" w:rsidP="0079758F">
            <w:pPr>
              <w:pStyle w:val="tbltext"/>
              <w:spacing w:line="250" w:lineRule="atLeast"/>
            </w:pPr>
            <w:r>
              <w:t>Timely provision of a UTI</w:t>
            </w:r>
          </w:p>
        </w:tc>
        <w:tc>
          <w:tcPr>
            <w:tcW w:w="1666" w:type="pct"/>
          </w:tcPr>
          <w:p w14:paraId="5D66B219" w14:textId="637F0213" w:rsidR="00E06383" w:rsidRPr="00DB798B" w:rsidRDefault="00E06383" w:rsidP="0079758F">
            <w:pPr>
              <w:pStyle w:val="tbltext"/>
              <w:spacing w:line="250" w:lineRule="atLeast"/>
              <w:rPr>
                <w:highlight w:val="yellow"/>
              </w:rPr>
            </w:pPr>
            <w:r w:rsidRPr="00F86FF1">
              <w:fldChar w:fldCharType="begin" w:fldLock="1"/>
            </w:r>
            <w:r w:rsidRPr="00F86FF1">
              <w:instrText xml:space="preserve"> REF _ASICRef401 \w \h </w:instrText>
            </w:r>
            <w:r w:rsidR="00F86FF1">
              <w:instrText xml:space="preserve"> \* MERGEFORMAT </w:instrText>
            </w:r>
            <w:r w:rsidRPr="00F86FF1">
              <w:fldChar w:fldCharType="separate"/>
            </w:r>
            <w:r w:rsidR="00853A2A">
              <w:t>189</w:t>
            </w:r>
            <w:r w:rsidRPr="00F86FF1">
              <w:fldChar w:fldCharType="end"/>
            </w:r>
            <w:r w:rsidRPr="00F86FF1">
              <w:t>–</w:t>
            </w:r>
            <w:r w:rsidRPr="00F86FF1">
              <w:fldChar w:fldCharType="begin" w:fldLock="1"/>
            </w:r>
            <w:r w:rsidRPr="00F86FF1">
              <w:instrText xml:space="preserve"> REF _ASICRef278 \w \h </w:instrText>
            </w:r>
            <w:r w:rsidR="00F86FF1">
              <w:instrText xml:space="preserve"> \* MERGEFORMAT </w:instrText>
            </w:r>
            <w:r w:rsidRPr="00F86FF1">
              <w:fldChar w:fldCharType="separate"/>
            </w:r>
            <w:r w:rsidR="00853A2A">
              <w:t>190</w:t>
            </w:r>
            <w:r w:rsidRPr="00F86FF1">
              <w:fldChar w:fldCharType="end"/>
            </w:r>
          </w:p>
        </w:tc>
      </w:tr>
      <w:tr w:rsidR="00E06383" w:rsidRPr="000540E1" w14:paraId="51829994" w14:textId="77777777" w:rsidTr="00C54AA7">
        <w:trPr>
          <w:cantSplit/>
        </w:trPr>
        <w:tc>
          <w:tcPr>
            <w:tcW w:w="1042" w:type="pct"/>
          </w:tcPr>
          <w:p w14:paraId="5FE0DAB8" w14:textId="791A103F" w:rsidR="00E06383" w:rsidRDefault="00412C43" w:rsidP="0079758F">
            <w:pPr>
              <w:pStyle w:val="tbltext"/>
              <w:spacing w:line="250" w:lineRule="atLeast"/>
            </w:pPr>
            <w:r>
              <w:t>2.2.9</w:t>
            </w:r>
            <w:r w:rsidR="00E06383">
              <w:t>(6)</w:t>
            </w:r>
          </w:p>
        </w:tc>
        <w:tc>
          <w:tcPr>
            <w:tcW w:w="2292" w:type="pct"/>
          </w:tcPr>
          <w:p w14:paraId="5033A6B3" w14:textId="77777777" w:rsidR="00E06383" w:rsidRDefault="00E06383" w:rsidP="0079758F">
            <w:pPr>
              <w:pStyle w:val="tbltext"/>
              <w:spacing w:line="250" w:lineRule="atLeast"/>
            </w:pPr>
            <w:r>
              <w:t>Non-receipt of a UTI</w:t>
            </w:r>
          </w:p>
        </w:tc>
        <w:tc>
          <w:tcPr>
            <w:tcW w:w="1666" w:type="pct"/>
          </w:tcPr>
          <w:p w14:paraId="688F0368" w14:textId="3CB437E2" w:rsidR="00E06383" w:rsidRPr="00DB798B" w:rsidRDefault="00E06383" w:rsidP="0079758F">
            <w:pPr>
              <w:pStyle w:val="tbltext"/>
              <w:spacing w:line="250" w:lineRule="atLeast"/>
              <w:rPr>
                <w:highlight w:val="yellow"/>
              </w:rPr>
            </w:pPr>
            <w:r w:rsidRPr="00F86FF1">
              <w:fldChar w:fldCharType="begin" w:fldLock="1"/>
            </w:r>
            <w:r w:rsidRPr="00F86FF1">
              <w:instrText xml:space="preserve"> REF _Ref95741054 \r \h </w:instrText>
            </w:r>
            <w:r w:rsidR="00F86FF1">
              <w:instrText xml:space="preserve"> \* MERGEFORMAT </w:instrText>
            </w:r>
            <w:r w:rsidRPr="00F86FF1">
              <w:fldChar w:fldCharType="separate"/>
            </w:r>
            <w:r w:rsidR="00853A2A">
              <w:t>176</w:t>
            </w:r>
            <w:r w:rsidRPr="00F86FF1">
              <w:fldChar w:fldCharType="end"/>
            </w:r>
            <w:r w:rsidR="00412C43" w:rsidRPr="00F86FF1">
              <w:t>–</w:t>
            </w:r>
            <w:r w:rsidRPr="00F86FF1">
              <w:fldChar w:fldCharType="begin" w:fldLock="1"/>
            </w:r>
            <w:r w:rsidRPr="00F86FF1">
              <w:instrText xml:space="preserve"> REF _Ref95741068 \r \h </w:instrText>
            </w:r>
            <w:r w:rsidR="00F86FF1">
              <w:instrText xml:space="preserve"> \* MERGEFORMAT </w:instrText>
            </w:r>
            <w:r w:rsidRPr="00F86FF1">
              <w:fldChar w:fldCharType="separate"/>
            </w:r>
            <w:r w:rsidR="00853A2A">
              <w:t>188</w:t>
            </w:r>
            <w:r w:rsidRPr="00F86FF1">
              <w:fldChar w:fldCharType="end"/>
            </w:r>
          </w:p>
        </w:tc>
      </w:tr>
      <w:tr w:rsidR="00E06383" w:rsidRPr="000540E1" w14:paraId="486307DD" w14:textId="77777777" w:rsidTr="00C54AA7">
        <w:trPr>
          <w:cantSplit/>
        </w:trPr>
        <w:tc>
          <w:tcPr>
            <w:tcW w:w="1042" w:type="pct"/>
          </w:tcPr>
          <w:p w14:paraId="1A4A92B7" w14:textId="2CBD717F" w:rsidR="00E06383" w:rsidRDefault="00412C43" w:rsidP="0079758F">
            <w:pPr>
              <w:pStyle w:val="tbltext"/>
              <w:spacing w:line="250" w:lineRule="atLeast"/>
            </w:pPr>
            <w:r>
              <w:t>2.2.9</w:t>
            </w:r>
            <w:r w:rsidR="00E06383">
              <w:t xml:space="preserve">(7) </w:t>
            </w:r>
            <w:r>
              <w:t xml:space="preserve">and </w:t>
            </w:r>
            <w:r w:rsidR="00E06383">
              <w:t>(8)</w:t>
            </w:r>
          </w:p>
        </w:tc>
        <w:tc>
          <w:tcPr>
            <w:tcW w:w="2292" w:type="pct"/>
          </w:tcPr>
          <w:p w14:paraId="39EB490D" w14:textId="77777777" w:rsidR="00E06383" w:rsidRDefault="00E06383" w:rsidP="0079758F">
            <w:pPr>
              <w:pStyle w:val="tbltext"/>
              <w:spacing w:line="250" w:lineRule="atLeast"/>
            </w:pPr>
            <w:r>
              <w:t>UTI service providers and reporting entity remaining responsible</w:t>
            </w:r>
          </w:p>
        </w:tc>
        <w:tc>
          <w:tcPr>
            <w:tcW w:w="1666" w:type="pct"/>
          </w:tcPr>
          <w:p w14:paraId="125E5802" w14:textId="527C1F62" w:rsidR="00E06383" w:rsidRPr="00DB798B" w:rsidRDefault="00ED66DE" w:rsidP="0079758F">
            <w:pPr>
              <w:pStyle w:val="tbltext"/>
              <w:spacing w:line="250" w:lineRule="atLeast"/>
              <w:rPr>
                <w:highlight w:val="yellow"/>
              </w:rPr>
            </w:pPr>
            <w:r w:rsidRPr="00ED66DE">
              <w:fldChar w:fldCharType="begin" w:fldLock="1"/>
            </w:r>
            <w:r w:rsidRPr="00ED66DE">
              <w:instrText xml:space="preserve"> REF _ASICRef100 \w \h </w:instrText>
            </w:r>
            <w:r>
              <w:instrText xml:space="preserve"> \* MERGEFORMAT </w:instrText>
            </w:r>
            <w:r w:rsidRPr="00ED66DE">
              <w:fldChar w:fldCharType="separate"/>
            </w:r>
            <w:r w:rsidR="00853A2A">
              <w:t>193</w:t>
            </w:r>
            <w:r w:rsidRPr="00ED66DE">
              <w:fldChar w:fldCharType="end"/>
            </w:r>
            <w:r w:rsidRPr="00ED66DE">
              <w:t>–</w:t>
            </w:r>
            <w:r w:rsidR="00C54AA7">
              <w:fldChar w:fldCharType="begin" w:fldLock="1"/>
            </w:r>
            <w:r w:rsidR="00C54AA7">
              <w:instrText xml:space="preserve"> REF _ASICRef347 \w \h </w:instrText>
            </w:r>
            <w:r w:rsidR="00C54AA7">
              <w:fldChar w:fldCharType="separate"/>
            </w:r>
            <w:r w:rsidR="00853A2A">
              <w:t>197</w:t>
            </w:r>
            <w:r w:rsidR="00C54AA7">
              <w:fldChar w:fldCharType="end"/>
            </w:r>
          </w:p>
        </w:tc>
      </w:tr>
    </w:tbl>
    <w:p w14:paraId="1A317989" w14:textId="77777777" w:rsidR="00E06383" w:rsidRDefault="00E06383" w:rsidP="00E06383">
      <w:pPr>
        <w:pStyle w:val="Heading4"/>
      </w:pPr>
      <w:r>
        <w:t>What is a UTI?</w:t>
      </w:r>
    </w:p>
    <w:p w14:paraId="771044D9" w14:textId="1BF0C6B1" w:rsidR="00E06383" w:rsidRDefault="00E06383" w:rsidP="0079758F">
      <w:pPr>
        <w:pStyle w:val="BodyText"/>
        <w:numPr>
          <w:ilvl w:val="0"/>
          <w:numId w:val="17"/>
        </w:numPr>
        <w:spacing w:line="310" w:lineRule="atLeast"/>
      </w:pPr>
      <w:r>
        <w:t xml:space="preserve">A UTI is defined in </w:t>
      </w:r>
      <w:r w:rsidR="003B14C3">
        <w:t xml:space="preserve">Rule </w:t>
      </w:r>
      <w:r>
        <w:t xml:space="preserve">1.2.3 as </w:t>
      </w:r>
      <w:r w:rsidRPr="00A1103A">
        <w:t>a unique transaction identifier in the form specified in ISO 23897</w:t>
      </w:r>
      <w:r>
        <w:t>.</w:t>
      </w:r>
    </w:p>
    <w:p w14:paraId="462E2EFE" w14:textId="77777777" w:rsidR="00E06383" w:rsidRDefault="00E06383" w:rsidP="0079758F">
      <w:pPr>
        <w:pStyle w:val="BodyText"/>
        <w:numPr>
          <w:ilvl w:val="0"/>
          <w:numId w:val="17"/>
        </w:numPr>
        <w:spacing w:line="310" w:lineRule="atLeast"/>
      </w:pPr>
      <w:r>
        <w:t>ISO 23897 sets out that the form of a UTI is a code of up to 52 characters, where:</w:t>
      </w:r>
    </w:p>
    <w:p w14:paraId="74CDB158" w14:textId="77777777" w:rsidR="00E06383" w:rsidRDefault="00E06383" w:rsidP="0079758F">
      <w:pPr>
        <w:pStyle w:val="subparaa"/>
        <w:numPr>
          <w:ilvl w:val="1"/>
          <w:numId w:val="17"/>
        </w:numPr>
        <w:spacing w:line="310" w:lineRule="atLeast"/>
      </w:pPr>
      <w:r>
        <w:t>the first 20 characters is the LEI of the entity that generated the UTI;</w:t>
      </w:r>
    </w:p>
    <w:p w14:paraId="12196C77" w14:textId="25663E99" w:rsidR="00E06383" w:rsidRPr="00A1103A" w:rsidRDefault="00E06383" w:rsidP="0079758F">
      <w:pPr>
        <w:pStyle w:val="subparaa"/>
        <w:numPr>
          <w:ilvl w:val="1"/>
          <w:numId w:val="17"/>
        </w:numPr>
        <w:spacing w:line="310" w:lineRule="atLeast"/>
      </w:pPr>
      <w:r w:rsidRPr="00FB29D6">
        <w:t>followed by up to 32 upper-case alphanumeric characters (A to Z and 0</w:t>
      </w:r>
      <w:r w:rsidR="003B14C3">
        <w:t> </w:t>
      </w:r>
      <w:r w:rsidRPr="00FB29D6">
        <w:t>to 9 only) of a unique identifier assigned to the transaction by the UTI</w:t>
      </w:r>
      <w:r w:rsidR="008467F9">
        <w:t xml:space="preserve"> </w:t>
      </w:r>
      <w:r w:rsidRPr="00FB29D6">
        <w:t>generating entity without separators</w:t>
      </w:r>
      <w:r>
        <w:t>.</w:t>
      </w:r>
    </w:p>
    <w:p w14:paraId="7462CF7E" w14:textId="77777777" w:rsidR="00E06383" w:rsidRPr="009E2668" w:rsidRDefault="00E06383" w:rsidP="00E06383">
      <w:pPr>
        <w:pStyle w:val="Heading4"/>
      </w:pPr>
      <w:r>
        <w:t>When a UTI is required</w:t>
      </w:r>
    </w:p>
    <w:p w14:paraId="0DBF12CE" w14:textId="52A0D06C" w:rsidR="00E06383" w:rsidRDefault="00E06383" w:rsidP="00C443A0">
      <w:pPr>
        <w:pStyle w:val="BodyText"/>
        <w:numPr>
          <w:ilvl w:val="0"/>
          <w:numId w:val="17"/>
        </w:numPr>
        <w:spacing w:line="290" w:lineRule="atLeast"/>
      </w:pPr>
      <w:bookmarkStart w:id="36" w:name="_ASICRef279"/>
      <w:r>
        <w:t xml:space="preserve">Draft </w:t>
      </w:r>
      <w:r w:rsidR="003B14C3">
        <w:t>Rule 2.2.9</w:t>
      </w:r>
      <w:r>
        <w:t xml:space="preserve">(1) provides that </w:t>
      </w:r>
      <w:r w:rsidR="003B14C3">
        <w:t>R</w:t>
      </w:r>
      <w:r>
        <w:t>ule 2.2.9 applies if a reporting entity is required to report a UTI for a reportable transaction referred to in:</w:t>
      </w:r>
      <w:bookmarkEnd w:id="36"/>
    </w:p>
    <w:p w14:paraId="76413064" w14:textId="5B788512" w:rsidR="00E06383" w:rsidRDefault="00E06383" w:rsidP="00C443A0">
      <w:pPr>
        <w:pStyle w:val="subparaa"/>
        <w:numPr>
          <w:ilvl w:val="1"/>
          <w:numId w:val="17"/>
        </w:numPr>
        <w:spacing w:line="290" w:lineRule="atLeast"/>
      </w:pPr>
      <w:r>
        <w:t xml:space="preserve">draft </w:t>
      </w:r>
      <w:r w:rsidR="003B14C3">
        <w:t xml:space="preserve">Rule </w:t>
      </w:r>
      <w:r>
        <w:t>1.2.5(1)(b)(i)</w:t>
      </w:r>
      <w:r w:rsidR="003B14C3" w:rsidRPr="00877017">
        <w:t>—</w:t>
      </w:r>
      <w:r>
        <w:t>this is ‘</w:t>
      </w:r>
      <w:r w:rsidRPr="00F76596">
        <w:t>the entry into of an arrangement that is an OTC Derivative</w:t>
      </w:r>
      <w:r>
        <w:t>’;</w:t>
      </w:r>
    </w:p>
    <w:p w14:paraId="3DEA5813" w14:textId="3995DB6E" w:rsidR="00E06383" w:rsidRDefault="00E06383" w:rsidP="00C443A0">
      <w:pPr>
        <w:pStyle w:val="subparaa"/>
        <w:numPr>
          <w:ilvl w:val="1"/>
          <w:numId w:val="17"/>
        </w:numPr>
        <w:spacing w:line="290" w:lineRule="atLeast"/>
      </w:pPr>
      <w:r>
        <w:t xml:space="preserve">draft </w:t>
      </w:r>
      <w:r w:rsidR="006F1410">
        <w:t xml:space="preserve">Rule </w:t>
      </w:r>
      <w:r>
        <w:t>1.2.5(1)(b)(iii)</w:t>
      </w:r>
      <w:r w:rsidR="006F1410" w:rsidRPr="00BA10DC">
        <w:t>—</w:t>
      </w:r>
      <w:r>
        <w:t>this is ‘</w:t>
      </w:r>
      <w:r w:rsidRPr="00F76596">
        <w:t xml:space="preserve">the assignment, by a party to an arrangement that is </w:t>
      </w:r>
      <w:r w:rsidRPr="008A5D77">
        <w:t>an OTC Derivative entered into as referred to in subparagraph (i), of some or all of the party’s rights and obligations under the arrangement, where the Reporting Entity has actual knowledge of the assignment’</w:t>
      </w:r>
      <w:r w:rsidR="007724E1">
        <w:t>; or</w:t>
      </w:r>
    </w:p>
    <w:p w14:paraId="4A6E3F12" w14:textId="736BBEDB" w:rsidR="007724E1" w:rsidRPr="008A5D77" w:rsidRDefault="007724E1" w:rsidP="00C443A0">
      <w:pPr>
        <w:pStyle w:val="subparaa"/>
        <w:numPr>
          <w:ilvl w:val="1"/>
          <w:numId w:val="17"/>
        </w:numPr>
        <w:spacing w:line="290" w:lineRule="atLeast"/>
      </w:pPr>
      <w:r>
        <w:t>draft Rule 1.2.5(1)(b)(iv)</w:t>
      </w:r>
      <w:r w:rsidRPr="00BA10DC">
        <w:t>—</w:t>
      </w:r>
      <w:r>
        <w:t xml:space="preserve">this applies to the ‘final change’ to the way a Reporting Entity records an OTC Derivative in the Reporting Entity’s books and records: see </w:t>
      </w:r>
      <w:r w:rsidR="009A4082">
        <w:t xml:space="preserve">also </w:t>
      </w:r>
      <w:r>
        <w:t xml:space="preserve">paragraphs </w:t>
      </w:r>
      <w:r w:rsidR="009A4082">
        <w:fldChar w:fldCharType="begin" w:fldLock="1"/>
      </w:r>
      <w:r w:rsidR="009A4082">
        <w:instrText xml:space="preserve"> REF _ASICRef538 \w \h </w:instrText>
      </w:r>
      <w:r w:rsidR="009A4082">
        <w:fldChar w:fldCharType="separate"/>
      </w:r>
      <w:r w:rsidR="00853A2A">
        <w:t>373</w:t>
      </w:r>
      <w:r w:rsidR="009A4082">
        <w:fldChar w:fldCharType="end"/>
      </w:r>
      <w:r w:rsidR="009A4082">
        <w:t>–</w:t>
      </w:r>
      <w:r w:rsidR="009A4082">
        <w:fldChar w:fldCharType="begin" w:fldLock="1"/>
      </w:r>
      <w:r w:rsidR="009A4082">
        <w:instrText xml:space="preserve"> REF _ASICRef406 \w \h </w:instrText>
      </w:r>
      <w:r w:rsidR="009A4082">
        <w:fldChar w:fldCharType="separate"/>
      </w:r>
      <w:r w:rsidR="00853A2A">
        <w:t>377</w:t>
      </w:r>
      <w:r w:rsidR="009A4082">
        <w:fldChar w:fldCharType="end"/>
      </w:r>
      <w:r w:rsidR="009A4082">
        <w:t>,</w:t>
      </w:r>
    </w:p>
    <w:p w14:paraId="6241B288" w14:textId="6808284B" w:rsidR="00E06383" w:rsidRDefault="00E06383" w:rsidP="00877017">
      <w:pPr>
        <w:pStyle w:val="subparaa"/>
        <w:numPr>
          <w:ilvl w:val="0"/>
          <w:numId w:val="0"/>
        </w:numPr>
        <w:spacing w:line="290" w:lineRule="atLeast"/>
        <w:ind w:left="2268"/>
      </w:pPr>
      <w:r>
        <w:t xml:space="preserve">and that this is in a report made under </w:t>
      </w:r>
      <w:r w:rsidR="006F1410">
        <w:t xml:space="preserve">Rule </w:t>
      </w:r>
      <w:r>
        <w:t>2.2.1(1).</w:t>
      </w:r>
    </w:p>
    <w:p w14:paraId="0D6AFF40" w14:textId="5E7C2F00" w:rsidR="00E06383" w:rsidRPr="008A5D77" w:rsidRDefault="00E06383" w:rsidP="00C443A0">
      <w:pPr>
        <w:pStyle w:val="BodyText"/>
        <w:numPr>
          <w:ilvl w:val="0"/>
          <w:numId w:val="17"/>
        </w:numPr>
        <w:spacing w:before="220" w:line="310" w:lineRule="atLeast"/>
      </w:pPr>
      <w:r>
        <w:t xml:space="preserve">A report made under </w:t>
      </w:r>
      <w:r w:rsidR="00877017">
        <w:t xml:space="preserve">Rule </w:t>
      </w:r>
      <w:r>
        <w:t xml:space="preserve">2.2.1(1) is a report of the derivative transaction information set out in Part S1.3 of Schedule 1. In that part, a UTI is required as derivative transaction information for certain kinds of reportable transactions at </w:t>
      </w:r>
      <w:r w:rsidRPr="008A5D77">
        <w:t xml:space="preserve">item 1 of Table S1.1(1) </w:t>
      </w:r>
      <w:r w:rsidR="008A5D77">
        <w:t>‘</w:t>
      </w:r>
      <w:r w:rsidRPr="008A5D77">
        <w:t>Common data</w:t>
      </w:r>
      <w:r w:rsidR="008A5D77">
        <w:t>’</w:t>
      </w:r>
      <w:r w:rsidRPr="008A5D77">
        <w:t>.</w:t>
      </w:r>
    </w:p>
    <w:p w14:paraId="5CCEE6AE" w14:textId="2807AE69" w:rsidR="00E06383" w:rsidRDefault="00E06383" w:rsidP="00C443A0">
      <w:pPr>
        <w:pStyle w:val="BodyText"/>
        <w:numPr>
          <w:ilvl w:val="0"/>
          <w:numId w:val="17"/>
        </w:numPr>
        <w:spacing w:before="220" w:line="310" w:lineRule="atLeast"/>
      </w:pPr>
      <w:r>
        <w:t xml:space="preserve">Under the alternative reporting provisions of </w:t>
      </w:r>
      <w:r w:rsidR="00877017">
        <w:t xml:space="preserve">Rule </w:t>
      </w:r>
      <w:r>
        <w:t xml:space="preserve">2.2.1(3), certain foreign reporting entities are not required to comply with </w:t>
      </w:r>
      <w:r w:rsidR="00877017">
        <w:t xml:space="preserve">Rule </w:t>
      </w:r>
      <w:r>
        <w:t>2.2.1(1) if they report information about the reportable transaction to a prescribed repository, in compliance with the substantially equivalent alternative reporting requirements in at least one foreign jurisdiction.</w:t>
      </w:r>
    </w:p>
    <w:p w14:paraId="08749667" w14:textId="1E10B5A5" w:rsidR="00E06383" w:rsidRDefault="00E06383" w:rsidP="00C443A0">
      <w:pPr>
        <w:pStyle w:val="BodyText"/>
        <w:numPr>
          <w:ilvl w:val="0"/>
          <w:numId w:val="17"/>
        </w:numPr>
        <w:spacing w:before="220" w:line="310" w:lineRule="atLeast"/>
      </w:pPr>
      <w:r>
        <w:t xml:space="preserve">In this case, the reporting entity has not made a report under </w:t>
      </w:r>
      <w:r w:rsidR="00877017">
        <w:t xml:space="preserve">Rule </w:t>
      </w:r>
      <w:r>
        <w:t xml:space="preserve">2.2.1(1) and the UTI requirements of the alternative reporting requirements will apply, rather than the requirements of </w:t>
      </w:r>
      <w:r w:rsidR="006D40C1">
        <w:t>R</w:t>
      </w:r>
      <w:r>
        <w:t>ule 2.2.9.</w:t>
      </w:r>
    </w:p>
    <w:p w14:paraId="7BBAA430" w14:textId="029CA54C" w:rsidR="00E06383" w:rsidRDefault="00E06383" w:rsidP="00D54A49">
      <w:pPr>
        <w:pStyle w:val="Note"/>
        <w:spacing w:line="250" w:lineRule="atLeast"/>
      </w:pPr>
      <w:r>
        <w:t xml:space="preserve">Note: </w:t>
      </w:r>
      <w:r w:rsidR="006D40C1">
        <w:t>R</w:t>
      </w:r>
      <w:r>
        <w:t xml:space="preserve">ule 2.2.1(3) also provides that a reporting entity that is subject to alternative reporting requirements is not required to comply with </w:t>
      </w:r>
      <w:r w:rsidR="006D40C1">
        <w:t>R</w:t>
      </w:r>
      <w:r>
        <w:t xml:space="preserve">ule 2.2.1(1) if it is exempt </w:t>
      </w:r>
      <w:r w:rsidRPr="00AE46B3">
        <w:t xml:space="preserve">from the requirement in </w:t>
      </w:r>
      <w:r>
        <w:t xml:space="preserve">all of </w:t>
      </w:r>
      <w:r w:rsidRPr="00AE46B3">
        <w:t xml:space="preserve">the </w:t>
      </w:r>
      <w:r>
        <w:t>f</w:t>
      </w:r>
      <w:r w:rsidRPr="00AE46B3">
        <w:t xml:space="preserve">oreign </w:t>
      </w:r>
      <w:r>
        <w:t>j</w:t>
      </w:r>
      <w:r w:rsidRPr="00AE46B3">
        <w:t>urisdiction</w:t>
      </w:r>
      <w:r>
        <w:t>s</w:t>
      </w:r>
      <w:r w:rsidRPr="00AE46B3">
        <w:t xml:space="preserve"> to report information about the </w:t>
      </w:r>
      <w:r>
        <w:t>r</w:t>
      </w:r>
      <w:r w:rsidRPr="00AE46B3">
        <w:t xml:space="preserve">eportable </w:t>
      </w:r>
      <w:r>
        <w:t>t</w:t>
      </w:r>
      <w:r w:rsidRPr="00AE46B3">
        <w:t>ransaction, or there is no requirement in</w:t>
      </w:r>
      <w:r>
        <w:t xml:space="preserve"> any of</w:t>
      </w:r>
      <w:r w:rsidRPr="00AE46B3">
        <w:t xml:space="preserve"> the </w:t>
      </w:r>
      <w:r>
        <w:t>f</w:t>
      </w:r>
      <w:r w:rsidRPr="00AE46B3">
        <w:t xml:space="preserve">oreign </w:t>
      </w:r>
      <w:r>
        <w:t>j</w:t>
      </w:r>
      <w:r w:rsidRPr="00AE46B3">
        <w:t>urisdiction</w:t>
      </w:r>
      <w:r>
        <w:t>s</w:t>
      </w:r>
      <w:r w:rsidRPr="00AE46B3">
        <w:t xml:space="preserve"> to report information about the </w:t>
      </w:r>
      <w:r>
        <w:t>r</w:t>
      </w:r>
      <w:r w:rsidRPr="00AE46B3">
        <w:t xml:space="preserve">eportable </w:t>
      </w:r>
      <w:r>
        <w:t>t</w:t>
      </w:r>
      <w:r w:rsidRPr="00AE46B3">
        <w:t>ransaction</w:t>
      </w:r>
      <w:r>
        <w:t>.</w:t>
      </w:r>
    </w:p>
    <w:p w14:paraId="4239BD2C" w14:textId="0785C6D5" w:rsidR="00E06383" w:rsidRDefault="00E06383" w:rsidP="00C443A0">
      <w:pPr>
        <w:pStyle w:val="BodyText"/>
        <w:numPr>
          <w:ilvl w:val="0"/>
          <w:numId w:val="17"/>
        </w:numPr>
        <w:spacing w:before="220" w:line="310" w:lineRule="atLeast"/>
      </w:pPr>
      <w:r>
        <w:t>In relation to the kinds of reportable transactions for which a UTI is required to be reported, as we explained at paragraphs 36</w:t>
      </w:r>
      <w:r w:rsidR="0057402B">
        <w:t>–</w:t>
      </w:r>
      <w:r>
        <w:t xml:space="preserve">40 in </w:t>
      </w:r>
      <w:hyperlink r:id="rId63" w:history="1">
        <w:r w:rsidRPr="008D1314">
          <w:rPr>
            <w:rStyle w:val="Hyperlink"/>
          </w:rPr>
          <w:t>CP 334</w:t>
        </w:r>
      </w:hyperlink>
      <w:r>
        <w:t>, the UTI Guidance sets out that a new UTI should be used for the initial reports of new reportable transactions and for the replacement transaction(s) to a transaction that is terminated (e.g. due to compression, netting or a change in a counterparty) or split into different transactions.</w:t>
      </w:r>
    </w:p>
    <w:p w14:paraId="3C1B2504" w14:textId="1771BE57" w:rsidR="00E06383" w:rsidRPr="00D54A49" w:rsidRDefault="00E06383" w:rsidP="00C443A0">
      <w:pPr>
        <w:pStyle w:val="BodyText"/>
        <w:numPr>
          <w:ilvl w:val="0"/>
          <w:numId w:val="17"/>
        </w:numPr>
        <w:spacing w:before="220" w:line="310" w:lineRule="atLeast"/>
        <w:rPr>
          <w:spacing w:val="2"/>
        </w:rPr>
      </w:pPr>
      <w:bookmarkStart w:id="37" w:name="_ASICRef829"/>
      <w:r w:rsidRPr="00D54A49">
        <w:rPr>
          <w:spacing w:val="2"/>
        </w:rPr>
        <w:t xml:space="preserve">We think that draft </w:t>
      </w:r>
      <w:r w:rsidR="008B7814">
        <w:t>Rule 2.2.9(1)</w:t>
      </w:r>
      <w:r w:rsidRPr="00D54A49">
        <w:rPr>
          <w:spacing w:val="2"/>
        </w:rPr>
        <w:t xml:space="preserve"> is fully aligned with the transaction scenarios for a new UTI in the UTI Guidance. The ‘entry into’</w:t>
      </w:r>
      <w:r w:rsidR="00312FA1">
        <w:rPr>
          <w:spacing w:val="2"/>
        </w:rPr>
        <w:t xml:space="preserve"> </w:t>
      </w:r>
      <w:r w:rsidR="009A4082">
        <w:rPr>
          <w:spacing w:val="2"/>
        </w:rPr>
        <w:t>and ‘final change’</w:t>
      </w:r>
      <w:r w:rsidRPr="00D54A49">
        <w:rPr>
          <w:spacing w:val="2"/>
        </w:rPr>
        <w:t xml:space="preserve"> transaction</w:t>
      </w:r>
      <w:r w:rsidR="009A4082">
        <w:rPr>
          <w:spacing w:val="2"/>
        </w:rPr>
        <w:t>s</w:t>
      </w:r>
      <w:r w:rsidRPr="00D54A49">
        <w:rPr>
          <w:spacing w:val="2"/>
        </w:rPr>
        <w:t xml:space="preserve"> align with the new or replacement transactions in the UTI Guidance and the ‘assignment’ transaction arises when the other counterparty ‘steps-out’ and the reporting entity enters into a new transaction with a new counterparty. Where an ‘assignment’ transaction involves </w:t>
      </w:r>
      <w:r w:rsidR="00714E20" w:rsidRPr="00D54A49">
        <w:rPr>
          <w:spacing w:val="2"/>
        </w:rPr>
        <w:t xml:space="preserve">the </w:t>
      </w:r>
      <w:r w:rsidRPr="00D54A49">
        <w:rPr>
          <w:spacing w:val="2"/>
        </w:rPr>
        <w:t>reporting entity ‘stepping-out’, the reporting entity would report the termination of</w:t>
      </w:r>
      <w:r w:rsidR="007D7041">
        <w:rPr>
          <w:spacing w:val="2"/>
        </w:rPr>
        <w:t> </w:t>
      </w:r>
      <w:r w:rsidRPr="00D54A49">
        <w:rPr>
          <w:spacing w:val="2"/>
        </w:rPr>
        <w:t>the existing transaction using the UTI of that transaction and not a new</w:t>
      </w:r>
      <w:r w:rsidR="007D7041">
        <w:rPr>
          <w:spacing w:val="2"/>
        </w:rPr>
        <w:t> </w:t>
      </w:r>
      <w:r w:rsidRPr="00D54A49">
        <w:rPr>
          <w:spacing w:val="2"/>
        </w:rPr>
        <w:t>UTI.</w:t>
      </w:r>
      <w:bookmarkEnd w:id="37"/>
    </w:p>
    <w:p w14:paraId="7867D0BC" w14:textId="690FB0EA" w:rsidR="00E06383" w:rsidRDefault="00E06383" w:rsidP="00E06383">
      <w:pPr>
        <w:pStyle w:val="Heading4"/>
      </w:pPr>
      <w:r>
        <w:t xml:space="preserve">The ASIC UTI </w:t>
      </w:r>
      <w:r w:rsidR="004470AA">
        <w:t>w</w:t>
      </w:r>
      <w:r>
        <w:t>aterfall</w:t>
      </w:r>
      <w:r w:rsidR="0057402B">
        <w:rPr>
          <w:rFonts w:ascii="Calibri" w:hAnsi="Calibri"/>
        </w:rPr>
        <w:t>—</w:t>
      </w:r>
      <w:r w:rsidR="008D1314">
        <w:t>O</w:t>
      </w:r>
      <w:r>
        <w:t>verview</w:t>
      </w:r>
    </w:p>
    <w:p w14:paraId="41BFA4AC" w14:textId="7D7D577A" w:rsidR="00E06383" w:rsidRDefault="00E06383" w:rsidP="00C443A0">
      <w:pPr>
        <w:pStyle w:val="BodyText"/>
        <w:numPr>
          <w:ilvl w:val="0"/>
          <w:numId w:val="17"/>
        </w:numPr>
        <w:spacing w:before="220" w:line="310" w:lineRule="atLeast"/>
      </w:pPr>
      <w:bookmarkStart w:id="38" w:name="_ASICRef814"/>
      <w:bookmarkStart w:id="39" w:name="_ASICRef961"/>
      <w:bookmarkStart w:id="40" w:name="_ASICRef382"/>
      <w:r>
        <w:t xml:space="preserve">As with our proposals in </w:t>
      </w:r>
      <w:hyperlink r:id="rId64" w:history="1">
        <w:r w:rsidRPr="00312FA1">
          <w:rPr>
            <w:rStyle w:val="Hyperlink"/>
          </w:rPr>
          <w:t>CP 334</w:t>
        </w:r>
      </w:hyperlink>
      <w:r>
        <w:t>, we are taking an outcome</w:t>
      </w:r>
      <w:r w:rsidR="008D1314">
        <w:t>s</w:t>
      </w:r>
      <w:r>
        <w:t>-focused approach</w:t>
      </w:r>
      <w:r w:rsidR="008D1314" w:rsidRPr="00D54A49">
        <w:t>—</w:t>
      </w:r>
      <w:r w:rsidR="008D1314">
        <w:t>that is,</w:t>
      </w:r>
      <w:r w:rsidR="00141FE8">
        <w:t xml:space="preserve"> outcomes of </w:t>
      </w:r>
      <w:r>
        <w:t xml:space="preserve">a high level of same-UTI reporting by the counterparties to a transaction no matter to which jurisdiction(s) the transaction is reported. Our approach includes that the method of UTI generation is less important than </w:t>
      </w:r>
      <w:r w:rsidR="00141FE8">
        <w:t>this</w:t>
      </w:r>
      <w:r>
        <w:t xml:space="preserve"> UTI outcome.</w:t>
      </w:r>
      <w:bookmarkEnd w:id="38"/>
    </w:p>
    <w:p w14:paraId="701D355F" w14:textId="4760680F" w:rsidR="00E06383" w:rsidRDefault="00E06383" w:rsidP="00C443A0">
      <w:pPr>
        <w:pStyle w:val="BodyText"/>
        <w:numPr>
          <w:ilvl w:val="0"/>
          <w:numId w:val="17"/>
        </w:numPr>
        <w:spacing w:line="310" w:lineRule="atLeast"/>
      </w:pPr>
      <w:r w:rsidRPr="008A5D77">
        <w:t xml:space="preserve">Draft </w:t>
      </w:r>
      <w:r w:rsidR="008D1314" w:rsidRPr="008A5D77">
        <w:t xml:space="preserve">Rule </w:t>
      </w:r>
      <w:r w:rsidRPr="008A5D77">
        <w:t xml:space="preserve">2.2.9(3) sets out the ASIC UTI waterfall in </w:t>
      </w:r>
      <w:r w:rsidRPr="00552332">
        <w:t xml:space="preserve">Table 2 </w:t>
      </w:r>
      <w:r w:rsidR="008A5D77" w:rsidRPr="00552332">
        <w:t>‘</w:t>
      </w:r>
      <w:r w:rsidRPr="00552332">
        <w:t>UTI</w:t>
      </w:r>
      <w:r w:rsidR="008D1314" w:rsidRPr="00552332">
        <w:t xml:space="preserve"> </w:t>
      </w:r>
      <w:r w:rsidRPr="00552332">
        <w:t>generating entity</w:t>
      </w:r>
      <w:r w:rsidRPr="008A5D77">
        <w:t xml:space="preserve"> fo</w:t>
      </w:r>
      <w:r>
        <w:t xml:space="preserve">r specified </w:t>
      </w:r>
      <w:r w:rsidR="008A5D77">
        <w:t>R</w:t>
      </w:r>
      <w:r>
        <w:t xml:space="preserve">eportable </w:t>
      </w:r>
      <w:r w:rsidR="008A5D77">
        <w:t>T</w:t>
      </w:r>
      <w:r>
        <w:t>ransactions</w:t>
      </w:r>
      <w:r w:rsidR="008A5D77">
        <w:t>’</w:t>
      </w:r>
      <w:r>
        <w:t>. A reporting entity must determine the UTI</w:t>
      </w:r>
      <w:r w:rsidR="008467F9">
        <w:t xml:space="preserve"> </w:t>
      </w:r>
      <w:r>
        <w:t>generating entity for a reportable transaction as specified in column 3 of the table for the circumstances in column 2 that apply to the reportable transaction.</w:t>
      </w:r>
      <w:bookmarkEnd w:id="39"/>
      <w:bookmarkEnd w:id="40"/>
    </w:p>
    <w:p w14:paraId="2B956404" w14:textId="28CE0362" w:rsidR="00E06383" w:rsidRDefault="00E06383" w:rsidP="00C443A0">
      <w:pPr>
        <w:pStyle w:val="BodyText"/>
        <w:numPr>
          <w:ilvl w:val="0"/>
          <w:numId w:val="17"/>
        </w:numPr>
        <w:spacing w:line="310" w:lineRule="atLeast"/>
      </w:pPr>
      <w:r>
        <w:t>A reporting entity must take all reasonable steps to determine the UTI</w:t>
      </w:r>
      <w:r w:rsidR="008467F9">
        <w:t xml:space="preserve"> </w:t>
      </w:r>
      <w:r>
        <w:t>generating entity using the first item of Table 2 that applies to the reportable transaction. This requires reporting entities to:</w:t>
      </w:r>
    </w:p>
    <w:p w14:paraId="1D2AB383" w14:textId="77777777" w:rsidR="00E06383" w:rsidRDefault="00E06383" w:rsidP="00C443A0">
      <w:pPr>
        <w:pStyle w:val="subparaa"/>
        <w:numPr>
          <w:ilvl w:val="1"/>
          <w:numId w:val="17"/>
        </w:numPr>
        <w:spacing w:line="310" w:lineRule="atLeast"/>
      </w:pPr>
      <w:r>
        <w:t>treat Table 2 as a waterfall; and</w:t>
      </w:r>
    </w:p>
    <w:p w14:paraId="0A357C10" w14:textId="77777777" w:rsidR="00E06383" w:rsidRDefault="00E06383" w:rsidP="00C443A0">
      <w:pPr>
        <w:pStyle w:val="subparaa"/>
        <w:numPr>
          <w:ilvl w:val="1"/>
          <w:numId w:val="17"/>
        </w:numPr>
        <w:spacing w:line="310" w:lineRule="atLeast"/>
      </w:pPr>
      <w:r>
        <w:t>take all reasonable steps to give effect to the waterfall, which could include, for example:</w:t>
      </w:r>
    </w:p>
    <w:p w14:paraId="40E532A0" w14:textId="06BCA40C" w:rsidR="00E06383" w:rsidRDefault="00E06383" w:rsidP="00C443A0">
      <w:pPr>
        <w:pStyle w:val="subsubparai"/>
        <w:numPr>
          <w:ilvl w:val="2"/>
          <w:numId w:val="17"/>
        </w:numPr>
        <w:spacing w:line="310" w:lineRule="atLeast"/>
      </w:pPr>
      <w:r>
        <w:t>clarifying with international clearing facilities and financial market facilities if they will generate UTIs, and do so for all of the participants of the facility</w:t>
      </w:r>
      <w:r w:rsidR="008D1314" w:rsidRPr="00D54A49">
        <w:t>—</w:t>
      </w:r>
      <w:r>
        <w:t>see</w:t>
      </w:r>
      <w:r w:rsidR="00141FE8">
        <w:t xml:space="preserve"> </w:t>
      </w:r>
      <w:r>
        <w:t xml:space="preserve">paragraphs </w:t>
      </w:r>
      <w:r>
        <w:fldChar w:fldCharType="begin" w:fldLock="1"/>
      </w:r>
      <w:r>
        <w:instrText xml:space="preserve"> REF _ASICRef646 \w \h </w:instrText>
      </w:r>
      <w:r>
        <w:fldChar w:fldCharType="separate"/>
      </w:r>
      <w:r w:rsidR="00853A2A">
        <w:t>82</w:t>
      </w:r>
      <w:r>
        <w:fldChar w:fldCharType="end"/>
      </w:r>
      <w:r>
        <w:t>–</w:t>
      </w:r>
      <w:r>
        <w:fldChar w:fldCharType="begin" w:fldLock="1"/>
      </w:r>
      <w:r>
        <w:instrText xml:space="preserve"> REF _ASICRef410 \w \h </w:instrText>
      </w:r>
      <w:r>
        <w:fldChar w:fldCharType="separate"/>
      </w:r>
      <w:r w:rsidR="00853A2A">
        <w:t>83</w:t>
      </w:r>
      <w:r>
        <w:fldChar w:fldCharType="end"/>
      </w:r>
      <w:r>
        <w:t>;</w:t>
      </w:r>
    </w:p>
    <w:p w14:paraId="33D40289" w14:textId="6ACB9549" w:rsidR="00E06383" w:rsidRDefault="00E06383" w:rsidP="00C443A0">
      <w:pPr>
        <w:pStyle w:val="subsubparai"/>
        <w:numPr>
          <w:ilvl w:val="2"/>
          <w:numId w:val="17"/>
        </w:numPr>
        <w:spacing w:line="310" w:lineRule="atLeast"/>
      </w:pPr>
      <w:r>
        <w:t xml:space="preserve">cooperating with a counterparty to ascertain </w:t>
      </w:r>
      <w:r w:rsidRPr="00141FE8">
        <w:t xml:space="preserve">sufficient </w:t>
      </w:r>
      <w:r>
        <w:t xml:space="preserve">information to determine that a relevant transaction is also reportable in another jurisdiction </w:t>
      </w:r>
      <w:r w:rsidRPr="00141FE8">
        <w:t>and sufficient</w:t>
      </w:r>
      <w:r>
        <w:t xml:space="preserve"> information about the counterparty’s expectations for UTI generation so that a single UTI generation method can be used</w:t>
      </w:r>
      <w:r w:rsidR="0076339E" w:rsidRPr="00BA10DC">
        <w:t>—</w:t>
      </w:r>
      <w:r>
        <w:t>this does not mean that a reporting entity needs to exhaustively ascertain all the information about all the jurisdictions to which the transaction may be reportable</w:t>
      </w:r>
      <w:r w:rsidR="0076339E" w:rsidRPr="00BA10DC">
        <w:t>—</w:t>
      </w:r>
      <w:r>
        <w:t>see</w:t>
      </w:r>
      <w:r w:rsidR="00141FE8">
        <w:t xml:space="preserve"> </w:t>
      </w:r>
      <w:r>
        <w:t xml:space="preserve">paragraphs </w:t>
      </w:r>
      <w:r>
        <w:fldChar w:fldCharType="begin" w:fldLock="1"/>
      </w:r>
      <w:r>
        <w:instrText xml:space="preserve"> REF _ASICRef412 \w \h </w:instrText>
      </w:r>
      <w:r>
        <w:fldChar w:fldCharType="separate"/>
      </w:r>
      <w:r w:rsidR="00853A2A">
        <w:t>124</w:t>
      </w:r>
      <w:r>
        <w:fldChar w:fldCharType="end"/>
      </w:r>
      <w:r>
        <w:t>–</w:t>
      </w:r>
      <w:r>
        <w:fldChar w:fldCharType="begin" w:fldLock="1"/>
      </w:r>
      <w:r>
        <w:instrText xml:space="preserve"> REF _ASICRef712 \w \h </w:instrText>
      </w:r>
      <w:r>
        <w:fldChar w:fldCharType="separate"/>
      </w:r>
      <w:r w:rsidR="00853A2A">
        <w:t>128</w:t>
      </w:r>
      <w:r>
        <w:fldChar w:fldCharType="end"/>
      </w:r>
      <w:r>
        <w:t>; and</w:t>
      </w:r>
    </w:p>
    <w:p w14:paraId="67721683" w14:textId="162D6A91" w:rsidR="00E06383" w:rsidRPr="0041423D" w:rsidRDefault="00E06383" w:rsidP="00C443A0">
      <w:pPr>
        <w:pStyle w:val="subsubparai"/>
        <w:numPr>
          <w:ilvl w:val="2"/>
          <w:numId w:val="17"/>
        </w:numPr>
        <w:spacing w:line="310" w:lineRule="atLeast"/>
        <w:rPr>
          <w:color w:val="000000" w:themeColor="text1"/>
        </w:rPr>
      </w:pPr>
      <w:r w:rsidRPr="0041423D">
        <w:rPr>
          <w:color w:val="000000" w:themeColor="text1"/>
        </w:rPr>
        <w:t>in situations where there are initial indicators that more th</w:t>
      </w:r>
      <w:r w:rsidR="0076339E">
        <w:rPr>
          <w:color w:val="000000" w:themeColor="text1"/>
        </w:rPr>
        <w:t>an</w:t>
      </w:r>
      <w:r w:rsidRPr="0041423D">
        <w:rPr>
          <w:color w:val="000000" w:themeColor="text1"/>
        </w:rPr>
        <w:t xml:space="preserve"> one item of Table 2 may apply but the method for determining the UTI</w:t>
      </w:r>
      <w:r w:rsidR="008467F9">
        <w:rPr>
          <w:color w:val="000000" w:themeColor="text1"/>
        </w:rPr>
        <w:t xml:space="preserve"> </w:t>
      </w:r>
      <w:r w:rsidRPr="0041423D">
        <w:rPr>
          <w:color w:val="000000" w:themeColor="text1"/>
        </w:rPr>
        <w:t>generating entity would be the same under each of those items, that method can be used without conclusively determining the singular item of Table 2 that applies to the reportable transaction</w:t>
      </w:r>
      <w:r w:rsidR="0076339E" w:rsidRPr="00BA10DC">
        <w:t>—</w:t>
      </w:r>
      <w:r w:rsidRPr="0041423D">
        <w:rPr>
          <w:color w:val="000000" w:themeColor="text1"/>
        </w:rPr>
        <w:t>see</w:t>
      </w:r>
      <w:r w:rsidR="00141FE8">
        <w:rPr>
          <w:color w:val="000000" w:themeColor="text1"/>
        </w:rPr>
        <w:t xml:space="preserve"> </w:t>
      </w:r>
      <w:r w:rsidRPr="0041423D">
        <w:rPr>
          <w:color w:val="000000" w:themeColor="text1"/>
        </w:rPr>
        <w:t xml:space="preserve">paragraphs </w:t>
      </w:r>
      <w:r w:rsidRPr="0041423D">
        <w:rPr>
          <w:color w:val="000000" w:themeColor="text1"/>
        </w:rPr>
        <w:fldChar w:fldCharType="begin" w:fldLock="1"/>
      </w:r>
      <w:r w:rsidRPr="0041423D">
        <w:rPr>
          <w:color w:val="000000" w:themeColor="text1"/>
        </w:rPr>
        <w:instrText xml:space="preserve"> REF _ASICRef326 \w \h </w:instrText>
      </w:r>
      <w:r w:rsidRPr="0041423D">
        <w:rPr>
          <w:color w:val="000000" w:themeColor="text1"/>
        </w:rPr>
      </w:r>
      <w:r w:rsidRPr="0041423D">
        <w:rPr>
          <w:color w:val="000000" w:themeColor="text1"/>
        </w:rPr>
        <w:fldChar w:fldCharType="separate"/>
      </w:r>
      <w:r w:rsidR="00853A2A">
        <w:rPr>
          <w:color w:val="000000" w:themeColor="text1"/>
        </w:rPr>
        <w:t>95</w:t>
      </w:r>
      <w:r w:rsidRPr="0041423D">
        <w:rPr>
          <w:color w:val="000000" w:themeColor="text1"/>
        </w:rPr>
        <w:fldChar w:fldCharType="end"/>
      </w:r>
      <w:r w:rsidRPr="0041423D">
        <w:rPr>
          <w:color w:val="000000" w:themeColor="text1"/>
        </w:rPr>
        <w:t>–</w:t>
      </w:r>
      <w:r w:rsidRPr="0041423D">
        <w:rPr>
          <w:color w:val="000000" w:themeColor="text1"/>
        </w:rPr>
        <w:fldChar w:fldCharType="begin" w:fldLock="1"/>
      </w:r>
      <w:r w:rsidRPr="0041423D">
        <w:rPr>
          <w:color w:val="000000" w:themeColor="text1"/>
        </w:rPr>
        <w:instrText xml:space="preserve"> REF _ASICRef633 \w \h </w:instrText>
      </w:r>
      <w:r w:rsidRPr="0041423D">
        <w:rPr>
          <w:color w:val="000000" w:themeColor="text1"/>
        </w:rPr>
      </w:r>
      <w:r w:rsidRPr="0041423D">
        <w:rPr>
          <w:color w:val="000000" w:themeColor="text1"/>
        </w:rPr>
        <w:fldChar w:fldCharType="separate"/>
      </w:r>
      <w:r w:rsidR="00853A2A">
        <w:rPr>
          <w:color w:val="000000" w:themeColor="text1"/>
        </w:rPr>
        <w:t>99</w:t>
      </w:r>
      <w:r w:rsidRPr="0041423D">
        <w:rPr>
          <w:color w:val="000000" w:themeColor="text1"/>
        </w:rPr>
        <w:fldChar w:fldCharType="end"/>
      </w:r>
      <w:r w:rsidRPr="0041423D">
        <w:rPr>
          <w:color w:val="000000" w:themeColor="text1"/>
        </w:rPr>
        <w:t>.</w:t>
      </w:r>
    </w:p>
    <w:p w14:paraId="3FB994EE" w14:textId="77777777" w:rsidR="00853814" w:rsidRPr="00853814" w:rsidRDefault="00853814" w:rsidP="00853814">
      <w:pPr>
        <w:pStyle w:val="Bodytextplain"/>
        <w:keepNext/>
        <w:spacing w:before="0" w:line="240" w:lineRule="auto"/>
        <w:rPr>
          <w:sz w:val="4"/>
          <w:szCs w:val="4"/>
        </w:rPr>
      </w:pPr>
    </w:p>
    <w:p w14:paraId="1ED68A24" w14:textId="51A19AB9" w:rsidR="00E06383" w:rsidRDefault="00E06383" w:rsidP="00280DF9">
      <w:pPr>
        <w:pStyle w:val="BodyText"/>
        <w:numPr>
          <w:ilvl w:val="0"/>
          <w:numId w:val="17"/>
        </w:numPr>
        <w:spacing w:before="0" w:line="310" w:lineRule="atLeast"/>
      </w:pPr>
      <w:r>
        <w:t>We think that an outcomes-focused approach needs to be supported by as much clarity as possible about who should generate a UTI and by flexibilities to accommodate different UTI generation practices. It is also necessary to respect the approaches to requirements for UTI generation in other jurisdictions and that the ASIC UTI requirements do not have unintended consequences that may affect the operation of the UTI requirements in other jurisdictions.</w:t>
      </w:r>
    </w:p>
    <w:bookmarkStart w:id="41" w:name="_ASICRef226"/>
    <w:p w14:paraId="6FF037E9" w14:textId="5E4057EC" w:rsidR="00FE349D" w:rsidRPr="00D54A49" w:rsidRDefault="0076339E" w:rsidP="00C443A0">
      <w:pPr>
        <w:pStyle w:val="BodyText"/>
        <w:numPr>
          <w:ilvl w:val="0"/>
          <w:numId w:val="17"/>
        </w:numPr>
        <w:spacing w:line="310" w:lineRule="atLeast"/>
        <w:rPr>
          <w:spacing w:val="-2"/>
        </w:rPr>
      </w:pPr>
      <w:r>
        <w:rPr>
          <w:spacing w:val="-2"/>
        </w:rPr>
        <w:fldChar w:fldCharType="begin" w:fldLock="1"/>
      </w:r>
      <w:r>
        <w:rPr>
          <w:spacing w:val="-2"/>
        </w:rPr>
        <w:instrText xml:space="preserve"> REF _Ref97568127 \h </w:instrText>
      </w:r>
      <w:r>
        <w:rPr>
          <w:spacing w:val="-2"/>
        </w:rPr>
      </w:r>
      <w:r>
        <w:rPr>
          <w:spacing w:val="-2"/>
        </w:rPr>
        <w:fldChar w:fldCharType="separate"/>
      </w:r>
      <w:r w:rsidR="00853A2A">
        <w:t xml:space="preserve">Table </w:t>
      </w:r>
      <w:r w:rsidR="00853A2A">
        <w:rPr>
          <w:noProof/>
        </w:rPr>
        <w:t>6</w:t>
      </w:r>
      <w:r>
        <w:rPr>
          <w:spacing w:val="-2"/>
        </w:rPr>
        <w:fldChar w:fldCharType="end"/>
      </w:r>
      <w:r w:rsidRPr="00D54A49">
        <w:rPr>
          <w:spacing w:val="-2"/>
        </w:rPr>
        <w:t xml:space="preserve"> sets out an overview of the </w:t>
      </w:r>
      <w:r w:rsidR="00FE349D" w:rsidRPr="00D54A49">
        <w:rPr>
          <w:spacing w:val="-2"/>
        </w:rPr>
        <w:t xml:space="preserve">draft ASIC UTI waterfall in </w:t>
      </w:r>
      <w:r w:rsidRPr="00D54A49">
        <w:rPr>
          <w:spacing w:val="-2"/>
        </w:rPr>
        <w:t>R</w:t>
      </w:r>
      <w:r w:rsidR="00FE349D" w:rsidRPr="00D54A49">
        <w:rPr>
          <w:spacing w:val="-2"/>
        </w:rPr>
        <w:t>ule</w:t>
      </w:r>
      <w:r w:rsidRPr="00D54A49">
        <w:rPr>
          <w:spacing w:val="-2"/>
        </w:rPr>
        <w:t> </w:t>
      </w:r>
      <w:r w:rsidR="00FE349D" w:rsidRPr="00D54A49">
        <w:rPr>
          <w:spacing w:val="-2"/>
        </w:rPr>
        <w:t>2.2.9(3)</w:t>
      </w:r>
      <w:bookmarkEnd w:id="41"/>
      <w:r w:rsidRPr="00D54A49">
        <w:rPr>
          <w:spacing w:val="-2"/>
        </w:rPr>
        <w:t>.</w:t>
      </w:r>
    </w:p>
    <w:p w14:paraId="6D9DDB6E" w14:textId="6B960F54" w:rsidR="00FE349D" w:rsidRDefault="00FE349D" w:rsidP="00FE349D">
      <w:pPr>
        <w:pStyle w:val="tabletitlefullwidth"/>
      </w:pPr>
      <w:bookmarkStart w:id="42" w:name="_Ref97568127"/>
      <w:r>
        <w:t xml:space="preserve">Table </w:t>
      </w:r>
      <w:fldSimple w:instr=" SEQ Table \* ARABIC ">
        <w:r w:rsidR="006679BA">
          <w:rPr>
            <w:noProof/>
          </w:rPr>
          <w:t>6</w:t>
        </w:r>
      </w:fldSimple>
      <w:bookmarkEnd w:id="42"/>
      <w:r>
        <w:t>:</w:t>
      </w:r>
      <w:r>
        <w:tab/>
        <w:t xml:space="preserve">Overview of Table 2 of </w:t>
      </w:r>
      <w:r w:rsidR="00412C43">
        <w:t>R</w:t>
      </w:r>
      <w:r>
        <w:t>ule 2.2.9(3)</w:t>
      </w:r>
    </w:p>
    <w:tbl>
      <w:tblPr>
        <w:tblW w:w="5014"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798"/>
        <w:gridCol w:w="2765"/>
        <w:gridCol w:w="2767"/>
        <w:gridCol w:w="2765"/>
      </w:tblGrid>
      <w:tr w:rsidR="00FE349D" w:rsidRPr="000540E1" w14:paraId="5399171B" w14:textId="77777777" w:rsidTr="00D54A49">
        <w:trPr>
          <w:cantSplit/>
          <w:tblHeader/>
        </w:trPr>
        <w:tc>
          <w:tcPr>
            <w:tcW w:w="439" w:type="pct"/>
            <w:shd w:val="clear" w:color="auto" w:fill="C2E3FA"/>
          </w:tcPr>
          <w:p w14:paraId="5BF7F97B" w14:textId="77777777" w:rsidR="00FE349D" w:rsidRDefault="00FE349D" w:rsidP="00976B69">
            <w:pPr>
              <w:pStyle w:val="tablehead"/>
            </w:pPr>
            <w:bookmarkStart w:id="43" w:name="_Hlk99958812"/>
            <w:r>
              <w:t>1. Item</w:t>
            </w:r>
          </w:p>
        </w:tc>
        <w:tc>
          <w:tcPr>
            <w:tcW w:w="1520" w:type="pct"/>
            <w:shd w:val="clear" w:color="auto" w:fill="C2E3FA"/>
          </w:tcPr>
          <w:p w14:paraId="532ABA86" w14:textId="49B162F4" w:rsidR="00FE349D" w:rsidRPr="000540E1" w:rsidRDefault="00FE349D" w:rsidP="00976B69">
            <w:pPr>
              <w:pStyle w:val="tablehead"/>
            </w:pPr>
            <w:r>
              <w:t xml:space="preserve">2. Reportable </w:t>
            </w:r>
            <w:r w:rsidR="0076339E">
              <w:t>transaction</w:t>
            </w:r>
          </w:p>
        </w:tc>
        <w:tc>
          <w:tcPr>
            <w:tcW w:w="1521" w:type="pct"/>
            <w:shd w:val="clear" w:color="auto" w:fill="C2E3FA"/>
          </w:tcPr>
          <w:p w14:paraId="29429487" w14:textId="519C72CC" w:rsidR="00FE349D" w:rsidRPr="000540E1" w:rsidRDefault="00FE349D" w:rsidP="00976B69">
            <w:pPr>
              <w:pStyle w:val="tablehead"/>
            </w:pPr>
            <w:r>
              <w:t>3. UTI generating entity</w:t>
            </w:r>
          </w:p>
        </w:tc>
        <w:tc>
          <w:tcPr>
            <w:tcW w:w="1521" w:type="pct"/>
            <w:shd w:val="clear" w:color="auto" w:fill="C2E3FA"/>
          </w:tcPr>
          <w:p w14:paraId="7A48BD74" w14:textId="77777777" w:rsidR="00FE349D" w:rsidRDefault="00FE349D" w:rsidP="00976B69">
            <w:pPr>
              <w:pStyle w:val="tablehead"/>
            </w:pPr>
            <w:r>
              <w:t>Note</w:t>
            </w:r>
          </w:p>
        </w:tc>
      </w:tr>
      <w:tr w:rsidR="00FE349D" w:rsidRPr="000540E1" w14:paraId="1AE71DCA" w14:textId="77777777" w:rsidTr="00D54A49">
        <w:trPr>
          <w:cantSplit/>
        </w:trPr>
        <w:tc>
          <w:tcPr>
            <w:tcW w:w="439" w:type="pct"/>
          </w:tcPr>
          <w:p w14:paraId="33184C56" w14:textId="77777777" w:rsidR="00FE349D" w:rsidRPr="000540E1" w:rsidRDefault="00FE349D" w:rsidP="00976B69">
            <w:pPr>
              <w:pStyle w:val="tbltext"/>
            </w:pPr>
            <w:r>
              <w:t>1</w:t>
            </w:r>
          </w:p>
        </w:tc>
        <w:tc>
          <w:tcPr>
            <w:tcW w:w="1520" w:type="pct"/>
          </w:tcPr>
          <w:p w14:paraId="46355DCD" w14:textId="77777777" w:rsidR="00FE349D" w:rsidRPr="000540E1" w:rsidRDefault="00FE349D" w:rsidP="00976B69">
            <w:pPr>
              <w:pStyle w:val="tbltext"/>
            </w:pPr>
            <w:r>
              <w:t>Authorised clearing facility is a counterparty</w:t>
            </w:r>
          </w:p>
        </w:tc>
        <w:tc>
          <w:tcPr>
            <w:tcW w:w="1521" w:type="pct"/>
          </w:tcPr>
          <w:p w14:paraId="085C6428" w14:textId="77777777" w:rsidR="00FE349D" w:rsidRPr="000540E1" w:rsidRDefault="00FE349D" w:rsidP="00976B69">
            <w:pPr>
              <w:pStyle w:val="tbltext"/>
            </w:pPr>
            <w:r>
              <w:t>The operator of the authorised clearing facility</w:t>
            </w:r>
          </w:p>
        </w:tc>
        <w:tc>
          <w:tcPr>
            <w:tcW w:w="1521" w:type="pct"/>
          </w:tcPr>
          <w:p w14:paraId="5B7B0E79" w14:textId="77777777" w:rsidR="00FE349D" w:rsidRDefault="00FE349D" w:rsidP="00976B69">
            <w:pPr>
              <w:pStyle w:val="tbltext"/>
            </w:pPr>
            <w:r>
              <w:t>As proposed in CP 334</w:t>
            </w:r>
          </w:p>
        </w:tc>
      </w:tr>
      <w:tr w:rsidR="00FE349D" w:rsidRPr="000540E1" w14:paraId="1AEB0FE6" w14:textId="77777777" w:rsidTr="00D54A49">
        <w:trPr>
          <w:cantSplit/>
        </w:trPr>
        <w:tc>
          <w:tcPr>
            <w:tcW w:w="439" w:type="pct"/>
          </w:tcPr>
          <w:p w14:paraId="2F6E7C17" w14:textId="77777777" w:rsidR="00FE349D" w:rsidRDefault="00FE349D" w:rsidP="00976B69">
            <w:pPr>
              <w:pStyle w:val="tbltext"/>
            </w:pPr>
            <w:r>
              <w:t>2</w:t>
            </w:r>
          </w:p>
        </w:tc>
        <w:tc>
          <w:tcPr>
            <w:tcW w:w="1520" w:type="pct"/>
          </w:tcPr>
          <w:p w14:paraId="3C9B508D" w14:textId="77777777" w:rsidR="00FE349D" w:rsidRPr="00976B69" w:rsidRDefault="00FE349D" w:rsidP="00D54A49">
            <w:pPr>
              <w:pStyle w:val="tbltext"/>
            </w:pPr>
            <w:r w:rsidRPr="00976B69">
              <w:t>Clearing member is a counterparty</w:t>
            </w:r>
          </w:p>
        </w:tc>
        <w:tc>
          <w:tcPr>
            <w:tcW w:w="1521" w:type="pct"/>
          </w:tcPr>
          <w:p w14:paraId="2D6E1507" w14:textId="77777777" w:rsidR="00FE349D" w:rsidRDefault="00FE349D" w:rsidP="00976B69">
            <w:pPr>
              <w:pStyle w:val="tbltext"/>
            </w:pPr>
            <w:r>
              <w:t>The clearing member</w:t>
            </w:r>
          </w:p>
        </w:tc>
        <w:tc>
          <w:tcPr>
            <w:tcW w:w="1521" w:type="pct"/>
          </w:tcPr>
          <w:p w14:paraId="73298548" w14:textId="77777777" w:rsidR="00FE349D" w:rsidRDefault="00FE349D" w:rsidP="00976B69">
            <w:pPr>
              <w:pStyle w:val="tbltext"/>
            </w:pPr>
            <w:r>
              <w:t>As proposed in CP 334</w:t>
            </w:r>
          </w:p>
        </w:tc>
      </w:tr>
      <w:tr w:rsidR="00FE349D" w:rsidRPr="000540E1" w14:paraId="2DC78B3B" w14:textId="77777777" w:rsidTr="00D54A49">
        <w:trPr>
          <w:cantSplit/>
        </w:trPr>
        <w:tc>
          <w:tcPr>
            <w:tcW w:w="439" w:type="pct"/>
            <w:tcBorders>
              <w:bottom w:val="single" w:sz="4" w:space="0" w:color="999999"/>
            </w:tcBorders>
          </w:tcPr>
          <w:p w14:paraId="46CD9E08" w14:textId="77777777" w:rsidR="00FE349D" w:rsidRDefault="00FE349D" w:rsidP="00976B69">
            <w:pPr>
              <w:pStyle w:val="tbltext"/>
            </w:pPr>
            <w:r>
              <w:t>3</w:t>
            </w:r>
          </w:p>
        </w:tc>
        <w:tc>
          <w:tcPr>
            <w:tcW w:w="1520" w:type="pct"/>
            <w:tcBorders>
              <w:bottom w:val="single" w:sz="4" w:space="0" w:color="999999"/>
            </w:tcBorders>
          </w:tcPr>
          <w:p w14:paraId="59346A94" w14:textId="77777777" w:rsidR="00FE349D" w:rsidRDefault="00FE349D" w:rsidP="00976B69">
            <w:pPr>
              <w:pStyle w:val="tbltext"/>
              <w:ind w:left="425" w:hanging="425"/>
            </w:pPr>
            <w:r>
              <w:t>Executed on a facility</w:t>
            </w:r>
          </w:p>
        </w:tc>
        <w:tc>
          <w:tcPr>
            <w:tcW w:w="1521" w:type="pct"/>
            <w:tcBorders>
              <w:bottom w:val="single" w:sz="4" w:space="0" w:color="999999"/>
            </w:tcBorders>
          </w:tcPr>
          <w:p w14:paraId="4AE98928" w14:textId="77777777" w:rsidR="00FE349D" w:rsidRDefault="00FE349D" w:rsidP="00976B69">
            <w:pPr>
              <w:pStyle w:val="tbltext"/>
            </w:pPr>
            <w:r>
              <w:t>The operator of the execution facility</w:t>
            </w:r>
          </w:p>
        </w:tc>
        <w:tc>
          <w:tcPr>
            <w:tcW w:w="1521" w:type="pct"/>
            <w:tcBorders>
              <w:bottom w:val="single" w:sz="4" w:space="0" w:color="999999"/>
            </w:tcBorders>
          </w:tcPr>
          <w:p w14:paraId="7C3F91C1" w14:textId="77777777" w:rsidR="00FE349D" w:rsidRDefault="00FE349D" w:rsidP="00976B69">
            <w:pPr>
              <w:pStyle w:val="tbltext"/>
            </w:pPr>
            <w:r>
              <w:t>As proposed in CP 334</w:t>
            </w:r>
          </w:p>
        </w:tc>
      </w:tr>
      <w:tr w:rsidR="0076339E" w:rsidRPr="000540E1" w14:paraId="755215F3" w14:textId="77777777" w:rsidTr="00B46E37">
        <w:trPr>
          <w:cantSplit/>
        </w:trPr>
        <w:tc>
          <w:tcPr>
            <w:tcW w:w="439" w:type="pct"/>
          </w:tcPr>
          <w:p w14:paraId="5B35227C" w14:textId="77777777" w:rsidR="0076339E" w:rsidRDefault="0076339E" w:rsidP="00976B69">
            <w:pPr>
              <w:pStyle w:val="tbltext"/>
            </w:pPr>
            <w:r>
              <w:t>4</w:t>
            </w:r>
          </w:p>
        </w:tc>
        <w:tc>
          <w:tcPr>
            <w:tcW w:w="1520" w:type="pct"/>
          </w:tcPr>
          <w:p w14:paraId="2078D6E6" w14:textId="77777777" w:rsidR="0076339E" w:rsidRDefault="0076339E" w:rsidP="00976B69">
            <w:pPr>
              <w:pStyle w:val="tbltext"/>
              <w:ind w:left="425" w:hanging="425"/>
            </w:pPr>
            <w:r>
              <w:t>Single-jurisdictional transaction</w:t>
            </w:r>
          </w:p>
        </w:tc>
        <w:tc>
          <w:tcPr>
            <w:tcW w:w="1521" w:type="pct"/>
          </w:tcPr>
          <w:p w14:paraId="2C4C0AF5" w14:textId="77777777" w:rsidR="0076339E" w:rsidRDefault="0076339E" w:rsidP="00976B69">
            <w:pPr>
              <w:pStyle w:val="tbltext"/>
            </w:pPr>
            <w:r>
              <w:t>The operator of the affirmation or confirmation platform</w:t>
            </w:r>
          </w:p>
          <w:p w14:paraId="7C4D27FA" w14:textId="77777777" w:rsidR="0076339E" w:rsidRDefault="0076339E" w:rsidP="00976B69">
            <w:pPr>
              <w:pStyle w:val="tbltext"/>
            </w:pPr>
            <w:r>
              <w:t>The sole reporting entity</w:t>
            </w:r>
          </w:p>
          <w:p w14:paraId="0BC65727" w14:textId="352E08AD" w:rsidR="007D7041" w:rsidRDefault="0076339E" w:rsidP="00D54A49">
            <w:pPr>
              <w:pStyle w:val="tbltext"/>
            </w:pPr>
            <w:r>
              <w:t>The entity by bilateral agreement</w:t>
            </w:r>
          </w:p>
          <w:p w14:paraId="56D905F4" w14:textId="6D55B324" w:rsidR="0076339E" w:rsidRDefault="0076339E" w:rsidP="00976B69">
            <w:pPr>
              <w:pStyle w:val="tbltext"/>
            </w:pPr>
            <w:r>
              <w:t>The entity by reverse LEI sorting</w:t>
            </w:r>
          </w:p>
        </w:tc>
        <w:tc>
          <w:tcPr>
            <w:tcW w:w="1521" w:type="pct"/>
          </w:tcPr>
          <w:p w14:paraId="67A29E59" w14:textId="77777777" w:rsidR="0076339E" w:rsidRDefault="0076339E" w:rsidP="00976B69">
            <w:pPr>
              <w:pStyle w:val="tbltext"/>
            </w:pPr>
            <w:r>
              <w:t>As proposed in CP 334</w:t>
            </w:r>
          </w:p>
          <w:p w14:paraId="64A1A814" w14:textId="3E595C38" w:rsidR="0076339E" w:rsidRDefault="007D7041" w:rsidP="00976B69">
            <w:pPr>
              <w:pStyle w:val="tbltext"/>
            </w:pPr>
            <w:r>
              <w:br/>
            </w:r>
            <w:r w:rsidR="0076339E">
              <w:t>As proposed in CP 334</w:t>
            </w:r>
          </w:p>
          <w:p w14:paraId="28B9E8C0" w14:textId="77777777" w:rsidR="0076339E" w:rsidRDefault="0076339E" w:rsidP="00976B69">
            <w:pPr>
              <w:pStyle w:val="tbltext"/>
            </w:pPr>
            <w:r>
              <w:t>As noted in CP 334 as Option 2 of the ESMA proposals</w:t>
            </w:r>
          </w:p>
          <w:p w14:paraId="5EC637A8" w14:textId="7F22CD49" w:rsidR="0076339E" w:rsidRDefault="0076339E" w:rsidP="00976B69">
            <w:pPr>
              <w:pStyle w:val="tbltext"/>
            </w:pPr>
            <w:r>
              <w:t>As noted in CP 334 as Option 2 of the ESMA proposals</w:t>
            </w:r>
          </w:p>
        </w:tc>
      </w:tr>
      <w:tr w:rsidR="00FE349D" w:rsidRPr="000540E1" w14:paraId="2C75CAF1" w14:textId="77777777" w:rsidTr="00D54A49">
        <w:trPr>
          <w:cantSplit/>
        </w:trPr>
        <w:tc>
          <w:tcPr>
            <w:tcW w:w="439" w:type="pct"/>
            <w:tcBorders>
              <w:bottom w:val="single" w:sz="4" w:space="0" w:color="999999"/>
            </w:tcBorders>
          </w:tcPr>
          <w:p w14:paraId="53173B52" w14:textId="77777777" w:rsidR="00FE349D" w:rsidRDefault="00FE349D" w:rsidP="00976B69">
            <w:pPr>
              <w:pStyle w:val="tbltext"/>
            </w:pPr>
            <w:bookmarkStart w:id="44" w:name="_Hlk90051329"/>
            <w:r>
              <w:t>5</w:t>
            </w:r>
          </w:p>
        </w:tc>
        <w:tc>
          <w:tcPr>
            <w:tcW w:w="1520" w:type="pct"/>
            <w:tcBorders>
              <w:bottom w:val="single" w:sz="4" w:space="0" w:color="999999"/>
            </w:tcBorders>
          </w:tcPr>
          <w:p w14:paraId="3D4BA822" w14:textId="420FAD1D" w:rsidR="00FE349D" w:rsidRPr="0076339E" w:rsidRDefault="00FE349D" w:rsidP="00D54A49">
            <w:pPr>
              <w:pStyle w:val="tbltext"/>
            </w:pPr>
            <w:r w:rsidRPr="0076339E">
              <w:t xml:space="preserve">Cross-jurisdictional transaction </w:t>
            </w:r>
            <w:r w:rsidR="00976B69" w:rsidRPr="00BA10DC">
              <w:t>—</w:t>
            </w:r>
            <w:r w:rsidRPr="0076339E">
              <w:t>determination of the jurisdiction with the earliest reporting deadline is not required</w:t>
            </w:r>
          </w:p>
        </w:tc>
        <w:tc>
          <w:tcPr>
            <w:tcW w:w="1521" w:type="pct"/>
            <w:tcBorders>
              <w:bottom w:val="single" w:sz="4" w:space="0" w:color="999999"/>
            </w:tcBorders>
          </w:tcPr>
          <w:p w14:paraId="1A7DF70C" w14:textId="6E710A53" w:rsidR="00FE349D" w:rsidRDefault="00FE349D" w:rsidP="00976B69">
            <w:pPr>
              <w:pStyle w:val="tbltext"/>
            </w:pPr>
            <w:r>
              <w:t xml:space="preserve">By an agreed method, in accordance with </w:t>
            </w:r>
            <w:r w:rsidR="00976B69">
              <w:t xml:space="preserve">the requirements of </w:t>
            </w:r>
            <w:r>
              <w:t xml:space="preserve">foreign jurisdiction(s) </w:t>
            </w:r>
          </w:p>
        </w:tc>
        <w:tc>
          <w:tcPr>
            <w:tcW w:w="1521" w:type="pct"/>
            <w:tcBorders>
              <w:bottom w:val="single" w:sz="4" w:space="0" w:color="999999"/>
            </w:tcBorders>
          </w:tcPr>
          <w:p w14:paraId="6D7B40E7" w14:textId="01A5F55D" w:rsidR="00FE349D" w:rsidRDefault="00FE349D" w:rsidP="00976B69">
            <w:pPr>
              <w:pStyle w:val="tbltext"/>
            </w:pPr>
            <w:r>
              <w:t>Responding to feedback to CP</w:t>
            </w:r>
            <w:r w:rsidR="007D7041">
              <w:t> </w:t>
            </w:r>
            <w:r>
              <w:t>334</w:t>
            </w:r>
          </w:p>
        </w:tc>
      </w:tr>
      <w:tr w:rsidR="0076339E" w:rsidRPr="000540E1" w14:paraId="0E094B07" w14:textId="77777777" w:rsidTr="00B46E37">
        <w:trPr>
          <w:cantSplit/>
        </w:trPr>
        <w:tc>
          <w:tcPr>
            <w:tcW w:w="439" w:type="pct"/>
          </w:tcPr>
          <w:p w14:paraId="3DF73E1E" w14:textId="77777777" w:rsidR="0076339E" w:rsidRDefault="0076339E" w:rsidP="00976B69">
            <w:pPr>
              <w:pStyle w:val="tbltext"/>
            </w:pPr>
            <w:r>
              <w:t>6/6A</w:t>
            </w:r>
          </w:p>
        </w:tc>
        <w:tc>
          <w:tcPr>
            <w:tcW w:w="1520" w:type="pct"/>
          </w:tcPr>
          <w:p w14:paraId="5116D213" w14:textId="56C290C7" w:rsidR="0076339E" w:rsidRPr="0076339E" w:rsidRDefault="0076339E" w:rsidP="00D54A49">
            <w:pPr>
              <w:pStyle w:val="tbltext"/>
            </w:pPr>
            <w:r w:rsidRPr="0076339E">
              <w:t xml:space="preserve">Cross-jurisdictional transaction </w:t>
            </w:r>
            <w:r w:rsidR="00976B69" w:rsidRPr="00BA10DC">
              <w:t>—</w:t>
            </w:r>
            <w:r w:rsidRPr="0076339E">
              <w:t>Australian jurisdiction has the earliest reporting deadline</w:t>
            </w:r>
          </w:p>
        </w:tc>
        <w:tc>
          <w:tcPr>
            <w:tcW w:w="1521" w:type="pct"/>
          </w:tcPr>
          <w:p w14:paraId="0595DD8A" w14:textId="77777777" w:rsidR="0076339E" w:rsidRDefault="0076339E" w:rsidP="00976B69">
            <w:pPr>
              <w:pStyle w:val="tbltext"/>
            </w:pPr>
            <w:r>
              <w:t>The operator of the affirmation or confirmation platform</w:t>
            </w:r>
          </w:p>
          <w:p w14:paraId="6160BC5D" w14:textId="77777777" w:rsidR="0076339E" w:rsidRDefault="0076339E" w:rsidP="00976B69">
            <w:pPr>
              <w:pStyle w:val="tbltext"/>
            </w:pPr>
            <w:r>
              <w:t>The entity by bilateral agreement</w:t>
            </w:r>
          </w:p>
          <w:p w14:paraId="7386002F" w14:textId="16897202" w:rsidR="0076339E" w:rsidRDefault="0076339E" w:rsidP="00976B69">
            <w:pPr>
              <w:pStyle w:val="tbltext"/>
            </w:pPr>
            <w:r>
              <w:t>The entity by reverse LEI sorting</w:t>
            </w:r>
          </w:p>
        </w:tc>
        <w:tc>
          <w:tcPr>
            <w:tcW w:w="1521" w:type="pct"/>
          </w:tcPr>
          <w:p w14:paraId="76623072" w14:textId="77777777" w:rsidR="0076339E" w:rsidRDefault="0076339E" w:rsidP="00976B69">
            <w:pPr>
              <w:pStyle w:val="tbltext"/>
            </w:pPr>
            <w:r>
              <w:t>As proposed in CP 334</w:t>
            </w:r>
          </w:p>
          <w:p w14:paraId="2FE987F1" w14:textId="551E601E" w:rsidR="0076339E" w:rsidRDefault="0076339E" w:rsidP="00976B69">
            <w:pPr>
              <w:pStyle w:val="tbltext"/>
            </w:pPr>
            <w:r>
              <w:br/>
              <w:t>As noted in CP 334 as Option 2 of the ESMA proposals</w:t>
            </w:r>
          </w:p>
          <w:p w14:paraId="76C210BE" w14:textId="2D110324" w:rsidR="0076339E" w:rsidRDefault="0076339E" w:rsidP="00976B69">
            <w:pPr>
              <w:pStyle w:val="tbltext"/>
            </w:pPr>
            <w:r>
              <w:t>As noted in CP 334 as Option 2 of the ESMA proposals</w:t>
            </w:r>
          </w:p>
        </w:tc>
      </w:tr>
      <w:tr w:rsidR="00FE349D" w:rsidRPr="000540E1" w14:paraId="12041196" w14:textId="77777777" w:rsidTr="00D54A49">
        <w:trPr>
          <w:cantSplit/>
        </w:trPr>
        <w:tc>
          <w:tcPr>
            <w:tcW w:w="439" w:type="pct"/>
            <w:tcBorders>
              <w:bottom w:val="single" w:sz="4" w:space="0" w:color="999999"/>
            </w:tcBorders>
          </w:tcPr>
          <w:p w14:paraId="123CBE18" w14:textId="77777777" w:rsidR="00FE349D" w:rsidRDefault="00FE349D" w:rsidP="00976B69">
            <w:pPr>
              <w:pStyle w:val="tbltext"/>
            </w:pPr>
            <w:r>
              <w:t>7</w:t>
            </w:r>
          </w:p>
        </w:tc>
        <w:tc>
          <w:tcPr>
            <w:tcW w:w="1520" w:type="pct"/>
            <w:tcBorders>
              <w:bottom w:val="single" w:sz="4" w:space="0" w:color="999999"/>
            </w:tcBorders>
          </w:tcPr>
          <w:p w14:paraId="3F556800" w14:textId="013911A4" w:rsidR="00FE349D" w:rsidRDefault="00FE349D" w:rsidP="00D54A49">
            <w:pPr>
              <w:pStyle w:val="tbltext"/>
            </w:pPr>
            <w:r>
              <w:t xml:space="preserve">Cross-jurisdictional transaction </w:t>
            </w:r>
            <w:r w:rsidR="00976B69" w:rsidRPr="00BA10DC">
              <w:t>—</w:t>
            </w:r>
            <w:r>
              <w:t>foreign jurisdiction has the earliest reporting deadline</w:t>
            </w:r>
          </w:p>
        </w:tc>
        <w:tc>
          <w:tcPr>
            <w:tcW w:w="1521" w:type="pct"/>
            <w:tcBorders>
              <w:bottom w:val="single" w:sz="4" w:space="0" w:color="999999"/>
            </w:tcBorders>
          </w:tcPr>
          <w:p w14:paraId="4A839434" w14:textId="77777777" w:rsidR="00FE349D" w:rsidRDefault="00FE349D" w:rsidP="00976B69">
            <w:pPr>
              <w:pStyle w:val="tbltext"/>
            </w:pPr>
            <w:r>
              <w:t>By the foreign jurisdiction’s requirements</w:t>
            </w:r>
          </w:p>
        </w:tc>
        <w:tc>
          <w:tcPr>
            <w:tcW w:w="1521" w:type="pct"/>
            <w:tcBorders>
              <w:bottom w:val="single" w:sz="4" w:space="0" w:color="999999"/>
            </w:tcBorders>
          </w:tcPr>
          <w:p w14:paraId="34D95E51" w14:textId="77777777" w:rsidR="00FE349D" w:rsidRDefault="00FE349D" w:rsidP="00976B69">
            <w:pPr>
              <w:pStyle w:val="tbltext"/>
            </w:pPr>
            <w:r>
              <w:t>As discussed in CP 334</w:t>
            </w:r>
          </w:p>
        </w:tc>
      </w:tr>
      <w:bookmarkEnd w:id="44"/>
      <w:tr w:rsidR="007D7041" w:rsidRPr="000540E1" w14:paraId="1308DD0A" w14:textId="77777777" w:rsidTr="00B46E37">
        <w:trPr>
          <w:cantSplit/>
        </w:trPr>
        <w:tc>
          <w:tcPr>
            <w:tcW w:w="439" w:type="pct"/>
          </w:tcPr>
          <w:p w14:paraId="412357E5" w14:textId="77777777" w:rsidR="007D7041" w:rsidRDefault="007D7041" w:rsidP="00976B69">
            <w:pPr>
              <w:pStyle w:val="tbltext"/>
            </w:pPr>
            <w:r>
              <w:t>8/8A</w:t>
            </w:r>
          </w:p>
        </w:tc>
        <w:tc>
          <w:tcPr>
            <w:tcW w:w="1520" w:type="pct"/>
          </w:tcPr>
          <w:p w14:paraId="03EFD312" w14:textId="05667C60" w:rsidR="007D7041" w:rsidRPr="00976B69" w:rsidRDefault="007D7041" w:rsidP="00D54A49">
            <w:pPr>
              <w:pStyle w:val="tbltext"/>
            </w:pPr>
            <w:r w:rsidRPr="00976B69">
              <w:t xml:space="preserve">Cross-jurisdictional transaction </w:t>
            </w:r>
            <w:r w:rsidR="00976B69" w:rsidRPr="00D54A49">
              <w:t>—</w:t>
            </w:r>
            <w:r w:rsidRPr="00976B69">
              <w:t>no jurisdiction has an earliest reporting deadline</w:t>
            </w:r>
          </w:p>
        </w:tc>
        <w:tc>
          <w:tcPr>
            <w:tcW w:w="1521" w:type="pct"/>
          </w:tcPr>
          <w:p w14:paraId="347932D5" w14:textId="47BE2067" w:rsidR="007D7041" w:rsidRDefault="007D7041" w:rsidP="00D54A49">
            <w:pPr>
              <w:pStyle w:val="tbltext"/>
            </w:pPr>
            <w:r>
              <w:t>The entity by bilateral agreement</w:t>
            </w:r>
          </w:p>
          <w:p w14:paraId="44DA049D" w14:textId="63EDF739" w:rsidR="007D7041" w:rsidRDefault="007D7041" w:rsidP="00D54A49">
            <w:pPr>
              <w:pStyle w:val="tbltext"/>
            </w:pPr>
            <w:r>
              <w:t>The operator of the affirmation or confirmation platform</w:t>
            </w:r>
          </w:p>
          <w:p w14:paraId="6657118B" w14:textId="3B324490" w:rsidR="007D7041" w:rsidRDefault="007D7041" w:rsidP="00D54A49">
            <w:pPr>
              <w:pStyle w:val="tbltext"/>
            </w:pPr>
            <w:r>
              <w:t>The operator of the Derivative Trade Repository</w:t>
            </w:r>
          </w:p>
          <w:p w14:paraId="22811C14" w14:textId="7D6D54B1" w:rsidR="007D7041" w:rsidRDefault="007D7041" w:rsidP="00976B69">
            <w:pPr>
              <w:pStyle w:val="tbltext"/>
            </w:pPr>
            <w:r>
              <w:t>The entity by reverse LEI sorting</w:t>
            </w:r>
          </w:p>
        </w:tc>
        <w:tc>
          <w:tcPr>
            <w:tcW w:w="1521" w:type="pct"/>
          </w:tcPr>
          <w:p w14:paraId="16AE4A8F" w14:textId="77777777" w:rsidR="007D7041" w:rsidRDefault="007D7041" w:rsidP="00976B69">
            <w:pPr>
              <w:pStyle w:val="tbltext"/>
            </w:pPr>
            <w:r>
              <w:t>As discussed in CP 334 and per the UTI Guidance</w:t>
            </w:r>
          </w:p>
          <w:p w14:paraId="376F09F2" w14:textId="77777777" w:rsidR="007D7041" w:rsidRDefault="007D7041" w:rsidP="00976B69">
            <w:pPr>
              <w:pStyle w:val="tbltext"/>
            </w:pPr>
            <w:r>
              <w:t>As discussed in CP 334 and per the UTI Guidance</w:t>
            </w:r>
          </w:p>
          <w:p w14:paraId="39DD6A06" w14:textId="77777777" w:rsidR="007D7041" w:rsidRDefault="007D7041" w:rsidP="00976B69">
            <w:pPr>
              <w:pStyle w:val="tbltext"/>
            </w:pPr>
            <w:r>
              <w:t>As discussed in CP 334 and per the UTI Guidance</w:t>
            </w:r>
          </w:p>
          <w:p w14:paraId="4E1EEA21" w14:textId="7E392B3D" w:rsidR="007D7041" w:rsidRDefault="007D7041" w:rsidP="00976B69">
            <w:pPr>
              <w:pStyle w:val="tbltext"/>
            </w:pPr>
            <w:r>
              <w:t>As discussed in CP 334 and per the UTI Guidance</w:t>
            </w:r>
          </w:p>
        </w:tc>
      </w:tr>
    </w:tbl>
    <w:bookmarkEnd w:id="43"/>
    <w:p w14:paraId="7773BCC3" w14:textId="3A7B6EE3" w:rsidR="00FE349D" w:rsidRDefault="00FE349D" w:rsidP="00FE349D">
      <w:pPr>
        <w:pStyle w:val="Heading4"/>
      </w:pPr>
      <w:r>
        <w:t xml:space="preserve">The ASIC UTI </w:t>
      </w:r>
      <w:r w:rsidR="004470AA">
        <w:t>w</w:t>
      </w:r>
      <w:r>
        <w:t>aterfall</w:t>
      </w:r>
      <w:r w:rsidR="00976B69">
        <w:rPr>
          <w:rFonts w:ascii="Calibri" w:hAnsi="Calibri"/>
        </w:rPr>
        <w:t>—</w:t>
      </w:r>
      <w:r w:rsidR="00976B69">
        <w:t>C</w:t>
      </w:r>
      <w:r>
        <w:t>learing facility, clearing member, execution facility</w:t>
      </w:r>
    </w:p>
    <w:p w14:paraId="2E1D832C" w14:textId="6579F1AB" w:rsidR="00FE349D" w:rsidRDefault="00FE349D" w:rsidP="00C443A0">
      <w:pPr>
        <w:pStyle w:val="BodyText"/>
        <w:numPr>
          <w:ilvl w:val="0"/>
          <w:numId w:val="17"/>
        </w:numPr>
      </w:pPr>
      <w:r>
        <w:t xml:space="preserve">Items 1, 2 and 3 of </w:t>
      </w:r>
      <w:r w:rsidRPr="005175FE">
        <w:t xml:space="preserve">Table </w:t>
      </w:r>
      <w:r w:rsidR="002507DF">
        <w:t>2</w:t>
      </w:r>
      <w:r w:rsidR="002507DF" w:rsidRPr="005175FE">
        <w:t xml:space="preserve"> </w:t>
      </w:r>
      <w:r w:rsidRPr="005175FE">
        <w:t xml:space="preserve">in draft </w:t>
      </w:r>
      <w:r w:rsidR="00976B69" w:rsidRPr="005175FE">
        <w:t>R</w:t>
      </w:r>
      <w:r w:rsidRPr="005175FE">
        <w:t>ule 2.2.9 implement</w:t>
      </w:r>
      <w:r>
        <w:t xml:space="preserve"> s</w:t>
      </w:r>
      <w:r w:rsidRPr="0018255E">
        <w:t xml:space="preserve">teps 1, 2 and 3 of the UTI Guidance </w:t>
      </w:r>
      <w:r>
        <w:t xml:space="preserve">respectively, as proposed in </w:t>
      </w:r>
      <w:hyperlink r:id="rId65" w:history="1">
        <w:r w:rsidRPr="00976B69">
          <w:rPr>
            <w:rStyle w:val="Hyperlink"/>
          </w:rPr>
          <w:t>CP 334</w:t>
        </w:r>
      </w:hyperlink>
      <w:r>
        <w:t>.</w:t>
      </w:r>
    </w:p>
    <w:p w14:paraId="3D3DEC0D" w14:textId="64BD36A6" w:rsidR="00FE349D" w:rsidRDefault="00FE349D" w:rsidP="00C443A0">
      <w:pPr>
        <w:pStyle w:val="BodyText"/>
        <w:numPr>
          <w:ilvl w:val="0"/>
          <w:numId w:val="17"/>
        </w:numPr>
      </w:pPr>
      <w:r>
        <w:t>For item 1, the UTI</w:t>
      </w:r>
      <w:r w:rsidR="008467F9">
        <w:t xml:space="preserve"> </w:t>
      </w:r>
      <w:r>
        <w:t xml:space="preserve">generating entity is the operator of the authorised clearing facility, where the operator is a counterparty to the transaction and the other counterparty is </w:t>
      </w:r>
      <w:r w:rsidR="00141FE8">
        <w:t xml:space="preserve">not </w:t>
      </w:r>
      <w:r w:rsidRPr="00514BEC">
        <w:t>an operator of an authorised clearing and settlement facility</w:t>
      </w:r>
      <w:r>
        <w:t>.</w:t>
      </w:r>
    </w:p>
    <w:p w14:paraId="0B9589FD" w14:textId="524E029F" w:rsidR="00FE349D" w:rsidRDefault="00FE349D" w:rsidP="00C443A0">
      <w:pPr>
        <w:pStyle w:val="BodyText"/>
        <w:numPr>
          <w:ilvl w:val="0"/>
          <w:numId w:val="17"/>
        </w:numPr>
      </w:pPr>
      <w:bookmarkStart w:id="45" w:name="_ASICRef589"/>
      <w:r>
        <w:t xml:space="preserve">An authorised clearing facility is defined in draft </w:t>
      </w:r>
      <w:r w:rsidR="00976B69">
        <w:t>R</w:t>
      </w:r>
      <w:r>
        <w:t xml:space="preserve">ule 1.2.3 as an authorised clearing and settlement facility, as defined under section 761A of the </w:t>
      </w:r>
      <w:r w:rsidR="00016218">
        <w:t xml:space="preserve">Corporations </w:t>
      </w:r>
      <w:r>
        <w:t>Act</w:t>
      </w:r>
      <w:r w:rsidR="00141FE8">
        <w:t>,</w:t>
      </w:r>
      <w:r>
        <w:t xml:space="preserve"> that provides clearing services, noting that:</w:t>
      </w:r>
      <w:bookmarkEnd w:id="45"/>
    </w:p>
    <w:p w14:paraId="02DB6B88" w14:textId="49E67631" w:rsidR="00FE349D" w:rsidRDefault="00FE349D" w:rsidP="00C443A0">
      <w:pPr>
        <w:pStyle w:val="subparaa"/>
        <w:numPr>
          <w:ilvl w:val="1"/>
          <w:numId w:val="17"/>
        </w:numPr>
      </w:pPr>
      <w:r>
        <w:t>an authorised clearing and settlement facility includes an Australian-licensed clearing and settlement facility and a foreign country</w:t>
      </w:r>
      <w:r w:rsidR="004457D0">
        <w:t xml:space="preserve"> </w:t>
      </w:r>
      <w:r>
        <w:t>authorised clearing and settlement facility; and</w:t>
      </w:r>
    </w:p>
    <w:p w14:paraId="36B8F1DC" w14:textId="32AA3F63" w:rsidR="00FE349D" w:rsidRDefault="00141FE8" w:rsidP="00C443A0">
      <w:pPr>
        <w:pStyle w:val="subparaa"/>
        <w:numPr>
          <w:ilvl w:val="1"/>
          <w:numId w:val="17"/>
        </w:numPr>
      </w:pPr>
      <w:r>
        <w:t xml:space="preserve">an </w:t>
      </w:r>
      <w:r w:rsidR="00FE349D">
        <w:t xml:space="preserve">authorised clearing facility only includes </w:t>
      </w:r>
      <w:r w:rsidR="00EB6F40">
        <w:t xml:space="preserve">an </w:t>
      </w:r>
      <w:r w:rsidR="00FE349D">
        <w:t>authorised clearing and settlement facility that provides a clearing service, expressed as</w:t>
      </w:r>
      <w:r w:rsidR="00016218" w:rsidRPr="00D54A49">
        <w:t>—</w:t>
      </w:r>
      <w:r w:rsidR="00FE349D">
        <w:t xml:space="preserve">drawing on the </w:t>
      </w:r>
      <w:r w:rsidR="00FE349D" w:rsidRPr="000A4612">
        <w:rPr>
          <w:i/>
          <w:iCs/>
        </w:rPr>
        <w:t>ASIC Derivative Transaction Rules (Clearing) 2015</w:t>
      </w:r>
      <w:r w:rsidR="00016218" w:rsidRPr="00BA10DC">
        <w:t>—</w:t>
      </w:r>
      <w:r w:rsidR="00FE349D">
        <w:t>a regular mechanism by which the operator becomes a counterparty to a transaction by novation or with the equivalent, or substantially equivalent, legal and economic effect as a novation.</w:t>
      </w:r>
    </w:p>
    <w:p w14:paraId="70235A44" w14:textId="29511842" w:rsidR="00FE349D" w:rsidRDefault="00FE349D" w:rsidP="00C443A0">
      <w:pPr>
        <w:pStyle w:val="BodyText"/>
        <w:numPr>
          <w:ilvl w:val="0"/>
          <w:numId w:val="17"/>
        </w:numPr>
      </w:pPr>
      <w:bookmarkStart w:id="46" w:name="_ASICRef414"/>
      <w:r>
        <w:t>The purpose of the definition of authorised clearing facility is that, for the avoidance of doubt, a facility that does not provide novation or novation-like services</w:t>
      </w:r>
      <w:r w:rsidR="00016218" w:rsidRPr="00BA10DC">
        <w:t>—</w:t>
      </w:r>
      <w:r>
        <w:t>such as a settlement-only facility</w:t>
      </w:r>
      <w:r w:rsidR="00016218" w:rsidRPr="00BA10DC">
        <w:t>—</w:t>
      </w:r>
      <w:r>
        <w:t>is not an authorised clearing facility. The operator of the authorised clearing facility must be a counterparty to a reportable transaction to be a UTI</w:t>
      </w:r>
      <w:r w:rsidR="008467F9">
        <w:t xml:space="preserve"> </w:t>
      </w:r>
      <w:r>
        <w:t>generating entity.</w:t>
      </w:r>
      <w:bookmarkEnd w:id="46"/>
    </w:p>
    <w:p w14:paraId="174ACF47" w14:textId="0CF73552" w:rsidR="00FE349D" w:rsidRDefault="00FE349D" w:rsidP="00C443A0">
      <w:pPr>
        <w:pStyle w:val="BodyText"/>
        <w:numPr>
          <w:ilvl w:val="0"/>
          <w:numId w:val="17"/>
        </w:numPr>
      </w:pPr>
      <w:r>
        <w:t>We think that this is a fit-for-purpose definition of an authorised clearing facility that recognises as potential UTI</w:t>
      </w:r>
      <w:r w:rsidR="008467F9">
        <w:t xml:space="preserve"> </w:t>
      </w:r>
      <w:r>
        <w:t>generating entities both Australian-licensed and foreign-authorised clearing facilities.</w:t>
      </w:r>
    </w:p>
    <w:p w14:paraId="2BFE91EA" w14:textId="77777777" w:rsidR="00FE349D" w:rsidRDefault="00FE349D" w:rsidP="00D210D3">
      <w:pPr>
        <w:pStyle w:val="BodyText"/>
        <w:keepLines/>
        <w:numPr>
          <w:ilvl w:val="0"/>
          <w:numId w:val="17"/>
        </w:numPr>
        <w:spacing w:line="290" w:lineRule="atLeast"/>
      </w:pPr>
      <w:r>
        <w:t xml:space="preserve">For item 2, the UTI generator is the clearing member, where the clearing member </w:t>
      </w:r>
      <w:r w:rsidRPr="00DE4E66">
        <w:t xml:space="preserve">is a counterparty to </w:t>
      </w:r>
      <w:r>
        <w:t>the</w:t>
      </w:r>
      <w:r w:rsidRPr="00DE4E66">
        <w:t xml:space="preserve"> transaction</w:t>
      </w:r>
      <w:r>
        <w:t xml:space="preserve">, </w:t>
      </w:r>
      <w:r w:rsidRPr="00DE4E66">
        <w:t xml:space="preserve">the other counterparty is </w:t>
      </w:r>
      <w:r>
        <w:t xml:space="preserve">not </w:t>
      </w:r>
      <w:r w:rsidRPr="00DE4E66">
        <w:t>an operator of an authorised clearing</w:t>
      </w:r>
      <w:r>
        <w:t xml:space="preserve"> facility</w:t>
      </w:r>
      <w:r w:rsidRPr="00DE4E66">
        <w:t xml:space="preserve"> </w:t>
      </w:r>
      <w:r>
        <w:t>and the clearing member is acting in its capacity as a clearing member.</w:t>
      </w:r>
    </w:p>
    <w:p w14:paraId="60307D8C" w14:textId="7111D109" w:rsidR="00FE349D" w:rsidRDefault="00FE349D" w:rsidP="00C443A0">
      <w:pPr>
        <w:pStyle w:val="BodyText"/>
        <w:numPr>
          <w:ilvl w:val="0"/>
          <w:numId w:val="17"/>
        </w:numPr>
        <w:spacing w:line="290" w:lineRule="atLeast"/>
      </w:pPr>
      <w:r>
        <w:t xml:space="preserve">A clearing member is defined in draft </w:t>
      </w:r>
      <w:r w:rsidR="004F671D">
        <w:t>R</w:t>
      </w:r>
      <w:r>
        <w:t>ule 1.2.3 as a person who is allowed to directly participate in an authorised clearing facility under the operating rules of the facility.</w:t>
      </w:r>
    </w:p>
    <w:p w14:paraId="3F4D3EE6" w14:textId="538D4592" w:rsidR="00FE349D" w:rsidRDefault="00FE349D" w:rsidP="00C443A0">
      <w:pPr>
        <w:pStyle w:val="BodyText"/>
        <w:numPr>
          <w:ilvl w:val="0"/>
          <w:numId w:val="17"/>
        </w:numPr>
        <w:spacing w:line="290" w:lineRule="atLeast"/>
      </w:pPr>
      <w:bookmarkStart w:id="47" w:name="_ASICRef986"/>
      <w:r>
        <w:t>We think that this is a fit-for-purpose definition of a clearing member. In current ASIC reporting, we do not identify material misidentification of clearing members.</w:t>
      </w:r>
    </w:p>
    <w:p w14:paraId="1172CBA2" w14:textId="12390D68" w:rsidR="00FE349D" w:rsidRDefault="00FE349D" w:rsidP="00C443A0">
      <w:pPr>
        <w:pStyle w:val="BodyText"/>
        <w:numPr>
          <w:ilvl w:val="0"/>
          <w:numId w:val="17"/>
        </w:numPr>
        <w:spacing w:line="290" w:lineRule="atLeast"/>
      </w:pPr>
      <w:r>
        <w:t xml:space="preserve">In </w:t>
      </w:r>
      <w:hyperlink r:id="rId66" w:history="1">
        <w:r w:rsidRPr="004F671D">
          <w:rPr>
            <w:rStyle w:val="Hyperlink"/>
          </w:rPr>
          <w:t>CP 334</w:t>
        </w:r>
      </w:hyperlink>
      <w:r>
        <w:t>, we said that clearing members currently identified in ASIC derivative transaction reporting are either ASIC reporting entities or in a jurisdiction that is expected to implement UTI rules. We expect that relevant clearing members will act as UTI</w:t>
      </w:r>
      <w:r w:rsidR="008467F9">
        <w:t xml:space="preserve"> </w:t>
      </w:r>
      <w:r>
        <w:t>generating entities once there is widespread jurisdictional implementation of UTI rules. Prior to this future state, there may be situations where clearing members do not act as UTI</w:t>
      </w:r>
      <w:r w:rsidR="008467F9">
        <w:t xml:space="preserve"> </w:t>
      </w:r>
      <w:r>
        <w:t xml:space="preserve">generating entities, and ASIC reporting entities will need to apply draft </w:t>
      </w:r>
      <w:r w:rsidR="004470AA">
        <w:t>Rule 2.2.9</w:t>
      </w:r>
      <w:r>
        <w:t>(6) where a UTI is not received from a clearing member.</w:t>
      </w:r>
    </w:p>
    <w:p w14:paraId="7BFAC3AA" w14:textId="0772CF1A" w:rsidR="00FE349D" w:rsidRDefault="00FE349D" w:rsidP="00C443A0">
      <w:pPr>
        <w:pStyle w:val="BodyText"/>
        <w:numPr>
          <w:ilvl w:val="0"/>
          <w:numId w:val="17"/>
        </w:numPr>
        <w:spacing w:line="290" w:lineRule="atLeast"/>
      </w:pPr>
      <w:r>
        <w:t>For item 3, the UTI generator is the operator of the facility through which the transaction was entered into.</w:t>
      </w:r>
      <w:bookmarkEnd w:id="47"/>
    </w:p>
    <w:p w14:paraId="5E314B57" w14:textId="131F1247" w:rsidR="00FE349D" w:rsidRDefault="00FE349D" w:rsidP="00C443A0">
      <w:pPr>
        <w:pStyle w:val="BodyText"/>
        <w:numPr>
          <w:ilvl w:val="0"/>
          <w:numId w:val="17"/>
        </w:numPr>
        <w:spacing w:line="290" w:lineRule="atLeast"/>
      </w:pPr>
      <w:r>
        <w:t>We are responding to feedback to CP 334 that acknowledged there are uncertainties in relation to common cross-jurisdictional recognition of trading platforms for the purposes of jurisdictions’ UTI rules. We have taken the approach to propose to recognise as UTI</w:t>
      </w:r>
      <w:r w:rsidR="008467F9">
        <w:t xml:space="preserve"> </w:t>
      </w:r>
      <w:r>
        <w:t>generating entities the operators of a broad range of facilities.</w:t>
      </w:r>
    </w:p>
    <w:p w14:paraId="242428BE" w14:textId="77777777" w:rsidR="00FE349D" w:rsidRDefault="00FE349D" w:rsidP="00C443A0">
      <w:pPr>
        <w:pStyle w:val="BodyText"/>
        <w:numPr>
          <w:ilvl w:val="0"/>
          <w:numId w:val="17"/>
        </w:numPr>
        <w:spacing w:line="290" w:lineRule="atLeast"/>
      </w:pPr>
      <w:r>
        <w:t>The facility may be:</w:t>
      </w:r>
    </w:p>
    <w:p w14:paraId="1A3BB63A" w14:textId="77777777" w:rsidR="00FE349D" w:rsidRDefault="00FE349D" w:rsidP="00C443A0">
      <w:pPr>
        <w:pStyle w:val="subparaa"/>
        <w:numPr>
          <w:ilvl w:val="1"/>
          <w:numId w:val="17"/>
        </w:numPr>
        <w:spacing w:line="290" w:lineRule="atLeast"/>
      </w:pPr>
      <w:r>
        <w:t>an authorised financial market; or</w:t>
      </w:r>
    </w:p>
    <w:p w14:paraId="7FCA8132" w14:textId="77777777" w:rsidR="00FE349D" w:rsidRDefault="00FE349D" w:rsidP="00C443A0">
      <w:pPr>
        <w:pStyle w:val="subparaa"/>
        <w:numPr>
          <w:ilvl w:val="1"/>
          <w:numId w:val="17"/>
        </w:numPr>
        <w:spacing w:line="290" w:lineRule="atLeast"/>
      </w:pPr>
      <w:r>
        <w:t>not an authorised financial market and:</w:t>
      </w:r>
    </w:p>
    <w:p w14:paraId="16CB48DD" w14:textId="5AC36779" w:rsidR="00FE349D" w:rsidRDefault="00FE349D" w:rsidP="00C443A0">
      <w:pPr>
        <w:pStyle w:val="subsubparai"/>
        <w:numPr>
          <w:ilvl w:val="2"/>
          <w:numId w:val="17"/>
        </w:numPr>
        <w:spacing w:line="290" w:lineRule="atLeast"/>
      </w:pPr>
      <w:r>
        <w:t>the operator of the facility generates a UTI</w:t>
      </w:r>
      <w:r w:rsidR="004470AA">
        <w:t>;</w:t>
      </w:r>
      <w:r>
        <w:t xml:space="preserve"> and</w:t>
      </w:r>
    </w:p>
    <w:p w14:paraId="0FB6F6C4" w14:textId="77777777" w:rsidR="00FE349D" w:rsidRDefault="00FE349D" w:rsidP="00C443A0">
      <w:pPr>
        <w:pStyle w:val="subsubparai"/>
        <w:numPr>
          <w:ilvl w:val="2"/>
          <w:numId w:val="17"/>
        </w:numPr>
        <w:spacing w:line="290" w:lineRule="atLeast"/>
      </w:pPr>
      <w:r>
        <w:t>the other counterparty will report the transaction using that UTI under the ASIC Rules or the derivative transaction reporting requirements of another jurisdiction.</w:t>
      </w:r>
    </w:p>
    <w:p w14:paraId="792584AE" w14:textId="1565800D" w:rsidR="00FE349D" w:rsidRDefault="00FE349D" w:rsidP="00C443A0">
      <w:pPr>
        <w:pStyle w:val="BodyText"/>
        <w:numPr>
          <w:ilvl w:val="0"/>
          <w:numId w:val="17"/>
        </w:numPr>
        <w:spacing w:line="290" w:lineRule="atLeast"/>
      </w:pPr>
      <w:bookmarkStart w:id="48" w:name="_ASICRef910"/>
      <w:r>
        <w:t xml:space="preserve">An authorised financial market is defined in draft </w:t>
      </w:r>
      <w:r w:rsidR="004470AA">
        <w:t xml:space="preserve">Rule </w:t>
      </w:r>
      <w:r>
        <w:t xml:space="preserve">1.2.3 in analogous terms to the definition of an authorised clearing and settlement facility under section 761A of the </w:t>
      </w:r>
      <w:r w:rsidR="004470AA">
        <w:t xml:space="preserve">Corporations </w:t>
      </w:r>
      <w:r>
        <w:t xml:space="preserve">Act. That is, it is defined as </w:t>
      </w:r>
      <w:r w:rsidRPr="002C466E">
        <w:t xml:space="preserve">an Australian-licensed </w:t>
      </w:r>
      <w:r>
        <w:t xml:space="preserve">financial market or </w:t>
      </w:r>
      <w:r w:rsidRPr="002C466E">
        <w:t xml:space="preserve">a </w:t>
      </w:r>
      <w:r>
        <w:t>foreign country financial market whose operator is authorised in a f</w:t>
      </w:r>
      <w:r w:rsidRPr="002C466E">
        <w:t>oreign country</w:t>
      </w:r>
      <w:r>
        <w:t xml:space="preserve"> to operate the financial market.</w:t>
      </w:r>
      <w:bookmarkEnd w:id="48"/>
    </w:p>
    <w:p w14:paraId="2F60125B" w14:textId="77777777" w:rsidR="00FE349D" w:rsidRDefault="00FE349D" w:rsidP="00C443A0">
      <w:pPr>
        <w:pStyle w:val="BodyText"/>
        <w:numPr>
          <w:ilvl w:val="0"/>
          <w:numId w:val="17"/>
        </w:numPr>
        <w:spacing w:line="290" w:lineRule="atLeast"/>
      </w:pPr>
      <w:r>
        <w:t>We have engaged with Australian market licensees as to their awareness and preparedness to be a UTI generator. We have found that awareness has been raised and that they are generating some form of transaction identifier in their ordinary operations currently, albeit not in the structure and format of a UTI. We have not found any material barriers to these operators converting their current transaction identifier generation to UTI generation in time for the commencement of requirements to report UTIs.</w:t>
      </w:r>
    </w:p>
    <w:p w14:paraId="13ACEC60" w14:textId="2A0CF8B9" w:rsidR="00FE349D" w:rsidRDefault="00FE349D" w:rsidP="00C443A0">
      <w:pPr>
        <w:pStyle w:val="BodyText"/>
        <w:numPr>
          <w:ilvl w:val="0"/>
          <w:numId w:val="17"/>
        </w:numPr>
        <w:spacing w:line="290" w:lineRule="atLeast"/>
      </w:pPr>
      <w:bookmarkStart w:id="49" w:name="_ASICRef300"/>
      <w:r>
        <w:t>However, an operator of an authorised clearing facility or authorised financial market may be recognised as a UTI</w:t>
      </w:r>
      <w:r w:rsidR="008467F9">
        <w:t xml:space="preserve"> </w:t>
      </w:r>
      <w:r>
        <w:t>generating entity under the ASIC UTI waterfall but not so recognised in other jurisdictions.</w:t>
      </w:r>
      <w:bookmarkEnd w:id="49"/>
    </w:p>
    <w:p w14:paraId="14B305D6" w14:textId="35806BC1" w:rsidR="00FE349D" w:rsidRDefault="00FE349D" w:rsidP="00C443A0">
      <w:pPr>
        <w:pStyle w:val="BodyText"/>
        <w:numPr>
          <w:ilvl w:val="0"/>
          <w:numId w:val="17"/>
        </w:numPr>
        <w:spacing w:line="290" w:lineRule="atLeast"/>
      </w:pPr>
      <w:bookmarkStart w:id="50" w:name="_ASICRef824"/>
      <w:bookmarkStart w:id="51" w:name="_ASICRef80"/>
      <w:r>
        <w:t>An operator or facility may be recognised in those other jurisdictions as a UTI</w:t>
      </w:r>
      <w:r w:rsidR="008467F9">
        <w:t xml:space="preserve"> </w:t>
      </w:r>
      <w:r>
        <w:t xml:space="preserve">generating entity in its capacity </w:t>
      </w:r>
      <w:r w:rsidR="009755C6">
        <w:t xml:space="preserve">as </w:t>
      </w:r>
      <w:r>
        <w:t xml:space="preserve">a </w:t>
      </w:r>
      <w:r w:rsidR="002B1D22">
        <w:t>UTI generating</w:t>
      </w:r>
      <w:r>
        <w:t xml:space="preserve"> service provider, rather than in its capacity </w:t>
      </w:r>
      <w:r w:rsidR="009755C6">
        <w:t xml:space="preserve">as </w:t>
      </w:r>
      <w:r>
        <w:t xml:space="preserve">an operator. In this case, we think that the UTI outcome would be the same under the ASIC UTI waterfall and the UTI requirements of other jurisdictions, albeit that the capacity in which the entity acts as a </w:t>
      </w:r>
      <w:r w:rsidR="002B1D22">
        <w:t>UTI generating</w:t>
      </w:r>
      <w:r>
        <w:t xml:space="preserve"> entity differs.</w:t>
      </w:r>
      <w:bookmarkEnd w:id="50"/>
      <w:bookmarkEnd w:id="51"/>
    </w:p>
    <w:p w14:paraId="32F3A25C" w14:textId="698738A5" w:rsidR="00FE349D" w:rsidRDefault="00FE349D" w:rsidP="00C443A0">
      <w:pPr>
        <w:pStyle w:val="BodyText"/>
        <w:numPr>
          <w:ilvl w:val="0"/>
          <w:numId w:val="17"/>
        </w:numPr>
        <w:spacing w:line="290" w:lineRule="atLeast"/>
      </w:pPr>
      <w:r>
        <w:t>If an operator of an</w:t>
      </w:r>
      <w:r w:rsidRPr="00096AEC">
        <w:t xml:space="preserve"> </w:t>
      </w:r>
      <w:r>
        <w:t xml:space="preserve">authorised clearing facility or authorised financial market is not recognised as a </w:t>
      </w:r>
      <w:r w:rsidR="002B1D22">
        <w:t>UTI generating</w:t>
      </w:r>
      <w:r>
        <w:t xml:space="preserve"> entity in other jurisdictions, then an entity with a reporting obligation in one or more other jurisdictions (which may include an ASIC reporting entity for a transaction with multi-jurisdictional reporting) would appear to be required to determine a </w:t>
      </w:r>
      <w:r w:rsidR="002B1D22">
        <w:t>UTI generating</w:t>
      </w:r>
      <w:r>
        <w:t xml:space="preserve"> entity:</w:t>
      </w:r>
    </w:p>
    <w:p w14:paraId="47A85F11" w14:textId="5A850417" w:rsidR="00FE349D" w:rsidRDefault="00FE349D" w:rsidP="00C443A0">
      <w:pPr>
        <w:pStyle w:val="subparaa"/>
        <w:numPr>
          <w:ilvl w:val="1"/>
          <w:numId w:val="17"/>
        </w:numPr>
        <w:spacing w:line="290" w:lineRule="atLeast"/>
      </w:pPr>
      <w:r>
        <w:t xml:space="preserve">by treating a transaction with an authorised clearing facility as if </w:t>
      </w:r>
      <w:r w:rsidR="009755C6">
        <w:t xml:space="preserve">it </w:t>
      </w:r>
      <w:r>
        <w:t>was an uncleared, bilateral transaction; or</w:t>
      </w:r>
    </w:p>
    <w:p w14:paraId="2153D922" w14:textId="77777777" w:rsidR="00FE349D" w:rsidRDefault="00FE349D" w:rsidP="00C443A0">
      <w:pPr>
        <w:pStyle w:val="subparaa"/>
        <w:numPr>
          <w:ilvl w:val="1"/>
          <w:numId w:val="17"/>
        </w:numPr>
        <w:spacing w:line="290" w:lineRule="atLeast"/>
      </w:pPr>
      <w:r>
        <w:t>by treating a transaction entered into through an authorised financial market as if it was traded bilaterally and not through an authorised financial market.</w:t>
      </w:r>
    </w:p>
    <w:p w14:paraId="0F7B2BFC" w14:textId="7F173EB6" w:rsidR="009916EB" w:rsidRDefault="009916EB" w:rsidP="00C443A0">
      <w:pPr>
        <w:pStyle w:val="BodyText"/>
        <w:numPr>
          <w:ilvl w:val="0"/>
          <w:numId w:val="17"/>
        </w:numPr>
        <w:spacing w:line="290" w:lineRule="atLeast"/>
      </w:pPr>
      <w:r>
        <w:t xml:space="preserve">This can result in the </w:t>
      </w:r>
      <w:r w:rsidR="002B1D22">
        <w:t>UTI generating</w:t>
      </w:r>
      <w:r>
        <w:t xml:space="preserve"> entity in the foreign jurisdiction(s) being different to the </w:t>
      </w:r>
      <w:r w:rsidR="002B1D22">
        <w:t>UTI generating</w:t>
      </w:r>
      <w:r>
        <w:t xml:space="preserve"> entity under the ASIC UTI waterfall.</w:t>
      </w:r>
    </w:p>
    <w:p w14:paraId="03532696" w14:textId="77777777" w:rsidR="009916EB" w:rsidRDefault="009916EB" w:rsidP="00C443A0">
      <w:pPr>
        <w:pStyle w:val="BodyText"/>
        <w:numPr>
          <w:ilvl w:val="0"/>
          <w:numId w:val="17"/>
        </w:numPr>
        <w:spacing w:line="290" w:lineRule="atLeast"/>
      </w:pPr>
      <w:bookmarkStart w:id="52" w:name="_ASICRef905"/>
      <w:bookmarkStart w:id="53" w:name="_ASICRef544"/>
      <w:r>
        <w:t>It may be, for example, that an authorised financial market transaction results in an ASIC reporting entity:</w:t>
      </w:r>
      <w:bookmarkEnd w:id="52"/>
      <w:bookmarkEnd w:id="53"/>
    </w:p>
    <w:p w14:paraId="27FBF946" w14:textId="77777777" w:rsidR="009916EB" w:rsidRDefault="009916EB" w:rsidP="00C443A0">
      <w:pPr>
        <w:pStyle w:val="subparaa"/>
        <w:numPr>
          <w:ilvl w:val="1"/>
          <w:numId w:val="17"/>
        </w:numPr>
        <w:spacing w:line="290" w:lineRule="atLeast"/>
      </w:pPr>
      <w:r>
        <w:t>receiving a UTI from the operator of the authorised financial market and reporting that UTI under the draft remade ASIC Rules;</w:t>
      </w:r>
    </w:p>
    <w:p w14:paraId="0896AF6D" w14:textId="39CDC99F" w:rsidR="009916EB" w:rsidRDefault="009916EB" w:rsidP="00C443A0">
      <w:pPr>
        <w:pStyle w:val="subparaa"/>
        <w:numPr>
          <w:ilvl w:val="1"/>
          <w:numId w:val="17"/>
        </w:numPr>
        <w:spacing w:line="290" w:lineRule="atLeast"/>
      </w:pPr>
      <w:r>
        <w:t xml:space="preserve">receiving a UTI from its foreign counterparty, who is the </w:t>
      </w:r>
      <w:r w:rsidR="002B1D22">
        <w:t>UTI generating</w:t>
      </w:r>
      <w:r>
        <w:t xml:space="preserve"> entity under the UTI rules of its foreign jurisdiction, but not using that UTI in any reporting;</w:t>
      </w:r>
    </w:p>
    <w:p w14:paraId="17D4AD89" w14:textId="318C7F11" w:rsidR="009916EB" w:rsidRDefault="009916EB" w:rsidP="00C443A0">
      <w:pPr>
        <w:pStyle w:val="subparaa"/>
        <w:numPr>
          <w:ilvl w:val="1"/>
          <w:numId w:val="17"/>
        </w:numPr>
        <w:spacing w:line="290" w:lineRule="atLeast"/>
      </w:pPr>
      <w:r>
        <w:t xml:space="preserve">being requested to generate a UTI by its foreign counterparty because it believes that the ASIC reporting entity is the </w:t>
      </w:r>
      <w:r w:rsidR="002B1D22">
        <w:t>UTI generating</w:t>
      </w:r>
      <w:r>
        <w:t xml:space="preserve"> entity under the UTI rules of its foreign jurisdiction;</w:t>
      </w:r>
    </w:p>
    <w:p w14:paraId="55121871" w14:textId="167B2291" w:rsidR="009916EB" w:rsidRPr="00D54A49" w:rsidRDefault="009916EB" w:rsidP="00C443A0">
      <w:pPr>
        <w:pStyle w:val="subparaa"/>
        <w:numPr>
          <w:ilvl w:val="1"/>
          <w:numId w:val="17"/>
        </w:numPr>
        <w:spacing w:line="290" w:lineRule="atLeast"/>
        <w:rPr>
          <w:spacing w:val="-2"/>
        </w:rPr>
      </w:pPr>
      <w:r w:rsidRPr="00D54A49">
        <w:rPr>
          <w:spacing w:val="-2"/>
        </w:rPr>
        <w:t xml:space="preserve">for a transaction also reportable by the ASIC reporting entity in the jurisdiction of its foreign counterparty, receiving a UTI from its foreign counterparty as the </w:t>
      </w:r>
      <w:r w:rsidR="002B1D22">
        <w:rPr>
          <w:spacing w:val="-2"/>
        </w:rPr>
        <w:t>UTI generating</w:t>
      </w:r>
      <w:r w:rsidRPr="00D54A49">
        <w:rPr>
          <w:spacing w:val="-2"/>
        </w:rPr>
        <w:t xml:space="preserve"> entity under the UTI rules of the foreign jurisdiction, and reporting that UTI in the foreign jurisdiction; or</w:t>
      </w:r>
    </w:p>
    <w:p w14:paraId="32407F51" w14:textId="0CE9C3A9" w:rsidR="009916EB" w:rsidRDefault="009916EB" w:rsidP="00C443A0">
      <w:pPr>
        <w:pStyle w:val="subparaa"/>
        <w:numPr>
          <w:ilvl w:val="1"/>
          <w:numId w:val="17"/>
        </w:numPr>
        <w:spacing w:line="290" w:lineRule="atLeast"/>
      </w:pPr>
      <w:r>
        <w:t xml:space="preserve">for a transaction also reportable by the ASIC reporting entity in the jurisdiction of its foreign counterparty, generating a UTI and providing it to its foreign counterparty as the </w:t>
      </w:r>
      <w:r w:rsidR="002B1D22">
        <w:t>UTI generating</w:t>
      </w:r>
      <w:r>
        <w:t xml:space="preserve"> entity under the UTI rules of the foreign jurisdiction, and reporting the UTI in the foreign jurisdiction.</w:t>
      </w:r>
    </w:p>
    <w:p w14:paraId="6F611F37" w14:textId="77777777" w:rsidR="009916EB" w:rsidRDefault="009916EB" w:rsidP="00C443A0">
      <w:pPr>
        <w:pStyle w:val="BodyText"/>
        <w:numPr>
          <w:ilvl w:val="0"/>
          <w:numId w:val="17"/>
        </w:numPr>
        <w:spacing w:line="290" w:lineRule="atLeast"/>
      </w:pPr>
      <w:r>
        <w:t>It is therefore possible that there are two UTIs for the same transaction generated and reported in two jurisdictions.</w:t>
      </w:r>
    </w:p>
    <w:p w14:paraId="7BF7642F" w14:textId="7F03D999" w:rsidR="009916EB" w:rsidRDefault="009916EB" w:rsidP="00C443A0">
      <w:pPr>
        <w:pStyle w:val="BodyText"/>
        <w:numPr>
          <w:ilvl w:val="0"/>
          <w:numId w:val="17"/>
        </w:numPr>
        <w:spacing w:line="290" w:lineRule="atLeast"/>
      </w:pPr>
      <w:r>
        <w:t>We do not think that we can resolve this in the draft remade ASIC Rules without unduly complex provisions for a range of scenarios that may be uncommon and specific to the circumstances in the UTI rules of other jurisdictions, including circumstances that are not yet known for jurisdictions who have not yet finalised UTI rules. What we are proposing is that the ASIC UTI waterfall would recognise a broad range of types of infrastructures, consistent with the UTI Guidance, but the ASIC UTI waterfall would not necessarily align with any narrower recognition of infrastructures in the UTI rules of other jurisdictions.</w:t>
      </w:r>
    </w:p>
    <w:p w14:paraId="5CCB4BCB" w14:textId="6D68CD44" w:rsidR="009916EB" w:rsidRDefault="009916EB" w:rsidP="00C443A0">
      <w:pPr>
        <w:pStyle w:val="BodyText"/>
        <w:numPr>
          <w:ilvl w:val="0"/>
          <w:numId w:val="17"/>
        </w:numPr>
        <w:spacing w:line="290" w:lineRule="atLeast"/>
      </w:pPr>
      <w:r>
        <w:t xml:space="preserve">This broad recognition includes that the operator of a facility, which is not an authorised financial market because its operator’s authorisation may not be clear or widely recognised, may be determined as the </w:t>
      </w:r>
      <w:r w:rsidR="002B1D22">
        <w:t>UTI generating</w:t>
      </w:r>
      <w:r>
        <w:t xml:space="preserve"> entity. This may be where counterparties customarily treat a facility as if it was a financial market, even though it is not a financial market under Australian law.</w:t>
      </w:r>
    </w:p>
    <w:p w14:paraId="7269C2B0" w14:textId="1D685DE2" w:rsidR="00241643" w:rsidRDefault="00241643" w:rsidP="00C443A0">
      <w:pPr>
        <w:pStyle w:val="BodyText"/>
        <w:numPr>
          <w:ilvl w:val="0"/>
          <w:numId w:val="17"/>
        </w:numPr>
        <w:spacing w:line="290" w:lineRule="atLeast"/>
      </w:pPr>
      <w:r>
        <w:t>However, we propose a condition</w:t>
      </w:r>
      <w:r w:rsidR="009755C6" w:rsidRPr="00D54A49">
        <w:t>—</w:t>
      </w:r>
      <w:r>
        <w:t>item 3(b)(ii) of Table 2</w:t>
      </w:r>
      <w:r w:rsidR="009755C6" w:rsidRPr="00BA10DC">
        <w:t>—</w:t>
      </w:r>
      <w:r>
        <w:t xml:space="preserve">that the operator may only be determined as the </w:t>
      </w:r>
      <w:r w:rsidR="002B1D22">
        <w:t>UTI generating</w:t>
      </w:r>
      <w:r>
        <w:t xml:space="preserve"> entity where both counterparties will use that UTI in their reporting, so as to avoid a two</w:t>
      </w:r>
      <w:r w:rsidR="009755C6">
        <w:t>-</w:t>
      </w:r>
      <w:r>
        <w:t>UTI situation. This condition would not be met where, for example, the transaction is reportable under the requirements of another jurisdiction and the UTI rules of that jurisdiction do not permit such a UTI to be reported.</w:t>
      </w:r>
    </w:p>
    <w:p w14:paraId="5E5EE1DB" w14:textId="41C16B22" w:rsidR="00241643" w:rsidRPr="00064B26" w:rsidRDefault="00241643" w:rsidP="00C443A0">
      <w:pPr>
        <w:pStyle w:val="BodyText"/>
        <w:numPr>
          <w:ilvl w:val="0"/>
          <w:numId w:val="17"/>
        </w:numPr>
        <w:spacing w:line="290" w:lineRule="atLeast"/>
      </w:pPr>
      <w:bookmarkStart w:id="54" w:name="_ASICRef646"/>
      <w:r>
        <w:t>W</w:t>
      </w:r>
      <w:r w:rsidRPr="00064B26">
        <w:t xml:space="preserve">e think it is important for the cohesiveness of multi-jurisdictional UTIs that such a UTI will only be used in reporting if both counterparties use it in reporting. Where ASIC reporting entities participate in such </w:t>
      </w:r>
      <w:r>
        <w:t>facilities</w:t>
      </w:r>
      <w:r w:rsidRPr="00064B26">
        <w:t xml:space="preserve">, they will need to assess, through their own </w:t>
      </w:r>
      <w:r w:rsidRPr="00674468">
        <w:t>inquiries o</w:t>
      </w:r>
      <w:r w:rsidRPr="00064B26">
        <w:t xml:space="preserve">f the operator and/or their counterparties, that it is the practice of participants </w:t>
      </w:r>
      <w:r w:rsidR="00EB6F40">
        <w:t xml:space="preserve">of that facility </w:t>
      </w:r>
      <w:r w:rsidRPr="00064B26">
        <w:t>to use the UTI in reporting.</w:t>
      </w:r>
      <w:bookmarkEnd w:id="54"/>
    </w:p>
    <w:p w14:paraId="790B7B93" w14:textId="31DD942E" w:rsidR="00241643" w:rsidRDefault="00241643" w:rsidP="00C443A0">
      <w:pPr>
        <w:pStyle w:val="BodyText"/>
        <w:numPr>
          <w:ilvl w:val="0"/>
          <w:numId w:val="17"/>
        </w:numPr>
        <w:spacing w:line="290" w:lineRule="atLeast"/>
      </w:pPr>
      <w:bookmarkStart w:id="55" w:name="_ASICRef410"/>
      <w:r>
        <w:t xml:space="preserve">As we note at paragraphs </w:t>
      </w:r>
      <w:r>
        <w:fldChar w:fldCharType="begin" w:fldLock="1"/>
      </w:r>
      <w:r>
        <w:instrText xml:space="preserve"> REF _ASICRef300 \w \h </w:instrText>
      </w:r>
      <w:r>
        <w:fldChar w:fldCharType="separate"/>
      </w:r>
      <w:r w:rsidR="00853A2A">
        <w:t>73</w:t>
      </w:r>
      <w:r>
        <w:fldChar w:fldCharType="end"/>
      </w:r>
      <w:r>
        <w:t>–</w:t>
      </w:r>
      <w:r>
        <w:fldChar w:fldCharType="begin" w:fldLock="1"/>
      </w:r>
      <w:r>
        <w:instrText xml:space="preserve"> REF _ASICRef80 \w \h </w:instrText>
      </w:r>
      <w:r>
        <w:fldChar w:fldCharType="separate"/>
      </w:r>
      <w:r w:rsidR="00853A2A">
        <w:t>74</w:t>
      </w:r>
      <w:r>
        <w:fldChar w:fldCharType="end"/>
      </w:r>
      <w:r>
        <w:t>, notwithstanding jurisdictional differences in the direct recognition of market infrastructures for UTI purposes, there may not be differences in UTI outcomes where there is indirect recognition of a market infrastructure as a UTI service provider. We encourage ASIC reporting entities to engage with the market infrastructures that they use with a view to those infrastructures acting as UTI service providers for foreign jurisdiction reporting where this would lead to common multi-jurisdictional UTIs.</w:t>
      </w:r>
      <w:bookmarkEnd w:id="55"/>
    </w:p>
    <w:p w14:paraId="4890C19E" w14:textId="47E65B8D" w:rsidR="00241643" w:rsidRDefault="00241643" w:rsidP="00C443A0">
      <w:pPr>
        <w:pStyle w:val="BodyText"/>
        <w:numPr>
          <w:ilvl w:val="0"/>
          <w:numId w:val="17"/>
        </w:numPr>
        <w:spacing w:line="310" w:lineRule="atLeast"/>
      </w:pPr>
      <w:r>
        <w:t>However, if a two</w:t>
      </w:r>
      <w:r w:rsidR="0027748D">
        <w:t>-</w:t>
      </w:r>
      <w:r>
        <w:t>UTI situation arises, there will be a break between the records in different jurisdictions for the same transaction.</w:t>
      </w:r>
    </w:p>
    <w:p w14:paraId="7460B71E" w14:textId="49F0349E" w:rsidR="00241643" w:rsidRDefault="00241643" w:rsidP="00C443A0">
      <w:pPr>
        <w:pStyle w:val="BodyText"/>
        <w:numPr>
          <w:ilvl w:val="0"/>
          <w:numId w:val="17"/>
        </w:numPr>
        <w:spacing w:line="310" w:lineRule="atLeast"/>
      </w:pPr>
      <w:r>
        <w:t xml:space="preserve">For a new transaction requiring a new UTI, in </w:t>
      </w:r>
      <w:r w:rsidRPr="00552332">
        <w:t xml:space="preserve">Table S1.1(1) </w:t>
      </w:r>
      <w:r w:rsidR="00552332" w:rsidRPr="00552332">
        <w:t>‘</w:t>
      </w:r>
      <w:r w:rsidRPr="00552332">
        <w:t>Common data</w:t>
      </w:r>
      <w:r w:rsidR="00552332" w:rsidRPr="00552332">
        <w:t>’</w:t>
      </w:r>
      <w:r w:rsidRPr="00552332">
        <w:t xml:space="preserve"> of Schedule 1 of the draft remade ASIC Rules, a reporting entity is</w:t>
      </w:r>
      <w:r>
        <w:t xml:space="preserve"> required to report ‘a UTI as referred to in Rule 2.2.9’. In the example set out in paragraph</w:t>
      </w:r>
      <w:r w:rsidR="00865799">
        <w:t xml:space="preserve"> </w:t>
      </w:r>
      <w:r w:rsidR="00865799">
        <w:fldChar w:fldCharType="begin" w:fldLock="1"/>
      </w:r>
      <w:r w:rsidR="00865799">
        <w:instrText xml:space="preserve"> REF _ASICRef905 \w \h </w:instrText>
      </w:r>
      <w:r w:rsidR="00865799">
        <w:fldChar w:fldCharType="separate"/>
      </w:r>
      <w:r w:rsidR="00853A2A">
        <w:t>77</w:t>
      </w:r>
      <w:r w:rsidR="00865799">
        <w:fldChar w:fldCharType="end"/>
      </w:r>
      <w:r>
        <w:t xml:space="preserve">, this is the UTI generated by the operator of the financial market per draft paragraph (a) of </w:t>
      </w:r>
      <w:r w:rsidR="006666F3">
        <w:t>i</w:t>
      </w:r>
      <w:r>
        <w:t>tem 3 of the ASIC UTI waterfall.</w:t>
      </w:r>
    </w:p>
    <w:p w14:paraId="352A65FF" w14:textId="16785145" w:rsidR="002A5EC1" w:rsidRDefault="002A5EC1" w:rsidP="00C443A0">
      <w:pPr>
        <w:pStyle w:val="BodyText"/>
        <w:numPr>
          <w:ilvl w:val="0"/>
          <w:numId w:val="17"/>
        </w:numPr>
        <w:spacing w:line="310" w:lineRule="atLeast"/>
      </w:pPr>
      <w:r>
        <w:t>The other actions of the example in paragraph</w:t>
      </w:r>
      <w:r w:rsidR="00865799">
        <w:t xml:space="preserve"> </w:t>
      </w:r>
      <w:r w:rsidR="00865799">
        <w:fldChar w:fldCharType="begin" w:fldLock="1"/>
      </w:r>
      <w:r w:rsidR="00865799">
        <w:instrText xml:space="preserve"> REF _ASICRef544 \w \h </w:instrText>
      </w:r>
      <w:r w:rsidR="00865799">
        <w:fldChar w:fldCharType="separate"/>
      </w:r>
      <w:r w:rsidR="00853A2A">
        <w:t>77</w:t>
      </w:r>
      <w:r w:rsidR="00865799">
        <w:fldChar w:fldCharType="end"/>
      </w:r>
      <w:r>
        <w:t xml:space="preserve"> are actions that are neither required nor prohibited by the draft remade ASIC Rules:</w:t>
      </w:r>
    </w:p>
    <w:p w14:paraId="3697B5CA" w14:textId="77777777" w:rsidR="002A5EC1" w:rsidRDefault="002A5EC1" w:rsidP="00C443A0">
      <w:pPr>
        <w:pStyle w:val="subparaa"/>
        <w:numPr>
          <w:ilvl w:val="1"/>
          <w:numId w:val="17"/>
        </w:numPr>
        <w:spacing w:line="310" w:lineRule="atLeast"/>
      </w:pPr>
      <w:r>
        <w:t>for (b), receiving, and discarding, a UTI received from the foreign counterparty;</w:t>
      </w:r>
    </w:p>
    <w:p w14:paraId="7525CB2A" w14:textId="77777777" w:rsidR="002A5EC1" w:rsidRDefault="002A5EC1" w:rsidP="00C443A0">
      <w:pPr>
        <w:pStyle w:val="subparaa"/>
        <w:numPr>
          <w:ilvl w:val="1"/>
          <w:numId w:val="17"/>
        </w:numPr>
        <w:spacing w:line="310" w:lineRule="atLeast"/>
      </w:pPr>
      <w:r>
        <w:t>for (c), generating and providing a UTI at the request of the foreign counterparty; and</w:t>
      </w:r>
    </w:p>
    <w:p w14:paraId="45F000B8" w14:textId="77777777" w:rsidR="002A5EC1" w:rsidRDefault="002A5EC1" w:rsidP="00C443A0">
      <w:pPr>
        <w:pStyle w:val="subparaa"/>
        <w:numPr>
          <w:ilvl w:val="1"/>
          <w:numId w:val="17"/>
        </w:numPr>
        <w:spacing w:line="310" w:lineRule="atLeast"/>
      </w:pPr>
      <w:r>
        <w:t>for (d) and (e), receiving or generating and providing a UTI according to the UTI rules of another jurisdiction to which the ASIC reporting entity is also subject, and reporting that UTI in the other jurisdiction.</w:t>
      </w:r>
    </w:p>
    <w:p w14:paraId="2358736E" w14:textId="77777777" w:rsidR="002A5EC1" w:rsidRDefault="002A5EC1" w:rsidP="00C443A0">
      <w:pPr>
        <w:pStyle w:val="BodyText"/>
        <w:numPr>
          <w:ilvl w:val="0"/>
          <w:numId w:val="17"/>
        </w:numPr>
        <w:spacing w:line="310" w:lineRule="atLeast"/>
      </w:pPr>
      <w:r>
        <w:t>It should be noted that it is possible that the opposite scenario occurs, where a market infrastructure is recognised in a foreign jurisdiction for UTI purposes but not so recognised under the ASIC UTI waterfall.</w:t>
      </w:r>
    </w:p>
    <w:p w14:paraId="1350FB9C" w14:textId="774CB346" w:rsidR="002A5EC1" w:rsidRDefault="002A5EC1" w:rsidP="00C443A0">
      <w:pPr>
        <w:pStyle w:val="BodyText"/>
        <w:numPr>
          <w:ilvl w:val="0"/>
          <w:numId w:val="17"/>
        </w:numPr>
        <w:spacing w:line="310" w:lineRule="atLeast"/>
      </w:pPr>
      <w:r>
        <w:t xml:space="preserve">In the case of an authorised clearing facility, this </w:t>
      </w:r>
      <w:r w:rsidRPr="00624532">
        <w:t xml:space="preserve">would be where </w:t>
      </w:r>
      <w:r>
        <w:t xml:space="preserve">the facility </w:t>
      </w:r>
      <w:r w:rsidRPr="00624532">
        <w:t>is not an authorised clearing facility under the ASIC UTI waterfall</w:t>
      </w:r>
      <w:r w:rsidR="0027748D" w:rsidRPr="00BA10DC">
        <w:t>—</w:t>
      </w:r>
      <w:r w:rsidR="0027748D">
        <w:t>that is,</w:t>
      </w:r>
      <w:r w:rsidRPr="00624532">
        <w:t xml:space="preserve"> the facility is not licensed or authorised in any jurisdiction</w:t>
      </w:r>
      <w:r w:rsidR="0027748D" w:rsidRPr="00BA10DC">
        <w:t>—</w:t>
      </w:r>
      <w:r>
        <w:t xml:space="preserve">but we do not identify any specific examples of this in reporting under the </w:t>
      </w:r>
      <w:r w:rsidR="00B647D2">
        <w:t>c</w:t>
      </w:r>
      <w:r>
        <w:t>urrent ASIC Rules.</w:t>
      </w:r>
    </w:p>
    <w:p w14:paraId="24D14F70" w14:textId="1013ACE0" w:rsidR="002A5EC1" w:rsidRDefault="002A5EC1" w:rsidP="00C443A0">
      <w:pPr>
        <w:pStyle w:val="BodyText"/>
        <w:numPr>
          <w:ilvl w:val="0"/>
          <w:numId w:val="17"/>
        </w:numPr>
        <w:spacing w:line="310" w:lineRule="atLeast"/>
      </w:pPr>
      <w:r>
        <w:t>In the case of a transaction entered into through a facility, this circumstance should not occur. Even if the facility was not an authorised financial market under</w:t>
      </w:r>
      <w:r w:rsidR="0009161B">
        <w:t xml:space="preserve"> paragraph</w:t>
      </w:r>
      <w:r>
        <w:t xml:space="preserve"> (a) of </w:t>
      </w:r>
      <w:r w:rsidR="006666F3">
        <w:t>i</w:t>
      </w:r>
      <w:r>
        <w:t>tem 3 of the ASIC UTI waterfall, if the other counterparty will report the UTI generated by the operator of the facility in another jurisdiction, then an ASIC reporting entity is also required to report the same UTI under</w:t>
      </w:r>
      <w:r w:rsidR="0009161B">
        <w:t xml:space="preserve"> paragraph</w:t>
      </w:r>
      <w:r>
        <w:t xml:space="preserve"> (b) of </w:t>
      </w:r>
      <w:r w:rsidR="006666F3">
        <w:t>i</w:t>
      </w:r>
      <w:r>
        <w:t>tem 3.</w:t>
      </w:r>
    </w:p>
    <w:p w14:paraId="0CE14545" w14:textId="0EBDCCE0" w:rsidR="002A5EC1" w:rsidRDefault="002A5EC1" w:rsidP="00C443A0">
      <w:pPr>
        <w:pStyle w:val="BodyText"/>
        <w:numPr>
          <w:ilvl w:val="0"/>
          <w:numId w:val="17"/>
        </w:numPr>
        <w:spacing w:line="310" w:lineRule="atLeast"/>
      </w:pPr>
      <w:r>
        <w:t xml:space="preserve">However, if the circumstances did occur, an ASIC reporting entity would be required to determine a </w:t>
      </w:r>
      <w:r w:rsidR="002B1D22">
        <w:t>UTI generating</w:t>
      </w:r>
      <w:r>
        <w:t xml:space="preserve"> entity:</w:t>
      </w:r>
    </w:p>
    <w:p w14:paraId="392B29C7" w14:textId="77777777" w:rsidR="002A5EC1" w:rsidRDefault="002A5EC1" w:rsidP="00C443A0">
      <w:pPr>
        <w:pStyle w:val="subparaa"/>
        <w:numPr>
          <w:ilvl w:val="1"/>
          <w:numId w:val="17"/>
        </w:numPr>
        <w:spacing w:line="310" w:lineRule="atLeast"/>
      </w:pPr>
      <w:r>
        <w:t>by treating a transaction with an authorised clearing facility as if was an uncleared, bilateral transaction; or</w:t>
      </w:r>
    </w:p>
    <w:p w14:paraId="47EE9C99" w14:textId="77777777" w:rsidR="002A5EC1" w:rsidRDefault="002A5EC1" w:rsidP="00C443A0">
      <w:pPr>
        <w:pStyle w:val="subparaa"/>
        <w:numPr>
          <w:ilvl w:val="1"/>
          <w:numId w:val="17"/>
        </w:numPr>
        <w:spacing w:line="310" w:lineRule="atLeast"/>
      </w:pPr>
      <w:r>
        <w:t>by treating a transaction entered into through an authorised financial market as if it was traded bilaterally and not through an authorised financial market.</w:t>
      </w:r>
    </w:p>
    <w:p w14:paraId="0EC62960" w14:textId="77777777" w:rsidR="00853814" w:rsidRPr="00853814" w:rsidRDefault="00853814" w:rsidP="00853814">
      <w:pPr>
        <w:pStyle w:val="Bodytextplain"/>
        <w:keepNext/>
        <w:spacing w:before="0" w:line="240" w:lineRule="auto"/>
        <w:rPr>
          <w:sz w:val="4"/>
          <w:szCs w:val="4"/>
        </w:rPr>
      </w:pPr>
    </w:p>
    <w:p w14:paraId="27FA633D" w14:textId="6B11390A" w:rsidR="002A5EC1" w:rsidRDefault="002A5EC1" w:rsidP="00CF43DE">
      <w:pPr>
        <w:pStyle w:val="BodyText"/>
        <w:numPr>
          <w:ilvl w:val="0"/>
          <w:numId w:val="17"/>
        </w:numPr>
        <w:spacing w:before="0"/>
      </w:pPr>
      <w:r>
        <w:t>This may also result in a two</w:t>
      </w:r>
      <w:r w:rsidR="00AC39E4">
        <w:t>-</w:t>
      </w:r>
      <w:r>
        <w:t>UTI situation</w:t>
      </w:r>
      <w:r w:rsidR="009755C6" w:rsidRPr="00D54A49">
        <w:t>—</w:t>
      </w:r>
      <w:r>
        <w:t xml:space="preserve">an ASIC reporting entity would be required to take such </w:t>
      </w:r>
      <w:r w:rsidR="002B1D22">
        <w:t>UTI generating</w:t>
      </w:r>
      <w:r>
        <w:t>, receiving, providing and reporting actions as are required under the ASIC Rules and, if subject to reporting requirements for the transaction in other jurisdiction(s), such actions as required by the rules of those other jurisdiction(s).</w:t>
      </w:r>
    </w:p>
    <w:p w14:paraId="4BBDE3D7" w14:textId="005278FD" w:rsidR="002A5EC1" w:rsidRDefault="002A5EC1" w:rsidP="00C443A0">
      <w:pPr>
        <w:pStyle w:val="BodyText"/>
        <w:numPr>
          <w:ilvl w:val="0"/>
          <w:numId w:val="17"/>
        </w:numPr>
      </w:pPr>
      <w:r>
        <w:t xml:space="preserve">However, as with other jurisdictions, the ASIC UTI waterfall also provides that a person may act as a UTI service provider: </w:t>
      </w:r>
      <w:r w:rsidR="00AC39E4">
        <w:t>Rule 2.2.9</w:t>
      </w:r>
      <w:r>
        <w:t xml:space="preserve">(7). </w:t>
      </w:r>
      <w:r w:rsidR="00EB6F40">
        <w:t>T</w:t>
      </w:r>
      <w:r>
        <w:t xml:space="preserve">his may be the means by which a market infrastructure is recognised as a </w:t>
      </w:r>
      <w:r w:rsidR="002B1D22">
        <w:t>UTI generating</w:t>
      </w:r>
      <w:r>
        <w:t xml:space="preserve"> entity (as a </w:t>
      </w:r>
      <w:r w:rsidR="002B1D22">
        <w:t>UTI generating</w:t>
      </w:r>
      <w:r>
        <w:t xml:space="preserve"> service provider) under the ASIC UTI waterfall. This can result in the same UTI outcome under the ASIC UTI waterfall and the UTI requirements of other jurisdictions, albeit that the capacity in which the entity acts as a </w:t>
      </w:r>
      <w:r w:rsidR="002B1D22">
        <w:t>UTI generating</w:t>
      </w:r>
      <w:r>
        <w:t xml:space="preserve"> entity differs.</w:t>
      </w:r>
    </w:p>
    <w:p w14:paraId="6A574376" w14:textId="722E110E" w:rsidR="005E1CA2" w:rsidRDefault="005E1CA2" w:rsidP="005E1CA2">
      <w:pPr>
        <w:pStyle w:val="Heading4"/>
      </w:pPr>
      <w:r>
        <w:t xml:space="preserve">The ASIC UTI </w:t>
      </w:r>
      <w:r w:rsidR="004470AA">
        <w:t>w</w:t>
      </w:r>
      <w:r>
        <w:t>aterfall</w:t>
      </w:r>
      <w:r w:rsidR="00AC39E4">
        <w:rPr>
          <w:rFonts w:ascii="Calibri" w:hAnsi="Calibri"/>
        </w:rPr>
        <w:t>—</w:t>
      </w:r>
      <w:r w:rsidR="00AC39E4">
        <w:t>S</w:t>
      </w:r>
      <w:r>
        <w:t>ingle</w:t>
      </w:r>
      <w:r w:rsidR="00AC39E4">
        <w:t>-</w:t>
      </w:r>
      <w:r>
        <w:t>jurisdictional transactions</w:t>
      </w:r>
    </w:p>
    <w:p w14:paraId="30C3FF8D" w14:textId="20D288B4" w:rsidR="005E1CA2" w:rsidRDefault="0009161B" w:rsidP="00C443A0">
      <w:pPr>
        <w:pStyle w:val="BodyText"/>
        <w:numPr>
          <w:ilvl w:val="0"/>
          <w:numId w:val="17"/>
        </w:numPr>
      </w:pPr>
      <w:r>
        <w:t>After considering</w:t>
      </w:r>
      <w:r w:rsidR="005E1CA2">
        <w:t xml:space="preserve"> the feedback to </w:t>
      </w:r>
      <w:hyperlink r:id="rId67" w:history="1">
        <w:r w:rsidR="005E1CA2" w:rsidRPr="00AC39E4">
          <w:rPr>
            <w:rStyle w:val="Hyperlink"/>
          </w:rPr>
          <w:t>CP 334</w:t>
        </w:r>
      </w:hyperlink>
      <w:r w:rsidR="005E1CA2">
        <w:t xml:space="preserve">, we have decided to implement our proposal in CP 334 for single-jurisdictional transactions as item 4 in </w:t>
      </w:r>
      <w:r w:rsidR="005E1CA2" w:rsidRPr="00552332">
        <w:t xml:space="preserve">Table 2 </w:t>
      </w:r>
      <w:r w:rsidR="00552332" w:rsidRPr="00552332">
        <w:t>‘</w:t>
      </w:r>
      <w:r w:rsidR="002B1D22" w:rsidRPr="00552332">
        <w:t>UTI generating</w:t>
      </w:r>
      <w:r w:rsidR="005E1CA2" w:rsidRPr="00552332">
        <w:t xml:space="preserve"> entity for specified </w:t>
      </w:r>
      <w:r w:rsidR="00552332" w:rsidRPr="00552332">
        <w:t xml:space="preserve">Reportable Transactions’ </w:t>
      </w:r>
      <w:r w:rsidR="005E1CA2" w:rsidRPr="00552332">
        <w:t>of draft</w:t>
      </w:r>
      <w:r w:rsidR="005E1CA2">
        <w:t xml:space="preserve"> </w:t>
      </w:r>
      <w:r w:rsidR="00AC39E4">
        <w:t>Rule </w:t>
      </w:r>
      <w:r w:rsidR="005E1CA2">
        <w:t>2.2.9. This follows our stated intention to align with the final ESMA rules that adopted ‘Option 2’ in the ESMA proposals.</w:t>
      </w:r>
    </w:p>
    <w:p w14:paraId="6A2F9D76" w14:textId="5515B984" w:rsidR="005E1CA2" w:rsidRDefault="005E1CA2" w:rsidP="005E1CA2">
      <w:pPr>
        <w:pStyle w:val="tabletitlefullwidth"/>
      </w:pPr>
      <w:bookmarkStart w:id="56" w:name="_Ref90210387"/>
      <w:r>
        <w:t xml:space="preserve">Table </w:t>
      </w:r>
      <w:fldSimple w:instr=" SEQ Table \* ARABIC ">
        <w:r w:rsidR="006679BA">
          <w:rPr>
            <w:noProof/>
          </w:rPr>
          <w:t>7</w:t>
        </w:r>
      </w:fldSimple>
      <w:bookmarkEnd w:id="56"/>
      <w:r>
        <w:t>:</w:t>
      </w:r>
      <w:r>
        <w:tab/>
        <w:t>Extract from Table 2 of Rule 2.2.9(3)</w:t>
      </w:r>
    </w:p>
    <w:tbl>
      <w:tblPr>
        <w:tblW w:w="4938"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851"/>
        <w:gridCol w:w="5102"/>
        <w:gridCol w:w="3005"/>
      </w:tblGrid>
      <w:tr w:rsidR="005E1CA2" w:rsidRPr="000540E1" w14:paraId="0EC60ED0" w14:textId="77777777" w:rsidTr="000C7E62">
        <w:trPr>
          <w:cantSplit/>
          <w:tblHeader/>
        </w:trPr>
        <w:tc>
          <w:tcPr>
            <w:tcW w:w="475" w:type="pct"/>
            <w:tcBorders>
              <w:bottom w:val="single" w:sz="4" w:space="0" w:color="999999"/>
            </w:tcBorders>
            <w:shd w:val="clear" w:color="auto" w:fill="C2E3FA"/>
          </w:tcPr>
          <w:p w14:paraId="3FB89E85" w14:textId="77777777" w:rsidR="005E1CA2" w:rsidRDefault="005E1CA2" w:rsidP="000C7E62">
            <w:pPr>
              <w:pStyle w:val="tablehead"/>
            </w:pPr>
            <w:r>
              <w:t>1. Item</w:t>
            </w:r>
          </w:p>
        </w:tc>
        <w:tc>
          <w:tcPr>
            <w:tcW w:w="2848" w:type="pct"/>
            <w:tcBorders>
              <w:bottom w:val="single" w:sz="4" w:space="0" w:color="999999"/>
            </w:tcBorders>
            <w:shd w:val="clear" w:color="auto" w:fill="C2E3FA"/>
          </w:tcPr>
          <w:p w14:paraId="28A62850" w14:textId="77777777" w:rsidR="005E1CA2" w:rsidRPr="000540E1" w:rsidRDefault="005E1CA2" w:rsidP="000C7E62">
            <w:pPr>
              <w:pStyle w:val="tablehead"/>
            </w:pPr>
            <w:r>
              <w:t>2. Reportable Transaction</w:t>
            </w:r>
          </w:p>
        </w:tc>
        <w:tc>
          <w:tcPr>
            <w:tcW w:w="1677" w:type="pct"/>
            <w:tcBorders>
              <w:bottom w:val="single" w:sz="4" w:space="0" w:color="999999"/>
            </w:tcBorders>
            <w:shd w:val="clear" w:color="auto" w:fill="C2E3FA"/>
          </w:tcPr>
          <w:p w14:paraId="0965504B" w14:textId="77777777" w:rsidR="005E1CA2" w:rsidRPr="000540E1" w:rsidRDefault="005E1CA2" w:rsidP="000C7E62">
            <w:pPr>
              <w:pStyle w:val="tablehead"/>
            </w:pPr>
            <w:r>
              <w:t>3. UTI generating entity</w:t>
            </w:r>
          </w:p>
        </w:tc>
      </w:tr>
      <w:tr w:rsidR="005E1CA2" w:rsidRPr="000540E1" w14:paraId="04037E1C" w14:textId="77777777" w:rsidTr="000C7E62">
        <w:trPr>
          <w:cantSplit/>
        </w:trPr>
        <w:tc>
          <w:tcPr>
            <w:tcW w:w="475" w:type="pct"/>
            <w:tcBorders>
              <w:bottom w:val="nil"/>
            </w:tcBorders>
          </w:tcPr>
          <w:p w14:paraId="5F32F290" w14:textId="77777777" w:rsidR="005E1CA2" w:rsidRPr="000540E1" w:rsidRDefault="005E1CA2" w:rsidP="000C7E62">
            <w:pPr>
              <w:pStyle w:val="tbltext"/>
            </w:pPr>
            <w:r>
              <w:t>4</w:t>
            </w:r>
          </w:p>
        </w:tc>
        <w:tc>
          <w:tcPr>
            <w:tcW w:w="2848" w:type="pct"/>
            <w:tcBorders>
              <w:bottom w:val="nil"/>
            </w:tcBorders>
          </w:tcPr>
          <w:p w14:paraId="40907693" w14:textId="77777777" w:rsidR="005E1CA2" w:rsidRPr="00352CED" w:rsidRDefault="005E1CA2" w:rsidP="000C7E62">
            <w:pPr>
              <w:tabs>
                <w:tab w:val="left" w:pos="2205"/>
              </w:tabs>
              <w:spacing w:before="120" w:after="0" w:line="240" w:lineRule="atLeast"/>
              <w:rPr>
                <w:rFonts w:ascii="Arial" w:hAnsi="Arial" w:cs="Arial"/>
                <w:sz w:val="18"/>
                <w:szCs w:val="18"/>
              </w:rPr>
            </w:pPr>
            <w:r>
              <w:rPr>
                <w:rFonts w:ascii="Arial" w:hAnsi="Arial" w:cs="Arial"/>
                <w:sz w:val="18"/>
                <w:szCs w:val="18"/>
              </w:rPr>
              <w:t>The</w:t>
            </w:r>
            <w:r w:rsidRPr="00AE22B0">
              <w:rPr>
                <w:rFonts w:ascii="Arial" w:hAnsi="Arial" w:cs="Arial"/>
                <w:sz w:val="18"/>
                <w:szCs w:val="18"/>
              </w:rPr>
              <w:t xml:space="preserve"> Report</w:t>
            </w:r>
            <w:r>
              <w:rPr>
                <w:rFonts w:ascii="Arial" w:hAnsi="Arial" w:cs="Arial"/>
                <w:sz w:val="18"/>
                <w:szCs w:val="18"/>
              </w:rPr>
              <w:t>able</w:t>
            </w:r>
            <w:r w:rsidRPr="00AE22B0">
              <w:rPr>
                <w:rFonts w:ascii="Arial" w:hAnsi="Arial" w:cs="Arial"/>
                <w:sz w:val="18"/>
                <w:szCs w:val="18"/>
              </w:rPr>
              <w:t xml:space="preserve"> Transaction is </w:t>
            </w:r>
            <w:r>
              <w:rPr>
                <w:rFonts w:ascii="Arial" w:hAnsi="Arial" w:cs="Arial"/>
                <w:sz w:val="18"/>
                <w:szCs w:val="18"/>
              </w:rPr>
              <w:t>not required to be reported in any foreign jurisdiction:</w:t>
            </w:r>
          </w:p>
        </w:tc>
        <w:tc>
          <w:tcPr>
            <w:tcW w:w="1677" w:type="pct"/>
            <w:tcBorders>
              <w:bottom w:val="nil"/>
            </w:tcBorders>
          </w:tcPr>
          <w:p w14:paraId="0121AD56" w14:textId="4871767E" w:rsidR="005E1CA2" w:rsidRPr="00D54A49" w:rsidRDefault="008E00A6" w:rsidP="000C7E62">
            <w:pPr>
              <w:pStyle w:val="tbltext"/>
              <w:rPr>
                <w:color w:val="FFFFFF" w:themeColor="background1"/>
              </w:rPr>
            </w:pPr>
            <w:r w:rsidRPr="00D54A49">
              <w:rPr>
                <w:color w:val="FFFFFF" w:themeColor="background1"/>
              </w:rPr>
              <w:t>Not applicable</w:t>
            </w:r>
          </w:p>
        </w:tc>
      </w:tr>
      <w:tr w:rsidR="005E1CA2" w:rsidRPr="000540E1" w14:paraId="6D0B585F" w14:textId="77777777" w:rsidTr="000C7E62">
        <w:trPr>
          <w:cantSplit/>
        </w:trPr>
        <w:tc>
          <w:tcPr>
            <w:tcW w:w="475" w:type="pct"/>
            <w:tcBorders>
              <w:top w:val="nil"/>
              <w:bottom w:val="nil"/>
            </w:tcBorders>
          </w:tcPr>
          <w:p w14:paraId="15099EB0" w14:textId="4790F71D" w:rsidR="005E1CA2" w:rsidRPr="00D54A49" w:rsidRDefault="00AC39E4" w:rsidP="000C7E62">
            <w:pPr>
              <w:pStyle w:val="tbltext"/>
              <w:rPr>
                <w:color w:val="FFFFFF" w:themeColor="background1"/>
              </w:rPr>
            </w:pPr>
            <w:r w:rsidRPr="00D54A49">
              <w:rPr>
                <w:color w:val="FFFFFF" w:themeColor="background1"/>
              </w:rPr>
              <w:t>4</w:t>
            </w:r>
          </w:p>
        </w:tc>
        <w:tc>
          <w:tcPr>
            <w:tcW w:w="2848" w:type="pct"/>
            <w:tcBorders>
              <w:top w:val="nil"/>
              <w:bottom w:val="nil"/>
            </w:tcBorders>
          </w:tcPr>
          <w:p w14:paraId="2D1992D9" w14:textId="60A7061F" w:rsidR="005E1CA2" w:rsidRPr="005E1CA2" w:rsidRDefault="005E1CA2" w:rsidP="00C443A0">
            <w:pPr>
              <w:pStyle w:val="MIRBodyText"/>
              <w:numPr>
                <w:ilvl w:val="0"/>
                <w:numId w:val="18"/>
              </w:numPr>
              <w:tabs>
                <w:tab w:val="clear" w:pos="851"/>
                <w:tab w:val="left" w:pos="2205"/>
              </w:tabs>
              <w:spacing w:before="120" w:line="240" w:lineRule="atLeast"/>
              <w:ind w:left="284" w:hanging="284"/>
              <w:rPr>
                <w:rFonts w:ascii="Arial" w:hAnsi="Arial" w:cs="Arial"/>
                <w:sz w:val="18"/>
                <w:szCs w:val="18"/>
              </w:rPr>
            </w:pPr>
            <w:r w:rsidRPr="00B96EA3">
              <w:rPr>
                <w:rFonts w:ascii="Arial" w:hAnsi="Arial" w:cs="Arial"/>
                <w:sz w:val="18"/>
                <w:szCs w:val="18"/>
              </w:rPr>
              <w:t xml:space="preserve">where the Reportable Transaction has been, or will be, electronically </w:t>
            </w:r>
            <w:r>
              <w:rPr>
                <w:rFonts w:ascii="Arial" w:hAnsi="Arial" w:cs="Arial"/>
                <w:sz w:val="18"/>
                <w:szCs w:val="18"/>
              </w:rPr>
              <w:t xml:space="preserve">affirmed or </w:t>
            </w:r>
            <w:r w:rsidRPr="00B96EA3">
              <w:rPr>
                <w:rFonts w:ascii="Arial" w:hAnsi="Arial" w:cs="Arial"/>
                <w:sz w:val="18"/>
                <w:szCs w:val="18"/>
              </w:rPr>
              <w:t xml:space="preserve">confirmed </w:t>
            </w:r>
            <w:r>
              <w:rPr>
                <w:rFonts w:ascii="Arial" w:hAnsi="Arial" w:cs="Arial"/>
                <w:sz w:val="18"/>
                <w:szCs w:val="18"/>
              </w:rPr>
              <w:t xml:space="preserve">on an affirmation or confirmation platform </w:t>
            </w:r>
            <w:r w:rsidRPr="00B96EA3">
              <w:rPr>
                <w:rFonts w:ascii="Arial" w:hAnsi="Arial" w:cs="Arial"/>
                <w:sz w:val="18"/>
                <w:szCs w:val="18"/>
              </w:rPr>
              <w:t xml:space="preserve">and the operator of the </w:t>
            </w:r>
            <w:r>
              <w:rPr>
                <w:rFonts w:ascii="Arial" w:hAnsi="Arial" w:cs="Arial"/>
                <w:sz w:val="18"/>
                <w:szCs w:val="18"/>
              </w:rPr>
              <w:t>affirmation or confirmation</w:t>
            </w:r>
            <w:r w:rsidRPr="00B96EA3">
              <w:rPr>
                <w:rFonts w:ascii="Arial" w:hAnsi="Arial" w:cs="Arial"/>
                <w:sz w:val="18"/>
                <w:szCs w:val="18"/>
              </w:rPr>
              <w:t xml:space="preserve"> platform </w:t>
            </w:r>
            <w:r>
              <w:rPr>
                <w:rFonts w:ascii="Arial" w:hAnsi="Arial" w:cs="Arial"/>
                <w:sz w:val="18"/>
                <w:szCs w:val="18"/>
              </w:rPr>
              <w:t xml:space="preserve">will </w:t>
            </w:r>
            <w:r w:rsidRPr="00B96EA3">
              <w:rPr>
                <w:rFonts w:ascii="Arial" w:hAnsi="Arial" w:cs="Arial"/>
                <w:sz w:val="18"/>
                <w:szCs w:val="18"/>
              </w:rPr>
              <w:t>generate a UTI</w:t>
            </w:r>
            <w:r w:rsidR="00B633E4">
              <w:rPr>
                <w:rFonts w:ascii="Arial" w:hAnsi="Arial" w:cs="Arial"/>
                <w:sz w:val="18"/>
                <w:szCs w:val="18"/>
              </w:rPr>
              <w:t>;</w:t>
            </w:r>
          </w:p>
        </w:tc>
        <w:tc>
          <w:tcPr>
            <w:tcW w:w="1677" w:type="pct"/>
            <w:tcBorders>
              <w:top w:val="nil"/>
              <w:bottom w:val="nil"/>
            </w:tcBorders>
          </w:tcPr>
          <w:p w14:paraId="49235F49" w14:textId="77777777" w:rsidR="005E1CA2" w:rsidRPr="000540E1" w:rsidRDefault="005E1CA2" w:rsidP="000C7E62">
            <w:pPr>
              <w:pStyle w:val="tbltext"/>
            </w:pPr>
            <w:r>
              <w:t xml:space="preserve">The </w:t>
            </w:r>
            <w:r w:rsidRPr="00C05001">
              <w:t xml:space="preserve">operator of the </w:t>
            </w:r>
            <w:r>
              <w:t>affirmation or confirmation</w:t>
            </w:r>
            <w:r w:rsidRPr="00C05001">
              <w:t xml:space="preserve"> platform</w:t>
            </w:r>
          </w:p>
        </w:tc>
      </w:tr>
      <w:tr w:rsidR="005E1CA2" w:rsidRPr="000540E1" w14:paraId="68D08FF0" w14:textId="77777777" w:rsidTr="000C7E62">
        <w:trPr>
          <w:cantSplit/>
        </w:trPr>
        <w:tc>
          <w:tcPr>
            <w:tcW w:w="475" w:type="pct"/>
            <w:tcBorders>
              <w:top w:val="nil"/>
              <w:bottom w:val="nil"/>
            </w:tcBorders>
          </w:tcPr>
          <w:p w14:paraId="674A2115" w14:textId="1009256B" w:rsidR="005E1CA2" w:rsidRPr="00D54A49" w:rsidRDefault="00AC39E4" w:rsidP="000C7E62">
            <w:pPr>
              <w:pStyle w:val="tbltext"/>
              <w:rPr>
                <w:color w:val="FFFFFF" w:themeColor="background1"/>
              </w:rPr>
            </w:pPr>
            <w:r w:rsidRPr="00D54A49">
              <w:rPr>
                <w:color w:val="FFFFFF" w:themeColor="background1"/>
              </w:rPr>
              <w:t>4</w:t>
            </w:r>
          </w:p>
        </w:tc>
        <w:tc>
          <w:tcPr>
            <w:tcW w:w="2848" w:type="pct"/>
            <w:tcBorders>
              <w:top w:val="nil"/>
              <w:bottom w:val="nil"/>
            </w:tcBorders>
          </w:tcPr>
          <w:p w14:paraId="21E4041D" w14:textId="02A2B38C" w:rsidR="005E1CA2" w:rsidRDefault="005E1CA2" w:rsidP="00C443A0">
            <w:pPr>
              <w:pStyle w:val="MIRBodyText"/>
              <w:numPr>
                <w:ilvl w:val="0"/>
                <w:numId w:val="18"/>
              </w:numPr>
              <w:tabs>
                <w:tab w:val="clear" w:pos="851"/>
                <w:tab w:val="left" w:pos="2205"/>
              </w:tabs>
              <w:spacing w:before="120" w:line="240" w:lineRule="atLeast"/>
              <w:ind w:left="284" w:hanging="284"/>
              <w:rPr>
                <w:rFonts w:ascii="Arial" w:hAnsi="Arial" w:cs="Arial"/>
                <w:sz w:val="18"/>
                <w:szCs w:val="18"/>
              </w:rPr>
            </w:pPr>
            <w:r w:rsidRPr="00352CED">
              <w:rPr>
                <w:rFonts w:ascii="Arial" w:hAnsi="Arial" w:cs="Arial"/>
                <w:sz w:val="18"/>
                <w:szCs w:val="18"/>
              </w:rPr>
              <w:t>if paragraph (a) does not apply and the other counterparty is not a Reporting Entity or is not required to report the Reportable Transaction</w:t>
            </w:r>
            <w:r w:rsidR="00B633E4">
              <w:rPr>
                <w:rFonts w:ascii="Arial" w:hAnsi="Arial" w:cs="Arial"/>
                <w:sz w:val="18"/>
                <w:szCs w:val="18"/>
              </w:rPr>
              <w:t>;</w:t>
            </w:r>
          </w:p>
        </w:tc>
        <w:tc>
          <w:tcPr>
            <w:tcW w:w="1677" w:type="pct"/>
            <w:tcBorders>
              <w:top w:val="nil"/>
              <w:bottom w:val="nil"/>
            </w:tcBorders>
          </w:tcPr>
          <w:p w14:paraId="437E8C13" w14:textId="77777777" w:rsidR="005E1CA2" w:rsidRPr="000540E1" w:rsidRDefault="005E1CA2" w:rsidP="000C7E62">
            <w:pPr>
              <w:pStyle w:val="tbltext"/>
            </w:pPr>
            <w:r>
              <w:t>The Reporting Entity</w:t>
            </w:r>
          </w:p>
        </w:tc>
      </w:tr>
      <w:tr w:rsidR="005E1CA2" w:rsidRPr="000540E1" w14:paraId="0CD4BFB9" w14:textId="77777777" w:rsidTr="000C7E62">
        <w:trPr>
          <w:cantSplit/>
        </w:trPr>
        <w:tc>
          <w:tcPr>
            <w:tcW w:w="475" w:type="pct"/>
            <w:tcBorders>
              <w:top w:val="nil"/>
              <w:bottom w:val="nil"/>
            </w:tcBorders>
          </w:tcPr>
          <w:p w14:paraId="242EDEA1" w14:textId="33B11352" w:rsidR="005E1CA2" w:rsidRPr="00D54A49" w:rsidRDefault="00AC39E4" w:rsidP="000C7E62">
            <w:pPr>
              <w:pStyle w:val="tbltext"/>
              <w:rPr>
                <w:color w:val="FFFFFF" w:themeColor="background1"/>
              </w:rPr>
            </w:pPr>
            <w:r w:rsidRPr="00D54A49">
              <w:rPr>
                <w:color w:val="FFFFFF" w:themeColor="background1"/>
              </w:rPr>
              <w:t>4</w:t>
            </w:r>
          </w:p>
        </w:tc>
        <w:tc>
          <w:tcPr>
            <w:tcW w:w="2848" w:type="pct"/>
            <w:tcBorders>
              <w:top w:val="nil"/>
              <w:bottom w:val="nil"/>
            </w:tcBorders>
          </w:tcPr>
          <w:p w14:paraId="351F844E" w14:textId="68A47CB6" w:rsidR="005E1CA2" w:rsidRDefault="005E1CA2" w:rsidP="00C443A0">
            <w:pPr>
              <w:pStyle w:val="MIRBodyText"/>
              <w:numPr>
                <w:ilvl w:val="0"/>
                <w:numId w:val="18"/>
              </w:numPr>
              <w:tabs>
                <w:tab w:val="clear" w:pos="851"/>
                <w:tab w:val="left" w:pos="2205"/>
              </w:tabs>
              <w:spacing w:before="120" w:line="240" w:lineRule="atLeast"/>
              <w:ind w:left="284" w:hanging="284"/>
              <w:rPr>
                <w:rFonts w:ascii="Arial" w:hAnsi="Arial" w:cs="Arial"/>
                <w:sz w:val="18"/>
                <w:szCs w:val="18"/>
              </w:rPr>
            </w:pPr>
            <w:r w:rsidRPr="00352CED">
              <w:rPr>
                <w:rFonts w:ascii="Arial" w:hAnsi="Arial" w:cs="Arial"/>
                <w:sz w:val="18"/>
                <w:szCs w:val="18"/>
              </w:rPr>
              <w:t>if paragraphs (a) and (b) do not apply and the Reporting Entity and the other counterparty have an agreement for the purposes of determining which of them is the UTI generating entity</w:t>
            </w:r>
            <w:r w:rsidR="00B633E4">
              <w:rPr>
                <w:rFonts w:ascii="Arial" w:hAnsi="Arial" w:cs="Arial"/>
                <w:sz w:val="18"/>
                <w:szCs w:val="18"/>
              </w:rPr>
              <w:t>;</w:t>
            </w:r>
          </w:p>
        </w:tc>
        <w:tc>
          <w:tcPr>
            <w:tcW w:w="1677" w:type="pct"/>
            <w:tcBorders>
              <w:top w:val="nil"/>
              <w:bottom w:val="nil"/>
            </w:tcBorders>
          </w:tcPr>
          <w:p w14:paraId="1523788F" w14:textId="77777777" w:rsidR="005E1CA2" w:rsidRPr="000540E1" w:rsidRDefault="005E1CA2" w:rsidP="000C7E62">
            <w:pPr>
              <w:pStyle w:val="tbltext"/>
            </w:pPr>
            <w:r>
              <w:t>The UTI generating entity determined a</w:t>
            </w:r>
            <w:r w:rsidRPr="00624FF7">
              <w:t>ccording to th</w:t>
            </w:r>
            <w:r>
              <w:t>at agreement</w:t>
            </w:r>
          </w:p>
        </w:tc>
      </w:tr>
      <w:tr w:rsidR="005E1CA2" w:rsidRPr="000540E1" w14:paraId="798136AE" w14:textId="77777777" w:rsidTr="000C7E62">
        <w:trPr>
          <w:cantSplit/>
        </w:trPr>
        <w:tc>
          <w:tcPr>
            <w:tcW w:w="475" w:type="pct"/>
            <w:tcBorders>
              <w:top w:val="nil"/>
            </w:tcBorders>
          </w:tcPr>
          <w:p w14:paraId="58CBD168" w14:textId="2AC9997F" w:rsidR="005E1CA2" w:rsidRPr="00D54A49" w:rsidRDefault="00AC39E4" w:rsidP="000C7E62">
            <w:pPr>
              <w:pStyle w:val="tbltext"/>
              <w:rPr>
                <w:color w:val="FFFFFF" w:themeColor="background1"/>
              </w:rPr>
            </w:pPr>
            <w:r w:rsidRPr="00D54A49">
              <w:rPr>
                <w:color w:val="FFFFFF" w:themeColor="background1"/>
              </w:rPr>
              <w:t>4</w:t>
            </w:r>
          </w:p>
        </w:tc>
        <w:tc>
          <w:tcPr>
            <w:tcW w:w="2848" w:type="pct"/>
            <w:tcBorders>
              <w:top w:val="nil"/>
            </w:tcBorders>
          </w:tcPr>
          <w:p w14:paraId="1E2D5B46" w14:textId="68283E6B" w:rsidR="005E1CA2" w:rsidRDefault="005E1CA2" w:rsidP="00C443A0">
            <w:pPr>
              <w:pStyle w:val="MIRBodyText"/>
              <w:numPr>
                <w:ilvl w:val="0"/>
                <w:numId w:val="18"/>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otherwise</w:t>
            </w:r>
            <w:r w:rsidR="00B633E4">
              <w:rPr>
                <w:rFonts w:ascii="Arial" w:hAnsi="Arial" w:cs="Arial"/>
                <w:sz w:val="18"/>
                <w:szCs w:val="18"/>
              </w:rPr>
              <w:t>.</w:t>
            </w:r>
          </w:p>
        </w:tc>
        <w:tc>
          <w:tcPr>
            <w:tcW w:w="1677" w:type="pct"/>
            <w:tcBorders>
              <w:top w:val="nil"/>
            </w:tcBorders>
          </w:tcPr>
          <w:p w14:paraId="4D1353C3" w14:textId="207C2766" w:rsidR="005E1CA2" w:rsidRPr="000540E1" w:rsidRDefault="005E1CA2" w:rsidP="000C7E62">
            <w:pPr>
              <w:pStyle w:val="tbltext"/>
            </w:pPr>
            <w:r w:rsidRPr="00352CED">
              <w:t>The counterparty whose LEI with the characters reversed (</w:t>
            </w:r>
            <w:r w:rsidRPr="000A4612">
              <w:t>reversed LEI</w:t>
            </w:r>
            <w:r w:rsidRPr="00BC035E">
              <w:t>)</w:t>
            </w:r>
            <w:r w:rsidRPr="00352CED">
              <w:t xml:space="preserve"> would appear first if the reversed LEIs of the counterparties were sorted in alphanumeric order</w:t>
            </w:r>
            <w:r w:rsidRPr="00A00C14">
              <w:t>, or the only counterparty with an LEI</w:t>
            </w:r>
          </w:p>
        </w:tc>
      </w:tr>
    </w:tbl>
    <w:p w14:paraId="6D1B9F0E" w14:textId="77777777" w:rsidR="005E1CA2" w:rsidRDefault="005E1CA2" w:rsidP="00C443A0">
      <w:pPr>
        <w:pStyle w:val="BodyText"/>
        <w:numPr>
          <w:ilvl w:val="0"/>
          <w:numId w:val="17"/>
        </w:numPr>
      </w:pPr>
      <w:r>
        <w:t>A reportable transaction is a single-jurisdictional transaction if it is not reportable in any foreign jurisdiction.</w:t>
      </w:r>
    </w:p>
    <w:p w14:paraId="57B1C103" w14:textId="77777777" w:rsidR="005E1CA2" w:rsidRDefault="005E1CA2" w:rsidP="00C443A0">
      <w:pPr>
        <w:pStyle w:val="BodyText"/>
        <w:numPr>
          <w:ilvl w:val="0"/>
          <w:numId w:val="17"/>
        </w:numPr>
      </w:pPr>
      <w:bookmarkStart w:id="57" w:name="_ASICRef326"/>
      <w:r>
        <w:t>We think that the prima facie circumstances of a single-jurisdictional transaction should not be complex for reporting entities to identify. A reporting entity should know whether it will also report the transaction in a foreign jurisdiction. If it will not report the transaction in a foreign jurisdiction, that the transaction is a single-jurisdictional transaction will be:</w:t>
      </w:r>
    </w:p>
    <w:bookmarkEnd w:id="57"/>
    <w:p w14:paraId="594683B4" w14:textId="77777777" w:rsidR="005E1CA2" w:rsidRDefault="005E1CA2" w:rsidP="00C443A0">
      <w:pPr>
        <w:pStyle w:val="subparaa"/>
        <w:numPr>
          <w:ilvl w:val="1"/>
          <w:numId w:val="17"/>
        </w:numPr>
      </w:pPr>
      <w:r>
        <w:t>prima facie indicated if its counterparty is an Australian entity; and</w:t>
      </w:r>
    </w:p>
    <w:p w14:paraId="013774A6" w14:textId="334D8130" w:rsidR="005E1CA2" w:rsidRDefault="005E1CA2" w:rsidP="00C443A0">
      <w:pPr>
        <w:pStyle w:val="subparaa"/>
        <w:numPr>
          <w:ilvl w:val="1"/>
          <w:numId w:val="17"/>
        </w:numPr>
      </w:pPr>
      <w:r>
        <w:t>prima facie contraindicated if its counterparty is a foreign entity formed in a jurisdiction with derivative transaction reporting requirements.</w:t>
      </w:r>
    </w:p>
    <w:p w14:paraId="4782B921" w14:textId="77777777" w:rsidR="005E1CA2" w:rsidRDefault="005E1CA2" w:rsidP="00C443A0">
      <w:pPr>
        <w:pStyle w:val="BodyText"/>
        <w:numPr>
          <w:ilvl w:val="0"/>
          <w:numId w:val="17"/>
        </w:numPr>
      </w:pPr>
      <w:r>
        <w:t>We acknowledge that there may be situations where the prima facie indicators are not conclusive that a transaction is a single-jurisdictional transaction.</w:t>
      </w:r>
    </w:p>
    <w:p w14:paraId="7D0502FF" w14:textId="3F61E907" w:rsidR="005E1CA2" w:rsidRDefault="005E1CA2" w:rsidP="00C443A0">
      <w:pPr>
        <w:pStyle w:val="BodyText"/>
        <w:numPr>
          <w:ilvl w:val="0"/>
          <w:numId w:val="17"/>
        </w:numPr>
      </w:pPr>
      <w:r>
        <w:t>For example, a foreign counterparty may be formed in a jurisdiction with derivative transaction reporting requirements, but the particular transaction is not reportable under the requirements</w:t>
      </w:r>
      <w:r w:rsidR="008E00A6" w:rsidRPr="00D54A49">
        <w:t>—</w:t>
      </w:r>
      <w:r>
        <w:t>such as where the requirements do not cover the asset class, product type or transaction type of the particular transaction.</w:t>
      </w:r>
    </w:p>
    <w:p w14:paraId="4450FE67" w14:textId="5600401B" w:rsidR="005E1CA2" w:rsidRDefault="005E1CA2" w:rsidP="00C443A0">
      <w:pPr>
        <w:pStyle w:val="BodyText"/>
        <w:numPr>
          <w:ilvl w:val="0"/>
          <w:numId w:val="17"/>
        </w:numPr>
      </w:pPr>
      <w:r>
        <w:t xml:space="preserve">However, we note that the common patterns of methods in the ASIC UTI waterfall mean that there are scenarios where the method for determining the </w:t>
      </w:r>
      <w:r w:rsidR="002B1D22">
        <w:t>UTI generating</w:t>
      </w:r>
      <w:r>
        <w:t xml:space="preserve"> entity that is used can be the same, regardless of whether the circumstances of the reportable transaction fall under one item or another item. For example</w:t>
      </w:r>
      <w:r w:rsidR="008E00A6">
        <w:t>:</w:t>
      </w:r>
    </w:p>
    <w:p w14:paraId="723C825E" w14:textId="23094F5B" w:rsidR="005E1CA2" w:rsidRDefault="005E1CA2" w:rsidP="00C443A0">
      <w:pPr>
        <w:pStyle w:val="subparaa"/>
        <w:numPr>
          <w:ilvl w:val="1"/>
          <w:numId w:val="17"/>
        </w:numPr>
      </w:pPr>
      <w:r>
        <w:t xml:space="preserve">the operator of the affirmation or confirmation platform is a method for determining the </w:t>
      </w:r>
      <w:r w:rsidR="002B1D22">
        <w:t>UTI generating</w:t>
      </w:r>
      <w:r>
        <w:t xml:space="preserve"> entity under </w:t>
      </w:r>
      <w:r w:rsidR="006666F3">
        <w:t>i</w:t>
      </w:r>
      <w:r>
        <w:t xml:space="preserve">tems 4, 6A and 8A and, if applicable under the UTI rules of the foreign jurisdiction, may be a method under </w:t>
      </w:r>
      <w:r w:rsidR="006666F3">
        <w:t>i</w:t>
      </w:r>
      <w:r>
        <w:t>tems 5 and/or 7; and</w:t>
      </w:r>
    </w:p>
    <w:p w14:paraId="16623EE5" w14:textId="37360B55" w:rsidR="005E1CA2" w:rsidRDefault="005E1CA2" w:rsidP="00C443A0">
      <w:pPr>
        <w:pStyle w:val="subparaa"/>
        <w:numPr>
          <w:ilvl w:val="1"/>
          <w:numId w:val="17"/>
        </w:numPr>
      </w:pPr>
      <w:r>
        <w:t xml:space="preserve">an agreement between the counterparties for the purposes of determining which of them is the </w:t>
      </w:r>
      <w:r w:rsidR="002B1D22">
        <w:t>UTI generating</w:t>
      </w:r>
      <w:r>
        <w:t xml:space="preserve"> entity is a method under the same items.</w:t>
      </w:r>
    </w:p>
    <w:p w14:paraId="52139CA6" w14:textId="3717AA98" w:rsidR="005E1CA2" w:rsidRDefault="005E1CA2" w:rsidP="00C443A0">
      <w:pPr>
        <w:pStyle w:val="BodyText"/>
        <w:numPr>
          <w:ilvl w:val="0"/>
          <w:numId w:val="17"/>
        </w:numPr>
      </w:pPr>
      <w:bookmarkStart w:id="58" w:name="_ASICRef633"/>
      <w:r>
        <w:t xml:space="preserve">In these scenarios, the reasonable steps taken by a reporting entity may be to establish that </w:t>
      </w:r>
      <w:r w:rsidRPr="008A7DDD">
        <w:t xml:space="preserve">conclusively determining </w:t>
      </w:r>
      <w:r>
        <w:t>a</w:t>
      </w:r>
      <w:r w:rsidRPr="008A7DDD">
        <w:t xml:space="preserve"> singular item of Table 2</w:t>
      </w:r>
      <w:r>
        <w:t xml:space="preserve"> in </w:t>
      </w:r>
      <w:r w:rsidR="008E00A6">
        <w:t>R</w:t>
      </w:r>
      <w:r>
        <w:t>ule</w:t>
      </w:r>
      <w:r w:rsidR="008E00A6">
        <w:t> </w:t>
      </w:r>
      <w:r>
        <w:t>2.2.9</w:t>
      </w:r>
      <w:r w:rsidRPr="008A7DDD">
        <w:t xml:space="preserve"> that applies to the reportable transaction</w:t>
      </w:r>
      <w:r>
        <w:t xml:space="preserve"> would not lead to using a different method for determining the </w:t>
      </w:r>
      <w:r w:rsidR="002B1D22">
        <w:t>UTI generating</w:t>
      </w:r>
      <w:r>
        <w:t xml:space="preserve"> entity. That is, even if it is not certain that a transaction is a single-jurisdictional transaction and that other items in Table 2 may possibly apply, ascertaining additional information about the reporting requirements applicable to the transaction would not lead to a different outcome</w:t>
      </w:r>
      <w:r w:rsidR="008E00A6" w:rsidRPr="00BA10DC">
        <w:t>—</w:t>
      </w:r>
      <w:r>
        <w:t xml:space="preserve">the method for determining the </w:t>
      </w:r>
      <w:r w:rsidR="002B1D22">
        <w:t>UTI generating</w:t>
      </w:r>
      <w:r>
        <w:t xml:space="preserve"> entity would be the same among all possible items of Table 2.</w:t>
      </w:r>
    </w:p>
    <w:p w14:paraId="556D74C1" w14:textId="4D4872CC" w:rsidR="005E1CA2" w:rsidRPr="00CE7C8E" w:rsidRDefault="005E1CA2" w:rsidP="00C443A0">
      <w:pPr>
        <w:pStyle w:val="BodyText"/>
        <w:numPr>
          <w:ilvl w:val="0"/>
          <w:numId w:val="17"/>
        </w:numPr>
        <w:spacing w:line="310" w:lineRule="atLeast"/>
        <w:rPr>
          <w:color w:val="000000" w:themeColor="text1"/>
        </w:rPr>
      </w:pPr>
      <w:r>
        <w:t xml:space="preserve">We think that this outcomes-focused approach can simplify reporting entities’ approaches to determining the </w:t>
      </w:r>
      <w:r w:rsidR="002B1D22">
        <w:t>UTI generating</w:t>
      </w:r>
      <w:r>
        <w:t xml:space="preserve"> entity.</w:t>
      </w:r>
      <w:bookmarkEnd w:id="58"/>
    </w:p>
    <w:p w14:paraId="2583868D" w14:textId="096ECD25" w:rsidR="005E1CA2" w:rsidRDefault="005E1CA2" w:rsidP="00C443A0">
      <w:pPr>
        <w:pStyle w:val="BodyText"/>
        <w:numPr>
          <w:ilvl w:val="0"/>
          <w:numId w:val="17"/>
        </w:numPr>
        <w:spacing w:line="310" w:lineRule="atLeast"/>
      </w:pPr>
      <w:r>
        <w:t xml:space="preserve">In relation to the particular methods of </w:t>
      </w:r>
      <w:r w:rsidR="006666F3">
        <w:t>i</w:t>
      </w:r>
      <w:r>
        <w:t>tem 4, some res</w:t>
      </w:r>
      <w:r w:rsidRPr="004064DD">
        <w:t>p</w:t>
      </w:r>
      <w:r>
        <w:t xml:space="preserve">ondents pointed out that the operator of an affirmation or confirmation platform as the </w:t>
      </w:r>
      <w:r w:rsidR="002B1D22">
        <w:t>UTI generating</w:t>
      </w:r>
      <w:r>
        <w:t xml:space="preserve"> entity should be higher in the ASIC UTI waterfall as a standalone item.</w:t>
      </w:r>
    </w:p>
    <w:p w14:paraId="41CD8F23" w14:textId="41444821" w:rsidR="005E1CA2" w:rsidRDefault="005E1CA2" w:rsidP="00C443A0">
      <w:pPr>
        <w:pStyle w:val="BodyText"/>
        <w:numPr>
          <w:ilvl w:val="0"/>
          <w:numId w:val="17"/>
        </w:numPr>
        <w:spacing w:line="310" w:lineRule="atLeast"/>
      </w:pPr>
      <w:r>
        <w:t xml:space="preserve">In the draft ASIC UTI waterfall, the operator of an affirmation or confirmation platform as the </w:t>
      </w:r>
      <w:r w:rsidR="002B1D22">
        <w:t>UTI generating</w:t>
      </w:r>
      <w:r>
        <w:t xml:space="preserve"> entity is the first step (a) at each of </w:t>
      </w:r>
      <w:r w:rsidR="006666F3">
        <w:t>i</w:t>
      </w:r>
      <w:r>
        <w:t xml:space="preserve">tems 4 and 6A, may effectively be the first step at 8A if the counterparties agree this method, and may commonly be a step in </w:t>
      </w:r>
      <w:r w:rsidR="006666F3">
        <w:t>i</w:t>
      </w:r>
      <w:r>
        <w:t>tems 5 and 7</w:t>
      </w:r>
      <w:r w:rsidR="00404CA5">
        <w:t>—</w:t>
      </w:r>
      <w:r>
        <w:t>in practice, it is prominent in all of the steps of the ASIC UTI waterfall. However, to maximise international understandings of the operation of the ASIC UTI waterfall, we have positioned it in each of the items to align with the UTI Guidance and the UTI rules of other jurisdictions.</w:t>
      </w:r>
    </w:p>
    <w:p w14:paraId="05F9093C" w14:textId="77777777" w:rsidR="005E1CA2" w:rsidRDefault="005E1CA2" w:rsidP="00C443A0">
      <w:pPr>
        <w:pStyle w:val="BodyText"/>
        <w:numPr>
          <w:ilvl w:val="0"/>
          <w:numId w:val="17"/>
        </w:numPr>
        <w:spacing w:line="310" w:lineRule="atLeast"/>
      </w:pPr>
      <w:r>
        <w:t xml:space="preserve">While it may be uncommon that a transaction by an ASIC reporting entity with an end user or a </w:t>
      </w:r>
      <w:r w:rsidRPr="005175FE">
        <w:t>small-scale, single-sided</w:t>
      </w:r>
      <w:r>
        <w:t xml:space="preserve"> reporting entity is affirmed or confirmed via an affirmation or confirmation platform, it aligns with the final ESMA rules to position an affirmation or confirmation platform as the first step in the single-jurisdictional rules.</w:t>
      </w:r>
    </w:p>
    <w:p w14:paraId="3DE3FC44" w14:textId="75AF107E" w:rsidR="005E1CA2" w:rsidRDefault="005E1CA2" w:rsidP="00C443A0">
      <w:pPr>
        <w:pStyle w:val="BodyText"/>
        <w:numPr>
          <w:ilvl w:val="0"/>
          <w:numId w:val="17"/>
        </w:numPr>
        <w:spacing w:line="310" w:lineRule="atLeast"/>
      </w:pPr>
      <w:r>
        <w:t xml:space="preserve">We note that, as with operators of authorised clearing facilities and operators of facilities, the operator of an affirmation or confirmation platform may not be recognised as a </w:t>
      </w:r>
      <w:r w:rsidR="002B1D22">
        <w:t>UTI generating</w:t>
      </w:r>
      <w:r>
        <w:t xml:space="preserve"> entity in other jurisdictions, but may be so recognised when acting in the capacity of a generating service provider. In this case, we think that the UTI outcome would be the same under the ASIC UTI waterfall and the UTI requirements of other jurisdictions, albeit that the capacity in which the entity acts as a </w:t>
      </w:r>
      <w:r w:rsidR="002B1D22">
        <w:t>UTI generating</w:t>
      </w:r>
      <w:r>
        <w:t xml:space="preserve"> entity differs.</w:t>
      </w:r>
    </w:p>
    <w:p w14:paraId="6E51A2C1" w14:textId="469E937F" w:rsidR="005E1CA2" w:rsidRDefault="005E1CA2" w:rsidP="00C443A0">
      <w:pPr>
        <w:pStyle w:val="BodyText"/>
        <w:numPr>
          <w:ilvl w:val="0"/>
          <w:numId w:val="17"/>
        </w:numPr>
        <w:spacing w:line="310" w:lineRule="atLeast"/>
      </w:pPr>
      <w:r>
        <w:t xml:space="preserve">A definition of ‘affirmation or confirmation platform’ is proposed in </w:t>
      </w:r>
      <w:r w:rsidR="00FF422C">
        <w:t>R</w:t>
      </w:r>
      <w:r>
        <w:t>ule</w:t>
      </w:r>
      <w:r w:rsidR="00FF422C">
        <w:t> </w:t>
      </w:r>
      <w:r>
        <w:t>1.2.3 as ‘</w:t>
      </w:r>
      <w:r w:rsidRPr="00C82CA5">
        <w:t>a facility that provides a regular electronic mechanism for the counterparties to a Reportable Transaction to affirm or confirm some or all of the terms of the Reportable Transaction to each other</w:t>
      </w:r>
      <w:r>
        <w:t>’.</w:t>
      </w:r>
    </w:p>
    <w:p w14:paraId="4CDDAF16" w14:textId="1EF28E44" w:rsidR="005E1CA2" w:rsidRDefault="005E1CA2" w:rsidP="00C443A0">
      <w:pPr>
        <w:pStyle w:val="BodyText"/>
        <w:numPr>
          <w:ilvl w:val="0"/>
          <w:numId w:val="17"/>
        </w:numPr>
        <w:spacing w:line="310" w:lineRule="atLeast"/>
      </w:pPr>
      <w:r>
        <w:t xml:space="preserve">We do not identify a definition of an affirmation or confirmation platform that is in common </w:t>
      </w:r>
      <w:r w:rsidR="00EB6F40">
        <w:t xml:space="preserve">global </w:t>
      </w:r>
      <w:r>
        <w:t xml:space="preserve">use. In </w:t>
      </w:r>
      <w:hyperlink r:id="rId68" w:history="1">
        <w:r w:rsidRPr="00FF422C">
          <w:rPr>
            <w:rStyle w:val="Hyperlink"/>
          </w:rPr>
          <w:t>CP 334</w:t>
        </w:r>
      </w:hyperlink>
      <w:r>
        <w:t xml:space="preserve">, we used the UTI Guidance term of ‘confirmation platform’ but some respondents asked for clarification </w:t>
      </w:r>
      <w:r w:rsidR="00FF422C">
        <w:t xml:space="preserve">on whether </w:t>
      </w:r>
      <w:r>
        <w:t>this also includes an ‘affirmation platform’. Reflecting that an affirmation platform may only provide for the affirmation of key economic terms, rather than all the terms, the definition refers to ‘some or all of the terms of a Reportable Transaction</w:t>
      </w:r>
      <w:r w:rsidR="0009161B">
        <w:t>’</w:t>
      </w:r>
      <w:r>
        <w:t>. We think that this is a fit-for-purpose definition of an affirmation or confirmation platform.</w:t>
      </w:r>
    </w:p>
    <w:p w14:paraId="6F92CB43" w14:textId="5A488830" w:rsidR="005E1CA2" w:rsidRDefault="005E1CA2" w:rsidP="00C443A0">
      <w:pPr>
        <w:pStyle w:val="BodyText"/>
        <w:numPr>
          <w:ilvl w:val="0"/>
          <w:numId w:val="17"/>
        </w:numPr>
        <w:spacing w:line="310" w:lineRule="atLeast"/>
      </w:pPr>
      <w:r>
        <w:t xml:space="preserve">In </w:t>
      </w:r>
      <w:hyperlink r:id="rId69" w:history="1">
        <w:r w:rsidRPr="00255302">
          <w:rPr>
            <w:rStyle w:val="Hyperlink"/>
          </w:rPr>
          <w:t>CP 334</w:t>
        </w:r>
      </w:hyperlink>
      <w:r>
        <w:t>, we included the text from the UTI Guidance referring to the confirmation platform being ‘</w:t>
      </w:r>
      <w:r w:rsidRPr="005B6CF9">
        <w:t>able, willing and permitted to generate a UTI</w:t>
      </w:r>
      <w:r>
        <w:t xml:space="preserve">’. Some respondents felt that this would require them to make an explicit assessment of a confirmation platform’s ability, willingness and permission to generate a UTI. We do not intend </w:t>
      </w:r>
      <w:r w:rsidR="0009161B">
        <w:t>to require this</w:t>
      </w:r>
      <w:r>
        <w:t xml:space="preserve"> and we propose the simple outcomes</w:t>
      </w:r>
      <w:r w:rsidR="000B5ACF">
        <w:t>-</w:t>
      </w:r>
      <w:r>
        <w:t>focus</w:t>
      </w:r>
      <w:r w:rsidR="000B5ACF">
        <w:t>ed approach</w:t>
      </w:r>
      <w:r>
        <w:t xml:space="preserve"> that ‘the operator of the affirmation or confirmation will generate a UTI’.</w:t>
      </w:r>
    </w:p>
    <w:p w14:paraId="6D8CB53C" w14:textId="65CD729E" w:rsidR="005E1CA2" w:rsidRDefault="005E1CA2" w:rsidP="00C443A0">
      <w:pPr>
        <w:pStyle w:val="BodyText"/>
        <w:numPr>
          <w:ilvl w:val="0"/>
          <w:numId w:val="17"/>
        </w:numPr>
      </w:pPr>
      <w:r>
        <w:t xml:space="preserve">If step (a) does not apply, step (b) applies where an ASIC reporting entity is the sole reporting entity of the two counterparties. The other counterparty would not report the transaction where it is not an ASIC reporting entity (such as an end user defined by reg 7.5A.50) or is not required to report the transaction (such as an entity relying on the </w:t>
      </w:r>
      <w:r w:rsidRPr="005175FE">
        <w:t>small-scale, single-sided</w:t>
      </w:r>
      <w:r>
        <w:t xml:space="preserve"> exemption of </w:t>
      </w:r>
      <w:r w:rsidRPr="001F520D">
        <w:t>Subdivision 2.1B of Pt 7.5A of the Corporations Regulations</w:t>
      </w:r>
      <w:r>
        <w:t xml:space="preserve">). Ensuring that the sole reporter is the </w:t>
      </w:r>
      <w:r w:rsidR="002B1D22">
        <w:t>UTI generating</w:t>
      </w:r>
      <w:r>
        <w:t xml:space="preserve"> entity was supported in the feedback to CP 334 and there were no responses that opposed that proposal.</w:t>
      </w:r>
    </w:p>
    <w:p w14:paraId="4A11AE37" w14:textId="7F6BCF09" w:rsidR="005E1CA2" w:rsidRDefault="005E1CA2" w:rsidP="00C443A0">
      <w:pPr>
        <w:pStyle w:val="BodyText"/>
        <w:numPr>
          <w:ilvl w:val="0"/>
          <w:numId w:val="17"/>
        </w:numPr>
      </w:pPr>
      <w:r>
        <w:t xml:space="preserve">If steps (a) and (b) do not apply, step (c) applies where the ASIC reporting entity </w:t>
      </w:r>
      <w:r w:rsidRPr="00800376">
        <w:t xml:space="preserve">and the other counterparty have an agreement for the purposes of determining which of them is the </w:t>
      </w:r>
      <w:r w:rsidR="002B1D22">
        <w:t>UTI generating</w:t>
      </w:r>
      <w:r w:rsidRPr="00800376">
        <w:t xml:space="preserve"> entity</w:t>
      </w:r>
      <w:r w:rsidR="00404CA5">
        <w:t>—</w:t>
      </w:r>
      <w:r w:rsidR="006C1180">
        <w:t>that is,</w:t>
      </w:r>
      <w:r>
        <w:t xml:space="preserve"> a bilateral agreement</w:t>
      </w:r>
      <w:r w:rsidRPr="00800376">
        <w:t>.</w:t>
      </w:r>
    </w:p>
    <w:p w14:paraId="235551B8" w14:textId="2285AC6B" w:rsidR="005E1CA2" w:rsidRDefault="005E1CA2" w:rsidP="00C443A0">
      <w:pPr>
        <w:pStyle w:val="BodyText"/>
        <w:numPr>
          <w:ilvl w:val="0"/>
          <w:numId w:val="17"/>
        </w:numPr>
      </w:pPr>
      <w:r>
        <w:t xml:space="preserve">The agreement is not required to be in writing and there are no minimum requirements or conditions that must be terms of an agreement. The agreement may specify one of the counterparties as the </w:t>
      </w:r>
      <w:r w:rsidR="002B1D22">
        <w:t>UTI generating</w:t>
      </w:r>
      <w:r>
        <w:t xml:space="preserve"> entity for all kinds of transactions between the counterparties or only for certain kinds of transactions. The agreement may also be an agreement to a method for determining the </w:t>
      </w:r>
      <w:r w:rsidR="002B1D22">
        <w:t>UTI generating</w:t>
      </w:r>
      <w:r>
        <w:t xml:space="preserve"> entity, such as via a tie-breaker protocol.</w:t>
      </w:r>
    </w:p>
    <w:p w14:paraId="1B2CBC3D" w14:textId="4579C9EA" w:rsidR="005E1CA2" w:rsidRDefault="005E1CA2" w:rsidP="00C443A0">
      <w:pPr>
        <w:pStyle w:val="BodyText"/>
        <w:numPr>
          <w:ilvl w:val="0"/>
          <w:numId w:val="17"/>
        </w:numPr>
      </w:pPr>
      <w:r>
        <w:t xml:space="preserve">Finally, if a </w:t>
      </w:r>
      <w:r w:rsidR="002B1D22">
        <w:t>UTI generating</w:t>
      </w:r>
      <w:r>
        <w:t xml:space="preserve"> entity has not been determined at one of the earlier steps, the </w:t>
      </w:r>
      <w:r w:rsidR="002B1D22">
        <w:t>UTI generating</w:t>
      </w:r>
      <w:r>
        <w:t xml:space="preserve"> entity is determined by a ‘reverse LEI sort’ of the LEIs of the counterparties</w:t>
      </w:r>
      <w:r w:rsidR="00404CA5">
        <w:t>—</w:t>
      </w:r>
      <w:r w:rsidR="006C1180">
        <w:t>that is,</w:t>
      </w:r>
      <w:r>
        <w:t xml:space="preserve"> t</w:t>
      </w:r>
      <w:r w:rsidRPr="009536E9">
        <w:t>he counterparty whose LEI with the characters reversed (</w:t>
      </w:r>
      <w:r w:rsidRPr="000A4612">
        <w:t>reversed LEI</w:t>
      </w:r>
      <w:r w:rsidRPr="009536E9">
        <w:t>) would appear first if the reversed LEIs of the counterparties were sorted in alphanumeric order</w:t>
      </w:r>
      <w:r w:rsidR="006C1180">
        <w:t xml:space="preserve">: see examples in </w:t>
      </w:r>
      <w:r w:rsidR="005678C4">
        <w:fldChar w:fldCharType="begin" w:fldLock="1"/>
      </w:r>
      <w:r w:rsidR="005678C4">
        <w:instrText xml:space="preserve"> REF _Ref99958121 \h </w:instrText>
      </w:r>
      <w:r w:rsidR="005678C4">
        <w:fldChar w:fldCharType="separate"/>
      </w:r>
      <w:r w:rsidR="00853A2A">
        <w:t xml:space="preserve">Table </w:t>
      </w:r>
      <w:r w:rsidR="00853A2A">
        <w:rPr>
          <w:noProof/>
        </w:rPr>
        <w:t>8</w:t>
      </w:r>
      <w:r w:rsidR="005678C4">
        <w:fldChar w:fldCharType="end"/>
      </w:r>
      <w:r w:rsidR="0043393E">
        <w:t>.</w:t>
      </w:r>
    </w:p>
    <w:p w14:paraId="1E3E3313" w14:textId="4FF7960F" w:rsidR="005E1CA2" w:rsidRDefault="006C1180" w:rsidP="00924660">
      <w:pPr>
        <w:pStyle w:val="tabletitlefullwidth"/>
      </w:pPr>
      <w:bookmarkStart w:id="59" w:name="_Ref99958121"/>
      <w:r>
        <w:t xml:space="preserve">Table </w:t>
      </w:r>
      <w:fldSimple w:instr=" SEQ Table \* ARABIC ">
        <w:r w:rsidR="006679BA">
          <w:rPr>
            <w:noProof/>
          </w:rPr>
          <w:t>8</w:t>
        </w:r>
      </w:fldSimple>
      <w:bookmarkEnd w:id="59"/>
      <w:r w:rsidR="0043393E">
        <w:t>:</w:t>
      </w:r>
      <w:r>
        <w:t xml:space="preserve"> </w:t>
      </w:r>
      <w:r w:rsidR="007A0B86">
        <w:t>Step</w:t>
      </w:r>
      <w:r w:rsidR="009046A0">
        <w:t>-</w:t>
      </w:r>
      <w:r w:rsidR="007A0B86">
        <w:t>by</w:t>
      </w:r>
      <w:r w:rsidR="009046A0">
        <w:t>-</w:t>
      </w:r>
      <w:r w:rsidR="007A0B86">
        <w:t xml:space="preserve">step illustration of reversed </w:t>
      </w:r>
      <w:r>
        <w:t>LEI sort</w:t>
      </w:r>
      <w:r w:rsidR="007A0B86">
        <w:t>ing</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024"/>
        <w:gridCol w:w="3024"/>
        <w:gridCol w:w="3022"/>
      </w:tblGrid>
      <w:tr w:rsidR="005E1CA2" w:rsidRPr="000540E1" w14:paraId="34B349F0" w14:textId="77777777" w:rsidTr="000C7E62">
        <w:trPr>
          <w:cantSplit/>
          <w:tblHeader/>
        </w:trPr>
        <w:tc>
          <w:tcPr>
            <w:tcW w:w="1667" w:type="pct"/>
            <w:shd w:val="clear" w:color="auto" w:fill="C2E3FA"/>
          </w:tcPr>
          <w:p w14:paraId="533A1B3F" w14:textId="5A214057" w:rsidR="005E1CA2" w:rsidRDefault="007A0B86" w:rsidP="000C7E62">
            <w:pPr>
              <w:pStyle w:val="tablehead"/>
            </w:pPr>
            <w:r>
              <w:t>Information element in reversed LEI sorting</w:t>
            </w:r>
          </w:p>
        </w:tc>
        <w:tc>
          <w:tcPr>
            <w:tcW w:w="1667" w:type="pct"/>
            <w:shd w:val="clear" w:color="auto" w:fill="C2E3FA"/>
          </w:tcPr>
          <w:p w14:paraId="77341454" w14:textId="77777777" w:rsidR="005E1CA2" w:rsidRPr="000540E1" w:rsidRDefault="005E1CA2" w:rsidP="000C7E62">
            <w:pPr>
              <w:pStyle w:val="tablehead"/>
            </w:pPr>
            <w:r>
              <w:t>Example 1</w:t>
            </w:r>
          </w:p>
        </w:tc>
        <w:tc>
          <w:tcPr>
            <w:tcW w:w="1666" w:type="pct"/>
            <w:shd w:val="clear" w:color="auto" w:fill="C2E3FA"/>
          </w:tcPr>
          <w:p w14:paraId="23FCCF8E" w14:textId="77777777" w:rsidR="005E1CA2" w:rsidRPr="000540E1" w:rsidRDefault="005E1CA2" w:rsidP="000C7E62">
            <w:pPr>
              <w:pStyle w:val="tablehead"/>
            </w:pPr>
            <w:r>
              <w:t>Example 2</w:t>
            </w:r>
          </w:p>
        </w:tc>
      </w:tr>
      <w:tr w:rsidR="005E1CA2" w:rsidRPr="000540E1" w14:paraId="29DE4F07" w14:textId="77777777" w:rsidTr="00924660">
        <w:trPr>
          <w:cantSplit/>
        </w:trPr>
        <w:tc>
          <w:tcPr>
            <w:tcW w:w="1667" w:type="pct"/>
            <w:shd w:val="clear" w:color="auto" w:fill="D9D9D9" w:themeFill="background1" w:themeFillShade="D9"/>
          </w:tcPr>
          <w:p w14:paraId="5D283D60" w14:textId="77777777" w:rsidR="005E1CA2" w:rsidRPr="000540E1" w:rsidRDefault="005E1CA2" w:rsidP="000C7E62">
            <w:pPr>
              <w:pStyle w:val="tbltext"/>
            </w:pPr>
            <w:r>
              <w:t>LEI of counterparty 1</w:t>
            </w:r>
          </w:p>
        </w:tc>
        <w:tc>
          <w:tcPr>
            <w:tcW w:w="1667" w:type="pct"/>
          </w:tcPr>
          <w:p w14:paraId="6BC766C3" w14:textId="77777777" w:rsidR="005E1CA2" w:rsidRPr="000540E1" w:rsidRDefault="005E1CA2" w:rsidP="000C7E62">
            <w:pPr>
              <w:pStyle w:val="tbltext"/>
            </w:pPr>
            <w:r w:rsidRPr="009536E9">
              <w:t>1111ABCDEABCDEABC123</w:t>
            </w:r>
          </w:p>
        </w:tc>
        <w:tc>
          <w:tcPr>
            <w:tcW w:w="1666" w:type="pct"/>
          </w:tcPr>
          <w:p w14:paraId="5BBE2D57" w14:textId="77777777" w:rsidR="005E1CA2" w:rsidRPr="000540E1" w:rsidRDefault="005E1CA2" w:rsidP="000C7E62">
            <w:pPr>
              <w:pStyle w:val="tbltext"/>
            </w:pPr>
            <w:r w:rsidRPr="009536E9">
              <w:t>ABCDEABCDEABCDE12345</w:t>
            </w:r>
          </w:p>
        </w:tc>
      </w:tr>
      <w:tr w:rsidR="005E1CA2" w:rsidRPr="000540E1" w14:paraId="1C262948" w14:textId="77777777" w:rsidTr="00924660">
        <w:trPr>
          <w:cantSplit/>
        </w:trPr>
        <w:tc>
          <w:tcPr>
            <w:tcW w:w="1667" w:type="pct"/>
            <w:shd w:val="clear" w:color="auto" w:fill="D9D9D9" w:themeFill="background1" w:themeFillShade="D9"/>
          </w:tcPr>
          <w:p w14:paraId="508A9303" w14:textId="77777777" w:rsidR="005E1CA2" w:rsidRPr="000540E1" w:rsidRDefault="005E1CA2" w:rsidP="000C7E62">
            <w:pPr>
              <w:pStyle w:val="tbltext"/>
            </w:pPr>
            <w:r>
              <w:t>LEI of counterparty 2</w:t>
            </w:r>
          </w:p>
        </w:tc>
        <w:tc>
          <w:tcPr>
            <w:tcW w:w="1667" w:type="pct"/>
          </w:tcPr>
          <w:p w14:paraId="6F36C143" w14:textId="77777777" w:rsidR="005E1CA2" w:rsidRPr="000540E1" w:rsidRDefault="005E1CA2" w:rsidP="000C7E62">
            <w:pPr>
              <w:pStyle w:val="tbltext"/>
            </w:pPr>
            <w:r w:rsidRPr="009536E9">
              <w:t>1111AAAAABBBBBCCC23</w:t>
            </w:r>
          </w:p>
        </w:tc>
        <w:tc>
          <w:tcPr>
            <w:tcW w:w="1666" w:type="pct"/>
          </w:tcPr>
          <w:p w14:paraId="22A12C1D" w14:textId="77777777" w:rsidR="005E1CA2" w:rsidRPr="000540E1" w:rsidRDefault="005E1CA2" w:rsidP="000C7E62">
            <w:pPr>
              <w:pStyle w:val="tbltext"/>
            </w:pPr>
            <w:r w:rsidRPr="009536E9">
              <w:t>ABCDEABCDEAAAAA12344</w:t>
            </w:r>
          </w:p>
        </w:tc>
      </w:tr>
      <w:tr w:rsidR="005E1CA2" w:rsidRPr="000540E1" w14:paraId="317275DA" w14:textId="77777777" w:rsidTr="00924660">
        <w:trPr>
          <w:cantSplit/>
        </w:trPr>
        <w:tc>
          <w:tcPr>
            <w:tcW w:w="1667" w:type="pct"/>
            <w:shd w:val="clear" w:color="auto" w:fill="D9D9D9" w:themeFill="background1" w:themeFillShade="D9"/>
          </w:tcPr>
          <w:p w14:paraId="7F0A7356" w14:textId="5F6F8D55" w:rsidR="005E1CA2" w:rsidRPr="000540E1" w:rsidRDefault="005E1CA2" w:rsidP="000C7E62">
            <w:pPr>
              <w:pStyle w:val="tbltext"/>
            </w:pPr>
            <w:r>
              <w:t xml:space="preserve">Characters reversed </w:t>
            </w:r>
            <w:r w:rsidR="0043393E">
              <w:t xml:space="preserve">for </w:t>
            </w:r>
            <w:r>
              <w:t>the LEI of counterparty 1</w:t>
            </w:r>
          </w:p>
        </w:tc>
        <w:tc>
          <w:tcPr>
            <w:tcW w:w="1667" w:type="pct"/>
          </w:tcPr>
          <w:p w14:paraId="4EF7B5AF" w14:textId="77777777" w:rsidR="005E1CA2" w:rsidRPr="000540E1" w:rsidRDefault="005E1CA2" w:rsidP="000C7E62">
            <w:pPr>
              <w:pStyle w:val="tbltext"/>
            </w:pPr>
            <w:r w:rsidRPr="003461D4">
              <w:t>321CBAEDCBAEDCBA1111</w:t>
            </w:r>
          </w:p>
        </w:tc>
        <w:tc>
          <w:tcPr>
            <w:tcW w:w="1666" w:type="pct"/>
          </w:tcPr>
          <w:p w14:paraId="1001D5C4" w14:textId="77777777" w:rsidR="005E1CA2" w:rsidRPr="000540E1" w:rsidRDefault="005E1CA2" w:rsidP="000C7E62">
            <w:pPr>
              <w:pStyle w:val="tbltext"/>
            </w:pPr>
            <w:r w:rsidRPr="003461D4">
              <w:t>54321EDCBAEDCBAEDCBA</w:t>
            </w:r>
          </w:p>
        </w:tc>
      </w:tr>
      <w:tr w:rsidR="005E1CA2" w:rsidRPr="000540E1" w14:paraId="68482774" w14:textId="77777777" w:rsidTr="00924660">
        <w:trPr>
          <w:cantSplit/>
        </w:trPr>
        <w:tc>
          <w:tcPr>
            <w:tcW w:w="1667" w:type="pct"/>
            <w:shd w:val="clear" w:color="auto" w:fill="D9D9D9" w:themeFill="background1" w:themeFillShade="D9"/>
          </w:tcPr>
          <w:p w14:paraId="0F200823" w14:textId="558DE931" w:rsidR="005E1CA2" w:rsidRPr="000540E1" w:rsidRDefault="005E1CA2" w:rsidP="000C7E62">
            <w:pPr>
              <w:pStyle w:val="tbltext"/>
            </w:pPr>
            <w:r>
              <w:t xml:space="preserve">Characters reversed </w:t>
            </w:r>
            <w:r w:rsidR="0043393E">
              <w:t xml:space="preserve">for </w:t>
            </w:r>
            <w:r>
              <w:t>the LEI of counterparty 2</w:t>
            </w:r>
          </w:p>
        </w:tc>
        <w:tc>
          <w:tcPr>
            <w:tcW w:w="1667" w:type="pct"/>
          </w:tcPr>
          <w:p w14:paraId="5AE4D552" w14:textId="77777777" w:rsidR="005E1CA2" w:rsidRPr="000540E1" w:rsidRDefault="005E1CA2" w:rsidP="000C7E62">
            <w:pPr>
              <w:pStyle w:val="tbltext"/>
            </w:pPr>
            <w:r w:rsidRPr="00B51BA0">
              <w:t>32CCCBBBBBAAAAA1111</w:t>
            </w:r>
          </w:p>
        </w:tc>
        <w:tc>
          <w:tcPr>
            <w:tcW w:w="1666" w:type="pct"/>
          </w:tcPr>
          <w:p w14:paraId="17D883E2" w14:textId="77777777" w:rsidR="005E1CA2" w:rsidRPr="000540E1" w:rsidRDefault="005E1CA2" w:rsidP="000C7E62">
            <w:pPr>
              <w:pStyle w:val="tbltext"/>
            </w:pPr>
            <w:r w:rsidRPr="00B51BA0">
              <w:t>44321AAAAAEDCBAEDCBA</w:t>
            </w:r>
          </w:p>
        </w:tc>
      </w:tr>
      <w:tr w:rsidR="005E1CA2" w:rsidRPr="000540E1" w14:paraId="4A83FC62" w14:textId="77777777" w:rsidTr="00924660">
        <w:trPr>
          <w:cantSplit/>
        </w:trPr>
        <w:tc>
          <w:tcPr>
            <w:tcW w:w="1667" w:type="pct"/>
            <w:shd w:val="clear" w:color="auto" w:fill="D9D9D9" w:themeFill="background1" w:themeFillShade="D9"/>
          </w:tcPr>
          <w:p w14:paraId="331E6961" w14:textId="4037EB8C" w:rsidR="005E1CA2" w:rsidRDefault="005E1CA2" w:rsidP="000C7E62">
            <w:pPr>
              <w:pStyle w:val="tbltext"/>
            </w:pPr>
            <w:r>
              <w:t xml:space="preserve">First appearing {Characters reversed of the LEI} after sorting in alphanumeric order (a </w:t>
            </w:r>
            <w:r w:rsidRPr="00B51BA0">
              <w:t>digit comes before a letter</w:t>
            </w:r>
            <w:r w:rsidR="00BC035E" w:rsidRPr="00924660">
              <w:t>—</w:t>
            </w:r>
            <w:r w:rsidRPr="00B51BA0">
              <w:t>ASCII order)</w:t>
            </w:r>
          </w:p>
        </w:tc>
        <w:tc>
          <w:tcPr>
            <w:tcW w:w="1667" w:type="pct"/>
          </w:tcPr>
          <w:p w14:paraId="30BD78B8" w14:textId="77777777" w:rsidR="005E1CA2" w:rsidRDefault="005E1CA2" w:rsidP="000C7E62">
            <w:pPr>
              <w:pStyle w:val="tbltext"/>
            </w:pPr>
            <w:r w:rsidRPr="003461D4">
              <w:t>321CBAEDCBAEDCBA1111</w:t>
            </w:r>
          </w:p>
          <w:p w14:paraId="6FCCF372" w14:textId="45113E8A" w:rsidR="005E1CA2" w:rsidRPr="003461D4" w:rsidRDefault="005E1CA2" w:rsidP="000C7E62">
            <w:pPr>
              <w:pStyle w:val="tbltext"/>
            </w:pPr>
            <w:r w:rsidRPr="00B51BA0">
              <w:t xml:space="preserve">because </w:t>
            </w:r>
            <w:r w:rsidR="00385807">
              <w:t>‘</w:t>
            </w:r>
            <w:r w:rsidRPr="00B51BA0">
              <w:t>1</w:t>
            </w:r>
            <w:r w:rsidR="00385807">
              <w:t>’</w:t>
            </w:r>
            <w:r w:rsidRPr="00B51BA0">
              <w:t xml:space="preserve"> (digit) comes before </w:t>
            </w:r>
            <w:r w:rsidR="00385807">
              <w:t>‘</w:t>
            </w:r>
            <w:r w:rsidRPr="00B51BA0">
              <w:t>C</w:t>
            </w:r>
            <w:r w:rsidR="00385807">
              <w:t>’</w:t>
            </w:r>
            <w:r w:rsidRPr="00B51BA0">
              <w:t xml:space="preserve"> (letter)</w:t>
            </w:r>
          </w:p>
        </w:tc>
        <w:tc>
          <w:tcPr>
            <w:tcW w:w="1666" w:type="pct"/>
          </w:tcPr>
          <w:p w14:paraId="24A45CFE" w14:textId="77777777" w:rsidR="005E1CA2" w:rsidRDefault="005E1CA2" w:rsidP="000C7E62">
            <w:pPr>
              <w:pStyle w:val="tbltext"/>
            </w:pPr>
            <w:r w:rsidRPr="00B51BA0">
              <w:t>44321AAAAAEDCBAEDCBA</w:t>
            </w:r>
          </w:p>
          <w:p w14:paraId="50904A6C" w14:textId="6B09C168" w:rsidR="005E1CA2" w:rsidRPr="003461D4" w:rsidRDefault="005E1CA2" w:rsidP="000C7E62">
            <w:pPr>
              <w:pStyle w:val="tbltext"/>
            </w:pPr>
            <w:r w:rsidRPr="00B51BA0">
              <w:t xml:space="preserve">because </w:t>
            </w:r>
            <w:r w:rsidR="00385807">
              <w:t>‘</w:t>
            </w:r>
            <w:r w:rsidRPr="00B51BA0">
              <w:t>4</w:t>
            </w:r>
            <w:r w:rsidR="00385807">
              <w:t>’</w:t>
            </w:r>
            <w:r w:rsidRPr="00B51BA0">
              <w:t xml:space="preserve"> comes before </w:t>
            </w:r>
            <w:r w:rsidR="00385807">
              <w:t>‘</w:t>
            </w:r>
            <w:r w:rsidRPr="00B51BA0">
              <w:t>5</w:t>
            </w:r>
            <w:r w:rsidR="00385807">
              <w:t>’</w:t>
            </w:r>
          </w:p>
        </w:tc>
      </w:tr>
      <w:tr w:rsidR="005E1CA2" w:rsidRPr="000540E1" w14:paraId="389E3486" w14:textId="77777777" w:rsidTr="00924660">
        <w:trPr>
          <w:cantSplit/>
        </w:trPr>
        <w:tc>
          <w:tcPr>
            <w:tcW w:w="1667" w:type="pct"/>
            <w:shd w:val="clear" w:color="auto" w:fill="D9D9D9" w:themeFill="background1" w:themeFillShade="D9"/>
          </w:tcPr>
          <w:p w14:paraId="44760BB3" w14:textId="77777777" w:rsidR="005E1CA2" w:rsidRDefault="005E1CA2" w:rsidP="000C7E62">
            <w:pPr>
              <w:pStyle w:val="tbltext"/>
            </w:pPr>
            <w:r>
              <w:t>Counterparty of sort result</w:t>
            </w:r>
          </w:p>
        </w:tc>
        <w:tc>
          <w:tcPr>
            <w:tcW w:w="1667" w:type="pct"/>
          </w:tcPr>
          <w:p w14:paraId="7FABB288" w14:textId="77777777" w:rsidR="005E1CA2" w:rsidRPr="003461D4" w:rsidRDefault="005E1CA2" w:rsidP="000C7E62">
            <w:pPr>
              <w:pStyle w:val="tbltext"/>
            </w:pPr>
            <w:r>
              <w:t>counterparty 1</w:t>
            </w:r>
          </w:p>
        </w:tc>
        <w:tc>
          <w:tcPr>
            <w:tcW w:w="1666" w:type="pct"/>
          </w:tcPr>
          <w:p w14:paraId="78ED09CF" w14:textId="77777777" w:rsidR="005E1CA2" w:rsidRPr="00B51BA0" w:rsidRDefault="005E1CA2" w:rsidP="000C7E62">
            <w:pPr>
              <w:pStyle w:val="tbltext"/>
            </w:pPr>
            <w:r>
              <w:t>counterparty 2</w:t>
            </w:r>
          </w:p>
        </w:tc>
      </w:tr>
      <w:tr w:rsidR="005E1CA2" w:rsidRPr="000540E1" w14:paraId="25B5263F" w14:textId="77777777" w:rsidTr="00924660">
        <w:trPr>
          <w:cantSplit/>
        </w:trPr>
        <w:tc>
          <w:tcPr>
            <w:tcW w:w="1667" w:type="pct"/>
            <w:shd w:val="clear" w:color="auto" w:fill="D9D9D9" w:themeFill="background1" w:themeFillShade="D9"/>
          </w:tcPr>
          <w:p w14:paraId="2851C8EE" w14:textId="6D431D09" w:rsidR="005E1CA2" w:rsidRDefault="002B1D22" w:rsidP="000C7E62">
            <w:pPr>
              <w:pStyle w:val="tbltext"/>
            </w:pPr>
            <w:r>
              <w:t>UTI generating</w:t>
            </w:r>
            <w:r w:rsidR="005E1CA2">
              <w:t xml:space="preserve"> entity</w:t>
            </w:r>
          </w:p>
        </w:tc>
        <w:tc>
          <w:tcPr>
            <w:tcW w:w="1667" w:type="pct"/>
          </w:tcPr>
          <w:p w14:paraId="64961A8A" w14:textId="77777777" w:rsidR="005E1CA2" w:rsidRDefault="005E1CA2" w:rsidP="000C7E62">
            <w:pPr>
              <w:pStyle w:val="tbltext"/>
            </w:pPr>
            <w:r>
              <w:t>counterparty 1</w:t>
            </w:r>
          </w:p>
        </w:tc>
        <w:tc>
          <w:tcPr>
            <w:tcW w:w="1666" w:type="pct"/>
          </w:tcPr>
          <w:p w14:paraId="6D85164B" w14:textId="77777777" w:rsidR="005E1CA2" w:rsidRDefault="005E1CA2" w:rsidP="000C7E62">
            <w:pPr>
              <w:pStyle w:val="tbltext"/>
            </w:pPr>
            <w:r>
              <w:t>counterparty 2</w:t>
            </w:r>
          </w:p>
        </w:tc>
      </w:tr>
    </w:tbl>
    <w:p w14:paraId="3189010D" w14:textId="62A833A8" w:rsidR="005E1CA2" w:rsidRDefault="005E1CA2" w:rsidP="00C443A0">
      <w:pPr>
        <w:pStyle w:val="BodyText"/>
        <w:numPr>
          <w:ilvl w:val="0"/>
          <w:numId w:val="17"/>
        </w:numPr>
        <w:spacing w:before="220" w:line="310" w:lineRule="atLeast"/>
      </w:pPr>
      <w:r>
        <w:t xml:space="preserve">Note that one respondent to </w:t>
      </w:r>
      <w:r w:rsidR="004C1634" w:rsidRPr="004C1634">
        <w:t>CP 334</w:t>
      </w:r>
      <w:r>
        <w:t xml:space="preserve"> pointed out that it may not always be the case that both counterparties to a transaction each have an LEI.</w:t>
      </w:r>
    </w:p>
    <w:p w14:paraId="6FFA121B" w14:textId="77777777" w:rsidR="005E1CA2" w:rsidRDefault="005E1CA2" w:rsidP="00C443A0">
      <w:pPr>
        <w:pStyle w:val="BodyText"/>
        <w:numPr>
          <w:ilvl w:val="0"/>
          <w:numId w:val="17"/>
        </w:numPr>
        <w:spacing w:before="220" w:line="310" w:lineRule="atLeast"/>
      </w:pPr>
      <w:r>
        <w:t>This would be the case where the other counterparty is subject to UTI rules in the jurisdiction(s) in which it will report the transaction, but is not subject to a requirement to report an LEI in those jurisdiction(s) as its entity identifier and does not have an LEI.</w:t>
      </w:r>
    </w:p>
    <w:p w14:paraId="67959376" w14:textId="74572D48" w:rsidR="005E1CA2" w:rsidRDefault="005E1CA2" w:rsidP="00C443A0">
      <w:pPr>
        <w:pStyle w:val="BodyText"/>
        <w:numPr>
          <w:ilvl w:val="0"/>
          <w:numId w:val="17"/>
        </w:numPr>
        <w:spacing w:before="220" w:line="310" w:lineRule="atLeast"/>
      </w:pPr>
      <w:r>
        <w:t xml:space="preserve">We set out that the </w:t>
      </w:r>
      <w:r w:rsidR="002B1D22">
        <w:t>UTI generating</w:t>
      </w:r>
      <w:r>
        <w:t xml:space="preserve"> entity for item 4(d) is ‘</w:t>
      </w:r>
      <w:r w:rsidR="00385807">
        <w:t>[t]</w:t>
      </w:r>
      <w:r w:rsidR="00385807" w:rsidRPr="00926986">
        <w:t xml:space="preserve">he </w:t>
      </w:r>
      <w:r w:rsidRPr="00926986">
        <w:t xml:space="preserve">counterparty whose LEI with the characters reversed (reversed LEI) would appear first if the reversed LEIs of the counterparties were sorted in alphanumeric order, </w:t>
      </w:r>
      <w:r w:rsidRPr="003845EC">
        <w:rPr>
          <w:i/>
          <w:iCs/>
        </w:rPr>
        <w:t>or the only counterparty with an LEI</w:t>
      </w:r>
      <w:r w:rsidRPr="003845EC">
        <w:t>’</w:t>
      </w:r>
      <w:r w:rsidRPr="00926986">
        <w:t>.</w:t>
      </w:r>
    </w:p>
    <w:p w14:paraId="7047073B" w14:textId="6C43F2EB" w:rsidR="005E1CA2" w:rsidRDefault="005E1CA2" w:rsidP="00C443A0">
      <w:pPr>
        <w:pStyle w:val="BodyText"/>
        <w:numPr>
          <w:ilvl w:val="0"/>
          <w:numId w:val="17"/>
        </w:numPr>
        <w:spacing w:before="220" w:line="310" w:lineRule="atLeast"/>
      </w:pPr>
      <w:r>
        <w:t xml:space="preserve">Finally, we think that, for a single-jurisdictional transaction, a </w:t>
      </w:r>
      <w:r w:rsidR="002B1D22">
        <w:t>UTI generating</w:t>
      </w:r>
      <w:r>
        <w:t xml:space="preserve"> entity will always be able to be determined by one of the steps in item 4. Therefore, we do not think it is necessary to provide for any ‘ultimate determinant’ of the </w:t>
      </w:r>
      <w:r w:rsidR="002B1D22">
        <w:t>UTI generating</w:t>
      </w:r>
      <w:r>
        <w:t xml:space="preserve"> entity to follow from item 4 as was discussed in paragraphs 141</w:t>
      </w:r>
      <w:r w:rsidR="00385807">
        <w:t>–</w:t>
      </w:r>
      <w:r>
        <w:t xml:space="preserve">144 of </w:t>
      </w:r>
      <w:hyperlink r:id="rId70" w:history="1">
        <w:r w:rsidRPr="004C1634">
          <w:rPr>
            <w:rStyle w:val="Hyperlink"/>
          </w:rPr>
          <w:t>CP 334</w:t>
        </w:r>
      </w:hyperlink>
      <w:r>
        <w:t xml:space="preserve"> and proposed in</w:t>
      </w:r>
      <w:r w:rsidR="00385807">
        <w:t xml:space="preserve"> </w:t>
      </w:r>
      <w:r>
        <w:t xml:space="preserve">principle as </w:t>
      </w:r>
      <w:r w:rsidR="00385807">
        <w:t xml:space="preserve">proposal </w:t>
      </w:r>
      <w:r>
        <w:t xml:space="preserve">C8 in CP 334. However, we are proposing that the ‘ultimate determinant’ step described in CP 334 </w:t>
      </w:r>
      <w:r w:rsidR="00385807">
        <w:t xml:space="preserve">should </w:t>
      </w:r>
      <w:r>
        <w:t>be included, as per the UTI Guidance and the final ESMA rules, in items 8/8A for a cross-jurisdictional transaction where no jurisdiction has the earlier reporting deadline.</w:t>
      </w:r>
    </w:p>
    <w:p w14:paraId="34D8E4D8" w14:textId="278ECD73" w:rsidR="00BD5651" w:rsidRDefault="00BD5651" w:rsidP="00BD5651">
      <w:pPr>
        <w:pStyle w:val="Heading4"/>
      </w:pPr>
      <w:r>
        <w:t xml:space="preserve">The ASIC UTI </w:t>
      </w:r>
      <w:r w:rsidR="004470AA">
        <w:t>w</w:t>
      </w:r>
      <w:r>
        <w:t>aterfall</w:t>
      </w:r>
      <w:r w:rsidR="00404CA5">
        <w:t>—</w:t>
      </w:r>
      <w:r w:rsidR="00385807">
        <w:t>C</w:t>
      </w:r>
      <w:r>
        <w:t>ross-jurisdictional transactions</w:t>
      </w:r>
    </w:p>
    <w:p w14:paraId="7FCFF933" w14:textId="2899CCE4" w:rsidR="00BD5651" w:rsidRDefault="00BD5651" w:rsidP="00C443A0">
      <w:pPr>
        <w:pStyle w:val="BodyText"/>
        <w:numPr>
          <w:ilvl w:val="0"/>
          <w:numId w:val="17"/>
        </w:numPr>
        <w:spacing w:before="220" w:line="310" w:lineRule="atLeast"/>
      </w:pPr>
      <w:r>
        <w:t xml:space="preserve">For reportable transactions that are required to be reported in one or more foreign jurisdictions, we are proposing four kinds of cross-jurisdictional transaction circumstances as listed in </w:t>
      </w:r>
      <w:r>
        <w:fldChar w:fldCharType="begin" w:fldLock="1"/>
      </w:r>
      <w:r>
        <w:instrText xml:space="preserve"> REF _Ref93308068 \h </w:instrText>
      </w:r>
      <w:r>
        <w:fldChar w:fldCharType="separate"/>
      </w:r>
      <w:r w:rsidR="00853A2A">
        <w:t xml:space="preserve">Table </w:t>
      </w:r>
      <w:r w:rsidR="00853A2A">
        <w:rPr>
          <w:noProof/>
        </w:rPr>
        <w:t>9</w:t>
      </w:r>
      <w:r>
        <w:fldChar w:fldCharType="end"/>
      </w:r>
      <w:r>
        <w:t>.</w:t>
      </w:r>
    </w:p>
    <w:p w14:paraId="68980559" w14:textId="6E01A6D3" w:rsidR="00BD5651" w:rsidRDefault="00BD5651" w:rsidP="00BD5651">
      <w:pPr>
        <w:pStyle w:val="tabletitleindented"/>
      </w:pPr>
      <w:bookmarkStart w:id="60" w:name="_Ref93308068"/>
      <w:r>
        <w:t xml:space="preserve">Table </w:t>
      </w:r>
      <w:fldSimple w:instr=" SEQ Table \* ARABIC ">
        <w:r w:rsidR="006679BA">
          <w:rPr>
            <w:noProof/>
          </w:rPr>
          <w:t>9</w:t>
        </w:r>
      </w:fldSimple>
      <w:bookmarkEnd w:id="60"/>
      <w:r>
        <w:t>:</w:t>
      </w:r>
      <w:r>
        <w:tab/>
        <w:t>Extract from Table 2 for cross-jurisdictional transactions</w:t>
      </w:r>
    </w:p>
    <w:tbl>
      <w:tblPr>
        <w:tblW w:w="6804"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850"/>
        <w:gridCol w:w="5954"/>
      </w:tblGrid>
      <w:tr w:rsidR="00BD5651" w:rsidRPr="000540E1" w14:paraId="1B9206FE" w14:textId="77777777" w:rsidTr="00B110C1">
        <w:trPr>
          <w:cantSplit/>
          <w:tblHeader/>
        </w:trPr>
        <w:tc>
          <w:tcPr>
            <w:tcW w:w="625" w:type="pct"/>
            <w:shd w:val="clear" w:color="auto" w:fill="C2E3FA"/>
          </w:tcPr>
          <w:p w14:paraId="2B120FDC" w14:textId="77777777" w:rsidR="00BD5651" w:rsidRPr="000540E1" w:rsidRDefault="00BD5651" w:rsidP="000C7E62">
            <w:pPr>
              <w:pStyle w:val="tablehead"/>
            </w:pPr>
            <w:r>
              <w:t>1. Item</w:t>
            </w:r>
          </w:p>
        </w:tc>
        <w:tc>
          <w:tcPr>
            <w:tcW w:w="4375" w:type="pct"/>
            <w:shd w:val="clear" w:color="auto" w:fill="C2E3FA"/>
          </w:tcPr>
          <w:p w14:paraId="6EF72D4E" w14:textId="77777777" w:rsidR="00BD5651" w:rsidRPr="000540E1" w:rsidRDefault="00BD5651" w:rsidP="000C7E62">
            <w:pPr>
              <w:pStyle w:val="tablehead"/>
            </w:pPr>
            <w:r>
              <w:t>2. Reportable Transaction</w:t>
            </w:r>
          </w:p>
        </w:tc>
      </w:tr>
      <w:tr w:rsidR="00BD5651" w:rsidRPr="000540E1" w14:paraId="4A5CFE4B" w14:textId="77777777" w:rsidTr="00B110C1">
        <w:trPr>
          <w:cantSplit/>
        </w:trPr>
        <w:tc>
          <w:tcPr>
            <w:tcW w:w="625" w:type="pct"/>
          </w:tcPr>
          <w:p w14:paraId="4C230947" w14:textId="77777777" w:rsidR="00BD5651" w:rsidRPr="000540E1" w:rsidRDefault="00BD5651" w:rsidP="000C7E62">
            <w:pPr>
              <w:pStyle w:val="tbltext"/>
            </w:pPr>
            <w:r>
              <w:t>5</w:t>
            </w:r>
          </w:p>
        </w:tc>
        <w:tc>
          <w:tcPr>
            <w:tcW w:w="4375" w:type="pct"/>
          </w:tcPr>
          <w:p w14:paraId="7727BBCF" w14:textId="1337CE06" w:rsidR="00BD5651" w:rsidRPr="000540E1" w:rsidRDefault="00BD5651" w:rsidP="00226FF1">
            <w:pPr>
              <w:pStyle w:val="tbltext"/>
              <w:ind w:left="170" w:hanging="170"/>
            </w:pPr>
            <w:r>
              <w:t>Cross-jurisdictional transaction</w:t>
            </w:r>
            <w:r>
              <w:br/>
              <w:t>determination of the jurisdiction with the earliest reporting deadline is not required</w:t>
            </w:r>
          </w:p>
        </w:tc>
      </w:tr>
      <w:tr w:rsidR="00BD5651" w:rsidRPr="000540E1" w14:paraId="4F733E6B" w14:textId="77777777" w:rsidTr="00B110C1">
        <w:trPr>
          <w:cantSplit/>
        </w:trPr>
        <w:tc>
          <w:tcPr>
            <w:tcW w:w="625" w:type="pct"/>
          </w:tcPr>
          <w:p w14:paraId="6C945417" w14:textId="77777777" w:rsidR="00BD5651" w:rsidRPr="000540E1" w:rsidRDefault="00BD5651" w:rsidP="000C7E62">
            <w:pPr>
              <w:pStyle w:val="tbltext"/>
            </w:pPr>
            <w:r>
              <w:t>6/6A</w:t>
            </w:r>
          </w:p>
        </w:tc>
        <w:tc>
          <w:tcPr>
            <w:tcW w:w="4375" w:type="pct"/>
          </w:tcPr>
          <w:p w14:paraId="116AF630" w14:textId="5EE77D97" w:rsidR="00BD5651" w:rsidRPr="000540E1" w:rsidRDefault="00BD5651" w:rsidP="00226FF1">
            <w:pPr>
              <w:pStyle w:val="tbltext"/>
              <w:ind w:left="170" w:hanging="170"/>
            </w:pPr>
            <w:r>
              <w:t>Cross-jurisdictional transaction</w:t>
            </w:r>
            <w:r>
              <w:br/>
              <w:t>Australian jurisdiction has the earliest reporting deadline</w:t>
            </w:r>
          </w:p>
        </w:tc>
      </w:tr>
      <w:tr w:rsidR="00BD5651" w:rsidRPr="000540E1" w14:paraId="48AF8E01" w14:textId="77777777" w:rsidTr="00B110C1">
        <w:trPr>
          <w:cantSplit/>
        </w:trPr>
        <w:tc>
          <w:tcPr>
            <w:tcW w:w="625" w:type="pct"/>
          </w:tcPr>
          <w:p w14:paraId="132E6471" w14:textId="77777777" w:rsidR="00BD5651" w:rsidRPr="000540E1" w:rsidRDefault="00BD5651" w:rsidP="000C7E62">
            <w:pPr>
              <w:pStyle w:val="tbltext"/>
            </w:pPr>
            <w:r>
              <w:t>7</w:t>
            </w:r>
          </w:p>
        </w:tc>
        <w:tc>
          <w:tcPr>
            <w:tcW w:w="4375" w:type="pct"/>
          </w:tcPr>
          <w:p w14:paraId="75D00728" w14:textId="71C9F9A5" w:rsidR="00BD5651" w:rsidRPr="000540E1" w:rsidRDefault="00BD5651" w:rsidP="00226FF1">
            <w:pPr>
              <w:pStyle w:val="tbltext"/>
              <w:ind w:left="170" w:hanging="170"/>
            </w:pPr>
            <w:r>
              <w:t>Cross-jurisdictional transaction</w:t>
            </w:r>
            <w:r>
              <w:br/>
              <w:t>Foreign jurisdiction has the earliest reporting deadline</w:t>
            </w:r>
          </w:p>
        </w:tc>
      </w:tr>
      <w:tr w:rsidR="00BD5651" w:rsidRPr="000540E1" w14:paraId="7727A7D4" w14:textId="77777777" w:rsidTr="00B110C1">
        <w:trPr>
          <w:cantSplit/>
        </w:trPr>
        <w:tc>
          <w:tcPr>
            <w:tcW w:w="625" w:type="pct"/>
          </w:tcPr>
          <w:p w14:paraId="11E79B9A" w14:textId="77777777" w:rsidR="00BD5651" w:rsidRDefault="00BD5651" w:rsidP="000C7E62">
            <w:pPr>
              <w:pStyle w:val="tbltext"/>
            </w:pPr>
            <w:r>
              <w:t>8/8A</w:t>
            </w:r>
          </w:p>
        </w:tc>
        <w:tc>
          <w:tcPr>
            <w:tcW w:w="4375" w:type="pct"/>
          </w:tcPr>
          <w:p w14:paraId="7D49113F" w14:textId="6C7B2F71" w:rsidR="00BD5651" w:rsidRDefault="00BD5651" w:rsidP="00226FF1">
            <w:pPr>
              <w:pStyle w:val="tbltext"/>
              <w:ind w:left="170" w:hanging="170"/>
            </w:pPr>
            <w:r>
              <w:t>Cross-jurisdictional transaction</w:t>
            </w:r>
            <w:r>
              <w:br/>
              <w:t>No jurisdiction has an earliest reporting deadline</w:t>
            </w:r>
          </w:p>
        </w:tc>
      </w:tr>
    </w:tbl>
    <w:p w14:paraId="475E594A" w14:textId="11CA4A87" w:rsidR="00BD5651" w:rsidRDefault="00BD5651" w:rsidP="00C443A0">
      <w:pPr>
        <w:pStyle w:val="BodyText"/>
        <w:numPr>
          <w:ilvl w:val="0"/>
          <w:numId w:val="17"/>
        </w:numPr>
      </w:pPr>
      <w:r>
        <w:t xml:space="preserve">A transaction would be cross-jurisdictional for the kinds of counterparty combinations for transactions set out in </w:t>
      </w:r>
      <w:r>
        <w:fldChar w:fldCharType="begin" w:fldLock="1"/>
      </w:r>
      <w:r>
        <w:instrText xml:space="preserve"> REF _Ref93309865 \h </w:instrText>
      </w:r>
      <w:r>
        <w:fldChar w:fldCharType="separate"/>
      </w:r>
      <w:r w:rsidR="00853A2A">
        <w:t xml:space="preserve">Table </w:t>
      </w:r>
      <w:r w:rsidR="00853A2A">
        <w:rPr>
          <w:noProof/>
        </w:rPr>
        <w:t>10</w:t>
      </w:r>
      <w:r>
        <w:fldChar w:fldCharType="end"/>
      </w:r>
      <w:r w:rsidR="00CD2CEC">
        <w:t>.</w:t>
      </w:r>
    </w:p>
    <w:p w14:paraId="09944DAB" w14:textId="3C28ACD3" w:rsidR="00BD5651" w:rsidRDefault="00BD5651" w:rsidP="00BD5651">
      <w:pPr>
        <w:pStyle w:val="tabletitleindented"/>
      </w:pPr>
      <w:bookmarkStart w:id="61" w:name="_Ref93309865"/>
      <w:r>
        <w:t xml:space="preserve">Table </w:t>
      </w:r>
      <w:fldSimple w:instr=" SEQ Table \* ARABIC ">
        <w:r w:rsidR="006679BA">
          <w:rPr>
            <w:noProof/>
          </w:rPr>
          <w:t>10</w:t>
        </w:r>
      </w:fldSimple>
      <w:bookmarkEnd w:id="61"/>
      <w:r>
        <w:t>:</w:t>
      </w:r>
      <w:r>
        <w:tab/>
        <w:t>Counterparty combinations for cross-jurisdictional transactions</w:t>
      </w:r>
    </w:p>
    <w:tbl>
      <w:tblPr>
        <w:tblW w:w="6803"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268"/>
        <w:gridCol w:w="2268"/>
        <w:gridCol w:w="2267"/>
      </w:tblGrid>
      <w:tr w:rsidR="00BD5651" w:rsidRPr="000540E1" w14:paraId="44A7D6D9" w14:textId="77777777" w:rsidTr="000C7E62">
        <w:trPr>
          <w:cantSplit/>
          <w:tblHeader/>
        </w:trPr>
        <w:tc>
          <w:tcPr>
            <w:tcW w:w="1667" w:type="pct"/>
            <w:tcBorders>
              <w:bottom w:val="single" w:sz="4" w:space="0" w:color="999999"/>
            </w:tcBorders>
            <w:shd w:val="clear" w:color="auto" w:fill="C2E3FA"/>
          </w:tcPr>
          <w:p w14:paraId="19744E2C" w14:textId="77777777" w:rsidR="00BD5651" w:rsidRDefault="00BD5651" w:rsidP="000C7E62">
            <w:pPr>
              <w:pStyle w:val="tablehead"/>
            </w:pPr>
            <w:r>
              <w:t>Counterparty combination</w:t>
            </w:r>
          </w:p>
        </w:tc>
        <w:tc>
          <w:tcPr>
            <w:tcW w:w="1667" w:type="pct"/>
            <w:shd w:val="clear" w:color="auto" w:fill="C2E3FA"/>
          </w:tcPr>
          <w:p w14:paraId="1DE7B88A" w14:textId="77777777" w:rsidR="00BD5651" w:rsidRPr="000540E1" w:rsidRDefault="00BD5651" w:rsidP="000C7E62">
            <w:pPr>
              <w:pStyle w:val="tablehead"/>
            </w:pPr>
            <w:r>
              <w:t>Australian reporting requirements</w:t>
            </w:r>
          </w:p>
        </w:tc>
        <w:tc>
          <w:tcPr>
            <w:tcW w:w="1666" w:type="pct"/>
            <w:shd w:val="clear" w:color="auto" w:fill="C2E3FA"/>
          </w:tcPr>
          <w:p w14:paraId="5D9F55B5" w14:textId="77777777" w:rsidR="00BD5651" w:rsidRPr="000540E1" w:rsidRDefault="00BD5651" w:rsidP="000C7E62">
            <w:pPr>
              <w:pStyle w:val="tablehead"/>
            </w:pPr>
            <w:r>
              <w:t>Other jurisdiction(s) reporting requirements</w:t>
            </w:r>
          </w:p>
        </w:tc>
      </w:tr>
      <w:tr w:rsidR="00BD5651" w:rsidRPr="000540E1" w14:paraId="49E9BC36" w14:textId="77777777" w:rsidTr="000C7E62">
        <w:trPr>
          <w:cantSplit/>
        </w:trPr>
        <w:tc>
          <w:tcPr>
            <w:tcW w:w="1667" w:type="pct"/>
            <w:tcBorders>
              <w:bottom w:val="nil"/>
            </w:tcBorders>
          </w:tcPr>
          <w:p w14:paraId="75EA115B" w14:textId="77777777" w:rsidR="00BD5651" w:rsidRPr="000540E1" w:rsidRDefault="00BD5651" w:rsidP="000C7E62">
            <w:pPr>
              <w:pStyle w:val="tbltext"/>
            </w:pPr>
            <w:r>
              <w:t>ASIC reporting entity</w:t>
            </w:r>
          </w:p>
        </w:tc>
        <w:tc>
          <w:tcPr>
            <w:tcW w:w="1667" w:type="pct"/>
          </w:tcPr>
          <w:p w14:paraId="2FA8B7B0" w14:textId="77777777" w:rsidR="00BD5651" w:rsidRPr="000540E1" w:rsidRDefault="00BD5651" w:rsidP="000C7E62">
            <w:pPr>
              <w:pStyle w:val="tbltext"/>
            </w:pPr>
            <w:r>
              <w:t>Yes</w:t>
            </w:r>
          </w:p>
        </w:tc>
        <w:tc>
          <w:tcPr>
            <w:tcW w:w="1666" w:type="pct"/>
          </w:tcPr>
          <w:p w14:paraId="769B9681" w14:textId="77777777" w:rsidR="00BD5651" w:rsidRPr="000540E1" w:rsidRDefault="00BD5651" w:rsidP="000C7E62">
            <w:pPr>
              <w:pStyle w:val="tbltext"/>
            </w:pPr>
            <w:r>
              <w:t>No</w:t>
            </w:r>
          </w:p>
        </w:tc>
      </w:tr>
      <w:tr w:rsidR="00BD5651" w:rsidRPr="000540E1" w14:paraId="2FBD7F84" w14:textId="77777777" w:rsidTr="000C7E62">
        <w:trPr>
          <w:cantSplit/>
        </w:trPr>
        <w:tc>
          <w:tcPr>
            <w:tcW w:w="1667" w:type="pct"/>
            <w:tcBorders>
              <w:top w:val="nil"/>
            </w:tcBorders>
          </w:tcPr>
          <w:p w14:paraId="26E64C72" w14:textId="77777777" w:rsidR="00BD5651" w:rsidRPr="000540E1" w:rsidRDefault="00BD5651" w:rsidP="000C7E62">
            <w:pPr>
              <w:pStyle w:val="tbltext"/>
            </w:pPr>
            <w:r>
              <w:t>Other counterparty</w:t>
            </w:r>
          </w:p>
        </w:tc>
        <w:tc>
          <w:tcPr>
            <w:tcW w:w="1667" w:type="pct"/>
          </w:tcPr>
          <w:p w14:paraId="6C0F694F" w14:textId="77777777" w:rsidR="00BD5651" w:rsidRPr="000540E1" w:rsidRDefault="00BD5651" w:rsidP="000C7E62">
            <w:pPr>
              <w:pStyle w:val="tbltext"/>
            </w:pPr>
            <w:r>
              <w:t>No</w:t>
            </w:r>
          </w:p>
        </w:tc>
        <w:tc>
          <w:tcPr>
            <w:tcW w:w="1666" w:type="pct"/>
          </w:tcPr>
          <w:p w14:paraId="2647E8DF" w14:textId="77777777" w:rsidR="00BD5651" w:rsidRPr="000540E1" w:rsidRDefault="00BD5651" w:rsidP="000C7E62">
            <w:pPr>
              <w:pStyle w:val="tbltext"/>
            </w:pPr>
            <w:r>
              <w:t>Yes</w:t>
            </w:r>
          </w:p>
        </w:tc>
      </w:tr>
      <w:tr w:rsidR="00BD5651" w:rsidRPr="000540E1" w14:paraId="3A2A4325" w14:textId="77777777" w:rsidTr="000C7E62">
        <w:trPr>
          <w:cantSplit/>
        </w:trPr>
        <w:tc>
          <w:tcPr>
            <w:tcW w:w="1667" w:type="pct"/>
            <w:tcBorders>
              <w:bottom w:val="nil"/>
            </w:tcBorders>
          </w:tcPr>
          <w:p w14:paraId="13D1AFE4" w14:textId="77777777" w:rsidR="00BD5651" w:rsidRPr="000540E1" w:rsidRDefault="00BD5651" w:rsidP="000C7E62">
            <w:pPr>
              <w:pStyle w:val="tbltext"/>
            </w:pPr>
            <w:r>
              <w:t>ASIC reporting entity</w:t>
            </w:r>
          </w:p>
        </w:tc>
        <w:tc>
          <w:tcPr>
            <w:tcW w:w="1667" w:type="pct"/>
          </w:tcPr>
          <w:p w14:paraId="6E55757F" w14:textId="77777777" w:rsidR="00BD5651" w:rsidRPr="000540E1" w:rsidRDefault="00BD5651" w:rsidP="000C7E62">
            <w:pPr>
              <w:pStyle w:val="tbltext"/>
            </w:pPr>
            <w:r>
              <w:t>Yes</w:t>
            </w:r>
          </w:p>
        </w:tc>
        <w:tc>
          <w:tcPr>
            <w:tcW w:w="1666" w:type="pct"/>
          </w:tcPr>
          <w:p w14:paraId="5F8987C4" w14:textId="77777777" w:rsidR="00BD5651" w:rsidRPr="000540E1" w:rsidRDefault="00BD5651" w:rsidP="000C7E62">
            <w:pPr>
              <w:pStyle w:val="tbltext"/>
            </w:pPr>
            <w:r>
              <w:t>Yes</w:t>
            </w:r>
          </w:p>
        </w:tc>
      </w:tr>
      <w:tr w:rsidR="00BD5651" w:rsidRPr="000540E1" w14:paraId="5D8C473E" w14:textId="77777777" w:rsidTr="000C7E62">
        <w:trPr>
          <w:cantSplit/>
        </w:trPr>
        <w:tc>
          <w:tcPr>
            <w:tcW w:w="1667" w:type="pct"/>
            <w:tcBorders>
              <w:top w:val="nil"/>
            </w:tcBorders>
          </w:tcPr>
          <w:p w14:paraId="025EAD39" w14:textId="77777777" w:rsidR="00BD5651" w:rsidRPr="000540E1" w:rsidRDefault="00BD5651" w:rsidP="000C7E62">
            <w:pPr>
              <w:pStyle w:val="tbltext"/>
            </w:pPr>
            <w:r>
              <w:t>Other counterparty</w:t>
            </w:r>
          </w:p>
        </w:tc>
        <w:tc>
          <w:tcPr>
            <w:tcW w:w="1667" w:type="pct"/>
          </w:tcPr>
          <w:p w14:paraId="052821D4" w14:textId="77777777" w:rsidR="00BD5651" w:rsidRPr="000540E1" w:rsidRDefault="00BD5651" w:rsidP="000C7E62">
            <w:pPr>
              <w:pStyle w:val="tbltext"/>
            </w:pPr>
            <w:r>
              <w:t>No</w:t>
            </w:r>
          </w:p>
        </w:tc>
        <w:tc>
          <w:tcPr>
            <w:tcW w:w="1666" w:type="pct"/>
          </w:tcPr>
          <w:p w14:paraId="6FA66562" w14:textId="77777777" w:rsidR="00BD5651" w:rsidRPr="000540E1" w:rsidRDefault="00BD5651" w:rsidP="000C7E62">
            <w:pPr>
              <w:pStyle w:val="tbltext"/>
            </w:pPr>
            <w:r>
              <w:t>Yes</w:t>
            </w:r>
          </w:p>
        </w:tc>
      </w:tr>
      <w:tr w:rsidR="00BD5651" w:rsidRPr="000540E1" w14:paraId="2BEB3F76" w14:textId="77777777" w:rsidTr="000C7E62">
        <w:trPr>
          <w:cantSplit/>
        </w:trPr>
        <w:tc>
          <w:tcPr>
            <w:tcW w:w="1667" w:type="pct"/>
            <w:tcBorders>
              <w:bottom w:val="nil"/>
            </w:tcBorders>
          </w:tcPr>
          <w:p w14:paraId="699600BE" w14:textId="77777777" w:rsidR="00BD5651" w:rsidRPr="000540E1" w:rsidRDefault="00BD5651" w:rsidP="000C7E62">
            <w:pPr>
              <w:pStyle w:val="tbltext"/>
            </w:pPr>
            <w:r>
              <w:t>ASIC reporting entity</w:t>
            </w:r>
          </w:p>
        </w:tc>
        <w:tc>
          <w:tcPr>
            <w:tcW w:w="1667" w:type="pct"/>
          </w:tcPr>
          <w:p w14:paraId="3AA77674" w14:textId="77777777" w:rsidR="00BD5651" w:rsidRPr="000540E1" w:rsidRDefault="00BD5651" w:rsidP="000C7E62">
            <w:pPr>
              <w:pStyle w:val="tbltext"/>
            </w:pPr>
            <w:r>
              <w:t>Yes</w:t>
            </w:r>
          </w:p>
        </w:tc>
        <w:tc>
          <w:tcPr>
            <w:tcW w:w="1666" w:type="pct"/>
          </w:tcPr>
          <w:p w14:paraId="45781C87" w14:textId="77777777" w:rsidR="00BD5651" w:rsidRPr="000540E1" w:rsidRDefault="00BD5651" w:rsidP="000C7E62">
            <w:pPr>
              <w:pStyle w:val="tbltext"/>
            </w:pPr>
            <w:r>
              <w:t>No</w:t>
            </w:r>
          </w:p>
        </w:tc>
      </w:tr>
      <w:tr w:rsidR="00BD5651" w:rsidRPr="000540E1" w14:paraId="61D4F8EF" w14:textId="77777777" w:rsidTr="000C7E62">
        <w:trPr>
          <w:cantSplit/>
        </w:trPr>
        <w:tc>
          <w:tcPr>
            <w:tcW w:w="1667" w:type="pct"/>
            <w:tcBorders>
              <w:top w:val="nil"/>
            </w:tcBorders>
          </w:tcPr>
          <w:p w14:paraId="7AEE523A" w14:textId="77777777" w:rsidR="00BD5651" w:rsidRPr="000540E1" w:rsidRDefault="00BD5651" w:rsidP="000C7E62">
            <w:pPr>
              <w:pStyle w:val="tbltext"/>
            </w:pPr>
            <w:r>
              <w:t>Other counterparty</w:t>
            </w:r>
          </w:p>
        </w:tc>
        <w:tc>
          <w:tcPr>
            <w:tcW w:w="1667" w:type="pct"/>
          </w:tcPr>
          <w:p w14:paraId="23D57C66" w14:textId="77777777" w:rsidR="00BD5651" w:rsidRPr="000540E1" w:rsidRDefault="00BD5651" w:rsidP="000C7E62">
            <w:pPr>
              <w:pStyle w:val="tbltext"/>
            </w:pPr>
            <w:r>
              <w:t>Yes</w:t>
            </w:r>
          </w:p>
        </w:tc>
        <w:tc>
          <w:tcPr>
            <w:tcW w:w="1666" w:type="pct"/>
          </w:tcPr>
          <w:p w14:paraId="50121C50" w14:textId="77777777" w:rsidR="00BD5651" w:rsidRPr="000540E1" w:rsidRDefault="00BD5651" w:rsidP="000C7E62">
            <w:pPr>
              <w:pStyle w:val="tbltext"/>
            </w:pPr>
            <w:r>
              <w:t>Yes</w:t>
            </w:r>
          </w:p>
        </w:tc>
      </w:tr>
      <w:tr w:rsidR="00BD5651" w:rsidRPr="000540E1" w14:paraId="3A36BA36" w14:textId="77777777" w:rsidTr="000C7E62">
        <w:trPr>
          <w:cantSplit/>
        </w:trPr>
        <w:tc>
          <w:tcPr>
            <w:tcW w:w="1667" w:type="pct"/>
            <w:tcBorders>
              <w:bottom w:val="nil"/>
            </w:tcBorders>
          </w:tcPr>
          <w:p w14:paraId="425EDACA" w14:textId="77777777" w:rsidR="00BD5651" w:rsidRPr="000540E1" w:rsidRDefault="00BD5651" w:rsidP="000C7E62">
            <w:pPr>
              <w:pStyle w:val="tbltext"/>
            </w:pPr>
            <w:r>
              <w:t>ASIC reporting entity</w:t>
            </w:r>
          </w:p>
        </w:tc>
        <w:tc>
          <w:tcPr>
            <w:tcW w:w="1667" w:type="pct"/>
          </w:tcPr>
          <w:p w14:paraId="4BFC5BC9" w14:textId="77777777" w:rsidR="00BD5651" w:rsidRPr="000540E1" w:rsidRDefault="00BD5651" w:rsidP="000C7E62">
            <w:pPr>
              <w:pStyle w:val="tbltext"/>
            </w:pPr>
            <w:r>
              <w:t>Yes</w:t>
            </w:r>
          </w:p>
        </w:tc>
        <w:tc>
          <w:tcPr>
            <w:tcW w:w="1666" w:type="pct"/>
          </w:tcPr>
          <w:p w14:paraId="2B5A1725" w14:textId="77777777" w:rsidR="00BD5651" w:rsidRPr="000540E1" w:rsidRDefault="00BD5651" w:rsidP="000C7E62">
            <w:pPr>
              <w:pStyle w:val="tbltext"/>
            </w:pPr>
            <w:r>
              <w:t>Yes</w:t>
            </w:r>
          </w:p>
        </w:tc>
      </w:tr>
      <w:tr w:rsidR="00BD5651" w:rsidRPr="000540E1" w14:paraId="02801CAB" w14:textId="77777777" w:rsidTr="000C7E62">
        <w:trPr>
          <w:cantSplit/>
        </w:trPr>
        <w:tc>
          <w:tcPr>
            <w:tcW w:w="1667" w:type="pct"/>
            <w:tcBorders>
              <w:top w:val="nil"/>
            </w:tcBorders>
          </w:tcPr>
          <w:p w14:paraId="6092864D" w14:textId="77777777" w:rsidR="00BD5651" w:rsidRPr="000540E1" w:rsidRDefault="00BD5651" w:rsidP="000C7E62">
            <w:pPr>
              <w:pStyle w:val="tbltext"/>
            </w:pPr>
            <w:r>
              <w:t>Other counterparty</w:t>
            </w:r>
          </w:p>
        </w:tc>
        <w:tc>
          <w:tcPr>
            <w:tcW w:w="1667" w:type="pct"/>
          </w:tcPr>
          <w:p w14:paraId="70372C42" w14:textId="77777777" w:rsidR="00BD5651" w:rsidRPr="000540E1" w:rsidRDefault="00BD5651" w:rsidP="000C7E62">
            <w:pPr>
              <w:pStyle w:val="tbltext"/>
            </w:pPr>
            <w:r>
              <w:t>Yes</w:t>
            </w:r>
          </w:p>
        </w:tc>
        <w:tc>
          <w:tcPr>
            <w:tcW w:w="1666" w:type="pct"/>
          </w:tcPr>
          <w:p w14:paraId="0FA9DC96" w14:textId="77777777" w:rsidR="00BD5651" w:rsidRPr="000540E1" w:rsidRDefault="00BD5651" w:rsidP="000C7E62">
            <w:pPr>
              <w:pStyle w:val="tbltext"/>
            </w:pPr>
            <w:r>
              <w:t>Yes</w:t>
            </w:r>
          </w:p>
        </w:tc>
      </w:tr>
    </w:tbl>
    <w:p w14:paraId="07D88C1D" w14:textId="4F667EFA" w:rsidR="00BD5651" w:rsidRDefault="00BD5651" w:rsidP="00C443A0">
      <w:pPr>
        <w:pStyle w:val="BodyText"/>
        <w:numPr>
          <w:ilvl w:val="0"/>
          <w:numId w:val="17"/>
        </w:numPr>
      </w:pPr>
      <w:r>
        <w:t>We stress that determining the item of the reportable transaction is a requirement of the draft remade ASIC Rules that is only imposed on ASIC reporting entities</w:t>
      </w:r>
      <w:r w:rsidR="00404CA5">
        <w:t>—</w:t>
      </w:r>
      <w:r>
        <w:t>the draft remade ASIC Rules do not impose requirements on entities that are not ASIC reporting entities, or modify the operation of the UTI rules of other jurisdictions.</w:t>
      </w:r>
    </w:p>
    <w:p w14:paraId="1983ECA9" w14:textId="2A220E92" w:rsidR="00BD5651" w:rsidRPr="00924660" w:rsidRDefault="00BD5651" w:rsidP="00C443A0">
      <w:pPr>
        <w:pStyle w:val="BodyText"/>
        <w:numPr>
          <w:ilvl w:val="0"/>
          <w:numId w:val="17"/>
        </w:numPr>
        <w:rPr>
          <w:spacing w:val="-2"/>
        </w:rPr>
      </w:pPr>
      <w:r w:rsidRPr="00924660">
        <w:rPr>
          <w:spacing w:val="-2"/>
        </w:rPr>
        <w:t xml:space="preserve">We also stress that determining the item of the reportable transaction under the draft remade ASIC Rules will be affected or constrained by the manner in which the UTI rules of the other jurisdiction(s) determine a </w:t>
      </w:r>
      <w:r w:rsidR="002B1D22">
        <w:rPr>
          <w:spacing w:val="-2"/>
        </w:rPr>
        <w:t>UTI generating</w:t>
      </w:r>
      <w:r w:rsidRPr="00924660">
        <w:rPr>
          <w:spacing w:val="-2"/>
        </w:rPr>
        <w:t xml:space="preserve"> entity and the extent to which any relevant transactional circumstances in those rules differ from those in the draft remade ASIC Rules.</w:t>
      </w:r>
    </w:p>
    <w:p w14:paraId="751ADBBC" w14:textId="730ED1B0" w:rsidR="00BD5651" w:rsidRDefault="00BD5651" w:rsidP="00BD5651">
      <w:pPr>
        <w:pStyle w:val="Heading4"/>
      </w:pPr>
      <w:r>
        <w:t xml:space="preserve">The ASIC UTI </w:t>
      </w:r>
      <w:r w:rsidR="004470AA">
        <w:t>w</w:t>
      </w:r>
      <w:r>
        <w:t>aterfall</w:t>
      </w:r>
      <w:r w:rsidR="00404CA5">
        <w:t>—</w:t>
      </w:r>
      <w:r w:rsidR="00AD3B39">
        <w:t>Cross</w:t>
      </w:r>
      <w:r>
        <w:t>-jurisdictional transactions</w:t>
      </w:r>
      <w:r w:rsidR="00404CA5">
        <w:t>—</w:t>
      </w:r>
      <w:r>
        <w:t>Item 5</w:t>
      </w:r>
    </w:p>
    <w:p w14:paraId="226CAFC6" w14:textId="69D2AACA" w:rsidR="00BD5651" w:rsidRDefault="00BD5651" w:rsidP="00C443A0">
      <w:pPr>
        <w:pStyle w:val="BodyText"/>
        <w:numPr>
          <w:ilvl w:val="0"/>
          <w:numId w:val="17"/>
        </w:numPr>
        <w:spacing w:line="290" w:lineRule="atLeast"/>
      </w:pPr>
      <w:r w:rsidRPr="005175FE">
        <w:t>Item 5</w:t>
      </w:r>
      <w:r w:rsidR="00AD3B39" w:rsidRPr="005175FE">
        <w:t>—</w:t>
      </w:r>
      <w:r w:rsidRPr="005175FE">
        <w:t>Cross-jurisdictional transaction</w:t>
      </w:r>
      <w:r>
        <w:t xml:space="preserve"> (determination of the jurisdiction with the earliest reporting deadline is not required)</w:t>
      </w:r>
      <w:r w:rsidR="00404CA5">
        <w:t>—</w:t>
      </w:r>
      <w:r>
        <w:t xml:space="preserve">responds to the feedback to </w:t>
      </w:r>
      <w:r w:rsidR="004C1634" w:rsidRPr="004C1634">
        <w:t>CP 334</w:t>
      </w:r>
      <w:r>
        <w:t xml:space="preserve"> about the complexities of determining all of the jurisdictions to which a transaction is reportable and which of those jurisdictions has the earliest reporting deadline.</w:t>
      </w:r>
    </w:p>
    <w:p w14:paraId="3EA01386" w14:textId="7C183370" w:rsidR="00BD5651" w:rsidRDefault="00BD5651" w:rsidP="00C443A0">
      <w:pPr>
        <w:pStyle w:val="BodyText"/>
        <w:numPr>
          <w:ilvl w:val="0"/>
          <w:numId w:val="17"/>
        </w:numPr>
        <w:spacing w:line="290" w:lineRule="atLeast"/>
      </w:pPr>
      <w:r>
        <w:t xml:space="preserve">We think it is the most important new proposal we are making for </w:t>
      </w:r>
      <w:r w:rsidR="00AD3B39">
        <w:t>R</w:t>
      </w:r>
      <w:r>
        <w:t>ule</w:t>
      </w:r>
      <w:r w:rsidR="00AD3B39">
        <w:t> </w:t>
      </w:r>
      <w:r>
        <w:t xml:space="preserve">2.2.9, as set out in </w:t>
      </w:r>
      <w:r>
        <w:fldChar w:fldCharType="begin" w:fldLock="1"/>
      </w:r>
      <w:r>
        <w:instrText xml:space="preserve"> REF _Ref90301780 \h </w:instrText>
      </w:r>
      <w:r>
        <w:fldChar w:fldCharType="separate"/>
      </w:r>
      <w:r w:rsidR="00853A2A">
        <w:t xml:space="preserve">Table </w:t>
      </w:r>
      <w:r w:rsidR="00853A2A">
        <w:rPr>
          <w:noProof/>
        </w:rPr>
        <w:t>11</w:t>
      </w:r>
      <w:r>
        <w:fldChar w:fldCharType="end"/>
      </w:r>
      <w:r>
        <w:t>.</w:t>
      </w:r>
    </w:p>
    <w:p w14:paraId="1E19D84B" w14:textId="5268900E" w:rsidR="00BD5651" w:rsidRDefault="00BD5651" w:rsidP="00BD5651">
      <w:pPr>
        <w:pStyle w:val="tabletitlefullwidth"/>
      </w:pPr>
      <w:bookmarkStart w:id="62" w:name="_Ref90301780"/>
      <w:r>
        <w:t xml:space="preserve">Table </w:t>
      </w:r>
      <w:fldSimple w:instr=" SEQ Table \* ARABIC ">
        <w:r w:rsidR="006679BA">
          <w:rPr>
            <w:noProof/>
          </w:rPr>
          <w:t>11</w:t>
        </w:r>
      </w:fldSimple>
      <w:bookmarkEnd w:id="62"/>
      <w:r>
        <w:t>:</w:t>
      </w:r>
      <w:r>
        <w:tab/>
        <w:t>Extract from Table 2 of Rule 2.2.9(3)</w:t>
      </w:r>
    </w:p>
    <w:tbl>
      <w:tblPr>
        <w:tblW w:w="4938"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851"/>
        <w:gridCol w:w="5102"/>
        <w:gridCol w:w="3005"/>
      </w:tblGrid>
      <w:tr w:rsidR="00BD5651" w:rsidRPr="000540E1" w14:paraId="78B343EE" w14:textId="77777777" w:rsidTr="000C7E62">
        <w:trPr>
          <w:cantSplit/>
          <w:tblHeader/>
        </w:trPr>
        <w:tc>
          <w:tcPr>
            <w:tcW w:w="475" w:type="pct"/>
            <w:shd w:val="clear" w:color="auto" w:fill="C2E3FA"/>
          </w:tcPr>
          <w:p w14:paraId="608B7C34" w14:textId="77777777" w:rsidR="00BD5651" w:rsidRDefault="00BD5651" w:rsidP="000C7E62">
            <w:pPr>
              <w:pStyle w:val="tablehead"/>
            </w:pPr>
            <w:r>
              <w:t>1. Item</w:t>
            </w:r>
          </w:p>
        </w:tc>
        <w:tc>
          <w:tcPr>
            <w:tcW w:w="2848" w:type="pct"/>
            <w:shd w:val="clear" w:color="auto" w:fill="C2E3FA"/>
          </w:tcPr>
          <w:p w14:paraId="6228B141" w14:textId="77777777" w:rsidR="00BD5651" w:rsidRPr="000540E1" w:rsidRDefault="00BD5651" w:rsidP="000C7E62">
            <w:pPr>
              <w:pStyle w:val="tablehead"/>
            </w:pPr>
            <w:r>
              <w:t>2. Reportable Transaction</w:t>
            </w:r>
          </w:p>
        </w:tc>
        <w:tc>
          <w:tcPr>
            <w:tcW w:w="1677" w:type="pct"/>
            <w:shd w:val="clear" w:color="auto" w:fill="C2E3FA"/>
          </w:tcPr>
          <w:p w14:paraId="4E24E6B3" w14:textId="77777777" w:rsidR="00BD5651" w:rsidRPr="000540E1" w:rsidRDefault="00BD5651" w:rsidP="000C7E62">
            <w:pPr>
              <w:pStyle w:val="tablehead"/>
            </w:pPr>
            <w:r>
              <w:t>3. UTI generating entity</w:t>
            </w:r>
          </w:p>
        </w:tc>
      </w:tr>
      <w:tr w:rsidR="00BD5651" w:rsidRPr="000540E1" w14:paraId="45EDD1FC" w14:textId="77777777" w:rsidTr="000C7E62">
        <w:trPr>
          <w:cantSplit/>
        </w:trPr>
        <w:tc>
          <w:tcPr>
            <w:tcW w:w="475" w:type="pct"/>
          </w:tcPr>
          <w:p w14:paraId="1041F8AD" w14:textId="77777777" w:rsidR="00BD5651" w:rsidRPr="000540E1" w:rsidRDefault="00BD5651" w:rsidP="000C7E62">
            <w:pPr>
              <w:pStyle w:val="tbltext"/>
            </w:pPr>
            <w:r>
              <w:t>5</w:t>
            </w:r>
          </w:p>
        </w:tc>
        <w:tc>
          <w:tcPr>
            <w:tcW w:w="2848" w:type="pct"/>
          </w:tcPr>
          <w:p w14:paraId="4DEDB806" w14:textId="77777777" w:rsidR="00BD5651" w:rsidRPr="00924660" w:rsidRDefault="00BD5651" w:rsidP="00BD5651">
            <w:pPr>
              <w:pStyle w:val="MIRBodyText"/>
              <w:numPr>
                <w:ilvl w:val="0"/>
                <w:numId w:val="0"/>
              </w:numPr>
              <w:tabs>
                <w:tab w:val="clear" w:pos="851"/>
                <w:tab w:val="left" w:pos="2205"/>
              </w:tabs>
              <w:spacing w:before="120" w:line="240" w:lineRule="atLeast"/>
              <w:rPr>
                <w:rFonts w:ascii="Arial" w:hAnsi="Arial" w:cs="Arial"/>
                <w:sz w:val="18"/>
                <w:szCs w:val="18"/>
              </w:rPr>
            </w:pPr>
            <w:r w:rsidRPr="00924660">
              <w:rPr>
                <w:rFonts w:ascii="Arial" w:hAnsi="Arial" w:cs="Arial"/>
                <w:sz w:val="18"/>
                <w:szCs w:val="18"/>
              </w:rPr>
              <w:t>Both of the following apply:</w:t>
            </w:r>
          </w:p>
          <w:p w14:paraId="33B99A58" w14:textId="5F23D388" w:rsidR="00BD5651" w:rsidRPr="00924660" w:rsidRDefault="00BD5651" w:rsidP="00C443A0">
            <w:pPr>
              <w:pStyle w:val="MIRBodyText"/>
              <w:numPr>
                <w:ilvl w:val="0"/>
                <w:numId w:val="19"/>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the Reportable Transaction is required to be reported in this jurisdiction and one or more foreign jurisdictions; and</w:t>
            </w:r>
          </w:p>
          <w:p w14:paraId="7262E57A" w14:textId="308B80A6" w:rsidR="00BD5651" w:rsidRPr="00924660" w:rsidRDefault="00BD5651" w:rsidP="00C443A0">
            <w:pPr>
              <w:pStyle w:val="MIRBodyText"/>
              <w:numPr>
                <w:ilvl w:val="0"/>
                <w:numId w:val="19"/>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the Reporting Entity and the other counterparty determine the UTI generating entity in accordance with a method that the Reporting Entity reasonably believes is in accordance with the derivative transaction reporting requirements of each of the foreign jurisdictions in which the Reportable Transaction will be reported.</w:t>
            </w:r>
          </w:p>
        </w:tc>
        <w:tc>
          <w:tcPr>
            <w:tcW w:w="1677" w:type="pct"/>
          </w:tcPr>
          <w:p w14:paraId="570A6C69" w14:textId="77777777" w:rsidR="00BD5651" w:rsidRPr="00924660" w:rsidRDefault="00BD5651" w:rsidP="000C7E62">
            <w:pPr>
              <w:pStyle w:val="tbltext"/>
            </w:pPr>
            <w:r w:rsidRPr="00924660">
              <w:t>The UTI generating entity determined according to that method</w:t>
            </w:r>
          </w:p>
        </w:tc>
      </w:tr>
    </w:tbl>
    <w:p w14:paraId="4F9D8238" w14:textId="77777777" w:rsidR="00BD5651" w:rsidRDefault="00BD5651" w:rsidP="00C443A0">
      <w:pPr>
        <w:pStyle w:val="BodyText"/>
        <w:numPr>
          <w:ilvl w:val="0"/>
          <w:numId w:val="17"/>
        </w:numPr>
        <w:spacing w:line="290" w:lineRule="atLeast"/>
      </w:pPr>
      <w:r>
        <w:t>Item 5 is framed in the context that the CFTC and ESMA have published their final UTI rules and anticipating that future UTI rules will be made in other jurisdictions, in a form which is as yet unknown.</w:t>
      </w:r>
    </w:p>
    <w:p w14:paraId="689977BB" w14:textId="5829B0FF" w:rsidR="00BD5651" w:rsidRPr="00924660" w:rsidRDefault="00BD5651" w:rsidP="00C443A0">
      <w:pPr>
        <w:pStyle w:val="BodyText"/>
        <w:numPr>
          <w:ilvl w:val="0"/>
          <w:numId w:val="17"/>
        </w:numPr>
        <w:spacing w:line="290" w:lineRule="atLeast"/>
        <w:rPr>
          <w:spacing w:val="-2"/>
        </w:rPr>
      </w:pPr>
      <w:r w:rsidRPr="00924660">
        <w:rPr>
          <w:spacing w:val="-2"/>
        </w:rPr>
        <w:t xml:space="preserve">Item 5 provides ASIC reporting entities with significant flexibilities for determining the </w:t>
      </w:r>
      <w:r w:rsidR="002B1D22">
        <w:rPr>
          <w:spacing w:val="-2"/>
        </w:rPr>
        <w:t>UTI generating</w:t>
      </w:r>
      <w:r w:rsidRPr="00924660">
        <w:rPr>
          <w:spacing w:val="-2"/>
        </w:rPr>
        <w:t xml:space="preserve"> entity, but</w:t>
      </w:r>
      <w:r w:rsidR="00404CA5" w:rsidRPr="00924660">
        <w:rPr>
          <w:spacing w:val="-2"/>
        </w:rPr>
        <w:t>—</w:t>
      </w:r>
      <w:r w:rsidRPr="00924660">
        <w:rPr>
          <w:spacing w:val="-2"/>
        </w:rPr>
        <w:t>respecting the UTI rules of other jurisdictions</w:t>
      </w:r>
      <w:r w:rsidR="00404CA5" w:rsidRPr="00924660">
        <w:rPr>
          <w:spacing w:val="-2"/>
        </w:rPr>
        <w:t>—</w:t>
      </w:r>
      <w:r w:rsidRPr="00924660">
        <w:rPr>
          <w:spacing w:val="-2"/>
        </w:rPr>
        <w:t>is only available where the method used is ‘in accordance with a method that the Reporting Entity reasonably believes is in accordance with the derivative transaction reporting requirements of each of the foreign jurisdictions in which the Reportable Transaction will be reported’.</w:t>
      </w:r>
    </w:p>
    <w:p w14:paraId="62933585" w14:textId="52780AAA" w:rsidR="00BD5651" w:rsidRDefault="00BD5651" w:rsidP="00C443A0">
      <w:pPr>
        <w:pStyle w:val="BodyText"/>
        <w:numPr>
          <w:ilvl w:val="0"/>
          <w:numId w:val="17"/>
        </w:numPr>
        <w:spacing w:line="290" w:lineRule="atLeast"/>
      </w:pPr>
      <w:bookmarkStart w:id="63" w:name="_ASICRef412"/>
      <w:r>
        <w:t xml:space="preserve">An ASIC reporting entity should know whether it will also report the transaction in one or more foreign jurisdictions. It should also know which methods of determining the </w:t>
      </w:r>
      <w:r w:rsidR="002B1D22">
        <w:t>UTI generating</w:t>
      </w:r>
      <w:r>
        <w:t xml:space="preserve"> entity are in accordance with the requirements in the foreign jurisdiction(s)</w:t>
      </w:r>
      <w:r w:rsidR="00EB6F40">
        <w:t xml:space="preserve"> for its reporting</w:t>
      </w:r>
      <w:r>
        <w:t>.</w:t>
      </w:r>
      <w:bookmarkEnd w:id="63"/>
    </w:p>
    <w:p w14:paraId="4479216F" w14:textId="56AAFD67" w:rsidR="00BD5651" w:rsidRDefault="00BD5651" w:rsidP="00C443A0">
      <w:pPr>
        <w:pStyle w:val="BodyText"/>
        <w:numPr>
          <w:ilvl w:val="0"/>
          <w:numId w:val="17"/>
        </w:numPr>
        <w:spacing w:line="290" w:lineRule="atLeast"/>
      </w:pPr>
      <w:r>
        <w:t xml:space="preserve">The other counterparty should know the jurisdictions in which it will report the transaction for the circumstances of the transactions and the methods of determining the </w:t>
      </w:r>
      <w:r w:rsidR="002B1D22">
        <w:t>UTI generating</w:t>
      </w:r>
      <w:r>
        <w:t xml:space="preserve"> entity that are in accordance with the requirements in the foreign jurisdiction(s).</w:t>
      </w:r>
    </w:p>
    <w:p w14:paraId="76046B4C" w14:textId="77777777" w:rsidR="00BD5651" w:rsidRDefault="00BD5651" w:rsidP="00C443A0">
      <w:pPr>
        <w:pStyle w:val="BodyText"/>
        <w:numPr>
          <w:ilvl w:val="0"/>
          <w:numId w:val="17"/>
        </w:numPr>
        <w:spacing w:line="290" w:lineRule="atLeast"/>
      </w:pPr>
      <w:r>
        <w:t xml:space="preserve">However, under this item 5, the ASIC reporting entity does not need to know all of the jurisdictions in which the other counterparty will report the transaction (other than it will report the transaction in at least one foreign jurisdiction) or the reporting deadlines in the jurisdiction(s). </w:t>
      </w:r>
    </w:p>
    <w:p w14:paraId="229549DB" w14:textId="78C8492F" w:rsidR="00BD5651" w:rsidRDefault="00BD5651" w:rsidP="00C443A0">
      <w:pPr>
        <w:pStyle w:val="BodyText"/>
        <w:numPr>
          <w:ilvl w:val="0"/>
          <w:numId w:val="17"/>
        </w:numPr>
        <w:spacing w:line="290" w:lineRule="atLeast"/>
      </w:pPr>
      <w:r>
        <w:t xml:space="preserve">We think that the other counterparty should have the primary responsibility for compliance with the UTI rules to which it is subject. An ASIC reporting entity is required to ‘reasonably believe’ that the method used for determining the </w:t>
      </w:r>
      <w:r w:rsidR="002B1D22">
        <w:t>UTI generating</w:t>
      </w:r>
      <w:r>
        <w:t xml:space="preserve"> entity is in accordance with the requirements in the foreign jurisdiction(s).</w:t>
      </w:r>
    </w:p>
    <w:p w14:paraId="543F2B27" w14:textId="77777777" w:rsidR="00BD5651" w:rsidRDefault="00BD5651" w:rsidP="00C443A0">
      <w:pPr>
        <w:pStyle w:val="BodyText"/>
        <w:numPr>
          <w:ilvl w:val="0"/>
          <w:numId w:val="17"/>
        </w:numPr>
        <w:spacing w:line="290" w:lineRule="atLeast"/>
      </w:pPr>
      <w:bookmarkStart w:id="64" w:name="_ASICRef712"/>
      <w:r>
        <w:t>We think that an ASIC reporting entity can form this reasonable belief based on, for example:</w:t>
      </w:r>
      <w:bookmarkEnd w:id="64"/>
    </w:p>
    <w:p w14:paraId="166753C8" w14:textId="77777777" w:rsidR="00BD5651" w:rsidRDefault="00BD5651" w:rsidP="00C443A0">
      <w:pPr>
        <w:pStyle w:val="subparaa"/>
        <w:numPr>
          <w:ilvl w:val="1"/>
          <w:numId w:val="17"/>
        </w:numPr>
        <w:spacing w:line="290" w:lineRule="atLeast"/>
      </w:pPr>
      <w:r>
        <w:t>representations from the other counterparty; or</w:t>
      </w:r>
    </w:p>
    <w:p w14:paraId="1505E69E" w14:textId="77777777" w:rsidR="00BD5651" w:rsidRDefault="00BD5651" w:rsidP="00C443A0">
      <w:pPr>
        <w:pStyle w:val="subparaa"/>
        <w:numPr>
          <w:ilvl w:val="1"/>
          <w:numId w:val="17"/>
        </w:numPr>
        <w:spacing w:line="290" w:lineRule="atLeast"/>
      </w:pPr>
      <w:r>
        <w:t>its own knowledge of the requirements in foreign jurisdictions.</w:t>
      </w:r>
    </w:p>
    <w:p w14:paraId="1E6CEF67" w14:textId="0EF7A4F0" w:rsidR="00BD5651" w:rsidRDefault="00BD5651" w:rsidP="00BD5651">
      <w:pPr>
        <w:pStyle w:val="Note"/>
      </w:pPr>
      <w:r>
        <w:t xml:space="preserve">Note: </w:t>
      </w:r>
      <w:r w:rsidR="00D74359">
        <w:t>T</w:t>
      </w:r>
      <w:r>
        <w:t xml:space="preserve">here are no specific bases for the reasonable belief set out in </w:t>
      </w:r>
      <w:r w:rsidR="00D74359">
        <w:t>R</w:t>
      </w:r>
      <w:r>
        <w:t>ule 2.2.9</w:t>
      </w:r>
      <w:r w:rsidR="00D74359">
        <w:t>,</w:t>
      </w:r>
      <w:r>
        <w:t xml:space="preserve"> including that there are no requirements for the form of a representation from the other counterparty.</w:t>
      </w:r>
    </w:p>
    <w:p w14:paraId="44DC0F0B" w14:textId="1D153DD1" w:rsidR="00BD5651" w:rsidRDefault="00BD5651" w:rsidP="00C443A0">
      <w:pPr>
        <w:pStyle w:val="BodyText"/>
        <w:numPr>
          <w:ilvl w:val="0"/>
          <w:numId w:val="17"/>
        </w:numPr>
        <w:spacing w:line="290" w:lineRule="atLeast"/>
      </w:pPr>
      <w:r>
        <w:t xml:space="preserve">We think the operation of item 5 can be as set out in </w:t>
      </w:r>
      <w:r>
        <w:fldChar w:fldCharType="begin" w:fldLock="1"/>
      </w:r>
      <w:r>
        <w:instrText xml:space="preserve"> REF _Ref93316361 \h </w:instrText>
      </w:r>
      <w:r>
        <w:fldChar w:fldCharType="separate"/>
      </w:r>
      <w:r w:rsidR="00853A2A">
        <w:t xml:space="preserve">Table </w:t>
      </w:r>
      <w:r w:rsidR="00853A2A">
        <w:rPr>
          <w:noProof/>
        </w:rPr>
        <w:t>12</w:t>
      </w:r>
      <w:r>
        <w:fldChar w:fldCharType="end"/>
      </w:r>
      <w:r>
        <w:t xml:space="preserve"> and w</w:t>
      </w:r>
      <w:r w:rsidRPr="003123AB">
        <w:rPr>
          <w:color w:val="000000" w:themeColor="text1"/>
        </w:rPr>
        <w:t>e anticipate that</w:t>
      </w:r>
      <w:r>
        <w:rPr>
          <w:color w:val="000000" w:themeColor="text1"/>
        </w:rPr>
        <w:t xml:space="preserve"> </w:t>
      </w:r>
      <w:r w:rsidRPr="003123AB">
        <w:rPr>
          <w:color w:val="000000" w:themeColor="text1"/>
        </w:rPr>
        <w:t xml:space="preserve">we would </w:t>
      </w:r>
      <w:r>
        <w:rPr>
          <w:color w:val="000000" w:themeColor="text1"/>
        </w:rPr>
        <w:t xml:space="preserve">include guidance of this kind </w:t>
      </w:r>
      <w:r w:rsidRPr="003123AB">
        <w:rPr>
          <w:color w:val="000000" w:themeColor="text1"/>
        </w:rPr>
        <w:t xml:space="preserve">in an amendment to </w:t>
      </w:r>
      <w:hyperlink r:id="rId71" w:history="1">
        <w:r w:rsidR="00B60AB4" w:rsidRPr="00B60AB4">
          <w:rPr>
            <w:rStyle w:val="Hyperlink"/>
          </w:rPr>
          <w:t xml:space="preserve">Regulatory Guide </w:t>
        </w:r>
        <w:r w:rsidRPr="00B60AB4">
          <w:rPr>
            <w:rStyle w:val="Hyperlink"/>
          </w:rPr>
          <w:t>251</w:t>
        </w:r>
      </w:hyperlink>
      <w:r w:rsidRPr="003123AB">
        <w:rPr>
          <w:color w:val="000000" w:themeColor="text1"/>
        </w:rPr>
        <w:t xml:space="preserve"> </w:t>
      </w:r>
      <w:r w:rsidRPr="00924660">
        <w:rPr>
          <w:i/>
          <w:iCs/>
          <w:color w:val="000000" w:themeColor="text1"/>
        </w:rPr>
        <w:t>Derivative transaction reporting</w:t>
      </w:r>
      <w:r>
        <w:rPr>
          <w:color w:val="000000" w:themeColor="text1"/>
        </w:rPr>
        <w:t xml:space="preserve"> </w:t>
      </w:r>
      <w:r w:rsidRPr="00B60AB4">
        <w:rPr>
          <w:color w:val="000000" w:themeColor="text1"/>
        </w:rPr>
        <w:t>(</w:t>
      </w:r>
      <w:r w:rsidRPr="000A4612">
        <w:rPr>
          <w:color w:val="000000" w:themeColor="text1"/>
        </w:rPr>
        <w:t>RG 251)</w:t>
      </w:r>
      <w:r w:rsidRPr="00B60AB4">
        <w:t>.</w:t>
      </w:r>
    </w:p>
    <w:p w14:paraId="4939EABE" w14:textId="6C38DD52" w:rsidR="00BD5651" w:rsidRDefault="00BD5651" w:rsidP="00BD5651">
      <w:pPr>
        <w:pStyle w:val="tabletitleindented"/>
      </w:pPr>
      <w:bookmarkStart w:id="65" w:name="_Ref93316361"/>
      <w:r>
        <w:t xml:space="preserve">Table </w:t>
      </w:r>
      <w:fldSimple w:instr=" SEQ Table \* ARABIC ">
        <w:r w:rsidR="006679BA">
          <w:rPr>
            <w:noProof/>
          </w:rPr>
          <w:t>12</w:t>
        </w:r>
      </w:fldSimple>
      <w:bookmarkEnd w:id="65"/>
      <w:r>
        <w:t>:</w:t>
      </w:r>
      <w:r>
        <w:tab/>
        <w:t>Operation of item 5 for circumstances of the other counterparty</w:t>
      </w:r>
    </w:p>
    <w:tbl>
      <w:tblPr>
        <w:tblW w:w="6803"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401"/>
        <w:gridCol w:w="3402"/>
      </w:tblGrid>
      <w:tr w:rsidR="00BD5651" w:rsidRPr="000540E1" w14:paraId="543653E1" w14:textId="77777777" w:rsidTr="000C7E62">
        <w:trPr>
          <w:cantSplit/>
          <w:tblHeader/>
        </w:trPr>
        <w:tc>
          <w:tcPr>
            <w:tcW w:w="2500" w:type="pct"/>
            <w:shd w:val="clear" w:color="auto" w:fill="C2E3FA"/>
          </w:tcPr>
          <w:p w14:paraId="4DEF5B61" w14:textId="759B5D49" w:rsidR="00BD5651" w:rsidRPr="000540E1" w:rsidRDefault="00BD5651" w:rsidP="00924660">
            <w:pPr>
              <w:pStyle w:val="tablehead"/>
              <w:spacing w:line="230" w:lineRule="atLeast"/>
            </w:pPr>
            <w:r>
              <w:t xml:space="preserve">Method for determining the </w:t>
            </w:r>
            <w:r w:rsidR="002B1D22">
              <w:t>UTI generating</w:t>
            </w:r>
            <w:r>
              <w:t xml:space="preserve"> entity</w:t>
            </w:r>
          </w:p>
        </w:tc>
        <w:tc>
          <w:tcPr>
            <w:tcW w:w="2500" w:type="pct"/>
            <w:shd w:val="clear" w:color="auto" w:fill="C2E3FA"/>
          </w:tcPr>
          <w:p w14:paraId="729188B4" w14:textId="77777777" w:rsidR="00BD5651" w:rsidRPr="000540E1" w:rsidRDefault="00BD5651" w:rsidP="00924660">
            <w:pPr>
              <w:pStyle w:val="tablehead"/>
              <w:spacing w:line="230" w:lineRule="atLeast"/>
            </w:pPr>
            <w:r>
              <w:t>Circumstances of the other counterparty</w:t>
            </w:r>
          </w:p>
        </w:tc>
      </w:tr>
      <w:tr w:rsidR="00BD5651" w:rsidRPr="000540E1" w14:paraId="2C368E77" w14:textId="77777777" w:rsidTr="000C7E62">
        <w:trPr>
          <w:cantSplit/>
        </w:trPr>
        <w:tc>
          <w:tcPr>
            <w:tcW w:w="2500" w:type="pct"/>
          </w:tcPr>
          <w:p w14:paraId="433CCD8F" w14:textId="48CB2661" w:rsidR="00BD5651" w:rsidRPr="000540E1" w:rsidRDefault="00BD5651" w:rsidP="00924660">
            <w:pPr>
              <w:pStyle w:val="tbltext"/>
              <w:spacing w:line="230" w:lineRule="atLeast"/>
            </w:pPr>
            <w:r>
              <w:t>A ‘bounce-back’ method</w:t>
            </w:r>
            <w:r>
              <w:br/>
            </w:r>
            <w:r w:rsidR="00B60AB4">
              <w:t>(</w:t>
            </w:r>
            <w:r>
              <w:t>i.e. a method under the UTI rules to which the other counterparty is subject</w:t>
            </w:r>
            <w:r w:rsidR="00B60AB4">
              <w:t>)</w:t>
            </w:r>
          </w:p>
        </w:tc>
        <w:tc>
          <w:tcPr>
            <w:tcW w:w="2500" w:type="pct"/>
          </w:tcPr>
          <w:p w14:paraId="0EA6B33B" w14:textId="77777777" w:rsidR="00BD5651" w:rsidRPr="000540E1" w:rsidRDefault="00BD5651" w:rsidP="00924660">
            <w:pPr>
              <w:pStyle w:val="tbltext"/>
              <w:spacing w:line="230" w:lineRule="atLeast"/>
            </w:pPr>
            <w:r>
              <w:t>The other counterparty represents that it must use a method according to particular UTI rules to which it is subject</w:t>
            </w:r>
          </w:p>
        </w:tc>
      </w:tr>
      <w:tr w:rsidR="00BD5651" w:rsidRPr="000540E1" w14:paraId="6C90B3D2" w14:textId="77777777" w:rsidTr="000C7E62">
        <w:trPr>
          <w:cantSplit/>
        </w:trPr>
        <w:tc>
          <w:tcPr>
            <w:tcW w:w="2500" w:type="pct"/>
          </w:tcPr>
          <w:p w14:paraId="44042F44" w14:textId="6456BE37" w:rsidR="00BD5651" w:rsidRPr="000540E1" w:rsidRDefault="00BD5651" w:rsidP="00924660">
            <w:pPr>
              <w:pStyle w:val="tbltext"/>
              <w:spacing w:line="230" w:lineRule="atLeast"/>
            </w:pPr>
            <w:r>
              <w:t>Any method as agreed by the parties</w:t>
            </w:r>
            <w:r w:rsidR="00B60AB4">
              <w:t xml:space="preserve"> (</w:t>
            </w:r>
            <w:r>
              <w:t>i.e. a bilateral agreement</w:t>
            </w:r>
            <w:r w:rsidR="00B60AB4">
              <w:t>)</w:t>
            </w:r>
          </w:p>
        </w:tc>
        <w:tc>
          <w:tcPr>
            <w:tcW w:w="2500" w:type="pct"/>
          </w:tcPr>
          <w:p w14:paraId="6F961AD8" w14:textId="77777777" w:rsidR="00BD5651" w:rsidRPr="000540E1" w:rsidRDefault="00BD5651" w:rsidP="00924660">
            <w:pPr>
              <w:pStyle w:val="tbltext"/>
              <w:spacing w:line="230" w:lineRule="atLeast"/>
            </w:pPr>
            <w:r>
              <w:t>The other counterparty is subject to UTI rules that provide for any method or where the other counterparty recognises that item 5 is within the meaning of ‘the UTI rules of the jurisdiction with the earliest reporting deadline’</w:t>
            </w:r>
          </w:p>
        </w:tc>
      </w:tr>
      <w:tr w:rsidR="00BD5651" w:rsidRPr="000540E1" w14:paraId="0C96C48D" w14:textId="77777777" w:rsidTr="000C7E62">
        <w:trPr>
          <w:cantSplit/>
        </w:trPr>
        <w:tc>
          <w:tcPr>
            <w:tcW w:w="2500" w:type="pct"/>
          </w:tcPr>
          <w:p w14:paraId="064F7A1A" w14:textId="2B94A571" w:rsidR="00BD5651" w:rsidRPr="000540E1" w:rsidRDefault="00056343" w:rsidP="00924660">
            <w:pPr>
              <w:pStyle w:val="tbltext"/>
              <w:spacing w:line="230" w:lineRule="atLeast"/>
            </w:pPr>
            <w:r>
              <w:t>N</w:t>
            </w:r>
            <w:r w:rsidR="00B60AB4">
              <w:t>ot applicable</w:t>
            </w:r>
            <w:r w:rsidR="00404CA5">
              <w:t>—</w:t>
            </w:r>
            <w:r w:rsidR="00BD5651">
              <w:t>no method is available</w:t>
            </w:r>
          </w:p>
        </w:tc>
        <w:tc>
          <w:tcPr>
            <w:tcW w:w="2500" w:type="pct"/>
          </w:tcPr>
          <w:p w14:paraId="320BDFD5" w14:textId="01ED1AD1" w:rsidR="00BD5651" w:rsidRPr="000540E1" w:rsidRDefault="00BD5651" w:rsidP="00924660">
            <w:pPr>
              <w:pStyle w:val="tbltext"/>
              <w:spacing w:line="230" w:lineRule="atLeast"/>
            </w:pPr>
            <w:r>
              <w:t xml:space="preserve">The other counterparty does not recognise item 5 as a method for determining the </w:t>
            </w:r>
            <w:r w:rsidR="002B1D22">
              <w:t>UTI generating</w:t>
            </w:r>
            <w:r>
              <w:t xml:space="preserve"> entity under the UTI rules to which it is subject</w:t>
            </w:r>
          </w:p>
        </w:tc>
      </w:tr>
    </w:tbl>
    <w:p w14:paraId="0EFF045B" w14:textId="77777777" w:rsidR="00BD5651" w:rsidRDefault="00BD5651" w:rsidP="00C443A0">
      <w:pPr>
        <w:pStyle w:val="BodyText"/>
        <w:numPr>
          <w:ilvl w:val="0"/>
          <w:numId w:val="17"/>
        </w:numPr>
        <w:spacing w:line="290" w:lineRule="atLeast"/>
      </w:pPr>
      <w:r>
        <w:t>Under item 5, an ASIC reporting entity is not required to determine the jurisdiction with the earliest reporting deadline. However, the other counterparty may be subject to UTI rules that do require this.</w:t>
      </w:r>
    </w:p>
    <w:p w14:paraId="6856D433" w14:textId="77777777" w:rsidR="00BD5651" w:rsidRDefault="00BD5651" w:rsidP="00C443A0">
      <w:pPr>
        <w:pStyle w:val="BodyText"/>
        <w:numPr>
          <w:ilvl w:val="0"/>
          <w:numId w:val="17"/>
        </w:numPr>
        <w:spacing w:line="290" w:lineRule="atLeast"/>
      </w:pPr>
      <w:r>
        <w:t>Where the other counterparty asserts that a particular foreign jurisdiction is the jurisdiction with the earliest reporting deadline and that particular UTI rules apply to the transaction, the ASIC reporting entity may agree to using that method, regardless of any view that it may have on the jurisdiction with the earliest reporting deadline.</w:t>
      </w:r>
    </w:p>
    <w:p w14:paraId="66178AC2" w14:textId="77777777" w:rsidR="00BD5651" w:rsidRDefault="00BD5651" w:rsidP="00C443A0">
      <w:pPr>
        <w:pStyle w:val="BodyText"/>
        <w:numPr>
          <w:ilvl w:val="0"/>
          <w:numId w:val="17"/>
        </w:numPr>
      </w:pPr>
      <w:r>
        <w:t>In this regard, we characterise this method as a ‘bounce-back’ method.</w:t>
      </w:r>
    </w:p>
    <w:p w14:paraId="30331356" w14:textId="03DEEC6F" w:rsidR="00BD5651" w:rsidRDefault="00BD5651" w:rsidP="00BD5651">
      <w:pPr>
        <w:pStyle w:val="Note"/>
      </w:pPr>
      <w:r>
        <w:t xml:space="preserve">Note: </w:t>
      </w:r>
      <w:r w:rsidR="00573D16">
        <w:t>T</w:t>
      </w:r>
      <w:r>
        <w:t xml:space="preserve">he method that is used may be the same as is available under </w:t>
      </w:r>
      <w:r w:rsidR="006666F3">
        <w:t>i</w:t>
      </w:r>
      <w:r>
        <w:t>tem 6 (</w:t>
      </w:r>
      <w:r w:rsidRPr="000F0D74">
        <w:t>Australian jurisdiction has the earliest reporting deadline</w:t>
      </w:r>
      <w:r>
        <w:t>)</w:t>
      </w:r>
      <w:r w:rsidR="00404CA5">
        <w:t>—</w:t>
      </w:r>
      <w:r>
        <w:t>whether the outcome is a ‘bounce-back’ is moot, if the alternative under the draft remade ASIC Rules would give the same outcome.</w:t>
      </w:r>
    </w:p>
    <w:p w14:paraId="3279A26F" w14:textId="77777777" w:rsidR="00BD5651" w:rsidRDefault="00BD5651" w:rsidP="00C443A0">
      <w:pPr>
        <w:pStyle w:val="BodyText"/>
        <w:numPr>
          <w:ilvl w:val="0"/>
          <w:numId w:val="17"/>
        </w:numPr>
      </w:pPr>
      <w:r>
        <w:t>This is an example of the way in which the method that an ASIC reporting entity may agree with its counterparty is constrained by the manner in which the UTI rules of another jurisdiction apply to the other counterparty.</w:t>
      </w:r>
    </w:p>
    <w:p w14:paraId="7F594E24" w14:textId="74CD9992" w:rsidR="00BD5651" w:rsidRDefault="00BD5651" w:rsidP="00C443A0">
      <w:pPr>
        <w:pStyle w:val="BodyText"/>
        <w:numPr>
          <w:ilvl w:val="0"/>
          <w:numId w:val="17"/>
        </w:numPr>
      </w:pPr>
      <w:r>
        <w:t xml:space="preserve">Where the UTI rules </w:t>
      </w:r>
      <w:r w:rsidR="00417EEB">
        <w:t>of another jurisdiction appl</w:t>
      </w:r>
      <w:r w:rsidR="00667540">
        <w:t>icable</w:t>
      </w:r>
      <w:r w:rsidR="00417EEB">
        <w:t xml:space="preserve"> to the other counterparty </w:t>
      </w:r>
      <w:r w:rsidR="00667540">
        <w:t xml:space="preserve">also </w:t>
      </w:r>
      <w:r>
        <w:t>allow an ‘any method’ outcome without requiring that the jurisdiction with the earliest reporting deadline be determined, any method</w:t>
      </w:r>
      <w:r w:rsidR="00404CA5">
        <w:t>—</w:t>
      </w:r>
      <w:r>
        <w:t>i.e. ‘a method’</w:t>
      </w:r>
      <w:r w:rsidR="00404CA5">
        <w:t>—</w:t>
      </w:r>
      <w:r>
        <w:t xml:space="preserve">may be used by the ASIC reporting entity under the ASIC Rules to determine the </w:t>
      </w:r>
      <w:r w:rsidR="002B1D22">
        <w:t>UTI generating</w:t>
      </w:r>
      <w:r>
        <w:t xml:space="preserve"> entity.</w:t>
      </w:r>
    </w:p>
    <w:p w14:paraId="2017C8C5" w14:textId="64D6495F" w:rsidR="00BD5651" w:rsidRDefault="00BD5651" w:rsidP="00C443A0">
      <w:pPr>
        <w:pStyle w:val="BodyText"/>
        <w:numPr>
          <w:ilvl w:val="0"/>
          <w:numId w:val="17"/>
        </w:numPr>
      </w:pPr>
      <w:r>
        <w:t>The ASIC reporting entity must ‘reasonably believe’ that the method is in accordance with the requirements in the foreign jurisdiction(s)</w:t>
      </w:r>
      <w:r w:rsidR="00404CA5">
        <w:t>—</w:t>
      </w:r>
      <w:r>
        <w:t>as we currently understand, there are no UTI rules in foreign jurisdictions that explicitly allow for an ‘any method’ outcome, without requiring that the jurisdiction with the earliest reporting deadline be determined.</w:t>
      </w:r>
    </w:p>
    <w:p w14:paraId="4B7DF3A0" w14:textId="211BFE9A" w:rsidR="00BD5651" w:rsidRDefault="00BD5651" w:rsidP="00C443A0">
      <w:pPr>
        <w:pStyle w:val="BodyText"/>
        <w:numPr>
          <w:ilvl w:val="0"/>
          <w:numId w:val="17"/>
        </w:numPr>
      </w:pPr>
      <w:r>
        <w:t>Alternatively, the UTI rules in the foreign jurisdiction(s) of the other counterparty may provide that, where this jurisdiction is the jurisdiction with the earliest reporting deadline, the other counterparty must generate a UTI according to the draft remade ASIC Rules.</w:t>
      </w:r>
    </w:p>
    <w:p w14:paraId="39F81499" w14:textId="5E2C6FB5" w:rsidR="00BD5651" w:rsidRDefault="00BD5651" w:rsidP="00C443A0">
      <w:pPr>
        <w:pStyle w:val="BodyText"/>
        <w:numPr>
          <w:ilvl w:val="0"/>
          <w:numId w:val="17"/>
        </w:numPr>
      </w:pPr>
      <w:r>
        <w:t xml:space="preserve">Item 5 allows for ‘any method’ </w:t>
      </w:r>
      <w:r w:rsidR="009611F9">
        <w:t xml:space="preserve">as agreed by the parties </w:t>
      </w:r>
      <w:r>
        <w:t>according to the draft remade ASIC Rules. Where the other counterparty asserts that this jurisdiction is the earliest reporting deadline and that it must generate a UTI according to the draft remade ASIC Rules, the parties may agree any method</w:t>
      </w:r>
      <w:r w:rsidR="00404CA5">
        <w:t>—</w:t>
      </w:r>
      <w:r w:rsidR="00BF392E">
        <w:t>that is,</w:t>
      </w:r>
      <w:r>
        <w:t xml:space="preserve"> ‘a method’</w:t>
      </w:r>
      <w:r w:rsidR="00404CA5">
        <w:t>—</w:t>
      </w:r>
      <w:r>
        <w:t xml:space="preserve">for determining the </w:t>
      </w:r>
      <w:r w:rsidR="002B1D22">
        <w:t>UTI generating</w:t>
      </w:r>
      <w:r>
        <w:t xml:space="preserve"> entity.</w:t>
      </w:r>
    </w:p>
    <w:p w14:paraId="7D3AF264" w14:textId="77777777" w:rsidR="00BD5651" w:rsidRDefault="00BD5651" w:rsidP="00C443A0">
      <w:pPr>
        <w:pStyle w:val="BodyText"/>
        <w:numPr>
          <w:ilvl w:val="0"/>
          <w:numId w:val="17"/>
        </w:numPr>
      </w:pPr>
      <w:r>
        <w:t>This is subject to the ASIC reporting entity ‘reasonably believing’ that the method is in accordance with the requirements in the foreign jurisdictions.</w:t>
      </w:r>
    </w:p>
    <w:p w14:paraId="5971EB1A" w14:textId="4D220090" w:rsidR="00BD5651" w:rsidRDefault="00BD5651" w:rsidP="00C443A0">
      <w:pPr>
        <w:pStyle w:val="BodyText"/>
        <w:numPr>
          <w:ilvl w:val="0"/>
          <w:numId w:val="17"/>
        </w:numPr>
      </w:pPr>
      <w:r>
        <w:t>The last possible result of the operation of item 5 in Table 9</w:t>
      </w:r>
      <w:r w:rsidR="00404CA5">
        <w:t>—</w:t>
      </w:r>
      <w:r>
        <w:t>‘n/a</w:t>
      </w:r>
      <w:r w:rsidR="00404CA5">
        <w:t>—</w:t>
      </w:r>
      <w:r>
        <w:t>no method is available’</w:t>
      </w:r>
      <w:r w:rsidR="00404CA5">
        <w:t>—</w:t>
      </w:r>
      <w:r>
        <w:t>would most likely be in the circumstances that the other counterparty believes that item 5 is not in accordance with the UTI rules to which it is subject.</w:t>
      </w:r>
    </w:p>
    <w:p w14:paraId="02551931" w14:textId="77777777" w:rsidR="00BD5651" w:rsidRDefault="00BD5651" w:rsidP="00C443A0">
      <w:pPr>
        <w:pStyle w:val="BodyText"/>
        <w:numPr>
          <w:ilvl w:val="0"/>
          <w:numId w:val="17"/>
        </w:numPr>
      </w:pPr>
      <w:r>
        <w:t>This may be where, notwithstanding that the other counterparty asserts that this jurisdiction has the earliest reporting deadline and that it must generate a UTI according to the draft remade ASIC Rules, the other counterparty may still not be sufficiently certain that generating a UTI under item 5 of the draft remade ASIC Rules would be in accordance with the UTI rules of the jurisdictions to which it is subject. For example, the other counterparty may consider that item 6 is the relevant UTI rule within the draft remade ASIC Rules where this jurisdiction has the earliest reporting deadline.</w:t>
      </w:r>
    </w:p>
    <w:p w14:paraId="15B430FD" w14:textId="2C7C7ABE" w:rsidR="00BD5651" w:rsidRDefault="00BD5651" w:rsidP="00C443A0">
      <w:pPr>
        <w:pStyle w:val="BodyText"/>
        <w:numPr>
          <w:ilvl w:val="0"/>
          <w:numId w:val="17"/>
        </w:numPr>
      </w:pPr>
      <w:r>
        <w:t xml:space="preserve">In these circumstances, we think that the ASIC reporting entity would not be able to ‘reasonably believe’ that determining a </w:t>
      </w:r>
      <w:r w:rsidR="002B1D22">
        <w:t>UTI generating</w:t>
      </w:r>
      <w:r>
        <w:t xml:space="preserve"> entity under item 5 is ‘</w:t>
      </w:r>
      <w:r w:rsidRPr="00C94C86">
        <w:t>in accordance with the derivative transaction reporting requirements of each of the foreign jurisdictions in which the Reportable Transaction will be reported</w:t>
      </w:r>
      <w:r>
        <w:t>’</w:t>
      </w:r>
      <w:r w:rsidRPr="00C94C86">
        <w:t>.</w:t>
      </w:r>
    </w:p>
    <w:p w14:paraId="3CC818A1" w14:textId="32E37C6E" w:rsidR="00BD5651" w:rsidRDefault="00BD5651" w:rsidP="00BD5651">
      <w:pPr>
        <w:pStyle w:val="Heading4"/>
      </w:pPr>
      <w:r>
        <w:t xml:space="preserve">The ASIC UTI </w:t>
      </w:r>
      <w:r w:rsidR="004470AA">
        <w:t>w</w:t>
      </w:r>
      <w:r>
        <w:t>aterfall</w:t>
      </w:r>
      <w:r w:rsidR="00404CA5">
        <w:t>—</w:t>
      </w:r>
      <w:r w:rsidR="00BF392E">
        <w:t>D</w:t>
      </w:r>
      <w:r>
        <w:t>etermining the jurisdiction with the earliest reporting deadline</w:t>
      </w:r>
    </w:p>
    <w:p w14:paraId="6365A43D" w14:textId="77777777" w:rsidR="00BD5651" w:rsidRDefault="00BD5651" w:rsidP="00C443A0">
      <w:pPr>
        <w:pStyle w:val="BodyText"/>
        <w:numPr>
          <w:ilvl w:val="0"/>
          <w:numId w:val="17"/>
        </w:numPr>
      </w:pPr>
      <w:bookmarkStart w:id="66" w:name="_ASICRef186"/>
      <w:r>
        <w:t>While we think that many UTIs for cross-jurisdictional transactions will be able to be determined under item 5 without requiring an ASIC reporting entity to determine the jurisdiction with the earliest reporting deadline, this cannot be assured for all reportable transactions.</w:t>
      </w:r>
      <w:bookmarkEnd w:id="66"/>
    </w:p>
    <w:p w14:paraId="4D5AAA80" w14:textId="77777777" w:rsidR="00BD5651" w:rsidRDefault="00BD5651" w:rsidP="00C443A0">
      <w:pPr>
        <w:pStyle w:val="BodyText"/>
        <w:numPr>
          <w:ilvl w:val="0"/>
          <w:numId w:val="17"/>
        </w:numPr>
      </w:pPr>
      <w:r>
        <w:t>Notwithstanding that the ASIC UTI waterfall is framed with the flexibility to:</w:t>
      </w:r>
    </w:p>
    <w:p w14:paraId="2A4BD162" w14:textId="77777777" w:rsidR="00BD5651" w:rsidRDefault="00BD5651" w:rsidP="00C443A0">
      <w:pPr>
        <w:pStyle w:val="subparaa"/>
        <w:numPr>
          <w:ilvl w:val="1"/>
          <w:numId w:val="17"/>
        </w:numPr>
      </w:pPr>
      <w:r>
        <w:t>enable ASIC reporting entities to concur with the determination that their foreign counterparty makes of the jurisdiction with the earliest reporting deadline; or</w:t>
      </w:r>
    </w:p>
    <w:p w14:paraId="39AC711F" w14:textId="711B0FC0" w:rsidR="00BD5651" w:rsidRDefault="00BD5651" w:rsidP="00C443A0">
      <w:pPr>
        <w:pStyle w:val="subparaa"/>
        <w:numPr>
          <w:ilvl w:val="1"/>
          <w:numId w:val="17"/>
        </w:numPr>
      </w:pPr>
      <w:r>
        <w:t>use as their determination under the draft remade ASIC Rules the same determination that they make under the UTI rules of another jurisdiction to which they are also subject</w:t>
      </w:r>
      <w:r w:rsidR="00BF392E">
        <w:t>,</w:t>
      </w:r>
    </w:p>
    <w:p w14:paraId="277C87E8" w14:textId="77777777" w:rsidR="00BD5651" w:rsidRDefault="00BD5651" w:rsidP="00BD5651">
      <w:pPr>
        <w:pStyle w:val="subparaa"/>
        <w:numPr>
          <w:ilvl w:val="0"/>
          <w:numId w:val="0"/>
        </w:numPr>
        <w:ind w:left="2268"/>
      </w:pPr>
      <w:r>
        <w:t>there may still be situations where an ASIC reporting entity will need to form an independent view of the jurisdiction with the earliest reporting deadline.</w:t>
      </w:r>
    </w:p>
    <w:p w14:paraId="6F769A5B" w14:textId="52F13465" w:rsidR="00BD5651" w:rsidRPr="000C79AE" w:rsidRDefault="00BD5651" w:rsidP="00C443A0">
      <w:pPr>
        <w:pStyle w:val="BodyText"/>
        <w:numPr>
          <w:ilvl w:val="0"/>
          <w:numId w:val="17"/>
        </w:numPr>
      </w:pPr>
      <w:bookmarkStart w:id="67" w:name="_ASICRef583"/>
      <w:r w:rsidRPr="000905E8">
        <w:rPr>
          <w:color w:val="000000" w:themeColor="text1"/>
        </w:rPr>
        <w:t xml:space="preserve">As </w:t>
      </w:r>
      <w:r>
        <w:rPr>
          <w:color w:val="000000" w:themeColor="text1"/>
        </w:rPr>
        <w:t xml:space="preserve">a foundation element to enable </w:t>
      </w:r>
      <w:r>
        <w:t xml:space="preserve">the jurisdiction with the earliest reporting deadline to be determined under the draft remade ASIC Rules, we have decided to proceed with our proposal in </w:t>
      </w:r>
      <w:hyperlink r:id="rId72" w:history="1">
        <w:r w:rsidRPr="00BF392E">
          <w:rPr>
            <w:rStyle w:val="Hyperlink"/>
          </w:rPr>
          <w:t>CP 334</w:t>
        </w:r>
      </w:hyperlink>
      <w:r>
        <w:t xml:space="preserve"> to s</w:t>
      </w:r>
      <w:r w:rsidRPr="000C79AE">
        <w:rPr>
          <w:color w:val="000000" w:themeColor="text1"/>
        </w:rPr>
        <w:t>pecify, for UTI purposes only,</w:t>
      </w:r>
      <w:r>
        <w:rPr>
          <w:color w:val="000000" w:themeColor="text1"/>
        </w:rPr>
        <w:t xml:space="preserve"> a singular time for </w:t>
      </w:r>
      <w:r w:rsidRPr="000C79AE">
        <w:rPr>
          <w:color w:val="000000" w:themeColor="text1"/>
        </w:rPr>
        <w:t>the reporting deadline in this jurisdiction</w:t>
      </w:r>
      <w:r>
        <w:rPr>
          <w:color w:val="000000" w:themeColor="text1"/>
        </w:rPr>
        <w:t xml:space="preserve">. </w:t>
      </w:r>
      <w:r w:rsidR="00205102">
        <w:rPr>
          <w:color w:val="000000" w:themeColor="text1"/>
        </w:rPr>
        <w:t xml:space="preserve">In view of </w:t>
      </w:r>
      <w:r>
        <w:rPr>
          <w:color w:val="000000" w:themeColor="text1"/>
        </w:rPr>
        <w:t xml:space="preserve">the mixed feedback as to how this time should be expressed, we have decided to maintain consistency with the existing </w:t>
      </w:r>
      <w:r w:rsidR="004E368F">
        <w:rPr>
          <w:color w:val="000000" w:themeColor="text1"/>
        </w:rPr>
        <w:t>R</w:t>
      </w:r>
      <w:r>
        <w:rPr>
          <w:color w:val="000000" w:themeColor="text1"/>
        </w:rPr>
        <w:t>ule 2.2.3 and express this time as ‘th</w:t>
      </w:r>
      <w:r w:rsidRPr="000C79AE">
        <w:rPr>
          <w:color w:val="000000" w:themeColor="text1"/>
        </w:rPr>
        <w:t>e end of the next business day in Sydney</w:t>
      </w:r>
      <w:r>
        <w:rPr>
          <w:color w:val="000000" w:themeColor="text1"/>
        </w:rPr>
        <w:t>’</w:t>
      </w:r>
      <w:r w:rsidR="00404CA5">
        <w:rPr>
          <w:color w:val="000000" w:themeColor="text1"/>
        </w:rPr>
        <w:t>—</w:t>
      </w:r>
      <w:r>
        <w:rPr>
          <w:color w:val="000000" w:themeColor="text1"/>
        </w:rPr>
        <w:t xml:space="preserve">see </w:t>
      </w:r>
      <w:r w:rsidR="001766EC">
        <w:rPr>
          <w:color w:val="000000" w:themeColor="text1"/>
        </w:rPr>
        <w:t>Rule 2.2.3</w:t>
      </w:r>
      <w:r>
        <w:rPr>
          <w:color w:val="000000" w:themeColor="text1"/>
        </w:rPr>
        <w:t>(4). This resolves a singular reporting deadline for UTI purposes, whereas the actual reporting deadline for any particular transaction remains as the end of the next business day of the jurisdiction in which the transaction is entered into.</w:t>
      </w:r>
      <w:bookmarkEnd w:id="67"/>
    </w:p>
    <w:p w14:paraId="340C9569" w14:textId="37BD787D" w:rsidR="00BD5651" w:rsidRPr="006C2B08" w:rsidRDefault="00BD5651" w:rsidP="00C443A0">
      <w:pPr>
        <w:pStyle w:val="BodyText"/>
        <w:numPr>
          <w:ilvl w:val="0"/>
          <w:numId w:val="17"/>
        </w:numPr>
      </w:pPr>
      <w:r>
        <w:rPr>
          <w:color w:val="000000" w:themeColor="text1"/>
        </w:rPr>
        <w:t xml:space="preserve">Given a clear definition, for UTI purposes, of </w:t>
      </w:r>
      <w:r w:rsidRPr="000C79AE">
        <w:rPr>
          <w:color w:val="000000" w:themeColor="text1"/>
        </w:rPr>
        <w:t>the reporting deadline in this jurisdiction</w:t>
      </w:r>
      <w:r>
        <w:rPr>
          <w:color w:val="000000" w:themeColor="text1"/>
        </w:rPr>
        <w:t xml:space="preserve">, we further intend that the way in which ASIC reporting entities determine the </w:t>
      </w:r>
      <w:r>
        <w:t>jurisdiction with the earliest reporting deadline</w:t>
      </w:r>
      <w:r>
        <w:rPr>
          <w:color w:val="000000" w:themeColor="text1"/>
        </w:rPr>
        <w:t xml:space="preserve"> is consistent with the ways that this </w:t>
      </w:r>
      <w:r w:rsidR="004E368F">
        <w:rPr>
          <w:color w:val="000000" w:themeColor="text1"/>
        </w:rPr>
        <w:t xml:space="preserve">is </w:t>
      </w:r>
      <w:r>
        <w:rPr>
          <w:color w:val="000000" w:themeColor="text1"/>
        </w:rPr>
        <w:t>determined under the UTI rules of other jurisdictions.</w:t>
      </w:r>
    </w:p>
    <w:p w14:paraId="61CCBCD4" w14:textId="1C4E1E00" w:rsidR="00BD5651" w:rsidRDefault="00BD5651" w:rsidP="00C443A0">
      <w:pPr>
        <w:pStyle w:val="BodyText"/>
        <w:numPr>
          <w:ilvl w:val="0"/>
          <w:numId w:val="17"/>
        </w:numPr>
      </w:pPr>
      <w:r>
        <w:rPr>
          <w:color w:val="000000" w:themeColor="text1"/>
        </w:rPr>
        <w:t xml:space="preserve">At this time, we understand that, as with the feedback to </w:t>
      </w:r>
      <w:r w:rsidR="00AA496F" w:rsidRPr="00AA496F">
        <w:t>CP 334</w:t>
      </w:r>
      <w:r>
        <w:rPr>
          <w:color w:val="000000" w:themeColor="text1"/>
        </w:rPr>
        <w:t xml:space="preserve"> discussed at paragraph </w:t>
      </w:r>
      <w:r>
        <w:rPr>
          <w:color w:val="000000" w:themeColor="text1"/>
        </w:rPr>
        <w:fldChar w:fldCharType="begin" w:fldLock="1"/>
      </w:r>
      <w:r>
        <w:rPr>
          <w:color w:val="000000" w:themeColor="text1"/>
        </w:rPr>
        <w:instrText xml:space="preserve"> REF _ASICRef207 \w \h </w:instrText>
      </w:r>
      <w:r>
        <w:rPr>
          <w:color w:val="000000" w:themeColor="text1"/>
        </w:rPr>
      </w:r>
      <w:r>
        <w:rPr>
          <w:color w:val="000000" w:themeColor="text1"/>
        </w:rPr>
        <w:fldChar w:fldCharType="separate"/>
      </w:r>
      <w:r w:rsidR="00853A2A">
        <w:rPr>
          <w:color w:val="000000" w:themeColor="text1"/>
        </w:rPr>
        <w:t>31</w:t>
      </w:r>
      <w:r>
        <w:rPr>
          <w:color w:val="000000" w:themeColor="text1"/>
        </w:rPr>
        <w:fldChar w:fldCharType="end"/>
      </w:r>
      <w:r>
        <w:rPr>
          <w:color w:val="000000" w:themeColor="text1"/>
        </w:rPr>
        <w:t xml:space="preserve">, engagement by other international regulators with their stakeholders has not yet resolved a preferred methodology for determining the </w:t>
      </w:r>
      <w:r>
        <w:t>jurisdiction with the earliest reporting deadline.</w:t>
      </w:r>
    </w:p>
    <w:p w14:paraId="0674E923" w14:textId="7BE1ABD4" w:rsidR="00BD5651" w:rsidRDefault="00BD5651" w:rsidP="00C443A0">
      <w:pPr>
        <w:pStyle w:val="BodyText"/>
        <w:numPr>
          <w:ilvl w:val="0"/>
          <w:numId w:val="17"/>
        </w:numPr>
      </w:pPr>
      <w:r w:rsidRPr="003123AB">
        <w:rPr>
          <w:color w:val="000000" w:themeColor="text1"/>
        </w:rPr>
        <w:t xml:space="preserve">Consequently, and noting that we think the imperative to set out a methodology is secondary to the flexibilities provided under item 5, we are not proposing that any such methodology is set out in the draft remade ASIC Rules. We anticipate that, following a clearer international consensus on a common methodology, we would set this out </w:t>
      </w:r>
      <w:r>
        <w:rPr>
          <w:color w:val="000000" w:themeColor="text1"/>
        </w:rPr>
        <w:t xml:space="preserve">as guidance </w:t>
      </w:r>
      <w:r w:rsidRPr="003123AB">
        <w:rPr>
          <w:color w:val="000000" w:themeColor="text1"/>
        </w:rPr>
        <w:t xml:space="preserve">in an amendment to </w:t>
      </w:r>
      <w:hyperlink r:id="rId73" w:history="1">
        <w:r w:rsidRPr="004E368F">
          <w:rPr>
            <w:rStyle w:val="Hyperlink"/>
          </w:rPr>
          <w:t>RG 251</w:t>
        </w:r>
      </w:hyperlink>
      <w:r>
        <w:rPr>
          <w:color w:val="000000" w:themeColor="text1"/>
        </w:rPr>
        <w:t>.</w:t>
      </w:r>
    </w:p>
    <w:p w14:paraId="4E208834" w14:textId="56C3BE0D" w:rsidR="00BD5651" w:rsidRDefault="00BD5651" w:rsidP="00BD5651">
      <w:pPr>
        <w:pStyle w:val="Heading4"/>
      </w:pPr>
      <w:r>
        <w:t xml:space="preserve">The ASIC UTI </w:t>
      </w:r>
      <w:r w:rsidR="004470AA">
        <w:t>w</w:t>
      </w:r>
      <w:r>
        <w:t>aterfall</w:t>
      </w:r>
      <w:r w:rsidR="00404CA5">
        <w:t>—</w:t>
      </w:r>
      <w:r w:rsidR="004E368F">
        <w:t>C</w:t>
      </w:r>
      <w:r>
        <w:t>ross-jurisdictional transactions</w:t>
      </w:r>
      <w:r w:rsidR="00404CA5">
        <w:t>—</w:t>
      </w:r>
      <w:r>
        <w:t>Items 6/6A</w:t>
      </w:r>
    </w:p>
    <w:p w14:paraId="51161E56" w14:textId="43CB202E" w:rsidR="00BD5651" w:rsidRPr="007E246D" w:rsidRDefault="00BD5651" w:rsidP="00C443A0">
      <w:pPr>
        <w:pStyle w:val="BodyText"/>
        <w:numPr>
          <w:ilvl w:val="0"/>
          <w:numId w:val="17"/>
        </w:numPr>
      </w:pPr>
      <w:r>
        <w:t xml:space="preserve">Item 6 refers to the circumstances where this jurisdiction is the jurisdiction with the earliest reporting deadline and item 6A sets out the steps for determining the </w:t>
      </w:r>
      <w:r w:rsidR="002B1D22">
        <w:t>UTI generating</w:t>
      </w:r>
      <w:r>
        <w:t xml:space="preserve"> entity, as set out in </w:t>
      </w:r>
      <w:r>
        <w:fldChar w:fldCharType="begin" w:fldLock="1"/>
      </w:r>
      <w:r>
        <w:instrText xml:space="preserve"> REF _Ref93326088 \h </w:instrText>
      </w:r>
      <w:r>
        <w:fldChar w:fldCharType="separate"/>
      </w:r>
      <w:r w:rsidR="00853A2A">
        <w:t xml:space="preserve">Table </w:t>
      </w:r>
      <w:r w:rsidR="00853A2A">
        <w:rPr>
          <w:noProof/>
        </w:rPr>
        <w:t>13</w:t>
      </w:r>
      <w:r>
        <w:fldChar w:fldCharType="end"/>
      </w:r>
      <w:r>
        <w:t>.</w:t>
      </w:r>
    </w:p>
    <w:p w14:paraId="5896B536" w14:textId="4CDA23CB" w:rsidR="00BD5651" w:rsidRDefault="00BD5651" w:rsidP="00BD5651">
      <w:pPr>
        <w:pStyle w:val="tabletitlefullwidth"/>
      </w:pPr>
      <w:bookmarkStart w:id="68" w:name="_Ref93326088"/>
      <w:r>
        <w:t xml:space="preserve">Table </w:t>
      </w:r>
      <w:fldSimple w:instr=" SEQ Table \* ARABIC ">
        <w:r w:rsidR="006679BA">
          <w:rPr>
            <w:noProof/>
          </w:rPr>
          <w:t>13</w:t>
        </w:r>
      </w:fldSimple>
      <w:bookmarkEnd w:id="68"/>
      <w:r>
        <w:t>:</w:t>
      </w:r>
      <w:r>
        <w:tab/>
        <w:t>Extract from Table 2 of Rule 2.2.9(3)</w:t>
      </w:r>
    </w:p>
    <w:tbl>
      <w:tblPr>
        <w:tblW w:w="4938"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851"/>
        <w:gridCol w:w="5102"/>
        <w:gridCol w:w="3005"/>
      </w:tblGrid>
      <w:tr w:rsidR="00BD5651" w:rsidRPr="000540E1" w14:paraId="38187D4A" w14:textId="77777777" w:rsidTr="000C7E62">
        <w:trPr>
          <w:cantSplit/>
          <w:tblHeader/>
        </w:trPr>
        <w:tc>
          <w:tcPr>
            <w:tcW w:w="475" w:type="pct"/>
            <w:tcBorders>
              <w:bottom w:val="single" w:sz="4" w:space="0" w:color="999999"/>
            </w:tcBorders>
            <w:shd w:val="clear" w:color="auto" w:fill="C2E3FA"/>
          </w:tcPr>
          <w:p w14:paraId="28B2CF01" w14:textId="77777777" w:rsidR="00BD5651" w:rsidRDefault="00BD5651" w:rsidP="000C7E62">
            <w:pPr>
              <w:pStyle w:val="tablehead"/>
            </w:pPr>
            <w:r>
              <w:t>1. Item</w:t>
            </w:r>
          </w:p>
        </w:tc>
        <w:tc>
          <w:tcPr>
            <w:tcW w:w="2848" w:type="pct"/>
            <w:tcBorders>
              <w:bottom w:val="single" w:sz="4" w:space="0" w:color="999999"/>
            </w:tcBorders>
            <w:shd w:val="clear" w:color="auto" w:fill="C2E3FA"/>
          </w:tcPr>
          <w:p w14:paraId="6EBC32E6" w14:textId="77777777" w:rsidR="00BD5651" w:rsidRPr="000540E1" w:rsidRDefault="00BD5651" w:rsidP="000C7E62">
            <w:pPr>
              <w:pStyle w:val="tablehead"/>
            </w:pPr>
            <w:r>
              <w:t>2. Reportable Transaction</w:t>
            </w:r>
          </w:p>
        </w:tc>
        <w:tc>
          <w:tcPr>
            <w:tcW w:w="1677" w:type="pct"/>
            <w:tcBorders>
              <w:bottom w:val="single" w:sz="4" w:space="0" w:color="999999"/>
            </w:tcBorders>
            <w:shd w:val="clear" w:color="auto" w:fill="C2E3FA"/>
          </w:tcPr>
          <w:p w14:paraId="44F9A414" w14:textId="7D3A53EE" w:rsidR="00BD5651" w:rsidRPr="000540E1" w:rsidRDefault="00BD5651" w:rsidP="000C7E62">
            <w:pPr>
              <w:pStyle w:val="tablehead"/>
            </w:pPr>
            <w:r>
              <w:t>3. UTI generating entity</w:t>
            </w:r>
          </w:p>
        </w:tc>
      </w:tr>
      <w:tr w:rsidR="00BD5651" w:rsidRPr="000540E1" w14:paraId="219CC6E7" w14:textId="77777777" w:rsidTr="000C7E62">
        <w:trPr>
          <w:cantSplit/>
        </w:trPr>
        <w:tc>
          <w:tcPr>
            <w:tcW w:w="475" w:type="pct"/>
          </w:tcPr>
          <w:p w14:paraId="1E8B5A8C" w14:textId="77777777" w:rsidR="00BD5651" w:rsidRPr="000540E1" w:rsidRDefault="00BD5651" w:rsidP="000C7E62">
            <w:pPr>
              <w:pStyle w:val="tbltext"/>
            </w:pPr>
            <w:r>
              <w:t>6</w:t>
            </w:r>
          </w:p>
        </w:tc>
        <w:tc>
          <w:tcPr>
            <w:tcW w:w="2848" w:type="pct"/>
          </w:tcPr>
          <w:p w14:paraId="631D7E74" w14:textId="77777777" w:rsidR="00BD5651" w:rsidRPr="00924660" w:rsidRDefault="00BD5651" w:rsidP="00240808">
            <w:pPr>
              <w:pStyle w:val="MIRBodyText"/>
              <w:numPr>
                <w:ilvl w:val="0"/>
                <w:numId w:val="0"/>
              </w:numPr>
              <w:tabs>
                <w:tab w:val="clear" w:pos="851"/>
                <w:tab w:val="left" w:pos="2205"/>
              </w:tabs>
              <w:spacing w:before="120" w:line="240" w:lineRule="atLeast"/>
              <w:rPr>
                <w:rFonts w:ascii="Arial" w:hAnsi="Arial" w:cs="Arial"/>
                <w:sz w:val="18"/>
                <w:szCs w:val="18"/>
              </w:rPr>
            </w:pPr>
            <w:r w:rsidRPr="00924660">
              <w:rPr>
                <w:rFonts w:ascii="Arial" w:hAnsi="Arial" w:cs="Arial"/>
                <w:sz w:val="18"/>
                <w:szCs w:val="18"/>
              </w:rPr>
              <w:t>Both of the following apply:</w:t>
            </w:r>
          </w:p>
          <w:p w14:paraId="7D8920EC" w14:textId="4F5A1120" w:rsidR="00BD5651" w:rsidRPr="00924660" w:rsidRDefault="00BD5651" w:rsidP="00C443A0">
            <w:pPr>
              <w:pStyle w:val="MIRBodyText"/>
              <w:numPr>
                <w:ilvl w:val="0"/>
                <w:numId w:val="20"/>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the Reportable Transaction is required to be reported in this jurisdiction and one or more foreign jurisdiction(s); and</w:t>
            </w:r>
          </w:p>
          <w:p w14:paraId="10C0F672" w14:textId="06205982" w:rsidR="00BD5651" w:rsidRPr="00924660" w:rsidRDefault="00BD5651" w:rsidP="00C443A0">
            <w:pPr>
              <w:pStyle w:val="MIRBodyText"/>
              <w:numPr>
                <w:ilvl w:val="0"/>
                <w:numId w:val="20"/>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this jurisdiction is the jurisdiction with the earliest reporting deadline</w:t>
            </w:r>
            <w:r w:rsidR="00B633E4">
              <w:rPr>
                <w:rFonts w:ascii="Arial" w:hAnsi="Arial" w:cs="Arial"/>
                <w:sz w:val="18"/>
                <w:szCs w:val="18"/>
              </w:rPr>
              <w:t>.</w:t>
            </w:r>
          </w:p>
          <w:p w14:paraId="55BB3EDE" w14:textId="243997AE" w:rsidR="00BD5651" w:rsidRPr="00924660" w:rsidRDefault="00BD5651" w:rsidP="000C7E62">
            <w:pPr>
              <w:tabs>
                <w:tab w:val="left" w:pos="2205"/>
              </w:tabs>
              <w:spacing w:before="120" w:after="0" w:line="240" w:lineRule="atLeast"/>
              <w:rPr>
                <w:rFonts w:ascii="Arial" w:hAnsi="Arial" w:cs="Arial"/>
                <w:sz w:val="18"/>
                <w:szCs w:val="18"/>
              </w:rPr>
            </w:pPr>
            <w:r w:rsidRPr="00924660">
              <w:rPr>
                <w:rFonts w:ascii="Arial" w:hAnsi="Arial" w:cs="Arial"/>
                <w:sz w:val="16"/>
                <w:szCs w:val="16"/>
              </w:rPr>
              <w:t xml:space="preserve">Note: </w:t>
            </w:r>
            <w:r w:rsidR="001766EC" w:rsidRPr="00924660">
              <w:rPr>
                <w:rFonts w:ascii="Arial" w:hAnsi="Arial" w:cs="Arial"/>
                <w:sz w:val="16"/>
                <w:szCs w:val="16"/>
              </w:rPr>
              <w:t>S</w:t>
            </w:r>
            <w:r w:rsidRPr="00924660">
              <w:rPr>
                <w:rFonts w:ascii="Arial" w:hAnsi="Arial" w:cs="Arial"/>
                <w:sz w:val="16"/>
                <w:szCs w:val="16"/>
              </w:rPr>
              <w:t>ee subrule (4) for the meaning of the reporting deadline in this jurisdiction</w:t>
            </w:r>
          </w:p>
        </w:tc>
        <w:tc>
          <w:tcPr>
            <w:tcW w:w="1677" w:type="pct"/>
          </w:tcPr>
          <w:p w14:paraId="0B67A11F" w14:textId="3EFA535C" w:rsidR="00BD5651" w:rsidRPr="00924660" w:rsidRDefault="00BD5651" w:rsidP="000C7E62">
            <w:pPr>
              <w:pStyle w:val="tbltext"/>
            </w:pPr>
            <w:r w:rsidRPr="00924660">
              <w:t>The UTI generating entity determined according to Item 6A</w:t>
            </w:r>
          </w:p>
        </w:tc>
      </w:tr>
      <w:tr w:rsidR="00BD5651" w:rsidRPr="000540E1" w14:paraId="591745F0" w14:textId="77777777" w:rsidTr="00240808">
        <w:trPr>
          <w:cantSplit/>
        </w:trPr>
        <w:tc>
          <w:tcPr>
            <w:tcW w:w="475" w:type="pct"/>
            <w:tcBorders>
              <w:bottom w:val="single" w:sz="4" w:space="0" w:color="999999"/>
            </w:tcBorders>
          </w:tcPr>
          <w:p w14:paraId="16875EF1" w14:textId="77777777" w:rsidR="00BD5651" w:rsidRDefault="00BD5651" w:rsidP="000C7E62">
            <w:pPr>
              <w:pStyle w:val="tbltext"/>
            </w:pPr>
            <w:r>
              <w:t>6A</w:t>
            </w:r>
          </w:p>
        </w:tc>
        <w:tc>
          <w:tcPr>
            <w:tcW w:w="2848" w:type="pct"/>
            <w:tcBorders>
              <w:bottom w:val="single" w:sz="4" w:space="0" w:color="999999"/>
            </w:tcBorders>
          </w:tcPr>
          <w:p w14:paraId="625200EA" w14:textId="4F557E79" w:rsidR="00BD5651" w:rsidRPr="00924660" w:rsidRDefault="00BD5651" w:rsidP="00240808">
            <w:pPr>
              <w:pStyle w:val="MIRBodyText"/>
              <w:numPr>
                <w:ilvl w:val="0"/>
                <w:numId w:val="0"/>
              </w:numPr>
              <w:tabs>
                <w:tab w:val="clear" w:pos="851"/>
                <w:tab w:val="left" w:pos="2205"/>
              </w:tabs>
              <w:spacing w:before="120" w:line="240" w:lineRule="atLeast"/>
              <w:rPr>
                <w:rFonts w:ascii="Arial" w:hAnsi="Arial" w:cs="Arial"/>
                <w:sz w:val="18"/>
                <w:szCs w:val="18"/>
              </w:rPr>
            </w:pPr>
            <w:r w:rsidRPr="00924660">
              <w:rPr>
                <w:rFonts w:ascii="Arial" w:hAnsi="Arial" w:cs="Arial"/>
                <w:sz w:val="18"/>
                <w:szCs w:val="18"/>
              </w:rPr>
              <w:t>If Item 6 requires the UTI generating entity to be determined in accordance with this item:</w:t>
            </w:r>
          </w:p>
        </w:tc>
        <w:tc>
          <w:tcPr>
            <w:tcW w:w="1677" w:type="pct"/>
            <w:tcBorders>
              <w:bottom w:val="single" w:sz="4" w:space="0" w:color="999999"/>
            </w:tcBorders>
          </w:tcPr>
          <w:p w14:paraId="7EFA0824" w14:textId="24BBBBCE" w:rsidR="00BD5651" w:rsidRPr="00924660" w:rsidRDefault="001766EC" w:rsidP="000C7E62">
            <w:pPr>
              <w:pStyle w:val="tbltext"/>
            </w:pPr>
            <w:r w:rsidRPr="00924660">
              <w:rPr>
                <w:color w:val="FFFFFF" w:themeColor="background1"/>
              </w:rPr>
              <w:t>Blank cell</w:t>
            </w:r>
          </w:p>
        </w:tc>
      </w:tr>
      <w:tr w:rsidR="00BD5651" w:rsidRPr="000540E1" w14:paraId="432C3C85" w14:textId="77777777" w:rsidTr="00240808">
        <w:trPr>
          <w:cantSplit/>
        </w:trPr>
        <w:tc>
          <w:tcPr>
            <w:tcW w:w="475" w:type="pct"/>
            <w:tcBorders>
              <w:bottom w:val="nil"/>
            </w:tcBorders>
          </w:tcPr>
          <w:p w14:paraId="6CE2E193" w14:textId="166EBD2B" w:rsidR="00BD5651" w:rsidRPr="00924660" w:rsidRDefault="001766EC" w:rsidP="000C7E62">
            <w:pPr>
              <w:pStyle w:val="tbltext"/>
              <w:rPr>
                <w:color w:val="FFFFFF" w:themeColor="background1"/>
              </w:rPr>
            </w:pPr>
            <w:r w:rsidRPr="00924660">
              <w:rPr>
                <w:color w:val="FFFFFF" w:themeColor="background1"/>
              </w:rPr>
              <w:t>6A</w:t>
            </w:r>
          </w:p>
        </w:tc>
        <w:tc>
          <w:tcPr>
            <w:tcW w:w="2848" w:type="pct"/>
            <w:tcBorders>
              <w:bottom w:val="nil"/>
            </w:tcBorders>
          </w:tcPr>
          <w:p w14:paraId="56F4B8FD" w14:textId="1C9EAD14" w:rsidR="00BD5651" w:rsidRPr="00924660" w:rsidRDefault="00BD5651" w:rsidP="00C443A0">
            <w:pPr>
              <w:pStyle w:val="MIRBodyText"/>
              <w:numPr>
                <w:ilvl w:val="0"/>
                <w:numId w:val="21"/>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where the Reportable Transaction has been, or will be, electronically affirmed or confirmed on an affirmation or confirmation platform and the operator of the affirmation or confirmation platform will generate a UTI</w:t>
            </w:r>
            <w:r w:rsidR="00DD0560" w:rsidRPr="00924660">
              <w:rPr>
                <w:rFonts w:ascii="Arial" w:hAnsi="Arial" w:cs="Arial"/>
                <w:sz w:val="18"/>
                <w:szCs w:val="18"/>
              </w:rPr>
              <w:t>;</w:t>
            </w:r>
          </w:p>
        </w:tc>
        <w:tc>
          <w:tcPr>
            <w:tcW w:w="1677" w:type="pct"/>
            <w:tcBorders>
              <w:bottom w:val="nil"/>
            </w:tcBorders>
          </w:tcPr>
          <w:p w14:paraId="0569B408" w14:textId="77777777" w:rsidR="00BD5651" w:rsidRPr="00924660" w:rsidRDefault="00BD5651" w:rsidP="000C7E62">
            <w:pPr>
              <w:pStyle w:val="tbltext"/>
            </w:pPr>
            <w:r w:rsidRPr="00924660">
              <w:t>The operator of the affirmation or confirmation platform</w:t>
            </w:r>
          </w:p>
        </w:tc>
      </w:tr>
      <w:tr w:rsidR="00BD5651" w:rsidRPr="000540E1" w14:paraId="2C6ED385" w14:textId="77777777" w:rsidTr="00240808">
        <w:trPr>
          <w:cantSplit/>
        </w:trPr>
        <w:tc>
          <w:tcPr>
            <w:tcW w:w="475" w:type="pct"/>
            <w:tcBorders>
              <w:top w:val="nil"/>
              <w:bottom w:val="nil"/>
            </w:tcBorders>
          </w:tcPr>
          <w:p w14:paraId="131A9B34" w14:textId="357A6ABD" w:rsidR="00BD5651" w:rsidRPr="00924660" w:rsidRDefault="001766EC" w:rsidP="000C7E62">
            <w:pPr>
              <w:pStyle w:val="tbltext"/>
              <w:rPr>
                <w:color w:val="FFFFFF" w:themeColor="background1"/>
              </w:rPr>
            </w:pPr>
            <w:r w:rsidRPr="00924660">
              <w:rPr>
                <w:color w:val="FFFFFF" w:themeColor="background1"/>
              </w:rPr>
              <w:t>6A</w:t>
            </w:r>
          </w:p>
        </w:tc>
        <w:tc>
          <w:tcPr>
            <w:tcW w:w="2848" w:type="pct"/>
            <w:tcBorders>
              <w:top w:val="nil"/>
              <w:bottom w:val="nil"/>
            </w:tcBorders>
          </w:tcPr>
          <w:p w14:paraId="7EC0C80B" w14:textId="402FD1BF" w:rsidR="00BD5651" w:rsidRPr="00924660" w:rsidRDefault="00BD5651" w:rsidP="00C443A0">
            <w:pPr>
              <w:pStyle w:val="MIRBodyText"/>
              <w:numPr>
                <w:ilvl w:val="0"/>
                <w:numId w:val="21"/>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if paragraph (a) does not apply and the Reporting Entity and the other counterparty have an agreement for the purposes of determining which of them is the UTI generating entity</w:t>
            </w:r>
            <w:r w:rsidR="00B633E4">
              <w:rPr>
                <w:rFonts w:ascii="Arial" w:hAnsi="Arial" w:cs="Arial"/>
                <w:sz w:val="18"/>
                <w:szCs w:val="18"/>
              </w:rPr>
              <w:t>;</w:t>
            </w:r>
          </w:p>
        </w:tc>
        <w:tc>
          <w:tcPr>
            <w:tcW w:w="1677" w:type="pct"/>
            <w:tcBorders>
              <w:top w:val="nil"/>
              <w:bottom w:val="nil"/>
            </w:tcBorders>
          </w:tcPr>
          <w:p w14:paraId="44C74A01" w14:textId="77777777" w:rsidR="00BD5651" w:rsidRPr="00924660" w:rsidRDefault="00BD5651" w:rsidP="000C7E62">
            <w:pPr>
              <w:pStyle w:val="tbltext"/>
            </w:pPr>
            <w:r w:rsidRPr="00924660">
              <w:t>The UTI generating entity determined according to that agreement</w:t>
            </w:r>
          </w:p>
        </w:tc>
      </w:tr>
      <w:tr w:rsidR="00BD5651" w:rsidRPr="000540E1" w14:paraId="313902D4" w14:textId="77777777" w:rsidTr="00240808">
        <w:trPr>
          <w:cantSplit/>
        </w:trPr>
        <w:tc>
          <w:tcPr>
            <w:tcW w:w="475" w:type="pct"/>
            <w:tcBorders>
              <w:top w:val="nil"/>
              <w:bottom w:val="single" w:sz="4" w:space="0" w:color="999999"/>
            </w:tcBorders>
          </w:tcPr>
          <w:p w14:paraId="32B54FE9" w14:textId="2DEE88B0" w:rsidR="00BD5651" w:rsidRPr="00924660" w:rsidRDefault="001766EC" w:rsidP="000C7E62">
            <w:pPr>
              <w:pStyle w:val="tbltext"/>
              <w:rPr>
                <w:color w:val="FFFFFF" w:themeColor="background1"/>
              </w:rPr>
            </w:pPr>
            <w:r w:rsidRPr="00924660">
              <w:rPr>
                <w:color w:val="FFFFFF" w:themeColor="background1"/>
              </w:rPr>
              <w:t>6A</w:t>
            </w:r>
          </w:p>
        </w:tc>
        <w:tc>
          <w:tcPr>
            <w:tcW w:w="2848" w:type="pct"/>
            <w:tcBorders>
              <w:top w:val="nil"/>
              <w:bottom w:val="single" w:sz="4" w:space="0" w:color="999999"/>
            </w:tcBorders>
          </w:tcPr>
          <w:p w14:paraId="70C77921" w14:textId="22D2A568" w:rsidR="00BD5651" w:rsidRPr="00924660" w:rsidRDefault="00BD5651" w:rsidP="00C443A0">
            <w:pPr>
              <w:pStyle w:val="MIRBodyText"/>
              <w:numPr>
                <w:ilvl w:val="0"/>
                <w:numId w:val="21"/>
              </w:numPr>
              <w:tabs>
                <w:tab w:val="clear" w:pos="851"/>
                <w:tab w:val="left" w:pos="2205"/>
              </w:tabs>
              <w:spacing w:before="120" w:line="240" w:lineRule="atLeast"/>
              <w:ind w:left="284" w:hanging="284"/>
              <w:rPr>
                <w:rFonts w:ascii="Arial" w:hAnsi="Arial" w:cs="Arial"/>
                <w:sz w:val="18"/>
                <w:szCs w:val="18"/>
              </w:rPr>
            </w:pPr>
            <w:r w:rsidRPr="00924660">
              <w:rPr>
                <w:rFonts w:ascii="Arial" w:hAnsi="Arial" w:cs="Arial"/>
                <w:sz w:val="18"/>
                <w:szCs w:val="18"/>
              </w:rPr>
              <w:t>otherwise</w:t>
            </w:r>
            <w:r w:rsidR="00B633E4">
              <w:rPr>
                <w:rFonts w:ascii="Arial" w:hAnsi="Arial" w:cs="Arial"/>
                <w:sz w:val="18"/>
                <w:szCs w:val="18"/>
              </w:rPr>
              <w:t>.</w:t>
            </w:r>
          </w:p>
        </w:tc>
        <w:tc>
          <w:tcPr>
            <w:tcW w:w="1677" w:type="pct"/>
            <w:tcBorders>
              <w:top w:val="nil"/>
              <w:bottom w:val="single" w:sz="4" w:space="0" w:color="999999"/>
            </w:tcBorders>
          </w:tcPr>
          <w:p w14:paraId="2F7EDEE0" w14:textId="51EF03C3" w:rsidR="00BD5651" w:rsidRPr="00924660" w:rsidRDefault="00BD5651" w:rsidP="000C7E62">
            <w:pPr>
              <w:pStyle w:val="tbltext"/>
            </w:pPr>
            <w:r w:rsidRPr="00924660">
              <w:t>The counterparty whose LEI with the characters reversed (</w:t>
            </w:r>
            <w:r w:rsidRPr="00924660">
              <w:rPr>
                <w:b/>
                <w:bCs/>
                <w:i/>
                <w:iCs/>
              </w:rPr>
              <w:t>reversed LEI</w:t>
            </w:r>
            <w:r w:rsidRPr="00924660">
              <w:t>) would appear first if the reversed LEIs of the counterparties were sorted in alphanumeric order, or the only counterparty with an LEI</w:t>
            </w:r>
          </w:p>
        </w:tc>
      </w:tr>
    </w:tbl>
    <w:p w14:paraId="732E557B" w14:textId="629E4F30" w:rsidR="00BD5651" w:rsidRDefault="00BD5651" w:rsidP="00C443A0">
      <w:pPr>
        <w:pStyle w:val="BodyText"/>
        <w:numPr>
          <w:ilvl w:val="0"/>
          <w:numId w:val="17"/>
        </w:numPr>
      </w:pPr>
      <w:r>
        <w:t xml:space="preserve">Items 6 and 6A are substantively as proposed in </w:t>
      </w:r>
      <w:hyperlink r:id="rId74" w:history="1">
        <w:r w:rsidRPr="009842BD">
          <w:rPr>
            <w:rStyle w:val="Hyperlink"/>
          </w:rPr>
          <w:t>CP 334</w:t>
        </w:r>
      </w:hyperlink>
      <w:r>
        <w:t>.</w:t>
      </w:r>
    </w:p>
    <w:p w14:paraId="5392410D" w14:textId="030C2E8D" w:rsidR="00BD5651" w:rsidRDefault="00BD5651" w:rsidP="00C443A0">
      <w:pPr>
        <w:pStyle w:val="BodyText"/>
        <w:numPr>
          <w:ilvl w:val="0"/>
          <w:numId w:val="17"/>
        </w:numPr>
      </w:pPr>
      <w:r>
        <w:t xml:space="preserve">In </w:t>
      </w:r>
      <w:r w:rsidR="00B647D2">
        <w:fldChar w:fldCharType="begin" w:fldLock="1"/>
      </w:r>
      <w:r w:rsidR="00B647D2">
        <w:instrText xml:space="preserve"> REF _Ref97568127 \h </w:instrText>
      </w:r>
      <w:r w:rsidR="00B647D2">
        <w:fldChar w:fldCharType="separate"/>
      </w:r>
      <w:r w:rsidR="00853A2A">
        <w:t xml:space="preserve">Table </w:t>
      </w:r>
      <w:r w:rsidR="00853A2A">
        <w:rPr>
          <w:noProof/>
        </w:rPr>
        <w:t>6</w:t>
      </w:r>
      <w:r w:rsidR="00B647D2">
        <w:fldChar w:fldCharType="end"/>
      </w:r>
      <w:r>
        <w:t xml:space="preserve"> at paragraph </w:t>
      </w:r>
      <w:r>
        <w:fldChar w:fldCharType="begin" w:fldLock="1"/>
      </w:r>
      <w:r>
        <w:instrText xml:space="preserve"> REF _ASICRef226 \w \h </w:instrText>
      </w:r>
      <w:r>
        <w:fldChar w:fldCharType="separate"/>
      </w:r>
      <w:r w:rsidR="00853A2A">
        <w:t>58</w:t>
      </w:r>
      <w:r>
        <w:fldChar w:fldCharType="end"/>
      </w:r>
      <w:r>
        <w:t xml:space="preserve">, we note that </w:t>
      </w:r>
      <w:r w:rsidR="009842BD">
        <w:t xml:space="preserve">paragraph </w:t>
      </w:r>
      <w:r>
        <w:t>(a) of item 6A is ‘As proposed in CP 334’ and (b) and (c) of item 6A are ‘</w:t>
      </w:r>
      <w:r w:rsidRPr="00006047">
        <w:t>As noted in CP 334 as Option 2 of the ESMA proposals</w:t>
      </w:r>
      <w:r>
        <w:t>’.</w:t>
      </w:r>
    </w:p>
    <w:p w14:paraId="2CD662D2" w14:textId="507CA163" w:rsidR="00BD5651" w:rsidRDefault="00BD5651" w:rsidP="00C443A0">
      <w:pPr>
        <w:pStyle w:val="BodyText"/>
        <w:numPr>
          <w:ilvl w:val="0"/>
          <w:numId w:val="17"/>
        </w:numPr>
      </w:pPr>
      <w:r>
        <w:t xml:space="preserve">The last two steps of item 6A are the same as the last two steps of </w:t>
      </w:r>
      <w:r w:rsidR="006666F3">
        <w:t>i</w:t>
      </w:r>
      <w:r>
        <w:t>tem 4. This is as we proposed in CP 334 that, after the steps for the operator of the affirmation or confirmation platform and the sole reporting entity, there should be the same subsequent steps for a cross-jurisdictional transaction and a single-jurisdictional transaction.</w:t>
      </w:r>
    </w:p>
    <w:p w14:paraId="3799D6A0" w14:textId="2DF1A36A" w:rsidR="00BD5651" w:rsidRDefault="00BD5651" w:rsidP="00C443A0">
      <w:pPr>
        <w:pStyle w:val="BodyText"/>
        <w:numPr>
          <w:ilvl w:val="0"/>
          <w:numId w:val="17"/>
        </w:numPr>
      </w:pPr>
      <w:r>
        <w:t xml:space="preserve">As we note at paragraph </w:t>
      </w:r>
      <w:r>
        <w:fldChar w:fldCharType="begin" w:fldLock="1"/>
      </w:r>
      <w:r>
        <w:instrText xml:space="preserve"> REF _ASICRef695 \w \h </w:instrText>
      </w:r>
      <w:r>
        <w:fldChar w:fldCharType="separate"/>
      </w:r>
      <w:r w:rsidR="00853A2A">
        <w:t>35</w:t>
      </w:r>
      <w:r>
        <w:fldChar w:fldCharType="end"/>
      </w:r>
      <w:r>
        <w:t xml:space="preserve">, ESMA had decided to adopt </w:t>
      </w:r>
      <w:r w:rsidR="00EB6F40">
        <w:t xml:space="preserve">its </w:t>
      </w:r>
      <w:r>
        <w:t>Option 2 and also apply the same UTI rules for cross-jurisdictional transactions and single-jurisdictional transactions.</w:t>
      </w:r>
    </w:p>
    <w:p w14:paraId="23CB84C7" w14:textId="6444C87F" w:rsidR="00BD5651" w:rsidRDefault="00BD5651" w:rsidP="00C443A0">
      <w:pPr>
        <w:pStyle w:val="BodyText"/>
        <w:numPr>
          <w:ilvl w:val="0"/>
          <w:numId w:val="17"/>
        </w:numPr>
      </w:pPr>
      <w:r>
        <w:t xml:space="preserve">Given the stronger support for Option 2 over Option 1 and </w:t>
      </w:r>
      <w:r w:rsidRPr="004E79FF">
        <w:t xml:space="preserve">support for our proposals for determining the </w:t>
      </w:r>
      <w:r w:rsidR="002B1D22">
        <w:t>UTI generating</w:t>
      </w:r>
      <w:r w:rsidRPr="004E79FF">
        <w:t xml:space="preserve"> entity for </w:t>
      </w:r>
      <w:r>
        <w:t>single-jurisdictional</w:t>
      </w:r>
      <w:r w:rsidRPr="004E79FF">
        <w:t xml:space="preserve"> transactions</w:t>
      </w:r>
      <w:r>
        <w:t xml:space="preserve"> in feedback to CP 334 and the alignment to the final ESMA rules, we are proposing the above text as the implementation, in substantive terms, of our proposals in CP 334.</w:t>
      </w:r>
    </w:p>
    <w:p w14:paraId="51B1992A" w14:textId="6E9EC1E8" w:rsidR="00BD5651" w:rsidRDefault="00BD5651" w:rsidP="00C443A0">
      <w:pPr>
        <w:pStyle w:val="BodyText"/>
        <w:numPr>
          <w:ilvl w:val="0"/>
          <w:numId w:val="17"/>
        </w:numPr>
      </w:pPr>
      <w:r>
        <w:t xml:space="preserve">Finally, as item 6A has the same operative steps as item 4 for a single-jurisdictional transaction, we likewise think that a </w:t>
      </w:r>
      <w:r w:rsidR="002B1D22">
        <w:t>UTI generating</w:t>
      </w:r>
      <w:r>
        <w:t xml:space="preserve"> entity will always be able to be determined by one of the steps in item 6A and that it is not necessary to provide for any ‘ultimate determinant’ of the </w:t>
      </w:r>
      <w:r w:rsidR="002B1D22">
        <w:t>UTI generating</w:t>
      </w:r>
      <w:r>
        <w:t xml:space="preserve"> entity to follow from item 6A.</w:t>
      </w:r>
    </w:p>
    <w:p w14:paraId="254DB60D" w14:textId="362230B4" w:rsidR="00BD5651" w:rsidRDefault="00BD5651" w:rsidP="00BD5651">
      <w:pPr>
        <w:pStyle w:val="Heading4"/>
      </w:pPr>
      <w:r>
        <w:t xml:space="preserve">The ASIC UTI </w:t>
      </w:r>
      <w:r w:rsidR="004470AA">
        <w:t>w</w:t>
      </w:r>
      <w:r>
        <w:t>aterfall</w:t>
      </w:r>
      <w:r w:rsidR="00404CA5">
        <w:t>—</w:t>
      </w:r>
      <w:r w:rsidR="009842BD">
        <w:t>C</w:t>
      </w:r>
      <w:r>
        <w:t>ross-jurisdictional transactions</w:t>
      </w:r>
      <w:r w:rsidR="00404CA5">
        <w:t>—</w:t>
      </w:r>
      <w:r>
        <w:t>Item 7</w:t>
      </w:r>
    </w:p>
    <w:p w14:paraId="314DE9BD" w14:textId="155BAD0F" w:rsidR="00BD5651" w:rsidRDefault="00BD5651" w:rsidP="00C443A0">
      <w:pPr>
        <w:pStyle w:val="BodyText"/>
        <w:numPr>
          <w:ilvl w:val="0"/>
          <w:numId w:val="17"/>
        </w:numPr>
      </w:pPr>
      <w:r>
        <w:t xml:space="preserve">Item 7 refers to the circumstances where a foreign jurisdiction is the jurisdiction with the earliest reporting deadline and the </w:t>
      </w:r>
      <w:r w:rsidR="002B1D22">
        <w:t>UTI generating</w:t>
      </w:r>
      <w:r>
        <w:t xml:space="preserve"> entity is determined according to the requirements of that foreign jurisdiction, as set out in </w:t>
      </w:r>
      <w:r>
        <w:fldChar w:fldCharType="begin" w:fldLock="1"/>
      </w:r>
      <w:r>
        <w:instrText xml:space="preserve"> REF _Ref93328172 \h </w:instrText>
      </w:r>
      <w:r>
        <w:fldChar w:fldCharType="separate"/>
      </w:r>
      <w:r w:rsidR="00853A2A">
        <w:t xml:space="preserve">Table </w:t>
      </w:r>
      <w:r w:rsidR="00853A2A">
        <w:rPr>
          <w:noProof/>
        </w:rPr>
        <w:t>14</w:t>
      </w:r>
      <w:r>
        <w:fldChar w:fldCharType="end"/>
      </w:r>
      <w:r>
        <w:t>.</w:t>
      </w:r>
    </w:p>
    <w:p w14:paraId="150CC969" w14:textId="03906684" w:rsidR="00BD5651" w:rsidRDefault="00BD5651" w:rsidP="00BD5651">
      <w:pPr>
        <w:pStyle w:val="tabletitlefullwidth"/>
      </w:pPr>
      <w:bookmarkStart w:id="69" w:name="_Ref93328172"/>
      <w:r>
        <w:t xml:space="preserve">Table </w:t>
      </w:r>
      <w:fldSimple w:instr=" SEQ Table \* ARABIC ">
        <w:r w:rsidR="006679BA">
          <w:rPr>
            <w:noProof/>
          </w:rPr>
          <w:t>14</w:t>
        </w:r>
      </w:fldSimple>
      <w:bookmarkEnd w:id="69"/>
      <w:r>
        <w:t>:</w:t>
      </w:r>
      <w:r>
        <w:tab/>
        <w:t>Extract from Table 2 of Rule 2.2.9(3)</w:t>
      </w:r>
    </w:p>
    <w:tbl>
      <w:tblPr>
        <w:tblW w:w="4938"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851"/>
        <w:gridCol w:w="5102"/>
        <w:gridCol w:w="3005"/>
      </w:tblGrid>
      <w:tr w:rsidR="00BD5651" w:rsidRPr="000540E1" w14:paraId="1C3AFC59" w14:textId="77777777" w:rsidTr="000C7E62">
        <w:trPr>
          <w:cantSplit/>
          <w:tblHeader/>
        </w:trPr>
        <w:tc>
          <w:tcPr>
            <w:tcW w:w="475" w:type="pct"/>
            <w:tcBorders>
              <w:bottom w:val="single" w:sz="4" w:space="0" w:color="999999"/>
            </w:tcBorders>
            <w:shd w:val="clear" w:color="auto" w:fill="C2E3FA"/>
          </w:tcPr>
          <w:p w14:paraId="26977B24" w14:textId="77777777" w:rsidR="00BD5651" w:rsidRDefault="00BD5651" w:rsidP="000C7E62">
            <w:pPr>
              <w:pStyle w:val="tablehead"/>
            </w:pPr>
            <w:r>
              <w:t>1. Item</w:t>
            </w:r>
          </w:p>
        </w:tc>
        <w:tc>
          <w:tcPr>
            <w:tcW w:w="2848" w:type="pct"/>
            <w:tcBorders>
              <w:bottom w:val="single" w:sz="4" w:space="0" w:color="999999"/>
            </w:tcBorders>
            <w:shd w:val="clear" w:color="auto" w:fill="C2E3FA"/>
          </w:tcPr>
          <w:p w14:paraId="1C5BDE2F" w14:textId="77777777" w:rsidR="00BD5651" w:rsidRPr="000540E1" w:rsidRDefault="00BD5651" w:rsidP="000C7E62">
            <w:pPr>
              <w:pStyle w:val="tablehead"/>
            </w:pPr>
            <w:r>
              <w:t>2. Reportable Transaction</w:t>
            </w:r>
          </w:p>
        </w:tc>
        <w:tc>
          <w:tcPr>
            <w:tcW w:w="1677" w:type="pct"/>
            <w:tcBorders>
              <w:bottom w:val="single" w:sz="4" w:space="0" w:color="999999"/>
            </w:tcBorders>
            <w:shd w:val="clear" w:color="auto" w:fill="C2E3FA"/>
          </w:tcPr>
          <w:p w14:paraId="0B677D34" w14:textId="77777777" w:rsidR="00BD5651" w:rsidRPr="000540E1" w:rsidRDefault="00BD5651" w:rsidP="000C7E62">
            <w:pPr>
              <w:pStyle w:val="tablehead"/>
            </w:pPr>
            <w:r>
              <w:t>3. UTI generating entity</w:t>
            </w:r>
          </w:p>
        </w:tc>
      </w:tr>
      <w:tr w:rsidR="00BD5651" w:rsidRPr="000540E1" w14:paraId="2E504C96" w14:textId="77777777" w:rsidTr="000C7E62">
        <w:trPr>
          <w:cantSplit/>
        </w:trPr>
        <w:tc>
          <w:tcPr>
            <w:tcW w:w="475" w:type="pct"/>
          </w:tcPr>
          <w:p w14:paraId="1DEFAE9D" w14:textId="77777777" w:rsidR="00BD5651" w:rsidRPr="000540E1" w:rsidRDefault="00BD5651" w:rsidP="000C7E62">
            <w:pPr>
              <w:pStyle w:val="tbltext"/>
            </w:pPr>
            <w:r>
              <w:t>7</w:t>
            </w:r>
          </w:p>
        </w:tc>
        <w:tc>
          <w:tcPr>
            <w:tcW w:w="2848" w:type="pct"/>
          </w:tcPr>
          <w:p w14:paraId="0F0A6D11" w14:textId="77777777" w:rsidR="00BD5651" w:rsidRDefault="00BD5651" w:rsidP="00240808">
            <w:pPr>
              <w:pStyle w:val="MIRBodyText"/>
              <w:numPr>
                <w:ilvl w:val="0"/>
                <w:numId w:val="0"/>
              </w:numPr>
              <w:tabs>
                <w:tab w:val="clear" w:pos="851"/>
                <w:tab w:val="left" w:pos="2205"/>
              </w:tabs>
              <w:spacing w:before="120" w:line="240" w:lineRule="atLeast"/>
              <w:rPr>
                <w:rFonts w:ascii="Arial" w:hAnsi="Arial" w:cs="Arial"/>
                <w:sz w:val="18"/>
                <w:szCs w:val="18"/>
              </w:rPr>
            </w:pPr>
            <w:r>
              <w:rPr>
                <w:rFonts w:ascii="Arial" w:hAnsi="Arial" w:cs="Arial"/>
                <w:sz w:val="18"/>
                <w:szCs w:val="18"/>
              </w:rPr>
              <w:t>Both of the following apply:</w:t>
            </w:r>
          </w:p>
          <w:p w14:paraId="1E06E937" w14:textId="3D631C9A" w:rsidR="00BD5651" w:rsidRDefault="00605C1B" w:rsidP="00C443A0">
            <w:pPr>
              <w:pStyle w:val="MIRBodyText"/>
              <w:numPr>
                <w:ilvl w:val="0"/>
                <w:numId w:val="22"/>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t</w:t>
            </w:r>
            <w:r w:rsidR="00BD5651" w:rsidRPr="008E021F">
              <w:rPr>
                <w:rFonts w:ascii="Arial" w:hAnsi="Arial" w:cs="Arial"/>
                <w:sz w:val="18"/>
                <w:szCs w:val="18"/>
              </w:rPr>
              <w:t xml:space="preserve">he Reportable Transaction is required to be reported in </w:t>
            </w:r>
            <w:r w:rsidR="00BD5651">
              <w:rPr>
                <w:rFonts w:ascii="Arial" w:hAnsi="Arial" w:cs="Arial"/>
                <w:sz w:val="18"/>
                <w:szCs w:val="18"/>
              </w:rPr>
              <w:t xml:space="preserve">this jurisdiction and </w:t>
            </w:r>
            <w:r w:rsidR="00BD5651" w:rsidRPr="008E021F">
              <w:rPr>
                <w:rFonts w:ascii="Arial" w:hAnsi="Arial" w:cs="Arial"/>
                <w:sz w:val="18"/>
                <w:szCs w:val="18"/>
              </w:rPr>
              <w:t>one or more foreign jurisdiction</w:t>
            </w:r>
            <w:r w:rsidR="00BD5651">
              <w:rPr>
                <w:rFonts w:ascii="Arial" w:hAnsi="Arial" w:cs="Arial"/>
                <w:sz w:val="18"/>
                <w:szCs w:val="18"/>
              </w:rPr>
              <w:t>(s)</w:t>
            </w:r>
            <w:r w:rsidR="00BD5651" w:rsidRPr="008E021F">
              <w:rPr>
                <w:rFonts w:ascii="Arial" w:hAnsi="Arial" w:cs="Arial"/>
                <w:sz w:val="18"/>
                <w:szCs w:val="18"/>
              </w:rPr>
              <w:t>; and</w:t>
            </w:r>
          </w:p>
          <w:p w14:paraId="0A2D93C3" w14:textId="221671B9" w:rsidR="00BD5651" w:rsidRDefault="00BD5651" w:rsidP="00C443A0">
            <w:pPr>
              <w:pStyle w:val="MIRBodyText"/>
              <w:numPr>
                <w:ilvl w:val="0"/>
                <w:numId w:val="22"/>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 xml:space="preserve">a foreign </w:t>
            </w:r>
            <w:r w:rsidRPr="00980B66">
              <w:rPr>
                <w:rFonts w:ascii="Arial" w:hAnsi="Arial" w:cs="Arial"/>
                <w:sz w:val="18"/>
                <w:szCs w:val="18"/>
              </w:rPr>
              <w:t>jurisdiction is the jurisdiction with the earliest reporting deadline</w:t>
            </w:r>
            <w:r w:rsidR="00B633E4">
              <w:rPr>
                <w:rFonts w:ascii="Arial" w:hAnsi="Arial" w:cs="Arial"/>
                <w:sz w:val="18"/>
                <w:szCs w:val="18"/>
              </w:rPr>
              <w:t>.</w:t>
            </w:r>
          </w:p>
          <w:p w14:paraId="118A5CD6" w14:textId="0AA9D06C" w:rsidR="00BD5651" w:rsidRPr="00352CED" w:rsidRDefault="00BD5651" w:rsidP="000C7E62">
            <w:pPr>
              <w:tabs>
                <w:tab w:val="left" w:pos="2205"/>
              </w:tabs>
              <w:spacing w:before="120" w:after="0" w:line="240" w:lineRule="atLeast"/>
              <w:rPr>
                <w:rFonts w:ascii="Arial" w:hAnsi="Arial" w:cs="Arial"/>
                <w:sz w:val="18"/>
                <w:szCs w:val="18"/>
              </w:rPr>
            </w:pPr>
            <w:r>
              <w:rPr>
                <w:rFonts w:ascii="Arial" w:hAnsi="Arial" w:cs="Arial"/>
                <w:sz w:val="16"/>
                <w:szCs w:val="16"/>
              </w:rPr>
              <w:t xml:space="preserve">Note: </w:t>
            </w:r>
            <w:r w:rsidR="009842BD">
              <w:rPr>
                <w:rFonts w:ascii="Arial" w:hAnsi="Arial" w:cs="Arial"/>
                <w:sz w:val="16"/>
                <w:szCs w:val="16"/>
              </w:rPr>
              <w:t>S</w:t>
            </w:r>
            <w:r>
              <w:rPr>
                <w:rFonts w:ascii="Arial" w:hAnsi="Arial" w:cs="Arial"/>
                <w:sz w:val="16"/>
                <w:szCs w:val="16"/>
              </w:rPr>
              <w:t>ee subrule (4) for the meaning of the reporting deadline in this jurisdiction</w:t>
            </w:r>
          </w:p>
        </w:tc>
        <w:tc>
          <w:tcPr>
            <w:tcW w:w="1677" w:type="pct"/>
          </w:tcPr>
          <w:p w14:paraId="04182BAD" w14:textId="77777777" w:rsidR="00BD5651" w:rsidRPr="000540E1" w:rsidRDefault="00BD5651" w:rsidP="000C7E62">
            <w:pPr>
              <w:pStyle w:val="tbltext"/>
            </w:pPr>
            <w:r w:rsidRPr="00134B52">
              <w:t>The UTI generating entity determined according to the derivative transaction reporting requirements of that foreign jurisdiction</w:t>
            </w:r>
          </w:p>
        </w:tc>
      </w:tr>
    </w:tbl>
    <w:p w14:paraId="5996EDEF" w14:textId="1E51C1C4" w:rsidR="00BD5651" w:rsidRDefault="00BD5651" w:rsidP="00C443A0">
      <w:pPr>
        <w:pStyle w:val="BodyText"/>
        <w:numPr>
          <w:ilvl w:val="0"/>
          <w:numId w:val="17"/>
        </w:numPr>
      </w:pPr>
      <w:r>
        <w:t xml:space="preserve">In </w:t>
      </w:r>
      <w:hyperlink r:id="rId75" w:history="1">
        <w:r w:rsidRPr="009842BD">
          <w:rPr>
            <w:rStyle w:val="Hyperlink"/>
          </w:rPr>
          <w:t>CP 334</w:t>
        </w:r>
      </w:hyperlink>
      <w:r>
        <w:t xml:space="preserve">, we identified the elements, that are expressed as item 7(a) and 7(b) in </w:t>
      </w:r>
      <w:r w:rsidR="009842BD">
        <w:fldChar w:fldCharType="begin" w:fldLock="1"/>
      </w:r>
      <w:r w:rsidR="009842BD">
        <w:instrText xml:space="preserve"> REF _Ref93328172 \h </w:instrText>
      </w:r>
      <w:r w:rsidR="009842BD">
        <w:fldChar w:fldCharType="separate"/>
      </w:r>
      <w:r w:rsidR="00853A2A">
        <w:t xml:space="preserve">Table </w:t>
      </w:r>
      <w:r w:rsidR="00853A2A">
        <w:rPr>
          <w:noProof/>
        </w:rPr>
        <w:t>14</w:t>
      </w:r>
      <w:r w:rsidR="009842BD">
        <w:fldChar w:fldCharType="end"/>
      </w:r>
      <w:r>
        <w:t>, as the relevant steps in the UTI Guidance.</w:t>
      </w:r>
    </w:p>
    <w:p w14:paraId="0E32C2B1" w14:textId="2C6F9DC8" w:rsidR="00BD5651" w:rsidRDefault="00BD5651" w:rsidP="00C443A0">
      <w:pPr>
        <w:pStyle w:val="BodyText"/>
        <w:numPr>
          <w:ilvl w:val="0"/>
          <w:numId w:val="17"/>
        </w:numPr>
      </w:pPr>
      <w:r>
        <w:t>Item 7(a) answers, in effect, Step 4 of the UTI Guidance</w:t>
      </w:r>
      <w:r w:rsidR="00404CA5">
        <w:t>—</w:t>
      </w:r>
      <w:r>
        <w:t>‘</w:t>
      </w:r>
      <w:r w:rsidRPr="00BD3217">
        <w:t>Is the transaction cross-jurisdictional (i.e. are the counterparties to the transaction subject to more than one jurisdiction’s reporting rules)?</w:t>
      </w:r>
      <w:r>
        <w:t xml:space="preserve"> If so, see Step 10?’</w:t>
      </w:r>
    </w:p>
    <w:p w14:paraId="4C63C41C" w14:textId="4026833C" w:rsidR="00BD5651" w:rsidRDefault="00BD5651" w:rsidP="00C443A0">
      <w:pPr>
        <w:pStyle w:val="BodyText"/>
        <w:numPr>
          <w:ilvl w:val="0"/>
          <w:numId w:val="17"/>
        </w:numPr>
      </w:pPr>
      <w:r>
        <w:t xml:space="preserve">Item 7(b) </w:t>
      </w:r>
      <w:r w:rsidR="00CE27B4">
        <w:t>answers</w:t>
      </w:r>
      <w:r>
        <w:t>, in effect, Step 10 of the UTI Guidance</w:t>
      </w:r>
      <w:r w:rsidR="00404CA5">
        <w:t>—</w:t>
      </w:r>
      <w:r>
        <w:t>‘</w:t>
      </w:r>
      <w:r w:rsidRPr="00BC314E">
        <w:t>Does one of the jurisdictions have a sooner deadline for reporting than the other(s)?</w:t>
      </w:r>
      <w:r>
        <w:t xml:space="preserve"> If so, then the UTI generation rules of the jurisdiction with the sooner reporting deadline should be followed’.</w:t>
      </w:r>
    </w:p>
    <w:p w14:paraId="2A674EC6" w14:textId="635B3A44" w:rsidR="00BD5651" w:rsidRDefault="00BD5651" w:rsidP="00C443A0">
      <w:pPr>
        <w:pStyle w:val="BodyText"/>
        <w:numPr>
          <w:ilvl w:val="0"/>
          <w:numId w:val="17"/>
        </w:numPr>
      </w:pPr>
      <w:r>
        <w:t>As noted at paragraph</w:t>
      </w:r>
      <w:r w:rsidR="00D0491F">
        <w:t xml:space="preserve"> </w:t>
      </w:r>
      <w:r w:rsidR="00D0491F">
        <w:fldChar w:fldCharType="begin" w:fldLock="1"/>
      </w:r>
      <w:r w:rsidR="00D0491F">
        <w:instrText xml:space="preserve"> REF _ASICRef827 \w \h </w:instrText>
      </w:r>
      <w:r w:rsidR="00D0491F">
        <w:fldChar w:fldCharType="separate"/>
      </w:r>
      <w:r w:rsidR="00853A2A">
        <w:t>25</w:t>
      </w:r>
      <w:r w:rsidR="00D0491F">
        <w:fldChar w:fldCharType="end"/>
      </w:r>
      <w:r>
        <w:t>, in CP 334 we identified difficulties with the practical implementation of these elements of the UTI Guidance. We also discussed one pragmatic ‘special purpose’ approach to avoid these difficulties, in relation to cross-jurisdictional transactions that also involved reporting under CFTC requirements, of deeming the CFTC to be, in all transactional circumstances, the jurisdiction with the earliest reporting deadline.</w:t>
      </w:r>
    </w:p>
    <w:p w14:paraId="5845CB49" w14:textId="59703DC2" w:rsidR="00BD5651" w:rsidRDefault="00BD5651" w:rsidP="00C443A0">
      <w:pPr>
        <w:pStyle w:val="BodyText"/>
        <w:numPr>
          <w:ilvl w:val="0"/>
          <w:numId w:val="17"/>
        </w:numPr>
      </w:pPr>
      <w:r>
        <w:t xml:space="preserve">The feedback to CP 334 clearly identified that determining all of the jurisdictions in which the transaction will be reported and the jurisdiction within that set with the earliest reporting deadline is the bigger issue. We </w:t>
      </w:r>
      <w:r w:rsidR="007434DF">
        <w:t xml:space="preserve">did </w:t>
      </w:r>
      <w:r>
        <w:t>not read any feedback on ‘special purpose deeming’ as supporting that it may serve a material purpose in ameliorating the bigger issue.</w:t>
      </w:r>
    </w:p>
    <w:p w14:paraId="089482B2" w14:textId="406E5F71" w:rsidR="00BD5651" w:rsidRDefault="00BD5651" w:rsidP="00C443A0">
      <w:pPr>
        <w:pStyle w:val="BodyText"/>
        <w:numPr>
          <w:ilvl w:val="0"/>
          <w:numId w:val="17"/>
        </w:numPr>
      </w:pPr>
      <w:r>
        <w:t xml:space="preserve">We think that our proposal for </w:t>
      </w:r>
      <w:r w:rsidR="006666F3">
        <w:t>i</w:t>
      </w:r>
      <w:r>
        <w:t>tem 5 of the ASIC UTI rules is a practical solution to the bigger issue. We are now proposing this item 7 as being the straightforward implementation of the UTI Guidance and we are not proceeding with any additional ‘special purpose deeming’ or similar approaches.</w:t>
      </w:r>
    </w:p>
    <w:p w14:paraId="44668B9B" w14:textId="6176B0F3" w:rsidR="00BD5651" w:rsidRDefault="00BD5651" w:rsidP="00BD5651">
      <w:pPr>
        <w:pStyle w:val="Heading4"/>
      </w:pPr>
      <w:r>
        <w:t xml:space="preserve">The ASIC UTI </w:t>
      </w:r>
      <w:r w:rsidR="004470AA">
        <w:t>w</w:t>
      </w:r>
      <w:r>
        <w:t>aterfall</w:t>
      </w:r>
      <w:r w:rsidR="00404CA5">
        <w:t>—</w:t>
      </w:r>
      <w:r w:rsidR="004A028C">
        <w:t>C</w:t>
      </w:r>
      <w:r>
        <w:t>ross-jurisdictional transactions</w:t>
      </w:r>
      <w:r w:rsidR="00404CA5">
        <w:t>—</w:t>
      </w:r>
      <w:r>
        <w:t>Items 8/8A</w:t>
      </w:r>
    </w:p>
    <w:p w14:paraId="2D0681D7" w14:textId="60D106EE" w:rsidR="00BD5651" w:rsidRDefault="00BD5651" w:rsidP="00C443A0">
      <w:pPr>
        <w:pStyle w:val="BodyText"/>
        <w:numPr>
          <w:ilvl w:val="0"/>
          <w:numId w:val="17"/>
        </w:numPr>
      </w:pPr>
      <w:r>
        <w:t xml:space="preserve">Item 8 refers to the circumstances where a transaction is required to be reported in one or more other jurisdictions and there is no jurisdiction with an earliest reporting deadline. Item 8A sets out the steps for determining the </w:t>
      </w:r>
      <w:r w:rsidR="002B1D22">
        <w:t>UTI generating</w:t>
      </w:r>
      <w:r>
        <w:t xml:space="preserve"> entity under this circumstance. Items 8 and 8A are as set out in </w:t>
      </w:r>
      <w:r>
        <w:fldChar w:fldCharType="begin" w:fldLock="1"/>
      </w:r>
      <w:r>
        <w:instrText xml:space="preserve"> REF _Ref92166468 \h </w:instrText>
      </w:r>
      <w:r>
        <w:fldChar w:fldCharType="separate"/>
      </w:r>
      <w:r w:rsidR="00853A2A">
        <w:t xml:space="preserve">Table </w:t>
      </w:r>
      <w:r w:rsidR="00853A2A">
        <w:rPr>
          <w:noProof/>
        </w:rPr>
        <w:t>15</w:t>
      </w:r>
      <w:r>
        <w:fldChar w:fldCharType="end"/>
      </w:r>
      <w:r>
        <w:t>.</w:t>
      </w:r>
    </w:p>
    <w:p w14:paraId="6DAFE859" w14:textId="52D686B2" w:rsidR="00BD5651" w:rsidRDefault="00BD5651" w:rsidP="00BD5651">
      <w:pPr>
        <w:pStyle w:val="tabletitlefullwidth"/>
      </w:pPr>
      <w:bookmarkStart w:id="70" w:name="_Ref92166468"/>
      <w:r>
        <w:t xml:space="preserve">Table </w:t>
      </w:r>
      <w:fldSimple w:instr=" SEQ Table \* ARABIC ">
        <w:r w:rsidR="006679BA">
          <w:rPr>
            <w:noProof/>
          </w:rPr>
          <w:t>15</w:t>
        </w:r>
      </w:fldSimple>
      <w:bookmarkEnd w:id="70"/>
      <w:r>
        <w:t>:</w:t>
      </w:r>
      <w:r>
        <w:tab/>
        <w:t xml:space="preserve">Extract from Table </w:t>
      </w:r>
      <w:r w:rsidR="004A028C">
        <w:t xml:space="preserve">2 </w:t>
      </w:r>
      <w:r>
        <w:t>of Rule 2.2.9(3)</w:t>
      </w:r>
    </w:p>
    <w:tbl>
      <w:tblPr>
        <w:tblW w:w="4938"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851"/>
        <w:gridCol w:w="5102"/>
        <w:gridCol w:w="3005"/>
      </w:tblGrid>
      <w:tr w:rsidR="00BD5651" w:rsidRPr="000540E1" w14:paraId="129C8BBB" w14:textId="77777777" w:rsidTr="000C7E62">
        <w:trPr>
          <w:cantSplit/>
          <w:tblHeader/>
        </w:trPr>
        <w:tc>
          <w:tcPr>
            <w:tcW w:w="475" w:type="pct"/>
            <w:tcBorders>
              <w:bottom w:val="single" w:sz="4" w:space="0" w:color="999999"/>
            </w:tcBorders>
            <w:shd w:val="clear" w:color="auto" w:fill="C2E3FA"/>
          </w:tcPr>
          <w:p w14:paraId="107196F8" w14:textId="77777777" w:rsidR="00BD5651" w:rsidRDefault="00BD5651" w:rsidP="000C7E62">
            <w:pPr>
              <w:pStyle w:val="tablehead"/>
            </w:pPr>
            <w:r>
              <w:t>1. Item</w:t>
            </w:r>
          </w:p>
        </w:tc>
        <w:tc>
          <w:tcPr>
            <w:tcW w:w="2848" w:type="pct"/>
            <w:tcBorders>
              <w:bottom w:val="single" w:sz="4" w:space="0" w:color="999999"/>
            </w:tcBorders>
            <w:shd w:val="clear" w:color="auto" w:fill="C2E3FA"/>
          </w:tcPr>
          <w:p w14:paraId="70B96CA7" w14:textId="77777777" w:rsidR="00BD5651" w:rsidRPr="000540E1" w:rsidRDefault="00BD5651" w:rsidP="000C7E62">
            <w:pPr>
              <w:pStyle w:val="tablehead"/>
            </w:pPr>
            <w:r>
              <w:t>2. Reportable Transaction</w:t>
            </w:r>
          </w:p>
        </w:tc>
        <w:tc>
          <w:tcPr>
            <w:tcW w:w="1677" w:type="pct"/>
            <w:tcBorders>
              <w:bottom w:val="single" w:sz="4" w:space="0" w:color="999999"/>
            </w:tcBorders>
            <w:shd w:val="clear" w:color="auto" w:fill="C2E3FA"/>
          </w:tcPr>
          <w:p w14:paraId="148A243A" w14:textId="77777777" w:rsidR="00BD5651" w:rsidRPr="000540E1" w:rsidRDefault="00BD5651" w:rsidP="000C7E62">
            <w:pPr>
              <w:pStyle w:val="tablehead"/>
            </w:pPr>
            <w:r>
              <w:t>3. UTI generating entity</w:t>
            </w:r>
          </w:p>
        </w:tc>
      </w:tr>
      <w:tr w:rsidR="00BD5651" w:rsidRPr="000540E1" w14:paraId="6BA63134" w14:textId="77777777" w:rsidTr="000C7E62">
        <w:trPr>
          <w:cantSplit/>
        </w:trPr>
        <w:tc>
          <w:tcPr>
            <w:tcW w:w="475" w:type="pct"/>
            <w:tcBorders>
              <w:bottom w:val="single" w:sz="4" w:space="0" w:color="999999"/>
            </w:tcBorders>
          </w:tcPr>
          <w:p w14:paraId="1AA9436D" w14:textId="77777777" w:rsidR="00BD5651" w:rsidRPr="000540E1" w:rsidRDefault="00BD5651" w:rsidP="000C7E62">
            <w:pPr>
              <w:pStyle w:val="tbltext"/>
            </w:pPr>
            <w:r>
              <w:t>8</w:t>
            </w:r>
          </w:p>
        </w:tc>
        <w:tc>
          <w:tcPr>
            <w:tcW w:w="2848" w:type="pct"/>
            <w:tcBorders>
              <w:bottom w:val="single" w:sz="4" w:space="0" w:color="999999"/>
            </w:tcBorders>
          </w:tcPr>
          <w:p w14:paraId="6A8C72CE" w14:textId="77777777" w:rsidR="00BD5651" w:rsidRDefault="00BD5651" w:rsidP="00605C1B">
            <w:pPr>
              <w:pStyle w:val="MIRBodyText"/>
              <w:numPr>
                <w:ilvl w:val="0"/>
                <w:numId w:val="0"/>
              </w:numPr>
              <w:tabs>
                <w:tab w:val="clear" w:pos="851"/>
                <w:tab w:val="left" w:pos="2205"/>
              </w:tabs>
              <w:spacing w:before="120" w:line="240" w:lineRule="atLeast"/>
              <w:rPr>
                <w:rFonts w:ascii="Arial" w:hAnsi="Arial" w:cs="Arial"/>
                <w:sz w:val="18"/>
                <w:szCs w:val="18"/>
              </w:rPr>
            </w:pPr>
            <w:r>
              <w:rPr>
                <w:rFonts w:ascii="Arial" w:hAnsi="Arial" w:cs="Arial"/>
                <w:sz w:val="18"/>
                <w:szCs w:val="18"/>
              </w:rPr>
              <w:t>Both of the following apply:</w:t>
            </w:r>
          </w:p>
          <w:p w14:paraId="291D2A3F" w14:textId="5727FE46" w:rsidR="00BD5651" w:rsidRDefault="00BD5651" w:rsidP="00C443A0">
            <w:pPr>
              <w:pStyle w:val="MIRBodyText"/>
              <w:numPr>
                <w:ilvl w:val="0"/>
                <w:numId w:val="23"/>
              </w:numPr>
              <w:tabs>
                <w:tab w:val="clear" w:pos="851"/>
                <w:tab w:val="left" w:pos="2205"/>
              </w:tabs>
              <w:spacing w:before="120" w:line="240" w:lineRule="atLeast"/>
              <w:ind w:left="284" w:hanging="284"/>
              <w:rPr>
                <w:rFonts w:ascii="Arial" w:hAnsi="Arial" w:cs="Arial"/>
                <w:sz w:val="18"/>
                <w:szCs w:val="18"/>
              </w:rPr>
            </w:pPr>
            <w:r w:rsidRPr="008E021F">
              <w:rPr>
                <w:rFonts w:ascii="Arial" w:hAnsi="Arial" w:cs="Arial"/>
                <w:sz w:val="18"/>
                <w:szCs w:val="18"/>
              </w:rPr>
              <w:t xml:space="preserve">the Reportable Transaction is required to be reported in </w:t>
            </w:r>
            <w:r>
              <w:rPr>
                <w:rFonts w:ascii="Arial" w:hAnsi="Arial" w:cs="Arial"/>
                <w:sz w:val="18"/>
                <w:szCs w:val="18"/>
              </w:rPr>
              <w:t xml:space="preserve">this jurisdiction and </w:t>
            </w:r>
            <w:r w:rsidRPr="008E021F">
              <w:rPr>
                <w:rFonts w:ascii="Arial" w:hAnsi="Arial" w:cs="Arial"/>
                <w:sz w:val="18"/>
                <w:szCs w:val="18"/>
              </w:rPr>
              <w:t>one or more foreign jurisdiction</w:t>
            </w:r>
            <w:r>
              <w:rPr>
                <w:rFonts w:ascii="Arial" w:hAnsi="Arial" w:cs="Arial"/>
                <w:sz w:val="18"/>
                <w:szCs w:val="18"/>
              </w:rPr>
              <w:t>(s)</w:t>
            </w:r>
            <w:r w:rsidRPr="008E021F">
              <w:rPr>
                <w:rFonts w:ascii="Arial" w:hAnsi="Arial" w:cs="Arial"/>
                <w:sz w:val="18"/>
                <w:szCs w:val="18"/>
              </w:rPr>
              <w:t>; and</w:t>
            </w:r>
          </w:p>
          <w:p w14:paraId="5EEA6B75" w14:textId="5215811A" w:rsidR="00BD5651" w:rsidRPr="00605C1B" w:rsidRDefault="00BD5651" w:rsidP="00C443A0">
            <w:pPr>
              <w:pStyle w:val="MIRBodyText"/>
              <w:numPr>
                <w:ilvl w:val="0"/>
                <w:numId w:val="23"/>
              </w:numPr>
              <w:tabs>
                <w:tab w:val="clear" w:pos="851"/>
                <w:tab w:val="left" w:pos="2205"/>
              </w:tabs>
              <w:spacing w:before="120" w:line="240" w:lineRule="atLeast"/>
              <w:ind w:left="284" w:hanging="284"/>
              <w:rPr>
                <w:rFonts w:ascii="Arial" w:hAnsi="Arial" w:cs="Arial"/>
                <w:sz w:val="18"/>
                <w:szCs w:val="18"/>
              </w:rPr>
            </w:pPr>
            <w:r w:rsidRPr="00605C1B">
              <w:rPr>
                <w:rFonts w:ascii="Arial" w:hAnsi="Arial" w:cs="Arial"/>
                <w:sz w:val="18"/>
                <w:szCs w:val="18"/>
              </w:rPr>
              <w:t>there is no jurisdiction with an earliest reporting deadline</w:t>
            </w:r>
            <w:r w:rsidR="00B633E4">
              <w:rPr>
                <w:rFonts w:ascii="Arial" w:hAnsi="Arial" w:cs="Arial"/>
                <w:sz w:val="18"/>
                <w:szCs w:val="18"/>
              </w:rPr>
              <w:t>.</w:t>
            </w:r>
          </w:p>
          <w:p w14:paraId="622946A9" w14:textId="6F815E79" w:rsidR="00BD5651" w:rsidRPr="00352CED" w:rsidRDefault="00BD5651" w:rsidP="000C7E62">
            <w:pPr>
              <w:tabs>
                <w:tab w:val="left" w:pos="2205"/>
              </w:tabs>
              <w:spacing w:before="120" w:after="0" w:line="240" w:lineRule="atLeast"/>
              <w:rPr>
                <w:rFonts w:ascii="Arial" w:hAnsi="Arial" w:cs="Arial"/>
                <w:sz w:val="18"/>
                <w:szCs w:val="18"/>
              </w:rPr>
            </w:pPr>
            <w:r>
              <w:rPr>
                <w:rFonts w:ascii="Arial" w:hAnsi="Arial" w:cs="Arial"/>
                <w:sz w:val="16"/>
                <w:szCs w:val="16"/>
              </w:rPr>
              <w:t xml:space="preserve">Note: </w:t>
            </w:r>
            <w:r w:rsidR="004A028C">
              <w:rPr>
                <w:rFonts w:ascii="Arial" w:hAnsi="Arial" w:cs="Arial"/>
                <w:sz w:val="16"/>
                <w:szCs w:val="16"/>
              </w:rPr>
              <w:t>S</w:t>
            </w:r>
            <w:r>
              <w:rPr>
                <w:rFonts w:ascii="Arial" w:hAnsi="Arial" w:cs="Arial"/>
                <w:sz w:val="16"/>
                <w:szCs w:val="16"/>
              </w:rPr>
              <w:t>ee subrule (4) for the meaning of the reporting deadline in this jurisdiction</w:t>
            </w:r>
            <w:r w:rsidR="000C6477">
              <w:rPr>
                <w:rFonts w:ascii="Arial" w:hAnsi="Arial" w:cs="Arial"/>
                <w:sz w:val="16"/>
                <w:szCs w:val="16"/>
              </w:rPr>
              <w:t>.</w:t>
            </w:r>
          </w:p>
        </w:tc>
        <w:tc>
          <w:tcPr>
            <w:tcW w:w="1677" w:type="pct"/>
            <w:tcBorders>
              <w:bottom w:val="single" w:sz="4" w:space="0" w:color="999999"/>
            </w:tcBorders>
          </w:tcPr>
          <w:p w14:paraId="6488B575" w14:textId="44B25779" w:rsidR="00BD5651" w:rsidRPr="000540E1" w:rsidRDefault="00BD5651" w:rsidP="000C7E62">
            <w:pPr>
              <w:pStyle w:val="tbltext"/>
            </w:pPr>
            <w:r w:rsidRPr="00134B52">
              <w:t xml:space="preserve">The UTI generating entity determined according to Item </w:t>
            </w:r>
            <w:r>
              <w:t>8A</w:t>
            </w:r>
          </w:p>
        </w:tc>
      </w:tr>
      <w:tr w:rsidR="00BD5651" w:rsidRPr="000540E1" w14:paraId="6AB19EB2" w14:textId="77777777" w:rsidTr="000C7E62">
        <w:trPr>
          <w:cantSplit/>
        </w:trPr>
        <w:tc>
          <w:tcPr>
            <w:tcW w:w="475" w:type="pct"/>
            <w:tcBorders>
              <w:bottom w:val="nil"/>
              <w:right w:val="nil"/>
            </w:tcBorders>
          </w:tcPr>
          <w:p w14:paraId="61BA80B7" w14:textId="77777777" w:rsidR="00BD5651" w:rsidRDefault="00BD5651" w:rsidP="000C7E62">
            <w:pPr>
              <w:pStyle w:val="tbltext"/>
            </w:pPr>
            <w:r>
              <w:t>8A</w:t>
            </w:r>
          </w:p>
        </w:tc>
        <w:tc>
          <w:tcPr>
            <w:tcW w:w="2848" w:type="pct"/>
            <w:tcBorders>
              <w:left w:val="nil"/>
              <w:bottom w:val="nil"/>
              <w:right w:val="nil"/>
            </w:tcBorders>
          </w:tcPr>
          <w:p w14:paraId="4AE8CAD1" w14:textId="510B52D8" w:rsidR="00BD5651" w:rsidRDefault="00BD5651" w:rsidP="000C7E62">
            <w:pPr>
              <w:pStyle w:val="MIRBodyText"/>
              <w:numPr>
                <w:ilvl w:val="0"/>
                <w:numId w:val="0"/>
              </w:numPr>
              <w:tabs>
                <w:tab w:val="clear" w:pos="851"/>
                <w:tab w:val="left" w:pos="2205"/>
              </w:tabs>
              <w:spacing w:before="120" w:line="240" w:lineRule="atLeast"/>
              <w:rPr>
                <w:rFonts w:ascii="Arial" w:hAnsi="Arial" w:cs="Arial"/>
                <w:sz w:val="18"/>
                <w:szCs w:val="18"/>
              </w:rPr>
            </w:pPr>
            <w:r>
              <w:rPr>
                <w:rFonts w:ascii="Arial" w:hAnsi="Arial" w:cs="Arial"/>
                <w:sz w:val="18"/>
                <w:szCs w:val="18"/>
              </w:rPr>
              <w:t>If Item 8 requires the UTI generating entity to be determined in accordance with this item:</w:t>
            </w:r>
          </w:p>
        </w:tc>
        <w:tc>
          <w:tcPr>
            <w:tcW w:w="1677" w:type="pct"/>
            <w:tcBorders>
              <w:left w:val="nil"/>
              <w:bottom w:val="nil"/>
            </w:tcBorders>
          </w:tcPr>
          <w:p w14:paraId="5FB981B3" w14:textId="60231E16" w:rsidR="00BD5651" w:rsidRPr="00924660" w:rsidRDefault="004A028C" w:rsidP="000C7E62">
            <w:pPr>
              <w:pStyle w:val="tbltext"/>
              <w:rPr>
                <w:color w:val="FFFFFF" w:themeColor="background1"/>
              </w:rPr>
            </w:pPr>
            <w:r w:rsidRPr="00924660">
              <w:rPr>
                <w:color w:val="FFFFFF" w:themeColor="background1"/>
              </w:rPr>
              <w:t>Blank cell</w:t>
            </w:r>
          </w:p>
        </w:tc>
      </w:tr>
      <w:tr w:rsidR="00BD5651" w:rsidRPr="000540E1" w14:paraId="57280F85" w14:textId="77777777" w:rsidTr="000C7E62">
        <w:trPr>
          <w:cantSplit/>
        </w:trPr>
        <w:tc>
          <w:tcPr>
            <w:tcW w:w="475" w:type="pct"/>
            <w:tcBorders>
              <w:top w:val="nil"/>
              <w:bottom w:val="nil"/>
              <w:right w:val="nil"/>
            </w:tcBorders>
          </w:tcPr>
          <w:p w14:paraId="3B21F75E" w14:textId="56F2EC0C" w:rsidR="00BD5651" w:rsidRPr="00924660" w:rsidRDefault="004A028C" w:rsidP="000C7E62">
            <w:pPr>
              <w:pStyle w:val="tbltext"/>
              <w:rPr>
                <w:color w:val="FFFFFF" w:themeColor="background1"/>
              </w:rPr>
            </w:pPr>
            <w:r w:rsidRPr="00924660">
              <w:rPr>
                <w:color w:val="FFFFFF" w:themeColor="background1"/>
              </w:rPr>
              <w:t>8A</w:t>
            </w:r>
          </w:p>
        </w:tc>
        <w:tc>
          <w:tcPr>
            <w:tcW w:w="2848" w:type="pct"/>
            <w:tcBorders>
              <w:top w:val="nil"/>
              <w:left w:val="nil"/>
              <w:bottom w:val="nil"/>
              <w:right w:val="nil"/>
            </w:tcBorders>
          </w:tcPr>
          <w:p w14:paraId="211BAFC9" w14:textId="08C22D80" w:rsidR="00BD5651" w:rsidRDefault="00BD5651" w:rsidP="00C443A0">
            <w:pPr>
              <w:pStyle w:val="MIRBodyText"/>
              <w:numPr>
                <w:ilvl w:val="0"/>
                <w:numId w:val="24"/>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 xml:space="preserve">if </w:t>
            </w:r>
            <w:r w:rsidRPr="009A4F3F">
              <w:rPr>
                <w:rFonts w:ascii="Arial" w:hAnsi="Arial" w:cs="Arial"/>
                <w:sz w:val="18"/>
                <w:szCs w:val="18"/>
              </w:rPr>
              <w:t>the Reporting Entity and the other counterparty have an agreement for the purposes of determining the UTI generating entity</w:t>
            </w:r>
            <w:r w:rsidR="00B633E4">
              <w:rPr>
                <w:rFonts w:ascii="Arial" w:hAnsi="Arial" w:cs="Arial"/>
                <w:sz w:val="18"/>
                <w:szCs w:val="18"/>
              </w:rPr>
              <w:t>;</w:t>
            </w:r>
          </w:p>
        </w:tc>
        <w:tc>
          <w:tcPr>
            <w:tcW w:w="1677" w:type="pct"/>
            <w:tcBorders>
              <w:top w:val="nil"/>
              <w:left w:val="nil"/>
              <w:bottom w:val="nil"/>
            </w:tcBorders>
          </w:tcPr>
          <w:p w14:paraId="3E33754E" w14:textId="77777777" w:rsidR="00BD5651" w:rsidRDefault="00BD5651" w:rsidP="000C7E62">
            <w:pPr>
              <w:pStyle w:val="tbltext"/>
            </w:pPr>
            <w:r>
              <w:t>The UTI generating entity determined a</w:t>
            </w:r>
            <w:r w:rsidRPr="00624FF7">
              <w:t>ccording to th</w:t>
            </w:r>
            <w:r>
              <w:t>at agreement</w:t>
            </w:r>
          </w:p>
        </w:tc>
      </w:tr>
      <w:tr w:rsidR="00BD5651" w:rsidRPr="000540E1" w14:paraId="191554D7" w14:textId="77777777" w:rsidTr="000C7E62">
        <w:trPr>
          <w:cantSplit/>
        </w:trPr>
        <w:tc>
          <w:tcPr>
            <w:tcW w:w="475" w:type="pct"/>
            <w:tcBorders>
              <w:top w:val="nil"/>
              <w:bottom w:val="nil"/>
              <w:right w:val="nil"/>
            </w:tcBorders>
          </w:tcPr>
          <w:p w14:paraId="36E84785" w14:textId="5DE99396" w:rsidR="00BD5651" w:rsidRPr="00924660" w:rsidRDefault="004A028C" w:rsidP="000C7E62">
            <w:pPr>
              <w:pStyle w:val="tbltext"/>
              <w:rPr>
                <w:color w:val="FFFFFF" w:themeColor="background1"/>
              </w:rPr>
            </w:pPr>
            <w:r w:rsidRPr="00924660">
              <w:rPr>
                <w:color w:val="FFFFFF" w:themeColor="background1"/>
              </w:rPr>
              <w:t>8A</w:t>
            </w:r>
          </w:p>
        </w:tc>
        <w:tc>
          <w:tcPr>
            <w:tcW w:w="2848" w:type="pct"/>
            <w:tcBorders>
              <w:top w:val="nil"/>
              <w:left w:val="nil"/>
              <w:bottom w:val="nil"/>
              <w:right w:val="nil"/>
            </w:tcBorders>
          </w:tcPr>
          <w:p w14:paraId="080C89DE" w14:textId="7D533D73" w:rsidR="00BD5651" w:rsidRDefault="000C7E62" w:rsidP="00C443A0">
            <w:pPr>
              <w:pStyle w:val="MIRBodyText"/>
              <w:numPr>
                <w:ilvl w:val="0"/>
                <w:numId w:val="24"/>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i</w:t>
            </w:r>
            <w:r w:rsidR="00BD5651">
              <w:rPr>
                <w:rFonts w:ascii="Arial" w:hAnsi="Arial" w:cs="Arial"/>
                <w:sz w:val="18"/>
                <w:szCs w:val="18"/>
              </w:rPr>
              <w:t xml:space="preserve">f paragraph (a) does not apply and </w:t>
            </w:r>
            <w:r w:rsidR="00BD5651" w:rsidRPr="00B96EA3">
              <w:rPr>
                <w:rFonts w:ascii="Arial" w:hAnsi="Arial" w:cs="Arial"/>
                <w:sz w:val="18"/>
                <w:szCs w:val="18"/>
              </w:rPr>
              <w:t xml:space="preserve">the Reportable Transaction has been, or will be, electronically </w:t>
            </w:r>
            <w:r w:rsidR="00BD5651">
              <w:rPr>
                <w:rFonts w:ascii="Arial" w:hAnsi="Arial" w:cs="Arial"/>
                <w:sz w:val="18"/>
                <w:szCs w:val="18"/>
              </w:rPr>
              <w:t xml:space="preserve">affirmed or </w:t>
            </w:r>
            <w:r w:rsidR="00BD5651" w:rsidRPr="00B96EA3">
              <w:rPr>
                <w:rFonts w:ascii="Arial" w:hAnsi="Arial" w:cs="Arial"/>
                <w:sz w:val="18"/>
                <w:szCs w:val="18"/>
              </w:rPr>
              <w:t xml:space="preserve">confirmed </w:t>
            </w:r>
            <w:r w:rsidR="00BD5651">
              <w:rPr>
                <w:rFonts w:ascii="Arial" w:hAnsi="Arial" w:cs="Arial"/>
                <w:sz w:val="18"/>
                <w:szCs w:val="18"/>
              </w:rPr>
              <w:t xml:space="preserve">on an affirmation or confirmation platform </w:t>
            </w:r>
            <w:r w:rsidR="00BD5651" w:rsidRPr="00B96EA3">
              <w:rPr>
                <w:rFonts w:ascii="Arial" w:hAnsi="Arial" w:cs="Arial"/>
                <w:sz w:val="18"/>
                <w:szCs w:val="18"/>
              </w:rPr>
              <w:t xml:space="preserve">and the operator of the </w:t>
            </w:r>
            <w:r w:rsidR="00BD5651">
              <w:rPr>
                <w:rFonts w:ascii="Arial" w:hAnsi="Arial" w:cs="Arial"/>
                <w:sz w:val="18"/>
                <w:szCs w:val="18"/>
              </w:rPr>
              <w:t>affirmation or confirmation</w:t>
            </w:r>
            <w:r w:rsidR="00BD5651" w:rsidRPr="00B96EA3">
              <w:rPr>
                <w:rFonts w:ascii="Arial" w:hAnsi="Arial" w:cs="Arial"/>
                <w:sz w:val="18"/>
                <w:szCs w:val="18"/>
              </w:rPr>
              <w:t xml:space="preserve"> platform </w:t>
            </w:r>
            <w:r w:rsidR="00BD5651">
              <w:rPr>
                <w:rFonts w:ascii="Arial" w:hAnsi="Arial" w:cs="Arial"/>
                <w:sz w:val="18"/>
                <w:szCs w:val="18"/>
              </w:rPr>
              <w:t xml:space="preserve">will </w:t>
            </w:r>
            <w:r w:rsidR="00BD5651" w:rsidRPr="00B96EA3">
              <w:rPr>
                <w:rFonts w:ascii="Arial" w:hAnsi="Arial" w:cs="Arial"/>
                <w:sz w:val="18"/>
                <w:szCs w:val="18"/>
              </w:rPr>
              <w:t>generate a UTI</w:t>
            </w:r>
            <w:r w:rsidR="00B633E4">
              <w:rPr>
                <w:rFonts w:ascii="Arial" w:hAnsi="Arial" w:cs="Arial"/>
                <w:sz w:val="18"/>
                <w:szCs w:val="18"/>
              </w:rPr>
              <w:t>;</w:t>
            </w:r>
          </w:p>
        </w:tc>
        <w:tc>
          <w:tcPr>
            <w:tcW w:w="1677" w:type="pct"/>
            <w:tcBorders>
              <w:top w:val="nil"/>
              <w:left w:val="nil"/>
              <w:bottom w:val="nil"/>
            </w:tcBorders>
          </w:tcPr>
          <w:p w14:paraId="6411C73D" w14:textId="77777777" w:rsidR="00BD5651" w:rsidRPr="00134B52" w:rsidRDefault="00BD5651" w:rsidP="000C7E62">
            <w:pPr>
              <w:pStyle w:val="tbltext"/>
            </w:pPr>
            <w:r>
              <w:t xml:space="preserve">The </w:t>
            </w:r>
            <w:r w:rsidRPr="00C05001">
              <w:t xml:space="preserve">operator of the </w:t>
            </w:r>
            <w:r>
              <w:t>affirmation or confirmation</w:t>
            </w:r>
            <w:r w:rsidRPr="00C05001">
              <w:t xml:space="preserve"> platform</w:t>
            </w:r>
          </w:p>
        </w:tc>
      </w:tr>
      <w:tr w:rsidR="00BD5651" w:rsidRPr="000540E1" w14:paraId="6258D3FF" w14:textId="77777777" w:rsidTr="000C7E62">
        <w:trPr>
          <w:cantSplit/>
        </w:trPr>
        <w:tc>
          <w:tcPr>
            <w:tcW w:w="475" w:type="pct"/>
            <w:tcBorders>
              <w:top w:val="nil"/>
              <w:bottom w:val="nil"/>
              <w:right w:val="nil"/>
            </w:tcBorders>
          </w:tcPr>
          <w:p w14:paraId="6264823D" w14:textId="3E139E5D" w:rsidR="00BD5651" w:rsidRPr="00924660" w:rsidRDefault="004A028C" w:rsidP="000C7E62">
            <w:pPr>
              <w:pStyle w:val="tbltext"/>
              <w:rPr>
                <w:color w:val="FFFFFF" w:themeColor="background1"/>
              </w:rPr>
            </w:pPr>
            <w:r w:rsidRPr="00924660">
              <w:rPr>
                <w:color w:val="FFFFFF" w:themeColor="background1"/>
              </w:rPr>
              <w:t>8A</w:t>
            </w:r>
          </w:p>
        </w:tc>
        <w:tc>
          <w:tcPr>
            <w:tcW w:w="2848" w:type="pct"/>
            <w:tcBorders>
              <w:top w:val="nil"/>
              <w:left w:val="nil"/>
              <w:bottom w:val="nil"/>
              <w:right w:val="nil"/>
            </w:tcBorders>
          </w:tcPr>
          <w:p w14:paraId="44E53899" w14:textId="14EBD1D4" w:rsidR="00BD5651" w:rsidRDefault="00BD5651" w:rsidP="00C443A0">
            <w:pPr>
              <w:pStyle w:val="MIRBodyText"/>
              <w:numPr>
                <w:ilvl w:val="0"/>
                <w:numId w:val="24"/>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 xml:space="preserve">if paragraphs (a) and (b) do not apply and </w:t>
            </w:r>
            <w:r w:rsidRPr="000102CC">
              <w:rPr>
                <w:rFonts w:ascii="Arial" w:hAnsi="Arial" w:cs="Arial"/>
                <w:sz w:val="18"/>
                <w:szCs w:val="18"/>
              </w:rPr>
              <w:t xml:space="preserve">the Reportable Transaction </w:t>
            </w:r>
            <w:r>
              <w:rPr>
                <w:rFonts w:ascii="Arial" w:hAnsi="Arial" w:cs="Arial"/>
                <w:sz w:val="18"/>
                <w:szCs w:val="18"/>
              </w:rPr>
              <w:t>will be</w:t>
            </w:r>
            <w:r w:rsidRPr="000102CC">
              <w:rPr>
                <w:rFonts w:ascii="Arial" w:hAnsi="Arial" w:cs="Arial"/>
                <w:sz w:val="18"/>
                <w:szCs w:val="18"/>
              </w:rPr>
              <w:t xml:space="preserve"> reported by both counterparties to </w:t>
            </w:r>
            <w:r>
              <w:rPr>
                <w:rFonts w:ascii="Arial" w:hAnsi="Arial" w:cs="Arial"/>
                <w:sz w:val="18"/>
                <w:szCs w:val="18"/>
              </w:rPr>
              <w:t>a single</w:t>
            </w:r>
            <w:r w:rsidRPr="000102CC">
              <w:rPr>
                <w:rFonts w:ascii="Arial" w:hAnsi="Arial" w:cs="Arial"/>
                <w:sz w:val="18"/>
                <w:szCs w:val="18"/>
              </w:rPr>
              <w:t xml:space="preserve"> Derivative Trade Repository</w:t>
            </w:r>
            <w:r>
              <w:rPr>
                <w:rFonts w:ascii="Arial" w:hAnsi="Arial" w:cs="Arial"/>
                <w:sz w:val="18"/>
                <w:szCs w:val="18"/>
              </w:rPr>
              <w:t xml:space="preserve"> which records both reports into the repository records of a single jurisdiction</w:t>
            </w:r>
            <w:r w:rsidR="00B633E4">
              <w:rPr>
                <w:rFonts w:ascii="Arial" w:hAnsi="Arial" w:cs="Arial"/>
                <w:sz w:val="18"/>
                <w:szCs w:val="18"/>
              </w:rPr>
              <w:t>;</w:t>
            </w:r>
          </w:p>
        </w:tc>
        <w:tc>
          <w:tcPr>
            <w:tcW w:w="1677" w:type="pct"/>
            <w:tcBorders>
              <w:top w:val="nil"/>
              <w:left w:val="nil"/>
              <w:bottom w:val="nil"/>
            </w:tcBorders>
          </w:tcPr>
          <w:p w14:paraId="28B928A4" w14:textId="77777777" w:rsidR="00BD5651" w:rsidRDefault="00BD5651" w:rsidP="000C7E62">
            <w:pPr>
              <w:pStyle w:val="tbltext"/>
            </w:pPr>
            <w:r>
              <w:t>The operator of the Derivative Trade Repository</w:t>
            </w:r>
          </w:p>
        </w:tc>
      </w:tr>
      <w:tr w:rsidR="00BD5651" w:rsidRPr="000540E1" w14:paraId="145B817C" w14:textId="77777777" w:rsidTr="000C7E62">
        <w:trPr>
          <w:cantSplit/>
        </w:trPr>
        <w:tc>
          <w:tcPr>
            <w:tcW w:w="475" w:type="pct"/>
            <w:tcBorders>
              <w:top w:val="nil"/>
              <w:bottom w:val="single" w:sz="4" w:space="0" w:color="999999"/>
            </w:tcBorders>
          </w:tcPr>
          <w:p w14:paraId="04C9D53A" w14:textId="7795A2BD" w:rsidR="00BD5651" w:rsidRPr="00924660" w:rsidRDefault="004A028C" w:rsidP="000C7E62">
            <w:pPr>
              <w:pStyle w:val="tbltext"/>
              <w:rPr>
                <w:color w:val="FFFFFF" w:themeColor="background1"/>
              </w:rPr>
            </w:pPr>
            <w:r w:rsidRPr="00924660">
              <w:rPr>
                <w:color w:val="FFFFFF" w:themeColor="background1"/>
              </w:rPr>
              <w:t>8A</w:t>
            </w:r>
          </w:p>
        </w:tc>
        <w:tc>
          <w:tcPr>
            <w:tcW w:w="2848" w:type="pct"/>
            <w:tcBorders>
              <w:top w:val="nil"/>
              <w:bottom w:val="single" w:sz="4" w:space="0" w:color="999999"/>
            </w:tcBorders>
          </w:tcPr>
          <w:p w14:paraId="4E05C1A6" w14:textId="35DD603F" w:rsidR="00BD5651" w:rsidRDefault="00BD5651" w:rsidP="00C443A0">
            <w:pPr>
              <w:pStyle w:val="MIRBodyText"/>
              <w:numPr>
                <w:ilvl w:val="0"/>
                <w:numId w:val="24"/>
              </w:numPr>
              <w:tabs>
                <w:tab w:val="clear" w:pos="851"/>
                <w:tab w:val="left" w:pos="2205"/>
              </w:tabs>
              <w:spacing w:before="120" w:line="240" w:lineRule="atLeast"/>
              <w:ind w:left="284" w:hanging="284"/>
              <w:rPr>
                <w:rFonts w:ascii="Arial" w:hAnsi="Arial" w:cs="Arial"/>
                <w:sz w:val="18"/>
                <w:szCs w:val="18"/>
              </w:rPr>
            </w:pPr>
            <w:r>
              <w:rPr>
                <w:rFonts w:ascii="Arial" w:hAnsi="Arial" w:cs="Arial"/>
                <w:sz w:val="18"/>
                <w:szCs w:val="18"/>
              </w:rPr>
              <w:t>otherwise</w:t>
            </w:r>
            <w:r w:rsidR="00B633E4">
              <w:rPr>
                <w:rFonts w:ascii="Arial" w:hAnsi="Arial" w:cs="Arial"/>
                <w:sz w:val="18"/>
                <w:szCs w:val="18"/>
              </w:rPr>
              <w:t>.</w:t>
            </w:r>
          </w:p>
        </w:tc>
        <w:tc>
          <w:tcPr>
            <w:tcW w:w="1677" w:type="pct"/>
            <w:tcBorders>
              <w:top w:val="nil"/>
              <w:bottom w:val="single" w:sz="4" w:space="0" w:color="999999"/>
            </w:tcBorders>
          </w:tcPr>
          <w:p w14:paraId="4DE2E441" w14:textId="41FE2739" w:rsidR="00BD5651" w:rsidRDefault="00BD5651" w:rsidP="000C7E62">
            <w:pPr>
              <w:pStyle w:val="tbltext"/>
            </w:pPr>
            <w:r>
              <w:t>T</w:t>
            </w:r>
            <w:r w:rsidRPr="00257013">
              <w:t xml:space="preserve">he counterparty whose LEI </w:t>
            </w:r>
            <w:r>
              <w:t>with the characters reversed (</w:t>
            </w:r>
            <w:r w:rsidRPr="004E36A5">
              <w:rPr>
                <w:b/>
                <w:bCs/>
                <w:i/>
                <w:iCs/>
              </w:rPr>
              <w:t>reversed LEI</w:t>
            </w:r>
            <w:r>
              <w:t>) would appear</w:t>
            </w:r>
            <w:r w:rsidRPr="00257013">
              <w:t xml:space="preserve"> first</w:t>
            </w:r>
            <w:r>
              <w:t xml:space="preserve"> if the reversed LEIs of the counterparties were sorted in alphanumeric order, or the only counterparty with an LEI</w:t>
            </w:r>
          </w:p>
        </w:tc>
      </w:tr>
    </w:tbl>
    <w:p w14:paraId="15832CCB" w14:textId="4E339730" w:rsidR="00BD5651" w:rsidRDefault="00BD5651" w:rsidP="00C443A0">
      <w:pPr>
        <w:pStyle w:val="BodyText"/>
        <w:numPr>
          <w:ilvl w:val="0"/>
          <w:numId w:val="17"/>
        </w:numPr>
      </w:pPr>
      <w:r>
        <w:t>Item 8 describes the last remaining scenario of a transaction that is not a single-jurisdictional transaction or a cross-jurisdictional transaction where one of the jurisdictions is the jurisdiction with the earlier reporting deadline.</w:t>
      </w:r>
    </w:p>
    <w:p w14:paraId="645A2ACE" w14:textId="77777777" w:rsidR="00BD5651" w:rsidRDefault="00BD5651" w:rsidP="00C443A0">
      <w:pPr>
        <w:pStyle w:val="BodyText"/>
        <w:numPr>
          <w:ilvl w:val="0"/>
          <w:numId w:val="17"/>
        </w:numPr>
      </w:pPr>
      <w:r>
        <w:t>The steps of item 8A implement the same steps of the UTI Guidance and of the final ESMA rules.</w:t>
      </w:r>
    </w:p>
    <w:p w14:paraId="7229107A" w14:textId="03B76B82" w:rsidR="00BD5651" w:rsidRDefault="00BD5651" w:rsidP="00C443A0">
      <w:pPr>
        <w:pStyle w:val="BodyText"/>
        <w:numPr>
          <w:ilvl w:val="0"/>
          <w:numId w:val="17"/>
        </w:numPr>
      </w:pPr>
      <w:r>
        <w:t xml:space="preserve">Considering the flexibility of item 5 to determine the </w:t>
      </w:r>
      <w:r w:rsidR="002B1D22">
        <w:t>UTI generating</w:t>
      </w:r>
      <w:r>
        <w:t xml:space="preserve"> entity without determining the jurisdiction with the earlier reporting deadline and that Sydney’s time zone is unique among jurisdictions with transaction reporting requirements, we do not anticipate that item 8/8A would commonly apply to the transactions of ASIC reporting entities.</w:t>
      </w:r>
    </w:p>
    <w:p w14:paraId="2C6A0AE3" w14:textId="4E03CCAD" w:rsidR="00BD5651" w:rsidRDefault="00BD5651" w:rsidP="00C443A0">
      <w:pPr>
        <w:pStyle w:val="BodyText"/>
        <w:numPr>
          <w:ilvl w:val="0"/>
          <w:numId w:val="17"/>
        </w:numPr>
      </w:pPr>
      <w:r>
        <w:t xml:space="preserve">However, as we noted at paragraph 144 of </w:t>
      </w:r>
      <w:hyperlink r:id="rId76" w:history="1">
        <w:r w:rsidRPr="00052C29">
          <w:rPr>
            <w:rStyle w:val="Hyperlink"/>
          </w:rPr>
          <w:t>CP 334</w:t>
        </w:r>
      </w:hyperlink>
      <w:r>
        <w:t xml:space="preserve">, </w:t>
      </w:r>
      <w:r w:rsidRPr="003E15FE">
        <w:t xml:space="preserve">if the ‘semantic’ interpretation of T+1 </w:t>
      </w:r>
      <w:r>
        <w:t xml:space="preserve">reporting deadlines </w:t>
      </w:r>
      <w:r w:rsidRPr="003E15FE">
        <w:t>is adopted internationally</w:t>
      </w:r>
      <w:r>
        <w:t xml:space="preserve"> and item</w:t>
      </w:r>
      <w:r w:rsidR="00052C29">
        <w:t> </w:t>
      </w:r>
      <w:r>
        <w:t>5 does not apply</w:t>
      </w:r>
      <w:r w:rsidRPr="003E15FE">
        <w:t xml:space="preserve">, </w:t>
      </w:r>
      <w:r>
        <w:t xml:space="preserve">item 8 would apply in a range of </w:t>
      </w:r>
      <w:r w:rsidRPr="003E15FE">
        <w:t>transaction circumstances</w:t>
      </w:r>
      <w:r>
        <w:t xml:space="preserve"> that involve reporting to more than one T+1 jurisdiction.</w:t>
      </w:r>
    </w:p>
    <w:p w14:paraId="7B3075F6" w14:textId="77777777" w:rsidR="00BD5651" w:rsidRDefault="00BD5651" w:rsidP="00C443A0">
      <w:pPr>
        <w:pStyle w:val="BodyText"/>
        <w:numPr>
          <w:ilvl w:val="0"/>
          <w:numId w:val="17"/>
        </w:numPr>
      </w:pPr>
      <w:r>
        <w:t>If item 8 applies, the steps involved can be, in substance, the same steps involved in items 5 and 6A, and may be the same steps as for item 7.</w:t>
      </w:r>
    </w:p>
    <w:p w14:paraId="0D2A53DC" w14:textId="31A20EC6" w:rsidR="00BD5651" w:rsidRDefault="00BD5651" w:rsidP="00C443A0">
      <w:pPr>
        <w:pStyle w:val="BodyText"/>
        <w:numPr>
          <w:ilvl w:val="0"/>
          <w:numId w:val="17"/>
        </w:numPr>
      </w:pPr>
      <w:r>
        <w:t xml:space="preserve">Step (a) of item 8A is determining the </w:t>
      </w:r>
      <w:r w:rsidR="002B1D22">
        <w:t>UTI generating</w:t>
      </w:r>
      <w:r>
        <w:t xml:space="preserve"> entity according to an agreement between the counterparties. This agreement may be, if applicable to the transaction, an agreement that the </w:t>
      </w:r>
      <w:r w:rsidR="002B1D22">
        <w:t>UTI generating</w:t>
      </w:r>
      <w:r>
        <w:t xml:space="preserve"> entity is the operator of the affirmation or confirmation platform. In this way, the operator of the affirmation or confirmation platform can be the </w:t>
      </w:r>
      <w:r w:rsidR="002B1D22">
        <w:t>UTI generating</w:t>
      </w:r>
      <w:r>
        <w:t xml:space="preserve"> entity at the first step of item 8A, as it is at the first step of items 5 and 6A.</w:t>
      </w:r>
    </w:p>
    <w:p w14:paraId="2BDFCB35" w14:textId="58D95BA2" w:rsidR="00BD5651" w:rsidRPr="003E15FE" w:rsidRDefault="00BD5651" w:rsidP="00C443A0">
      <w:pPr>
        <w:pStyle w:val="BodyText"/>
        <w:numPr>
          <w:ilvl w:val="0"/>
          <w:numId w:val="17"/>
        </w:numPr>
      </w:pPr>
      <w:r>
        <w:t xml:space="preserve">If the transaction is not affirmed or confirmed on an affirmation or confirmation platform, determining the </w:t>
      </w:r>
      <w:r w:rsidR="002B1D22">
        <w:t>UTI generating</w:t>
      </w:r>
      <w:r>
        <w:t xml:space="preserve"> entity by bilateral agreement remains the first operative step of item 8A, as it would be the first operative step of items 5 and 6A in the same circumstances that the transaction is not affirmed or confirmed on an affirmation or confirmation platform.</w:t>
      </w:r>
    </w:p>
    <w:p w14:paraId="43837124" w14:textId="1B43DF14" w:rsidR="00BD5651" w:rsidRDefault="00BD5651" w:rsidP="00C443A0">
      <w:pPr>
        <w:pStyle w:val="BodyText"/>
        <w:numPr>
          <w:ilvl w:val="0"/>
          <w:numId w:val="17"/>
        </w:numPr>
      </w:pPr>
      <w:r>
        <w:t xml:space="preserve">If neither step (a) nor step (b) of item 8A apply, at step (c) the operator of the </w:t>
      </w:r>
      <w:r w:rsidRPr="009B2D23">
        <w:t xml:space="preserve">single </w:t>
      </w:r>
      <w:r>
        <w:t xml:space="preserve">derivative trade repository to which the transaction will be reported by both counterparties is the </w:t>
      </w:r>
      <w:r w:rsidR="002B1D22">
        <w:t>UTI generating</w:t>
      </w:r>
      <w:r>
        <w:t xml:space="preserve"> entity.</w:t>
      </w:r>
    </w:p>
    <w:p w14:paraId="24985775" w14:textId="4DCA5790" w:rsidR="00BD5651" w:rsidRDefault="00BD5651" w:rsidP="00C443A0">
      <w:pPr>
        <w:pStyle w:val="BodyText"/>
        <w:numPr>
          <w:ilvl w:val="0"/>
          <w:numId w:val="17"/>
        </w:numPr>
      </w:pPr>
      <w:r>
        <w:t xml:space="preserve">For example, </w:t>
      </w:r>
      <w:r w:rsidRPr="00F53A2E">
        <w:t xml:space="preserve">DTCC Data Repository (Singapore) Pte Ltd </w:t>
      </w:r>
      <w:r w:rsidR="00EB6F40">
        <w:t>(</w:t>
      </w:r>
      <w:r w:rsidR="00EB6F40" w:rsidRPr="000A4612">
        <w:t>DDRS</w:t>
      </w:r>
      <w:r w:rsidR="00EB6F40">
        <w:t xml:space="preserve">) </w:t>
      </w:r>
      <w:r>
        <w:t xml:space="preserve">is a single derivative trade repository but with separate datasets for reports made under the requirements of the </w:t>
      </w:r>
      <w:r w:rsidR="0065506F">
        <w:t>c</w:t>
      </w:r>
      <w:r>
        <w:t>urrent ASIC Rules and reports made under the requirements of the Monetary Authority of Singapore (</w:t>
      </w:r>
      <w:r w:rsidRPr="000A4612">
        <w:t>MAS</w:t>
      </w:r>
      <w:r>
        <w:t>). Step (c) only applies where both reports are recorded into the repository records of a single jurisdiction</w:t>
      </w:r>
      <w:r w:rsidR="00404CA5">
        <w:t>—</w:t>
      </w:r>
      <w:r w:rsidR="00052C29">
        <w:t>that is,</w:t>
      </w:r>
      <w:r>
        <w:t xml:space="preserve"> both reports are </w:t>
      </w:r>
      <w:r w:rsidR="00EB6F40">
        <w:t xml:space="preserve">only </w:t>
      </w:r>
      <w:r>
        <w:t xml:space="preserve">recorded in the ‘ASIC dataset’ or </w:t>
      </w:r>
      <w:r w:rsidR="00EB6F40">
        <w:t xml:space="preserve">only </w:t>
      </w:r>
      <w:r>
        <w:t xml:space="preserve">in the ‘MAS dataset’ and not </w:t>
      </w:r>
      <w:r w:rsidR="00EB6F40">
        <w:t>reported in each dataset</w:t>
      </w:r>
      <w:r>
        <w:t xml:space="preserve">. We do not think it is appropriate that a derivative trade repository should be required to act as the </w:t>
      </w:r>
      <w:r w:rsidR="002B1D22">
        <w:t>UTI generating</w:t>
      </w:r>
      <w:r>
        <w:t xml:space="preserve"> entity for transactions that are reported to it under different processes and controls.</w:t>
      </w:r>
    </w:p>
    <w:p w14:paraId="63831B49" w14:textId="5783871F" w:rsidR="000C7E62" w:rsidRDefault="000C7E62" w:rsidP="00C443A0">
      <w:pPr>
        <w:pStyle w:val="BodyText"/>
        <w:numPr>
          <w:ilvl w:val="0"/>
          <w:numId w:val="17"/>
        </w:numPr>
      </w:pPr>
      <w:r>
        <w:t xml:space="preserve">For this step (c) to apply, it would require circumstances where there are reporting requirements in a foreign jurisdiction that allow the requirements </w:t>
      </w:r>
      <w:r w:rsidR="00052C29">
        <w:t xml:space="preserve">to </w:t>
      </w:r>
      <w:r>
        <w:t>be met by reporting entities only making reports to the ‘ASIC dataset’</w:t>
      </w:r>
      <w:r w:rsidR="00404CA5">
        <w:t>—</w:t>
      </w:r>
      <w:r w:rsidR="00B1198E">
        <w:t xml:space="preserve">however, we do </w:t>
      </w:r>
      <w:r w:rsidR="00205102">
        <w:t xml:space="preserve">not </w:t>
      </w:r>
      <w:r w:rsidR="00B1198E">
        <w:t>identify that there are currently any such circumstances.</w:t>
      </w:r>
    </w:p>
    <w:p w14:paraId="37BAAB58" w14:textId="3D128312" w:rsidR="000C7E62" w:rsidRDefault="00B1198E" w:rsidP="00C443A0">
      <w:pPr>
        <w:pStyle w:val="BodyText"/>
        <w:numPr>
          <w:ilvl w:val="0"/>
          <w:numId w:val="17"/>
        </w:numPr>
      </w:pPr>
      <w:r>
        <w:t>Further, g</w:t>
      </w:r>
      <w:r w:rsidR="000C7E62">
        <w:t xml:space="preserve">iven that the circumstances must include that at least one of the counterparties is making a report under </w:t>
      </w:r>
      <w:r w:rsidR="00052C29">
        <w:t xml:space="preserve">Rule </w:t>
      </w:r>
      <w:r w:rsidR="000C7E62">
        <w:t>2.2.1(1) to the ‘ASIC dataset’</w:t>
      </w:r>
      <w:r w:rsidR="00404CA5">
        <w:t>—</w:t>
      </w:r>
      <w:r w:rsidR="00205102">
        <w:t>otherwise</w:t>
      </w:r>
      <w:r w:rsidR="000C7E62">
        <w:t xml:space="preserve"> Rule 2.2.9 does not apply to the transaction</w:t>
      </w:r>
      <w:r w:rsidR="00404CA5">
        <w:t>—</w:t>
      </w:r>
      <w:r w:rsidR="000C7E62">
        <w:t xml:space="preserve">it follows that reporting by both counterparties to only the ‘MAS dataset’, or more generally to a single </w:t>
      </w:r>
      <w:r w:rsidR="0064484E">
        <w:t>prescribed repository</w:t>
      </w:r>
      <w:r w:rsidR="000C7E62">
        <w:t>, would not be circumstances under which step (c) would apply.</w:t>
      </w:r>
    </w:p>
    <w:p w14:paraId="67D94BB9" w14:textId="78DE9952" w:rsidR="00B1198E" w:rsidRDefault="00B1198E" w:rsidP="00C443A0">
      <w:pPr>
        <w:pStyle w:val="BodyText"/>
        <w:numPr>
          <w:ilvl w:val="0"/>
          <w:numId w:val="17"/>
        </w:numPr>
      </w:pPr>
      <w:r>
        <w:t xml:space="preserve">If none of steps (a), (b) or (c) of item 8A apply, at step (d) the </w:t>
      </w:r>
      <w:r w:rsidR="002B1D22">
        <w:t>UTI generating</w:t>
      </w:r>
      <w:r>
        <w:t xml:space="preserve"> entity is determined by a ‘reverse LEI sort’ of the LEIs of the counterparties (or the sole counterparty with an LEI)</w:t>
      </w:r>
      <w:r w:rsidR="00404CA5">
        <w:t>—</w:t>
      </w:r>
      <w:r>
        <w:t>this is the same final step as in items 4 and 6A.</w:t>
      </w:r>
    </w:p>
    <w:p w14:paraId="163AE53B" w14:textId="16BA61A1" w:rsidR="00B1198E" w:rsidRDefault="00B1198E" w:rsidP="00C443A0">
      <w:pPr>
        <w:pStyle w:val="BodyText"/>
        <w:numPr>
          <w:ilvl w:val="0"/>
          <w:numId w:val="17"/>
        </w:numPr>
      </w:pPr>
      <w:bookmarkStart w:id="71" w:name="_ASICRef592"/>
      <w:r w:rsidRPr="00AA5D8B">
        <w:t xml:space="preserve">Finally, as item </w:t>
      </w:r>
      <w:r>
        <w:t>8</w:t>
      </w:r>
      <w:r w:rsidRPr="00AA5D8B">
        <w:t xml:space="preserve">A has the same </w:t>
      </w:r>
      <w:r>
        <w:t xml:space="preserve">in-substance </w:t>
      </w:r>
      <w:r w:rsidRPr="00AA5D8B">
        <w:t>operative steps as item</w:t>
      </w:r>
      <w:r>
        <w:t>s</w:t>
      </w:r>
      <w:r w:rsidRPr="00AA5D8B">
        <w:t xml:space="preserve"> 4 </w:t>
      </w:r>
      <w:r>
        <w:t xml:space="preserve">and 6A, </w:t>
      </w:r>
      <w:r w:rsidRPr="00AA5D8B">
        <w:t xml:space="preserve">we likewise think that a </w:t>
      </w:r>
      <w:r w:rsidR="002B1D22">
        <w:t>UTI generating</w:t>
      </w:r>
      <w:r w:rsidRPr="00AA5D8B">
        <w:t xml:space="preserve"> entity will always be able to be determined by one of the steps in item </w:t>
      </w:r>
      <w:r>
        <w:t>8</w:t>
      </w:r>
      <w:r w:rsidRPr="00AA5D8B">
        <w:t xml:space="preserve">A and that it is not necessary to provide for any ‘ultimate determinant’ of the </w:t>
      </w:r>
      <w:r w:rsidR="002B1D22">
        <w:t>UTI generating</w:t>
      </w:r>
      <w:r w:rsidRPr="00AA5D8B">
        <w:t xml:space="preserve"> entity to follow from item </w:t>
      </w:r>
      <w:r>
        <w:t>8</w:t>
      </w:r>
      <w:r w:rsidRPr="00AA5D8B">
        <w:t>A.</w:t>
      </w:r>
      <w:bookmarkEnd w:id="71"/>
    </w:p>
    <w:p w14:paraId="6C78C6EC" w14:textId="77777777" w:rsidR="00B1198E" w:rsidRDefault="00B1198E" w:rsidP="00B1198E">
      <w:pPr>
        <w:pStyle w:val="Heading4"/>
      </w:pPr>
      <w:r>
        <w:t>Non-receipt of a UTI</w:t>
      </w:r>
    </w:p>
    <w:p w14:paraId="7074384E" w14:textId="3AB4C65E" w:rsidR="00B1198E" w:rsidRDefault="00B1198E" w:rsidP="00C443A0">
      <w:pPr>
        <w:pStyle w:val="BodyText"/>
        <w:numPr>
          <w:ilvl w:val="0"/>
          <w:numId w:val="17"/>
        </w:numPr>
      </w:pPr>
      <w:bookmarkStart w:id="72" w:name="_Ref95741054"/>
      <w:r>
        <w:t xml:space="preserve">Draft </w:t>
      </w:r>
      <w:r w:rsidR="00EB0724">
        <w:t>Rule 2.2.9</w:t>
      </w:r>
      <w:r>
        <w:t>(6) deals with what we describe as a ‘temporary’ or ‘permanent’ non-receipt of a UTI by an ASIC reporting entity in situations where the ASIC reporting entity is expecting that another entity will provide that UTI.</w:t>
      </w:r>
      <w:bookmarkEnd w:id="72"/>
    </w:p>
    <w:p w14:paraId="35A0E9D2" w14:textId="0A3B167E" w:rsidR="00B1198E" w:rsidRDefault="00B1198E" w:rsidP="00C443A0">
      <w:pPr>
        <w:pStyle w:val="BodyText"/>
        <w:numPr>
          <w:ilvl w:val="0"/>
          <w:numId w:val="17"/>
        </w:numPr>
      </w:pPr>
      <w:r>
        <w:t xml:space="preserve">The ASIC reporting entity is required to take certain steps if it ‘does not receive a UTI from the </w:t>
      </w:r>
      <w:r w:rsidR="002B1D22">
        <w:t>UTI generating</w:t>
      </w:r>
      <w:r>
        <w:t xml:space="preserve"> entity determined under </w:t>
      </w:r>
      <w:r w:rsidR="00AC4234">
        <w:t>Rule 2.2.9</w:t>
      </w:r>
      <w:r>
        <w:t xml:space="preserve">(3) in sufficient time to enable the Reporting Entity to report the UTI for the Reportable Transaction in accordance with </w:t>
      </w:r>
      <w:r w:rsidR="00AC4234">
        <w:t>R</w:t>
      </w:r>
      <w:r>
        <w:t>ule 2.2.3</w:t>
      </w:r>
      <w:r w:rsidR="0064484E">
        <w:t>’</w:t>
      </w:r>
      <w:r>
        <w:t>.</w:t>
      </w:r>
    </w:p>
    <w:p w14:paraId="7936DCE6" w14:textId="02CFD820" w:rsidR="00B1198E" w:rsidRDefault="00B1198E" w:rsidP="00C443A0">
      <w:pPr>
        <w:pStyle w:val="BodyText"/>
        <w:numPr>
          <w:ilvl w:val="0"/>
          <w:numId w:val="17"/>
        </w:numPr>
      </w:pPr>
      <w:bookmarkStart w:id="73" w:name="_ASICRef430"/>
      <w:r>
        <w:t>‘</w:t>
      </w:r>
      <w:r w:rsidR="00AC4234">
        <w:rPr>
          <w:i/>
          <w:iCs/>
        </w:rPr>
        <w:t>[I]</w:t>
      </w:r>
      <w:r w:rsidRPr="00862249">
        <w:rPr>
          <w:i/>
          <w:iCs/>
        </w:rPr>
        <w:t>n sufficient time</w:t>
      </w:r>
      <w:r>
        <w:t xml:space="preserve">’ is not given any specific temporal meaning in draft </w:t>
      </w:r>
      <w:r w:rsidR="00AC4234">
        <w:t>Rule 2.2.9</w:t>
      </w:r>
      <w:r>
        <w:t xml:space="preserve">(6) and is for the reporting entity to determine. We propose to give guidance in amendments to </w:t>
      </w:r>
      <w:hyperlink r:id="rId77" w:history="1">
        <w:r w:rsidRPr="00AC4234">
          <w:rPr>
            <w:rStyle w:val="Hyperlink"/>
          </w:rPr>
          <w:t>RG 251</w:t>
        </w:r>
      </w:hyperlink>
      <w:r>
        <w:t xml:space="preserve"> that we expect ASIC reporting entities to act reasonably, having regard to, for example:</w:t>
      </w:r>
      <w:bookmarkEnd w:id="73"/>
    </w:p>
    <w:p w14:paraId="48C56BED" w14:textId="77777777" w:rsidR="00B1198E" w:rsidRDefault="00B1198E" w:rsidP="00C443A0">
      <w:pPr>
        <w:pStyle w:val="subparaa"/>
        <w:numPr>
          <w:ilvl w:val="1"/>
          <w:numId w:val="17"/>
        </w:numPr>
      </w:pPr>
      <w:r>
        <w:t>if using real-time, or near real-time, reporting processes, temporarily diverting the transaction from that process and rescheduling it in a manner that balances allowing time to receive a UTI with the operational risks of non-standard processes;</w:t>
      </w:r>
    </w:p>
    <w:p w14:paraId="58CA2D0D" w14:textId="77777777" w:rsidR="00B1198E" w:rsidRDefault="00B1198E" w:rsidP="00C443A0">
      <w:pPr>
        <w:pStyle w:val="subparaa"/>
        <w:numPr>
          <w:ilvl w:val="1"/>
          <w:numId w:val="17"/>
        </w:numPr>
      </w:pPr>
      <w:r>
        <w:t>if using batch-style reporting processes, allowing at least the time until the cut-off time for a batch to be formed or diverting to a subsequent batch;</w:t>
      </w:r>
    </w:p>
    <w:p w14:paraId="5F2F3046" w14:textId="039A5C38" w:rsidR="00B1198E" w:rsidRDefault="00B1198E" w:rsidP="00C443A0">
      <w:pPr>
        <w:pStyle w:val="subparaa"/>
        <w:numPr>
          <w:ilvl w:val="1"/>
          <w:numId w:val="17"/>
        </w:numPr>
      </w:pPr>
      <w:r>
        <w:t>in the meantime, taking proactive steps to follow</w:t>
      </w:r>
      <w:r w:rsidR="00AC4234">
        <w:t xml:space="preserve"> </w:t>
      </w:r>
      <w:r>
        <w:t xml:space="preserve">up with the </w:t>
      </w:r>
      <w:r w:rsidR="002B1D22">
        <w:t>UTI generating</w:t>
      </w:r>
      <w:r>
        <w:t xml:space="preserve"> entity to obtain the UTI, particularly where the </w:t>
      </w:r>
      <w:r w:rsidR="002B1D22">
        <w:t>UTI generating</w:t>
      </w:r>
      <w:r>
        <w:t xml:space="preserve"> entity ordinarily and regularly provides a UTI;</w:t>
      </w:r>
    </w:p>
    <w:p w14:paraId="305BE47E" w14:textId="77777777" w:rsidR="00B1198E" w:rsidRDefault="00B1198E" w:rsidP="00C443A0">
      <w:pPr>
        <w:pStyle w:val="subparaa"/>
        <w:numPr>
          <w:ilvl w:val="1"/>
          <w:numId w:val="17"/>
        </w:numPr>
      </w:pPr>
      <w:r>
        <w:t>the intent of the draft remade ASIC Rules is to support that the same UTI is reported to all relevant jurisdictions for a multi-jurisdictional transaction, so that any sooner reporting deadline in another jurisdiction limits the amount of sufficient time that a reporting entity may have for ASIC reporting; and</w:t>
      </w:r>
    </w:p>
    <w:p w14:paraId="5059814D" w14:textId="2B388AF6" w:rsidR="00B1198E" w:rsidRDefault="00B1198E" w:rsidP="00C443A0">
      <w:pPr>
        <w:pStyle w:val="subparaa"/>
        <w:numPr>
          <w:ilvl w:val="1"/>
          <w:numId w:val="17"/>
        </w:numPr>
      </w:pPr>
      <w:r>
        <w:t>where the non-receipt is of a ‘permanent’ nature and there is no ‘next applicable method’, the reporting entity may immediately</w:t>
      </w:r>
      <w:r w:rsidR="00AC4234">
        <w:t>,</w:t>
      </w:r>
      <w:r>
        <w:t xml:space="preserve"> upon entering into the transaction</w:t>
      </w:r>
      <w:r w:rsidR="00AC4234">
        <w:t>,</w:t>
      </w:r>
      <w:r>
        <w:t xml:space="preserve"> use the fallback of generating its own UTI.</w:t>
      </w:r>
    </w:p>
    <w:p w14:paraId="47FEE454" w14:textId="77777777" w:rsidR="00DD4E33" w:rsidRPr="00DD4E33" w:rsidRDefault="00DD4E33" w:rsidP="00DD4E33">
      <w:pPr>
        <w:pStyle w:val="Bodytextplain"/>
        <w:keepNext/>
        <w:spacing w:before="0" w:line="240" w:lineRule="auto"/>
        <w:rPr>
          <w:sz w:val="4"/>
          <w:szCs w:val="4"/>
        </w:rPr>
      </w:pPr>
    </w:p>
    <w:p w14:paraId="14C24469" w14:textId="6C6DB67E" w:rsidR="00B1198E" w:rsidRDefault="00B1198E" w:rsidP="00BF2F66">
      <w:pPr>
        <w:pStyle w:val="BodyText"/>
        <w:numPr>
          <w:ilvl w:val="0"/>
          <w:numId w:val="17"/>
        </w:numPr>
        <w:spacing w:before="0" w:line="290" w:lineRule="atLeast"/>
      </w:pPr>
      <w:r>
        <w:t xml:space="preserve">Draft </w:t>
      </w:r>
      <w:r w:rsidR="00AC4234">
        <w:t>Rule 2.2.9</w:t>
      </w:r>
      <w:r>
        <w:t xml:space="preserve">(6)(a) describes a ‘temporary’ UTI non-receipt situation where the ASIC reporting entity ‘reasonably believes that it will, at a later time, receive the UTI’. This may be, for example, a situation of an irregular technical or other form of interruption where ordinarily a UTI is received from the </w:t>
      </w:r>
      <w:r w:rsidR="002B1D22">
        <w:t>UTI generating</w:t>
      </w:r>
      <w:r>
        <w:t xml:space="preserve"> entity.</w:t>
      </w:r>
    </w:p>
    <w:p w14:paraId="7BC73706" w14:textId="77777777" w:rsidR="00B1198E" w:rsidRDefault="00B1198E" w:rsidP="00F01EBE">
      <w:pPr>
        <w:pStyle w:val="BodyText"/>
        <w:numPr>
          <w:ilvl w:val="0"/>
          <w:numId w:val="17"/>
        </w:numPr>
        <w:spacing w:before="180" w:line="290" w:lineRule="atLeast"/>
      </w:pPr>
      <w:r>
        <w:t>This ‘later time’ is nonetheless not ‘in sufficient time’ to enable the ASIC reporting entity to report the UTI, and the ASIC reporting entity must generate its own UTI for reporting.</w:t>
      </w:r>
    </w:p>
    <w:p w14:paraId="2496DAF1" w14:textId="7AA2FDD7" w:rsidR="00B1198E" w:rsidRDefault="00B1198E" w:rsidP="00F01EBE">
      <w:pPr>
        <w:pStyle w:val="BodyText"/>
        <w:numPr>
          <w:ilvl w:val="0"/>
          <w:numId w:val="17"/>
        </w:numPr>
        <w:spacing w:before="180" w:line="290" w:lineRule="atLeast"/>
      </w:pPr>
      <w:r>
        <w:t xml:space="preserve">Draft </w:t>
      </w:r>
      <w:r w:rsidR="00AC4234">
        <w:t xml:space="preserve">Rule </w:t>
      </w:r>
      <w:r>
        <w:t xml:space="preserve">2.2.9 does not prescribe what an ASIC reporting entity must do if it receives the originally expected UTI at the later time. However, we propose to </w:t>
      </w:r>
      <w:r w:rsidRPr="00862249">
        <w:t xml:space="preserve">give guidance in </w:t>
      </w:r>
      <w:r>
        <w:t xml:space="preserve">amendments to </w:t>
      </w:r>
      <w:hyperlink r:id="rId78" w:history="1">
        <w:r w:rsidRPr="00DB2292">
          <w:rPr>
            <w:rStyle w:val="Hyperlink"/>
          </w:rPr>
          <w:t>RG 251</w:t>
        </w:r>
      </w:hyperlink>
      <w:r>
        <w:t xml:space="preserve"> that we expect an ASIC reporting entity </w:t>
      </w:r>
      <w:r w:rsidR="00DB2292">
        <w:t xml:space="preserve">to </w:t>
      </w:r>
      <w:r>
        <w:t>take the necessary reporting steps to update the UTI in the derivative transaction information reported to the trade repository</w:t>
      </w:r>
      <w:r w:rsidR="00404CA5">
        <w:t>—</w:t>
      </w:r>
      <w:r>
        <w:t>for example, by ‘exiting’ the original reported transaction and re-reporting the transaction with the updated UTI.</w:t>
      </w:r>
    </w:p>
    <w:p w14:paraId="4A5A0978" w14:textId="7ED1AF60" w:rsidR="00B1198E" w:rsidRDefault="00B1198E" w:rsidP="00F01EBE">
      <w:pPr>
        <w:pStyle w:val="BodyText"/>
        <w:numPr>
          <w:ilvl w:val="0"/>
          <w:numId w:val="17"/>
        </w:numPr>
        <w:spacing w:before="180" w:line="290" w:lineRule="atLeast"/>
      </w:pPr>
      <w:r>
        <w:t xml:space="preserve">Draft </w:t>
      </w:r>
      <w:r w:rsidR="009B25B7">
        <w:t>Rule 2.2.9</w:t>
      </w:r>
      <w:r>
        <w:t xml:space="preserve">(6)(b) describes a ‘permanent’ UTI non-receipt situation where the ASIC reporting entity ‘reasonably believes that it will not receive the UTI’. This may be, for example, a situation where the entity that is determined to be the </w:t>
      </w:r>
      <w:r w:rsidR="002B1D22">
        <w:t>UTI generating</w:t>
      </w:r>
      <w:r>
        <w:t xml:space="preserve"> entity under the ASIC UTI waterfall is not required by the rules of its home jurisdiction to generate a UTI and does not do so. This may be because:</w:t>
      </w:r>
    </w:p>
    <w:p w14:paraId="7B2A2A17" w14:textId="77777777" w:rsidR="00B1198E" w:rsidRDefault="00B1198E" w:rsidP="00F01EBE">
      <w:pPr>
        <w:pStyle w:val="subparaa"/>
        <w:numPr>
          <w:ilvl w:val="1"/>
          <w:numId w:val="17"/>
        </w:numPr>
        <w:spacing w:before="80" w:line="290" w:lineRule="atLeast"/>
      </w:pPr>
      <w:r>
        <w:t>there are no derivative transaction reporting requirements in its home jurisdiction;</w:t>
      </w:r>
    </w:p>
    <w:p w14:paraId="1B9DAAF8" w14:textId="77777777" w:rsidR="00B1198E" w:rsidRDefault="00B1198E" w:rsidP="00F01EBE">
      <w:pPr>
        <w:pStyle w:val="subparaa"/>
        <w:numPr>
          <w:ilvl w:val="1"/>
          <w:numId w:val="17"/>
        </w:numPr>
        <w:spacing w:before="80" w:line="290" w:lineRule="atLeast"/>
      </w:pPr>
      <w:r>
        <w:t>there are derivative transaction reporting requirements but these do not include requirements to generate a UTI.</w:t>
      </w:r>
    </w:p>
    <w:p w14:paraId="0AB4B441" w14:textId="4D41EA9D" w:rsidR="00B1198E" w:rsidRDefault="00B1198E" w:rsidP="00F01EBE">
      <w:pPr>
        <w:pStyle w:val="BodyText"/>
        <w:numPr>
          <w:ilvl w:val="0"/>
          <w:numId w:val="17"/>
        </w:numPr>
        <w:spacing w:before="180" w:line="290" w:lineRule="atLeast"/>
      </w:pPr>
      <w:r>
        <w:t xml:space="preserve">Draft </w:t>
      </w:r>
      <w:r w:rsidR="009B25B7">
        <w:t>Rule 2.2.9</w:t>
      </w:r>
      <w:r>
        <w:t>(6)(b) requires the ASIC reporting entity to ‘use its best endeavours to determine the UTI generating entity (new UTI generating entity) according to the next applicable method in subrule (3)’.</w:t>
      </w:r>
    </w:p>
    <w:p w14:paraId="5173D204" w14:textId="4E6BFB5B" w:rsidR="00B1198E" w:rsidRDefault="00B1198E" w:rsidP="00F01EBE">
      <w:pPr>
        <w:pStyle w:val="BodyText"/>
        <w:numPr>
          <w:ilvl w:val="0"/>
          <w:numId w:val="17"/>
        </w:numPr>
        <w:spacing w:before="180" w:line="290" w:lineRule="atLeast"/>
      </w:pPr>
      <w:r>
        <w:t xml:space="preserve">In practice, where the </w:t>
      </w:r>
      <w:r w:rsidR="002B1D22">
        <w:t>UTI generating</w:t>
      </w:r>
      <w:r>
        <w:t xml:space="preserve"> entity who ‘permanently’ does not provide the UTI is a counterparty to the transaction</w:t>
      </w:r>
      <w:r w:rsidR="00404CA5">
        <w:t>—</w:t>
      </w:r>
      <w:r>
        <w:t>as an authorised clearing facility, clearing member or bilateral counterparty</w:t>
      </w:r>
      <w:r w:rsidR="00404CA5">
        <w:t>—</w:t>
      </w:r>
      <w:r>
        <w:t xml:space="preserve">there is no </w:t>
      </w:r>
      <w:r w:rsidR="002B1D22">
        <w:t>UTI generating</w:t>
      </w:r>
      <w:r>
        <w:t xml:space="preserve"> entity that can be determined under the ‘next applicable method’ other than the ASIC reporting entity itself. In this situation, </w:t>
      </w:r>
      <w:r w:rsidR="009B25B7">
        <w:t>Rule 2.2.9</w:t>
      </w:r>
      <w:r>
        <w:t>(6)(c) requires the reporting entity to generate its own UTI for reporting.</w:t>
      </w:r>
    </w:p>
    <w:p w14:paraId="634CCA54" w14:textId="17DAA828" w:rsidR="00B1198E" w:rsidRDefault="00B1198E" w:rsidP="00F01EBE">
      <w:pPr>
        <w:pStyle w:val="BodyText"/>
        <w:numPr>
          <w:ilvl w:val="0"/>
          <w:numId w:val="17"/>
        </w:numPr>
        <w:spacing w:before="180" w:line="290" w:lineRule="atLeast"/>
      </w:pPr>
      <w:r>
        <w:t xml:space="preserve">Where the </w:t>
      </w:r>
      <w:r w:rsidR="002B1D22">
        <w:t>UTI generating</w:t>
      </w:r>
      <w:r>
        <w:t xml:space="preserve"> entity who ‘permanently’ does not provide the UTI is an operator of a financial market, the ‘next applicable method’ would be among </w:t>
      </w:r>
      <w:r w:rsidR="006666F3">
        <w:t>item</w:t>
      </w:r>
      <w:r>
        <w:t xml:space="preserve"> 4 of Table </w:t>
      </w:r>
      <w:r w:rsidR="005E1F17">
        <w:t xml:space="preserve">2 </w:t>
      </w:r>
      <w:r>
        <w:t>onwards for a bilateral transaction.</w:t>
      </w:r>
    </w:p>
    <w:p w14:paraId="13FAE16B" w14:textId="77777777" w:rsidR="00B1198E" w:rsidRPr="00F01EBE" w:rsidRDefault="00B1198E" w:rsidP="00F01EBE">
      <w:pPr>
        <w:pStyle w:val="BodyText"/>
        <w:numPr>
          <w:ilvl w:val="0"/>
          <w:numId w:val="17"/>
        </w:numPr>
        <w:spacing w:before="180" w:line="290" w:lineRule="atLeast"/>
        <w:rPr>
          <w:spacing w:val="-2"/>
        </w:rPr>
      </w:pPr>
      <w:r w:rsidRPr="00F01EBE">
        <w:rPr>
          <w:spacing w:val="-2"/>
        </w:rPr>
        <w:t>Where the execution on a financial market is on a name-disclosed basis, the counterparties can determine the ‘next applicable method’. Where the execution on a financial market is on an anonymous basis, the ‘next applicable method’ may be UTI generation by the downstream affirmation or confirmation platform, if such a platform is part of the transaction processing workflow. Otherwise, there would be no ‘next applicable method’ and the ASIC reporting entity must generate its own UTI for reporting.</w:t>
      </w:r>
    </w:p>
    <w:p w14:paraId="1AA684BD" w14:textId="3A71CBD7" w:rsidR="00B1198E" w:rsidRDefault="00B1198E" w:rsidP="00F01EBE">
      <w:pPr>
        <w:pStyle w:val="BodyText"/>
        <w:numPr>
          <w:ilvl w:val="0"/>
          <w:numId w:val="17"/>
        </w:numPr>
        <w:spacing w:before="180" w:line="290" w:lineRule="atLeast"/>
      </w:pPr>
      <w:r>
        <w:t xml:space="preserve">Note that the operator of an affirmation or confirmation platform is a </w:t>
      </w:r>
      <w:r w:rsidR="002B1D22">
        <w:t>UTI generating</w:t>
      </w:r>
      <w:r>
        <w:t xml:space="preserve"> entity</w:t>
      </w:r>
      <w:r w:rsidR="00404CA5">
        <w:t>—</w:t>
      </w:r>
      <w:r>
        <w:t>either directly under an item for transactions executed bilaterally or indirectly as ‘next applicable method’</w:t>
      </w:r>
      <w:r w:rsidR="00404CA5">
        <w:t>—</w:t>
      </w:r>
      <w:r>
        <w:t xml:space="preserve">only where it ‘will generate a UTI’. If such an operator will not generate a UTI, it cannot be determined as a </w:t>
      </w:r>
      <w:r w:rsidR="002B1D22">
        <w:t>UTI generating</w:t>
      </w:r>
      <w:r>
        <w:t xml:space="preserve"> entity under the ASIC UTI waterfall and the situation of draft </w:t>
      </w:r>
      <w:r w:rsidR="009B25B7">
        <w:t>Rule 2.2.9</w:t>
      </w:r>
      <w:r>
        <w:t xml:space="preserve">(6)(b) cannot arise. However, if such an operator will generate a UTI, it may be a </w:t>
      </w:r>
      <w:r w:rsidR="002B1D22">
        <w:t>UTI generating</w:t>
      </w:r>
      <w:r>
        <w:t xml:space="preserve"> entity and the situation of draft </w:t>
      </w:r>
      <w:r w:rsidR="009B25B7">
        <w:t>Rule 2.2.9</w:t>
      </w:r>
      <w:r>
        <w:t>(6)(a) may arise.</w:t>
      </w:r>
    </w:p>
    <w:p w14:paraId="013F095A" w14:textId="1FF6C298" w:rsidR="00B1198E" w:rsidRDefault="00B1198E" w:rsidP="00F01EBE">
      <w:pPr>
        <w:pStyle w:val="BodyText"/>
        <w:numPr>
          <w:ilvl w:val="0"/>
          <w:numId w:val="17"/>
        </w:numPr>
        <w:spacing w:before="180" w:line="290" w:lineRule="atLeast"/>
      </w:pPr>
      <w:bookmarkStart w:id="74" w:name="_Ref95741068"/>
      <w:r>
        <w:t xml:space="preserve">Where a </w:t>
      </w:r>
      <w:r w:rsidR="002B1D22">
        <w:t>UTI generating</w:t>
      </w:r>
      <w:r>
        <w:t xml:space="preserve"> entity is determined under </w:t>
      </w:r>
      <w:r w:rsidR="006666F3">
        <w:t>item</w:t>
      </w:r>
      <w:r>
        <w:t xml:space="preserve"> 5 or </w:t>
      </w:r>
      <w:r w:rsidR="006666F3">
        <w:t>item</w:t>
      </w:r>
      <w:r>
        <w:t xml:space="preserve"> 7 by following the UTI generation requirements of a foreign jurisdiction, we consider that the ASIC UTI waterfall has been ‘exited’. In this circumstance, if a situation of ‘permanent’ non-receipt of a UTI arises, there is no ‘next applicable method in subrule (3)’and an ASIC reporting entity would need to follow the applicable requirements, if any, in those one or more foreign jurisdictions. If following those requirements does not result in a UTI being provided to the ASIC reporting entity, the ASIC reporting entity must generate its own UTI for reporting.</w:t>
      </w:r>
      <w:bookmarkEnd w:id="74"/>
    </w:p>
    <w:p w14:paraId="6A566822" w14:textId="77777777" w:rsidR="00B1198E" w:rsidRDefault="00B1198E" w:rsidP="00B1198E">
      <w:pPr>
        <w:pStyle w:val="Heading4"/>
      </w:pPr>
      <w:r>
        <w:t>Timely provision of a UTI to the other counterparty</w:t>
      </w:r>
    </w:p>
    <w:p w14:paraId="0FE5C12A" w14:textId="3AA5D19F" w:rsidR="00B1198E" w:rsidRDefault="00B1198E" w:rsidP="00F01EBE">
      <w:pPr>
        <w:pStyle w:val="BodyText"/>
        <w:numPr>
          <w:ilvl w:val="0"/>
          <w:numId w:val="17"/>
        </w:numPr>
        <w:spacing w:before="180" w:line="290" w:lineRule="atLeast"/>
      </w:pPr>
      <w:bookmarkStart w:id="75" w:name="_ASICRef401"/>
      <w:r>
        <w:t xml:space="preserve">Draft </w:t>
      </w:r>
      <w:r w:rsidR="009B25B7">
        <w:t>Rule 2.2.9</w:t>
      </w:r>
      <w:r>
        <w:t xml:space="preserve">(5) requires a reporting entity that is the </w:t>
      </w:r>
      <w:r w:rsidR="002B1D22">
        <w:t>UTI generating</w:t>
      </w:r>
      <w:r>
        <w:t xml:space="preserve"> entity to generate the UTI and to provide the UTI to the other counterparty in a timely manner and not later than 10 am Sydney time T+1.</w:t>
      </w:r>
      <w:bookmarkEnd w:id="75"/>
    </w:p>
    <w:p w14:paraId="1BAA2679" w14:textId="7DBAD6E0" w:rsidR="0052062F" w:rsidRDefault="0052062F" w:rsidP="00F01EBE">
      <w:pPr>
        <w:pStyle w:val="BodyText"/>
        <w:numPr>
          <w:ilvl w:val="0"/>
          <w:numId w:val="17"/>
        </w:numPr>
        <w:spacing w:before="180" w:line="290" w:lineRule="atLeast"/>
      </w:pPr>
      <w:bookmarkStart w:id="76" w:name="_ASICRef278"/>
      <w:r>
        <w:t>We propose to adopt the ESMA approach and require that the UTI be provided in a timely manner and not later than 10 am T+1 Sydney time.</w:t>
      </w:r>
      <w:bookmarkEnd w:id="76"/>
    </w:p>
    <w:p w14:paraId="6992ADEC" w14:textId="32A4FA78" w:rsidR="0052062F" w:rsidRDefault="0052062F" w:rsidP="0052062F">
      <w:pPr>
        <w:pStyle w:val="Heading4"/>
      </w:pPr>
      <w:r>
        <w:t>Fund managers</w:t>
      </w:r>
      <w:r w:rsidR="00032041">
        <w:t>,</w:t>
      </w:r>
      <w:r>
        <w:t xml:space="preserve"> etc</w:t>
      </w:r>
      <w:r w:rsidR="00032041">
        <w:t>,</w:t>
      </w:r>
      <w:r>
        <w:t xml:space="preserve"> with roles in UTI generation</w:t>
      </w:r>
    </w:p>
    <w:p w14:paraId="3B2718E4" w14:textId="1A18FEF9" w:rsidR="0052062F" w:rsidRDefault="0052062F" w:rsidP="00F01EBE">
      <w:pPr>
        <w:pStyle w:val="BodyText"/>
        <w:numPr>
          <w:ilvl w:val="0"/>
          <w:numId w:val="17"/>
        </w:numPr>
        <w:spacing w:before="180" w:line="290" w:lineRule="atLeast"/>
      </w:pPr>
      <w:bookmarkStart w:id="77" w:name="_ASICRef284"/>
      <w:r>
        <w:t xml:space="preserve">Draft </w:t>
      </w:r>
      <w:r w:rsidR="00032041">
        <w:t>Rule 2.2.9</w:t>
      </w:r>
      <w:r>
        <w:t>(2) states ‘In this Rule, other than subrule (8), a reference to a Reporting Entity that is an RE or Trustee may be taken to be a reference to a person appointed by the Reporting Entity to enter into OTC Derivatives on behalf of the Reporting Entity’.</w:t>
      </w:r>
      <w:bookmarkEnd w:id="77"/>
    </w:p>
    <w:p w14:paraId="42080A1C" w14:textId="33BBDEFA" w:rsidR="002D711B" w:rsidRDefault="002D711B" w:rsidP="00F01EBE">
      <w:pPr>
        <w:pStyle w:val="BodyText"/>
        <w:numPr>
          <w:ilvl w:val="0"/>
          <w:numId w:val="17"/>
        </w:numPr>
        <w:spacing w:before="180" w:line="290" w:lineRule="atLeast"/>
      </w:pPr>
      <w:r>
        <w:t xml:space="preserve">The note to draft </w:t>
      </w:r>
      <w:r w:rsidR="00032041">
        <w:t>Rule 2.2.9</w:t>
      </w:r>
      <w:r>
        <w:t xml:space="preserve">(2) </w:t>
      </w:r>
      <w:bookmarkStart w:id="78" w:name="_ASICRef295"/>
      <w:bookmarkStart w:id="79" w:name="_ASICRef18"/>
      <w:bookmarkStart w:id="80" w:name="_Hlk97294464"/>
      <w:r>
        <w:t xml:space="preserve">recognises that, for example, a </w:t>
      </w:r>
      <w:r w:rsidRPr="00A053AF">
        <w:t>fund manager</w:t>
      </w:r>
      <w:r>
        <w:t xml:space="preserve">, rather than an RE or trustee, may be the entity that </w:t>
      </w:r>
      <w:r w:rsidRPr="00A053AF">
        <w:t>operationalise</w:t>
      </w:r>
      <w:r>
        <w:t>s the UTI requirements on behalf of the RE or trustee. This can include the operations and roles of:</w:t>
      </w:r>
      <w:bookmarkEnd w:id="78"/>
      <w:bookmarkEnd w:id="79"/>
    </w:p>
    <w:bookmarkEnd w:id="80"/>
    <w:p w14:paraId="49789908" w14:textId="66391423" w:rsidR="002D711B" w:rsidRDefault="002D711B" w:rsidP="00F01EBE">
      <w:pPr>
        <w:pStyle w:val="subparaa"/>
        <w:numPr>
          <w:ilvl w:val="1"/>
          <w:numId w:val="17"/>
        </w:numPr>
        <w:spacing w:before="80" w:line="290" w:lineRule="atLeast"/>
      </w:pPr>
      <w:r w:rsidRPr="00A053AF">
        <w:t xml:space="preserve">determining the </w:t>
      </w:r>
      <w:r w:rsidR="002B1D22">
        <w:t>UTI generating</w:t>
      </w:r>
      <w:r>
        <w:t xml:space="preserve"> entity;</w:t>
      </w:r>
    </w:p>
    <w:p w14:paraId="32939EF9" w14:textId="36C66300" w:rsidR="002D711B" w:rsidRDefault="002D711B" w:rsidP="00F01EBE">
      <w:pPr>
        <w:pStyle w:val="subparaa"/>
        <w:numPr>
          <w:ilvl w:val="1"/>
          <w:numId w:val="17"/>
        </w:numPr>
        <w:spacing w:before="80" w:line="290" w:lineRule="atLeast"/>
      </w:pPr>
      <w:r w:rsidRPr="00A053AF">
        <w:t xml:space="preserve">agreeing </w:t>
      </w:r>
      <w:r>
        <w:t xml:space="preserve">methods to determine the </w:t>
      </w:r>
      <w:r w:rsidR="002B1D22">
        <w:t>UTI generating</w:t>
      </w:r>
      <w:r>
        <w:t xml:space="preserve"> entity;</w:t>
      </w:r>
    </w:p>
    <w:p w14:paraId="644692D7" w14:textId="77777777" w:rsidR="002D711B" w:rsidRDefault="002D711B" w:rsidP="00F01EBE">
      <w:pPr>
        <w:pStyle w:val="subparaa"/>
        <w:numPr>
          <w:ilvl w:val="1"/>
          <w:numId w:val="17"/>
        </w:numPr>
        <w:spacing w:before="80" w:line="290" w:lineRule="atLeast"/>
      </w:pPr>
      <w:r w:rsidRPr="00A053AF">
        <w:t>generating and receiving UTIs</w:t>
      </w:r>
      <w:r>
        <w:t>;</w:t>
      </w:r>
    </w:p>
    <w:p w14:paraId="027C40E3" w14:textId="77777777" w:rsidR="002D711B" w:rsidRDefault="002D711B" w:rsidP="00F01EBE">
      <w:pPr>
        <w:pStyle w:val="subparaa"/>
        <w:numPr>
          <w:ilvl w:val="1"/>
          <w:numId w:val="17"/>
        </w:numPr>
        <w:spacing w:before="80"/>
      </w:pPr>
      <w:r>
        <w:t>providing UTIs to the other counterparty;</w:t>
      </w:r>
      <w:r w:rsidRPr="00A053AF">
        <w:t xml:space="preserve"> and</w:t>
      </w:r>
    </w:p>
    <w:p w14:paraId="73D204D3" w14:textId="73D0BA22" w:rsidR="002D711B" w:rsidRDefault="002D711B" w:rsidP="00F01EBE">
      <w:pPr>
        <w:pStyle w:val="subparaa"/>
        <w:numPr>
          <w:ilvl w:val="1"/>
          <w:numId w:val="17"/>
        </w:numPr>
        <w:spacing w:before="80"/>
      </w:pPr>
      <w:r>
        <w:t xml:space="preserve">appointing service providers under </w:t>
      </w:r>
      <w:r w:rsidR="00032041">
        <w:t>Rule 2.2.9</w:t>
      </w:r>
      <w:r>
        <w:t>(7).</w:t>
      </w:r>
    </w:p>
    <w:p w14:paraId="5B1013FB" w14:textId="77777777" w:rsidR="002D711B" w:rsidRDefault="002D711B" w:rsidP="002D711B">
      <w:pPr>
        <w:pStyle w:val="Heading4"/>
      </w:pPr>
      <w:r>
        <w:t>UTI service providers</w:t>
      </w:r>
    </w:p>
    <w:p w14:paraId="12DB625F" w14:textId="68D0B0B1" w:rsidR="002D711B" w:rsidRDefault="002D711B" w:rsidP="00F01EBE">
      <w:pPr>
        <w:pStyle w:val="BodyText"/>
        <w:numPr>
          <w:ilvl w:val="0"/>
          <w:numId w:val="17"/>
        </w:numPr>
        <w:spacing w:line="290" w:lineRule="atLeast"/>
      </w:pPr>
      <w:bookmarkStart w:id="81" w:name="_ASICRef160"/>
      <w:bookmarkStart w:id="82" w:name="_ASICRef106"/>
      <w:bookmarkStart w:id="83" w:name="_ASICRef575"/>
      <w:bookmarkStart w:id="84" w:name="_ASICRef100"/>
      <w:bookmarkStart w:id="85" w:name="_ASICRef750"/>
      <w:bookmarkStart w:id="86" w:name="_ASICRef754"/>
      <w:r>
        <w:t xml:space="preserve">We did not make any proposals in </w:t>
      </w:r>
      <w:hyperlink r:id="rId79" w:history="1">
        <w:r w:rsidRPr="00032041">
          <w:rPr>
            <w:rStyle w:val="Hyperlink"/>
          </w:rPr>
          <w:t>CP 334</w:t>
        </w:r>
      </w:hyperlink>
      <w:r>
        <w:t xml:space="preserve"> regarding UTI generation service providers.</w:t>
      </w:r>
      <w:bookmarkEnd w:id="81"/>
      <w:bookmarkEnd w:id="82"/>
      <w:bookmarkEnd w:id="83"/>
      <w:bookmarkEnd w:id="84"/>
      <w:bookmarkEnd w:id="85"/>
      <w:bookmarkEnd w:id="86"/>
    </w:p>
    <w:p w14:paraId="0559965B" w14:textId="7A2EC400" w:rsidR="002D711B" w:rsidRDefault="002D711B" w:rsidP="00F01EBE">
      <w:pPr>
        <w:pStyle w:val="BodyText"/>
        <w:numPr>
          <w:ilvl w:val="0"/>
          <w:numId w:val="17"/>
        </w:numPr>
        <w:spacing w:line="290" w:lineRule="atLeast"/>
      </w:pPr>
      <w:r>
        <w:t xml:space="preserve">We are now proposing draft </w:t>
      </w:r>
      <w:r w:rsidR="00032041">
        <w:t>Rule 2.2.9</w:t>
      </w:r>
      <w:r>
        <w:t xml:space="preserve">(7) in relation to the appointment of a service provider and draft </w:t>
      </w:r>
      <w:r w:rsidR="00032041">
        <w:t>Rule 2.2.9</w:t>
      </w:r>
      <w:r>
        <w:t xml:space="preserve">(8) in relation to the reporting entity remaining responsible for its obligations under draft </w:t>
      </w:r>
      <w:r w:rsidR="00032041">
        <w:t xml:space="preserve">Rule </w:t>
      </w:r>
      <w:r>
        <w:t>2.2.9.</w:t>
      </w:r>
    </w:p>
    <w:p w14:paraId="58E9CB3E" w14:textId="6F22346D" w:rsidR="002D711B" w:rsidRDefault="002D711B" w:rsidP="00F01EBE">
      <w:pPr>
        <w:pStyle w:val="BodyText"/>
        <w:numPr>
          <w:ilvl w:val="0"/>
          <w:numId w:val="17"/>
        </w:numPr>
        <w:spacing w:line="290" w:lineRule="atLeast"/>
      </w:pPr>
      <w:r>
        <w:t xml:space="preserve">Draft </w:t>
      </w:r>
      <w:r w:rsidR="00032041">
        <w:t>Rule 2.2.9</w:t>
      </w:r>
      <w:r>
        <w:t>(7) provides that an ASIC reporting entity may appoint a service provider to generate UTIs on its behalf. This is subject to the appointment terms and related agreements requiring the service provider to:</w:t>
      </w:r>
    </w:p>
    <w:p w14:paraId="1C26ED7B" w14:textId="77777777" w:rsidR="002D711B" w:rsidRDefault="002D711B" w:rsidP="00F01EBE">
      <w:pPr>
        <w:pStyle w:val="subparaa"/>
        <w:numPr>
          <w:ilvl w:val="1"/>
          <w:numId w:val="17"/>
        </w:numPr>
        <w:spacing w:line="290" w:lineRule="atLeast"/>
      </w:pPr>
      <w:r>
        <w:t>use its LEI as the LEI component of the UTI; and</w:t>
      </w:r>
    </w:p>
    <w:p w14:paraId="1C714700" w14:textId="0E422054" w:rsidR="002D711B" w:rsidRDefault="002D711B" w:rsidP="00F01EBE">
      <w:pPr>
        <w:pStyle w:val="subparaa"/>
        <w:numPr>
          <w:ilvl w:val="1"/>
          <w:numId w:val="17"/>
        </w:numPr>
        <w:spacing w:line="290" w:lineRule="atLeast"/>
      </w:pPr>
      <w:r>
        <w:t xml:space="preserve">provide the UTI to the other counterparty in accordance with the timeliness provisions of </w:t>
      </w:r>
      <w:r w:rsidR="00032041">
        <w:t>Rule 2.2.9</w:t>
      </w:r>
      <w:r>
        <w:t>(5).</w:t>
      </w:r>
    </w:p>
    <w:p w14:paraId="40BD9122" w14:textId="77777777" w:rsidR="002D711B" w:rsidRDefault="002D711B" w:rsidP="00F01EBE">
      <w:pPr>
        <w:pStyle w:val="BodyText"/>
        <w:numPr>
          <w:ilvl w:val="0"/>
          <w:numId w:val="17"/>
        </w:numPr>
        <w:spacing w:line="290" w:lineRule="atLeast"/>
      </w:pPr>
      <w:bookmarkStart w:id="87" w:name="_ASICRef162"/>
      <w:r>
        <w:t>The final CFTC rules and the final ESMA rules also provide for the appointment of a UTI generation service provider:</w:t>
      </w:r>
      <w:bookmarkEnd w:id="87"/>
    </w:p>
    <w:p w14:paraId="43759FCA" w14:textId="060B308C" w:rsidR="002D711B" w:rsidRDefault="002D711B" w:rsidP="00F01EBE">
      <w:pPr>
        <w:pStyle w:val="subparaa"/>
        <w:numPr>
          <w:ilvl w:val="1"/>
          <w:numId w:val="17"/>
        </w:numPr>
        <w:spacing w:line="290" w:lineRule="atLeast"/>
      </w:pPr>
      <w:r w:rsidRPr="00AD57D7">
        <w:t>§</w:t>
      </w:r>
      <w:r>
        <w:t xml:space="preserve"> </w:t>
      </w:r>
      <w:r w:rsidRPr="00700758">
        <w:t>45.5(g)</w:t>
      </w:r>
      <w:r>
        <w:t xml:space="preserve"> of the final CFTC </w:t>
      </w:r>
      <w:r w:rsidR="00A74746">
        <w:t xml:space="preserve">rules </w:t>
      </w:r>
      <w:r>
        <w:t>provides that if a reporting counterparty contracts with a third-party service provider to undertake derivative transaction reporting, the reporting counterparty shall ensure that the third-party service provider creates and transmits the UTI. The UTI generated by the third-party service provider will consist of two components:</w:t>
      </w:r>
    </w:p>
    <w:p w14:paraId="127FEB71" w14:textId="77777777" w:rsidR="002D711B" w:rsidRDefault="002D711B" w:rsidP="00F01EBE">
      <w:pPr>
        <w:pStyle w:val="subsubparai"/>
        <w:numPr>
          <w:ilvl w:val="2"/>
          <w:numId w:val="17"/>
        </w:numPr>
        <w:spacing w:line="290" w:lineRule="atLeast"/>
      </w:pPr>
      <w:r>
        <w:t>the legal entity identifier of the third-party service provider; and</w:t>
      </w:r>
    </w:p>
    <w:p w14:paraId="50780679" w14:textId="77777777" w:rsidR="002D711B" w:rsidRPr="001B5DD1" w:rsidRDefault="002D711B" w:rsidP="00F01EBE">
      <w:pPr>
        <w:pStyle w:val="subsubparai"/>
        <w:numPr>
          <w:ilvl w:val="2"/>
          <w:numId w:val="17"/>
        </w:numPr>
        <w:spacing w:line="290" w:lineRule="atLeast"/>
      </w:pPr>
      <w:r>
        <w:t>a</w:t>
      </w:r>
      <w:r w:rsidRPr="00700758">
        <w:t>n alphanumeric code generated and assigned to that swap by the automated systems of the third-party service provider, which shall be unique with respect to all such codes generated and assigned by that third-party service provider.</w:t>
      </w:r>
    </w:p>
    <w:p w14:paraId="279D212E" w14:textId="29BAA1E0" w:rsidR="002D711B" w:rsidRDefault="002D711B" w:rsidP="00F01EBE">
      <w:pPr>
        <w:pStyle w:val="subparaa"/>
        <w:numPr>
          <w:ilvl w:val="1"/>
          <w:numId w:val="17"/>
        </w:numPr>
        <w:spacing w:line="290" w:lineRule="atLeast"/>
      </w:pPr>
      <w:r>
        <w:t xml:space="preserve">Article 7(4) of the draft ITS </w:t>
      </w:r>
      <w:r w:rsidR="002A1E23">
        <w:t xml:space="preserve">in Annex V of </w:t>
      </w:r>
      <w:r>
        <w:t xml:space="preserve">the final ESMA </w:t>
      </w:r>
      <w:r w:rsidR="00A74746">
        <w:t xml:space="preserve">rules </w:t>
      </w:r>
      <w:r>
        <w:t>provides that a UTI can be generated by a delegated party and the delegated party shall comply with the requirements of articles 7(1) and 7(3) to:</w:t>
      </w:r>
    </w:p>
    <w:p w14:paraId="520EB7A7" w14:textId="77777777" w:rsidR="002D711B" w:rsidRDefault="002D711B" w:rsidP="00F01EBE">
      <w:pPr>
        <w:pStyle w:val="subsubparai"/>
        <w:numPr>
          <w:ilvl w:val="2"/>
          <w:numId w:val="17"/>
        </w:numPr>
        <w:spacing w:line="290" w:lineRule="atLeast"/>
      </w:pPr>
      <w:r>
        <w:t>compose the UTI using the</w:t>
      </w:r>
      <w:r w:rsidRPr="00AD57D7">
        <w:t xml:space="preserve"> </w:t>
      </w:r>
      <w:r>
        <w:t>LEI of the entity which generated that UTI followed by a code containing up to 32 characters which is unique at the level of the generating entity; and</w:t>
      </w:r>
    </w:p>
    <w:p w14:paraId="19A8689F" w14:textId="7034A6EB" w:rsidR="002D711B" w:rsidRDefault="002D711B" w:rsidP="00F01EBE">
      <w:pPr>
        <w:pStyle w:val="subsubparai"/>
        <w:numPr>
          <w:ilvl w:val="2"/>
          <w:numId w:val="17"/>
        </w:numPr>
        <w:spacing w:line="290" w:lineRule="atLeast"/>
      </w:pPr>
      <w:r>
        <w:t xml:space="preserve">communicate </w:t>
      </w:r>
      <w:r w:rsidR="00BC6912">
        <w:t xml:space="preserve">the </w:t>
      </w:r>
      <w:r>
        <w:t>UTI to the other counterparty in a timely manner and no later than 10 am UTC of the working day following the date of the conclusion of the derivative.</w:t>
      </w:r>
    </w:p>
    <w:p w14:paraId="6CC26544" w14:textId="777540CD" w:rsidR="002D711B" w:rsidRDefault="002D711B" w:rsidP="00F01EBE">
      <w:pPr>
        <w:pStyle w:val="BodyText"/>
        <w:numPr>
          <w:ilvl w:val="0"/>
          <w:numId w:val="17"/>
        </w:numPr>
        <w:spacing w:line="290" w:lineRule="atLeast"/>
      </w:pPr>
      <w:bookmarkStart w:id="88" w:name="_ASICRef347"/>
      <w:r>
        <w:t>W</w:t>
      </w:r>
      <w:r w:rsidRPr="00064B26">
        <w:t xml:space="preserve">e think it is important for the </w:t>
      </w:r>
      <w:r>
        <w:t xml:space="preserve">systemic </w:t>
      </w:r>
      <w:r w:rsidRPr="00064B26">
        <w:t>cohesiveness</w:t>
      </w:r>
      <w:r>
        <w:t xml:space="preserve"> and integrity</w:t>
      </w:r>
      <w:r w:rsidRPr="00064B26">
        <w:t xml:space="preserve"> of </w:t>
      </w:r>
      <w:r>
        <w:t xml:space="preserve">UTI generation that reporting entities that use third parties to generate and provide UTIs remain responsible for compliance with Rule 2.2.9. </w:t>
      </w:r>
      <w:r w:rsidR="00BC6912">
        <w:t>Rule 2.2.9</w:t>
      </w:r>
      <w:r>
        <w:t>(8) provides that a reporting entity contravenes Rule 2.2.9 if a service p</w:t>
      </w:r>
      <w:r w:rsidRPr="00225FF0">
        <w:t>rovider or person appointed</w:t>
      </w:r>
      <w:r>
        <w:t xml:space="preserve"> and acting for the reporting entity under Rule 2.2.9 </w:t>
      </w:r>
      <w:r w:rsidRPr="00225FF0">
        <w:t>does not determine and provide a UTI as required under this rule.</w:t>
      </w:r>
      <w:bookmarkEnd w:id="88"/>
    </w:p>
    <w:p w14:paraId="78B3C2CF" w14:textId="77777777" w:rsidR="002D711B" w:rsidRDefault="002D711B" w:rsidP="002D711B">
      <w:pPr>
        <w:pStyle w:val="Heading4"/>
      </w:pPr>
      <w:r>
        <w:t>Reporting deadline in this jurisdiction for UTI purposes</w:t>
      </w:r>
    </w:p>
    <w:p w14:paraId="234568A0" w14:textId="199412AD" w:rsidR="002D711B" w:rsidRDefault="002D711B" w:rsidP="00C443A0">
      <w:pPr>
        <w:pStyle w:val="BodyText"/>
        <w:numPr>
          <w:ilvl w:val="0"/>
          <w:numId w:val="17"/>
        </w:numPr>
      </w:pPr>
      <w:bookmarkStart w:id="89" w:name="_ASICRef790"/>
      <w:bookmarkStart w:id="90" w:name="_ASICRef948"/>
      <w:r>
        <w:t xml:space="preserve">Where the counterparties to a transaction are considering whether </w:t>
      </w:r>
      <w:r w:rsidR="006666F3">
        <w:t>item</w:t>
      </w:r>
      <w:r>
        <w:t xml:space="preserve"> 6, 7 or 8 of Table </w:t>
      </w:r>
      <w:r w:rsidR="002C481F">
        <w:t xml:space="preserve">2 </w:t>
      </w:r>
      <w:r>
        <w:t>applies to a transaction, they would need to have a common understanding of the reporting deadline applicable to the transaction under the ASIC Rules.</w:t>
      </w:r>
      <w:bookmarkEnd w:id="89"/>
      <w:bookmarkEnd w:id="90"/>
    </w:p>
    <w:p w14:paraId="38CB8B7B" w14:textId="77777777" w:rsidR="002D711B" w:rsidRDefault="002D711B" w:rsidP="00C443A0">
      <w:pPr>
        <w:pStyle w:val="BodyText"/>
        <w:numPr>
          <w:ilvl w:val="0"/>
          <w:numId w:val="17"/>
        </w:numPr>
      </w:pPr>
      <w:r>
        <w:t>Absent any other provision, the reporting deadline applicable to the transaction would be, by Rule 2.2.3, the end of the next business day of the jurisdiction in which the transaction is entered into. Therefore, the counterparties would need to have a common view of the jurisdiction in which the transaction is entered into, which may not be the jurisdiction of Australia. We think that this may not always be straightforward, particularly for foreign entities who are not ASIC reporting entities and who are not familiar with the ASIC Rules.</w:t>
      </w:r>
    </w:p>
    <w:p w14:paraId="73B2C0DA" w14:textId="180CA503" w:rsidR="002D711B" w:rsidRDefault="002D711B" w:rsidP="00C443A0">
      <w:pPr>
        <w:pStyle w:val="BodyText"/>
        <w:numPr>
          <w:ilvl w:val="0"/>
          <w:numId w:val="17"/>
        </w:numPr>
      </w:pPr>
      <w:r>
        <w:t xml:space="preserve">We think that this is an unnecessary complexity that can be removed from the considerations to determine the </w:t>
      </w:r>
      <w:r w:rsidR="002B1D22">
        <w:t>UTI generating</w:t>
      </w:r>
      <w:r>
        <w:t xml:space="preserve"> entity for a transaction by specifying, for UTI purposes, a singular reporting deadline that is independent of the jurisdiction in which the transaction is entered into. In this way, the counterparties can both always take it that the reporting deadline applicable to the transaction under the ASIC Rules is a known singular future time.</w:t>
      </w:r>
    </w:p>
    <w:p w14:paraId="2B9D5CDD" w14:textId="7A339DA2" w:rsidR="002D711B" w:rsidRDefault="002D711B" w:rsidP="00C443A0">
      <w:pPr>
        <w:pStyle w:val="BodyText"/>
        <w:numPr>
          <w:ilvl w:val="0"/>
          <w:numId w:val="17"/>
        </w:numPr>
      </w:pPr>
      <w:r>
        <w:t xml:space="preserve">Draft </w:t>
      </w:r>
      <w:r w:rsidR="007A53D8">
        <w:t>Rule 2.2.9</w:t>
      </w:r>
      <w:r>
        <w:t>(</w:t>
      </w:r>
      <w:r w:rsidRPr="00D5054B">
        <w:t xml:space="preserve">4) </w:t>
      </w:r>
      <w:r>
        <w:t>sets out that, f</w:t>
      </w:r>
      <w:r w:rsidRPr="00D5054B">
        <w:t xml:space="preserve">or the purposes of </w:t>
      </w:r>
      <w:r w:rsidR="006666F3">
        <w:t>item</w:t>
      </w:r>
      <w:r>
        <w:t>s</w:t>
      </w:r>
      <w:r w:rsidRPr="00D5054B">
        <w:t xml:space="preserve"> 6</w:t>
      </w:r>
      <w:r>
        <w:t xml:space="preserve">, </w:t>
      </w:r>
      <w:r w:rsidRPr="00D5054B">
        <w:t>7 and 8 in Table</w:t>
      </w:r>
      <w:r w:rsidR="007A53D8">
        <w:t> </w:t>
      </w:r>
      <w:r w:rsidR="002C481F">
        <w:t>2</w:t>
      </w:r>
      <w:r w:rsidRPr="00D5054B">
        <w:t xml:space="preserve">, the reporting deadline in this jurisdiction for a </w:t>
      </w:r>
      <w:r w:rsidR="00255302">
        <w:t>r</w:t>
      </w:r>
      <w:r w:rsidR="00255302" w:rsidRPr="00D5054B">
        <w:t xml:space="preserve">eportable </w:t>
      </w:r>
      <w:r w:rsidR="00255302">
        <w:t>t</w:t>
      </w:r>
      <w:r w:rsidR="00255302" w:rsidRPr="00D5054B">
        <w:t xml:space="preserve">ransaction </w:t>
      </w:r>
      <w:r w:rsidRPr="00D5054B">
        <w:t xml:space="preserve">is the end of the next business day in Sydney after the requirement to report the </w:t>
      </w:r>
      <w:r w:rsidR="00255302">
        <w:t>r</w:t>
      </w:r>
      <w:r w:rsidR="00255302" w:rsidRPr="00D5054B">
        <w:t xml:space="preserve">eportable </w:t>
      </w:r>
      <w:r w:rsidR="00255302">
        <w:t>t</w:t>
      </w:r>
      <w:r w:rsidR="00255302" w:rsidRPr="00D5054B">
        <w:t xml:space="preserve">ransaction </w:t>
      </w:r>
      <w:r w:rsidRPr="00D5054B">
        <w:t>arises.</w:t>
      </w:r>
      <w:r>
        <w:t xml:space="preserve"> We think that ‘end of the next business day’ maintains consistency with the use of this phrase in Rule 2.2.3.</w:t>
      </w:r>
    </w:p>
    <w:p w14:paraId="4F0052E4" w14:textId="685B88E5" w:rsidR="002D711B" w:rsidRDefault="002D711B" w:rsidP="00C443A0">
      <w:pPr>
        <w:pStyle w:val="BodyText"/>
        <w:numPr>
          <w:ilvl w:val="0"/>
          <w:numId w:val="17"/>
        </w:numPr>
      </w:pPr>
      <w:r>
        <w:t xml:space="preserve">Note that </w:t>
      </w:r>
      <w:r w:rsidR="00255302">
        <w:t>Rule 2.2.9</w:t>
      </w:r>
      <w:r>
        <w:t xml:space="preserve">(4) only applies </w:t>
      </w:r>
      <w:r w:rsidR="002C481F">
        <w:t xml:space="preserve">within </w:t>
      </w:r>
      <w:r w:rsidR="00255302">
        <w:t>R</w:t>
      </w:r>
      <w:r>
        <w:t xml:space="preserve">ule 2.2.9 and only for determining the </w:t>
      </w:r>
      <w:r w:rsidR="002B1D22">
        <w:t>UTI generating</w:t>
      </w:r>
      <w:r>
        <w:t xml:space="preserve"> entity under:</w:t>
      </w:r>
    </w:p>
    <w:p w14:paraId="5A78CF0A" w14:textId="7B868FE4" w:rsidR="002D711B" w:rsidRDefault="006666F3" w:rsidP="00C443A0">
      <w:pPr>
        <w:pStyle w:val="subparaa"/>
        <w:numPr>
          <w:ilvl w:val="1"/>
          <w:numId w:val="17"/>
        </w:numPr>
      </w:pPr>
      <w:r>
        <w:t>item</w:t>
      </w:r>
      <w:r w:rsidR="002D711B">
        <w:t xml:space="preserve"> 6 where ‘this </w:t>
      </w:r>
      <w:r w:rsidR="002D711B" w:rsidRPr="00D5054B">
        <w:t>jurisdiction is the jurisdiction with the earliest reporting deadline</w:t>
      </w:r>
      <w:r w:rsidR="002D711B">
        <w:t>’;</w:t>
      </w:r>
    </w:p>
    <w:p w14:paraId="67ABA725" w14:textId="744B2299" w:rsidR="002D711B" w:rsidRDefault="006666F3" w:rsidP="00C443A0">
      <w:pPr>
        <w:pStyle w:val="subparaa"/>
        <w:numPr>
          <w:ilvl w:val="1"/>
          <w:numId w:val="17"/>
        </w:numPr>
      </w:pPr>
      <w:r>
        <w:t>item</w:t>
      </w:r>
      <w:r w:rsidR="002D711B">
        <w:t xml:space="preserve"> 7 where ‘</w:t>
      </w:r>
      <w:r w:rsidR="002D711B" w:rsidRPr="00D5054B">
        <w:t>a foreign jurisdiction is the jurisdiction with the earliest reporting deadline</w:t>
      </w:r>
      <w:r w:rsidR="002D711B">
        <w:t>’; or</w:t>
      </w:r>
    </w:p>
    <w:p w14:paraId="3F382197" w14:textId="017B42B2" w:rsidR="002D711B" w:rsidRDefault="006666F3" w:rsidP="00C443A0">
      <w:pPr>
        <w:pStyle w:val="subparaa"/>
        <w:numPr>
          <w:ilvl w:val="1"/>
          <w:numId w:val="17"/>
        </w:numPr>
      </w:pPr>
      <w:r>
        <w:t>item</w:t>
      </w:r>
      <w:r w:rsidR="002D711B">
        <w:t xml:space="preserve"> 8 where ‘</w:t>
      </w:r>
      <w:r w:rsidR="002D711B" w:rsidRPr="00D5054B">
        <w:t>there is no jurisdiction with an earliest reporting deadline</w:t>
      </w:r>
      <w:r w:rsidR="002D711B">
        <w:t>’.</w:t>
      </w:r>
    </w:p>
    <w:p w14:paraId="4D0BD658" w14:textId="0B691D48" w:rsidR="000367B5" w:rsidRPr="005175FE" w:rsidRDefault="00255302" w:rsidP="00C443A0">
      <w:pPr>
        <w:pStyle w:val="BodyText"/>
        <w:numPr>
          <w:ilvl w:val="0"/>
          <w:numId w:val="17"/>
        </w:numPr>
      </w:pPr>
      <w:bookmarkStart w:id="91" w:name="_ASICRef980"/>
      <w:bookmarkStart w:id="92" w:name="_ASICRef979"/>
      <w:r>
        <w:t>Rule 2.2.9</w:t>
      </w:r>
      <w:r w:rsidR="002D711B">
        <w:t>(4) does not apply to the actual reporting deadline for a particular transaction</w:t>
      </w:r>
      <w:r w:rsidR="00404CA5">
        <w:t>—</w:t>
      </w:r>
      <w:r w:rsidR="002D711B">
        <w:t xml:space="preserve">this is still according to </w:t>
      </w:r>
      <w:r w:rsidR="002D711B" w:rsidRPr="005175FE">
        <w:t xml:space="preserve">Rule 2.2.3 </w:t>
      </w:r>
      <w:r w:rsidR="0011579A">
        <w:t>‘</w:t>
      </w:r>
      <w:r w:rsidR="002D711B" w:rsidRPr="005175FE">
        <w:t>Reporting Requirement—Timing (generally, T+1)</w:t>
      </w:r>
      <w:r w:rsidR="00F35997">
        <w:t>’</w:t>
      </w:r>
      <w:r w:rsidR="002D711B" w:rsidRPr="005175FE">
        <w:t>.</w:t>
      </w:r>
      <w:bookmarkEnd w:id="91"/>
      <w:bookmarkEnd w:id="92"/>
    </w:p>
    <w:p w14:paraId="3810536D" w14:textId="70DE54A4" w:rsidR="00B815C2" w:rsidRDefault="00B815C2" w:rsidP="002F4A0F">
      <w:pPr>
        <w:pStyle w:val="Heading1"/>
      </w:pPr>
      <w:bookmarkStart w:id="93" w:name="_Ref100562254"/>
      <w:bookmarkStart w:id="94" w:name="_ASICRef28"/>
      <w:bookmarkStart w:id="95" w:name="_Toc103174624"/>
      <w:r>
        <w:t>The unique product identifier (UPI)</w:t>
      </w:r>
      <w:bookmarkEnd w:id="93"/>
      <w:bookmarkEnd w:id="94"/>
      <w:bookmarkEnd w:id="95"/>
    </w:p>
    <w:p w14:paraId="7AFD7C67" w14:textId="77777777" w:rsidR="00E624B5" w:rsidRDefault="00E624B5">
      <w:pPr>
        <w:pStyle w:val="KPhead"/>
      </w:pPr>
      <w:r>
        <w:t>Key points</w:t>
      </w:r>
    </w:p>
    <w:p w14:paraId="1C621CF4" w14:textId="4A1DE3D0" w:rsidR="00E624B5" w:rsidRDefault="005F60DF" w:rsidP="00E624B5">
      <w:pPr>
        <w:pStyle w:val="KPtext"/>
      </w:pPr>
      <w:r>
        <w:t>The</w:t>
      </w:r>
      <w:r w:rsidRPr="005F60DF">
        <w:t xml:space="preserve"> UPI is a globally unique product identifier to be used in derivative transaction reporting to identify the type of derivative that is the subject of the transaction.</w:t>
      </w:r>
    </w:p>
    <w:p w14:paraId="77B975CE" w14:textId="145CF85B" w:rsidR="005F60DF" w:rsidRDefault="002E3423" w:rsidP="00E624B5">
      <w:pPr>
        <w:pStyle w:val="KPtext"/>
      </w:pPr>
      <w:r>
        <w:t>We have decided to implement a modified form of our proposal in CP</w:t>
      </w:r>
      <w:r w:rsidR="00495178">
        <w:t xml:space="preserve"> </w:t>
      </w:r>
      <w:r>
        <w:t xml:space="preserve">334 to </w:t>
      </w:r>
      <w:r w:rsidR="005F60DF">
        <w:t>implement the UPI Guidance to specify UPIs in derivative transaction reporting.</w:t>
      </w:r>
    </w:p>
    <w:p w14:paraId="77F04993" w14:textId="1775CC66" w:rsidR="005F60DF" w:rsidRPr="005509F5" w:rsidRDefault="005F60DF" w:rsidP="00E624B5">
      <w:pPr>
        <w:pStyle w:val="KPtext"/>
      </w:pPr>
      <w:r>
        <w:t>The UPI will embed certain data element information</w:t>
      </w:r>
      <w:r w:rsidR="00A32DE7">
        <w:t>. T</w:t>
      </w:r>
      <w:r w:rsidR="00CD6C8F">
        <w:t xml:space="preserve">he UPI </w:t>
      </w:r>
      <w:r w:rsidR="00704EDB">
        <w:t>s</w:t>
      </w:r>
      <w:r w:rsidR="00CD6C8F">
        <w:t xml:space="preserve">ystem </w:t>
      </w:r>
      <w:r w:rsidR="00A32DE7">
        <w:t xml:space="preserve">is </w:t>
      </w:r>
      <w:r w:rsidR="00CD6C8F">
        <w:t xml:space="preserve">currently </w:t>
      </w:r>
      <w:r w:rsidR="00FE57D8">
        <w:t xml:space="preserve">expected </w:t>
      </w:r>
      <w:r w:rsidR="00CD6C8F">
        <w:t xml:space="preserve">to be </w:t>
      </w:r>
      <w:r>
        <w:t xml:space="preserve">operational </w:t>
      </w:r>
      <w:r w:rsidR="003A3F3A">
        <w:t xml:space="preserve">by </w:t>
      </w:r>
      <w:r w:rsidR="00CE4060">
        <w:t xml:space="preserve">the third quarter of </w:t>
      </w:r>
      <w:r w:rsidR="00FE57D8">
        <w:t>2023</w:t>
      </w:r>
      <w:r>
        <w:t xml:space="preserve">. The design of the UPI has been progressed since the </w:t>
      </w:r>
      <w:r w:rsidR="008973EC">
        <w:t>release of CP 334</w:t>
      </w:r>
      <w:r w:rsidR="002B05D4">
        <w:t xml:space="preserve">. However, </w:t>
      </w:r>
      <w:r>
        <w:t xml:space="preserve">certain UPI-embedded information that we expected would be included has been omitted. </w:t>
      </w:r>
      <w:r w:rsidR="00332850" w:rsidRPr="008E3B37">
        <w:t xml:space="preserve">Our </w:t>
      </w:r>
      <w:r w:rsidR="001D7037" w:rsidRPr="008E3B37">
        <w:t xml:space="preserve">draft </w:t>
      </w:r>
      <w:r w:rsidR="00EB6F40">
        <w:t xml:space="preserve">amended </w:t>
      </w:r>
      <w:r w:rsidR="008973EC" w:rsidRPr="008E3B37">
        <w:t>ASIC R</w:t>
      </w:r>
      <w:r w:rsidR="00332850" w:rsidRPr="008E3B37">
        <w:t xml:space="preserve">ules </w:t>
      </w:r>
      <w:r w:rsidR="00325DC1">
        <w:t>(</w:t>
      </w:r>
      <w:r w:rsidR="00FA0519">
        <w:t xml:space="preserve">see </w:t>
      </w:r>
      <w:r w:rsidR="00325DC1">
        <w:t xml:space="preserve">Attachment </w:t>
      </w:r>
      <w:r w:rsidR="00EB6F40">
        <w:t>2</w:t>
      </w:r>
      <w:r w:rsidR="00325DC1">
        <w:t xml:space="preserve">) </w:t>
      </w:r>
      <w:r w:rsidR="00332850" w:rsidRPr="008E3B37">
        <w:t>specify a data element set that includes the omitted information</w:t>
      </w:r>
      <w:r w:rsidR="00CD6C8F" w:rsidRPr="005509F5">
        <w:t>.</w:t>
      </w:r>
    </w:p>
    <w:p w14:paraId="560F3D4C" w14:textId="56CA085E" w:rsidR="006E2B02" w:rsidRPr="006E2B02" w:rsidRDefault="006E2B02" w:rsidP="006E2B02">
      <w:pPr>
        <w:pStyle w:val="Heading2"/>
      </w:pPr>
      <w:bookmarkStart w:id="96" w:name="_Toc103174625"/>
      <w:r w:rsidRPr="001D7037">
        <w:t>Background</w:t>
      </w:r>
      <w:bookmarkEnd w:id="96"/>
    </w:p>
    <w:p w14:paraId="24D9732D" w14:textId="797906A9" w:rsidR="00B815C2" w:rsidRPr="00255302" w:rsidRDefault="002A130C" w:rsidP="002B047A">
      <w:pPr>
        <w:pStyle w:val="BodyText"/>
        <w:ind w:left="2268"/>
      </w:pPr>
      <w:r w:rsidRPr="0018300B">
        <w:t>The</w:t>
      </w:r>
      <w:r w:rsidRPr="00255302">
        <w:t xml:space="preserve"> UPI is a </w:t>
      </w:r>
      <w:r w:rsidR="00526CDB">
        <w:t xml:space="preserve">code determined from a </w:t>
      </w:r>
      <w:r w:rsidRPr="00255302">
        <w:t>product taxonomy for OTC derivatives.</w:t>
      </w:r>
    </w:p>
    <w:p w14:paraId="5D3BDCAC" w14:textId="59F1267B" w:rsidR="00EF21BB" w:rsidRPr="00255302" w:rsidRDefault="00EF21BB" w:rsidP="002B047A">
      <w:pPr>
        <w:pStyle w:val="BodyText"/>
        <w:ind w:left="2268"/>
        <w:rPr>
          <w:rStyle w:val="Hyperlink"/>
          <w:color w:val="auto"/>
          <w:u w:val="none"/>
        </w:rPr>
      </w:pPr>
      <w:r w:rsidRPr="00255302">
        <w:rPr>
          <w:rStyle w:val="Hyperlink"/>
          <w:color w:val="auto"/>
          <w:u w:val="none"/>
        </w:rPr>
        <w:t xml:space="preserve">In Section B of </w:t>
      </w:r>
      <w:hyperlink r:id="rId80" w:history="1">
        <w:r w:rsidRPr="00255302">
          <w:rPr>
            <w:rStyle w:val="Hyperlink"/>
          </w:rPr>
          <w:t>CP</w:t>
        </w:r>
        <w:r w:rsidR="00495178" w:rsidRPr="00255302">
          <w:rPr>
            <w:rStyle w:val="Hyperlink"/>
          </w:rPr>
          <w:t xml:space="preserve"> </w:t>
        </w:r>
        <w:r w:rsidRPr="00255302">
          <w:rPr>
            <w:rStyle w:val="Hyperlink"/>
          </w:rPr>
          <w:t>334</w:t>
        </w:r>
      </w:hyperlink>
      <w:r w:rsidRPr="00255302">
        <w:rPr>
          <w:rStyle w:val="Hyperlink"/>
          <w:color w:val="auto"/>
          <w:u w:val="none"/>
        </w:rPr>
        <w:t>, we described the background to the development of the UPI and its governance and operation</w:t>
      </w:r>
      <w:r w:rsidR="008973EC" w:rsidRPr="00255302">
        <w:rPr>
          <w:rStyle w:val="Hyperlink"/>
          <w:color w:val="auto"/>
          <w:u w:val="none"/>
        </w:rPr>
        <w:t>al</w:t>
      </w:r>
      <w:r w:rsidRPr="00255302">
        <w:rPr>
          <w:rStyle w:val="Hyperlink"/>
          <w:color w:val="auto"/>
          <w:u w:val="none"/>
        </w:rPr>
        <w:t xml:space="preserve"> arrangements.</w:t>
      </w:r>
    </w:p>
    <w:p w14:paraId="5C8D98D6" w14:textId="135E1387" w:rsidR="00EF21BB" w:rsidRPr="00255302" w:rsidRDefault="00EF21BB" w:rsidP="002B047A">
      <w:pPr>
        <w:pStyle w:val="BodyText"/>
        <w:ind w:left="2268"/>
      </w:pPr>
      <w:r w:rsidRPr="0018300B">
        <w:t>The</w:t>
      </w:r>
      <w:r w:rsidRPr="00255302">
        <w:t xml:space="preserve"> UPI is one of the international harmonised standards for which the Committee on Payments and Market Infrastructures (CPMI) of the Bank for International Settlements and the International Organization of Securities Commissions (IOSCO) have developed global guidance: </w:t>
      </w:r>
      <w:r w:rsidR="00495178" w:rsidRPr="00255302">
        <w:t xml:space="preserve">see </w:t>
      </w:r>
      <w:r w:rsidRPr="00255302">
        <w:t>CPMI</w:t>
      </w:r>
      <w:r w:rsidR="007B0E3B" w:rsidRPr="00255302">
        <w:t>–</w:t>
      </w:r>
      <w:r w:rsidRPr="00255302">
        <w:t xml:space="preserve">IOSCO, </w:t>
      </w:r>
      <w:hyperlink r:id="rId81" w:history="1">
        <w:r w:rsidRPr="00255302">
          <w:rPr>
            <w:rStyle w:val="Hyperlink"/>
            <w:i/>
            <w:iCs/>
          </w:rPr>
          <w:t>Technical guidance: Harmonisation of the unique product identifier</w:t>
        </w:r>
      </w:hyperlink>
      <w:r w:rsidRPr="00255302">
        <w:t xml:space="preserve"> (PDF</w:t>
      </w:r>
      <w:r w:rsidR="004431CF" w:rsidRPr="00255302">
        <w:t> </w:t>
      </w:r>
      <w:r w:rsidRPr="00255302">
        <w:t>602 KB), September 2017 (UPI Guidance).</w:t>
      </w:r>
    </w:p>
    <w:p w14:paraId="2D93775F" w14:textId="5351A26D" w:rsidR="00EF21BB" w:rsidRDefault="00EF21BB" w:rsidP="002B047A">
      <w:pPr>
        <w:pStyle w:val="BodyText"/>
        <w:ind w:left="2268"/>
      </w:pPr>
      <w:r w:rsidRPr="0018300B">
        <w:t>The</w:t>
      </w:r>
      <w:r w:rsidRPr="0011188E">
        <w:t xml:space="preserve"> UPI Guidance provides a system design and suggested reference data elements and reference data values. The</w:t>
      </w:r>
      <w:r w:rsidR="00EA130B">
        <w:t xml:space="preserve"> </w:t>
      </w:r>
      <w:r w:rsidR="00EA130B" w:rsidRPr="00EA130B">
        <w:t>Financial Stability Board</w:t>
      </w:r>
      <w:r w:rsidRPr="0011188E">
        <w:t xml:space="preserve"> </w:t>
      </w:r>
      <w:r w:rsidR="00EA130B">
        <w:t>(</w:t>
      </w:r>
      <w:r w:rsidRPr="0011188E">
        <w:t>FSB</w:t>
      </w:r>
      <w:r w:rsidR="00EA130B">
        <w:t>)</w:t>
      </w:r>
      <w:r w:rsidRPr="0011188E">
        <w:t xml:space="preserve"> has determined that the reference data elements and values should be to an ISO standard and that </w:t>
      </w:r>
      <w:r w:rsidR="001F6C19" w:rsidRPr="00F83E31">
        <w:t>The</w:t>
      </w:r>
      <w:r w:rsidR="001F6C19">
        <w:t xml:space="preserve"> Derivatives </w:t>
      </w:r>
      <w:r w:rsidR="001F6C19" w:rsidRPr="009C4EA6">
        <w:t>Service</w:t>
      </w:r>
      <w:r w:rsidR="001F6C19">
        <w:t xml:space="preserve"> Bureau Limited (</w:t>
      </w:r>
      <w:r w:rsidR="001F6C19" w:rsidRPr="008E3B37">
        <w:rPr>
          <w:bCs/>
        </w:rPr>
        <w:t>DSB)</w:t>
      </w:r>
      <w:r w:rsidR="001F6C19">
        <w:rPr>
          <w:b/>
        </w:rPr>
        <w:t xml:space="preserve"> </w:t>
      </w:r>
      <w:r w:rsidRPr="0011188E">
        <w:t xml:space="preserve">has been designated as the service provider for the UPI system. DSB is a subsidiary of </w:t>
      </w:r>
      <w:r w:rsidR="00161610">
        <w:t>the Association of National Numbering Agencies (</w:t>
      </w:r>
      <w:r w:rsidRPr="0011188E">
        <w:t>ANNA</w:t>
      </w:r>
      <w:r w:rsidR="00161610">
        <w:t>)</w:t>
      </w:r>
      <w:r w:rsidRPr="0011188E">
        <w:t xml:space="preserve"> and currently issues ISINs </w:t>
      </w:r>
      <w:r w:rsidR="00161610">
        <w:t xml:space="preserve">(international securities identification numbers) </w:t>
      </w:r>
      <w:r w:rsidRPr="0011188E">
        <w:t xml:space="preserve">for OTC derivative products. The </w:t>
      </w:r>
      <w:r w:rsidR="00C1703E">
        <w:t>Regulatory Oversight Committee (</w:t>
      </w:r>
      <w:r w:rsidRPr="0011188E">
        <w:t>ROC</w:t>
      </w:r>
      <w:r w:rsidR="00C1703E">
        <w:t>)</w:t>
      </w:r>
      <w:r w:rsidRPr="0011188E">
        <w:t xml:space="preserve"> is the </w:t>
      </w:r>
      <w:r>
        <w:t>i</w:t>
      </w:r>
      <w:r w:rsidRPr="0011188E">
        <w:t xml:space="preserve">nternational </w:t>
      </w:r>
      <w:r>
        <w:t>g</w:t>
      </w:r>
      <w:r w:rsidRPr="0011188E">
        <w:t xml:space="preserve">overnance </w:t>
      </w:r>
      <w:r>
        <w:t>b</w:t>
      </w:r>
      <w:r w:rsidRPr="0011188E">
        <w:t>ody for the UPI system.</w:t>
      </w:r>
    </w:p>
    <w:p w14:paraId="43FCBB6D" w14:textId="3E0FC91A" w:rsidR="003A4F6A" w:rsidRDefault="003A4F6A" w:rsidP="00F83E31">
      <w:pPr>
        <w:pStyle w:val="Note"/>
      </w:pPr>
      <w:r>
        <w:t>Note: The ROC is the international governance body for the legal entity identifier (LEI), UTI, UPI and the critical data elements (CDE). The ROC is a group of 69 public authorities with full membership and 19 observers from more than 50 countries that</w:t>
      </w:r>
      <w:r w:rsidR="008D6101">
        <w:t xml:space="preserve"> was established in January 2013 to oversee the </w:t>
      </w:r>
      <w:r w:rsidR="008A6CFD">
        <w:t>Global Legal Entity Identifier System (</w:t>
      </w:r>
      <w:r w:rsidR="008D6101">
        <w:t>GLEIS</w:t>
      </w:r>
      <w:r w:rsidR="008A6CFD">
        <w:t>)</w:t>
      </w:r>
      <w:r w:rsidR="008D6101">
        <w:t>. The ROC’s expanded mandate is supported by its Committee on Derivative Identifiers and Data Elements (CDIDE). ASIC represents the Australian regulators as a member of the ROC and the CDIDE.</w:t>
      </w:r>
    </w:p>
    <w:p w14:paraId="26538A91" w14:textId="324E9E76" w:rsidR="00BB7352" w:rsidRPr="0011188E" w:rsidRDefault="00517C53" w:rsidP="002B047A">
      <w:pPr>
        <w:pStyle w:val="BodyText"/>
        <w:ind w:left="2268"/>
      </w:pPr>
      <w:r>
        <w:t xml:space="preserve">The </w:t>
      </w:r>
      <w:r w:rsidR="00BB7352">
        <w:t xml:space="preserve">ROC has signed a </w:t>
      </w:r>
      <w:hyperlink r:id="rId82" w:history="1">
        <w:r w:rsidR="0026110A" w:rsidRPr="005E1015">
          <w:rPr>
            <w:rStyle w:val="Hyperlink"/>
          </w:rPr>
          <w:t>m</w:t>
        </w:r>
        <w:r w:rsidRPr="005E1015">
          <w:rPr>
            <w:rStyle w:val="Hyperlink"/>
          </w:rPr>
          <w:t xml:space="preserve">emorandum of </w:t>
        </w:r>
        <w:r w:rsidR="007B0E3B" w:rsidRPr="005E1015">
          <w:rPr>
            <w:rStyle w:val="Hyperlink"/>
          </w:rPr>
          <w:t>u</w:t>
        </w:r>
        <w:r w:rsidRPr="005E1015">
          <w:rPr>
            <w:rStyle w:val="Hyperlink"/>
          </w:rPr>
          <w:t>nderstanding</w:t>
        </w:r>
      </w:hyperlink>
      <w:r w:rsidR="00BB7352">
        <w:t xml:space="preserve"> </w:t>
      </w:r>
      <w:r w:rsidR="00B3254A">
        <w:t xml:space="preserve">(PDF 2.21 MB) </w:t>
      </w:r>
      <w:r w:rsidR="00BB7352">
        <w:t>with</w:t>
      </w:r>
      <w:r w:rsidR="00FC2CF5">
        <w:t xml:space="preserve"> </w:t>
      </w:r>
      <w:r w:rsidR="00BB7352">
        <w:t xml:space="preserve">DSB. Members of the </w:t>
      </w:r>
      <w:r w:rsidR="00161610">
        <w:t xml:space="preserve">ROC </w:t>
      </w:r>
      <w:r w:rsidR="00BB7352">
        <w:t>CDIDE</w:t>
      </w:r>
      <w:r w:rsidR="00161610">
        <w:t xml:space="preserve"> </w:t>
      </w:r>
      <w:r w:rsidR="00BB7352">
        <w:t xml:space="preserve">participate as observers in the meetings of DSB’s </w:t>
      </w:r>
      <w:hyperlink r:id="rId83" w:history="1">
        <w:r w:rsidR="00BB7352" w:rsidRPr="00A0209E">
          <w:rPr>
            <w:rStyle w:val="Hyperlink"/>
          </w:rPr>
          <w:t>Product Committee</w:t>
        </w:r>
      </w:hyperlink>
      <w:r w:rsidR="00BB7352">
        <w:t xml:space="preserve"> </w:t>
      </w:r>
      <w:r>
        <w:t>o</w:t>
      </w:r>
      <w:r w:rsidR="007C6887">
        <w:t>f industry experts.</w:t>
      </w:r>
    </w:p>
    <w:p w14:paraId="0D5745F7" w14:textId="423C5335" w:rsidR="00EF21BB" w:rsidRDefault="00EF21BB" w:rsidP="002B047A">
      <w:pPr>
        <w:pStyle w:val="BodyText"/>
        <w:ind w:left="2268"/>
      </w:pPr>
      <w:r w:rsidRPr="00F83E31">
        <w:t>The UPI</w:t>
      </w:r>
      <w:r w:rsidR="003567BA" w:rsidRPr="00F83E31">
        <w:t xml:space="preserve"> Guidance</w:t>
      </w:r>
      <w:r w:rsidRPr="00F83E31">
        <w:t xml:space="preserve"> intends </w:t>
      </w:r>
      <w:r w:rsidR="008D6101">
        <w:t xml:space="preserve">to adopt </w:t>
      </w:r>
      <w:r w:rsidRPr="00F83E31">
        <w:t>an</w:t>
      </w:r>
      <w:r w:rsidRPr="008D6101">
        <w:t xml:space="preserve"> internationally</w:t>
      </w:r>
      <w:r>
        <w:t xml:space="preserve"> </w:t>
      </w:r>
      <w:r w:rsidRPr="00931D66">
        <w:t>common product schema, with its attendant simplification for reporting entities</w:t>
      </w:r>
      <w:r>
        <w:t xml:space="preserve">, </w:t>
      </w:r>
      <w:r w:rsidRPr="00931D66">
        <w:t>cross-</w:t>
      </w:r>
      <w:r>
        <w:t xml:space="preserve">trade repository </w:t>
      </w:r>
      <w:r w:rsidRPr="00931D66">
        <w:t>interoperability</w:t>
      </w:r>
      <w:r>
        <w:t xml:space="preserve"> and regulatory authorities</w:t>
      </w:r>
      <w:r w:rsidRPr="00931D66">
        <w:t>.</w:t>
      </w:r>
    </w:p>
    <w:p w14:paraId="6823CF06" w14:textId="3211D6E7" w:rsidR="00EF21BB" w:rsidRDefault="00EF21BB" w:rsidP="002B047A">
      <w:pPr>
        <w:pStyle w:val="BodyText"/>
        <w:ind w:left="2268"/>
      </w:pPr>
      <w:r w:rsidRPr="00526CDB">
        <w:t>The U</w:t>
      </w:r>
      <w:r>
        <w:t>PI Guidance explains that a UPI code should be a semantically meaningless code</w:t>
      </w:r>
      <w:r w:rsidRPr="00884796">
        <w:t>—</w:t>
      </w:r>
      <w:r>
        <w:t xml:space="preserve">that is, the individual characters in the code do not convey any information of themselves but, as a whole code, </w:t>
      </w:r>
      <w:r w:rsidR="00F83E31">
        <w:t xml:space="preserve">they </w:t>
      </w:r>
      <w:r>
        <w:t xml:space="preserve">map to an explanation in a reference data library of the set of product attributes associated with that code. The UPI Guidance also explains that a UPI </w:t>
      </w:r>
      <w:r w:rsidR="00495178">
        <w:t>c</w:t>
      </w:r>
      <w:r>
        <w:t>ode of 12 characters would be consistent with being long enough to cover the range of product attribute permutations and short enough to be practical for manual data entry (for the least automated of market participants).</w:t>
      </w:r>
    </w:p>
    <w:p w14:paraId="40C9FF28" w14:textId="77777777" w:rsidR="00EF21BB" w:rsidRDefault="00EF21BB" w:rsidP="002B047A">
      <w:pPr>
        <w:pStyle w:val="BodyText"/>
        <w:ind w:left="2268"/>
      </w:pPr>
      <w:r w:rsidRPr="00526CDB">
        <w:t>The UPI Guidance</w:t>
      </w:r>
      <w:r>
        <w:t xml:space="preserve"> suggests that a UPI code retrieval or creation process would entail an entity making a query or request, comprising the set of product attributes of the derivative transaction for which a UPI code is required, and being returned with the UPI code that matches those product attributes or a newly created UPI code if that set of product attributes does not already have a UPI code.</w:t>
      </w:r>
    </w:p>
    <w:p w14:paraId="272E71B7" w14:textId="2980EEE5" w:rsidR="00595920" w:rsidRDefault="00F92933" w:rsidP="008E3B37">
      <w:pPr>
        <w:pStyle w:val="Heading2"/>
      </w:pPr>
      <w:bookmarkStart w:id="97" w:name="_Toc57146485"/>
      <w:bookmarkStart w:id="98" w:name="_Toc103174626"/>
      <w:r>
        <w:t xml:space="preserve">Developments in the UPI </w:t>
      </w:r>
      <w:r w:rsidR="00F76792">
        <w:t>system s</w:t>
      </w:r>
      <w:r>
        <w:t>ince the release of CP</w:t>
      </w:r>
      <w:r w:rsidR="005F6416">
        <w:t> </w:t>
      </w:r>
      <w:r>
        <w:t>334</w:t>
      </w:r>
      <w:bookmarkEnd w:id="97"/>
      <w:bookmarkEnd w:id="98"/>
    </w:p>
    <w:p w14:paraId="72BB776D" w14:textId="0D21D41C" w:rsidR="007A5DBB" w:rsidRDefault="007A5DBB" w:rsidP="004B3A2D">
      <w:pPr>
        <w:pStyle w:val="BodyText"/>
        <w:ind w:left="2268"/>
      </w:pPr>
      <w:r>
        <w:t xml:space="preserve">Since the release of </w:t>
      </w:r>
      <w:hyperlink r:id="rId84" w:history="1">
        <w:r w:rsidR="00495178" w:rsidRPr="00495178">
          <w:rPr>
            <w:rStyle w:val="Hyperlink"/>
          </w:rPr>
          <w:t>CP 334</w:t>
        </w:r>
      </w:hyperlink>
      <w:r>
        <w:t xml:space="preserve"> in November 2020, there have been significant developments in the UPI system</w:t>
      </w:r>
      <w:r w:rsidR="00247974">
        <w:t>.</w:t>
      </w:r>
    </w:p>
    <w:p w14:paraId="2481FEA2" w14:textId="65D2F556" w:rsidR="00ED3724" w:rsidRDefault="00ED3724" w:rsidP="004B3A2D">
      <w:pPr>
        <w:pStyle w:val="BodyText"/>
        <w:ind w:left="2268"/>
      </w:pPr>
      <w:r>
        <w:t xml:space="preserve">In November 2021, ISO published a standard for the UPI as </w:t>
      </w:r>
      <w:hyperlink r:id="rId85" w:history="1">
        <w:r w:rsidRPr="00EA32CE">
          <w:rPr>
            <w:rStyle w:val="Hyperlink"/>
          </w:rPr>
          <w:t>ISO 4914:2021</w:t>
        </w:r>
      </w:hyperlink>
      <w:r>
        <w:t xml:space="preserve"> </w:t>
      </w:r>
      <w:r w:rsidRPr="008E3B37">
        <w:rPr>
          <w:i/>
          <w:iCs/>
        </w:rPr>
        <w:t>Financial services—Unique product identifier</w:t>
      </w:r>
      <w:r>
        <w:t>. The standard specifies the elements of an unambiguous scheme to identify OTC derivative products that are reportable to trade repositories—in particular:</w:t>
      </w:r>
    </w:p>
    <w:p w14:paraId="2A123FF4" w14:textId="77777777" w:rsidR="00ED3724" w:rsidRDefault="00ED3724" w:rsidP="00C443A0">
      <w:pPr>
        <w:pStyle w:val="subparaa"/>
        <w:numPr>
          <w:ilvl w:val="1"/>
          <w:numId w:val="17"/>
        </w:numPr>
      </w:pPr>
      <w:r>
        <w:t>the structure and format of the UPI code;</w:t>
      </w:r>
    </w:p>
    <w:p w14:paraId="192C48D6" w14:textId="77777777" w:rsidR="00ED3724" w:rsidRDefault="00ED3724" w:rsidP="00C443A0">
      <w:pPr>
        <w:pStyle w:val="subparaa"/>
        <w:numPr>
          <w:ilvl w:val="1"/>
          <w:numId w:val="17"/>
        </w:numPr>
      </w:pPr>
      <w:r>
        <w:t>the minimum data elements of the UPI reference data library, together with their allowable values; and</w:t>
      </w:r>
    </w:p>
    <w:p w14:paraId="52F3015F" w14:textId="77777777" w:rsidR="00ED3724" w:rsidRDefault="00ED3724" w:rsidP="00C443A0">
      <w:pPr>
        <w:pStyle w:val="subparaa"/>
        <w:numPr>
          <w:ilvl w:val="1"/>
          <w:numId w:val="17"/>
        </w:numPr>
      </w:pPr>
      <w:r>
        <w:t xml:space="preserve">the definition of a UPI service provider as an </w:t>
      </w:r>
      <w:r w:rsidRPr="005A23FF">
        <w:t>organi</w:t>
      </w:r>
      <w:r>
        <w:t>s</w:t>
      </w:r>
      <w:r w:rsidRPr="005A23FF">
        <w:t>ation designated by an external body of financial regulators to assign UPIs and operate the UPI reference data library</w:t>
      </w:r>
      <w:r>
        <w:t>.</w:t>
      </w:r>
    </w:p>
    <w:p w14:paraId="70F18477" w14:textId="77777777" w:rsidR="006A198C" w:rsidRPr="006A198C" w:rsidRDefault="006A198C" w:rsidP="006A198C">
      <w:pPr>
        <w:pStyle w:val="Bodytextplain"/>
        <w:keepNext/>
        <w:spacing w:before="0" w:line="240" w:lineRule="auto"/>
        <w:rPr>
          <w:sz w:val="4"/>
          <w:szCs w:val="4"/>
        </w:rPr>
      </w:pPr>
    </w:p>
    <w:p w14:paraId="5B89FB64" w14:textId="4050A5B2" w:rsidR="009B3DD7" w:rsidRDefault="00AA23C2" w:rsidP="00E63528">
      <w:pPr>
        <w:pStyle w:val="BodyText"/>
        <w:keepNext/>
        <w:spacing w:before="0" w:line="290" w:lineRule="atLeast"/>
        <w:ind w:left="2268"/>
      </w:pPr>
      <w:r>
        <w:t xml:space="preserve">DSB’s </w:t>
      </w:r>
      <w:r w:rsidR="00ED3724">
        <w:t xml:space="preserve">development </w:t>
      </w:r>
      <w:r>
        <w:t>work has included:</w:t>
      </w:r>
    </w:p>
    <w:p w14:paraId="74035E33" w14:textId="691AC2CD" w:rsidR="009B3DD7" w:rsidRDefault="00495178" w:rsidP="00853D6F">
      <w:pPr>
        <w:pStyle w:val="BodyText"/>
        <w:numPr>
          <w:ilvl w:val="1"/>
          <w:numId w:val="9"/>
        </w:numPr>
        <w:spacing w:line="290" w:lineRule="atLeast"/>
      </w:pPr>
      <w:r>
        <w:t>t</w:t>
      </w:r>
      <w:r w:rsidR="00AA23C2">
        <w:t xml:space="preserve">wo rounds of </w:t>
      </w:r>
      <w:hyperlink r:id="rId86" w:history="1">
        <w:r w:rsidR="00AA23C2" w:rsidRPr="00DD14EE">
          <w:rPr>
            <w:rStyle w:val="Hyperlink"/>
          </w:rPr>
          <w:t>consultation</w:t>
        </w:r>
      </w:hyperlink>
      <w:r w:rsidR="00AA23C2">
        <w:t xml:space="preserve"> on DSB’s fee model and access </w:t>
      </w:r>
      <w:r w:rsidR="00662549">
        <w:t>methods;</w:t>
      </w:r>
    </w:p>
    <w:p w14:paraId="627604A0" w14:textId="42B01527" w:rsidR="009B3DD7" w:rsidRDefault="00495178" w:rsidP="00853D6F">
      <w:pPr>
        <w:pStyle w:val="BodyText"/>
        <w:numPr>
          <w:ilvl w:val="1"/>
          <w:numId w:val="9"/>
        </w:numPr>
        <w:spacing w:line="290" w:lineRule="atLeast"/>
      </w:pPr>
      <w:r>
        <w:t>a</w:t>
      </w:r>
      <w:r w:rsidR="00DD14EE">
        <w:t xml:space="preserve"> </w:t>
      </w:r>
      <w:hyperlink r:id="rId87" w:history="1">
        <w:r w:rsidR="00DD14EE" w:rsidRPr="00DD14EE">
          <w:rPr>
            <w:rStyle w:val="Hyperlink"/>
          </w:rPr>
          <w:t>consultation</w:t>
        </w:r>
      </w:hyperlink>
      <w:r w:rsidR="00DD14EE">
        <w:t xml:space="preserve"> on DSB’s </w:t>
      </w:r>
      <w:r>
        <w:t>l</w:t>
      </w:r>
      <w:r w:rsidR="00DD14EE">
        <w:t xml:space="preserve">egal </w:t>
      </w:r>
      <w:r>
        <w:t>t</w:t>
      </w:r>
      <w:r w:rsidR="00DD14EE">
        <w:t xml:space="preserve">erms and </w:t>
      </w:r>
      <w:r>
        <w:t>c</w:t>
      </w:r>
      <w:r w:rsidR="00DD14EE">
        <w:t>onditions;</w:t>
      </w:r>
    </w:p>
    <w:p w14:paraId="483AFF26" w14:textId="78285B79" w:rsidR="009B3DD7" w:rsidRDefault="00495178" w:rsidP="00853D6F">
      <w:pPr>
        <w:pStyle w:val="BodyText"/>
        <w:numPr>
          <w:ilvl w:val="1"/>
          <w:numId w:val="9"/>
        </w:numPr>
        <w:spacing w:line="290" w:lineRule="atLeast"/>
      </w:pPr>
      <w:r>
        <w:t>p</w:t>
      </w:r>
      <w:r w:rsidR="00662549">
        <w:t xml:space="preserve">ublication of </w:t>
      </w:r>
      <w:hyperlink r:id="rId88" w:history="1">
        <w:r w:rsidR="00662549" w:rsidRPr="00D12544">
          <w:rPr>
            <w:rStyle w:val="Hyperlink"/>
          </w:rPr>
          <w:t xml:space="preserve">API and </w:t>
        </w:r>
        <w:r w:rsidR="007A495B">
          <w:rPr>
            <w:rStyle w:val="Hyperlink"/>
          </w:rPr>
          <w:t>c</w:t>
        </w:r>
        <w:r w:rsidR="00662549" w:rsidRPr="00D12544">
          <w:rPr>
            <w:rStyle w:val="Hyperlink"/>
          </w:rPr>
          <w:t xml:space="preserve">onnectivity </w:t>
        </w:r>
        <w:r w:rsidR="007A495B">
          <w:rPr>
            <w:rStyle w:val="Hyperlink"/>
          </w:rPr>
          <w:t>s</w:t>
        </w:r>
        <w:r w:rsidR="00662549" w:rsidRPr="00D12544">
          <w:rPr>
            <w:rStyle w:val="Hyperlink"/>
          </w:rPr>
          <w:t>pecifications</w:t>
        </w:r>
      </w:hyperlink>
      <w:r w:rsidR="00662549">
        <w:t>;</w:t>
      </w:r>
      <w:r>
        <w:t xml:space="preserve"> and</w:t>
      </w:r>
    </w:p>
    <w:p w14:paraId="0A560986" w14:textId="3F4A16C9" w:rsidR="00662549" w:rsidRPr="00924660" w:rsidRDefault="00495178" w:rsidP="00853D6F">
      <w:pPr>
        <w:pStyle w:val="BodyText"/>
        <w:numPr>
          <w:ilvl w:val="1"/>
          <w:numId w:val="9"/>
        </w:numPr>
        <w:spacing w:line="290" w:lineRule="atLeast"/>
      </w:pPr>
      <w:r>
        <w:t>p</w:t>
      </w:r>
      <w:r w:rsidR="00662549">
        <w:t xml:space="preserve">ublication of draft </w:t>
      </w:r>
      <w:hyperlink r:id="rId89" w:history="1">
        <w:r w:rsidR="00662549" w:rsidRPr="00924660">
          <w:rPr>
            <w:rStyle w:val="Hyperlink"/>
          </w:rPr>
          <w:t xml:space="preserve">UPI </w:t>
        </w:r>
        <w:r w:rsidR="007A495B" w:rsidRPr="00924660">
          <w:rPr>
            <w:rStyle w:val="Hyperlink"/>
          </w:rPr>
          <w:t xml:space="preserve">product </w:t>
        </w:r>
        <w:r w:rsidR="004E5152" w:rsidRPr="00924660">
          <w:rPr>
            <w:rStyle w:val="Hyperlink"/>
          </w:rPr>
          <w:t>definitions</w:t>
        </w:r>
      </w:hyperlink>
      <w:r w:rsidR="00662549" w:rsidRPr="00924660">
        <w:t>.</w:t>
      </w:r>
    </w:p>
    <w:p w14:paraId="4F4E0C1C" w14:textId="1FDFBFD8" w:rsidR="00662549" w:rsidRPr="00924660" w:rsidRDefault="00662549" w:rsidP="00853D6F">
      <w:pPr>
        <w:pStyle w:val="BodyText"/>
        <w:spacing w:line="290" w:lineRule="atLeast"/>
        <w:ind w:left="2268"/>
      </w:pPr>
      <w:r w:rsidRPr="00924660">
        <w:t xml:space="preserve">ASIC also participated, with </w:t>
      </w:r>
      <w:r w:rsidR="00F444BA" w:rsidRPr="00924660">
        <w:t>regulators from China, Hong Kong and Japan</w:t>
      </w:r>
      <w:r w:rsidRPr="00924660">
        <w:t>, in a joint ROC</w:t>
      </w:r>
      <w:r w:rsidR="00495178" w:rsidRPr="00924660">
        <w:t>–</w:t>
      </w:r>
      <w:r w:rsidRPr="00924660">
        <w:t xml:space="preserve">DSB Asian webinar on </w:t>
      </w:r>
      <w:r w:rsidR="00F444BA" w:rsidRPr="00924660">
        <w:t>25 May 2021</w:t>
      </w:r>
      <w:r w:rsidR="00DD14EE" w:rsidRPr="00924660">
        <w:t xml:space="preserve">, </w:t>
      </w:r>
      <w:r w:rsidRPr="00924660">
        <w:t xml:space="preserve">which detailed key elements of </w:t>
      </w:r>
      <w:r w:rsidR="00930298" w:rsidRPr="00924660">
        <w:t xml:space="preserve">the </w:t>
      </w:r>
      <w:r w:rsidRPr="00924660">
        <w:t>UPI system</w:t>
      </w:r>
      <w:r w:rsidR="00DD14EE" w:rsidRPr="00924660">
        <w:t>.</w:t>
      </w:r>
    </w:p>
    <w:p w14:paraId="633867CF" w14:textId="1858F12B" w:rsidR="00892233" w:rsidRPr="00924660" w:rsidRDefault="00892233" w:rsidP="00853D6F">
      <w:pPr>
        <w:pStyle w:val="BodyText"/>
        <w:spacing w:line="290" w:lineRule="atLeast"/>
        <w:ind w:left="2268"/>
      </w:pPr>
      <w:r w:rsidRPr="00924660">
        <w:t xml:space="preserve">The ongoing development of the UPI product definitions and the reference data elements embedded in the UPI to describe those products has included the expert input of DSB’s industry </w:t>
      </w:r>
      <w:hyperlink r:id="rId90" w:history="1">
        <w:r w:rsidRPr="00924660">
          <w:rPr>
            <w:rStyle w:val="Hyperlink"/>
          </w:rPr>
          <w:t>Product Committee</w:t>
        </w:r>
      </w:hyperlink>
      <w:r w:rsidRPr="00924660">
        <w:t>. The views of the Product Committee have been presented to, and discussed with, the ROC CDIDE by DSB.</w:t>
      </w:r>
    </w:p>
    <w:p w14:paraId="05F35FD9" w14:textId="2728B16D" w:rsidR="00892233" w:rsidRPr="00924660" w:rsidRDefault="00892233" w:rsidP="00853D6F">
      <w:pPr>
        <w:pStyle w:val="BodyText"/>
        <w:spacing w:line="290" w:lineRule="atLeast"/>
        <w:ind w:left="2268"/>
      </w:pPr>
      <w:bookmarkStart w:id="99" w:name="_ASICRef774"/>
      <w:bookmarkStart w:id="100" w:name="_ASICRef461"/>
      <w:r w:rsidRPr="00924660">
        <w:t xml:space="preserve">In the course of these developments, it has been clarified that certain reference data elements will not be included in the UPIs for particular products. In addition, the range of underlier identifiers that may be supported by the UPI system will depend on the extent to which DSB can identify and readily access robust and reliable sources of reference data. The current range of underlier identifier sources are set out in DSB’s draft </w:t>
      </w:r>
      <w:hyperlink r:id="rId91" w:history="1">
        <w:r w:rsidRPr="00924660">
          <w:rPr>
            <w:rStyle w:val="Hyperlink"/>
          </w:rPr>
          <w:t>UPI product defin</w:t>
        </w:r>
        <w:r w:rsidR="00D17912" w:rsidRPr="00924660">
          <w:rPr>
            <w:rStyle w:val="Hyperlink"/>
          </w:rPr>
          <w:t>i</w:t>
        </w:r>
        <w:r w:rsidRPr="00924660">
          <w:rPr>
            <w:rStyle w:val="Hyperlink"/>
          </w:rPr>
          <w:t>tions</w:t>
        </w:r>
      </w:hyperlink>
      <w:r w:rsidRPr="00924660">
        <w:t>.</w:t>
      </w:r>
      <w:bookmarkEnd w:id="99"/>
      <w:bookmarkEnd w:id="100"/>
    </w:p>
    <w:p w14:paraId="64B0ADAB" w14:textId="77777777" w:rsidR="00892233" w:rsidRDefault="00892233" w:rsidP="00853D6F">
      <w:pPr>
        <w:pStyle w:val="BodyText"/>
        <w:spacing w:line="290" w:lineRule="atLeast"/>
        <w:ind w:left="2268"/>
      </w:pPr>
      <w:bookmarkStart w:id="101" w:name="_ASICRef492"/>
      <w:r>
        <w:t>The reference data elements that will not be included in the UPI are:</w:t>
      </w:r>
      <w:bookmarkEnd w:id="101"/>
    </w:p>
    <w:p w14:paraId="69036EE8" w14:textId="77777777" w:rsidR="00892233" w:rsidRDefault="00892233" w:rsidP="00853D6F">
      <w:pPr>
        <w:pStyle w:val="subparaa"/>
        <w:numPr>
          <w:ilvl w:val="1"/>
          <w:numId w:val="17"/>
        </w:numPr>
        <w:spacing w:line="290" w:lineRule="atLeast"/>
      </w:pPr>
      <w:r>
        <w:t>the maturity date or tenor of the interest rate swap that underlies a swaption; and</w:t>
      </w:r>
    </w:p>
    <w:p w14:paraId="43C2A8CD" w14:textId="77777777" w:rsidR="00892233" w:rsidRDefault="00892233" w:rsidP="00853D6F">
      <w:pPr>
        <w:pStyle w:val="subparaa"/>
        <w:numPr>
          <w:ilvl w:val="1"/>
          <w:numId w:val="17"/>
        </w:numPr>
        <w:spacing w:line="290" w:lineRule="atLeast"/>
      </w:pPr>
      <w:r>
        <w:t>information about the applicable interest rate floating rate reference rate that underlies one of the legs in, for example, an equity swap.</w:t>
      </w:r>
    </w:p>
    <w:p w14:paraId="03348728" w14:textId="7E563A7D" w:rsidR="00F24BEC" w:rsidRDefault="00F24BEC" w:rsidP="00853D6F">
      <w:pPr>
        <w:pStyle w:val="BodyText"/>
        <w:spacing w:line="290" w:lineRule="atLeast"/>
        <w:ind w:left="2268"/>
      </w:pPr>
      <w:bookmarkStart w:id="102" w:name="_ASICRef81"/>
      <w:r>
        <w:t xml:space="preserve">When an underlier identifier is not specifically supported under the UPI system, a UPI can still be created but with the reference data element value of ‘other’ for the underlier identifier and the underlier identifier source. </w:t>
      </w:r>
      <w:r w:rsidR="00C64BD7">
        <w:t xml:space="preserve">In the commodity and equity asset classes, the underlier identifier sources currently set out in DSB’s draft product definitions are materially incomplete for transactions reported under the </w:t>
      </w:r>
      <w:r w:rsidR="00824AA6">
        <w:t>c</w:t>
      </w:r>
      <w:r w:rsidR="00C64BD7">
        <w:t>urrent ASIC Rules.</w:t>
      </w:r>
      <w:bookmarkEnd w:id="102"/>
    </w:p>
    <w:p w14:paraId="65CF820E" w14:textId="11466F42" w:rsidR="00892233" w:rsidRDefault="00064572" w:rsidP="00853D6F">
      <w:pPr>
        <w:pStyle w:val="BodyText"/>
        <w:spacing w:line="290" w:lineRule="atLeast"/>
        <w:ind w:left="2268"/>
      </w:pPr>
      <w:r>
        <w:t>The</w:t>
      </w:r>
      <w:r w:rsidR="00C64BD7">
        <w:t xml:space="preserve">se </w:t>
      </w:r>
      <w:r w:rsidR="005B014C">
        <w:t xml:space="preserve">current </w:t>
      </w:r>
      <w:r>
        <w:t>underlier identifier sources are:</w:t>
      </w:r>
    </w:p>
    <w:p w14:paraId="1E1522A7" w14:textId="4C49CDC3" w:rsidR="00064572" w:rsidRDefault="00064572" w:rsidP="00853D6F">
      <w:pPr>
        <w:pStyle w:val="subparaa"/>
        <w:numPr>
          <w:ilvl w:val="1"/>
          <w:numId w:val="17"/>
        </w:numPr>
        <w:spacing w:line="290" w:lineRule="atLeast"/>
      </w:pPr>
      <w:r>
        <w:t xml:space="preserve">for commodity derivatives, </w:t>
      </w:r>
      <w:r w:rsidRPr="00064572">
        <w:t>the ISDA Commodity Reference Price dataset of the ISDA Taxonomy 2.0</w:t>
      </w:r>
      <w:r>
        <w:t>; and</w:t>
      </w:r>
    </w:p>
    <w:p w14:paraId="2105216D" w14:textId="5F2B5BEB" w:rsidR="00064572" w:rsidRPr="00064572" w:rsidRDefault="00064572" w:rsidP="00853D6F">
      <w:pPr>
        <w:pStyle w:val="subparaa"/>
        <w:numPr>
          <w:ilvl w:val="1"/>
          <w:numId w:val="17"/>
        </w:numPr>
        <w:spacing w:line="290" w:lineRule="atLeast"/>
      </w:pPr>
      <w:r>
        <w:t xml:space="preserve">for </w:t>
      </w:r>
      <w:r w:rsidRPr="00064572">
        <w:t xml:space="preserve">equity </w:t>
      </w:r>
      <w:r>
        <w:t xml:space="preserve">derivatives over equity indices, the </w:t>
      </w:r>
      <w:r w:rsidRPr="00064572">
        <w:t xml:space="preserve">indices listed in the equity derivatives </w:t>
      </w:r>
      <w:r w:rsidR="00EA130B" w:rsidRPr="00EA130B">
        <w:t xml:space="preserve">transitional transparency calculations </w:t>
      </w:r>
      <w:hyperlink r:id="rId92" w:history="1">
        <w:r w:rsidR="00EA130B" w:rsidRPr="00684842">
          <w:rPr>
            <w:rStyle w:val="Hyperlink"/>
          </w:rPr>
          <w:t xml:space="preserve">(TTC) </w:t>
        </w:r>
        <w:r w:rsidRPr="00684842">
          <w:rPr>
            <w:rStyle w:val="Hyperlink"/>
          </w:rPr>
          <w:t>file</w:t>
        </w:r>
      </w:hyperlink>
      <w:r w:rsidRPr="00064572">
        <w:t xml:space="preserve"> published by ESMA</w:t>
      </w:r>
      <w:r w:rsidR="008C4796" w:rsidRPr="00924660">
        <w:t>—</w:t>
      </w:r>
      <w:r>
        <w:t>t</w:t>
      </w:r>
      <w:r w:rsidRPr="00064572">
        <w:t>hese indices relate to certain transparency requirements of EU regulations.</w:t>
      </w:r>
    </w:p>
    <w:p w14:paraId="2028C8C0" w14:textId="77777777" w:rsidR="00E63528" w:rsidRPr="00E63528" w:rsidRDefault="00E63528" w:rsidP="00E63528">
      <w:pPr>
        <w:pStyle w:val="Bodytextplain"/>
        <w:keepNext/>
        <w:spacing w:before="0" w:line="240" w:lineRule="auto"/>
        <w:rPr>
          <w:sz w:val="4"/>
          <w:szCs w:val="4"/>
        </w:rPr>
      </w:pPr>
      <w:bookmarkStart w:id="103" w:name="_ASICRef760"/>
    </w:p>
    <w:p w14:paraId="7FDA0AEC" w14:textId="73550835" w:rsidR="00053D0F" w:rsidRDefault="00C64BD7" w:rsidP="00E63528">
      <w:pPr>
        <w:pStyle w:val="BodyText"/>
        <w:keepNext/>
        <w:spacing w:before="0" w:line="290" w:lineRule="atLeast"/>
        <w:ind w:left="2268"/>
      </w:pPr>
      <w:r>
        <w:t xml:space="preserve">However, </w:t>
      </w:r>
      <w:r w:rsidR="00053D0F">
        <w:t xml:space="preserve">for transactions reported under the </w:t>
      </w:r>
      <w:r w:rsidR="0065506F">
        <w:t>c</w:t>
      </w:r>
      <w:r w:rsidR="00053D0F">
        <w:t>urrent ASIC Rules</w:t>
      </w:r>
      <w:r>
        <w:t>:</w:t>
      </w:r>
      <w:bookmarkEnd w:id="103"/>
    </w:p>
    <w:p w14:paraId="1EA0782B" w14:textId="0E57D906" w:rsidR="00053D0F" w:rsidRDefault="00053D0F" w:rsidP="00853D6F">
      <w:pPr>
        <w:pStyle w:val="subparaa"/>
        <w:numPr>
          <w:ilvl w:val="1"/>
          <w:numId w:val="17"/>
        </w:numPr>
        <w:spacing w:line="290" w:lineRule="atLeast"/>
      </w:pPr>
      <w:r>
        <w:t>a</w:t>
      </w:r>
      <w:r w:rsidRPr="00053D0F">
        <w:t>lthough there are more than 1,700 underlier identifiers in</w:t>
      </w:r>
      <w:r>
        <w:t xml:space="preserve"> the </w:t>
      </w:r>
      <w:r w:rsidRPr="00064572">
        <w:t>ISDA Commodity Reference Price datase</w:t>
      </w:r>
      <w:r>
        <w:t>t, l</w:t>
      </w:r>
      <w:r w:rsidRPr="00053D0F">
        <w:t>ess than 50% of commodity underliers that are reported by ASIC reporting entities are found in this dataset</w:t>
      </w:r>
      <w:r>
        <w:t>; and</w:t>
      </w:r>
    </w:p>
    <w:p w14:paraId="3B4DF6A5" w14:textId="1D721E7D" w:rsidR="00053D0F" w:rsidRDefault="00053D0F" w:rsidP="00853D6F">
      <w:pPr>
        <w:pStyle w:val="subparaa"/>
        <w:numPr>
          <w:ilvl w:val="1"/>
          <w:numId w:val="17"/>
        </w:numPr>
        <w:spacing w:line="290" w:lineRule="atLeast"/>
      </w:pPr>
      <w:r>
        <w:t xml:space="preserve">the </w:t>
      </w:r>
      <w:hyperlink r:id="rId93" w:history="1">
        <w:r w:rsidRPr="00C217D7">
          <w:t>TTC file</w:t>
        </w:r>
      </w:hyperlink>
      <w:r w:rsidRPr="004008BB">
        <w:t xml:space="preserve"> published by ESMA</w:t>
      </w:r>
      <w:r>
        <w:t xml:space="preserve"> does not include, for example, any ASX indices.</w:t>
      </w:r>
    </w:p>
    <w:p w14:paraId="428BAF7C" w14:textId="39E66F40" w:rsidR="00C64BD7" w:rsidRDefault="00C64BD7" w:rsidP="00853D6F">
      <w:pPr>
        <w:pStyle w:val="BodyText"/>
        <w:spacing w:line="290" w:lineRule="atLeast"/>
        <w:ind w:left="2268"/>
      </w:pPr>
      <w:bookmarkStart w:id="104" w:name="_ASICRef14"/>
      <w:r>
        <w:t xml:space="preserve">In March 2021, DSB opened a request for information process to identify a </w:t>
      </w:r>
      <w:r w:rsidRPr="00924660">
        <w:t>data provider for provision of underlier identifiers for the U</w:t>
      </w:r>
      <w:r w:rsidR="00ED3724" w:rsidRPr="00924660">
        <w:t>PI system</w:t>
      </w:r>
      <w:r w:rsidR="00ED3724" w:rsidRPr="00ED3724">
        <w:rPr>
          <w:rFonts w:ascii="Ruda" w:hAnsi="Ruda"/>
          <w:color w:val="606060"/>
          <w:sz w:val="23"/>
          <w:szCs w:val="23"/>
          <w:lang w:val="en-US"/>
        </w:rPr>
        <w:t xml:space="preserve">. </w:t>
      </w:r>
      <w:r>
        <w:t xml:space="preserve">Although </w:t>
      </w:r>
      <w:r w:rsidR="00ED3724">
        <w:t xml:space="preserve">this may enable </w:t>
      </w:r>
      <w:r>
        <w:t xml:space="preserve">DSB </w:t>
      </w:r>
      <w:r w:rsidR="00ED3724">
        <w:t>to</w:t>
      </w:r>
      <w:r>
        <w:t xml:space="preserve"> identify and access a broader range of sources of reference data for the UPI system, particularly for equity indices, we think there will likely be an ongoing material level of incomplete coverage.</w:t>
      </w:r>
      <w:bookmarkEnd w:id="104"/>
    </w:p>
    <w:p w14:paraId="64C25E47" w14:textId="48958E53" w:rsidR="00662549" w:rsidRPr="00BE2227" w:rsidRDefault="00662549" w:rsidP="00853D6F">
      <w:pPr>
        <w:pStyle w:val="BodyText"/>
        <w:spacing w:line="290" w:lineRule="atLeast"/>
        <w:ind w:left="2268"/>
      </w:pPr>
      <w:r w:rsidRPr="00BE2227">
        <w:t xml:space="preserve">DSB has </w:t>
      </w:r>
      <w:r w:rsidR="00ED3724">
        <w:t xml:space="preserve">also </w:t>
      </w:r>
      <w:r w:rsidRPr="00BE2227">
        <w:t xml:space="preserve">set out its future work </w:t>
      </w:r>
      <w:r w:rsidR="003A3F3A">
        <w:t xml:space="preserve">outcomes </w:t>
      </w:r>
      <w:r w:rsidRPr="00BE2227">
        <w:t>as including:</w:t>
      </w:r>
    </w:p>
    <w:p w14:paraId="30092E72" w14:textId="77777777" w:rsidR="001F0D0F" w:rsidRDefault="001F0D0F" w:rsidP="00853D6F">
      <w:pPr>
        <w:pStyle w:val="subparaa"/>
        <w:numPr>
          <w:ilvl w:val="1"/>
          <w:numId w:val="17"/>
        </w:numPr>
        <w:spacing w:line="290" w:lineRule="atLeast"/>
      </w:pPr>
      <w:r>
        <w:t>finalisation of DSB’s access and usage agreement in April 2022;</w:t>
      </w:r>
    </w:p>
    <w:p w14:paraId="1192FBAE" w14:textId="60E0863A" w:rsidR="003F10BF" w:rsidRDefault="00495178" w:rsidP="00853D6F">
      <w:pPr>
        <w:pStyle w:val="subparaa"/>
        <w:numPr>
          <w:ilvl w:val="1"/>
          <w:numId w:val="17"/>
        </w:numPr>
        <w:spacing w:line="290" w:lineRule="atLeast"/>
      </w:pPr>
      <w:r>
        <w:t>f</w:t>
      </w:r>
      <w:r w:rsidR="003F10BF">
        <w:t xml:space="preserve">inalisation of UPI </w:t>
      </w:r>
      <w:r>
        <w:t>p</w:t>
      </w:r>
      <w:r w:rsidR="003F10BF">
        <w:t xml:space="preserve">roduct </w:t>
      </w:r>
      <w:r>
        <w:t>t</w:t>
      </w:r>
      <w:r w:rsidR="003F10BF">
        <w:t>emplates;</w:t>
      </w:r>
    </w:p>
    <w:p w14:paraId="3BCD32A7" w14:textId="45D47141" w:rsidR="00595920" w:rsidRDefault="00BE2227" w:rsidP="00853D6F">
      <w:pPr>
        <w:pStyle w:val="subparaa"/>
        <w:numPr>
          <w:ilvl w:val="1"/>
          <w:numId w:val="17"/>
        </w:numPr>
        <w:spacing w:line="290" w:lineRule="atLeast"/>
      </w:pPr>
      <w:r>
        <w:t xml:space="preserve">commencement of </w:t>
      </w:r>
      <w:r w:rsidR="003F10BF" w:rsidRPr="003F10BF">
        <w:t xml:space="preserve">UPI </w:t>
      </w:r>
      <w:r w:rsidR="003F10BF">
        <w:t>u</w:t>
      </w:r>
      <w:r w:rsidR="003F10BF" w:rsidRPr="003F10BF">
        <w:t xml:space="preserve">ser </w:t>
      </w:r>
      <w:r w:rsidR="003F10BF">
        <w:t>a</w:t>
      </w:r>
      <w:r w:rsidR="003F10BF" w:rsidRPr="003F10BF">
        <w:t xml:space="preserve">cceptance and </w:t>
      </w:r>
      <w:r w:rsidR="003F10BF">
        <w:t>i</w:t>
      </w:r>
      <w:r w:rsidR="003F10BF" w:rsidRPr="003F10BF">
        <w:t xml:space="preserve">ntegration </w:t>
      </w:r>
      <w:r w:rsidR="003F10BF">
        <w:t>t</w:t>
      </w:r>
      <w:r w:rsidR="003F10BF" w:rsidRPr="003F10BF">
        <w:t xml:space="preserve">esting </w:t>
      </w:r>
      <w:r w:rsidR="003F10BF">
        <w:t>and u</w:t>
      </w:r>
      <w:r w:rsidR="003F10BF" w:rsidRPr="003F10BF">
        <w:t>ser onboarding</w:t>
      </w:r>
      <w:r w:rsidR="00495178">
        <w:t>; and</w:t>
      </w:r>
    </w:p>
    <w:p w14:paraId="50E553CB" w14:textId="4F4FE397" w:rsidR="00595920" w:rsidRDefault="00BE2227" w:rsidP="00853D6F">
      <w:pPr>
        <w:pStyle w:val="subparaa"/>
        <w:numPr>
          <w:ilvl w:val="1"/>
          <w:numId w:val="17"/>
        </w:numPr>
        <w:spacing w:line="290" w:lineRule="atLeast"/>
      </w:pPr>
      <w:r>
        <w:t xml:space="preserve">making </w:t>
      </w:r>
      <w:r w:rsidR="00EB3E25">
        <w:t xml:space="preserve">the </w:t>
      </w:r>
      <w:r w:rsidR="003155F6" w:rsidRPr="003155F6">
        <w:t>UPI system available</w:t>
      </w:r>
      <w:r w:rsidR="00EB3E25">
        <w:t xml:space="preserve"> so that</w:t>
      </w:r>
      <w:r w:rsidR="003155F6">
        <w:t xml:space="preserve"> </w:t>
      </w:r>
      <w:r w:rsidR="003155F6" w:rsidRPr="003155F6">
        <w:t xml:space="preserve">live UPIs </w:t>
      </w:r>
      <w:r w:rsidR="00EB3E25">
        <w:t>can be</w:t>
      </w:r>
      <w:r w:rsidR="003155F6" w:rsidRPr="003155F6">
        <w:t xml:space="preserve"> created and searched</w:t>
      </w:r>
      <w:r>
        <w:t>.</w:t>
      </w:r>
      <w:bookmarkStart w:id="105" w:name="_ASICRef709"/>
    </w:p>
    <w:p w14:paraId="0E32DCAC" w14:textId="082A084A" w:rsidR="00ED3724" w:rsidRDefault="00D67E2C" w:rsidP="00853D6F">
      <w:pPr>
        <w:pStyle w:val="BodyText"/>
        <w:spacing w:line="290" w:lineRule="atLeast"/>
        <w:ind w:left="2268"/>
      </w:pPr>
      <w:r>
        <w:t>DSB has updated its UPI timeline to take into account its expectations of the commencement dates for regulatory requirements to report UPIs from the UPI system in major jurisdictions.</w:t>
      </w:r>
    </w:p>
    <w:p w14:paraId="226593AD" w14:textId="49A4F915" w:rsidR="00E66877" w:rsidRDefault="001F0D0F" w:rsidP="00853D6F">
      <w:pPr>
        <w:pStyle w:val="BodyText"/>
        <w:spacing w:line="290" w:lineRule="atLeast"/>
        <w:ind w:left="2268"/>
      </w:pPr>
      <w:r>
        <w:t xml:space="preserve">On 31 January 2022, the </w:t>
      </w:r>
      <w:r w:rsidR="00E66877">
        <w:t xml:space="preserve">Division of Data of the </w:t>
      </w:r>
      <w:r>
        <w:t xml:space="preserve">CFTC published a </w:t>
      </w:r>
      <w:r w:rsidR="00E66877">
        <w:t xml:space="preserve">temporary </w:t>
      </w:r>
      <w:r w:rsidR="00853D6F">
        <w:t>no</w:t>
      </w:r>
      <w:r w:rsidR="00E66877">
        <w:t>-</w:t>
      </w:r>
      <w:r w:rsidR="00853D6F">
        <w:t xml:space="preserve">action position </w:t>
      </w:r>
      <w:r w:rsidR="00E66877">
        <w:t xml:space="preserve">providing that </w:t>
      </w:r>
      <w:r w:rsidR="008C4796">
        <w:t xml:space="preserve">they </w:t>
      </w:r>
      <w:r w:rsidR="00E66877">
        <w:t>will not</w:t>
      </w:r>
      <w:r w:rsidR="00853D6F">
        <w:t xml:space="preserve"> </w:t>
      </w:r>
      <w:r w:rsidR="00E66877">
        <w:t>recommend that the CFTC commence an enforcement action against an entity for failure to comply with the final CFTC rules before 5 December 2022. The letter also explained that the Division currently expects the use of</w:t>
      </w:r>
      <w:r w:rsidR="00853D6F">
        <w:t xml:space="preserve"> </w:t>
      </w:r>
      <w:r w:rsidR="00E66877">
        <w:t>the ISO 20022 and UPI data standards to be required by the CFTC in Q4 2023.</w:t>
      </w:r>
    </w:p>
    <w:p w14:paraId="6DB8249B" w14:textId="213D7500" w:rsidR="00C849AD" w:rsidRDefault="0031114C" w:rsidP="00853D6F">
      <w:pPr>
        <w:pStyle w:val="BodyText"/>
        <w:spacing w:line="290" w:lineRule="atLeast"/>
        <w:ind w:left="2268"/>
      </w:pPr>
      <w:r>
        <w:t xml:space="preserve">Currently, the relevant regulations of the final ESMA rules have not yet entered into force. </w:t>
      </w:r>
      <w:r w:rsidR="00EC610E">
        <w:t>With the implementing technical standards to apply 18</w:t>
      </w:r>
      <w:r w:rsidR="008C4796">
        <w:t> </w:t>
      </w:r>
      <w:r w:rsidR="00EC610E">
        <w:t xml:space="preserve">months from </w:t>
      </w:r>
      <w:r w:rsidR="004829FA">
        <w:t xml:space="preserve">the date of entry into force, </w:t>
      </w:r>
      <w:r w:rsidR="00CE6EED">
        <w:t xml:space="preserve">the requirement to report a UPI </w:t>
      </w:r>
      <w:r w:rsidR="00C30E46">
        <w:t>under the final ESMA rules</w:t>
      </w:r>
      <w:r w:rsidR="00C849AD">
        <w:t xml:space="preserve"> will not be before late Q3 2023.</w:t>
      </w:r>
    </w:p>
    <w:p w14:paraId="1BD088D6" w14:textId="3E086C44" w:rsidR="00665916" w:rsidRDefault="00C849AD" w:rsidP="00853D6F">
      <w:pPr>
        <w:pStyle w:val="BodyText"/>
        <w:spacing w:line="290" w:lineRule="atLeast"/>
        <w:ind w:left="2268"/>
      </w:pPr>
      <w:r>
        <w:t>O</w:t>
      </w:r>
      <w:r w:rsidR="00F570EF">
        <w:t xml:space="preserve">n 8 February 2022, DSB published an update to its UPI timeline </w:t>
      </w:r>
      <w:r w:rsidR="00BE2227">
        <w:t>resetting its future work</w:t>
      </w:r>
      <w:r w:rsidR="003A3F3A">
        <w:t xml:space="preserve"> o</w:t>
      </w:r>
      <w:r w:rsidR="00863A19">
        <w:t>ut</w:t>
      </w:r>
      <w:r w:rsidR="003A3F3A">
        <w:t>comes</w:t>
      </w:r>
      <w:r w:rsidR="00BE2227">
        <w:t xml:space="preserve"> to be staged relative ‘to </w:t>
      </w:r>
      <w:r w:rsidR="00BE2227" w:rsidRPr="00BE2227">
        <w:t>the first major regulatory reporting mandate</w:t>
      </w:r>
      <w:r w:rsidR="00BE2227">
        <w:t xml:space="preserve">’: see DSB’s </w:t>
      </w:r>
      <w:hyperlink r:id="rId94" w:history="1">
        <w:r w:rsidR="00BE2227" w:rsidRPr="007A5DBB">
          <w:rPr>
            <w:rStyle w:val="Hyperlink"/>
          </w:rPr>
          <w:t xml:space="preserve">UPI </w:t>
        </w:r>
        <w:r w:rsidR="00BE2227">
          <w:rPr>
            <w:rStyle w:val="Hyperlink"/>
          </w:rPr>
          <w:t>i</w:t>
        </w:r>
        <w:r w:rsidR="00BE2227" w:rsidRPr="007A5DBB">
          <w:rPr>
            <w:rStyle w:val="Hyperlink"/>
          </w:rPr>
          <w:t xml:space="preserve">mplementation </w:t>
        </w:r>
        <w:r w:rsidR="00BE2227">
          <w:rPr>
            <w:rStyle w:val="Hyperlink"/>
          </w:rPr>
          <w:t>m</w:t>
        </w:r>
        <w:r w:rsidR="00BE2227" w:rsidRPr="007A5DBB">
          <w:rPr>
            <w:rStyle w:val="Hyperlink"/>
          </w:rPr>
          <w:t>ilestones</w:t>
        </w:r>
      </w:hyperlink>
      <w:r w:rsidR="00BE2227">
        <w:t xml:space="preserve">. </w:t>
      </w:r>
      <w:r w:rsidR="003A3F3A">
        <w:t xml:space="preserve">The UPI production system would be available </w:t>
      </w:r>
      <w:r w:rsidR="005F5C7E">
        <w:t xml:space="preserve">three </w:t>
      </w:r>
      <w:r w:rsidR="003A3F3A">
        <w:t>months ahead of the first major regulatory reporting mandate</w:t>
      </w:r>
      <w:r w:rsidR="00F570EF">
        <w:t xml:space="preserve">, </w:t>
      </w:r>
      <w:r w:rsidR="003A3F3A">
        <w:t>which currently appears to be in late Q3</w:t>
      </w:r>
      <w:r w:rsidR="005F5C7E">
        <w:t> </w:t>
      </w:r>
      <w:r w:rsidR="003A3F3A">
        <w:t>2023 or in Q4 2023.</w:t>
      </w:r>
    </w:p>
    <w:p w14:paraId="6F18B14B" w14:textId="4B97C286" w:rsidR="00D66F32" w:rsidRDefault="00D66F32" w:rsidP="008E3B37">
      <w:pPr>
        <w:pStyle w:val="Heading2"/>
      </w:pPr>
      <w:bookmarkStart w:id="106" w:name="_Toc103174627"/>
      <w:r>
        <w:t xml:space="preserve">ASIC’s </w:t>
      </w:r>
      <w:r w:rsidR="00E452B9">
        <w:t xml:space="preserve">proposed </w:t>
      </w:r>
      <w:r w:rsidR="006B6822">
        <w:t>approach to</w:t>
      </w:r>
      <w:r>
        <w:t xml:space="preserve"> </w:t>
      </w:r>
      <w:r w:rsidR="006B6822">
        <w:t xml:space="preserve">the </w:t>
      </w:r>
      <w:r>
        <w:t xml:space="preserve">UPI </w:t>
      </w:r>
      <w:r w:rsidR="00F76792">
        <w:t xml:space="preserve">system </w:t>
      </w:r>
      <w:r>
        <w:t>in CP</w:t>
      </w:r>
      <w:r w:rsidR="00C4124A">
        <w:t xml:space="preserve"> </w:t>
      </w:r>
      <w:r>
        <w:t>334</w:t>
      </w:r>
      <w:bookmarkEnd w:id="106"/>
    </w:p>
    <w:p w14:paraId="65CFC98C" w14:textId="642E31C9" w:rsidR="00D66F32" w:rsidRDefault="00D66F32" w:rsidP="004B3A2D">
      <w:pPr>
        <w:pStyle w:val="BodyText"/>
        <w:ind w:left="2268"/>
      </w:pPr>
      <w:bookmarkStart w:id="107" w:name="_ASICRef454"/>
      <w:r>
        <w:t xml:space="preserve">At the time of the release of </w:t>
      </w:r>
      <w:hyperlink r:id="rId95" w:history="1">
        <w:r w:rsidR="00C4124A" w:rsidRPr="00495178">
          <w:rPr>
            <w:rStyle w:val="Hyperlink"/>
          </w:rPr>
          <w:t>CP 334</w:t>
        </w:r>
      </w:hyperlink>
      <w:r>
        <w:t xml:space="preserve"> in November</w:t>
      </w:r>
      <w:r w:rsidR="00D475FE">
        <w:t xml:space="preserve"> 2020</w:t>
      </w:r>
      <w:r>
        <w:t xml:space="preserve">, </w:t>
      </w:r>
      <w:r w:rsidRPr="00D66F32">
        <w:t xml:space="preserve">the governance and operational arrangements </w:t>
      </w:r>
      <w:r>
        <w:t xml:space="preserve">for the UPI system had </w:t>
      </w:r>
      <w:r w:rsidRPr="00D66F32">
        <w:t xml:space="preserve">been </w:t>
      </w:r>
      <w:r w:rsidR="00305EEB">
        <w:t xml:space="preserve">substantively </w:t>
      </w:r>
      <w:r w:rsidRPr="00D66F32">
        <w:t>established</w:t>
      </w:r>
      <w:r w:rsidR="00CE5054">
        <w:t>. However,</w:t>
      </w:r>
      <w:r>
        <w:t xml:space="preserve"> </w:t>
      </w:r>
      <w:r w:rsidRPr="00D66F32">
        <w:t xml:space="preserve">the international operationalisation of the UPI </w:t>
      </w:r>
      <w:r>
        <w:t xml:space="preserve">system was not well </w:t>
      </w:r>
      <w:r w:rsidRPr="00D66F32">
        <w:t>developed</w:t>
      </w:r>
      <w:r>
        <w:t>.</w:t>
      </w:r>
      <w:bookmarkEnd w:id="107"/>
    </w:p>
    <w:p w14:paraId="18FE5950" w14:textId="1043558C" w:rsidR="00D66F32" w:rsidRDefault="00FB5CEA" w:rsidP="004B3A2D">
      <w:pPr>
        <w:pStyle w:val="BodyText"/>
        <w:ind w:left="2268"/>
      </w:pPr>
      <w:r>
        <w:t>In CP</w:t>
      </w:r>
      <w:r w:rsidR="00C4124A">
        <w:t xml:space="preserve"> </w:t>
      </w:r>
      <w:r>
        <w:t>334, we noted that o</w:t>
      </w:r>
      <w:r w:rsidR="00D66F32">
        <w:t xml:space="preserve">ne of the UPI features is that it intends to embed information that would otherwise be provided in stand-alone derivative transaction data elements—for example, that the option is a European call option or that the floating rate reference rate is </w:t>
      </w:r>
      <w:r w:rsidR="00B968E7">
        <w:t>3</w:t>
      </w:r>
      <w:r w:rsidR="00D66F32">
        <w:t>-month BBSW.</w:t>
      </w:r>
    </w:p>
    <w:p w14:paraId="50B9D44A" w14:textId="4EFCEE50" w:rsidR="00295A0E" w:rsidRDefault="00FB5CEA" w:rsidP="004B3A2D">
      <w:pPr>
        <w:pStyle w:val="BodyText"/>
        <w:ind w:left="2268"/>
      </w:pPr>
      <w:r>
        <w:t>We said in CP</w:t>
      </w:r>
      <w:r w:rsidR="00C4124A">
        <w:t xml:space="preserve"> </w:t>
      </w:r>
      <w:r>
        <w:t>334 that w</w:t>
      </w:r>
      <w:r w:rsidR="00D66F32">
        <w:t>e envisage that the long-term position under the ASIC Rules would be that the data element set would not duplicate information that is embedded in the UPI</w:t>
      </w:r>
      <w:r>
        <w:t>. Our app</w:t>
      </w:r>
      <w:r w:rsidR="00D66F32">
        <w:t xml:space="preserve">roach in </w:t>
      </w:r>
      <w:r>
        <w:t xml:space="preserve">that </w:t>
      </w:r>
      <w:r w:rsidR="00853D6F">
        <w:t xml:space="preserve">the </w:t>
      </w:r>
      <w:r w:rsidR="00D66F32">
        <w:t xml:space="preserve">first round of consultation </w:t>
      </w:r>
      <w:r>
        <w:t xml:space="preserve">was </w:t>
      </w:r>
      <w:r w:rsidR="00D66F32">
        <w:t>to specify a data element set that</w:t>
      </w:r>
      <w:r w:rsidR="00295A0E">
        <w:t>:</w:t>
      </w:r>
    </w:p>
    <w:p w14:paraId="1955C733" w14:textId="6BA0B73D" w:rsidR="00295A0E" w:rsidRDefault="00D66F32" w:rsidP="00C443A0">
      <w:pPr>
        <w:pStyle w:val="subparaa"/>
        <w:numPr>
          <w:ilvl w:val="1"/>
          <w:numId w:val="17"/>
        </w:numPr>
      </w:pPr>
      <w:r>
        <w:t>assumes that the UPI system will be sufficiently operational by th</w:t>
      </w:r>
      <w:r w:rsidR="00FB5CEA">
        <w:t>e time of our second consultation</w:t>
      </w:r>
      <w:r w:rsidR="00295A0E">
        <w:t>;</w:t>
      </w:r>
      <w:r>
        <w:t xml:space="preserve"> and</w:t>
      </w:r>
    </w:p>
    <w:p w14:paraId="52D69199" w14:textId="0FA28105" w:rsidR="00D66F32" w:rsidRDefault="00FB5CEA" w:rsidP="00C443A0">
      <w:pPr>
        <w:pStyle w:val="subparaa"/>
        <w:numPr>
          <w:ilvl w:val="1"/>
          <w:numId w:val="17"/>
        </w:numPr>
      </w:pPr>
      <w:r>
        <w:t xml:space="preserve">would </w:t>
      </w:r>
      <w:r w:rsidR="00D66F32">
        <w:t>not require additional data elements for information that is otherwise embedded within the UPI.</w:t>
      </w:r>
    </w:p>
    <w:p w14:paraId="347A2F60" w14:textId="02358A05" w:rsidR="00295A0E" w:rsidRDefault="003452E2" w:rsidP="004B3A2D">
      <w:pPr>
        <w:pStyle w:val="BodyText"/>
        <w:ind w:left="2268"/>
      </w:pPr>
      <w:r w:rsidRPr="003452E2">
        <w:t xml:space="preserve">However, </w:t>
      </w:r>
      <w:r>
        <w:t xml:space="preserve">we also said that, </w:t>
      </w:r>
      <w:r w:rsidRPr="003452E2">
        <w:t xml:space="preserve">in the event that the UPI system </w:t>
      </w:r>
      <w:r w:rsidR="00B04560">
        <w:t xml:space="preserve">was </w:t>
      </w:r>
      <w:r w:rsidRPr="003452E2">
        <w:t>not sufficiently operational by that time, we plann</w:t>
      </w:r>
      <w:r>
        <w:t>ed</w:t>
      </w:r>
      <w:r w:rsidRPr="003452E2">
        <w:t xml:space="preserve"> to</w:t>
      </w:r>
      <w:r w:rsidR="00295A0E">
        <w:t>:</w:t>
      </w:r>
    </w:p>
    <w:p w14:paraId="50230CCB" w14:textId="683C58FB" w:rsidR="00295A0E" w:rsidRDefault="003452E2" w:rsidP="00C443A0">
      <w:pPr>
        <w:pStyle w:val="subparaa"/>
        <w:numPr>
          <w:ilvl w:val="1"/>
          <w:numId w:val="17"/>
        </w:numPr>
      </w:pPr>
      <w:r w:rsidRPr="003452E2">
        <w:t>adopt a conservative approach of ensuring that the additional data elements are specified in the ASIC Rules</w:t>
      </w:r>
      <w:r w:rsidR="00295A0E">
        <w:t>;</w:t>
      </w:r>
      <w:r w:rsidRPr="003452E2">
        <w:t xml:space="preserve"> and </w:t>
      </w:r>
    </w:p>
    <w:p w14:paraId="0575D9ED" w14:textId="71003BB8" w:rsidR="003452E2" w:rsidRDefault="003452E2" w:rsidP="00C443A0">
      <w:pPr>
        <w:pStyle w:val="subparaa"/>
        <w:numPr>
          <w:ilvl w:val="1"/>
          <w:numId w:val="17"/>
        </w:numPr>
      </w:pPr>
      <w:r w:rsidRPr="003452E2">
        <w:t>re-evaluate their removal when they can be substituted by UPI-embedded information.</w:t>
      </w:r>
    </w:p>
    <w:p w14:paraId="30FFE92C" w14:textId="2ABD3DC6" w:rsidR="000A0985" w:rsidRPr="003452E2" w:rsidRDefault="000A0985" w:rsidP="00B04560">
      <w:pPr>
        <w:pStyle w:val="BodyText"/>
        <w:ind w:left="2268"/>
      </w:pPr>
      <w:r>
        <w:t xml:space="preserve">In Section E of CP 334, </w:t>
      </w:r>
      <w:r w:rsidR="00741D0E">
        <w:t>we proposed to include the UPI as a reportable data element. W</w:t>
      </w:r>
      <w:r>
        <w:t>e also identified data elements, such as the maturity date or tenor of the interest rate swap that underlies a swaption, that may need to continue to be reported as separate data element</w:t>
      </w:r>
      <w:r w:rsidR="00B04560">
        <w:t>s</w:t>
      </w:r>
      <w:r>
        <w:t xml:space="preserve"> if they are not embedded as reference data element</w:t>
      </w:r>
      <w:r w:rsidR="00B04560">
        <w:t>s</w:t>
      </w:r>
      <w:r>
        <w:t xml:space="preserve"> in the UPI. </w:t>
      </w:r>
    </w:p>
    <w:p w14:paraId="2E51AE3A" w14:textId="02C0197B" w:rsidR="00D66F32" w:rsidRDefault="00783A27">
      <w:pPr>
        <w:pStyle w:val="Heading2"/>
      </w:pPr>
      <w:bookmarkStart w:id="108" w:name="_Toc103174628"/>
      <w:r>
        <w:t>F</w:t>
      </w:r>
      <w:r w:rsidR="00DB1120">
        <w:t xml:space="preserve">eedback </w:t>
      </w:r>
      <w:r>
        <w:t>on our proposed approach i</w:t>
      </w:r>
      <w:r w:rsidR="00DB1120">
        <w:t>n</w:t>
      </w:r>
      <w:r w:rsidR="00D66F32">
        <w:t xml:space="preserve"> CP</w:t>
      </w:r>
      <w:r w:rsidR="00C4124A">
        <w:t xml:space="preserve"> </w:t>
      </w:r>
      <w:r w:rsidR="00D66F32">
        <w:t>33</w:t>
      </w:r>
      <w:r w:rsidR="00D66F32" w:rsidRPr="00553DDF">
        <w:t>4</w:t>
      </w:r>
      <w:bookmarkEnd w:id="108"/>
    </w:p>
    <w:p w14:paraId="56DC0264" w14:textId="7787CC84" w:rsidR="00DB25EA" w:rsidRDefault="003452E2" w:rsidP="004B3A2D">
      <w:pPr>
        <w:pStyle w:val="BodyText"/>
        <w:ind w:left="2268"/>
      </w:pPr>
      <w:r>
        <w:t xml:space="preserve">We did not specifically ask for feedback on </w:t>
      </w:r>
      <w:r w:rsidR="00BE5102">
        <w:t xml:space="preserve">our approach </w:t>
      </w:r>
      <w:r w:rsidR="00F13E85">
        <w:t xml:space="preserve">to the UPI system, </w:t>
      </w:r>
      <w:r>
        <w:t xml:space="preserve">but </w:t>
      </w:r>
      <w:r w:rsidR="00807B2F">
        <w:t>one respondent</w:t>
      </w:r>
      <w:r w:rsidR="00DB25EA">
        <w:t xml:space="preserve"> expressed support for </w:t>
      </w:r>
      <w:r w:rsidR="00F13E85">
        <w:t>our</w:t>
      </w:r>
      <w:r w:rsidR="00DB25EA">
        <w:t xml:space="preserve"> approach.</w:t>
      </w:r>
    </w:p>
    <w:p w14:paraId="5E3771F1" w14:textId="2FBDE2F5" w:rsidR="003452E2" w:rsidRDefault="00807B2F" w:rsidP="004B3A2D">
      <w:pPr>
        <w:pStyle w:val="BodyText"/>
        <w:ind w:left="2268"/>
      </w:pPr>
      <w:r>
        <w:t>Another</w:t>
      </w:r>
      <w:r w:rsidR="00DB25EA">
        <w:t xml:space="preserve"> respondent noted that the ISDA </w:t>
      </w:r>
      <w:r w:rsidR="00C4124A">
        <w:t>t</w:t>
      </w:r>
      <w:r w:rsidR="00DB25EA">
        <w:t>axonomy specifically identifies a CFD product in the equities asset class</w:t>
      </w:r>
      <w:r w:rsidR="000D365D">
        <w:t>,</w:t>
      </w:r>
      <w:r w:rsidR="00DB25EA">
        <w:t xml:space="preserve"> but </w:t>
      </w:r>
      <w:r w:rsidR="000D365D">
        <w:t xml:space="preserve">it </w:t>
      </w:r>
      <w:r w:rsidR="00DB25EA">
        <w:t>does not specifically identify a CFD product in the foreign exchange and commodity asset classes</w:t>
      </w:r>
      <w:r w:rsidR="00234317">
        <w:t>. They noted</w:t>
      </w:r>
      <w:r w:rsidR="00DB25EA">
        <w:t xml:space="preserve"> that ASIC’s guidance on product identifiers for CFD</w:t>
      </w:r>
      <w:r w:rsidR="00234317">
        <w:t>s</w:t>
      </w:r>
      <w:r w:rsidR="00DB25EA">
        <w:t xml:space="preserve"> is not clear.</w:t>
      </w:r>
    </w:p>
    <w:p w14:paraId="60CE5DA4" w14:textId="74AB9493" w:rsidR="000C5320" w:rsidRDefault="000C5320" w:rsidP="000A4612">
      <w:pPr>
        <w:pStyle w:val="Heading3"/>
      </w:pPr>
      <w:r>
        <w:t>Our response to developments</w:t>
      </w:r>
    </w:p>
    <w:p w14:paraId="0601DDE5" w14:textId="5B38D7FD" w:rsidR="000C5320" w:rsidRDefault="000C5320" w:rsidP="00CB61FB">
      <w:pPr>
        <w:pStyle w:val="BodyText"/>
        <w:numPr>
          <w:ilvl w:val="0"/>
          <w:numId w:val="17"/>
        </w:numPr>
        <w:spacing w:line="310" w:lineRule="atLeast"/>
      </w:pPr>
      <w:bookmarkStart w:id="109" w:name="_ASICRef149"/>
      <w:bookmarkStart w:id="110" w:name="_ASICRef928"/>
      <w:bookmarkStart w:id="111" w:name="_ASICRef89"/>
      <w:bookmarkStart w:id="112" w:name="_ASICRef704"/>
      <w:bookmarkStart w:id="113" w:name="_ASICRef757"/>
      <w:r>
        <w:t xml:space="preserve">With the significant developments in the UPI system since the release of </w:t>
      </w:r>
      <w:hyperlink r:id="rId96" w:history="1">
        <w:r w:rsidRPr="00495178">
          <w:rPr>
            <w:rStyle w:val="Hyperlink"/>
          </w:rPr>
          <w:t>CP</w:t>
        </w:r>
        <w:r>
          <w:rPr>
            <w:rStyle w:val="Hyperlink"/>
          </w:rPr>
          <w:t> </w:t>
        </w:r>
        <w:r w:rsidRPr="00495178">
          <w:rPr>
            <w:rStyle w:val="Hyperlink"/>
          </w:rPr>
          <w:t>334</w:t>
        </w:r>
      </w:hyperlink>
      <w:r>
        <w:t xml:space="preserve"> in November 2020, we are now confident that the UPI system will be operationalised as intended</w:t>
      </w:r>
      <w:r w:rsidR="00D67E2C">
        <w:t>.</w:t>
      </w:r>
      <w:bookmarkEnd w:id="109"/>
      <w:bookmarkEnd w:id="110"/>
      <w:bookmarkEnd w:id="111"/>
      <w:bookmarkEnd w:id="112"/>
      <w:bookmarkEnd w:id="113"/>
    </w:p>
    <w:p w14:paraId="29EEB96C" w14:textId="55BB4A58" w:rsidR="000C5320" w:rsidRDefault="000C5320" w:rsidP="00CB61FB">
      <w:pPr>
        <w:pStyle w:val="BodyText"/>
        <w:numPr>
          <w:ilvl w:val="0"/>
          <w:numId w:val="17"/>
        </w:numPr>
        <w:spacing w:line="310" w:lineRule="atLeast"/>
      </w:pPr>
      <w:r>
        <w:t>Consequently, we have decided to implement our proposal in CP 334 that the data element ‘Unique product identifier’ must be reported as a UPI from the UPI system</w:t>
      </w:r>
      <w:r w:rsidR="00186345">
        <w:t xml:space="preserve"> under the draft amended ASIC Rules from 1 April 2024</w:t>
      </w:r>
      <w:r>
        <w:t xml:space="preserve">. We will not require data elements </w:t>
      </w:r>
      <w:r w:rsidR="00A8300F">
        <w:t>to be reported where the</w:t>
      </w:r>
      <w:r>
        <w:t xml:space="preserve"> information is embedded in the UPI.</w:t>
      </w:r>
    </w:p>
    <w:p w14:paraId="6577D8CD" w14:textId="4710614C" w:rsidR="00D17912" w:rsidRDefault="00186345" w:rsidP="00CB61FB">
      <w:pPr>
        <w:pStyle w:val="BodyText"/>
        <w:numPr>
          <w:ilvl w:val="0"/>
          <w:numId w:val="17"/>
        </w:numPr>
        <w:spacing w:line="310" w:lineRule="atLeast"/>
      </w:pPr>
      <w:r>
        <w:t xml:space="preserve">We are now proposing the </w:t>
      </w:r>
      <w:r w:rsidR="00951B73">
        <w:t xml:space="preserve">separate data elements </w:t>
      </w:r>
      <w:r>
        <w:t xml:space="preserve">that </w:t>
      </w:r>
      <w:r w:rsidR="00951B73">
        <w:t xml:space="preserve">would </w:t>
      </w:r>
      <w:r w:rsidR="002D7235">
        <w:t xml:space="preserve">need </w:t>
      </w:r>
      <w:r w:rsidR="00951B73">
        <w:t xml:space="preserve">to be reported where they are not reference data elements embedded in the UPI. This includes ‘Maturity date of the underlier’ for interest rate swaptions, as foreshadowed in CP 334, and the additional data elements subsequently identified as not </w:t>
      </w:r>
      <w:r w:rsidR="00D17912">
        <w:t xml:space="preserve">to be </w:t>
      </w:r>
      <w:r w:rsidR="00951B73">
        <w:t>embedded in the UPI</w:t>
      </w:r>
      <w:r w:rsidR="00D17912">
        <w:t>:</w:t>
      </w:r>
    </w:p>
    <w:p w14:paraId="5892B4E9" w14:textId="77777777" w:rsidR="00D17912" w:rsidRDefault="00D17912" w:rsidP="00CB61FB">
      <w:pPr>
        <w:pStyle w:val="subparaa"/>
        <w:numPr>
          <w:ilvl w:val="1"/>
          <w:numId w:val="17"/>
        </w:numPr>
        <w:spacing w:line="310" w:lineRule="atLeast"/>
      </w:pPr>
      <w:r>
        <w:t>information about the applicable interest rate floating rate reference rate that underlies one of the legs in, for example, an equity swap;</w:t>
      </w:r>
    </w:p>
    <w:p w14:paraId="0AFA9C02" w14:textId="1DABECA2" w:rsidR="00892233" w:rsidRDefault="00D17912" w:rsidP="00CB61FB">
      <w:pPr>
        <w:pStyle w:val="subparaa"/>
        <w:numPr>
          <w:ilvl w:val="1"/>
          <w:numId w:val="17"/>
        </w:numPr>
        <w:spacing w:line="310" w:lineRule="atLeast"/>
      </w:pPr>
      <w:r>
        <w:t>the underlier identifier and the underlier identifier source where these data elements are not explicitly supported by the UPI system.</w:t>
      </w:r>
    </w:p>
    <w:p w14:paraId="3044968A" w14:textId="46ED83D5" w:rsidR="00BF78E8" w:rsidRDefault="00BF78E8" w:rsidP="00CB61FB">
      <w:pPr>
        <w:pStyle w:val="BodyText"/>
        <w:spacing w:line="310" w:lineRule="atLeast"/>
        <w:ind w:left="2268"/>
      </w:pPr>
      <w:r>
        <w:t>Our revised proposals are summarised in</w:t>
      </w:r>
      <w:r w:rsidR="009A1596">
        <w:t xml:space="preserve"> </w:t>
      </w:r>
      <w:r w:rsidR="009A1596">
        <w:fldChar w:fldCharType="begin" w:fldLock="1"/>
      </w:r>
      <w:r w:rsidR="009A1596">
        <w:instrText xml:space="preserve"> REF _Ref94887733 \h </w:instrText>
      </w:r>
      <w:r w:rsidR="009A1596">
        <w:fldChar w:fldCharType="separate"/>
      </w:r>
      <w:r w:rsidR="00853A2A">
        <w:t xml:space="preserve">Table </w:t>
      </w:r>
      <w:r w:rsidR="00853A2A">
        <w:rPr>
          <w:noProof/>
        </w:rPr>
        <w:t>16</w:t>
      </w:r>
      <w:r w:rsidR="009A1596">
        <w:fldChar w:fldCharType="end"/>
      </w:r>
      <w:r w:rsidR="005851D0">
        <w:t>.</w:t>
      </w:r>
    </w:p>
    <w:p w14:paraId="524FE766" w14:textId="2C04A7C3" w:rsidR="00BF78E8" w:rsidRDefault="00BF78E8" w:rsidP="00BF78E8">
      <w:pPr>
        <w:pStyle w:val="tabletitleindented"/>
      </w:pPr>
      <w:bookmarkStart w:id="114" w:name="_Ref94887733"/>
      <w:r>
        <w:t xml:space="preserve">Table </w:t>
      </w:r>
      <w:fldSimple w:instr=" SEQ Table \* ARABIC ">
        <w:r w:rsidR="006679BA">
          <w:rPr>
            <w:noProof/>
          </w:rPr>
          <w:t>16</w:t>
        </w:r>
      </w:fldSimple>
      <w:bookmarkEnd w:id="114"/>
      <w:r>
        <w:t>:</w:t>
      </w:r>
      <w:r>
        <w:tab/>
        <w:t>Summary of ASIC</w:t>
      </w:r>
      <w:r w:rsidR="00433F47">
        <w:t>’s</w:t>
      </w:r>
      <w:r>
        <w:t xml:space="preserve"> revised proposals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1701"/>
        <w:gridCol w:w="5103"/>
      </w:tblGrid>
      <w:tr w:rsidR="00BF78E8" w:rsidRPr="000540E1" w14:paraId="17C8AE8C" w14:textId="77777777" w:rsidTr="009E722B">
        <w:trPr>
          <w:cantSplit/>
          <w:trHeight w:val="908"/>
        </w:trPr>
        <w:tc>
          <w:tcPr>
            <w:tcW w:w="1701" w:type="dxa"/>
            <w:shd w:val="clear" w:color="auto" w:fill="C2E3FA"/>
          </w:tcPr>
          <w:p w14:paraId="5E6D27E4" w14:textId="77777777" w:rsidR="00BF78E8" w:rsidRPr="000540E1" w:rsidRDefault="00BF78E8" w:rsidP="00CB61FB">
            <w:pPr>
              <w:pStyle w:val="tablehead"/>
              <w:keepNext w:val="0"/>
              <w:spacing w:line="250" w:lineRule="atLeast"/>
            </w:pPr>
            <w:r>
              <w:t>Decisions for the draft remade ASIC Rules</w:t>
            </w:r>
          </w:p>
        </w:tc>
        <w:tc>
          <w:tcPr>
            <w:tcW w:w="5103" w:type="dxa"/>
          </w:tcPr>
          <w:p w14:paraId="3B17B6B2" w14:textId="5A7181A4" w:rsidR="00BF78E8" w:rsidRPr="000540E1" w:rsidRDefault="002D7235" w:rsidP="00CB61FB">
            <w:pPr>
              <w:pStyle w:val="tbltext"/>
              <w:spacing w:line="250" w:lineRule="atLeast"/>
            </w:pPr>
            <w:r>
              <w:t>Not applicable</w:t>
            </w:r>
            <w:r>
              <w:rPr>
                <w:rFonts w:ascii="Calibri" w:hAnsi="Calibri"/>
              </w:rPr>
              <w:t>—</w:t>
            </w:r>
            <w:r w:rsidR="00433F47">
              <w:t>no change to the reporting of a unique product identifier and data elements not embedded in the reported unique product identifier</w:t>
            </w:r>
          </w:p>
        </w:tc>
      </w:tr>
      <w:tr w:rsidR="00BF78E8" w:rsidRPr="000540E1" w14:paraId="6BDDFEAE" w14:textId="77777777" w:rsidTr="009E722B">
        <w:trPr>
          <w:cantSplit/>
        </w:trPr>
        <w:tc>
          <w:tcPr>
            <w:tcW w:w="1701" w:type="dxa"/>
            <w:shd w:val="clear" w:color="auto" w:fill="C2E3FA"/>
          </w:tcPr>
          <w:p w14:paraId="08DCE936" w14:textId="77777777" w:rsidR="00BF78E8" w:rsidRPr="000540E1" w:rsidRDefault="00BF78E8" w:rsidP="00CB61FB">
            <w:pPr>
              <w:pStyle w:val="tablehead"/>
              <w:keepNext w:val="0"/>
              <w:spacing w:line="250" w:lineRule="atLeast"/>
            </w:pPr>
            <w:r>
              <w:t>Proposals for the draft remade ASIC Rules</w:t>
            </w:r>
          </w:p>
        </w:tc>
        <w:tc>
          <w:tcPr>
            <w:tcW w:w="5103" w:type="dxa"/>
          </w:tcPr>
          <w:p w14:paraId="33F57D8B" w14:textId="4F875309" w:rsidR="00BF78E8" w:rsidRPr="008F4463" w:rsidRDefault="002D7235" w:rsidP="00CB61FB">
            <w:pPr>
              <w:pStyle w:val="tbltext"/>
              <w:spacing w:line="250" w:lineRule="atLeast"/>
            </w:pPr>
            <w:r>
              <w:t>Not applicable</w:t>
            </w:r>
          </w:p>
        </w:tc>
      </w:tr>
      <w:tr w:rsidR="00BF78E8" w:rsidRPr="000540E1" w14:paraId="7A90AD70" w14:textId="77777777" w:rsidTr="009E722B">
        <w:trPr>
          <w:cantSplit/>
        </w:trPr>
        <w:tc>
          <w:tcPr>
            <w:tcW w:w="1701" w:type="dxa"/>
            <w:shd w:val="clear" w:color="auto" w:fill="C2E3FA"/>
          </w:tcPr>
          <w:p w14:paraId="3E805A76" w14:textId="77777777" w:rsidR="00BF78E8" w:rsidRPr="000540E1" w:rsidRDefault="00BF78E8" w:rsidP="00CB61FB">
            <w:pPr>
              <w:pStyle w:val="tablehead"/>
              <w:keepNext w:val="0"/>
              <w:spacing w:line="250" w:lineRule="atLeast"/>
            </w:pPr>
            <w:r>
              <w:t>Decisions for the draft amended ASIC Rules</w:t>
            </w:r>
          </w:p>
        </w:tc>
        <w:tc>
          <w:tcPr>
            <w:tcW w:w="5103" w:type="dxa"/>
          </w:tcPr>
          <w:p w14:paraId="4DFF05EA" w14:textId="77777777" w:rsidR="00BF78E8" w:rsidRDefault="00433F47" w:rsidP="00CB61FB">
            <w:pPr>
              <w:pStyle w:val="tbltext"/>
              <w:spacing w:line="250" w:lineRule="atLeast"/>
            </w:pPr>
            <w:r>
              <w:t>Require reporting of a UPI from the UPI system</w:t>
            </w:r>
          </w:p>
          <w:p w14:paraId="5D1B4771" w14:textId="1A43AA3F" w:rsidR="00433F47" w:rsidRPr="000540E1" w:rsidRDefault="00433F47" w:rsidP="00CB61FB">
            <w:pPr>
              <w:pStyle w:val="tbltext"/>
              <w:spacing w:line="250" w:lineRule="atLeast"/>
            </w:pPr>
            <w:r>
              <w:t>Remove the data elements that are embedded in a UPI</w:t>
            </w:r>
          </w:p>
        </w:tc>
      </w:tr>
      <w:tr w:rsidR="00BF78E8" w:rsidRPr="000540E1" w14:paraId="281FF412" w14:textId="77777777" w:rsidTr="009E722B">
        <w:trPr>
          <w:cantSplit/>
        </w:trPr>
        <w:tc>
          <w:tcPr>
            <w:tcW w:w="1701" w:type="dxa"/>
            <w:shd w:val="clear" w:color="auto" w:fill="C2E3FA"/>
          </w:tcPr>
          <w:p w14:paraId="1B5A9767" w14:textId="77777777" w:rsidR="00BF78E8" w:rsidRPr="000540E1" w:rsidRDefault="00BF78E8" w:rsidP="00CB61FB">
            <w:pPr>
              <w:pStyle w:val="tablehead"/>
              <w:keepNext w:val="0"/>
              <w:spacing w:line="250" w:lineRule="atLeast"/>
            </w:pPr>
            <w:r>
              <w:t>Proposals for the draft amended ASIC Rules</w:t>
            </w:r>
          </w:p>
        </w:tc>
        <w:tc>
          <w:tcPr>
            <w:tcW w:w="5103" w:type="dxa"/>
          </w:tcPr>
          <w:p w14:paraId="64686543" w14:textId="56502DD2" w:rsidR="00BF78E8" w:rsidRDefault="00875191" w:rsidP="00CB61FB">
            <w:pPr>
              <w:pStyle w:val="tbltext"/>
              <w:spacing w:line="250" w:lineRule="atLeast"/>
            </w:pPr>
            <w:r>
              <w:t xml:space="preserve">Retain the data elements </w:t>
            </w:r>
            <w:r w:rsidR="0030042F">
              <w:t>whose information is</w:t>
            </w:r>
            <w:r>
              <w:t xml:space="preserve"> not embedded in a UPI</w:t>
            </w:r>
          </w:p>
          <w:p w14:paraId="7D6F0BAD" w14:textId="22289F8C" w:rsidR="0030042F" w:rsidRPr="000540E1" w:rsidRDefault="0030042F" w:rsidP="00CB61FB">
            <w:pPr>
              <w:pStyle w:val="tbltext"/>
              <w:spacing w:line="250" w:lineRule="atLeast"/>
            </w:pPr>
            <w:r>
              <w:t xml:space="preserve">Add </w:t>
            </w:r>
            <w:r w:rsidR="00094024">
              <w:t xml:space="preserve">the </w:t>
            </w:r>
            <w:r>
              <w:t xml:space="preserve">related data elements </w:t>
            </w:r>
            <w:r w:rsidR="00094024">
              <w:t>regarding floating rate reset frequency and underlier ID source</w:t>
            </w:r>
          </w:p>
        </w:tc>
      </w:tr>
      <w:tr w:rsidR="00BF78E8" w:rsidRPr="000540E1" w14:paraId="7760597A" w14:textId="77777777" w:rsidTr="009E722B">
        <w:trPr>
          <w:cantSplit/>
        </w:trPr>
        <w:tc>
          <w:tcPr>
            <w:tcW w:w="1701" w:type="dxa"/>
            <w:shd w:val="clear" w:color="auto" w:fill="C2E3FA"/>
          </w:tcPr>
          <w:p w14:paraId="6CE312B4" w14:textId="77777777" w:rsidR="00BF78E8" w:rsidRDefault="00BF78E8" w:rsidP="00CB61FB">
            <w:pPr>
              <w:pStyle w:val="tablehead"/>
              <w:keepNext w:val="0"/>
              <w:spacing w:line="250" w:lineRule="atLeast"/>
            </w:pPr>
            <w:r>
              <w:t>Matters deferred to the third consultation</w:t>
            </w:r>
          </w:p>
        </w:tc>
        <w:tc>
          <w:tcPr>
            <w:tcW w:w="5103" w:type="dxa"/>
          </w:tcPr>
          <w:p w14:paraId="5E517E1F" w14:textId="15894DAC" w:rsidR="00BF78E8" w:rsidRDefault="002D7235" w:rsidP="00CB61FB">
            <w:pPr>
              <w:pStyle w:val="tbltext"/>
              <w:spacing w:line="250" w:lineRule="atLeast"/>
            </w:pPr>
            <w:r>
              <w:t>Not applicable</w:t>
            </w:r>
          </w:p>
        </w:tc>
      </w:tr>
    </w:tbl>
    <w:p w14:paraId="7B752ECC" w14:textId="3382C4CD" w:rsidR="00D66F32" w:rsidRDefault="00D66F32" w:rsidP="008E3B37">
      <w:pPr>
        <w:pStyle w:val="Heading2"/>
      </w:pPr>
      <w:bookmarkStart w:id="115" w:name="_Toc103174629"/>
      <w:r>
        <w:t xml:space="preserve">ASIC’s </w:t>
      </w:r>
      <w:r w:rsidR="009A48DB">
        <w:t xml:space="preserve">revised </w:t>
      </w:r>
      <w:r>
        <w:t>proposal</w:t>
      </w:r>
      <w:r w:rsidR="00013469">
        <w:t>s</w:t>
      </w:r>
      <w:bookmarkEnd w:id="115"/>
    </w:p>
    <w:p w14:paraId="6132C8D4" w14:textId="77777777" w:rsidR="00B50323" w:rsidRDefault="00B50323" w:rsidP="00B50323">
      <w:pPr>
        <w:pStyle w:val="Proposalhead"/>
      </w:pPr>
      <w:r>
        <w:t>Proposal</w:t>
      </w:r>
    </w:p>
    <w:p w14:paraId="744F479A" w14:textId="02AE2C93" w:rsidR="00B50323" w:rsidRDefault="00B50323" w:rsidP="00B50323">
      <w:pPr>
        <w:pStyle w:val="Proposaltext"/>
      </w:pPr>
      <w:r>
        <w:t xml:space="preserve">We propose to include in the </w:t>
      </w:r>
      <w:r w:rsidR="00864F2E">
        <w:t xml:space="preserve">draft </w:t>
      </w:r>
      <w:r>
        <w:t>remade ASIC Rules the non-UPI data elements set o</w:t>
      </w:r>
      <w:r w:rsidRPr="00CE2C2C">
        <w:t xml:space="preserve">ut in </w:t>
      </w:r>
      <w:r w:rsidR="004123D4">
        <w:fldChar w:fldCharType="begin" w:fldLock="1"/>
      </w:r>
      <w:r w:rsidR="004123D4">
        <w:instrText xml:space="preserve"> REF _Ref97535970 \h </w:instrText>
      </w:r>
      <w:r w:rsidR="004123D4">
        <w:fldChar w:fldCharType="separate"/>
      </w:r>
      <w:r w:rsidR="00853A2A">
        <w:t xml:space="preserve">Table </w:t>
      </w:r>
      <w:r w:rsidR="00853A2A">
        <w:rPr>
          <w:noProof/>
        </w:rPr>
        <w:t>17</w:t>
      </w:r>
      <w:r w:rsidR="004123D4">
        <w:fldChar w:fldCharType="end"/>
      </w:r>
      <w:r w:rsidR="00CD31C4">
        <w:t>:</w:t>
      </w:r>
      <w:r w:rsidRPr="00CE2C2C">
        <w:t xml:space="preserve"> </w:t>
      </w:r>
      <w:r w:rsidR="00FA0519">
        <w:t xml:space="preserve">see </w:t>
      </w:r>
      <w:r w:rsidRPr="00CE2C2C">
        <w:t>Attachment</w:t>
      </w:r>
      <w:r w:rsidR="00FA0519">
        <w:t> </w:t>
      </w:r>
      <w:r w:rsidRPr="00CE2C2C">
        <w:t>1</w:t>
      </w:r>
      <w:r>
        <w:t>.</w:t>
      </w:r>
    </w:p>
    <w:p w14:paraId="207ACFF0" w14:textId="77777777" w:rsidR="00B50323" w:rsidRDefault="00B50323" w:rsidP="00B50323">
      <w:pPr>
        <w:pStyle w:val="Feedbackhead"/>
      </w:pPr>
      <w:r>
        <w:t>Your feedback</w:t>
      </w:r>
    </w:p>
    <w:p w14:paraId="228800BB" w14:textId="77777777" w:rsidR="00B50323" w:rsidRDefault="00B50323" w:rsidP="00B50323">
      <w:pPr>
        <w:pStyle w:val="Feedbackquestion"/>
      </w:pPr>
      <w:r>
        <w:t>Do you agree with this proposal? In your response, please give detailed reasons for your answer.</w:t>
      </w:r>
    </w:p>
    <w:p w14:paraId="5690D7E7" w14:textId="239927EF" w:rsidR="00B50323" w:rsidRDefault="00B50323" w:rsidP="00B50323">
      <w:pPr>
        <w:pStyle w:val="Proposalnote"/>
      </w:pPr>
      <w:r>
        <w:t xml:space="preserve">Note: In </w:t>
      </w:r>
      <w:r w:rsidR="00620B1B">
        <w:t xml:space="preserve">Section </w:t>
      </w:r>
      <w:r w:rsidR="00620B1B">
        <w:fldChar w:fldCharType="begin" w:fldLock="1"/>
      </w:r>
      <w:r w:rsidR="00620B1B">
        <w:instrText xml:space="preserve"> REF _ASICRef301 \r \h </w:instrText>
      </w:r>
      <w:r w:rsidR="00620B1B">
        <w:fldChar w:fldCharType="separate"/>
      </w:r>
      <w:r w:rsidR="00853A2A">
        <w:t>E</w:t>
      </w:r>
      <w:r w:rsidR="00620B1B">
        <w:fldChar w:fldCharType="end"/>
      </w:r>
      <w:r>
        <w:t>, we are seeking feedback on the definitions, formats and allowable values of these data elements, and any interpretation or implementation issues.</w:t>
      </w:r>
    </w:p>
    <w:p w14:paraId="5EC44DBD" w14:textId="39C17389" w:rsidR="00875191" w:rsidRDefault="00875191" w:rsidP="00875191">
      <w:pPr>
        <w:pStyle w:val="Heading3"/>
      </w:pPr>
      <w:r>
        <w:t>Rationale</w:t>
      </w:r>
    </w:p>
    <w:p w14:paraId="6E91B691" w14:textId="1CA7F222" w:rsidR="00B50323" w:rsidRDefault="00B95616" w:rsidP="009A1596">
      <w:pPr>
        <w:pStyle w:val="BodyText"/>
        <w:ind w:left="2268"/>
      </w:pPr>
      <w:r>
        <w:t xml:space="preserve">As a consequence of the developments in the UPI system referred to in paragraphs </w:t>
      </w:r>
      <w:r>
        <w:fldChar w:fldCharType="begin" w:fldLock="1"/>
      </w:r>
      <w:r>
        <w:instrText xml:space="preserve"> REF _ASICRef774 \w \h </w:instrText>
      </w:r>
      <w:r>
        <w:fldChar w:fldCharType="separate"/>
      </w:r>
      <w:r w:rsidR="00853A2A">
        <w:t>217</w:t>
      </w:r>
      <w:r>
        <w:fldChar w:fldCharType="end"/>
      </w:r>
      <w:r>
        <w:t>–</w:t>
      </w:r>
      <w:r>
        <w:fldChar w:fldCharType="begin" w:fldLock="1"/>
      </w:r>
      <w:r>
        <w:instrText xml:space="preserve"> REF _ASICRef14 \w \h </w:instrText>
      </w:r>
      <w:r>
        <w:fldChar w:fldCharType="separate"/>
      </w:r>
      <w:r w:rsidR="00853A2A">
        <w:t>222</w:t>
      </w:r>
      <w:r>
        <w:fldChar w:fldCharType="end"/>
      </w:r>
      <w:r w:rsidR="004E2BEE">
        <w:t xml:space="preserve">, we are proposing to retain </w:t>
      </w:r>
      <w:r w:rsidR="0030042F">
        <w:t>the data elements that provide information that is not embedded in a UPI</w:t>
      </w:r>
      <w:r w:rsidR="00817EC0">
        <w:t>. We are also proposing to add related data elements</w:t>
      </w:r>
      <w:r w:rsidR="00B50323">
        <w:t xml:space="preserve"> that more fully describe the retained data elements</w:t>
      </w:r>
      <w:r w:rsidR="00243ADE">
        <w:t>, consistent with similar data elements in the draft amended ASIC Rules.</w:t>
      </w:r>
    </w:p>
    <w:p w14:paraId="344276CB" w14:textId="50063883" w:rsidR="00E54943" w:rsidRDefault="005F328E" w:rsidP="009A1596">
      <w:pPr>
        <w:pStyle w:val="BodyText"/>
        <w:ind w:left="2268"/>
      </w:pPr>
      <w:r>
        <w:fldChar w:fldCharType="begin" w:fldLock="1"/>
      </w:r>
      <w:r>
        <w:instrText xml:space="preserve"> REF _Ref97535970 \h </w:instrText>
      </w:r>
      <w:r>
        <w:fldChar w:fldCharType="separate"/>
      </w:r>
      <w:r w:rsidR="00853A2A">
        <w:t xml:space="preserve">Table </w:t>
      </w:r>
      <w:r w:rsidR="00853A2A">
        <w:rPr>
          <w:noProof/>
        </w:rPr>
        <w:t>17</w:t>
      </w:r>
      <w:r>
        <w:fldChar w:fldCharType="end"/>
      </w:r>
      <w:r w:rsidR="00B50323">
        <w:t xml:space="preserve"> sets out these data elements for the draft amended ASIC Rules (effective 1 April 2024) and relates them to the applicable corresponding data elements in the current ASIC Rules</w:t>
      </w:r>
      <w:r w:rsidR="008E1373">
        <w:t>.</w:t>
      </w:r>
    </w:p>
    <w:p w14:paraId="51077D90" w14:textId="024398B4" w:rsidR="0030042F" w:rsidRDefault="0030042F" w:rsidP="00B50323">
      <w:pPr>
        <w:pStyle w:val="tabletitlefullwidth"/>
      </w:pPr>
      <w:bookmarkStart w:id="116" w:name="_Ref97535970"/>
      <w:r>
        <w:t xml:space="preserve">Table </w:t>
      </w:r>
      <w:fldSimple w:instr=" SEQ Table \* ARABIC ">
        <w:r w:rsidR="006679BA">
          <w:rPr>
            <w:noProof/>
          </w:rPr>
          <w:t>17</w:t>
        </w:r>
      </w:fldSimple>
      <w:bookmarkEnd w:id="116"/>
      <w:r>
        <w:t>:</w:t>
      </w:r>
      <w:r>
        <w:tab/>
        <w:t xml:space="preserve">Reporting under the current ASIC Rules and the draft </w:t>
      </w:r>
      <w:r w:rsidR="00F638D1">
        <w:t>amended ASIC Rules</w:t>
      </w:r>
    </w:p>
    <w:tbl>
      <w:tblPr>
        <w:tblW w:w="0" w:type="auto"/>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693"/>
        <w:gridCol w:w="2694"/>
        <w:gridCol w:w="3683"/>
      </w:tblGrid>
      <w:tr w:rsidR="00F5267A" w:rsidRPr="000540E1" w14:paraId="748B4598" w14:textId="77777777" w:rsidTr="008452A7">
        <w:trPr>
          <w:cantSplit/>
          <w:tblHeader/>
        </w:trPr>
        <w:tc>
          <w:tcPr>
            <w:tcW w:w="2693" w:type="dxa"/>
            <w:shd w:val="clear" w:color="auto" w:fill="C2E3FA"/>
          </w:tcPr>
          <w:p w14:paraId="2768DB0D" w14:textId="77777777" w:rsidR="00F5267A" w:rsidRDefault="00F5267A" w:rsidP="0024615D">
            <w:pPr>
              <w:pStyle w:val="tablehead"/>
            </w:pPr>
            <w:r>
              <w:t>Data element description</w:t>
            </w:r>
          </w:p>
        </w:tc>
        <w:tc>
          <w:tcPr>
            <w:tcW w:w="2694" w:type="dxa"/>
            <w:shd w:val="clear" w:color="auto" w:fill="C2E3FA"/>
          </w:tcPr>
          <w:p w14:paraId="7CA83E1D" w14:textId="77777777" w:rsidR="00F5267A" w:rsidRDefault="00F5267A" w:rsidP="0024615D">
            <w:pPr>
              <w:pStyle w:val="tablehead"/>
            </w:pPr>
            <w:r>
              <w:t>Current ASIC Rules</w:t>
            </w:r>
          </w:p>
        </w:tc>
        <w:tc>
          <w:tcPr>
            <w:tcW w:w="3683" w:type="dxa"/>
            <w:shd w:val="clear" w:color="auto" w:fill="C2E3FA"/>
          </w:tcPr>
          <w:p w14:paraId="57F531FB" w14:textId="1B72777A" w:rsidR="00F5267A" w:rsidRPr="000540E1" w:rsidRDefault="00F5267A" w:rsidP="0024615D">
            <w:pPr>
              <w:pStyle w:val="tablehead"/>
            </w:pPr>
            <w:r>
              <w:t xml:space="preserve">Draft amended ASIC Rules (effective 1 April 2024): see </w:t>
            </w:r>
            <w:r w:rsidRPr="007E3B6F">
              <w:t>Attachment 2</w:t>
            </w:r>
          </w:p>
        </w:tc>
      </w:tr>
      <w:tr w:rsidR="00F5267A" w:rsidRPr="000540E1" w14:paraId="15CF3642" w14:textId="77777777" w:rsidTr="008452A7">
        <w:trPr>
          <w:cantSplit/>
        </w:trPr>
        <w:tc>
          <w:tcPr>
            <w:tcW w:w="2693" w:type="dxa"/>
          </w:tcPr>
          <w:p w14:paraId="1DF9C923" w14:textId="77777777" w:rsidR="00F5267A" w:rsidRPr="000540E1" w:rsidRDefault="00F5267A" w:rsidP="0024615D">
            <w:pPr>
              <w:pStyle w:val="tbltext"/>
            </w:pPr>
            <w:r>
              <w:t>Maturity date of underlying swap</w:t>
            </w:r>
          </w:p>
        </w:tc>
        <w:tc>
          <w:tcPr>
            <w:tcW w:w="2694" w:type="dxa"/>
          </w:tcPr>
          <w:p w14:paraId="12A6135E" w14:textId="77777777" w:rsidR="00F5267A" w:rsidRPr="00C61F09" w:rsidRDefault="00F5267A" w:rsidP="0024615D">
            <w:pPr>
              <w:pStyle w:val="tbltext"/>
            </w:pPr>
            <w:r w:rsidRPr="00C61F09">
              <w:t>‘Maturity, termination or end date’</w:t>
            </w:r>
          </w:p>
          <w:p w14:paraId="0841B3DA" w14:textId="26392DB2" w:rsidR="00F5267A" w:rsidRPr="00C61F09" w:rsidRDefault="00F5267A" w:rsidP="0024615D">
            <w:pPr>
              <w:pStyle w:val="tbltext"/>
            </w:pPr>
            <w:r w:rsidRPr="00C61F09">
              <w:t xml:space="preserve">Item 28, Table S2.1(1) </w:t>
            </w:r>
            <w:r w:rsidR="00C61F09">
              <w:t>‘</w:t>
            </w:r>
            <w:r w:rsidRPr="00C61F09">
              <w:t>Common data</w:t>
            </w:r>
            <w:r w:rsidR="00C61F09">
              <w:t>’</w:t>
            </w:r>
          </w:p>
        </w:tc>
        <w:tc>
          <w:tcPr>
            <w:tcW w:w="3683" w:type="dxa"/>
          </w:tcPr>
          <w:p w14:paraId="73242771" w14:textId="745B20F2" w:rsidR="00F5267A" w:rsidRPr="00C61F09" w:rsidRDefault="00F5267A" w:rsidP="0024615D">
            <w:pPr>
              <w:pStyle w:val="tbltext"/>
            </w:pPr>
            <w:r w:rsidRPr="00C61F09">
              <w:t>‘Maturity date of the underl</w:t>
            </w:r>
            <w:r w:rsidR="005F4D1C" w:rsidRPr="00C61F09">
              <w:t>ier</w:t>
            </w:r>
            <w:r w:rsidRPr="00C61F09">
              <w:t>’</w:t>
            </w:r>
          </w:p>
          <w:p w14:paraId="4D0A0E30" w14:textId="7E7AB327" w:rsidR="00F5267A" w:rsidRPr="00C61F09" w:rsidRDefault="00F5267A" w:rsidP="0024615D">
            <w:pPr>
              <w:pStyle w:val="tbltext"/>
            </w:pPr>
            <w:r w:rsidRPr="00C61F09">
              <w:t xml:space="preserve">Item 83, Table S1.1(1) </w:t>
            </w:r>
            <w:r w:rsidR="00C61F09">
              <w:t>‘</w:t>
            </w:r>
            <w:r w:rsidRPr="00C61F09">
              <w:t>Transaction information</w:t>
            </w:r>
            <w:r w:rsidR="00C61F09">
              <w:t>’</w:t>
            </w:r>
          </w:p>
        </w:tc>
      </w:tr>
      <w:tr w:rsidR="00F5267A" w:rsidRPr="000540E1" w14:paraId="2B428B6F" w14:textId="77777777" w:rsidTr="008452A7">
        <w:trPr>
          <w:cantSplit/>
        </w:trPr>
        <w:tc>
          <w:tcPr>
            <w:tcW w:w="2693" w:type="dxa"/>
          </w:tcPr>
          <w:p w14:paraId="49614E41" w14:textId="77777777" w:rsidR="00F5267A" w:rsidRPr="000540E1" w:rsidRDefault="00F5267A" w:rsidP="0024615D">
            <w:pPr>
              <w:pStyle w:val="tbltext"/>
            </w:pPr>
            <w:r>
              <w:t>Floating rate reference rate identifier</w:t>
            </w:r>
          </w:p>
        </w:tc>
        <w:tc>
          <w:tcPr>
            <w:tcW w:w="2694" w:type="dxa"/>
          </w:tcPr>
          <w:p w14:paraId="3503EA02" w14:textId="77777777" w:rsidR="00F5267A" w:rsidRPr="00C61F09" w:rsidRDefault="00F5267A" w:rsidP="0024615D">
            <w:pPr>
              <w:pStyle w:val="tbltext"/>
            </w:pPr>
            <w:r w:rsidRPr="00C61F09">
              <w:t>‘Settlement rate or index’</w:t>
            </w:r>
          </w:p>
          <w:p w14:paraId="723512C2" w14:textId="597D165F" w:rsidR="00F5267A" w:rsidRPr="00C61F09" w:rsidRDefault="00F5267A" w:rsidP="0024615D">
            <w:pPr>
              <w:pStyle w:val="tbltext"/>
            </w:pPr>
            <w:r w:rsidRPr="00C61F09">
              <w:t xml:space="preserve">Item 35, Table S2.1(1) </w:t>
            </w:r>
            <w:r w:rsidR="00C61F09">
              <w:t>‘</w:t>
            </w:r>
            <w:r w:rsidRPr="00C61F09">
              <w:t>Common data</w:t>
            </w:r>
            <w:r w:rsidR="00C61F09">
              <w:t>’</w:t>
            </w:r>
          </w:p>
        </w:tc>
        <w:tc>
          <w:tcPr>
            <w:tcW w:w="3683" w:type="dxa"/>
          </w:tcPr>
          <w:p w14:paraId="14AF0360" w14:textId="77777777" w:rsidR="00F5267A" w:rsidRPr="00C61F09" w:rsidRDefault="00F5267A" w:rsidP="0024615D">
            <w:pPr>
              <w:pStyle w:val="tbltext"/>
            </w:pPr>
            <w:r w:rsidRPr="00C61F09">
              <w:t>‘Identifier of the floating rate</w:t>
            </w:r>
            <w:r w:rsidRPr="00C61F09">
              <w:rPr>
                <w:color w:val="000000" w:themeColor="text1"/>
              </w:rPr>
              <w:t>—</w:t>
            </w:r>
            <w:r w:rsidRPr="00C61F09">
              <w:t>Leg 2’</w:t>
            </w:r>
          </w:p>
          <w:p w14:paraId="19213D8A" w14:textId="04AF3149" w:rsidR="00F5267A" w:rsidRPr="00C61F09" w:rsidRDefault="00F5267A" w:rsidP="0024615D">
            <w:pPr>
              <w:pStyle w:val="tbltext"/>
            </w:pPr>
            <w:r w:rsidRPr="00C61F09">
              <w:t xml:space="preserve">Item 84, Table S1.1(1) </w:t>
            </w:r>
            <w:r w:rsidR="00C61F09">
              <w:t>‘</w:t>
            </w:r>
            <w:r w:rsidRPr="00C61F09">
              <w:t>Transaction information</w:t>
            </w:r>
            <w:r w:rsidR="00C61F09">
              <w:t>’</w:t>
            </w:r>
          </w:p>
        </w:tc>
      </w:tr>
      <w:tr w:rsidR="00F5267A" w:rsidRPr="000540E1" w14:paraId="445ACBA1" w14:textId="77777777" w:rsidTr="008452A7">
        <w:trPr>
          <w:cantSplit/>
        </w:trPr>
        <w:tc>
          <w:tcPr>
            <w:tcW w:w="2693" w:type="dxa"/>
          </w:tcPr>
          <w:p w14:paraId="32EBF2EC" w14:textId="77777777" w:rsidR="00F5267A" w:rsidRPr="000540E1" w:rsidRDefault="00F5267A" w:rsidP="0024615D">
            <w:pPr>
              <w:pStyle w:val="tbltext"/>
            </w:pPr>
            <w:r>
              <w:t>Floating rate reference rate reset information</w:t>
            </w:r>
          </w:p>
        </w:tc>
        <w:tc>
          <w:tcPr>
            <w:tcW w:w="2694" w:type="dxa"/>
          </w:tcPr>
          <w:p w14:paraId="20D31A28" w14:textId="77777777" w:rsidR="00F5267A" w:rsidRPr="00C61F09" w:rsidRDefault="00F5267A" w:rsidP="0024615D">
            <w:pPr>
              <w:pStyle w:val="tbltext"/>
            </w:pPr>
            <w:r w:rsidRPr="00C61F09">
              <w:t>‘Rate reset frequency’</w:t>
            </w:r>
          </w:p>
          <w:p w14:paraId="5D9F42E0" w14:textId="3B7F5728" w:rsidR="00F5267A" w:rsidRPr="00C61F09" w:rsidRDefault="00F5267A" w:rsidP="0024615D">
            <w:pPr>
              <w:pStyle w:val="tbltext"/>
            </w:pPr>
            <w:r w:rsidRPr="00C61F09">
              <w:t xml:space="preserve">Item 53, Table S2.1(1) </w:t>
            </w:r>
            <w:r w:rsidR="00C61F09">
              <w:t>‘</w:t>
            </w:r>
            <w:r w:rsidRPr="00C61F09">
              <w:t>Common data</w:t>
            </w:r>
            <w:r w:rsidR="00C61F09">
              <w:t>’</w:t>
            </w:r>
          </w:p>
        </w:tc>
        <w:tc>
          <w:tcPr>
            <w:tcW w:w="3683" w:type="dxa"/>
          </w:tcPr>
          <w:p w14:paraId="12E1932F" w14:textId="0D17E621" w:rsidR="00F5267A" w:rsidRPr="00C61F09" w:rsidRDefault="00F5267A" w:rsidP="0024615D">
            <w:pPr>
              <w:pStyle w:val="tbltext"/>
            </w:pPr>
            <w:r w:rsidRPr="00C61F09">
              <w:t>‘Floating rate re</w:t>
            </w:r>
            <w:r w:rsidR="00F05A9C" w:rsidRPr="00C61F09">
              <w:t xml:space="preserve">ference </w:t>
            </w:r>
            <w:r w:rsidRPr="00C61F09">
              <w:t>period—Leg 2’</w:t>
            </w:r>
          </w:p>
          <w:p w14:paraId="72D81E5B" w14:textId="0E5EDB57" w:rsidR="00F5267A" w:rsidRPr="00C61F09" w:rsidRDefault="00F5267A" w:rsidP="0024615D">
            <w:pPr>
              <w:pStyle w:val="tbltext"/>
            </w:pPr>
            <w:r w:rsidRPr="00C61F09">
              <w:t xml:space="preserve">Item 85, Table S1.1(1) </w:t>
            </w:r>
            <w:r w:rsidR="00C61F09">
              <w:t>‘</w:t>
            </w:r>
            <w:r w:rsidRPr="00C61F09">
              <w:t>Transaction information</w:t>
            </w:r>
            <w:r w:rsidR="00C61F09">
              <w:t>’</w:t>
            </w:r>
          </w:p>
          <w:p w14:paraId="6811704F" w14:textId="68E42D2B" w:rsidR="00F5267A" w:rsidRPr="00C61F09" w:rsidRDefault="00F5267A" w:rsidP="0024615D">
            <w:pPr>
              <w:pStyle w:val="tbltext"/>
            </w:pPr>
            <w:r w:rsidRPr="00C61F09">
              <w:t>‘Floating rate r</w:t>
            </w:r>
            <w:r w:rsidR="00F05A9C" w:rsidRPr="00C61F09">
              <w:t xml:space="preserve">eference </w:t>
            </w:r>
            <w:r w:rsidRPr="00C61F09">
              <w:t>period multiplier—Leg 2’</w:t>
            </w:r>
          </w:p>
          <w:p w14:paraId="000E6C3B" w14:textId="06D24788" w:rsidR="00F5267A" w:rsidRPr="00C61F09" w:rsidRDefault="00F5267A" w:rsidP="0024615D">
            <w:pPr>
              <w:pStyle w:val="tbltext"/>
            </w:pPr>
            <w:r w:rsidRPr="00C61F09">
              <w:t xml:space="preserve">Item 86, Table S1.1(1) </w:t>
            </w:r>
            <w:r w:rsidR="00C61F09">
              <w:t>‘</w:t>
            </w:r>
            <w:r w:rsidRPr="00C61F09">
              <w:t>Transaction information</w:t>
            </w:r>
            <w:r w:rsidR="00C61F09">
              <w:t>’</w:t>
            </w:r>
          </w:p>
        </w:tc>
      </w:tr>
      <w:tr w:rsidR="00F5267A" w:rsidRPr="000540E1" w14:paraId="60949E55" w14:textId="77777777" w:rsidTr="008452A7">
        <w:trPr>
          <w:cantSplit/>
        </w:trPr>
        <w:tc>
          <w:tcPr>
            <w:tcW w:w="2693" w:type="dxa"/>
          </w:tcPr>
          <w:p w14:paraId="6A42C22B" w14:textId="77777777" w:rsidR="00F5267A" w:rsidRDefault="00F5267A" w:rsidP="008452A7">
            <w:pPr>
              <w:pStyle w:val="tbltext"/>
              <w:spacing w:line="250" w:lineRule="atLeast"/>
            </w:pPr>
            <w:r>
              <w:t>‘Other’ underlier identifier</w:t>
            </w:r>
          </w:p>
        </w:tc>
        <w:tc>
          <w:tcPr>
            <w:tcW w:w="2694" w:type="dxa"/>
          </w:tcPr>
          <w:p w14:paraId="1E1FDB91" w14:textId="61F77FCB" w:rsidR="00F5267A" w:rsidRPr="00C61F09" w:rsidRDefault="00F5267A" w:rsidP="008452A7">
            <w:pPr>
              <w:pStyle w:val="tbltext"/>
              <w:spacing w:line="250" w:lineRule="atLeast"/>
            </w:pPr>
            <w:r w:rsidRPr="00C61F09">
              <w:t>‘</w:t>
            </w:r>
            <w:r w:rsidR="009D1A16" w:rsidRPr="00C61F09">
              <w:t>Underlying’</w:t>
            </w:r>
          </w:p>
          <w:p w14:paraId="47370B63" w14:textId="353B449C" w:rsidR="00F5267A" w:rsidRPr="00C61F09" w:rsidRDefault="00F5267A" w:rsidP="008452A7">
            <w:pPr>
              <w:pStyle w:val="tbltext"/>
              <w:spacing w:line="250" w:lineRule="atLeast"/>
            </w:pPr>
            <w:r w:rsidRPr="00C61F09">
              <w:t xml:space="preserve">Item 4, Table S2.1(1) </w:t>
            </w:r>
            <w:r w:rsidR="00C61F09">
              <w:t>‘</w:t>
            </w:r>
            <w:r w:rsidRPr="00C61F09">
              <w:t>Common data</w:t>
            </w:r>
            <w:r w:rsidR="00C61F09">
              <w:t>’</w:t>
            </w:r>
          </w:p>
        </w:tc>
        <w:tc>
          <w:tcPr>
            <w:tcW w:w="3683" w:type="dxa"/>
          </w:tcPr>
          <w:p w14:paraId="1DCF2BE4" w14:textId="77777777" w:rsidR="00F5267A" w:rsidRPr="00C61F09" w:rsidRDefault="00F5267A" w:rsidP="008452A7">
            <w:pPr>
              <w:pStyle w:val="tbltext"/>
              <w:spacing w:line="250" w:lineRule="atLeast"/>
            </w:pPr>
            <w:r w:rsidRPr="00C61F09">
              <w:t>‘Underlier ID—non-UPI’</w:t>
            </w:r>
          </w:p>
          <w:p w14:paraId="2FD384A6" w14:textId="1FA18F69" w:rsidR="00F5267A" w:rsidRPr="00C61F09" w:rsidRDefault="00F5267A" w:rsidP="008452A7">
            <w:pPr>
              <w:pStyle w:val="tbltext"/>
              <w:spacing w:line="250" w:lineRule="atLeast"/>
            </w:pPr>
            <w:r w:rsidRPr="00C61F09">
              <w:t xml:space="preserve">Item 81, Table S1.1(1) </w:t>
            </w:r>
            <w:r w:rsidR="00C61F09">
              <w:t>‘</w:t>
            </w:r>
            <w:r w:rsidRPr="00C61F09">
              <w:t>Transaction information</w:t>
            </w:r>
            <w:r w:rsidR="00C61F09">
              <w:t>’</w:t>
            </w:r>
          </w:p>
        </w:tc>
      </w:tr>
      <w:tr w:rsidR="00F5267A" w:rsidRPr="000540E1" w14:paraId="6AF4B944" w14:textId="77777777" w:rsidTr="008452A7">
        <w:trPr>
          <w:cantSplit/>
        </w:trPr>
        <w:tc>
          <w:tcPr>
            <w:tcW w:w="2693" w:type="dxa"/>
          </w:tcPr>
          <w:p w14:paraId="408B0E67" w14:textId="77777777" w:rsidR="00F5267A" w:rsidRDefault="00F5267A" w:rsidP="008452A7">
            <w:pPr>
              <w:pStyle w:val="tbltext"/>
              <w:spacing w:line="250" w:lineRule="atLeast"/>
            </w:pPr>
            <w:r>
              <w:t>‘Other’ underlier identifier source</w:t>
            </w:r>
          </w:p>
        </w:tc>
        <w:tc>
          <w:tcPr>
            <w:tcW w:w="2694" w:type="dxa"/>
          </w:tcPr>
          <w:p w14:paraId="31B451FF" w14:textId="14A5B8C5" w:rsidR="00F5267A" w:rsidRPr="00C61F09" w:rsidRDefault="007E3B6F" w:rsidP="008452A7">
            <w:pPr>
              <w:pStyle w:val="tbltext"/>
              <w:spacing w:line="250" w:lineRule="atLeast"/>
            </w:pPr>
            <w:r w:rsidRPr="00C61F09">
              <w:t>Not applicable</w:t>
            </w:r>
          </w:p>
        </w:tc>
        <w:tc>
          <w:tcPr>
            <w:tcW w:w="3683" w:type="dxa"/>
          </w:tcPr>
          <w:p w14:paraId="2455DB0C" w14:textId="77777777" w:rsidR="00F5267A" w:rsidRPr="00C61F09" w:rsidRDefault="00F5267A" w:rsidP="008452A7">
            <w:pPr>
              <w:pStyle w:val="tbltext"/>
              <w:spacing w:line="250" w:lineRule="atLeast"/>
            </w:pPr>
            <w:r w:rsidRPr="00C61F09">
              <w:t>‘Underlier ID source—non-UPI’</w:t>
            </w:r>
          </w:p>
          <w:p w14:paraId="0CC13401" w14:textId="41A9B8F8" w:rsidR="00F5267A" w:rsidRPr="00C61F09" w:rsidRDefault="00F5267A" w:rsidP="008452A7">
            <w:pPr>
              <w:pStyle w:val="tbltext"/>
              <w:spacing w:line="250" w:lineRule="atLeast"/>
            </w:pPr>
            <w:r w:rsidRPr="00C61F09">
              <w:t xml:space="preserve">Item 82, Table S1.1(1) </w:t>
            </w:r>
            <w:r w:rsidR="00C61F09">
              <w:t>‘</w:t>
            </w:r>
            <w:r w:rsidRPr="00C61F09">
              <w:t>Transaction information</w:t>
            </w:r>
            <w:r w:rsidR="00C61F09">
              <w:t>’</w:t>
            </w:r>
          </w:p>
        </w:tc>
      </w:tr>
    </w:tbl>
    <w:p w14:paraId="4C0F989D" w14:textId="19B2D621" w:rsidR="00181199" w:rsidRPr="00181199" w:rsidRDefault="00181199" w:rsidP="008452A7">
      <w:pPr>
        <w:pStyle w:val="BodyText"/>
        <w:spacing w:before="220" w:line="310" w:lineRule="atLeast"/>
        <w:ind w:left="2268"/>
      </w:pPr>
      <w:r w:rsidRPr="00181199">
        <w:t>In relation to ‘</w:t>
      </w:r>
      <w:r>
        <w:t>m</w:t>
      </w:r>
      <w:r w:rsidRPr="00181199">
        <w:t xml:space="preserve">aturity date of the underlying’, </w:t>
      </w:r>
      <w:r>
        <w:t xml:space="preserve">we said in </w:t>
      </w:r>
      <w:hyperlink r:id="rId97" w:history="1">
        <w:r w:rsidRPr="007E3B6F">
          <w:rPr>
            <w:rStyle w:val="Hyperlink"/>
          </w:rPr>
          <w:t>CP 334</w:t>
        </w:r>
      </w:hyperlink>
      <w:r>
        <w:t xml:space="preserve"> that </w:t>
      </w:r>
      <w:r w:rsidRPr="00181199">
        <w:t>it is important for the Australian regulators to understand the term of the underlying swap to a swaption, given that the risk characteristics of a one-year term underlier are notably different to those of a 30-year underlier.</w:t>
      </w:r>
    </w:p>
    <w:p w14:paraId="667B2880" w14:textId="34AE117E" w:rsidR="00237660" w:rsidRPr="008452A7" w:rsidRDefault="00181199" w:rsidP="008452A7">
      <w:pPr>
        <w:pStyle w:val="BodyText"/>
        <w:spacing w:before="220" w:line="310" w:lineRule="atLeast"/>
        <w:ind w:left="2268"/>
        <w:rPr>
          <w:spacing w:val="2"/>
        </w:rPr>
      </w:pPr>
      <w:r w:rsidRPr="008452A7">
        <w:rPr>
          <w:spacing w:val="2"/>
        </w:rPr>
        <w:t xml:space="preserve">As we foreshadowed in CP 334, now that </w:t>
      </w:r>
      <w:r w:rsidR="007E3B6F" w:rsidRPr="008452A7">
        <w:rPr>
          <w:spacing w:val="2"/>
        </w:rPr>
        <w:t xml:space="preserve">the </w:t>
      </w:r>
      <w:r w:rsidRPr="008452A7">
        <w:rPr>
          <w:spacing w:val="2"/>
        </w:rPr>
        <w:t xml:space="preserve">‘maturity date of the underlying’ will not be a data element embedded in the UPI, </w:t>
      </w:r>
      <w:r w:rsidR="00CC4583" w:rsidRPr="008452A7">
        <w:rPr>
          <w:spacing w:val="2"/>
        </w:rPr>
        <w:t>we propose to require that the ‘Maturity date of the underlier’ be reported as a data element for the interest rate swap that underlies a swaption. This date will not be required to be reported for the debt instrument underlying an option on a debt instrument</w:t>
      </w:r>
      <w:r w:rsidR="004A1858" w:rsidRPr="008452A7">
        <w:rPr>
          <w:spacing w:val="2"/>
        </w:rPr>
        <w:t>. This is</w:t>
      </w:r>
      <w:r w:rsidR="00CC4583" w:rsidRPr="008452A7">
        <w:rPr>
          <w:spacing w:val="2"/>
        </w:rPr>
        <w:t xml:space="preserve"> </w:t>
      </w:r>
      <w:r w:rsidR="004A1858" w:rsidRPr="008452A7">
        <w:rPr>
          <w:spacing w:val="2"/>
        </w:rPr>
        <w:t>because</w:t>
      </w:r>
      <w:r w:rsidR="00CC4583" w:rsidRPr="008452A7">
        <w:rPr>
          <w:spacing w:val="2"/>
        </w:rPr>
        <w:t xml:space="preserve"> this information can be found from the ISIN of the debt instrument embedded in the UPI for this kind of product.</w:t>
      </w:r>
    </w:p>
    <w:p w14:paraId="1A6C120F" w14:textId="5AADEC9E" w:rsidR="00181199" w:rsidRDefault="00181199" w:rsidP="008452A7">
      <w:pPr>
        <w:pStyle w:val="BodyText"/>
        <w:spacing w:before="220" w:line="310" w:lineRule="atLeast"/>
        <w:ind w:left="2268"/>
      </w:pPr>
      <w:r>
        <w:t xml:space="preserve">The current reporting practice for interest rate swaptions is to report the expiry date of the option element as the ‘Option expiration date’ and the maturity date of the underlying swap as the ‘Maturity, termination or end date’. Under the draft amended ASIC Rules, the maturity date of </w:t>
      </w:r>
      <w:r w:rsidR="007E3B6F">
        <w:t xml:space="preserve">the </w:t>
      </w:r>
      <w:r>
        <w:t>underlying swap would be reported as the specific data element ‘Maturity date of underl</w:t>
      </w:r>
      <w:r w:rsidR="007B1684">
        <w:t>ier</w:t>
      </w:r>
      <w:r>
        <w:t>’.</w:t>
      </w:r>
    </w:p>
    <w:p w14:paraId="558BBDD3" w14:textId="38F088DB" w:rsidR="000353D6" w:rsidRDefault="0005381F" w:rsidP="008452A7">
      <w:pPr>
        <w:pStyle w:val="BodyText"/>
        <w:spacing w:before="220" w:line="310" w:lineRule="atLeast"/>
        <w:ind w:left="2268"/>
      </w:pPr>
      <w:bookmarkStart w:id="117" w:name="_ASICRef524"/>
      <w:r>
        <w:t xml:space="preserve">In relation to information </w:t>
      </w:r>
      <w:r w:rsidR="00D11148">
        <w:t xml:space="preserve">about the applicable </w:t>
      </w:r>
      <w:r w:rsidR="00D6634D">
        <w:t xml:space="preserve">interest rate </w:t>
      </w:r>
      <w:r w:rsidR="00D11148">
        <w:t xml:space="preserve">floating rate reference rate that underlies one of the legs in </w:t>
      </w:r>
      <w:r>
        <w:t xml:space="preserve">a </w:t>
      </w:r>
      <w:r w:rsidR="00D11148">
        <w:t>swap</w:t>
      </w:r>
      <w:r>
        <w:t xml:space="preserve"> other than an interest rate swap, </w:t>
      </w:r>
      <w:r w:rsidR="000353D6">
        <w:t xml:space="preserve">we had anticipated that this would be recognised as a relevant second underlier in addition to, for example, </w:t>
      </w:r>
      <w:r w:rsidR="007E3B6F">
        <w:t xml:space="preserve">the </w:t>
      </w:r>
      <w:r w:rsidR="000353D6">
        <w:t>equity underlier as one of the key terms of such a transaction.</w:t>
      </w:r>
    </w:p>
    <w:p w14:paraId="60D41485" w14:textId="1D19F808" w:rsidR="00024975" w:rsidRDefault="000353D6" w:rsidP="008452A7">
      <w:pPr>
        <w:pStyle w:val="BodyText"/>
        <w:spacing w:before="220" w:line="310" w:lineRule="atLeast"/>
        <w:ind w:left="2268"/>
      </w:pPr>
      <w:bookmarkStart w:id="118" w:name="_ASICRef329"/>
      <w:bookmarkStart w:id="119" w:name="_ASICRef169"/>
      <w:r>
        <w:t xml:space="preserve">Information about the interest rate floating rate reference rate </w:t>
      </w:r>
      <w:r w:rsidR="00024975">
        <w:t xml:space="preserve">for equity swaps </w:t>
      </w:r>
      <w:r>
        <w:t xml:space="preserve">is commonly </w:t>
      </w:r>
      <w:r w:rsidR="00024975">
        <w:t xml:space="preserve">reported under the current ASIC Rules in the data element ‘Settlement rate or index’. As this will </w:t>
      </w:r>
      <w:r>
        <w:t xml:space="preserve">not be included in the UPI product definitions, </w:t>
      </w:r>
      <w:r w:rsidR="00024975">
        <w:t xml:space="preserve">we propose that this information continue to be reported under the draft remade ASIC </w:t>
      </w:r>
      <w:r w:rsidR="004E40E5">
        <w:t>R</w:t>
      </w:r>
      <w:r w:rsidR="00024975">
        <w:t xml:space="preserve">ules as the data element </w:t>
      </w:r>
      <w:r w:rsidR="00024975" w:rsidRPr="00F5267A">
        <w:t>‘Identifier of the floating rate—Leg 2’</w:t>
      </w:r>
      <w:r w:rsidR="00024975">
        <w:t>.</w:t>
      </w:r>
      <w:bookmarkEnd w:id="118"/>
      <w:bookmarkEnd w:id="119"/>
    </w:p>
    <w:p w14:paraId="50FFCD63" w14:textId="13494A33" w:rsidR="00F05A9C" w:rsidRDefault="00024975" w:rsidP="008452A7">
      <w:pPr>
        <w:pStyle w:val="BodyText"/>
        <w:spacing w:before="220" w:line="310" w:lineRule="atLeast"/>
        <w:ind w:left="2268"/>
      </w:pPr>
      <w:r>
        <w:t>Related to information identifying the floating rate reference</w:t>
      </w:r>
      <w:r w:rsidR="00833CEC">
        <w:t xml:space="preserve"> rate</w:t>
      </w:r>
      <w:r w:rsidR="00404CA5">
        <w:t>—</w:t>
      </w:r>
      <w:r w:rsidR="00833CEC">
        <w:t>such as ‘AUD-BBR-BBSW’</w:t>
      </w:r>
      <w:r w:rsidR="00404CA5">
        <w:t>—</w:t>
      </w:r>
      <w:r>
        <w:t>is</w:t>
      </w:r>
      <w:r w:rsidR="00E64681">
        <w:t xml:space="preserve"> important</w:t>
      </w:r>
      <w:r>
        <w:t xml:space="preserve"> information </w:t>
      </w:r>
      <w:r w:rsidR="00833CEC">
        <w:t xml:space="preserve">identifying </w:t>
      </w:r>
      <w:r w:rsidR="00F72C8B">
        <w:t xml:space="preserve">the </w:t>
      </w:r>
      <w:r w:rsidR="00833CEC">
        <w:t>specific tenor or reference period of the rate</w:t>
      </w:r>
      <w:r w:rsidR="00404CA5">
        <w:t>—</w:t>
      </w:r>
      <w:r w:rsidR="00833CEC">
        <w:t>such as 1M or 3M</w:t>
      </w:r>
      <w:r w:rsidR="00E64681">
        <w:t xml:space="preserve">. </w:t>
      </w:r>
      <w:r w:rsidR="00F05A9C">
        <w:t>This is also commonly reported under the current A</w:t>
      </w:r>
      <w:r w:rsidR="007E3B6F">
        <w:t>S</w:t>
      </w:r>
      <w:r w:rsidR="00F05A9C">
        <w:t xml:space="preserve">IC Rules in the data element ‘Rate reset frequency’. We propose that this information continue to be reported under the draft remade ASIC </w:t>
      </w:r>
      <w:r w:rsidR="004E40E5">
        <w:t>R</w:t>
      </w:r>
      <w:r w:rsidR="00F05A9C">
        <w:t>ules, but, consistent with the reporting of similar data elements</w:t>
      </w:r>
      <w:r w:rsidR="00824AA6">
        <w:t>,</w:t>
      </w:r>
      <w:r w:rsidR="00F05A9C">
        <w:t xml:space="preserve"> as </w:t>
      </w:r>
      <w:r w:rsidR="00E7101A">
        <w:t xml:space="preserve">a </w:t>
      </w:r>
      <w:r w:rsidR="00F05A9C">
        <w:t>separate data element for the reference period</w:t>
      </w:r>
      <w:r w:rsidR="00404CA5">
        <w:t>—</w:t>
      </w:r>
      <w:r w:rsidR="00F05A9C">
        <w:t>‘</w:t>
      </w:r>
      <w:r w:rsidR="00F05A9C" w:rsidRPr="005D3749">
        <w:t>Floating rate re</w:t>
      </w:r>
      <w:r w:rsidR="00F05A9C">
        <w:t xml:space="preserve">ference </w:t>
      </w:r>
      <w:r w:rsidR="00F05A9C" w:rsidRPr="005D3749">
        <w:t>period</w:t>
      </w:r>
      <w:r w:rsidR="00F05A9C">
        <w:t>—</w:t>
      </w:r>
      <w:r w:rsidR="00F05A9C" w:rsidRPr="005D3749">
        <w:t>Leg 2</w:t>
      </w:r>
      <w:r w:rsidR="00F05A9C">
        <w:t>’</w:t>
      </w:r>
      <w:r w:rsidR="00404CA5">
        <w:t>—</w:t>
      </w:r>
      <w:r w:rsidR="00F05A9C">
        <w:t>and for the reference period multiplier</w:t>
      </w:r>
      <w:r w:rsidR="007E3B6F">
        <w:t>—</w:t>
      </w:r>
      <w:r w:rsidR="00F6163F">
        <w:t>‘</w:t>
      </w:r>
      <w:r w:rsidR="00F05A9C" w:rsidRPr="005D3749">
        <w:t>Floating rate re</w:t>
      </w:r>
      <w:r w:rsidR="00F05A9C">
        <w:t xml:space="preserve">ference </w:t>
      </w:r>
      <w:r w:rsidR="00F05A9C" w:rsidRPr="005D3749">
        <w:t>period</w:t>
      </w:r>
      <w:r w:rsidR="00F05A9C">
        <w:t xml:space="preserve"> multiplier—</w:t>
      </w:r>
      <w:r w:rsidR="00F05A9C" w:rsidRPr="005D3749">
        <w:t>Leg 2</w:t>
      </w:r>
      <w:r w:rsidR="00F05A9C">
        <w:t>’.</w:t>
      </w:r>
    </w:p>
    <w:p w14:paraId="6EF03096" w14:textId="5C184ECE" w:rsidR="00BB060D" w:rsidRDefault="00824AA6" w:rsidP="008452A7">
      <w:pPr>
        <w:pStyle w:val="Note"/>
        <w:spacing w:before="220" w:line="250" w:lineRule="atLeast"/>
      </w:pPr>
      <w:r>
        <w:t>Note:</w:t>
      </w:r>
      <w:r w:rsidR="007E3B6F">
        <w:t xml:space="preserve"> A </w:t>
      </w:r>
      <w:r>
        <w:t xml:space="preserve">‘period’ is, for example, DAIL for day and MNTH for month. A ‘period multiplier’ is, for example, 1 or 3. Taken together, 1 DAIL indicates a reference period of </w:t>
      </w:r>
      <w:r w:rsidR="007E3B6F">
        <w:t xml:space="preserve">one </w:t>
      </w:r>
      <w:r>
        <w:t>day</w:t>
      </w:r>
      <w:r w:rsidR="007E3B6F">
        <w:t>,</w:t>
      </w:r>
      <w:r>
        <w:t xml:space="preserve"> and 3 MNTH indicates a reference period of </w:t>
      </w:r>
      <w:r w:rsidR="007E3B6F">
        <w:t xml:space="preserve">three </w:t>
      </w:r>
      <w:r>
        <w:t>months.</w:t>
      </w:r>
      <w:bookmarkEnd w:id="117"/>
    </w:p>
    <w:p w14:paraId="2560D601" w14:textId="2B942049" w:rsidR="00173D74" w:rsidRDefault="00824AA6" w:rsidP="008452A7">
      <w:pPr>
        <w:pStyle w:val="BodyText"/>
        <w:spacing w:before="220" w:line="310" w:lineRule="atLeast"/>
        <w:ind w:left="2268"/>
      </w:pPr>
      <w:r>
        <w:t xml:space="preserve">In relation to </w:t>
      </w:r>
      <w:r w:rsidR="00BB060D">
        <w:t xml:space="preserve">underlier identifiers, we </w:t>
      </w:r>
      <w:r w:rsidR="00113C8F">
        <w:t xml:space="preserve">think </w:t>
      </w:r>
      <w:r w:rsidR="00BB060D">
        <w:t>there is uncertainty about the</w:t>
      </w:r>
      <w:r w:rsidR="00113C8F">
        <w:t xml:space="preserve"> short-</w:t>
      </w:r>
      <w:r w:rsidR="00C4124A">
        <w:t>term</w:t>
      </w:r>
      <w:r w:rsidR="00113C8F">
        <w:t xml:space="preserve"> and long-term</w:t>
      </w:r>
      <w:r w:rsidR="00BB060D">
        <w:t xml:space="preserve"> comprehensiveness of the support for commodity underliers and equity index underliers</w:t>
      </w:r>
      <w:r w:rsidR="00113C8F">
        <w:t xml:space="preserve"> </w:t>
      </w:r>
      <w:r w:rsidR="00BB060D">
        <w:t>that may be provided under the UPI system</w:t>
      </w:r>
      <w:r w:rsidR="00173D74">
        <w:t>.</w:t>
      </w:r>
    </w:p>
    <w:p w14:paraId="3C6C6274" w14:textId="704DA84D" w:rsidR="005E01B3" w:rsidRDefault="00824AA6" w:rsidP="008452A7">
      <w:pPr>
        <w:pStyle w:val="BodyText"/>
        <w:spacing w:before="220" w:line="310" w:lineRule="atLeast"/>
        <w:ind w:left="2268"/>
      </w:pPr>
      <w:r>
        <w:t xml:space="preserve">As we note at paragraph </w:t>
      </w:r>
      <w:r>
        <w:fldChar w:fldCharType="begin" w:fldLock="1"/>
      </w:r>
      <w:r>
        <w:instrText xml:space="preserve"> REF _ASICRef760 \w \h </w:instrText>
      </w:r>
      <w:r>
        <w:fldChar w:fldCharType="separate"/>
      </w:r>
      <w:r w:rsidR="00853A2A">
        <w:t>221</w:t>
      </w:r>
      <w:r>
        <w:fldChar w:fldCharType="end"/>
      </w:r>
      <w:r>
        <w:t>, the underlier identifier sources currently set out in DSB’s draft product definitions are materially incomplete for commodity and equity index transactions reported under the current ASIC Rules.</w:t>
      </w:r>
    </w:p>
    <w:p w14:paraId="3D991481" w14:textId="39F2B9C3" w:rsidR="004468ED" w:rsidRPr="004468ED" w:rsidRDefault="004468ED" w:rsidP="008452A7">
      <w:pPr>
        <w:pStyle w:val="BodyText"/>
        <w:spacing w:before="220" w:line="310" w:lineRule="atLeast"/>
        <w:ind w:left="2268"/>
      </w:pPr>
      <w:bookmarkStart w:id="120" w:name="_ASICRef53"/>
      <w:r>
        <w:t xml:space="preserve">Though the UPI system may, in the future, </w:t>
      </w:r>
      <w:r w:rsidRPr="004468ED">
        <w:t xml:space="preserve">access a broader range of sources of reference data </w:t>
      </w:r>
      <w:r>
        <w:t>and support a broader range of commodity and equity index underliers, if it did not do so, we think there would be an unacceptable level of non-specific identifiers in transaction reporting to ASIC.</w:t>
      </w:r>
    </w:p>
    <w:p w14:paraId="4A61A3BF" w14:textId="4CAA022E" w:rsidR="005446A2" w:rsidRDefault="00332278" w:rsidP="008452A7">
      <w:pPr>
        <w:pStyle w:val="BodyText"/>
        <w:spacing w:before="220" w:line="310" w:lineRule="atLeast"/>
        <w:ind w:left="2268"/>
      </w:pPr>
      <w:r>
        <w:t xml:space="preserve">Hence, </w:t>
      </w:r>
      <w:r w:rsidR="00E05283">
        <w:t xml:space="preserve">we are </w:t>
      </w:r>
      <w:r>
        <w:t>propos</w:t>
      </w:r>
      <w:r w:rsidR="00E05283">
        <w:t xml:space="preserve">ing </w:t>
      </w:r>
      <w:r w:rsidR="00EC789E">
        <w:t xml:space="preserve">one retained data element and one </w:t>
      </w:r>
      <w:r>
        <w:t xml:space="preserve">new </w:t>
      </w:r>
      <w:r w:rsidR="00E05283">
        <w:t>data element for reporting of underlier information in addition to the UPI. These are the underlier identifier</w:t>
      </w:r>
      <w:r w:rsidR="007E3B6F">
        <w:t>—</w:t>
      </w:r>
      <w:r w:rsidR="00EC789E">
        <w:t>‘Underlier ID—non-UPI’</w:t>
      </w:r>
      <w:r w:rsidR="007E3B6F">
        <w:t>—</w:t>
      </w:r>
      <w:r w:rsidR="00E05283">
        <w:t>and the underlier identifier source</w:t>
      </w:r>
      <w:r w:rsidR="007E3B6F">
        <w:t>—</w:t>
      </w:r>
      <w:r w:rsidR="00EC789E" w:rsidRPr="00EC789E">
        <w:t>‘Underlier ID source—non-UPI’</w:t>
      </w:r>
      <w:r w:rsidR="00C34F5B">
        <w:t>. However,</w:t>
      </w:r>
      <w:r w:rsidR="00E05283">
        <w:t xml:space="preserve"> these </w:t>
      </w:r>
      <w:r w:rsidR="004468ED">
        <w:t xml:space="preserve">would </w:t>
      </w:r>
      <w:r w:rsidR="00E05283">
        <w:t>only appl</w:t>
      </w:r>
      <w:r w:rsidR="00C34F5B">
        <w:t>y</w:t>
      </w:r>
      <w:r w:rsidR="00E05283">
        <w:t xml:space="preserve"> to the commodity and equity asset classes</w:t>
      </w:r>
      <w:r w:rsidR="004468ED">
        <w:t>,</w:t>
      </w:r>
      <w:r w:rsidR="00E05283">
        <w:t xml:space="preserve"> and only </w:t>
      </w:r>
      <w:r w:rsidR="005446A2">
        <w:t>whe</w:t>
      </w:r>
      <w:r w:rsidR="00C34F5B">
        <w:t>n</w:t>
      </w:r>
      <w:r w:rsidR="005446A2">
        <w:t xml:space="preserve"> </w:t>
      </w:r>
      <w:r w:rsidR="005446A2" w:rsidRPr="005446A2">
        <w:t>the UPI that is reported does not identify a specific underlier.</w:t>
      </w:r>
      <w:r w:rsidR="00287DF1">
        <w:t xml:space="preserve"> If</w:t>
      </w:r>
      <w:r w:rsidR="00C41A6A">
        <w:t xml:space="preserve"> the UPI system broadens its underlier coverage to </w:t>
      </w:r>
      <w:r w:rsidR="00EC789E">
        <w:t xml:space="preserve">support </w:t>
      </w:r>
      <w:r w:rsidR="00C41A6A">
        <w:t xml:space="preserve">more specific underliers, then </w:t>
      </w:r>
      <w:r w:rsidR="004468ED">
        <w:t xml:space="preserve">values for </w:t>
      </w:r>
      <w:r w:rsidR="00C41A6A">
        <w:t>these data elements wo</w:t>
      </w:r>
      <w:r w:rsidR="00BE19D5">
        <w:t>u</w:t>
      </w:r>
      <w:r w:rsidR="00C41A6A">
        <w:t>ld not be required to be reported.</w:t>
      </w:r>
      <w:bookmarkEnd w:id="120"/>
    </w:p>
    <w:p w14:paraId="1348D65F" w14:textId="38D0EBB3" w:rsidR="007D5D9A" w:rsidRDefault="004468ED" w:rsidP="008452A7">
      <w:pPr>
        <w:pStyle w:val="BodyText"/>
        <w:spacing w:before="220" w:line="310" w:lineRule="atLeast"/>
        <w:ind w:left="2268"/>
      </w:pPr>
      <w:bookmarkStart w:id="121" w:name="_ASICRef530"/>
      <w:bookmarkStart w:id="122" w:name="_ASICRef345"/>
      <w:r>
        <w:t>Underliers are reported under the current ASIC Rules in the data element ‘Underlier’. In the draft amended ASIC Rules, this data element would be renamed ‘Underlier ID—non-UPI’</w:t>
      </w:r>
      <w:r w:rsidR="00EC789E">
        <w:t xml:space="preserve">. The new data element ‘Underlier </w:t>
      </w:r>
      <w:r w:rsidR="00EC789E" w:rsidRPr="00EC789E">
        <w:t>ID source—non-UPI’</w:t>
      </w:r>
      <w:r w:rsidR="00EC789E">
        <w:t xml:space="preserve"> would identify the publisher of the ‘Underlier ID—non-UPI’</w:t>
      </w:r>
      <w:r w:rsidR="00404CA5">
        <w:t>—</w:t>
      </w:r>
      <w:r w:rsidR="00EC789E">
        <w:t>for example, a price reporting agency, index calculation agent or an exchange where the underlier is an instrument traded on that exchange.</w:t>
      </w:r>
      <w:bookmarkEnd w:id="121"/>
      <w:bookmarkEnd w:id="122"/>
    </w:p>
    <w:p w14:paraId="2A46CD0E" w14:textId="73E9F9DA" w:rsidR="005E4C29" w:rsidRDefault="005E4C29" w:rsidP="005E4C29">
      <w:pPr>
        <w:pStyle w:val="Heading2"/>
      </w:pPr>
      <w:bookmarkStart w:id="123" w:name="_Toc103174630"/>
      <w:bookmarkEnd w:id="105"/>
      <w:r w:rsidRPr="00924660">
        <w:t>Reporting a UPI</w:t>
      </w:r>
      <w:bookmarkEnd w:id="123"/>
    </w:p>
    <w:p w14:paraId="4D5539D0" w14:textId="62AA8144" w:rsidR="00045B93" w:rsidRDefault="00045B93" w:rsidP="00045B93">
      <w:pPr>
        <w:pStyle w:val="Heading3"/>
      </w:pPr>
      <w:r>
        <w:t>Accuracy of a UPI</w:t>
      </w:r>
    </w:p>
    <w:p w14:paraId="2C4F5FF6" w14:textId="0C03B99D" w:rsidR="00045B93" w:rsidRDefault="00045B93" w:rsidP="005F328E">
      <w:pPr>
        <w:pStyle w:val="BodyText"/>
        <w:ind w:left="2268"/>
      </w:pPr>
      <w:r>
        <w:t xml:space="preserve">We consider that the accuracy requirement of </w:t>
      </w:r>
      <w:r w:rsidR="006B56B9" w:rsidRPr="00924660">
        <w:t>R</w:t>
      </w:r>
      <w:r w:rsidRPr="00924660">
        <w:t>ule 2.2.6 requires</w:t>
      </w:r>
      <w:r>
        <w:t xml:space="preserve"> reporting entities to take all reasonable steps to ensure that the UPI reported is the most appropriate UPI for the reportable transaction.</w:t>
      </w:r>
    </w:p>
    <w:p w14:paraId="7C2135DB" w14:textId="1F17EA58" w:rsidR="00045B93" w:rsidRDefault="00045B93" w:rsidP="005F328E">
      <w:pPr>
        <w:pStyle w:val="BodyText"/>
        <w:ind w:left="2268"/>
      </w:pPr>
      <w:r>
        <w:t>Reporting entities should obtain and report the UPI that has the same UPI asset class, instrument type, product and UPI attributes as the reportable transaction.</w:t>
      </w:r>
    </w:p>
    <w:p w14:paraId="50DFCA2E" w14:textId="0F4F7048" w:rsidR="003A0ECE" w:rsidRDefault="00045B93" w:rsidP="005F328E">
      <w:pPr>
        <w:pStyle w:val="BodyText"/>
        <w:ind w:left="2268"/>
      </w:pPr>
      <w:r>
        <w:t xml:space="preserve">To comply with the accuracy requirement of </w:t>
      </w:r>
      <w:r w:rsidR="006B56B9">
        <w:t>R</w:t>
      </w:r>
      <w:r>
        <w:t xml:space="preserve">ule 2.2.6, </w:t>
      </w:r>
      <w:r w:rsidR="003A0ECE">
        <w:t>r</w:t>
      </w:r>
      <w:r>
        <w:t xml:space="preserve">eporting </w:t>
      </w:r>
      <w:r w:rsidR="003A0ECE">
        <w:t>e</w:t>
      </w:r>
      <w:r>
        <w:t xml:space="preserve">ntities that trade in products and kinds of transactions that require a new UPI to be created </w:t>
      </w:r>
      <w:r w:rsidR="003A0ECE">
        <w:t xml:space="preserve">need to </w:t>
      </w:r>
      <w:r>
        <w:t xml:space="preserve">ensure that the UPI is created in </w:t>
      </w:r>
      <w:r w:rsidR="003A0ECE">
        <w:t xml:space="preserve">time for reporting, noting that a UPI may be created at any time, </w:t>
      </w:r>
      <w:r w:rsidR="006B56B9">
        <w:t>can</w:t>
      </w:r>
      <w:r w:rsidR="003A0ECE">
        <w:t xml:space="preserve"> only </w:t>
      </w:r>
      <w:r w:rsidR="006B56B9">
        <w:t xml:space="preserve">be </w:t>
      </w:r>
      <w:r w:rsidR="003A0ECE">
        <w:t xml:space="preserve">created once and can be reported for all future transactions for which the UPI is applicable. </w:t>
      </w:r>
    </w:p>
    <w:p w14:paraId="64F275E4" w14:textId="75932324" w:rsidR="00163ACC" w:rsidRDefault="003A0ECE" w:rsidP="005F328E">
      <w:pPr>
        <w:pStyle w:val="BodyText"/>
        <w:ind w:left="2268"/>
      </w:pPr>
      <w:r>
        <w:t>Reporting entities need to have arrangements to access UPIs and, whe</w:t>
      </w:r>
      <w:r w:rsidR="006B56B9">
        <w:t>n</w:t>
      </w:r>
      <w:r>
        <w:t xml:space="preserve"> applicable, to create UPIs.</w:t>
      </w:r>
      <w:r w:rsidR="00163ACC">
        <w:t xml:space="preserve"> Access-only arrangements may be as a </w:t>
      </w:r>
      <w:r w:rsidR="005E1237">
        <w:t xml:space="preserve">direct </w:t>
      </w:r>
      <w:r w:rsidR="00163ACC">
        <w:t xml:space="preserve">DSB user or </w:t>
      </w:r>
      <w:r w:rsidR="005E1237">
        <w:t xml:space="preserve">as </w:t>
      </w:r>
      <w:r w:rsidR="00163ACC">
        <w:t xml:space="preserve">arrangements to receive a UPI from their counterparty who is a </w:t>
      </w:r>
      <w:r w:rsidR="005E1237">
        <w:t xml:space="preserve">direct </w:t>
      </w:r>
      <w:r w:rsidR="00163ACC">
        <w:t>DSB user</w:t>
      </w:r>
      <w:r w:rsidR="005E0998">
        <w:t xml:space="preserve">, </w:t>
      </w:r>
      <w:r w:rsidR="00163ACC">
        <w:t xml:space="preserve">subject to DSB’s acceptable use provisions in user agreements and other policies. Arrangements to create UPIs are only available as a </w:t>
      </w:r>
      <w:r w:rsidR="005E1237">
        <w:t xml:space="preserve">direct </w:t>
      </w:r>
      <w:r w:rsidR="00163ACC">
        <w:t>DSB user.</w:t>
      </w:r>
    </w:p>
    <w:p w14:paraId="4FFB4933" w14:textId="36701287" w:rsidR="005E0998" w:rsidRDefault="00163ACC" w:rsidP="005F328E">
      <w:pPr>
        <w:pStyle w:val="BodyText"/>
        <w:ind w:left="2268"/>
      </w:pPr>
      <w:r>
        <w:t>New UPIs need to be created whe</w:t>
      </w:r>
      <w:r w:rsidR="006B56B9">
        <w:t>n</w:t>
      </w:r>
      <w:r>
        <w:t xml:space="preserve"> a product or kind of transaction references a new underlier</w:t>
      </w:r>
      <w:r w:rsidR="005E0998">
        <w:t>, currency pair, option features or return/payoff features in the reference data elements. New UPIs also need to be created whe</w:t>
      </w:r>
      <w:r w:rsidR="006B56B9">
        <w:t>n</w:t>
      </w:r>
      <w:r w:rsidR="005E0998">
        <w:t xml:space="preserve"> a new combination of reference data elements is used in a product or transaction. New underliers are likely to be the main reason why new UPIs need to be created.</w:t>
      </w:r>
    </w:p>
    <w:p w14:paraId="211C1C6E" w14:textId="71C556BB" w:rsidR="00045B93" w:rsidRDefault="005E0998" w:rsidP="005F328E">
      <w:pPr>
        <w:pStyle w:val="BodyText"/>
        <w:ind w:left="2268"/>
      </w:pPr>
      <w:r>
        <w:t>However, a</w:t>
      </w:r>
      <w:r w:rsidR="0075125F">
        <w:t>s discussed at paragraph</w:t>
      </w:r>
      <w:r w:rsidR="00A9644B">
        <w:t xml:space="preserve"> </w:t>
      </w:r>
      <w:r w:rsidR="00A9644B">
        <w:fldChar w:fldCharType="begin" w:fldLock="1"/>
      </w:r>
      <w:r w:rsidR="00A9644B">
        <w:instrText xml:space="preserve"> REF _ASICRef81 \w \h </w:instrText>
      </w:r>
      <w:r w:rsidR="00A9644B">
        <w:fldChar w:fldCharType="separate"/>
      </w:r>
      <w:r w:rsidR="00853A2A">
        <w:t>219</w:t>
      </w:r>
      <w:r w:rsidR="00A9644B">
        <w:fldChar w:fldCharType="end"/>
      </w:r>
      <w:r w:rsidR="0075125F">
        <w:t xml:space="preserve"> in relation to underliers and more broadly in relation to other UPI attributes, t</w:t>
      </w:r>
      <w:r w:rsidR="00045B93">
        <w:t xml:space="preserve">he UPI </w:t>
      </w:r>
      <w:r w:rsidR="00045B93" w:rsidRPr="00980F45">
        <w:t>service</w:t>
      </w:r>
      <w:r w:rsidR="00045B93">
        <w:t xml:space="preserve"> is designed so that it is possible to obtain a UPI for any kind of OTC </w:t>
      </w:r>
      <w:r w:rsidR="006B56B9">
        <w:t>d</w:t>
      </w:r>
      <w:r w:rsidR="00045B93">
        <w:t>erivative, including by allowing ‘</w:t>
      </w:r>
      <w:r w:rsidR="009E60D1">
        <w:t>o</w:t>
      </w:r>
      <w:r w:rsidR="00045B93">
        <w:t xml:space="preserve">ther’ as a value for each UPI attribute for which a ‘standard’ value is not applicable for an OTC </w:t>
      </w:r>
      <w:r w:rsidR="006B56B9">
        <w:t>d</w:t>
      </w:r>
      <w:r w:rsidR="00045B93">
        <w:t>erivative.</w:t>
      </w:r>
    </w:p>
    <w:p w14:paraId="45FF57AB" w14:textId="55D3D77D" w:rsidR="0075125F" w:rsidRDefault="0075125F" w:rsidP="0075125F">
      <w:pPr>
        <w:pStyle w:val="Heading3"/>
      </w:pPr>
      <w:r>
        <w:t>Obtaining a UPI</w:t>
      </w:r>
    </w:p>
    <w:p w14:paraId="1C7DF4F3" w14:textId="3A9D2C4F" w:rsidR="00DD10BB" w:rsidRDefault="00DD10BB" w:rsidP="005F328E">
      <w:pPr>
        <w:pStyle w:val="BodyText"/>
        <w:ind w:left="2268"/>
      </w:pPr>
      <w:r>
        <w:t xml:space="preserve">DSB provides </w:t>
      </w:r>
      <w:hyperlink r:id="rId98" w:history="1">
        <w:r w:rsidRPr="00C433E4">
          <w:rPr>
            <w:rStyle w:val="Hyperlink"/>
          </w:rPr>
          <w:t>information</w:t>
        </w:r>
      </w:hyperlink>
      <w:r>
        <w:t xml:space="preserve"> on how to request or otherwise obtain a UPI.</w:t>
      </w:r>
    </w:p>
    <w:p w14:paraId="7FEDA5D4" w14:textId="3DE1092E" w:rsidR="00325E4D" w:rsidRDefault="00B349D3" w:rsidP="005F328E">
      <w:pPr>
        <w:pStyle w:val="BodyText"/>
        <w:ind w:left="2268"/>
      </w:pPr>
      <w:r>
        <w:t xml:space="preserve">In </w:t>
      </w:r>
      <w:r w:rsidRPr="00941D4C">
        <w:t xml:space="preserve">its </w:t>
      </w:r>
      <w:hyperlink r:id="rId99" w:history="1">
        <w:r w:rsidR="00031A7E" w:rsidRPr="00F473E5">
          <w:rPr>
            <w:rStyle w:val="Hyperlink"/>
          </w:rPr>
          <w:t>f</w:t>
        </w:r>
        <w:r w:rsidRPr="00F473E5">
          <w:rPr>
            <w:rStyle w:val="Hyperlink"/>
          </w:rPr>
          <w:t xml:space="preserve">inal </w:t>
        </w:r>
        <w:r w:rsidR="00355438" w:rsidRPr="00F473E5">
          <w:rPr>
            <w:rStyle w:val="Hyperlink"/>
          </w:rPr>
          <w:t>r</w:t>
        </w:r>
        <w:r w:rsidRPr="00F473E5">
          <w:rPr>
            <w:rStyle w:val="Hyperlink"/>
          </w:rPr>
          <w:t xml:space="preserve">eport on the UPI </w:t>
        </w:r>
        <w:r w:rsidR="00355438" w:rsidRPr="00F473E5">
          <w:rPr>
            <w:rStyle w:val="Hyperlink"/>
          </w:rPr>
          <w:t>f</w:t>
        </w:r>
        <w:r w:rsidRPr="00F473E5">
          <w:rPr>
            <w:rStyle w:val="Hyperlink"/>
          </w:rPr>
          <w:t xml:space="preserve">ee </w:t>
        </w:r>
        <w:r w:rsidR="00355438" w:rsidRPr="00F473E5">
          <w:rPr>
            <w:rStyle w:val="Hyperlink"/>
          </w:rPr>
          <w:t>m</w:t>
        </w:r>
        <w:r w:rsidRPr="00F473E5">
          <w:rPr>
            <w:rStyle w:val="Hyperlink"/>
          </w:rPr>
          <w:t xml:space="preserve">odel </w:t>
        </w:r>
        <w:r w:rsidR="00355438" w:rsidRPr="00F473E5">
          <w:rPr>
            <w:rStyle w:val="Hyperlink"/>
          </w:rPr>
          <w:t>c</w:t>
        </w:r>
        <w:r w:rsidRPr="00F473E5">
          <w:rPr>
            <w:rStyle w:val="Hyperlink"/>
          </w:rPr>
          <w:t>onsultation</w:t>
        </w:r>
      </w:hyperlink>
      <w:r w:rsidR="00312ACA" w:rsidRPr="00924660">
        <w:t xml:space="preserve"> (DSB Final Report)</w:t>
      </w:r>
      <w:r w:rsidR="00C2007E" w:rsidRPr="00941D4C">
        <w:t>,</w:t>
      </w:r>
      <w:r>
        <w:t xml:space="preserve"> DSB</w:t>
      </w:r>
      <w:r w:rsidR="00325E4D">
        <w:t xml:space="preserve"> set out four categories of fee</w:t>
      </w:r>
      <w:r w:rsidR="00C2007E">
        <w:t>-</w:t>
      </w:r>
      <w:r w:rsidR="00325E4D">
        <w:t>paying user access mechanisms and one non-fee</w:t>
      </w:r>
      <w:r w:rsidR="00C2007E">
        <w:t>-</w:t>
      </w:r>
      <w:r w:rsidR="00325E4D">
        <w:t>paying user access mechanism</w:t>
      </w:r>
      <w:r w:rsidR="00C2007E">
        <w:t xml:space="preserve">: see </w:t>
      </w:r>
      <w:r w:rsidR="00C2007E">
        <w:fldChar w:fldCharType="begin" w:fldLock="1"/>
      </w:r>
      <w:r w:rsidR="00C2007E">
        <w:instrText xml:space="preserve"> REF _Ref92369830 \h </w:instrText>
      </w:r>
      <w:r w:rsidR="00C2007E">
        <w:fldChar w:fldCharType="separate"/>
      </w:r>
      <w:r w:rsidR="00853A2A">
        <w:t xml:space="preserve">Table </w:t>
      </w:r>
      <w:r w:rsidR="00853A2A">
        <w:rPr>
          <w:noProof/>
        </w:rPr>
        <w:t>18</w:t>
      </w:r>
      <w:r w:rsidR="00C2007E">
        <w:fldChar w:fldCharType="end"/>
      </w:r>
      <w:r w:rsidR="00721014">
        <w:t>. These are differentiated by</w:t>
      </w:r>
      <w:r w:rsidR="00325E4D">
        <w:t>:</w:t>
      </w:r>
    </w:p>
    <w:p w14:paraId="0B8B5926" w14:textId="6E58266A" w:rsidR="00721014" w:rsidRDefault="00D11A5A" w:rsidP="00C443A0">
      <w:pPr>
        <w:pStyle w:val="subparaa"/>
        <w:numPr>
          <w:ilvl w:val="1"/>
          <w:numId w:val="17"/>
        </w:numPr>
      </w:pPr>
      <w:r>
        <w:t>t</w:t>
      </w:r>
      <w:r w:rsidR="00721014">
        <w:t>he kind of access</w:t>
      </w:r>
      <w:r>
        <w:t>—</w:t>
      </w:r>
      <w:r w:rsidR="00721014">
        <w:t>whether ‘programmatic’ or ‘manual’</w:t>
      </w:r>
      <w:r w:rsidR="00312ACA">
        <w:t>;</w:t>
      </w:r>
      <w:r w:rsidR="00C2007E">
        <w:t xml:space="preserve"> and</w:t>
      </w:r>
    </w:p>
    <w:p w14:paraId="599293DC" w14:textId="4B14FA4D" w:rsidR="00312ACA" w:rsidRDefault="00D11A5A" w:rsidP="00C443A0">
      <w:pPr>
        <w:pStyle w:val="subparaa"/>
        <w:numPr>
          <w:ilvl w:val="1"/>
          <w:numId w:val="17"/>
        </w:numPr>
      </w:pPr>
      <w:r>
        <w:t>t</w:t>
      </w:r>
      <w:r w:rsidR="00721014">
        <w:t>he functions of the access</w:t>
      </w:r>
      <w:r>
        <w:t>—</w:t>
      </w:r>
      <w:r w:rsidR="00721014">
        <w:t>whether</w:t>
      </w:r>
      <w:r w:rsidR="00C2007E">
        <w:t xml:space="preserve"> able to</w:t>
      </w:r>
      <w:r w:rsidR="00312ACA">
        <w:t>:</w:t>
      </w:r>
    </w:p>
    <w:p w14:paraId="6CFA2D22" w14:textId="4BAC6448" w:rsidR="00312ACA" w:rsidRDefault="00721014" w:rsidP="00C443A0">
      <w:pPr>
        <w:pStyle w:val="subsubparai"/>
        <w:numPr>
          <w:ilvl w:val="2"/>
          <w:numId w:val="17"/>
        </w:numPr>
      </w:pPr>
      <w:r>
        <w:t>create UPIs</w:t>
      </w:r>
      <w:r w:rsidR="00D11A5A">
        <w:t>;</w:t>
      </w:r>
    </w:p>
    <w:p w14:paraId="69DFAD04" w14:textId="77777777" w:rsidR="00312ACA" w:rsidRDefault="00312ACA" w:rsidP="00C443A0">
      <w:pPr>
        <w:pStyle w:val="subsubparai"/>
        <w:numPr>
          <w:ilvl w:val="2"/>
          <w:numId w:val="17"/>
        </w:numPr>
      </w:pPr>
      <w:r>
        <w:t>search for UPIs applicable to products with one or more specific reference data elements; and/or</w:t>
      </w:r>
    </w:p>
    <w:p w14:paraId="12FCA5AF" w14:textId="42701D33" w:rsidR="00721014" w:rsidRDefault="00312ACA" w:rsidP="00C443A0">
      <w:pPr>
        <w:pStyle w:val="subsubparai"/>
        <w:numPr>
          <w:ilvl w:val="2"/>
          <w:numId w:val="17"/>
        </w:numPr>
      </w:pPr>
      <w:r>
        <w:t>download UPI records with their associated reference data library.</w:t>
      </w:r>
    </w:p>
    <w:p w14:paraId="621CFA8D" w14:textId="5250347F" w:rsidR="00312ACA" w:rsidRDefault="00312ACA" w:rsidP="009E60D1">
      <w:pPr>
        <w:pStyle w:val="Bodytextplain"/>
      </w:pPr>
      <w:r>
        <w:t>Stakeholders should refer to the DSB Final Report for more information about these access mechanisms and access functions.</w:t>
      </w:r>
    </w:p>
    <w:p w14:paraId="5AFFC49A" w14:textId="48D4A80B" w:rsidR="00325E4D" w:rsidRDefault="00325E4D" w:rsidP="00325E4D">
      <w:pPr>
        <w:pStyle w:val="tabletitleindented"/>
      </w:pPr>
      <w:bookmarkStart w:id="124" w:name="_Ref92369830"/>
      <w:r>
        <w:t xml:space="preserve">Table </w:t>
      </w:r>
      <w:fldSimple w:instr=" SEQ Table \* ARABIC ">
        <w:r w:rsidR="006679BA">
          <w:rPr>
            <w:noProof/>
          </w:rPr>
          <w:t>18</w:t>
        </w:r>
      </w:fldSimple>
      <w:bookmarkEnd w:id="124"/>
      <w:r>
        <w:t>:</w:t>
      </w:r>
      <w:r>
        <w:tab/>
        <w:t>DSB’s user access mechanisms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474"/>
        <w:gridCol w:w="2098"/>
        <w:gridCol w:w="2098"/>
        <w:gridCol w:w="1132"/>
      </w:tblGrid>
      <w:tr w:rsidR="00325E4D" w:rsidRPr="000540E1" w14:paraId="35E7B45A" w14:textId="77777777" w:rsidTr="005F7B04">
        <w:trPr>
          <w:cantSplit/>
          <w:tblHeader/>
        </w:trPr>
        <w:tc>
          <w:tcPr>
            <w:tcW w:w="0" w:type="auto"/>
            <w:shd w:val="clear" w:color="auto" w:fill="C2E3FA"/>
          </w:tcPr>
          <w:p w14:paraId="28CA2163" w14:textId="1E7FDF8B" w:rsidR="00325E4D" w:rsidRDefault="00325E4D" w:rsidP="005E0998">
            <w:pPr>
              <w:pStyle w:val="tablehead"/>
            </w:pPr>
            <w:r>
              <w:t>Category</w:t>
            </w:r>
          </w:p>
        </w:tc>
        <w:tc>
          <w:tcPr>
            <w:tcW w:w="2098" w:type="dxa"/>
            <w:shd w:val="clear" w:color="auto" w:fill="C2E3FA"/>
          </w:tcPr>
          <w:p w14:paraId="54AA9624" w14:textId="58E2EE73" w:rsidR="00325E4D" w:rsidRPr="000540E1" w:rsidRDefault="00325E4D" w:rsidP="005E0998">
            <w:pPr>
              <w:pStyle w:val="tablehead"/>
            </w:pPr>
            <w:r>
              <w:t>Access mechanism</w:t>
            </w:r>
          </w:p>
        </w:tc>
        <w:tc>
          <w:tcPr>
            <w:tcW w:w="2098" w:type="dxa"/>
            <w:shd w:val="clear" w:color="auto" w:fill="C2E3FA"/>
          </w:tcPr>
          <w:p w14:paraId="38081E8E" w14:textId="4EEC864C" w:rsidR="00325E4D" w:rsidRDefault="00325E4D" w:rsidP="005E0998">
            <w:pPr>
              <w:pStyle w:val="tablehead"/>
            </w:pPr>
            <w:r>
              <w:t>Access functions</w:t>
            </w:r>
          </w:p>
        </w:tc>
        <w:tc>
          <w:tcPr>
            <w:tcW w:w="1132" w:type="dxa"/>
            <w:shd w:val="clear" w:color="auto" w:fill="C2E3FA"/>
          </w:tcPr>
          <w:p w14:paraId="4B4BCC41" w14:textId="71B7ECE6" w:rsidR="00325E4D" w:rsidRPr="000540E1" w:rsidRDefault="00325E4D" w:rsidP="00325E4D">
            <w:pPr>
              <w:pStyle w:val="tablehead"/>
              <w:jc w:val="center"/>
            </w:pPr>
            <w:r>
              <w:t>Fee-paying</w:t>
            </w:r>
          </w:p>
        </w:tc>
      </w:tr>
      <w:tr w:rsidR="00325E4D" w:rsidRPr="000540E1" w14:paraId="0B160DA5" w14:textId="77777777" w:rsidTr="005F7B04">
        <w:trPr>
          <w:cantSplit/>
        </w:trPr>
        <w:tc>
          <w:tcPr>
            <w:tcW w:w="0" w:type="auto"/>
          </w:tcPr>
          <w:p w14:paraId="48877466" w14:textId="1EE4D19E" w:rsidR="00325E4D" w:rsidRPr="000540E1" w:rsidRDefault="00325E4D" w:rsidP="005E0998">
            <w:pPr>
              <w:pStyle w:val="tbltext"/>
            </w:pPr>
            <w:r>
              <w:t>Power user</w:t>
            </w:r>
          </w:p>
        </w:tc>
        <w:tc>
          <w:tcPr>
            <w:tcW w:w="2098" w:type="dxa"/>
          </w:tcPr>
          <w:p w14:paraId="15350DF7" w14:textId="45A803A7" w:rsidR="00325E4D" w:rsidRPr="000540E1" w:rsidRDefault="00325E4D" w:rsidP="005E0998">
            <w:pPr>
              <w:pStyle w:val="tbltext"/>
            </w:pPr>
            <w:r>
              <w:t xml:space="preserve">Full </w:t>
            </w:r>
            <w:r w:rsidR="0053394C">
              <w:t>p</w:t>
            </w:r>
            <w:r>
              <w:t>rogrammatic</w:t>
            </w:r>
          </w:p>
        </w:tc>
        <w:tc>
          <w:tcPr>
            <w:tcW w:w="2098" w:type="dxa"/>
          </w:tcPr>
          <w:p w14:paraId="614B88A7" w14:textId="59A0FF39" w:rsidR="00325E4D" w:rsidRPr="000540E1" w:rsidRDefault="0053394C" w:rsidP="005E0998">
            <w:pPr>
              <w:pStyle w:val="tbltext"/>
            </w:pPr>
            <w:r>
              <w:t>C</w:t>
            </w:r>
            <w:r w:rsidR="00325E4D">
              <w:t>reate, search, download</w:t>
            </w:r>
          </w:p>
        </w:tc>
        <w:tc>
          <w:tcPr>
            <w:tcW w:w="1132" w:type="dxa"/>
          </w:tcPr>
          <w:p w14:paraId="14FEB943" w14:textId="04A8FEEA" w:rsidR="00325E4D" w:rsidRPr="000540E1" w:rsidRDefault="00325E4D" w:rsidP="00325E4D">
            <w:pPr>
              <w:pStyle w:val="tbltext"/>
              <w:jc w:val="center"/>
            </w:pPr>
            <w:r>
              <w:t>Yes</w:t>
            </w:r>
          </w:p>
        </w:tc>
      </w:tr>
      <w:tr w:rsidR="00325E4D" w:rsidRPr="000540E1" w14:paraId="33BB94D4" w14:textId="77777777" w:rsidTr="005F7B04">
        <w:trPr>
          <w:cantSplit/>
        </w:trPr>
        <w:tc>
          <w:tcPr>
            <w:tcW w:w="0" w:type="auto"/>
          </w:tcPr>
          <w:p w14:paraId="17423EC7" w14:textId="3641F6B7" w:rsidR="00325E4D" w:rsidRPr="000540E1" w:rsidRDefault="00325E4D" w:rsidP="005E0998">
            <w:pPr>
              <w:pStyle w:val="tbltext"/>
            </w:pPr>
            <w:r>
              <w:t>Search-only API user</w:t>
            </w:r>
          </w:p>
        </w:tc>
        <w:tc>
          <w:tcPr>
            <w:tcW w:w="2098" w:type="dxa"/>
          </w:tcPr>
          <w:p w14:paraId="6616BB82" w14:textId="1E4476AF" w:rsidR="00325E4D" w:rsidRPr="000540E1" w:rsidRDefault="00325E4D" w:rsidP="005E0998">
            <w:pPr>
              <w:pStyle w:val="tbltext"/>
            </w:pPr>
            <w:r>
              <w:t xml:space="preserve">Limited </w:t>
            </w:r>
            <w:r w:rsidR="0053394C">
              <w:t>p</w:t>
            </w:r>
            <w:r>
              <w:t xml:space="preserve">rogrammatic </w:t>
            </w:r>
            <w:r w:rsidR="0053394C">
              <w:t>a</w:t>
            </w:r>
            <w:r>
              <w:t>ccess</w:t>
            </w:r>
          </w:p>
        </w:tc>
        <w:tc>
          <w:tcPr>
            <w:tcW w:w="2098" w:type="dxa"/>
          </w:tcPr>
          <w:p w14:paraId="249EF8A6" w14:textId="1C4A54D7" w:rsidR="00325E4D" w:rsidRPr="000540E1" w:rsidRDefault="0053394C" w:rsidP="005E0998">
            <w:pPr>
              <w:pStyle w:val="tbltext"/>
            </w:pPr>
            <w:r>
              <w:t>S</w:t>
            </w:r>
            <w:r w:rsidR="00325E4D">
              <w:t>earch</w:t>
            </w:r>
            <w:r>
              <w:t xml:space="preserve"> (limited)</w:t>
            </w:r>
          </w:p>
        </w:tc>
        <w:tc>
          <w:tcPr>
            <w:tcW w:w="1132" w:type="dxa"/>
          </w:tcPr>
          <w:p w14:paraId="68161F4C" w14:textId="1E4BA3DB" w:rsidR="00325E4D" w:rsidRPr="000540E1" w:rsidRDefault="00325E4D" w:rsidP="00325E4D">
            <w:pPr>
              <w:pStyle w:val="tbltext"/>
              <w:jc w:val="center"/>
            </w:pPr>
            <w:r>
              <w:t>Yes</w:t>
            </w:r>
          </w:p>
        </w:tc>
      </w:tr>
      <w:tr w:rsidR="00721014" w:rsidRPr="000540E1" w14:paraId="217ED06E" w14:textId="77777777" w:rsidTr="005F7B04">
        <w:trPr>
          <w:cantSplit/>
        </w:trPr>
        <w:tc>
          <w:tcPr>
            <w:tcW w:w="0" w:type="auto"/>
          </w:tcPr>
          <w:p w14:paraId="0E5F57F6" w14:textId="2764A5A9" w:rsidR="00721014" w:rsidRPr="000540E1" w:rsidRDefault="00721014" w:rsidP="00721014">
            <w:pPr>
              <w:pStyle w:val="tbltext"/>
            </w:pPr>
            <w:r>
              <w:t>Standard user</w:t>
            </w:r>
          </w:p>
        </w:tc>
        <w:tc>
          <w:tcPr>
            <w:tcW w:w="2098" w:type="dxa"/>
          </w:tcPr>
          <w:p w14:paraId="70A15736" w14:textId="6AA57BB8" w:rsidR="00721014" w:rsidRPr="000540E1" w:rsidRDefault="00721014" w:rsidP="00721014">
            <w:pPr>
              <w:pStyle w:val="tbltext"/>
            </w:pPr>
            <w:r>
              <w:t xml:space="preserve">Manual </w:t>
            </w:r>
            <w:r w:rsidR="0053394C">
              <w:t>a</w:t>
            </w:r>
            <w:r>
              <w:t>ccess</w:t>
            </w:r>
          </w:p>
        </w:tc>
        <w:tc>
          <w:tcPr>
            <w:tcW w:w="2098" w:type="dxa"/>
          </w:tcPr>
          <w:p w14:paraId="36A9E3DA" w14:textId="698823D9" w:rsidR="00721014" w:rsidRPr="000540E1" w:rsidRDefault="0053394C" w:rsidP="00721014">
            <w:pPr>
              <w:pStyle w:val="tbltext"/>
            </w:pPr>
            <w:r>
              <w:t>C</w:t>
            </w:r>
            <w:r w:rsidR="00721014">
              <w:t>reate, search, download</w:t>
            </w:r>
          </w:p>
        </w:tc>
        <w:tc>
          <w:tcPr>
            <w:tcW w:w="1132" w:type="dxa"/>
          </w:tcPr>
          <w:p w14:paraId="3E496A46" w14:textId="5669E1F7" w:rsidR="00721014" w:rsidRPr="000540E1" w:rsidRDefault="00721014" w:rsidP="00721014">
            <w:pPr>
              <w:pStyle w:val="tbltext"/>
              <w:jc w:val="center"/>
            </w:pPr>
            <w:r>
              <w:t>Yes</w:t>
            </w:r>
          </w:p>
        </w:tc>
      </w:tr>
      <w:tr w:rsidR="00721014" w:rsidRPr="000540E1" w14:paraId="69F3930D" w14:textId="77777777" w:rsidTr="005F7B04">
        <w:trPr>
          <w:cantSplit/>
        </w:trPr>
        <w:tc>
          <w:tcPr>
            <w:tcW w:w="0" w:type="auto"/>
          </w:tcPr>
          <w:p w14:paraId="242DE06B" w14:textId="7BE9088E" w:rsidR="00721014" w:rsidRDefault="00721014" w:rsidP="00721014">
            <w:pPr>
              <w:pStyle w:val="tbltext"/>
            </w:pPr>
            <w:r>
              <w:t>Infrequent user</w:t>
            </w:r>
          </w:p>
        </w:tc>
        <w:tc>
          <w:tcPr>
            <w:tcW w:w="2098" w:type="dxa"/>
          </w:tcPr>
          <w:p w14:paraId="0F073A8C" w14:textId="26D42C27" w:rsidR="00721014" w:rsidRDefault="00721014" w:rsidP="00721014">
            <w:pPr>
              <w:pStyle w:val="tbltext"/>
            </w:pPr>
            <w:r>
              <w:t xml:space="preserve">Manual </w:t>
            </w:r>
            <w:r w:rsidR="0053394C">
              <w:t>a</w:t>
            </w:r>
            <w:r>
              <w:t>ccess</w:t>
            </w:r>
          </w:p>
        </w:tc>
        <w:tc>
          <w:tcPr>
            <w:tcW w:w="2098" w:type="dxa"/>
          </w:tcPr>
          <w:p w14:paraId="235DBFE3" w14:textId="34AE925C" w:rsidR="00721014" w:rsidRDefault="0053394C" w:rsidP="00721014">
            <w:pPr>
              <w:pStyle w:val="tbltext"/>
            </w:pPr>
            <w:r>
              <w:t>C</w:t>
            </w:r>
            <w:r w:rsidR="00721014">
              <w:t>reate, search, download</w:t>
            </w:r>
            <w:r>
              <w:t xml:space="preserve"> (limited)</w:t>
            </w:r>
          </w:p>
        </w:tc>
        <w:tc>
          <w:tcPr>
            <w:tcW w:w="1132" w:type="dxa"/>
          </w:tcPr>
          <w:p w14:paraId="5E9735B0" w14:textId="2D8E7564" w:rsidR="00721014" w:rsidRDefault="00721014" w:rsidP="00721014">
            <w:pPr>
              <w:pStyle w:val="tbltext"/>
              <w:jc w:val="center"/>
            </w:pPr>
            <w:r>
              <w:t>Yes</w:t>
            </w:r>
          </w:p>
        </w:tc>
      </w:tr>
      <w:tr w:rsidR="00721014" w:rsidRPr="000540E1" w14:paraId="0C7EE4D3" w14:textId="77777777" w:rsidTr="005F7B04">
        <w:trPr>
          <w:cantSplit/>
        </w:trPr>
        <w:tc>
          <w:tcPr>
            <w:tcW w:w="0" w:type="auto"/>
          </w:tcPr>
          <w:p w14:paraId="7FD05761" w14:textId="1D69588D" w:rsidR="00721014" w:rsidRDefault="00721014" w:rsidP="00721014">
            <w:pPr>
              <w:pStyle w:val="tbltext"/>
            </w:pPr>
            <w:r>
              <w:t>Registered user</w:t>
            </w:r>
          </w:p>
        </w:tc>
        <w:tc>
          <w:tcPr>
            <w:tcW w:w="2098" w:type="dxa"/>
          </w:tcPr>
          <w:p w14:paraId="76B530BA" w14:textId="2831A41F" w:rsidR="00721014" w:rsidRDefault="00721014" w:rsidP="00721014">
            <w:pPr>
              <w:pStyle w:val="tbltext"/>
            </w:pPr>
            <w:r>
              <w:t xml:space="preserve">Manual </w:t>
            </w:r>
            <w:r w:rsidR="0053394C">
              <w:t>a</w:t>
            </w:r>
            <w:r>
              <w:t>ccess</w:t>
            </w:r>
          </w:p>
        </w:tc>
        <w:tc>
          <w:tcPr>
            <w:tcW w:w="2098" w:type="dxa"/>
          </w:tcPr>
          <w:p w14:paraId="201B3F97" w14:textId="137204CB" w:rsidR="00721014" w:rsidRDefault="0053394C" w:rsidP="00721014">
            <w:pPr>
              <w:pStyle w:val="tbltext"/>
            </w:pPr>
            <w:r>
              <w:t>S</w:t>
            </w:r>
            <w:r w:rsidR="00721014">
              <w:t>earch, download</w:t>
            </w:r>
          </w:p>
        </w:tc>
        <w:tc>
          <w:tcPr>
            <w:tcW w:w="1132" w:type="dxa"/>
          </w:tcPr>
          <w:p w14:paraId="50634C9C" w14:textId="3BA527A5" w:rsidR="00721014" w:rsidRDefault="00721014" w:rsidP="00721014">
            <w:pPr>
              <w:pStyle w:val="tbltext"/>
              <w:jc w:val="center"/>
            </w:pPr>
            <w:r>
              <w:t>No</w:t>
            </w:r>
          </w:p>
        </w:tc>
      </w:tr>
    </w:tbl>
    <w:p w14:paraId="190ECD00" w14:textId="7D2A04F8" w:rsidR="00325E4D" w:rsidRPr="00721014" w:rsidRDefault="00325E4D" w:rsidP="00721014">
      <w:pPr>
        <w:pStyle w:val="sourcenoteindented"/>
      </w:pPr>
      <w:r>
        <w:t xml:space="preserve">Source: </w:t>
      </w:r>
      <w:r w:rsidR="00D11A5A">
        <w:t>A</w:t>
      </w:r>
      <w:r w:rsidR="00721014">
        <w:t xml:space="preserve">dapted from DSB, </w:t>
      </w:r>
      <w:hyperlink r:id="rId100" w:history="1">
        <w:r w:rsidR="00721014" w:rsidRPr="00721014">
          <w:rPr>
            <w:rStyle w:val="Hyperlink"/>
            <w:i/>
            <w:iCs/>
          </w:rPr>
          <w:t xml:space="preserve">Principles </w:t>
        </w:r>
        <w:r w:rsidR="0053394C">
          <w:rPr>
            <w:rStyle w:val="Hyperlink"/>
            <w:i/>
            <w:iCs/>
          </w:rPr>
          <w:t>u</w:t>
        </w:r>
        <w:r w:rsidR="00721014" w:rsidRPr="00721014">
          <w:rPr>
            <w:rStyle w:val="Hyperlink"/>
            <w:i/>
            <w:iCs/>
          </w:rPr>
          <w:t xml:space="preserve">nderlying the </w:t>
        </w:r>
        <w:r w:rsidR="0053394C">
          <w:rPr>
            <w:rStyle w:val="Hyperlink"/>
            <w:i/>
            <w:iCs/>
          </w:rPr>
          <w:t>f</w:t>
        </w:r>
        <w:r w:rsidR="00721014" w:rsidRPr="00721014">
          <w:rPr>
            <w:rStyle w:val="Hyperlink"/>
            <w:i/>
            <w:iCs/>
          </w:rPr>
          <w:t xml:space="preserve">ee </w:t>
        </w:r>
        <w:r w:rsidR="0053394C">
          <w:rPr>
            <w:rStyle w:val="Hyperlink"/>
            <w:i/>
            <w:iCs/>
          </w:rPr>
          <w:t>m</w:t>
        </w:r>
        <w:r w:rsidR="00721014" w:rsidRPr="00721014">
          <w:rPr>
            <w:rStyle w:val="Hyperlink"/>
            <w:i/>
            <w:iCs/>
          </w:rPr>
          <w:t xml:space="preserve">odel for the </w:t>
        </w:r>
        <w:r w:rsidR="0053394C">
          <w:rPr>
            <w:rStyle w:val="Hyperlink"/>
            <w:i/>
            <w:iCs/>
          </w:rPr>
          <w:t>u</w:t>
        </w:r>
        <w:r w:rsidR="00721014" w:rsidRPr="00721014">
          <w:rPr>
            <w:rStyle w:val="Hyperlink"/>
            <w:i/>
            <w:iCs/>
          </w:rPr>
          <w:t xml:space="preserve">nique </w:t>
        </w:r>
        <w:r w:rsidR="0053394C">
          <w:rPr>
            <w:rStyle w:val="Hyperlink"/>
            <w:i/>
            <w:iCs/>
          </w:rPr>
          <w:t>p</w:t>
        </w:r>
        <w:r w:rsidR="00721014" w:rsidRPr="00721014">
          <w:rPr>
            <w:rStyle w:val="Hyperlink"/>
            <w:i/>
            <w:iCs/>
          </w:rPr>
          <w:t xml:space="preserve">roduct </w:t>
        </w:r>
        <w:r w:rsidR="0053394C">
          <w:rPr>
            <w:rStyle w:val="Hyperlink"/>
            <w:i/>
            <w:iCs/>
          </w:rPr>
          <w:t>i</w:t>
        </w:r>
        <w:r w:rsidR="00721014" w:rsidRPr="00721014">
          <w:rPr>
            <w:rStyle w:val="Hyperlink"/>
            <w:i/>
            <w:iCs/>
          </w:rPr>
          <w:t xml:space="preserve">dentifier (UPI) </w:t>
        </w:r>
        <w:r w:rsidR="0053394C">
          <w:rPr>
            <w:rStyle w:val="Hyperlink"/>
            <w:i/>
            <w:iCs/>
          </w:rPr>
          <w:t>s</w:t>
        </w:r>
        <w:r w:rsidR="00721014" w:rsidRPr="00721014">
          <w:rPr>
            <w:rStyle w:val="Hyperlink"/>
            <w:i/>
            <w:iCs/>
          </w:rPr>
          <w:t>ervice</w:t>
        </w:r>
        <w:r w:rsidR="0053394C">
          <w:rPr>
            <w:rStyle w:val="Hyperlink"/>
            <w:i/>
            <w:iCs/>
          </w:rPr>
          <w:t>: B</w:t>
        </w:r>
        <w:r w:rsidR="00721014" w:rsidRPr="00721014">
          <w:rPr>
            <w:rStyle w:val="Hyperlink"/>
            <w:i/>
            <w:iCs/>
          </w:rPr>
          <w:t xml:space="preserve">ased on </w:t>
        </w:r>
        <w:r w:rsidR="0053394C">
          <w:rPr>
            <w:rStyle w:val="Hyperlink"/>
            <w:i/>
            <w:iCs/>
          </w:rPr>
          <w:t>i</w:t>
        </w:r>
        <w:r w:rsidR="00721014" w:rsidRPr="00721014">
          <w:rPr>
            <w:rStyle w:val="Hyperlink"/>
            <w:i/>
            <w:iCs/>
          </w:rPr>
          <w:t xml:space="preserve">ndustry </w:t>
        </w:r>
        <w:r w:rsidR="0053394C">
          <w:rPr>
            <w:rStyle w:val="Hyperlink"/>
            <w:i/>
            <w:iCs/>
          </w:rPr>
          <w:t>f</w:t>
        </w:r>
        <w:r w:rsidR="00721014" w:rsidRPr="00721014">
          <w:rPr>
            <w:rStyle w:val="Hyperlink"/>
            <w:i/>
            <w:iCs/>
          </w:rPr>
          <w:t xml:space="preserve">eedback to </w:t>
        </w:r>
        <w:r w:rsidR="0053394C">
          <w:rPr>
            <w:rStyle w:val="Hyperlink"/>
            <w:i/>
            <w:iCs/>
          </w:rPr>
          <w:t>t</w:t>
        </w:r>
        <w:r w:rsidR="00721014" w:rsidRPr="00721014">
          <w:rPr>
            <w:rStyle w:val="Hyperlink"/>
            <w:i/>
            <w:iCs/>
          </w:rPr>
          <w:t xml:space="preserve">wo </w:t>
        </w:r>
        <w:r w:rsidR="0053394C">
          <w:rPr>
            <w:rStyle w:val="Hyperlink"/>
            <w:i/>
            <w:iCs/>
          </w:rPr>
          <w:t>c</w:t>
        </w:r>
        <w:r w:rsidR="00721014" w:rsidRPr="00721014">
          <w:rPr>
            <w:rStyle w:val="Hyperlink"/>
            <w:i/>
            <w:iCs/>
          </w:rPr>
          <w:t xml:space="preserve">onsultation </w:t>
        </w:r>
        <w:r w:rsidR="0053394C">
          <w:rPr>
            <w:rStyle w:val="Hyperlink"/>
            <w:i/>
            <w:iCs/>
          </w:rPr>
          <w:t>p</w:t>
        </w:r>
        <w:r w:rsidR="00721014" w:rsidRPr="00721014">
          <w:rPr>
            <w:rStyle w:val="Hyperlink"/>
            <w:i/>
            <w:iCs/>
          </w:rPr>
          <w:t>apers</w:t>
        </w:r>
        <w:r w:rsidR="00CA0229">
          <w:rPr>
            <w:rStyle w:val="Hyperlink"/>
            <w:i/>
            <w:iCs/>
          </w:rPr>
          <w:t>—F</w:t>
        </w:r>
        <w:r w:rsidR="00721014" w:rsidRPr="00721014">
          <w:rPr>
            <w:rStyle w:val="Hyperlink"/>
            <w:i/>
            <w:iCs/>
          </w:rPr>
          <w:t xml:space="preserve">inal </w:t>
        </w:r>
        <w:r w:rsidR="0053394C">
          <w:rPr>
            <w:rStyle w:val="Hyperlink"/>
            <w:i/>
            <w:iCs/>
          </w:rPr>
          <w:t>r</w:t>
        </w:r>
        <w:r w:rsidR="00721014" w:rsidRPr="00721014">
          <w:rPr>
            <w:rStyle w:val="Hyperlink"/>
            <w:i/>
            <w:iCs/>
          </w:rPr>
          <w:t>eport</w:t>
        </w:r>
      </w:hyperlink>
      <w:r w:rsidR="00721014">
        <w:t>, 27</w:t>
      </w:r>
      <w:r w:rsidR="00B32A15">
        <w:t> </w:t>
      </w:r>
      <w:r w:rsidR="00721014">
        <w:t>September 2021</w:t>
      </w:r>
      <w:r w:rsidR="00D11A5A">
        <w:t>.</w:t>
      </w:r>
    </w:p>
    <w:p w14:paraId="7E3C07F6" w14:textId="7C221794" w:rsidR="00B349D3" w:rsidRPr="0053394C" w:rsidRDefault="00312ACA" w:rsidP="005F328E">
      <w:pPr>
        <w:pStyle w:val="BodyText"/>
        <w:ind w:left="2268"/>
      </w:pPr>
      <w:r>
        <w:t>DSB’s Final Repo</w:t>
      </w:r>
      <w:r w:rsidRPr="0053394C">
        <w:t>rt</w:t>
      </w:r>
      <w:r w:rsidR="00721014" w:rsidRPr="0053394C">
        <w:t xml:space="preserve"> </w:t>
      </w:r>
      <w:r w:rsidR="0012093C" w:rsidRPr="0053394C">
        <w:t>also set</w:t>
      </w:r>
      <w:r w:rsidR="0053394C">
        <w:t>s</w:t>
      </w:r>
      <w:r w:rsidR="0012093C" w:rsidRPr="0053394C">
        <w:t xml:space="preserve"> out a fee schedule as ‘</w:t>
      </w:r>
      <w:r w:rsidR="0012093C" w:rsidRPr="007073D2">
        <w:t>illustrative only for the expected first full year of operation (2023), with final fees being contingent on user numbers and Estimated Total UPI cost</w:t>
      </w:r>
      <w:r w:rsidR="0012093C" w:rsidRPr="0053394C">
        <w:t>’. The fee schedule was presented for DSB’s ‘</w:t>
      </w:r>
      <w:r w:rsidR="0012093C" w:rsidRPr="007073D2">
        <w:t>lower threshold of user estimates</w:t>
      </w:r>
      <w:r w:rsidR="0012093C" w:rsidRPr="0053394C">
        <w:t>’ of 3,000 fee-</w:t>
      </w:r>
      <w:r w:rsidR="0012093C" w:rsidRPr="00FF25E1">
        <w:t>paying users</w:t>
      </w:r>
      <w:r w:rsidR="0012093C" w:rsidRPr="0053394C">
        <w:t xml:space="preserve"> </w:t>
      </w:r>
      <w:r w:rsidR="005E1237" w:rsidRPr="0053394C">
        <w:t>and</w:t>
      </w:r>
      <w:r w:rsidR="0012093C" w:rsidRPr="0053394C">
        <w:t xml:space="preserve"> for an even lower 300 users:</w:t>
      </w:r>
      <w:r w:rsidR="0053394C">
        <w:t xml:space="preserve"> see </w:t>
      </w:r>
      <w:r w:rsidR="0053394C">
        <w:fldChar w:fldCharType="begin" w:fldLock="1"/>
      </w:r>
      <w:r w:rsidR="0053394C">
        <w:instrText xml:space="preserve"> REF _Ref92370104 \h </w:instrText>
      </w:r>
      <w:r w:rsidR="0053394C">
        <w:fldChar w:fldCharType="separate"/>
      </w:r>
      <w:r w:rsidR="00853A2A">
        <w:t xml:space="preserve">Table </w:t>
      </w:r>
      <w:r w:rsidR="00853A2A">
        <w:rPr>
          <w:noProof/>
        </w:rPr>
        <w:t>19</w:t>
      </w:r>
      <w:r w:rsidR="0053394C">
        <w:fldChar w:fldCharType="end"/>
      </w:r>
      <w:r w:rsidR="0053394C">
        <w:t>.</w:t>
      </w:r>
    </w:p>
    <w:p w14:paraId="7F9D5B75" w14:textId="475D45AB" w:rsidR="0012093C" w:rsidRDefault="0012093C" w:rsidP="0012093C">
      <w:pPr>
        <w:pStyle w:val="tabletitleindented"/>
      </w:pPr>
      <w:bookmarkStart w:id="125" w:name="_Ref92370104"/>
      <w:r>
        <w:t xml:space="preserve">Table </w:t>
      </w:r>
      <w:fldSimple w:instr=" SEQ Table \* ARABIC ">
        <w:r w:rsidR="006679BA">
          <w:rPr>
            <w:noProof/>
          </w:rPr>
          <w:t>19</w:t>
        </w:r>
      </w:fldSimple>
      <w:bookmarkEnd w:id="125"/>
      <w:r>
        <w:t>:</w:t>
      </w:r>
      <w:r>
        <w:tab/>
        <w:t>DSB’s illustrative fee schedules</w:t>
      </w:r>
      <w:r w:rsidR="00D11A5A">
        <w:t>—</w:t>
      </w:r>
      <w:r w:rsidR="00BE724E">
        <w:t>F</w:t>
      </w:r>
      <w:r w:rsidR="008C1DE7">
        <w:t>ees per annum</w:t>
      </w:r>
    </w:p>
    <w:tbl>
      <w:tblPr>
        <w:tblW w:w="6803"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268"/>
        <w:gridCol w:w="2268"/>
        <w:gridCol w:w="2267"/>
      </w:tblGrid>
      <w:tr w:rsidR="0012093C" w:rsidRPr="000540E1" w14:paraId="39216D4F" w14:textId="77777777" w:rsidTr="0012093C">
        <w:trPr>
          <w:cantSplit/>
          <w:tblHeader/>
        </w:trPr>
        <w:tc>
          <w:tcPr>
            <w:tcW w:w="1667" w:type="pct"/>
            <w:shd w:val="clear" w:color="auto" w:fill="C2E3FA"/>
          </w:tcPr>
          <w:p w14:paraId="17FE2C90" w14:textId="0AF3338A" w:rsidR="0012093C" w:rsidRDefault="0012093C" w:rsidP="005E0998">
            <w:pPr>
              <w:pStyle w:val="tablehead"/>
            </w:pPr>
            <w:r>
              <w:t>Category</w:t>
            </w:r>
          </w:p>
        </w:tc>
        <w:tc>
          <w:tcPr>
            <w:tcW w:w="1667" w:type="pct"/>
            <w:shd w:val="clear" w:color="auto" w:fill="C2E3FA"/>
          </w:tcPr>
          <w:p w14:paraId="526EE00F" w14:textId="2C67C5F7" w:rsidR="0012093C" w:rsidRPr="000540E1" w:rsidRDefault="0012093C" w:rsidP="0012093C">
            <w:pPr>
              <w:pStyle w:val="tablehead"/>
              <w:jc w:val="right"/>
            </w:pPr>
            <w:r>
              <w:t>3,000 users</w:t>
            </w:r>
          </w:p>
        </w:tc>
        <w:tc>
          <w:tcPr>
            <w:tcW w:w="1666" w:type="pct"/>
            <w:shd w:val="clear" w:color="auto" w:fill="C2E3FA"/>
          </w:tcPr>
          <w:p w14:paraId="23D18D2B" w14:textId="722DBB32" w:rsidR="0012093C" w:rsidRPr="000540E1" w:rsidRDefault="0012093C" w:rsidP="0012093C">
            <w:pPr>
              <w:pStyle w:val="tablehead"/>
              <w:jc w:val="right"/>
            </w:pPr>
            <w:r>
              <w:t>300 users</w:t>
            </w:r>
          </w:p>
        </w:tc>
      </w:tr>
      <w:tr w:rsidR="0012093C" w:rsidRPr="000540E1" w14:paraId="340ACBE7" w14:textId="77777777" w:rsidTr="005E0998">
        <w:trPr>
          <w:cantSplit/>
        </w:trPr>
        <w:tc>
          <w:tcPr>
            <w:tcW w:w="1667" w:type="pct"/>
          </w:tcPr>
          <w:p w14:paraId="62801A6C" w14:textId="3A8C8AA8" w:rsidR="0012093C" w:rsidRPr="000540E1" w:rsidRDefault="0012093C" w:rsidP="005E0998">
            <w:pPr>
              <w:pStyle w:val="tbltext"/>
            </w:pPr>
            <w:r w:rsidRPr="0012093C">
              <w:t xml:space="preserve">Power </w:t>
            </w:r>
            <w:r w:rsidR="009C721C">
              <w:t>u</w:t>
            </w:r>
            <w:r w:rsidRPr="0012093C">
              <w:t xml:space="preserve">ser </w:t>
            </w:r>
            <w:r w:rsidR="009C721C">
              <w:t>f</w:t>
            </w:r>
            <w:r w:rsidRPr="0012093C">
              <w:t>ee</w:t>
            </w:r>
          </w:p>
        </w:tc>
        <w:tc>
          <w:tcPr>
            <w:tcW w:w="1667" w:type="pct"/>
          </w:tcPr>
          <w:p w14:paraId="67827AFF" w14:textId="01FB7557" w:rsidR="0012093C" w:rsidRPr="000540E1" w:rsidRDefault="0012093C" w:rsidP="0012093C">
            <w:pPr>
              <w:pStyle w:val="tbltext"/>
              <w:jc w:val="right"/>
            </w:pPr>
            <w:r w:rsidRPr="0012093C">
              <w:t>€</w:t>
            </w:r>
            <w:r>
              <w:t>5,111</w:t>
            </w:r>
          </w:p>
        </w:tc>
        <w:tc>
          <w:tcPr>
            <w:tcW w:w="1666" w:type="pct"/>
          </w:tcPr>
          <w:p w14:paraId="13B579B5" w14:textId="2999A587" w:rsidR="0012093C" w:rsidRPr="000540E1" w:rsidRDefault="0012093C" w:rsidP="0012093C">
            <w:pPr>
              <w:pStyle w:val="tbltext"/>
              <w:jc w:val="right"/>
            </w:pPr>
            <w:r w:rsidRPr="0012093C">
              <w:t>€</w:t>
            </w:r>
            <w:r>
              <w:t>35,818</w:t>
            </w:r>
          </w:p>
        </w:tc>
      </w:tr>
      <w:tr w:rsidR="0012093C" w:rsidRPr="000540E1" w14:paraId="33729BA2" w14:textId="77777777" w:rsidTr="005E0998">
        <w:trPr>
          <w:cantSplit/>
        </w:trPr>
        <w:tc>
          <w:tcPr>
            <w:tcW w:w="1667" w:type="pct"/>
          </w:tcPr>
          <w:p w14:paraId="2522C6BB" w14:textId="4E4D76F9" w:rsidR="0012093C" w:rsidRPr="000540E1" w:rsidRDefault="0012093C" w:rsidP="005E0998">
            <w:pPr>
              <w:pStyle w:val="tbltext"/>
            </w:pPr>
            <w:r w:rsidRPr="0012093C">
              <w:t xml:space="preserve">Standard </w:t>
            </w:r>
            <w:r w:rsidR="009C721C">
              <w:t>u</w:t>
            </w:r>
            <w:r w:rsidRPr="0012093C">
              <w:t xml:space="preserve">ser </w:t>
            </w:r>
            <w:r w:rsidR="009C721C">
              <w:t>f</w:t>
            </w:r>
            <w:r w:rsidRPr="0012093C">
              <w:t>ee</w:t>
            </w:r>
          </w:p>
        </w:tc>
        <w:tc>
          <w:tcPr>
            <w:tcW w:w="1667" w:type="pct"/>
          </w:tcPr>
          <w:p w14:paraId="422ECC33" w14:textId="29FDF944" w:rsidR="0012093C" w:rsidRPr="000540E1" w:rsidRDefault="0012093C" w:rsidP="005E0998">
            <w:pPr>
              <w:pStyle w:val="tbltext"/>
              <w:jc w:val="right"/>
            </w:pPr>
            <w:r w:rsidRPr="0012093C">
              <w:t>€</w:t>
            </w:r>
            <w:r>
              <w:t>1,704</w:t>
            </w:r>
          </w:p>
        </w:tc>
        <w:tc>
          <w:tcPr>
            <w:tcW w:w="1666" w:type="pct"/>
          </w:tcPr>
          <w:p w14:paraId="185C9952" w14:textId="6A3B97C8" w:rsidR="0012093C" w:rsidRPr="000540E1" w:rsidRDefault="0012093C" w:rsidP="005E0998">
            <w:pPr>
              <w:pStyle w:val="tbltext"/>
              <w:jc w:val="right"/>
            </w:pPr>
            <w:r w:rsidRPr="0012093C">
              <w:t>€</w:t>
            </w:r>
            <w:r>
              <w:t>11,939</w:t>
            </w:r>
          </w:p>
        </w:tc>
      </w:tr>
      <w:tr w:rsidR="0012093C" w:rsidRPr="000540E1" w14:paraId="1C1B511C" w14:textId="77777777" w:rsidTr="005E0998">
        <w:trPr>
          <w:cantSplit/>
        </w:trPr>
        <w:tc>
          <w:tcPr>
            <w:tcW w:w="1667" w:type="pct"/>
          </w:tcPr>
          <w:p w14:paraId="69617D3C" w14:textId="26F27573" w:rsidR="0012093C" w:rsidRPr="000540E1" w:rsidRDefault="0012093C" w:rsidP="005E0998">
            <w:pPr>
              <w:pStyle w:val="tbltext"/>
            </w:pPr>
            <w:r w:rsidRPr="0012093C">
              <w:t xml:space="preserve">Search </w:t>
            </w:r>
            <w:r w:rsidR="009C721C">
              <w:t>o</w:t>
            </w:r>
            <w:r w:rsidRPr="0012093C">
              <w:t xml:space="preserve">nly API </w:t>
            </w:r>
            <w:r w:rsidR="009C721C">
              <w:t>f</w:t>
            </w:r>
            <w:r w:rsidRPr="0012093C">
              <w:t>ee</w:t>
            </w:r>
          </w:p>
        </w:tc>
        <w:tc>
          <w:tcPr>
            <w:tcW w:w="1667" w:type="pct"/>
          </w:tcPr>
          <w:p w14:paraId="5C0E6786" w14:textId="692E691B" w:rsidR="0012093C" w:rsidRPr="000540E1" w:rsidRDefault="0012093C" w:rsidP="005E0998">
            <w:pPr>
              <w:pStyle w:val="tbltext"/>
              <w:jc w:val="right"/>
            </w:pPr>
            <w:r w:rsidRPr="0012093C">
              <w:t>€</w:t>
            </w:r>
            <w:r>
              <w:t>852</w:t>
            </w:r>
          </w:p>
        </w:tc>
        <w:tc>
          <w:tcPr>
            <w:tcW w:w="1666" w:type="pct"/>
          </w:tcPr>
          <w:p w14:paraId="2FA65BC5" w14:textId="32B80D2E" w:rsidR="0012093C" w:rsidRPr="000540E1" w:rsidRDefault="0012093C" w:rsidP="005E0998">
            <w:pPr>
              <w:pStyle w:val="tbltext"/>
              <w:jc w:val="right"/>
            </w:pPr>
            <w:r w:rsidRPr="0012093C">
              <w:t>€</w:t>
            </w:r>
            <w:r w:rsidR="008C1DE7">
              <w:t>5,970</w:t>
            </w:r>
          </w:p>
        </w:tc>
      </w:tr>
      <w:tr w:rsidR="0012093C" w:rsidRPr="000540E1" w14:paraId="76FCDB4E" w14:textId="77777777" w:rsidTr="0012093C">
        <w:trPr>
          <w:cantSplit/>
        </w:trPr>
        <w:tc>
          <w:tcPr>
            <w:tcW w:w="1667" w:type="pct"/>
          </w:tcPr>
          <w:p w14:paraId="1BC94E54" w14:textId="4B5F4389" w:rsidR="0012093C" w:rsidRPr="000540E1" w:rsidRDefault="0012093C" w:rsidP="005E0998">
            <w:pPr>
              <w:pStyle w:val="tbltext"/>
            </w:pPr>
            <w:r w:rsidRPr="0012093C">
              <w:t xml:space="preserve">Infrequent </w:t>
            </w:r>
            <w:r w:rsidR="009C721C">
              <w:t>u</w:t>
            </w:r>
            <w:r w:rsidRPr="0012093C">
              <w:t xml:space="preserve">ser </w:t>
            </w:r>
            <w:r w:rsidR="009C721C">
              <w:t>f</w:t>
            </w:r>
            <w:r w:rsidRPr="0012093C">
              <w:t>ee</w:t>
            </w:r>
          </w:p>
        </w:tc>
        <w:tc>
          <w:tcPr>
            <w:tcW w:w="1667" w:type="pct"/>
          </w:tcPr>
          <w:p w14:paraId="7A08E99E" w14:textId="49F50527" w:rsidR="0012093C" w:rsidRPr="000540E1" w:rsidRDefault="0012093C" w:rsidP="0012093C">
            <w:pPr>
              <w:pStyle w:val="tbltext"/>
              <w:jc w:val="right"/>
            </w:pPr>
            <w:r w:rsidRPr="0012093C">
              <w:t>€</w:t>
            </w:r>
            <w:r w:rsidR="008C1DE7">
              <w:t>135</w:t>
            </w:r>
          </w:p>
        </w:tc>
        <w:tc>
          <w:tcPr>
            <w:tcW w:w="1666" w:type="pct"/>
          </w:tcPr>
          <w:p w14:paraId="526B3C80" w14:textId="271F11F4" w:rsidR="0012093C" w:rsidRPr="000540E1" w:rsidRDefault="0012093C" w:rsidP="0012093C">
            <w:pPr>
              <w:pStyle w:val="tbltext"/>
              <w:jc w:val="right"/>
            </w:pPr>
            <w:r w:rsidRPr="0012093C">
              <w:t>€</w:t>
            </w:r>
            <w:r w:rsidR="008C1DE7">
              <w:t>150</w:t>
            </w:r>
          </w:p>
        </w:tc>
      </w:tr>
    </w:tbl>
    <w:p w14:paraId="6BF10C1F" w14:textId="42EF933C" w:rsidR="0012093C" w:rsidRDefault="0012093C" w:rsidP="0012093C">
      <w:pPr>
        <w:pStyle w:val="sourcenoteindented"/>
      </w:pPr>
      <w:r>
        <w:t xml:space="preserve">Source: </w:t>
      </w:r>
      <w:bookmarkStart w:id="126" w:name="_Hlk100498984"/>
      <w:r w:rsidR="008C1DE7">
        <w:t xml:space="preserve">DSB, </w:t>
      </w:r>
      <w:hyperlink r:id="rId101" w:history="1">
        <w:r w:rsidR="008C1DE7" w:rsidRPr="00721014">
          <w:rPr>
            <w:rStyle w:val="Hyperlink"/>
            <w:i/>
            <w:iCs/>
          </w:rPr>
          <w:t xml:space="preserve">Principles </w:t>
        </w:r>
        <w:r w:rsidR="009C721C">
          <w:rPr>
            <w:rStyle w:val="Hyperlink"/>
            <w:i/>
            <w:iCs/>
          </w:rPr>
          <w:t>u</w:t>
        </w:r>
        <w:r w:rsidR="008C1DE7" w:rsidRPr="00721014">
          <w:rPr>
            <w:rStyle w:val="Hyperlink"/>
            <w:i/>
            <w:iCs/>
          </w:rPr>
          <w:t xml:space="preserve">nderlying the </w:t>
        </w:r>
        <w:r w:rsidR="009C721C">
          <w:rPr>
            <w:rStyle w:val="Hyperlink"/>
            <w:i/>
            <w:iCs/>
          </w:rPr>
          <w:t>f</w:t>
        </w:r>
        <w:r w:rsidR="008C1DE7" w:rsidRPr="00721014">
          <w:rPr>
            <w:rStyle w:val="Hyperlink"/>
            <w:i/>
            <w:iCs/>
          </w:rPr>
          <w:t xml:space="preserve">ee </w:t>
        </w:r>
        <w:r w:rsidR="009C721C">
          <w:rPr>
            <w:rStyle w:val="Hyperlink"/>
            <w:i/>
            <w:iCs/>
          </w:rPr>
          <w:t>m</w:t>
        </w:r>
        <w:r w:rsidR="008C1DE7" w:rsidRPr="00721014">
          <w:rPr>
            <w:rStyle w:val="Hyperlink"/>
            <w:i/>
            <w:iCs/>
          </w:rPr>
          <w:t xml:space="preserve">odel for the </w:t>
        </w:r>
        <w:r w:rsidR="009C721C">
          <w:rPr>
            <w:rStyle w:val="Hyperlink"/>
            <w:i/>
            <w:iCs/>
          </w:rPr>
          <w:t>u</w:t>
        </w:r>
        <w:r w:rsidR="008C1DE7" w:rsidRPr="00721014">
          <w:rPr>
            <w:rStyle w:val="Hyperlink"/>
            <w:i/>
            <w:iCs/>
          </w:rPr>
          <w:t xml:space="preserve">nique </w:t>
        </w:r>
        <w:r w:rsidR="009C721C">
          <w:rPr>
            <w:rStyle w:val="Hyperlink"/>
            <w:i/>
            <w:iCs/>
          </w:rPr>
          <w:t>p</w:t>
        </w:r>
        <w:r w:rsidR="008C1DE7" w:rsidRPr="00721014">
          <w:rPr>
            <w:rStyle w:val="Hyperlink"/>
            <w:i/>
            <w:iCs/>
          </w:rPr>
          <w:t xml:space="preserve">roduct </w:t>
        </w:r>
        <w:r w:rsidR="009C721C">
          <w:rPr>
            <w:rStyle w:val="Hyperlink"/>
            <w:i/>
            <w:iCs/>
          </w:rPr>
          <w:t>i</w:t>
        </w:r>
        <w:r w:rsidR="008C1DE7" w:rsidRPr="00721014">
          <w:rPr>
            <w:rStyle w:val="Hyperlink"/>
            <w:i/>
            <w:iCs/>
          </w:rPr>
          <w:t xml:space="preserve">dentifier (UPI) </w:t>
        </w:r>
        <w:r w:rsidR="009C721C">
          <w:rPr>
            <w:rStyle w:val="Hyperlink"/>
            <w:i/>
            <w:iCs/>
          </w:rPr>
          <w:t>s</w:t>
        </w:r>
        <w:r w:rsidR="008C1DE7" w:rsidRPr="00721014">
          <w:rPr>
            <w:rStyle w:val="Hyperlink"/>
            <w:i/>
            <w:iCs/>
          </w:rPr>
          <w:t>ervice</w:t>
        </w:r>
        <w:r w:rsidR="009C721C">
          <w:rPr>
            <w:rStyle w:val="Hyperlink"/>
            <w:i/>
            <w:iCs/>
          </w:rPr>
          <w:t>: B</w:t>
        </w:r>
        <w:r w:rsidR="008C1DE7" w:rsidRPr="00721014">
          <w:rPr>
            <w:rStyle w:val="Hyperlink"/>
            <w:i/>
            <w:iCs/>
          </w:rPr>
          <w:t xml:space="preserve">ased on </w:t>
        </w:r>
        <w:r w:rsidR="009C721C">
          <w:rPr>
            <w:rStyle w:val="Hyperlink"/>
            <w:i/>
            <w:iCs/>
          </w:rPr>
          <w:t>i</w:t>
        </w:r>
        <w:r w:rsidR="008C1DE7" w:rsidRPr="00721014">
          <w:rPr>
            <w:rStyle w:val="Hyperlink"/>
            <w:i/>
            <w:iCs/>
          </w:rPr>
          <w:t xml:space="preserve">ndustry </w:t>
        </w:r>
        <w:r w:rsidR="009C721C">
          <w:rPr>
            <w:rStyle w:val="Hyperlink"/>
            <w:i/>
            <w:iCs/>
          </w:rPr>
          <w:t>f</w:t>
        </w:r>
        <w:r w:rsidR="008C1DE7" w:rsidRPr="00721014">
          <w:rPr>
            <w:rStyle w:val="Hyperlink"/>
            <w:i/>
            <w:iCs/>
          </w:rPr>
          <w:t xml:space="preserve">eedback to </w:t>
        </w:r>
        <w:r w:rsidR="009C721C">
          <w:rPr>
            <w:rStyle w:val="Hyperlink"/>
            <w:i/>
            <w:iCs/>
          </w:rPr>
          <w:t>t</w:t>
        </w:r>
        <w:r w:rsidR="008C1DE7" w:rsidRPr="00721014">
          <w:rPr>
            <w:rStyle w:val="Hyperlink"/>
            <w:i/>
            <w:iCs/>
          </w:rPr>
          <w:t xml:space="preserve">wo </w:t>
        </w:r>
        <w:r w:rsidR="009C721C">
          <w:rPr>
            <w:rStyle w:val="Hyperlink"/>
            <w:i/>
            <w:iCs/>
          </w:rPr>
          <w:t>c</w:t>
        </w:r>
        <w:r w:rsidR="008C1DE7" w:rsidRPr="00721014">
          <w:rPr>
            <w:rStyle w:val="Hyperlink"/>
            <w:i/>
            <w:iCs/>
          </w:rPr>
          <w:t xml:space="preserve">onsultation </w:t>
        </w:r>
        <w:r w:rsidR="009C721C">
          <w:rPr>
            <w:rStyle w:val="Hyperlink"/>
            <w:i/>
            <w:iCs/>
          </w:rPr>
          <w:t>p</w:t>
        </w:r>
        <w:r w:rsidR="008C1DE7" w:rsidRPr="00721014">
          <w:rPr>
            <w:rStyle w:val="Hyperlink"/>
            <w:i/>
            <w:iCs/>
          </w:rPr>
          <w:t>apers</w:t>
        </w:r>
        <w:r w:rsidR="007073D2">
          <w:rPr>
            <w:rStyle w:val="Hyperlink"/>
            <w:i/>
            <w:iCs/>
          </w:rPr>
          <w:t>—F</w:t>
        </w:r>
        <w:r w:rsidR="008C1DE7" w:rsidRPr="00721014">
          <w:rPr>
            <w:rStyle w:val="Hyperlink"/>
            <w:i/>
            <w:iCs/>
          </w:rPr>
          <w:t xml:space="preserve">inal </w:t>
        </w:r>
        <w:r w:rsidR="009C721C">
          <w:rPr>
            <w:rStyle w:val="Hyperlink"/>
            <w:i/>
            <w:iCs/>
          </w:rPr>
          <w:t>r</w:t>
        </w:r>
        <w:r w:rsidR="008C1DE7" w:rsidRPr="00721014">
          <w:rPr>
            <w:rStyle w:val="Hyperlink"/>
            <w:i/>
            <w:iCs/>
          </w:rPr>
          <w:t>eport</w:t>
        </w:r>
      </w:hyperlink>
      <w:r w:rsidR="008C1DE7">
        <w:t>, 27 September 2021</w:t>
      </w:r>
      <w:r w:rsidR="00D11A5A">
        <w:t>.</w:t>
      </w:r>
    </w:p>
    <w:p w14:paraId="1B975E68" w14:textId="150C208C" w:rsidR="00B815C2" w:rsidRDefault="00B815C2" w:rsidP="00B815C2">
      <w:pPr>
        <w:pStyle w:val="Heading1"/>
      </w:pPr>
      <w:bookmarkStart w:id="127" w:name="_ASICRef533"/>
      <w:bookmarkStart w:id="128" w:name="_ASICRef993"/>
      <w:bookmarkStart w:id="129" w:name="_Toc103174631"/>
      <w:bookmarkEnd w:id="126"/>
      <w:r>
        <w:t>The legal entity identifier (LEI)</w:t>
      </w:r>
      <w:bookmarkEnd w:id="127"/>
      <w:bookmarkEnd w:id="128"/>
      <w:bookmarkEnd w:id="129"/>
    </w:p>
    <w:p w14:paraId="5012ADA1" w14:textId="77777777" w:rsidR="00E624B5" w:rsidRDefault="00E624B5">
      <w:pPr>
        <w:pStyle w:val="KPhead"/>
      </w:pPr>
      <w:r>
        <w:t>Key points</w:t>
      </w:r>
    </w:p>
    <w:p w14:paraId="24580CB9" w14:textId="1970DCED" w:rsidR="00501387" w:rsidRDefault="00501387" w:rsidP="00E8261A">
      <w:pPr>
        <w:pStyle w:val="KPtext"/>
        <w:spacing w:line="270" w:lineRule="atLeast"/>
      </w:pPr>
      <w:r>
        <w:t>W</w:t>
      </w:r>
      <w:r w:rsidR="00347888">
        <w:t xml:space="preserve">e </w:t>
      </w:r>
      <w:r>
        <w:t>have decided</w:t>
      </w:r>
      <w:r w:rsidR="00347888">
        <w:t xml:space="preserve"> to </w:t>
      </w:r>
      <w:r>
        <w:t xml:space="preserve">implement a modified form of our proposal in </w:t>
      </w:r>
      <w:r w:rsidR="00BE724E" w:rsidRPr="00BE724E">
        <w:t>CP 334</w:t>
      </w:r>
      <w:r w:rsidR="00347888">
        <w:t xml:space="preserve"> to require that a current, renewed LEI is the only allowable entity identifier in OTC derivative transaction reporting for </w:t>
      </w:r>
      <w:r>
        <w:t>most</w:t>
      </w:r>
      <w:r w:rsidR="00347888">
        <w:t xml:space="preserve"> eligible relevant entities. </w:t>
      </w:r>
      <w:r w:rsidR="003E0F75">
        <w:t>This substantially aligns with the requirements in other major jurisdictions and with the CDE Guidance.</w:t>
      </w:r>
    </w:p>
    <w:p w14:paraId="63328ED6" w14:textId="1589F211" w:rsidR="001679BF" w:rsidRDefault="001679BF" w:rsidP="00E8261A">
      <w:pPr>
        <w:pStyle w:val="KPtext"/>
        <w:spacing w:line="270" w:lineRule="atLeast"/>
      </w:pPr>
      <w:r>
        <w:t xml:space="preserve">The key modifications are that for </w:t>
      </w:r>
      <w:r w:rsidR="00B85929">
        <w:t>c</w:t>
      </w:r>
      <w:r w:rsidR="00501387">
        <w:t>ounterparty 2</w:t>
      </w:r>
      <w:r w:rsidR="009B3A20">
        <w:t xml:space="preserve"> and </w:t>
      </w:r>
      <w:r w:rsidR="00B85929">
        <w:t>b</w:t>
      </w:r>
      <w:r w:rsidR="009B3A20">
        <w:t>eneficiary 1</w:t>
      </w:r>
      <w:r w:rsidR="00501387">
        <w:t xml:space="preserve">, a ‘grace period’ is retained to allow for initial non-LEI reporting and a current, renewed LEI is not required for foreign </w:t>
      </w:r>
      <w:r w:rsidR="00B85929">
        <w:t>c</w:t>
      </w:r>
      <w:r w:rsidR="00501387">
        <w:t xml:space="preserve">ounterparty 2s of certain types. For </w:t>
      </w:r>
      <w:r w:rsidR="00B85929">
        <w:t>o</w:t>
      </w:r>
      <w:r w:rsidR="00501387">
        <w:t>ther payment payers or receive</w:t>
      </w:r>
      <w:r w:rsidR="009B3A20">
        <w:t>rs of certain types</w:t>
      </w:r>
      <w:r w:rsidR="00BE724E">
        <w:t>,</w:t>
      </w:r>
      <w:r w:rsidR="003E0F75">
        <w:t xml:space="preserve"> </w:t>
      </w:r>
      <w:r>
        <w:t>an LEI is not always required to be reported.</w:t>
      </w:r>
    </w:p>
    <w:p w14:paraId="0D494CC4" w14:textId="7E83B58A" w:rsidR="00E624B5" w:rsidRPr="00E624B5" w:rsidRDefault="001679BF" w:rsidP="00E8261A">
      <w:pPr>
        <w:pStyle w:val="KPtext"/>
        <w:spacing w:line="270" w:lineRule="atLeast"/>
      </w:pPr>
      <w:r>
        <w:t xml:space="preserve">We have also decided to proceed with our proposal in CP 334 that, for </w:t>
      </w:r>
      <w:r w:rsidR="00347888">
        <w:t>natural person</w:t>
      </w:r>
      <w:r w:rsidR="00513F84">
        <w:t>s</w:t>
      </w:r>
      <w:r w:rsidR="00347888">
        <w:t xml:space="preserve">, not eligible to obtain an LEI, </w:t>
      </w:r>
      <w:r w:rsidR="00501387">
        <w:t>t</w:t>
      </w:r>
      <w:r w:rsidR="00347888">
        <w:t>he identifier required to be reported is a client code that comprises the reporting counterparty’s LEI plus assigned extra characters as specified in the CDE Guidance.</w:t>
      </w:r>
    </w:p>
    <w:p w14:paraId="293F4A14" w14:textId="461AADFC" w:rsidR="00B815C2" w:rsidRDefault="00F07E15" w:rsidP="00F07E15">
      <w:pPr>
        <w:pStyle w:val="Heading2"/>
      </w:pPr>
      <w:bookmarkStart w:id="130" w:name="_Toc103174632"/>
      <w:r>
        <w:t>Background</w:t>
      </w:r>
      <w:bookmarkEnd w:id="130"/>
    </w:p>
    <w:p w14:paraId="52012869" w14:textId="2F71E165" w:rsidR="00D80EFE" w:rsidRDefault="00526CDB" w:rsidP="00E8261A">
      <w:pPr>
        <w:pStyle w:val="BodyText"/>
        <w:spacing w:line="310" w:lineRule="atLeast"/>
        <w:ind w:left="2268"/>
      </w:pPr>
      <w:r>
        <w:t xml:space="preserve">The </w:t>
      </w:r>
      <w:r w:rsidR="00D80EFE" w:rsidRPr="00526CDB">
        <w:t>inter</w:t>
      </w:r>
      <w:r w:rsidR="00D80EFE">
        <w:t>national derivative transaction reporting standard is that all entities are identified by an LEI, except for natural persons who are not eligible to obtain an LEI unless they trade in derivatives in a business capacity.</w:t>
      </w:r>
    </w:p>
    <w:p w14:paraId="117812E6" w14:textId="745C13B5" w:rsidR="00D80EFE" w:rsidRDefault="00526CDB" w:rsidP="00E8261A">
      <w:pPr>
        <w:pStyle w:val="BodyText"/>
        <w:spacing w:line="310" w:lineRule="atLeast"/>
        <w:ind w:left="2268"/>
      </w:pPr>
      <w:r>
        <w:t xml:space="preserve">The </w:t>
      </w:r>
      <w:r w:rsidR="00B85929" w:rsidRPr="00526CDB">
        <w:t>current</w:t>
      </w:r>
      <w:r w:rsidR="00B85929">
        <w:t xml:space="preserve"> </w:t>
      </w:r>
      <w:r w:rsidR="00D80EFE">
        <w:t xml:space="preserve">ASIC Rules provide that, for other than an individual, an LEI </w:t>
      </w:r>
      <w:r w:rsidR="00D11A5A">
        <w:t>must</w:t>
      </w:r>
      <w:r w:rsidR="00D80EFE">
        <w:t xml:space="preserve"> be reported but, if not available, an AVID (issued by AVOX Limited, a Thomson Reuters company) or a BIC (issued by SWIFT) is a valid entity identifier. In practice, an LEI is reported as the entity identifier for reporting entities, brokers, CCPs, clearing members and trading platforms as financial services providers. An LEI has been less commonly reported as the identifier of the non-reporting counterparties who are not financial services providers.</w:t>
      </w:r>
    </w:p>
    <w:p w14:paraId="4679B15C" w14:textId="7BF0320B" w:rsidR="00D80EFE" w:rsidRDefault="00B85929" w:rsidP="00E8261A">
      <w:pPr>
        <w:pStyle w:val="BodyText"/>
        <w:spacing w:line="310" w:lineRule="atLeast"/>
        <w:ind w:left="2268"/>
      </w:pPr>
      <w:r w:rsidRPr="006213BD">
        <w:t>In</w:t>
      </w:r>
      <w:r w:rsidR="00526CDB">
        <w:t xml:space="preserve"> </w:t>
      </w:r>
      <w:hyperlink r:id="rId102" w:history="1">
        <w:r w:rsidR="00526CDB" w:rsidRPr="00526CDB">
          <w:rPr>
            <w:rStyle w:val="Hyperlink"/>
          </w:rPr>
          <w:t>Consultation Paper 205</w:t>
        </w:r>
      </w:hyperlink>
      <w:r w:rsidR="00D80EFE" w:rsidRPr="006213BD">
        <w:t xml:space="preserve"> </w:t>
      </w:r>
      <w:r w:rsidR="00D80EFE" w:rsidRPr="006213BD">
        <w:rPr>
          <w:i/>
          <w:iCs/>
        </w:rPr>
        <w:t>Derivative transaction reporting</w:t>
      </w:r>
      <w:r w:rsidR="00D11A5A" w:rsidRPr="006213BD">
        <w:rPr>
          <w:i/>
          <w:iCs/>
        </w:rPr>
        <w:t xml:space="preserve"> </w:t>
      </w:r>
      <w:r w:rsidR="00D11A5A" w:rsidRPr="006213BD">
        <w:t>(CP 205)</w:t>
      </w:r>
      <w:r w:rsidR="00D80EFE" w:rsidRPr="006213BD">
        <w:t>,</w:t>
      </w:r>
      <w:r w:rsidR="00D80EFE">
        <w:t xml:space="preserve"> released 28 March 2013, </w:t>
      </w:r>
      <w:r>
        <w:t xml:space="preserve">we </w:t>
      </w:r>
      <w:r w:rsidR="00D80EFE">
        <w:t xml:space="preserve">outlined our proposals for making the ASIC Rules. </w:t>
      </w:r>
      <w:r>
        <w:t>W</w:t>
      </w:r>
      <w:r w:rsidR="00D80EFE">
        <w:t>e stated (at paragraph 54), ‘</w:t>
      </w:r>
      <w:r w:rsidR="00D80EFE" w:rsidRPr="00A829C7">
        <w:t>There are however three international standards we consider essential to be used (i.e. LEIs, UTIs and UPIs), where they are available</w:t>
      </w:r>
      <w:r w:rsidR="00D80EFE">
        <w:t>’. As the LEI system was then only in the process of being established, the ASIC Rules initially required entity identifiers as ‘</w:t>
      </w:r>
      <w:r w:rsidR="00D80EFE" w:rsidRPr="00A829C7">
        <w:t>an LEI or interim entity identifier or, if not available, an Australian Business Number or, in the case of individuals, a client code</w:t>
      </w:r>
      <w:r w:rsidR="00D80EFE">
        <w:t>’.</w:t>
      </w:r>
    </w:p>
    <w:p w14:paraId="4595EBEA" w14:textId="06B29030" w:rsidR="00D80EFE" w:rsidRDefault="00474B36" w:rsidP="00E8261A">
      <w:pPr>
        <w:pStyle w:val="BodyText"/>
        <w:spacing w:line="310" w:lineRule="atLeast"/>
        <w:ind w:left="2268"/>
      </w:pPr>
      <w:r>
        <w:t>In 2015,</w:t>
      </w:r>
      <w:r w:rsidR="00D80EFE" w:rsidRPr="00474B36">
        <w:t xml:space="preserve"> the ASIC Rules were amended to substitute an AVID for an ABN</w:t>
      </w:r>
      <w:r w:rsidR="00D80EFE">
        <w:t xml:space="preserve"> to better align with then international practices where an AVID was among the valid entity identifiers in, for example, the US and Canadian trade reporting regimes.</w:t>
      </w:r>
    </w:p>
    <w:p w14:paraId="23885384" w14:textId="1DC8EC72" w:rsidR="00D80EFE" w:rsidRDefault="00474B36" w:rsidP="00E8261A">
      <w:pPr>
        <w:pStyle w:val="BodyText"/>
        <w:spacing w:line="310" w:lineRule="atLeast"/>
        <w:ind w:left="2268"/>
      </w:pPr>
      <w:r>
        <w:t xml:space="preserve">The </w:t>
      </w:r>
      <w:r w:rsidR="00D80EFE">
        <w:t>G</w:t>
      </w:r>
      <w:r w:rsidR="00C11779">
        <w:t xml:space="preserve">lobal </w:t>
      </w:r>
      <w:r w:rsidR="00D80EFE">
        <w:t>LEI</w:t>
      </w:r>
      <w:r w:rsidR="00C11779">
        <w:t xml:space="preserve"> </w:t>
      </w:r>
      <w:r w:rsidR="00D80EFE">
        <w:t>S</w:t>
      </w:r>
      <w:r w:rsidR="00C11779">
        <w:t>ystem</w:t>
      </w:r>
      <w:r w:rsidR="00D80EFE">
        <w:t xml:space="preserve"> has since been established and over </w:t>
      </w:r>
      <w:r w:rsidR="00AB2257">
        <w:t>1.95</w:t>
      </w:r>
      <w:r w:rsidR="00D80EFE">
        <w:t xml:space="preserve"> million LEIs have been issued </w:t>
      </w:r>
      <w:r w:rsidR="00D80EFE" w:rsidRPr="001362DD">
        <w:t xml:space="preserve">to entities in over </w:t>
      </w:r>
      <w:r w:rsidR="00AB2257">
        <w:t>300</w:t>
      </w:r>
      <w:r w:rsidR="00AB2257" w:rsidRPr="001362DD">
        <w:t xml:space="preserve"> </w:t>
      </w:r>
      <w:r w:rsidR="00AB2257">
        <w:t>entity legal jurisdictions</w:t>
      </w:r>
      <w:r w:rsidR="00D80EFE">
        <w:t xml:space="preserve">. There </w:t>
      </w:r>
      <w:r w:rsidR="00D80EFE" w:rsidRPr="001362DD">
        <w:t xml:space="preserve">are currently </w:t>
      </w:r>
      <w:r w:rsidR="00AB2257">
        <w:t>nearly 25,000</w:t>
      </w:r>
      <w:r w:rsidR="00D80EFE" w:rsidRPr="001362DD">
        <w:t xml:space="preserve"> </w:t>
      </w:r>
      <w:r w:rsidR="00D80EFE">
        <w:t>L</w:t>
      </w:r>
      <w:r w:rsidR="00D80EFE" w:rsidRPr="001362DD">
        <w:t>EIs</w:t>
      </w:r>
      <w:r w:rsidR="00D80EFE">
        <w:t xml:space="preserve"> issued to Australian entities</w:t>
      </w:r>
      <w:r w:rsidR="00D80EFE" w:rsidRPr="001362DD">
        <w:t>.</w:t>
      </w:r>
    </w:p>
    <w:p w14:paraId="3FF8AAD2" w14:textId="28E213B1" w:rsidR="00D80EFE" w:rsidRPr="007A5C54" w:rsidRDefault="00474B36" w:rsidP="00E8261A">
      <w:pPr>
        <w:pStyle w:val="BodyText"/>
        <w:spacing w:line="310" w:lineRule="atLeast"/>
        <w:ind w:left="2268"/>
        <w:rPr>
          <w:spacing w:val="-2"/>
        </w:rPr>
      </w:pPr>
      <w:r>
        <w:rPr>
          <w:spacing w:val="-2"/>
        </w:rPr>
        <w:t xml:space="preserve">For </w:t>
      </w:r>
      <w:r w:rsidR="00D80EFE" w:rsidRPr="007A5C54">
        <w:rPr>
          <w:spacing w:val="-2"/>
        </w:rPr>
        <w:t>the identifier of the non-reporting counterparty (counterparty 2) (NRCP), conditional exemptions allowing an internal client code to be reported ceased from 1 October 2019 for Australian NRCPs and from 1 April 2020 for foreign NRCPs. Since th</w:t>
      </w:r>
      <w:r w:rsidR="00B85929">
        <w:rPr>
          <w:spacing w:val="-2"/>
        </w:rPr>
        <w:t>en</w:t>
      </w:r>
      <w:r w:rsidR="00D80EFE" w:rsidRPr="007A5C54">
        <w:rPr>
          <w:spacing w:val="-2"/>
        </w:rPr>
        <w:t>, the use of LEIs and AVIDs as entity identifiers has increased</w:t>
      </w:r>
      <w:r w:rsidR="00B85929">
        <w:rPr>
          <w:spacing w:val="-2"/>
        </w:rPr>
        <w:t xml:space="preserve">. </w:t>
      </w:r>
      <w:r w:rsidR="00D80EFE" w:rsidRPr="007A5C54">
        <w:rPr>
          <w:rFonts w:eastAsiaTheme="minorHAnsi"/>
          <w:spacing w:val="-2"/>
        </w:rPr>
        <w:fldChar w:fldCharType="begin" w:fldLock="1"/>
      </w:r>
      <w:r w:rsidR="00D80EFE" w:rsidRPr="007A5C54">
        <w:rPr>
          <w:rFonts w:eastAsiaTheme="minorHAnsi"/>
          <w:spacing w:val="-2"/>
        </w:rPr>
        <w:instrText xml:space="preserve"> REF _Ref56066034 \h </w:instrText>
      </w:r>
      <w:r w:rsidR="00D80EFE">
        <w:rPr>
          <w:rFonts w:eastAsiaTheme="minorHAnsi"/>
          <w:spacing w:val="-2"/>
        </w:rPr>
        <w:instrText xml:space="preserve"> \* MERGEFORMAT </w:instrText>
      </w:r>
      <w:r w:rsidR="00D80EFE" w:rsidRPr="007A5C54">
        <w:rPr>
          <w:rFonts w:eastAsiaTheme="minorHAnsi"/>
          <w:spacing w:val="-2"/>
        </w:rPr>
      </w:r>
      <w:r w:rsidR="00D80EFE" w:rsidRPr="007A5C54">
        <w:rPr>
          <w:rFonts w:eastAsiaTheme="minorHAnsi"/>
          <w:spacing w:val="-2"/>
        </w:rPr>
        <w:fldChar w:fldCharType="separate"/>
      </w:r>
      <w:r w:rsidR="00853A2A" w:rsidRPr="00853A2A">
        <w:rPr>
          <w:spacing w:val="-2"/>
        </w:rPr>
        <w:t xml:space="preserve">Table </w:t>
      </w:r>
      <w:r w:rsidR="00853A2A" w:rsidRPr="00853A2A">
        <w:rPr>
          <w:noProof/>
          <w:spacing w:val="-2"/>
        </w:rPr>
        <w:t>20</w:t>
      </w:r>
      <w:r w:rsidR="00D80EFE" w:rsidRPr="007A5C54">
        <w:rPr>
          <w:rFonts w:eastAsiaTheme="minorHAnsi"/>
          <w:spacing w:val="-2"/>
        </w:rPr>
        <w:fldChar w:fldCharType="end"/>
      </w:r>
      <w:r w:rsidR="00D80EFE" w:rsidRPr="007A5C54">
        <w:rPr>
          <w:rFonts w:eastAsiaTheme="minorHAnsi"/>
          <w:spacing w:val="-2"/>
        </w:rPr>
        <w:t xml:space="preserve"> shows the estimated percentages of each type of entity identifier reported as the NRCP identifier, for entities other than individuals, in new transactions in a week in each month. The use of LEIs has </w:t>
      </w:r>
      <w:r w:rsidR="00F96D24">
        <w:rPr>
          <w:rFonts w:eastAsiaTheme="minorHAnsi"/>
          <w:spacing w:val="-2"/>
        </w:rPr>
        <w:t>risen to approximately two-thirds into 2021.</w:t>
      </w:r>
    </w:p>
    <w:p w14:paraId="41BE1926" w14:textId="64A86F15" w:rsidR="00D80EFE" w:rsidRDefault="00D80EFE" w:rsidP="00D80EFE">
      <w:pPr>
        <w:pStyle w:val="tabletitleindented"/>
      </w:pPr>
      <w:bookmarkStart w:id="131" w:name="_Ref56066034"/>
      <w:r>
        <w:t xml:space="preserve">Table </w:t>
      </w:r>
      <w:fldSimple w:instr=" SEQ Table \* ARABIC ">
        <w:r w:rsidR="006679BA">
          <w:rPr>
            <w:noProof/>
          </w:rPr>
          <w:t>20</w:t>
        </w:r>
      </w:fldSimple>
      <w:bookmarkEnd w:id="131"/>
      <w:r>
        <w:t>:</w:t>
      </w:r>
      <w:r>
        <w:tab/>
        <w:t>Percentage of NRCP entity identifier types in new transactions in the third week of the month</w:t>
      </w:r>
    </w:p>
    <w:tbl>
      <w:tblPr>
        <w:tblW w:w="6802"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938"/>
        <w:gridCol w:w="837"/>
        <w:gridCol w:w="838"/>
        <w:gridCol w:w="838"/>
        <w:gridCol w:w="837"/>
        <w:gridCol w:w="838"/>
        <w:gridCol w:w="838"/>
        <w:gridCol w:w="838"/>
      </w:tblGrid>
      <w:tr w:rsidR="008B45D9" w:rsidRPr="000540E1" w14:paraId="655844F5" w14:textId="6A2C4484" w:rsidTr="00F96D24">
        <w:trPr>
          <w:cantSplit/>
          <w:tblHeader/>
        </w:trPr>
        <w:tc>
          <w:tcPr>
            <w:tcW w:w="938" w:type="dxa"/>
            <w:shd w:val="clear" w:color="auto" w:fill="C2E3FA"/>
          </w:tcPr>
          <w:p w14:paraId="34D79EFF" w14:textId="77777777" w:rsidR="008B45D9" w:rsidRDefault="008B45D9" w:rsidP="00D80EFE">
            <w:pPr>
              <w:pStyle w:val="tablehead"/>
              <w:spacing w:before="100" w:line="230" w:lineRule="atLeast"/>
            </w:pPr>
            <w:r>
              <w:t>Type</w:t>
            </w:r>
          </w:p>
        </w:tc>
        <w:tc>
          <w:tcPr>
            <w:tcW w:w="837" w:type="dxa"/>
            <w:shd w:val="clear" w:color="auto" w:fill="C2E3FA"/>
            <w:vAlign w:val="center"/>
          </w:tcPr>
          <w:p w14:paraId="4EFB6E75" w14:textId="77777777" w:rsidR="008B45D9" w:rsidRPr="000540E1" w:rsidRDefault="008B45D9" w:rsidP="00D80EFE">
            <w:pPr>
              <w:pStyle w:val="tablehead"/>
              <w:spacing w:before="100" w:line="230" w:lineRule="atLeast"/>
              <w:jc w:val="right"/>
            </w:pPr>
            <w:r>
              <w:t>Oct 18</w:t>
            </w:r>
          </w:p>
        </w:tc>
        <w:tc>
          <w:tcPr>
            <w:tcW w:w="838" w:type="dxa"/>
            <w:shd w:val="clear" w:color="auto" w:fill="C2E3FA"/>
            <w:vAlign w:val="center"/>
          </w:tcPr>
          <w:p w14:paraId="1EC965D5" w14:textId="77777777" w:rsidR="008B45D9" w:rsidRPr="000540E1" w:rsidRDefault="008B45D9" w:rsidP="00D80EFE">
            <w:pPr>
              <w:pStyle w:val="tablehead"/>
              <w:spacing w:before="100" w:line="230" w:lineRule="atLeast"/>
              <w:jc w:val="right"/>
            </w:pPr>
            <w:r>
              <w:t>Apr 19</w:t>
            </w:r>
          </w:p>
        </w:tc>
        <w:tc>
          <w:tcPr>
            <w:tcW w:w="838" w:type="dxa"/>
            <w:shd w:val="clear" w:color="auto" w:fill="C2E3FA"/>
            <w:vAlign w:val="center"/>
          </w:tcPr>
          <w:p w14:paraId="2F54625D" w14:textId="77777777" w:rsidR="008B45D9" w:rsidRDefault="008B45D9" w:rsidP="00D80EFE">
            <w:pPr>
              <w:pStyle w:val="tablehead"/>
              <w:spacing w:before="100" w:line="230" w:lineRule="atLeast"/>
              <w:jc w:val="right"/>
            </w:pPr>
            <w:r>
              <w:t>Oct 19</w:t>
            </w:r>
          </w:p>
        </w:tc>
        <w:tc>
          <w:tcPr>
            <w:tcW w:w="837" w:type="dxa"/>
            <w:shd w:val="clear" w:color="auto" w:fill="C2E3FA"/>
            <w:vAlign w:val="center"/>
          </w:tcPr>
          <w:p w14:paraId="534E5649" w14:textId="77777777" w:rsidR="008B45D9" w:rsidRDefault="008B45D9" w:rsidP="00D80EFE">
            <w:pPr>
              <w:pStyle w:val="tablehead"/>
              <w:spacing w:before="100" w:line="230" w:lineRule="atLeast"/>
              <w:jc w:val="right"/>
            </w:pPr>
            <w:r>
              <w:t>Apr 20</w:t>
            </w:r>
          </w:p>
        </w:tc>
        <w:tc>
          <w:tcPr>
            <w:tcW w:w="838" w:type="dxa"/>
            <w:shd w:val="clear" w:color="auto" w:fill="C2E3FA"/>
            <w:vAlign w:val="center"/>
          </w:tcPr>
          <w:p w14:paraId="7F5119D0" w14:textId="77777777" w:rsidR="008B45D9" w:rsidRDefault="008B45D9" w:rsidP="00D80EFE">
            <w:pPr>
              <w:pStyle w:val="tablehead"/>
              <w:spacing w:before="100" w:line="230" w:lineRule="atLeast"/>
              <w:jc w:val="right"/>
            </w:pPr>
            <w:r>
              <w:t>Oct 20</w:t>
            </w:r>
          </w:p>
        </w:tc>
        <w:tc>
          <w:tcPr>
            <w:tcW w:w="838" w:type="dxa"/>
            <w:shd w:val="clear" w:color="auto" w:fill="C2E3FA"/>
            <w:vAlign w:val="center"/>
          </w:tcPr>
          <w:p w14:paraId="7E91D92F" w14:textId="543871C5" w:rsidR="008B45D9" w:rsidRDefault="008B45D9" w:rsidP="00D80EFE">
            <w:pPr>
              <w:pStyle w:val="tablehead"/>
              <w:spacing w:before="100" w:line="230" w:lineRule="atLeast"/>
              <w:jc w:val="right"/>
            </w:pPr>
            <w:r>
              <w:t>Apr</w:t>
            </w:r>
            <w:r w:rsidR="00B85929">
              <w:t xml:space="preserve"> </w:t>
            </w:r>
            <w:r>
              <w:t>21</w:t>
            </w:r>
          </w:p>
        </w:tc>
        <w:tc>
          <w:tcPr>
            <w:tcW w:w="838" w:type="dxa"/>
            <w:shd w:val="clear" w:color="auto" w:fill="C2E3FA"/>
            <w:vAlign w:val="center"/>
          </w:tcPr>
          <w:p w14:paraId="3F4D7915" w14:textId="14716D02" w:rsidR="008B45D9" w:rsidRDefault="008B45D9" w:rsidP="00C11779">
            <w:pPr>
              <w:pStyle w:val="tablehead"/>
              <w:spacing w:before="100" w:line="230" w:lineRule="atLeast"/>
              <w:jc w:val="center"/>
            </w:pPr>
            <w:r>
              <w:t>Oct</w:t>
            </w:r>
            <w:r w:rsidR="00B85929">
              <w:t xml:space="preserve"> </w:t>
            </w:r>
            <w:r>
              <w:t>21</w:t>
            </w:r>
          </w:p>
        </w:tc>
      </w:tr>
      <w:tr w:rsidR="008B45D9" w:rsidRPr="000540E1" w14:paraId="12AC8D56" w14:textId="496F1011" w:rsidTr="00F96D24">
        <w:trPr>
          <w:cantSplit/>
        </w:trPr>
        <w:tc>
          <w:tcPr>
            <w:tcW w:w="938" w:type="dxa"/>
          </w:tcPr>
          <w:p w14:paraId="065A69B6" w14:textId="77777777" w:rsidR="008B45D9" w:rsidRDefault="008B45D9" w:rsidP="00D80EFE">
            <w:pPr>
              <w:pStyle w:val="tbltext"/>
              <w:spacing w:before="100" w:line="230" w:lineRule="atLeast"/>
            </w:pPr>
            <w:r>
              <w:t>LEI</w:t>
            </w:r>
          </w:p>
        </w:tc>
        <w:tc>
          <w:tcPr>
            <w:tcW w:w="837" w:type="dxa"/>
            <w:vAlign w:val="center"/>
          </w:tcPr>
          <w:p w14:paraId="55962483" w14:textId="77777777" w:rsidR="008B45D9" w:rsidRDefault="008B45D9" w:rsidP="00D80EFE">
            <w:pPr>
              <w:pStyle w:val="tbltext"/>
              <w:spacing w:before="100" w:line="230" w:lineRule="atLeast"/>
              <w:jc w:val="right"/>
            </w:pPr>
            <w:r>
              <w:t>46.2%</w:t>
            </w:r>
          </w:p>
        </w:tc>
        <w:tc>
          <w:tcPr>
            <w:tcW w:w="838" w:type="dxa"/>
            <w:vAlign w:val="center"/>
          </w:tcPr>
          <w:p w14:paraId="7C0394AC" w14:textId="77777777" w:rsidR="008B45D9" w:rsidRDefault="008B45D9" w:rsidP="00D80EFE">
            <w:pPr>
              <w:pStyle w:val="tbltext"/>
              <w:spacing w:before="100" w:line="230" w:lineRule="atLeast"/>
              <w:jc w:val="right"/>
            </w:pPr>
            <w:r>
              <w:t>54.8%</w:t>
            </w:r>
          </w:p>
        </w:tc>
        <w:tc>
          <w:tcPr>
            <w:tcW w:w="838" w:type="dxa"/>
            <w:vAlign w:val="center"/>
          </w:tcPr>
          <w:p w14:paraId="306B7795" w14:textId="77777777" w:rsidR="008B45D9" w:rsidRDefault="008B45D9" w:rsidP="00D80EFE">
            <w:pPr>
              <w:pStyle w:val="tbltext"/>
              <w:spacing w:before="100" w:line="230" w:lineRule="atLeast"/>
              <w:jc w:val="right"/>
            </w:pPr>
            <w:r>
              <w:t>59.7%</w:t>
            </w:r>
          </w:p>
        </w:tc>
        <w:tc>
          <w:tcPr>
            <w:tcW w:w="837" w:type="dxa"/>
            <w:vAlign w:val="center"/>
          </w:tcPr>
          <w:p w14:paraId="25D75497" w14:textId="77777777" w:rsidR="008B45D9" w:rsidRDefault="008B45D9" w:rsidP="00D80EFE">
            <w:pPr>
              <w:pStyle w:val="tbltext"/>
              <w:spacing w:before="100" w:line="230" w:lineRule="atLeast"/>
              <w:jc w:val="right"/>
            </w:pPr>
            <w:r>
              <w:t>63.8%</w:t>
            </w:r>
          </w:p>
        </w:tc>
        <w:tc>
          <w:tcPr>
            <w:tcW w:w="838" w:type="dxa"/>
            <w:vAlign w:val="center"/>
          </w:tcPr>
          <w:p w14:paraId="50D4E6F1" w14:textId="77777777" w:rsidR="008B45D9" w:rsidRDefault="008B45D9" w:rsidP="00D80EFE">
            <w:pPr>
              <w:pStyle w:val="tbltext"/>
              <w:spacing w:before="100" w:line="230" w:lineRule="atLeast"/>
              <w:jc w:val="right"/>
            </w:pPr>
            <w:r>
              <w:t>64.5%</w:t>
            </w:r>
          </w:p>
        </w:tc>
        <w:tc>
          <w:tcPr>
            <w:tcW w:w="838" w:type="dxa"/>
            <w:vAlign w:val="center"/>
          </w:tcPr>
          <w:p w14:paraId="2BC7E68C" w14:textId="1DF06E8C" w:rsidR="008B45D9" w:rsidRDefault="008B45D9" w:rsidP="00D80EFE">
            <w:pPr>
              <w:pStyle w:val="tbltext"/>
              <w:spacing w:before="100" w:line="230" w:lineRule="atLeast"/>
              <w:jc w:val="right"/>
            </w:pPr>
            <w:r>
              <w:t>67.4%</w:t>
            </w:r>
          </w:p>
        </w:tc>
        <w:tc>
          <w:tcPr>
            <w:tcW w:w="838" w:type="dxa"/>
          </w:tcPr>
          <w:p w14:paraId="44C8454D" w14:textId="0F49893B" w:rsidR="008B45D9" w:rsidRPr="00C11779" w:rsidRDefault="008B45D9" w:rsidP="00C11779">
            <w:pPr>
              <w:pStyle w:val="tablehead"/>
              <w:spacing w:before="100" w:line="230" w:lineRule="atLeast"/>
              <w:jc w:val="right"/>
              <w:rPr>
                <w:b w:val="0"/>
                <w:bCs/>
              </w:rPr>
            </w:pPr>
            <w:r w:rsidRPr="00C11779">
              <w:rPr>
                <w:b w:val="0"/>
                <w:bCs/>
              </w:rPr>
              <w:t>66.6%</w:t>
            </w:r>
          </w:p>
        </w:tc>
      </w:tr>
      <w:tr w:rsidR="008B45D9" w:rsidRPr="000540E1" w14:paraId="1CB2E419" w14:textId="6E65530A" w:rsidTr="00F96D24">
        <w:trPr>
          <w:cantSplit/>
        </w:trPr>
        <w:tc>
          <w:tcPr>
            <w:tcW w:w="938" w:type="dxa"/>
          </w:tcPr>
          <w:p w14:paraId="00B6D14C" w14:textId="77777777" w:rsidR="008B45D9" w:rsidRDefault="008B45D9" w:rsidP="00D80EFE">
            <w:pPr>
              <w:pStyle w:val="tbltext"/>
              <w:spacing w:before="100" w:line="230" w:lineRule="atLeast"/>
            </w:pPr>
            <w:r>
              <w:t>AVID</w:t>
            </w:r>
          </w:p>
        </w:tc>
        <w:tc>
          <w:tcPr>
            <w:tcW w:w="837" w:type="dxa"/>
            <w:vAlign w:val="center"/>
          </w:tcPr>
          <w:p w14:paraId="0087F4CE" w14:textId="77777777" w:rsidR="008B45D9" w:rsidRDefault="008B45D9" w:rsidP="00D80EFE">
            <w:pPr>
              <w:pStyle w:val="tbltext"/>
              <w:spacing w:before="100" w:line="230" w:lineRule="atLeast"/>
              <w:jc w:val="right"/>
            </w:pPr>
            <w:r>
              <w:t>6.1%</w:t>
            </w:r>
          </w:p>
        </w:tc>
        <w:tc>
          <w:tcPr>
            <w:tcW w:w="838" w:type="dxa"/>
            <w:vAlign w:val="center"/>
          </w:tcPr>
          <w:p w14:paraId="7AC72C0B" w14:textId="77777777" w:rsidR="008B45D9" w:rsidRDefault="008B45D9" w:rsidP="00D80EFE">
            <w:pPr>
              <w:pStyle w:val="tbltext"/>
              <w:spacing w:before="100" w:line="230" w:lineRule="atLeast"/>
              <w:jc w:val="right"/>
            </w:pPr>
            <w:r>
              <w:t>16.4%</w:t>
            </w:r>
          </w:p>
        </w:tc>
        <w:tc>
          <w:tcPr>
            <w:tcW w:w="838" w:type="dxa"/>
            <w:vAlign w:val="center"/>
          </w:tcPr>
          <w:p w14:paraId="45F1A9F3" w14:textId="77777777" w:rsidR="008B45D9" w:rsidRDefault="008B45D9" w:rsidP="00D80EFE">
            <w:pPr>
              <w:pStyle w:val="tbltext"/>
              <w:spacing w:before="100" w:line="230" w:lineRule="atLeast"/>
              <w:jc w:val="right"/>
            </w:pPr>
            <w:r>
              <w:t>32.7%</w:t>
            </w:r>
          </w:p>
        </w:tc>
        <w:tc>
          <w:tcPr>
            <w:tcW w:w="837" w:type="dxa"/>
            <w:vAlign w:val="center"/>
          </w:tcPr>
          <w:p w14:paraId="6311BBD9" w14:textId="77777777" w:rsidR="008B45D9" w:rsidRDefault="008B45D9" w:rsidP="00D80EFE">
            <w:pPr>
              <w:pStyle w:val="tbltext"/>
              <w:spacing w:before="100" w:line="230" w:lineRule="atLeast"/>
              <w:jc w:val="right"/>
            </w:pPr>
            <w:r>
              <w:t>30.2%</w:t>
            </w:r>
          </w:p>
        </w:tc>
        <w:tc>
          <w:tcPr>
            <w:tcW w:w="838" w:type="dxa"/>
            <w:vAlign w:val="center"/>
          </w:tcPr>
          <w:p w14:paraId="3A60553D" w14:textId="77777777" w:rsidR="008B45D9" w:rsidRDefault="008B45D9" w:rsidP="00D80EFE">
            <w:pPr>
              <w:pStyle w:val="tbltext"/>
              <w:spacing w:before="100" w:line="230" w:lineRule="atLeast"/>
              <w:jc w:val="right"/>
            </w:pPr>
            <w:r>
              <w:t>29.6%</w:t>
            </w:r>
          </w:p>
        </w:tc>
        <w:tc>
          <w:tcPr>
            <w:tcW w:w="838" w:type="dxa"/>
            <w:vAlign w:val="center"/>
          </w:tcPr>
          <w:p w14:paraId="2A1D2D9D" w14:textId="04B9785E" w:rsidR="008B45D9" w:rsidRDefault="008B45D9" w:rsidP="00D80EFE">
            <w:pPr>
              <w:pStyle w:val="tbltext"/>
              <w:spacing w:before="100" w:line="230" w:lineRule="atLeast"/>
              <w:jc w:val="right"/>
            </w:pPr>
            <w:r>
              <w:t>26.2%</w:t>
            </w:r>
          </w:p>
        </w:tc>
        <w:tc>
          <w:tcPr>
            <w:tcW w:w="838" w:type="dxa"/>
          </w:tcPr>
          <w:p w14:paraId="402FA33D" w14:textId="53BBE4BA" w:rsidR="008B45D9" w:rsidRPr="00F96D24" w:rsidRDefault="008B45D9" w:rsidP="00C11779">
            <w:pPr>
              <w:pStyle w:val="tablehead"/>
              <w:spacing w:before="100" w:line="230" w:lineRule="atLeast"/>
              <w:jc w:val="right"/>
              <w:rPr>
                <w:b w:val="0"/>
                <w:bCs/>
              </w:rPr>
            </w:pPr>
            <w:r w:rsidRPr="00F96D24">
              <w:rPr>
                <w:b w:val="0"/>
                <w:bCs/>
              </w:rPr>
              <w:t>29.9%</w:t>
            </w:r>
          </w:p>
        </w:tc>
      </w:tr>
      <w:tr w:rsidR="008B45D9" w:rsidRPr="000540E1" w14:paraId="5797672D" w14:textId="2BCC0E17" w:rsidTr="00F96D24">
        <w:trPr>
          <w:cantSplit/>
        </w:trPr>
        <w:tc>
          <w:tcPr>
            <w:tcW w:w="938" w:type="dxa"/>
          </w:tcPr>
          <w:p w14:paraId="15E54BE1" w14:textId="77777777" w:rsidR="008B45D9" w:rsidRDefault="008B45D9" w:rsidP="00D80EFE">
            <w:pPr>
              <w:pStyle w:val="tbltext"/>
              <w:spacing w:before="100" w:line="230" w:lineRule="atLeast"/>
            </w:pPr>
            <w:r>
              <w:t>Client code</w:t>
            </w:r>
          </w:p>
        </w:tc>
        <w:tc>
          <w:tcPr>
            <w:tcW w:w="837" w:type="dxa"/>
            <w:vAlign w:val="center"/>
          </w:tcPr>
          <w:p w14:paraId="189CC471" w14:textId="77777777" w:rsidR="008B45D9" w:rsidRDefault="008B45D9" w:rsidP="00D80EFE">
            <w:pPr>
              <w:pStyle w:val="tbltext"/>
              <w:spacing w:before="100" w:line="230" w:lineRule="atLeast"/>
              <w:jc w:val="right"/>
            </w:pPr>
            <w:r>
              <w:t>56.6%</w:t>
            </w:r>
          </w:p>
        </w:tc>
        <w:tc>
          <w:tcPr>
            <w:tcW w:w="838" w:type="dxa"/>
            <w:vAlign w:val="center"/>
          </w:tcPr>
          <w:p w14:paraId="5128E463" w14:textId="77777777" w:rsidR="008B45D9" w:rsidRDefault="008B45D9" w:rsidP="00D80EFE">
            <w:pPr>
              <w:pStyle w:val="tbltext"/>
              <w:spacing w:before="100" w:line="230" w:lineRule="atLeast"/>
              <w:jc w:val="right"/>
            </w:pPr>
            <w:r>
              <w:t>28.8%</w:t>
            </w:r>
          </w:p>
        </w:tc>
        <w:tc>
          <w:tcPr>
            <w:tcW w:w="838" w:type="dxa"/>
            <w:vAlign w:val="center"/>
          </w:tcPr>
          <w:p w14:paraId="28CE92CB" w14:textId="77777777" w:rsidR="008B45D9" w:rsidRDefault="008B45D9" w:rsidP="00D80EFE">
            <w:pPr>
              <w:pStyle w:val="tbltext"/>
              <w:spacing w:before="100" w:line="230" w:lineRule="atLeast"/>
              <w:jc w:val="right"/>
            </w:pPr>
            <w:r>
              <w:t>7.6%</w:t>
            </w:r>
          </w:p>
        </w:tc>
        <w:tc>
          <w:tcPr>
            <w:tcW w:w="837" w:type="dxa"/>
            <w:vAlign w:val="center"/>
          </w:tcPr>
          <w:p w14:paraId="17E22DA5" w14:textId="77777777" w:rsidR="008B45D9" w:rsidRDefault="008B45D9" w:rsidP="00D80EFE">
            <w:pPr>
              <w:pStyle w:val="tbltext"/>
              <w:spacing w:before="100" w:line="230" w:lineRule="atLeast"/>
              <w:jc w:val="right"/>
            </w:pPr>
            <w:r>
              <w:t>6.0%</w:t>
            </w:r>
          </w:p>
        </w:tc>
        <w:tc>
          <w:tcPr>
            <w:tcW w:w="838" w:type="dxa"/>
            <w:vAlign w:val="center"/>
          </w:tcPr>
          <w:p w14:paraId="5AFDD9BF" w14:textId="77777777" w:rsidR="008B45D9" w:rsidRDefault="008B45D9" w:rsidP="00D80EFE">
            <w:pPr>
              <w:pStyle w:val="tbltext"/>
              <w:spacing w:before="100" w:line="230" w:lineRule="atLeast"/>
              <w:jc w:val="right"/>
            </w:pPr>
            <w:r>
              <w:t>5.9%</w:t>
            </w:r>
          </w:p>
        </w:tc>
        <w:tc>
          <w:tcPr>
            <w:tcW w:w="838" w:type="dxa"/>
            <w:vAlign w:val="center"/>
          </w:tcPr>
          <w:p w14:paraId="61EA4D8B" w14:textId="4C972962" w:rsidR="008B45D9" w:rsidRDefault="008B45D9" w:rsidP="00D80EFE">
            <w:pPr>
              <w:pStyle w:val="tbltext"/>
              <w:spacing w:before="100" w:line="230" w:lineRule="atLeast"/>
              <w:jc w:val="right"/>
            </w:pPr>
            <w:r>
              <w:t>6.4%</w:t>
            </w:r>
          </w:p>
        </w:tc>
        <w:tc>
          <w:tcPr>
            <w:tcW w:w="838" w:type="dxa"/>
            <w:vAlign w:val="center"/>
          </w:tcPr>
          <w:p w14:paraId="4E454BA4" w14:textId="28CD7B4C" w:rsidR="008B45D9" w:rsidRPr="00C11779" w:rsidRDefault="008B45D9" w:rsidP="00C11779">
            <w:pPr>
              <w:pStyle w:val="tablehead"/>
              <w:spacing w:before="100" w:line="230" w:lineRule="atLeast"/>
              <w:jc w:val="right"/>
              <w:rPr>
                <w:b w:val="0"/>
                <w:bCs/>
              </w:rPr>
            </w:pPr>
            <w:r w:rsidRPr="00C11779">
              <w:rPr>
                <w:b w:val="0"/>
                <w:bCs/>
              </w:rPr>
              <w:t>3.8%</w:t>
            </w:r>
          </w:p>
        </w:tc>
      </w:tr>
    </w:tbl>
    <w:p w14:paraId="7960C78B" w14:textId="781BA145" w:rsidR="00F96D24" w:rsidRDefault="00F96D24" w:rsidP="00E8261A">
      <w:pPr>
        <w:pStyle w:val="BodyText"/>
        <w:spacing w:line="310" w:lineRule="atLeast"/>
        <w:ind w:left="2268"/>
        <w:rPr>
          <w:b/>
        </w:rPr>
      </w:pPr>
      <w:bookmarkStart w:id="132" w:name="_ASICRef468"/>
      <w:bookmarkStart w:id="133" w:name="_Toc57146507"/>
      <w:r>
        <w:t xml:space="preserve">This reflects the combination of new trades by existing NRCPs and new trades by new NRCPs. An alternative view of new entity identifier creation in </w:t>
      </w:r>
      <w:r w:rsidR="00517F05">
        <w:fldChar w:fldCharType="begin" w:fldLock="1"/>
      </w:r>
      <w:r w:rsidR="00517F05">
        <w:instrText xml:space="preserve"> REF _Ref90637967 \h </w:instrText>
      </w:r>
      <w:r w:rsidR="00517F05">
        <w:fldChar w:fldCharType="separate"/>
      </w:r>
      <w:r w:rsidR="00853A2A">
        <w:t xml:space="preserve">Table </w:t>
      </w:r>
      <w:r w:rsidR="00853A2A">
        <w:rPr>
          <w:noProof/>
        </w:rPr>
        <w:t>21</w:t>
      </w:r>
      <w:r w:rsidR="00517F05">
        <w:fldChar w:fldCharType="end"/>
      </w:r>
      <w:r w:rsidR="00517F05">
        <w:t xml:space="preserve"> </w:t>
      </w:r>
      <w:r>
        <w:t>is much more in favour of LEI</w:t>
      </w:r>
      <w:r w:rsidR="00E7101A">
        <w:t>s</w:t>
      </w:r>
      <w:r w:rsidR="00065DF4">
        <w:t xml:space="preserve">, </w:t>
      </w:r>
      <w:r w:rsidR="00C23DED">
        <w:t>with nearly twice as many new Australian LEIs as global AVIDs newly appearing in reporting in the most recent quarters.</w:t>
      </w:r>
      <w:bookmarkEnd w:id="132"/>
    </w:p>
    <w:p w14:paraId="6431FD7E" w14:textId="6635D14E" w:rsidR="00F96D24" w:rsidRDefault="00F96D24" w:rsidP="00F96D24">
      <w:pPr>
        <w:pStyle w:val="tabletitleindented"/>
      </w:pPr>
      <w:bookmarkStart w:id="134" w:name="_Ref90637967"/>
      <w:r>
        <w:t xml:space="preserve">Table </w:t>
      </w:r>
      <w:fldSimple w:instr=" SEQ Table \* ARABIC ">
        <w:r w:rsidR="006679BA">
          <w:rPr>
            <w:noProof/>
          </w:rPr>
          <w:t>21</w:t>
        </w:r>
      </w:fldSimple>
      <w:bookmarkEnd w:id="134"/>
      <w:r>
        <w:t>:</w:t>
      </w:r>
      <w:r>
        <w:tab/>
      </w:r>
      <w:r w:rsidR="00517F05" w:rsidRPr="00517F05">
        <w:t>Numbers of new AVIDs and new LEIs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0"/>
        <w:gridCol w:w="1701"/>
        <w:gridCol w:w="1700"/>
        <w:gridCol w:w="1701"/>
      </w:tblGrid>
      <w:tr w:rsidR="00F47E59" w:rsidRPr="000540E1" w14:paraId="4AE3934C" w14:textId="77777777" w:rsidTr="00924660">
        <w:trPr>
          <w:cantSplit/>
          <w:tblHeader/>
        </w:trPr>
        <w:tc>
          <w:tcPr>
            <w:tcW w:w="1700" w:type="dxa"/>
            <w:shd w:val="clear" w:color="auto" w:fill="C2E3FA"/>
          </w:tcPr>
          <w:p w14:paraId="6CD6B099" w14:textId="77777777" w:rsidR="00517F05" w:rsidRDefault="00517F05" w:rsidP="00517F05">
            <w:pPr>
              <w:pStyle w:val="tablehead"/>
              <w:spacing w:before="100" w:line="230" w:lineRule="atLeast"/>
            </w:pPr>
            <w:r>
              <w:t>Type</w:t>
            </w:r>
          </w:p>
        </w:tc>
        <w:tc>
          <w:tcPr>
            <w:tcW w:w="1701" w:type="dxa"/>
            <w:shd w:val="clear" w:color="auto" w:fill="C2E3FA"/>
            <w:vAlign w:val="center"/>
          </w:tcPr>
          <w:p w14:paraId="0341D805" w14:textId="2EB2C443" w:rsidR="00517F05" w:rsidRPr="000540E1" w:rsidRDefault="00517F05" w:rsidP="00517F05">
            <w:pPr>
              <w:pStyle w:val="tablehead"/>
              <w:spacing w:before="100" w:line="230" w:lineRule="atLeast"/>
              <w:jc w:val="right"/>
            </w:pPr>
            <w:r>
              <w:t>Jun</w:t>
            </w:r>
            <w:r w:rsidR="00F47E59">
              <w:t xml:space="preserve"> quarter</w:t>
            </w:r>
            <w:r>
              <w:t xml:space="preserve"> 2021</w:t>
            </w:r>
          </w:p>
        </w:tc>
        <w:tc>
          <w:tcPr>
            <w:tcW w:w="1700" w:type="dxa"/>
            <w:shd w:val="clear" w:color="auto" w:fill="C2E3FA"/>
            <w:vAlign w:val="center"/>
          </w:tcPr>
          <w:p w14:paraId="1008E3CD" w14:textId="38D0D3F2" w:rsidR="00517F05" w:rsidRPr="000540E1" w:rsidRDefault="00517F05" w:rsidP="00517F05">
            <w:pPr>
              <w:pStyle w:val="tablehead"/>
              <w:spacing w:before="100" w:line="230" w:lineRule="atLeast"/>
              <w:jc w:val="right"/>
            </w:pPr>
            <w:r>
              <w:t>Sep</w:t>
            </w:r>
            <w:r w:rsidR="00F47E59">
              <w:t xml:space="preserve"> quarter</w:t>
            </w:r>
            <w:r>
              <w:t xml:space="preserve"> 2021</w:t>
            </w:r>
          </w:p>
        </w:tc>
        <w:tc>
          <w:tcPr>
            <w:tcW w:w="1701" w:type="dxa"/>
            <w:shd w:val="clear" w:color="auto" w:fill="C2E3FA"/>
            <w:vAlign w:val="center"/>
          </w:tcPr>
          <w:p w14:paraId="4017FADA" w14:textId="3E5FB5B1" w:rsidR="00517F05" w:rsidRDefault="00517F05" w:rsidP="00517F05">
            <w:pPr>
              <w:pStyle w:val="tablehead"/>
              <w:spacing w:before="100" w:line="230" w:lineRule="atLeast"/>
              <w:jc w:val="right"/>
            </w:pPr>
            <w:r>
              <w:t>Dec</w:t>
            </w:r>
            <w:r w:rsidR="00F47E59">
              <w:t xml:space="preserve"> quarter</w:t>
            </w:r>
            <w:r>
              <w:t xml:space="preserve"> 2021</w:t>
            </w:r>
          </w:p>
        </w:tc>
      </w:tr>
      <w:tr w:rsidR="00F47E59" w:rsidRPr="000540E1" w14:paraId="66F0F53F" w14:textId="77777777" w:rsidTr="00924660">
        <w:trPr>
          <w:cantSplit/>
        </w:trPr>
        <w:tc>
          <w:tcPr>
            <w:tcW w:w="1700" w:type="dxa"/>
          </w:tcPr>
          <w:p w14:paraId="17969FBB" w14:textId="196AA8CD" w:rsidR="00517F05" w:rsidRDefault="00517F05" w:rsidP="00517F05">
            <w:pPr>
              <w:pStyle w:val="tbltext"/>
              <w:spacing w:before="100" w:line="230" w:lineRule="atLeast"/>
            </w:pPr>
            <w:r>
              <w:t>N</w:t>
            </w:r>
            <w:r w:rsidR="00D11A5A">
              <w:t>umber</w:t>
            </w:r>
            <w:r>
              <w:t xml:space="preserve"> of new AVIDs in reporting</w:t>
            </w:r>
          </w:p>
        </w:tc>
        <w:tc>
          <w:tcPr>
            <w:tcW w:w="1701" w:type="dxa"/>
            <w:vAlign w:val="center"/>
          </w:tcPr>
          <w:p w14:paraId="087A899A" w14:textId="5F92EE38" w:rsidR="00517F05" w:rsidRDefault="00AB2257" w:rsidP="00517F05">
            <w:pPr>
              <w:pStyle w:val="tbltext"/>
              <w:spacing w:before="100" w:line="230" w:lineRule="atLeast"/>
              <w:jc w:val="right"/>
            </w:pPr>
            <w:r>
              <w:t>367</w:t>
            </w:r>
          </w:p>
        </w:tc>
        <w:tc>
          <w:tcPr>
            <w:tcW w:w="1700" w:type="dxa"/>
            <w:vAlign w:val="center"/>
          </w:tcPr>
          <w:p w14:paraId="5FFD830E" w14:textId="22C9C053" w:rsidR="00517F05" w:rsidRDefault="00AB2257" w:rsidP="00517F05">
            <w:pPr>
              <w:pStyle w:val="tbltext"/>
              <w:spacing w:before="100" w:line="230" w:lineRule="atLeast"/>
              <w:jc w:val="right"/>
            </w:pPr>
            <w:r>
              <w:t>489</w:t>
            </w:r>
          </w:p>
        </w:tc>
        <w:tc>
          <w:tcPr>
            <w:tcW w:w="1701" w:type="dxa"/>
            <w:vAlign w:val="center"/>
          </w:tcPr>
          <w:p w14:paraId="1B998D13" w14:textId="32D9BB11" w:rsidR="00517F05" w:rsidRPr="00AB2257" w:rsidRDefault="00AB2257" w:rsidP="00517F05">
            <w:pPr>
              <w:pStyle w:val="tbltext"/>
              <w:spacing w:before="100" w:line="230" w:lineRule="atLeast"/>
              <w:jc w:val="right"/>
            </w:pPr>
            <w:r w:rsidRPr="00AB2257">
              <w:t>498</w:t>
            </w:r>
          </w:p>
        </w:tc>
      </w:tr>
      <w:tr w:rsidR="00F47E59" w:rsidRPr="000540E1" w14:paraId="1993C9A1" w14:textId="77777777" w:rsidTr="00924660">
        <w:trPr>
          <w:cantSplit/>
        </w:trPr>
        <w:tc>
          <w:tcPr>
            <w:tcW w:w="1700" w:type="dxa"/>
          </w:tcPr>
          <w:p w14:paraId="44FD511F" w14:textId="2BDA72C0" w:rsidR="00517F05" w:rsidRDefault="00517F05" w:rsidP="00517F05">
            <w:pPr>
              <w:pStyle w:val="tbltext"/>
              <w:spacing w:before="100" w:line="230" w:lineRule="atLeast"/>
            </w:pPr>
            <w:r>
              <w:t>N</w:t>
            </w:r>
            <w:r w:rsidR="00D11A5A">
              <w:t xml:space="preserve">umber </w:t>
            </w:r>
            <w:r>
              <w:t>of new Australian LEIs in reporting</w:t>
            </w:r>
          </w:p>
        </w:tc>
        <w:tc>
          <w:tcPr>
            <w:tcW w:w="1701" w:type="dxa"/>
            <w:vAlign w:val="center"/>
          </w:tcPr>
          <w:p w14:paraId="451DE6EE" w14:textId="65EA395D" w:rsidR="00517F05" w:rsidRDefault="00AB2257" w:rsidP="00517F05">
            <w:pPr>
              <w:pStyle w:val="tbltext"/>
              <w:spacing w:before="100" w:line="230" w:lineRule="atLeast"/>
              <w:jc w:val="right"/>
            </w:pPr>
            <w:r>
              <w:t>690</w:t>
            </w:r>
          </w:p>
        </w:tc>
        <w:tc>
          <w:tcPr>
            <w:tcW w:w="1700" w:type="dxa"/>
            <w:vAlign w:val="center"/>
          </w:tcPr>
          <w:p w14:paraId="27311C0B" w14:textId="65A79BD8" w:rsidR="00517F05" w:rsidRDefault="00AB2257" w:rsidP="00517F05">
            <w:pPr>
              <w:pStyle w:val="tbltext"/>
              <w:spacing w:before="100" w:line="230" w:lineRule="atLeast"/>
              <w:jc w:val="right"/>
            </w:pPr>
            <w:r>
              <w:t>977</w:t>
            </w:r>
          </w:p>
        </w:tc>
        <w:tc>
          <w:tcPr>
            <w:tcW w:w="1701" w:type="dxa"/>
            <w:vAlign w:val="center"/>
          </w:tcPr>
          <w:p w14:paraId="220D94D6" w14:textId="6A129F5C" w:rsidR="00517F05" w:rsidRPr="00AB2257" w:rsidRDefault="00AB2257" w:rsidP="00517F05">
            <w:pPr>
              <w:pStyle w:val="tbltext"/>
              <w:spacing w:before="100" w:line="230" w:lineRule="atLeast"/>
              <w:jc w:val="right"/>
            </w:pPr>
            <w:r>
              <w:t>878</w:t>
            </w:r>
          </w:p>
        </w:tc>
      </w:tr>
    </w:tbl>
    <w:p w14:paraId="48BD3B49" w14:textId="36E8946A" w:rsidR="006F1C51" w:rsidRDefault="006F1C51" w:rsidP="00BA7AAD">
      <w:pPr>
        <w:pStyle w:val="Heading2"/>
      </w:pPr>
      <w:bookmarkStart w:id="135" w:name="_Toc103174633"/>
      <w:r>
        <w:t>ASIC’s proposed approach to LEIs in CP 334</w:t>
      </w:r>
      <w:bookmarkEnd w:id="135"/>
    </w:p>
    <w:p w14:paraId="7241032B" w14:textId="5706C428" w:rsidR="00E675EE" w:rsidRDefault="00E675EE" w:rsidP="00924660">
      <w:pPr>
        <w:pStyle w:val="BodyText"/>
        <w:keepNext/>
        <w:spacing w:line="290" w:lineRule="atLeast"/>
        <w:ind w:left="2268"/>
        <w:rPr>
          <w:rFonts w:eastAsiaTheme="minorHAnsi"/>
        </w:rPr>
      </w:pPr>
      <w:r w:rsidRPr="00E675EE">
        <w:rPr>
          <w:rFonts w:eastAsiaTheme="minorHAnsi"/>
        </w:rPr>
        <w:t xml:space="preserve">In </w:t>
      </w:r>
      <w:hyperlink r:id="rId103" w:history="1">
        <w:r w:rsidR="00D11A5A" w:rsidRPr="00495178">
          <w:rPr>
            <w:rStyle w:val="Hyperlink"/>
          </w:rPr>
          <w:t>CP 334</w:t>
        </w:r>
      </w:hyperlink>
      <w:r w:rsidRPr="00E675EE">
        <w:rPr>
          <w:rFonts w:eastAsiaTheme="minorHAnsi"/>
        </w:rPr>
        <w:t>, we</w:t>
      </w:r>
      <w:r>
        <w:rPr>
          <w:rFonts w:eastAsiaTheme="minorHAnsi"/>
        </w:rPr>
        <w:t xml:space="preserve"> propos</w:t>
      </w:r>
      <w:r w:rsidR="00D11A5A">
        <w:rPr>
          <w:rFonts w:eastAsiaTheme="minorHAnsi"/>
        </w:rPr>
        <w:t>ed</w:t>
      </w:r>
      <w:r>
        <w:rPr>
          <w:rFonts w:eastAsiaTheme="minorHAnsi"/>
        </w:rPr>
        <w:t xml:space="preserve"> to:</w:t>
      </w:r>
    </w:p>
    <w:p w14:paraId="5D764F94" w14:textId="77777777" w:rsidR="00E675EE" w:rsidRPr="00C401AD" w:rsidRDefault="00E675EE" w:rsidP="00C443A0">
      <w:pPr>
        <w:pStyle w:val="subparaa"/>
        <w:numPr>
          <w:ilvl w:val="1"/>
          <w:numId w:val="17"/>
        </w:numPr>
        <w:spacing w:line="290" w:lineRule="atLeast"/>
      </w:pPr>
      <w:r>
        <w:t>require all entity identifiers to be valid and duly renewed LEIs, other than for natural persons not acting in a business capacity;</w:t>
      </w:r>
    </w:p>
    <w:p w14:paraId="57E7B8B5" w14:textId="7EFE6162" w:rsidR="00342C5F" w:rsidRPr="00C401AD" w:rsidRDefault="00342C5F" w:rsidP="00C443A0">
      <w:pPr>
        <w:pStyle w:val="subparaa"/>
        <w:numPr>
          <w:ilvl w:val="1"/>
          <w:numId w:val="17"/>
        </w:numPr>
        <w:spacing w:line="290" w:lineRule="atLeast"/>
      </w:pPr>
      <w:r w:rsidRPr="00C401AD">
        <w:t>require that transactions reported with entity identifiers that are not valid and duly renewed LEIs have their transaction information updated to include a valid and duly renewed LEI;</w:t>
      </w:r>
    </w:p>
    <w:p w14:paraId="45B3C153" w14:textId="53559E64" w:rsidR="00E675EE" w:rsidRPr="00C401AD" w:rsidRDefault="00E7757C" w:rsidP="00C443A0">
      <w:pPr>
        <w:pStyle w:val="subparaa"/>
        <w:numPr>
          <w:ilvl w:val="1"/>
          <w:numId w:val="17"/>
        </w:numPr>
        <w:spacing w:line="290" w:lineRule="atLeast"/>
      </w:pPr>
      <w:r w:rsidRPr="00E7757C">
        <w:t>repeal the existing exemption that allow</w:t>
      </w:r>
      <w:r>
        <w:t>s</w:t>
      </w:r>
      <w:r w:rsidRPr="00E7757C">
        <w:t xml:space="preserve"> the reporting of an internal entity identifier whe</w:t>
      </w:r>
      <w:r w:rsidR="00A62B79">
        <w:t>n</w:t>
      </w:r>
      <w:r w:rsidRPr="00E7757C">
        <w:t xml:space="preserve"> a non-internal entity identifier is applied for within two business days (the ‘grace period’) after the requirement to report the entity identifier arises</w:t>
      </w:r>
      <w:r>
        <w:t>;</w:t>
      </w:r>
      <w:r w:rsidR="00342C5F">
        <w:t xml:space="preserve"> and</w:t>
      </w:r>
    </w:p>
    <w:p w14:paraId="4EB64CF1" w14:textId="7E86AB93" w:rsidR="00342C5F" w:rsidRPr="00C401AD" w:rsidRDefault="00342C5F" w:rsidP="00C443A0">
      <w:pPr>
        <w:pStyle w:val="subparaa"/>
        <w:numPr>
          <w:ilvl w:val="1"/>
          <w:numId w:val="17"/>
        </w:numPr>
        <w:spacing w:line="290" w:lineRule="atLeast"/>
      </w:pPr>
      <w:r w:rsidRPr="00E7757C">
        <w:t>repeal the existing exemption that allow</w:t>
      </w:r>
      <w:r>
        <w:t>s</w:t>
      </w:r>
      <w:r w:rsidRPr="00E7757C">
        <w:t xml:space="preserve"> the reporting of an internal entity identifier for joint counterparties</w:t>
      </w:r>
      <w:r>
        <w:t xml:space="preserve"> and align with the final CFTC rules by requiring that the LEI of one of the joint counterparties is reported as the entity identifier of the non-reporting counterparty.</w:t>
      </w:r>
    </w:p>
    <w:p w14:paraId="10757E50" w14:textId="39A0288B" w:rsidR="00E7757C" w:rsidRPr="00A829C7" w:rsidRDefault="00E7757C" w:rsidP="00E7757C">
      <w:pPr>
        <w:pStyle w:val="Note"/>
        <w:rPr>
          <w:spacing w:val="-2"/>
        </w:rPr>
      </w:pPr>
      <w:r w:rsidRPr="00A829C7">
        <w:rPr>
          <w:spacing w:val="-2"/>
        </w:rPr>
        <w:t xml:space="preserve">Note: These exemptions are section 6 ‘Exemption 2 (Entity Information)’ and section 6B ‘Exemption 2B (Joint Counterparties)’ of </w:t>
      </w:r>
      <w:hyperlink r:id="rId104" w:history="1">
        <w:r w:rsidRPr="003C63A1">
          <w:rPr>
            <w:rStyle w:val="Hyperlink"/>
            <w:i/>
            <w:iCs/>
            <w:spacing w:val="-2"/>
          </w:rPr>
          <w:t>ASIC Corporations (Derivative Transaction Reporting Exemption) Instrument 2015/844</w:t>
        </w:r>
      </w:hyperlink>
      <w:r w:rsidRPr="00A829C7">
        <w:rPr>
          <w:spacing w:val="-2"/>
        </w:rPr>
        <w:t>.</w:t>
      </w:r>
    </w:p>
    <w:p w14:paraId="14D6A3D0" w14:textId="16AA32E1" w:rsidR="00944CBC" w:rsidRDefault="00944CBC" w:rsidP="00924660">
      <w:pPr>
        <w:pStyle w:val="BodyText"/>
        <w:spacing w:line="290" w:lineRule="atLeast"/>
        <w:ind w:left="2268"/>
      </w:pPr>
      <w:r>
        <w:t xml:space="preserve">The requirement to use LEIs would apply to all ‘new’ transactions, and to transactions that had not matured or expired by the time the </w:t>
      </w:r>
      <w:r w:rsidR="00A62B79">
        <w:t>remade</w:t>
      </w:r>
      <w:r>
        <w:t xml:space="preserve"> ASIC Rules come into force</w:t>
      </w:r>
      <w:r w:rsidRPr="003112BD">
        <w:t>.</w:t>
      </w:r>
      <w:r>
        <w:t xml:space="preserve"> </w:t>
      </w:r>
    </w:p>
    <w:p w14:paraId="09571B36" w14:textId="2E96C65B" w:rsidR="00944CBC" w:rsidRDefault="00944CBC" w:rsidP="00924660">
      <w:pPr>
        <w:pStyle w:val="BodyText"/>
        <w:spacing w:line="290" w:lineRule="atLeast"/>
        <w:ind w:left="2268"/>
      </w:pPr>
      <w:r>
        <w:t>The conditional exemptions allowing an internal client code to be reported have provided that, once the NRCP obtains an allowable entity identifier, the reporting entity must report the identifier on existing transactions. Likewise, we propose</w:t>
      </w:r>
      <w:r w:rsidR="00E53998">
        <w:t>d</w:t>
      </w:r>
      <w:r>
        <w:t xml:space="preserve"> that, once the NRCP obtains an LEI, the reporting entity must report the LEI on existing transactions.</w:t>
      </w:r>
    </w:p>
    <w:p w14:paraId="461630E2" w14:textId="7FEAE29C" w:rsidR="00944CBC" w:rsidRPr="00E7757C" w:rsidRDefault="00E7757C" w:rsidP="00924660">
      <w:pPr>
        <w:pStyle w:val="BodyText"/>
        <w:spacing w:line="290" w:lineRule="atLeast"/>
        <w:ind w:left="2268"/>
        <w:rPr>
          <w:rFonts w:eastAsiaTheme="minorHAnsi"/>
        </w:rPr>
      </w:pPr>
      <w:r>
        <w:t>After the release of CP</w:t>
      </w:r>
      <w:r w:rsidR="00D11A5A">
        <w:t xml:space="preserve"> </w:t>
      </w:r>
      <w:r>
        <w:t>334, on 17 December 2020, ESMA published its final report on its proposals</w:t>
      </w:r>
      <w:r w:rsidR="00A62B79">
        <w:t>,</w:t>
      </w:r>
      <w:r>
        <w:t xml:space="preserve"> which included </w:t>
      </w:r>
      <w:r w:rsidR="00E8261A">
        <w:t>the clarification</w:t>
      </w:r>
      <w:r>
        <w:t xml:space="preserve"> that the LEI reported as the identifier of </w:t>
      </w:r>
      <w:r w:rsidR="00A62B79">
        <w:t>c</w:t>
      </w:r>
      <w:r>
        <w:t xml:space="preserve">ounterparty 2 is not required to be a renewed LEI. </w:t>
      </w:r>
      <w:r w:rsidR="00944CBC">
        <w:t xml:space="preserve">However, noting that the LEI reported as the identifier of </w:t>
      </w:r>
      <w:r w:rsidR="00A62B79">
        <w:t>c</w:t>
      </w:r>
      <w:r w:rsidR="00944CBC">
        <w:t>ounterparty</w:t>
      </w:r>
      <w:r w:rsidR="00D11A5A">
        <w:t> </w:t>
      </w:r>
      <w:r w:rsidR="00944CBC">
        <w:t xml:space="preserve">1 continues to be required to be a renewed LEI, the lesser requirement on </w:t>
      </w:r>
      <w:r w:rsidR="00A62B79">
        <w:t>c</w:t>
      </w:r>
      <w:r w:rsidR="00944CBC">
        <w:t xml:space="preserve">ounterparty 2’s LEI only applies, in effect, to </w:t>
      </w:r>
      <w:r w:rsidR="00A62B79">
        <w:t>c</w:t>
      </w:r>
      <w:r w:rsidR="00944CBC">
        <w:t>ounterparty</w:t>
      </w:r>
      <w:r w:rsidR="00E8261A">
        <w:t> </w:t>
      </w:r>
      <w:r w:rsidR="00944CBC">
        <w:t xml:space="preserve">2s who are </w:t>
      </w:r>
      <w:r w:rsidR="00ED7569">
        <w:t xml:space="preserve">not </w:t>
      </w:r>
      <w:r w:rsidR="00944CBC" w:rsidRPr="00221968">
        <w:t xml:space="preserve">ESMA reporting </w:t>
      </w:r>
      <w:r w:rsidR="00944CBC" w:rsidRPr="00924660">
        <w:t>entities</w:t>
      </w:r>
      <w:r w:rsidR="00944CBC">
        <w:t xml:space="preserve"> and never report as </w:t>
      </w:r>
      <w:r w:rsidR="00A62B79">
        <w:t>c</w:t>
      </w:r>
      <w:r w:rsidR="00944CBC">
        <w:t>ounterparty 1.</w:t>
      </w:r>
    </w:p>
    <w:p w14:paraId="6269611F" w14:textId="50C8BB55" w:rsidR="005909A2" w:rsidRDefault="00A62B79" w:rsidP="005909A2">
      <w:pPr>
        <w:pStyle w:val="Heading2"/>
      </w:pPr>
      <w:bookmarkStart w:id="136" w:name="_Toc103174634"/>
      <w:bookmarkEnd w:id="133"/>
      <w:r>
        <w:t>Feedback on our propos</w:t>
      </w:r>
      <w:r w:rsidR="00783A27">
        <w:t xml:space="preserve">ed approach </w:t>
      </w:r>
      <w:r>
        <w:t xml:space="preserve">in </w:t>
      </w:r>
      <w:r w:rsidR="005909A2">
        <w:t>CP</w:t>
      </w:r>
      <w:r w:rsidR="00D11A5A">
        <w:t xml:space="preserve"> </w:t>
      </w:r>
      <w:r w:rsidR="005909A2">
        <w:t>334</w:t>
      </w:r>
      <w:bookmarkEnd w:id="136"/>
    </w:p>
    <w:p w14:paraId="2C94DE3D" w14:textId="0EEE8939" w:rsidR="00346F89" w:rsidRDefault="00E53998" w:rsidP="00924660">
      <w:pPr>
        <w:pStyle w:val="BodyText"/>
        <w:spacing w:line="290" w:lineRule="atLeast"/>
        <w:ind w:left="2268"/>
      </w:pPr>
      <w:r>
        <w:t xml:space="preserve">Respondents to </w:t>
      </w:r>
      <w:r w:rsidR="00E8261A" w:rsidRPr="00924660">
        <w:t>CP 334</w:t>
      </w:r>
      <w:r>
        <w:t xml:space="preserve"> generally expressed support for our proposal</w:t>
      </w:r>
      <w:r w:rsidR="00346F89">
        <w:t xml:space="preserve"> to require all entity identifiers to be valid and duly renewed LEIs, other than for natural persons not acting in a business capacity. However, a number of respondents noted a number of challenges.</w:t>
      </w:r>
    </w:p>
    <w:p w14:paraId="28EA19F9" w14:textId="422F190B" w:rsidR="00346F89" w:rsidRDefault="00346F89" w:rsidP="00924660">
      <w:pPr>
        <w:pStyle w:val="BodyText"/>
        <w:spacing w:line="290" w:lineRule="atLeast"/>
        <w:ind w:left="2268"/>
      </w:pPr>
      <w:r>
        <w:t>Two respondents noted that they had in excess of 1,000, typically SME, clients with an AVID but not an LEI</w:t>
      </w:r>
      <w:r w:rsidR="007849AF">
        <w:t>. One respondent</w:t>
      </w:r>
      <w:r>
        <w:t xml:space="preserve"> estimated a particular substantial monetary cost in staff and LEI fees and costs should they, in effect, sponsor these clients to obtain LEIs.</w:t>
      </w:r>
      <w:r w:rsidR="000942F6">
        <w:t xml:space="preserve"> Other respondents referred more generally to significant effort being required to uplift AVIDs to LEIs.</w:t>
      </w:r>
    </w:p>
    <w:p w14:paraId="30A0BA78" w14:textId="45039042" w:rsidR="000942F6" w:rsidRDefault="000942F6" w:rsidP="00924660">
      <w:pPr>
        <w:pStyle w:val="BodyText"/>
        <w:spacing w:line="290" w:lineRule="atLeast"/>
        <w:ind w:left="2268"/>
      </w:pPr>
      <w:r>
        <w:t xml:space="preserve">Related to the AVID-to-LEI conversion outreach and uplift challenge, some respondents advocated retaining the ‘grace period’ exemption, noting that </w:t>
      </w:r>
      <w:r w:rsidR="00612CE1">
        <w:t>counterparties had entered into existing transactions on the basis that AVID and BIC were acceptable identifiers and may have the ongoing expectation that AVID and BIC are acceptable for future transactions.</w:t>
      </w:r>
    </w:p>
    <w:p w14:paraId="34C21828" w14:textId="24039888" w:rsidR="00612CE1" w:rsidRDefault="00612CE1" w:rsidP="00924660">
      <w:pPr>
        <w:pStyle w:val="BodyText"/>
        <w:spacing w:line="290" w:lineRule="atLeast"/>
        <w:ind w:left="2268"/>
      </w:pPr>
      <w:r>
        <w:t xml:space="preserve">Respondents also advocated that, </w:t>
      </w:r>
      <w:r w:rsidR="0030426D">
        <w:t xml:space="preserve">when </w:t>
      </w:r>
      <w:r>
        <w:t>a counterparty obtain</w:t>
      </w:r>
      <w:r w:rsidR="0030426D">
        <w:t>ed</w:t>
      </w:r>
      <w:r>
        <w:t xml:space="preserve"> an LEI, any requirement to update the identifiers on existing transactions to that LEI </w:t>
      </w:r>
      <w:r w:rsidR="0030426D">
        <w:t xml:space="preserve">should </w:t>
      </w:r>
      <w:r>
        <w:t>not be triggered until the counterparty has entered into a new transaction.</w:t>
      </w:r>
    </w:p>
    <w:p w14:paraId="7FBFDEF0" w14:textId="7E2C1489" w:rsidR="005909A2" w:rsidRDefault="00342C5F" w:rsidP="00924660">
      <w:pPr>
        <w:pStyle w:val="BodyText"/>
        <w:spacing w:line="290" w:lineRule="atLeast"/>
        <w:ind w:left="2268"/>
      </w:pPr>
      <w:r>
        <w:t>Finally, some respondents advocated that the joint counterparties exemption be retained</w:t>
      </w:r>
      <w:r w:rsidR="00AB53F6">
        <w:t>,</w:t>
      </w:r>
      <w:r>
        <w:t xml:space="preserve"> but without stating any express reasons for doing so</w:t>
      </w:r>
      <w:r w:rsidR="00EA0CA5">
        <w:t>. W</w:t>
      </w:r>
      <w:r>
        <w:t>e presume that these are, more often than not, also SME</w:t>
      </w:r>
      <w:r w:rsidR="00C42550">
        <w:t xml:space="preserve"> clients and the LEI challenges are the same as for any SME client.</w:t>
      </w:r>
    </w:p>
    <w:p w14:paraId="767C7034" w14:textId="59367A7E" w:rsidR="00DA549E" w:rsidRDefault="00DA549E" w:rsidP="00924660">
      <w:pPr>
        <w:pStyle w:val="Heading3"/>
      </w:pPr>
      <w:r>
        <w:t>Our response</w:t>
      </w:r>
    </w:p>
    <w:p w14:paraId="76DE6ED7" w14:textId="1AC1C8EB" w:rsidR="008428C4" w:rsidRDefault="00CE550B" w:rsidP="00924660">
      <w:pPr>
        <w:pStyle w:val="BodyText"/>
        <w:spacing w:line="290" w:lineRule="atLeast"/>
        <w:ind w:left="2268"/>
      </w:pPr>
      <w:bookmarkStart w:id="137" w:name="_ASICRef263"/>
      <w:r>
        <w:t xml:space="preserve">Responding to the feedback to </w:t>
      </w:r>
      <w:r w:rsidR="00CA5C96" w:rsidRPr="00CA5C96">
        <w:t>CP 334</w:t>
      </w:r>
      <w:r>
        <w:t xml:space="preserve">, we </w:t>
      </w:r>
      <w:r w:rsidR="004E7B7B">
        <w:t xml:space="preserve">have decided </w:t>
      </w:r>
      <w:r w:rsidR="008428C4">
        <w:t>to:</w:t>
      </w:r>
      <w:bookmarkEnd w:id="137"/>
    </w:p>
    <w:p w14:paraId="2A259DAE" w14:textId="4E9BCA0E" w:rsidR="008428C4" w:rsidRPr="00C401AD" w:rsidRDefault="00D11A5A" w:rsidP="00C443A0">
      <w:pPr>
        <w:pStyle w:val="subparaa"/>
        <w:numPr>
          <w:ilvl w:val="1"/>
          <w:numId w:val="17"/>
        </w:numPr>
        <w:spacing w:line="290" w:lineRule="atLeast"/>
      </w:pPr>
      <w:r>
        <w:t>p</w:t>
      </w:r>
      <w:r w:rsidR="009F544E">
        <w:t xml:space="preserve">roceed with our proposal to </w:t>
      </w:r>
      <w:r w:rsidR="008428C4">
        <w:t xml:space="preserve">require the entity identifier </w:t>
      </w:r>
      <w:r w:rsidR="00AB7E6A">
        <w:t>of</w:t>
      </w:r>
      <w:r w:rsidR="008428C4">
        <w:t xml:space="preserve"> Australian </w:t>
      </w:r>
      <w:r w:rsidR="00116B1F">
        <w:t>c</w:t>
      </w:r>
      <w:r w:rsidR="008428C4">
        <w:t>ounterparty 2s</w:t>
      </w:r>
      <w:r w:rsidR="00AB7E6A">
        <w:t xml:space="preserve">, and if applicable </w:t>
      </w:r>
      <w:r w:rsidR="00116B1F">
        <w:t>b</w:t>
      </w:r>
      <w:r w:rsidR="00AB7E6A">
        <w:t>eneficiary 1,</w:t>
      </w:r>
      <w:r w:rsidR="008428C4">
        <w:t xml:space="preserve"> to be valid and duly renewed LEIs</w:t>
      </w:r>
      <w:r w:rsidR="00AB7E6A">
        <w:t xml:space="preserve"> (</w:t>
      </w:r>
      <w:r w:rsidR="008428C4">
        <w:t>other than for</w:t>
      </w:r>
      <w:r w:rsidR="00AB7E6A">
        <w:t xml:space="preserve"> na</w:t>
      </w:r>
      <w:r w:rsidR="008428C4">
        <w:t>tural persons not acting in a business capacity</w:t>
      </w:r>
      <w:r w:rsidR="00AB7E6A">
        <w:t>)</w:t>
      </w:r>
      <w:r w:rsidR="008428C4">
        <w:t>;</w:t>
      </w:r>
    </w:p>
    <w:p w14:paraId="22A7E9D4" w14:textId="1CCC9072" w:rsidR="00AB7E6A" w:rsidRPr="00C401AD" w:rsidRDefault="00D11A5A" w:rsidP="00C443A0">
      <w:pPr>
        <w:pStyle w:val="subparaa"/>
        <w:numPr>
          <w:ilvl w:val="1"/>
          <w:numId w:val="17"/>
        </w:numPr>
        <w:spacing w:line="290" w:lineRule="atLeast"/>
      </w:pPr>
      <w:r w:rsidRPr="00C401AD">
        <w:t>p</w:t>
      </w:r>
      <w:r w:rsidR="009F544E" w:rsidRPr="00C401AD">
        <w:t xml:space="preserve">roceed with our proposal to </w:t>
      </w:r>
      <w:r w:rsidR="00AB7E6A" w:rsidRPr="00C401AD">
        <w:t xml:space="preserve">require the entity identifiers of foreign </w:t>
      </w:r>
      <w:r w:rsidR="00116B1F" w:rsidRPr="00C401AD">
        <w:t>c</w:t>
      </w:r>
      <w:r w:rsidR="00AB7E6A" w:rsidRPr="00C401AD">
        <w:t xml:space="preserve">ounterparty 2s that are </w:t>
      </w:r>
      <w:r w:rsidR="00F54CF4" w:rsidRPr="00C401AD">
        <w:t>ASIC reporting entities</w:t>
      </w:r>
      <w:r w:rsidR="00AB7E6A" w:rsidRPr="00C401AD">
        <w:t xml:space="preserve"> </w:t>
      </w:r>
      <w:r w:rsidR="00AB7E6A">
        <w:t>to be valid and duly renewed LEIs;</w:t>
      </w:r>
    </w:p>
    <w:p w14:paraId="4C7AE7F4" w14:textId="73055B5A" w:rsidR="00AB7E6A" w:rsidRPr="00C401AD" w:rsidRDefault="00D11A5A" w:rsidP="00C443A0">
      <w:pPr>
        <w:pStyle w:val="subparaa"/>
        <w:numPr>
          <w:ilvl w:val="1"/>
          <w:numId w:val="17"/>
        </w:numPr>
        <w:spacing w:line="290" w:lineRule="atLeast"/>
      </w:pPr>
      <w:r>
        <w:t>r</w:t>
      </w:r>
      <w:r w:rsidR="00AB7E6A">
        <w:t xml:space="preserve">equire the entity identifiers of other foreign </w:t>
      </w:r>
      <w:r w:rsidR="00116B1F">
        <w:t>c</w:t>
      </w:r>
      <w:r w:rsidR="00AB7E6A">
        <w:t>ounterparty 2s to be LEIs but not necessarily duly renewed LEIs;</w:t>
      </w:r>
    </w:p>
    <w:p w14:paraId="001EF0A9" w14:textId="333A19F4" w:rsidR="008428C4" w:rsidRPr="00C401AD" w:rsidRDefault="00AB7E6A" w:rsidP="00C443A0">
      <w:pPr>
        <w:pStyle w:val="subparaa"/>
        <w:numPr>
          <w:ilvl w:val="1"/>
          <w:numId w:val="17"/>
        </w:numPr>
        <w:spacing w:line="290" w:lineRule="atLeast"/>
      </w:pPr>
      <w:r>
        <w:t xml:space="preserve">NOT </w:t>
      </w:r>
      <w:r w:rsidR="008428C4" w:rsidRPr="00C401AD">
        <w:t xml:space="preserve">require that transactions that have been reported with entity identifiers that are not LEIs have their transaction information updated to </w:t>
      </w:r>
      <w:r w:rsidRPr="00C401AD">
        <w:t xml:space="preserve">an </w:t>
      </w:r>
      <w:r w:rsidR="008428C4" w:rsidRPr="00C401AD">
        <w:t>LEI;</w:t>
      </w:r>
    </w:p>
    <w:p w14:paraId="3E032BB5" w14:textId="08C81D42" w:rsidR="008428C4" w:rsidRPr="00C401AD" w:rsidRDefault="00D11A5A" w:rsidP="00C443A0">
      <w:pPr>
        <w:pStyle w:val="subparaa"/>
        <w:numPr>
          <w:ilvl w:val="1"/>
          <w:numId w:val="17"/>
        </w:numPr>
        <w:spacing w:line="290" w:lineRule="atLeast"/>
      </w:pPr>
      <w:r>
        <w:t>r</w:t>
      </w:r>
      <w:r w:rsidR="00AB7E6A">
        <w:t xml:space="preserve">etain </w:t>
      </w:r>
      <w:r w:rsidR="009F544E">
        <w:t xml:space="preserve">the provision </w:t>
      </w:r>
      <w:r w:rsidR="008428C4" w:rsidRPr="00E7757C">
        <w:t>that allow</w:t>
      </w:r>
      <w:r w:rsidR="008428C4">
        <w:t>s</w:t>
      </w:r>
      <w:r w:rsidR="008428C4" w:rsidRPr="00E7757C">
        <w:t xml:space="preserve"> the reporting of a</w:t>
      </w:r>
      <w:r w:rsidR="009F544E">
        <w:t xml:space="preserve"> non-LEI </w:t>
      </w:r>
      <w:r w:rsidR="008428C4" w:rsidRPr="00E7757C">
        <w:t>entity identifier whe</w:t>
      </w:r>
      <w:r w:rsidR="00116B1F">
        <w:t>n</w:t>
      </w:r>
      <w:r w:rsidR="008428C4" w:rsidRPr="00E7757C">
        <w:t xml:space="preserve"> a</w:t>
      </w:r>
      <w:r w:rsidR="009F544E">
        <w:t>n LEI</w:t>
      </w:r>
      <w:r w:rsidR="008428C4" w:rsidRPr="00E7757C">
        <w:t xml:space="preserve"> is applied for within two business days (the ‘grace period’) after the requirement to report the entity identifier arises</w:t>
      </w:r>
      <w:r w:rsidR="008428C4">
        <w:t>; and</w:t>
      </w:r>
    </w:p>
    <w:p w14:paraId="072F0BBB" w14:textId="1F4215E7" w:rsidR="009F544E" w:rsidRPr="00C401AD" w:rsidRDefault="00D11A5A" w:rsidP="00C443A0">
      <w:pPr>
        <w:pStyle w:val="subparaa"/>
        <w:numPr>
          <w:ilvl w:val="1"/>
          <w:numId w:val="17"/>
        </w:numPr>
        <w:spacing w:line="290" w:lineRule="atLeast"/>
      </w:pPr>
      <w:r>
        <w:t>p</w:t>
      </w:r>
      <w:r w:rsidR="009F544E">
        <w:t xml:space="preserve">roceed with our proposal to require that, for </w:t>
      </w:r>
      <w:r w:rsidR="009F544E" w:rsidRPr="009F544E">
        <w:t xml:space="preserve">joint </w:t>
      </w:r>
      <w:r w:rsidR="009F544E">
        <w:t xml:space="preserve">or joint and several counterparties, </w:t>
      </w:r>
      <w:r w:rsidR="009F544E" w:rsidRPr="009F544E">
        <w:t>the LEI of one of the joint counterparties is reported as the entity identifier</w:t>
      </w:r>
      <w:r w:rsidR="00AB53F6">
        <w:t xml:space="preserve"> (</w:t>
      </w:r>
      <w:r w:rsidR="00F54CF4">
        <w:t>this is modified to exclude partnerships</w:t>
      </w:r>
      <w:r w:rsidR="00116B1F">
        <w:t xml:space="preserve"> because</w:t>
      </w:r>
      <w:r w:rsidR="00F54CF4">
        <w:t xml:space="preserve"> a partnership is eligible for an LEI</w:t>
      </w:r>
      <w:r w:rsidR="00AB53F6">
        <w:t>)</w:t>
      </w:r>
      <w:r w:rsidR="00F54CF4">
        <w:t>.</w:t>
      </w:r>
    </w:p>
    <w:p w14:paraId="21C43A4A" w14:textId="77777777" w:rsidR="006A198C" w:rsidRPr="006A198C" w:rsidRDefault="006A198C" w:rsidP="006A198C">
      <w:pPr>
        <w:pStyle w:val="Bodytextplain"/>
        <w:keepNext/>
        <w:spacing w:before="0" w:line="240" w:lineRule="auto"/>
        <w:rPr>
          <w:sz w:val="4"/>
          <w:szCs w:val="4"/>
        </w:rPr>
      </w:pPr>
    </w:p>
    <w:p w14:paraId="58A5A31E" w14:textId="05517A0F" w:rsidR="00911190" w:rsidRDefault="00911190" w:rsidP="00201070">
      <w:pPr>
        <w:pStyle w:val="BodyText"/>
        <w:keepNext/>
        <w:numPr>
          <w:ilvl w:val="0"/>
          <w:numId w:val="17"/>
        </w:numPr>
        <w:spacing w:before="0"/>
      </w:pPr>
      <w:r>
        <w:t xml:space="preserve">Our decisions are summarised in </w:t>
      </w:r>
      <w:r w:rsidR="0030426D">
        <w:fldChar w:fldCharType="begin" w:fldLock="1"/>
      </w:r>
      <w:r w:rsidR="0030426D">
        <w:instrText xml:space="preserve"> REF _Ref100501615 \h </w:instrText>
      </w:r>
      <w:r w:rsidR="0030426D">
        <w:fldChar w:fldCharType="separate"/>
      </w:r>
      <w:r w:rsidR="00853A2A">
        <w:t xml:space="preserve">Table </w:t>
      </w:r>
      <w:r w:rsidR="00853A2A">
        <w:rPr>
          <w:noProof/>
        </w:rPr>
        <w:t>22</w:t>
      </w:r>
      <w:r w:rsidR="0030426D">
        <w:fldChar w:fldCharType="end"/>
      </w:r>
      <w:r w:rsidR="005851D0">
        <w:t>.</w:t>
      </w:r>
    </w:p>
    <w:p w14:paraId="656F8AF1" w14:textId="209D0127" w:rsidR="00911190" w:rsidRDefault="00911190" w:rsidP="00911190">
      <w:pPr>
        <w:pStyle w:val="tabletitleindented"/>
      </w:pPr>
      <w:bookmarkStart w:id="138" w:name="_Ref100501615"/>
      <w:r>
        <w:t xml:space="preserve">Table </w:t>
      </w:r>
      <w:fldSimple w:instr=" SEQ Table \* ARABIC ">
        <w:r w:rsidR="006679BA">
          <w:rPr>
            <w:noProof/>
          </w:rPr>
          <w:t>22</w:t>
        </w:r>
      </w:fldSimple>
      <w:bookmarkEnd w:id="138"/>
      <w:r>
        <w:t>:</w:t>
      </w:r>
      <w:r>
        <w:tab/>
        <w:t>Summary of ASIC’s revised proposals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1701"/>
        <w:gridCol w:w="5103"/>
      </w:tblGrid>
      <w:tr w:rsidR="00911190" w:rsidRPr="000540E1" w14:paraId="7B59A550" w14:textId="77777777" w:rsidTr="009E722B">
        <w:trPr>
          <w:cantSplit/>
        </w:trPr>
        <w:tc>
          <w:tcPr>
            <w:tcW w:w="1701" w:type="dxa"/>
            <w:shd w:val="clear" w:color="auto" w:fill="C2E3FA"/>
          </w:tcPr>
          <w:p w14:paraId="03321F9D" w14:textId="77777777" w:rsidR="00911190" w:rsidRPr="000540E1" w:rsidRDefault="00911190" w:rsidP="00753063">
            <w:pPr>
              <w:pStyle w:val="tablehead"/>
            </w:pPr>
            <w:r>
              <w:t>Decisions for the draft remade ASIC Rules</w:t>
            </w:r>
          </w:p>
        </w:tc>
        <w:tc>
          <w:tcPr>
            <w:tcW w:w="5103" w:type="dxa"/>
          </w:tcPr>
          <w:p w14:paraId="26D08F84" w14:textId="6CFC503E" w:rsidR="00911190" w:rsidRDefault="00911190" w:rsidP="00911190">
            <w:pPr>
              <w:pStyle w:val="tbltext"/>
            </w:pPr>
            <w:r>
              <w:t>Require the entity identifier of Australian entities and ASIC reporting entities to be valid and duly renewed LEIs (other than for natural persons not acting in a business capacity)</w:t>
            </w:r>
          </w:p>
          <w:p w14:paraId="71D4A633" w14:textId="0158CBC6" w:rsidR="00911190" w:rsidRDefault="00911190" w:rsidP="00911190">
            <w:pPr>
              <w:pStyle w:val="tbltext"/>
            </w:pPr>
            <w:r>
              <w:t>Require the entity identifiers of other foreign counterparty 2s to be LEIs but not necessarily duly renewed LEIs</w:t>
            </w:r>
          </w:p>
          <w:p w14:paraId="05F8F14F" w14:textId="14BBE1FC" w:rsidR="00911190" w:rsidRDefault="00911190" w:rsidP="00911190">
            <w:pPr>
              <w:pStyle w:val="tbltext"/>
            </w:pPr>
            <w:r>
              <w:t>Not require that transactions that have been reported with entity identifiers that are not LEIs have their transaction information updated to an LEI</w:t>
            </w:r>
          </w:p>
          <w:p w14:paraId="3A4E2410" w14:textId="65665776" w:rsidR="00911190" w:rsidRDefault="00911190" w:rsidP="00911190">
            <w:pPr>
              <w:pStyle w:val="tbltext"/>
            </w:pPr>
            <w:r>
              <w:t>Retain the provision that allows the reporting of a non-LEI entity identifier when an LEI is applied for within a two business days ‘grace period’</w:t>
            </w:r>
          </w:p>
          <w:p w14:paraId="34F37844" w14:textId="3D48017E" w:rsidR="00911190" w:rsidRPr="000540E1" w:rsidRDefault="00911190" w:rsidP="00911190">
            <w:pPr>
              <w:pStyle w:val="tbltext"/>
            </w:pPr>
            <w:r>
              <w:t xml:space="preserve">Require that one of </w:t>
            </w:r>
            <w:r w:rsidR="0044369C">
              <w:t xml:space="preserve">the </w:t>
            </w:r>
            <w:r>
              <w:t>joint counterparties is reported as an LEI</w:t>
            </w:r>
          </w:p>
        </w:tc>
      </w:tr>
      <w:tr w:rsidR="00911190" w:rsidRPr="000540E1" w14:paraId="7AF953FD" w14:textId="77777777" w:rsidTr="009E722B">
        <w:trPr>
          <w:cantSplit/>
        </w:trPr>
        <w:tc>
          <w:tcPr>
            <w:tcW w:w="1701" w:type="dxa"/>
            <w:shd w:val="clear" w:color="auto" w:fill="C2E3FA"/>
          </w:tcPr>
          <w:p w14:paraId="3927F263" w14:textId="77777777" w:rsidR="00911190" w:rsidRPr="000540E1" w:rsidRDefault="00911190" w:rsidP="00753063">
            <w:pPr>
              <w:pStyle w:val="tablehead"/>
            </w:pPr>
            <w:r>
              <w:t>Proposals for the draft remade ASIC Rules</w:t>
            </w:r>
          </w:p>
        </w:tc>
        <w:tc>
          <w:tcPr>
            <w:tcW w:w="5103" w:type="dxa"/>
          </w:tcPr>
          <w:p w14:paraId="4C8A9169" w14:textId="4280EFBF" w:rsidR="00911190" w:rsidRPr="008F4463" w:rsidRDefault="0044369C" w:rsidP="00753063">
            <w:pPr>
              <w:pStyle w:val="tbltext"/>
            </w:pPr>
            <w:r>
              <w:t>Not applicable</w:t>
            </w:r>
          </w:p>
        </w:tc>
      </w:tr>
      <w:tr w:rsidR="00911190" w:rsidRPr="000540E1" w14:paraId="1C2CC516" w14:textId="77777777" w:rsidTr="009E722B">
        <w:trPr>
          <w:cantSplit/>
        </w:trPr>
        <w:tc>
          <w:tcPr>
            <w:tcW w:w="1701" w:type="dxa"/>
            <w:shd w:val="clear" w:color="auto" w:fill="C2E3FA"/>
          </w:tcPr>
          <w:p w14:paraId="4A1811DD" w14:textId="77777777" w:rsidR="00911190" w:rsidRPr="000540E1" w:rsidRDefault="00911190" w:rsidP="00753063">
            <w:pPr>
              <w:pStyle w:val="tablehead"/>
            </w:pPr>
            <w:r>
              <w:t>Decisions for the draft amended ASIC Rules</w:t>
            </w:r>
          </w:p>
        </w:tc>
        <w:tc>
          <w:tcPr>
            <w:tcW w:w="5103" w:type="dxa"/>
          </w:tcPr>
          <w:p w14:paraId="6BC2686B" w14:textId="677A3A8B" w:rsidR="00911190" w:rsidRPr="000540E1" w:rsidRDefault="0044369C" w:rsidP="00753063">
            <w:pPr>
              <w:pStyle w:val="tbltext"/>
            </w:pPr>
            <w:r>
              <w:t>Not applicable</w:t>
            </w:r>
          </w:p>
        </w:tc>
      </w:tr>
      <w:tr w:rsidR="00911190" w:rsidRPr="000540E1" w14:paraId="7BB51930" w14:textId="77777777" w:rsidTr="009E722B">
        <w:trPr>
          <w:cantSplit/>
        </w:trPr>
        <w:tc>
          <w:tcPr>
            <w:tcW w:w="1701" w:type="dxa"/>
            <w:shd w:val="clear" w:color="auto" w:fill="C2E3FA"/>
          </w:tcPr>
          <w:p w14:paraId="7C91AC56" w14:textId="77777777" w:rsidR="00911190" w:rsidRPr="000540E1" w:rsidRDefault="00911190" w:rsidP="00753063">
            <w:pPr>
              <w:pStyle w:val="tablehead"/>
            </w:pPr>
            <w:r>
              <w:t>Proposals for the draft amended ASIC Rules</w:t>
            </w:r>
          </w:p>
        </w:tc>
        <w:tc>
          <w:tcPr>
            <w:tcW w:w="5103" w:type="dxa"/>
          </w:tcPr>
          <w:p w14:paraId="7BA17291" w14:textId="5724CBA6" w:rsidR="00911190" w:rsidRPr="000540E1" w:rsidRDefault="0044369C" w:rsidP="00753063">
            <w:pPr>
              <w:pStyle w:val="tbltext"/>
            </w:pPr>
            <w:r>
              <w:t>Not applicable</w:t>
            </w:r>
          </w:p>
        </w:tc>
      </w:tr>
      <w:tr w:rsidR="00911190" w:rsidRPr="000540E1" w14:paraId="22C22634" w14:textId="77777777" w:rsidTr="009E722B">
        <w:trPr>
          <w:cantSplit/>
        </w:trPr>
        <w:tc>
          <w:tcPr>
            <w:tcW w:w="1701" w:type="dxa"/>
            <w:shd w:val="clear" w:color="auto" w:fill="C2E3FA"/>
          </w:tcPr>
          <w:p w14:paraId="6D9431A8" w14:textId="77777777" w:rsidR="00911190" w:rsidRDefault="00911190" w:rsidP="00753063">
            <w:pPr>
              <w:pStyle w:val="tablehead"/>
            </w:pPr>
            <w:r>
              <w:t>Matters deferred to the third consultation</w:t>
            </w:r>
          </w:p>
        </w:tc>
        <w:tc>
          <w:tcPr>
            <w:tcW w:w="5103" w:type="dxa"/>
          </w:tcPr>
          <w:p w14:paraId="6941F789" w14:textId="39A58163" w:rsidR="00911190" w:rsidRDefault="0044369C" w:rsidP="00753063">
            <w:pPr>
              <w:pStyle w:val="tbltext"/>
            </w:pPr>
            <w:r>
              <w:t>Not applicable</w:t>
            </w:r>
          </w:p>
        </w:tc>
      </w:tr>
    </w:tbl>
    <w:p w14:paraId="588AC685" w14:textId="56AF3D5D" w:rsidR="005909A2" w:rsidRPr="00C61F09" w:rsidRDefault="00B47989" w:rsidP="003634C4">
      <w:pPr>
        <w:pStyle w:val="BodyText"/>
        <w:ind w:left="2268"/>
      </w:pPr>
      <w:r>
        <w:t xml:space="preserve">We acknowledge that </w:t>
      </w:r>
      <w:r w:rsidR="00F54CF4">
        <w:t>requiring LEIs for counterparties and beneficiaries</w:t>
      </w:r>
      <w:r>
        <w:t xml:space="preserve"> may require a significant effort by some reporting entities to engage with their counterparties to communicate, promote and, in some cases, lead their conversion from AVID to LEI. However, we think that the more important overarching imperative </w:t>
      </w:r>
      <w:r w:rsidR="009B313B">
        <w:t xml:space="preserve">is the fulfilment of the Australian </w:t>
      </w:r>
      <w:r w:rsidR="0044369C">
        <w:t>G</w:t>
      </w:r>
      <w:r w:rsidR="009B313B">
        <w:t xml:space="preserve">overnment’s agreement to the G20 OTC derivative markets reforms and that Australia </w:t>
      </w:r>
      <w:r w:rsidR="003A0A9D">
        <w:t>implements</w:t>
      </w:r>
      <w:r w:rsidR="009B313B">
        <w:t xml:space="preserve">, in line with other major jurisdictions, </w:t>
      </w:r>
      <w:r w:rsidR="00E7101A">
        <w:t xml:space="preserve">the </w:t>
      </w:r>
      <w:r w:rsidR="003A0A9D">
        <w:t xml:space="preserve">LEI as the common, internationally recognised entity identifier </w:t>
      </w:r>
      <w:r w:rsidR="003A0A9D" w:rsidRPr="00C61F09">
        <w:t>in derivative transaction reporting.</w:t>
      </w:r>
    </w:p>
    <w:p w14:paraId="2A799639" w14:textId="583A43B7" w:rsidR="003A0A9D" w:rsidRDefault="003A0A9D" w:rsidP="003634C4">
      <w:pPr>
        <w:pStyle w:val="BodyText"/>
        <w:ind w:left="2268"/>
      </w:pPr>
      <w:r>
        <w:t>As we note</w:t>
      </w:r>
      <w:r w:rsidR="00473711">
        <w:t>d</w:t>
      </w:r>
      <w:r>
        <w:t xml:space="preserve"> in paragraph </w:t>
      </w:r>
      <w:r>
        <w:fldChar w:fldCharType="begin" w:fldLock="1"/>
      </w:r>
      <w:r>
        <w:instrText xml:space="preserve"> REF _ASICRef468 \w \h </w:instrText>
      </w:r>
      <w:r>
        <w:fldChar w:fldCharType="separate"/>
      </w:r>
      <w:r w:rsidR="00853A2A">
        <w:t>267</w:t>
      </w:r>
      <w:r>
        <w:fldChar w:fldCharType="end"/>
      </w:r>
      <w:r>
        <w:t>, there has been an increase in the reporting of LEIs compared with the reporting of AVID</w:t>
      </w:r>
      <w:r w:rsidR="00CA5C96">
        <w:t>s</w:t>
      </w:r>
      <w:r>
        <w:t>.</w:t>
      </w:r>
      <w:r w:rsidR="004A1338">
        <w:t xml:space="preserve"> </w:t>
      </w:r>
      <w:r w:rsidR="00FD7E5D">
        <w:fldChar w:fldCharType="begin" w:fldLock="1"/>
      </w:r>
      <w:r w:rsidR="00FD7E5D">
        <w:instrText xml:space="preserve"> REF _Ref92371612 \h </w:instrText>
      </w:r>
      <w:r w:rsidR="00FD7E5D">
        <w:fldChar w:fldCharType="separate"/>
      </w:r>
      <w:r w:rsidR="00853A2A">
        <w:t xml:space="preserve">Table </w:t>
      </w:r>
      <w:r w:rsidR="00853A2A">
        <w:rPr>
          <w:noProof/>
        </w:rPr>
        <w:t>23</w:t>
      </w:r>
      <w:r w:rsidR="00FD7E5D">
        <w:fldChar w:fldCharType="end"/>
      </w:r>
      <w:r w:rsidR="004A1338">
        <w:t xml:space="preserve"> compares measures calculated at the time </w:t>
      </w:r>
      <w:hyperlink r:id="rId105" w:history="1">
        <w:r w:rsidR="004A1338" w:rsidRPr="0044369C">
          <w:rPr>
            <w:rStyle w:val="Hyperlink"/>
          </w:rPr>
          <w:t>CP</w:t>
        </w:r>
        <w:r w:rsidR="00C5726C" w:rsidRPr="0044369C">
          <w:rPr>
            <w:rStyle w:val="Hyperlink"/>
          </w:rPr>
          <w:t xml:space="preserve"> </w:t>
        </w:r>
        <w:r w:rsidR="004A1338" w:rsidRPr="0044369C">
          <w:rPr>
            <w:rStyle w:val="Hyperlink"/>
          </w:rPr>
          <w:t>334</w:t>
        </w:r>
      </w:hyperlink>
      <w:r w:rsidR="004A1338">
        <w:t xml:space="preserve"> </w:t>
      </w:r>
      <w:r w:rsidR="0044369C">
        <w:t xml:space="preserve">was prepared </w:t>
      </w:r>
      <w:r w:rsidR="004A1338">
        <w:t>with those calculated at the time this consultation paper</w:t>
      </w:r>
      <w:r w:rsidR="0044369C">
        <w:t xml:space="preserve"> was prepared</w:t>
      </w:r>
      <w:r w:rsidR="004A1338">
        <w:t xml:space="preserve">. </w:t>
      </w:r>
      <w:r w:rsidR="00C5726C">
        <w:t>Alt</w:t>
      </w:r>
      <w:r w:rsidR="004A1338">
        <w:t xml:space="preserve">hough the number of reporting entities reporting AVIDs for </w:t>
      </w:r>
      <w:r w:rsidR="00082FFF" w:rsidRPr="009D1A16">
        <w:t>c</w:t>
      </w:r>
      <w:r w:rsidR="004A1338" w:rsidRPr="009D1A16">
        <w:t>ounterparty</w:t>
      </w:r>
      <w:r w:rsidR="00ED7569">
        <w:t xml:space="preserve"> 2</w:t>
      </w:r>
      <w:r w:rsidR="004A1338">
        <w:t xml:space="preserve"> has increased from 23 to 25, the actual number of AVIDs has decreased, whereas the measures for LEI use have increased in all the measures.</w:t>
      </w:r>
    </w:p>
    <w:p w14:paraId="1584DDFA" w14:textId="1A6A8B85" w:rsidR="003A0A9D" w:rsidRDefault="003A0A9D" w:rsidP="003A0A9D">
      <w:pPr>
        <w:pStyle w:val="tabletitleindented"/>
      </w:pPr>
      <w:bookmarkStart w:id="139" w:name="_Ref92371612"/>
      <w:r>
        <w:t xml:space="preserve">Table </w:t>
      </w:r>
      <w:fldSimple w:instr=" SEQ Table \* ARABIC ">
        <w:r w:rsidR="006679BA">
          <w:rPr>
            <w:noProof/>
          </w:rPr>
          <w:t>23</w:t>
        </w:r>
      </w:fldSimple>
      <w:bookmarkEnd w:id="139"/>
      <w:r>
        <w:t>:</w:t>
      </w:r>
      <w:r>
        <w:tab/>
      </w:r>
      <w:r w:rsidR="004A1338">
        <w:t xml:space="preserve">Comparative measures </w:t>
      </w:r>
      <w:r w:rsidR="0089565E">
        <w:t xml:space="preserve">for </w:t>
      </w:r>
      <w:r w:rsidR="004A1338">
        <w:t>the reporting of AVIDs and LEIs</w:t>
      </w:r>
    </w:p>
    <w:tbl>
      <w:tblPr>
        <w:tblW w:w="6804"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978"/>
        <w:gridCol w:w="1913"/>
        <w:gridCol w:w="1913"/>
      </w:tblGrid>
      <w:tr w:rsidR="002A271D" w:rsidRPr="000540E1" w14:paraId="2CA91E7F" w14:textId="77777777" w:rsidTr="002A271D">
        <w:trPr>
          <w:cantSplit/>
          <w:tblHeader/>
        </w:trPr>
        <w:tc>
          <w:tcPr>
            <w:tcW w:w="2188" w:type="pct"/>
            <w:shd w:val="clear" w:color="auto" w:fill="C2E3FA"/>
          </w:tcPr>
          <w:p w14:paraId="1CACFC53" w14:textId="00A11979" w:rsidR="003A0A9D" w:rsidRPr="003C63A1" w:rsidRDefault="005B7FC4" w:rsidP="003A0A9D">
            <w:pPr>
              <w:pStyle w:val="tablehead"/>
              <w:rPr>
                <w:highlight w:val="yellow"/>
              </w:rPr>
            </w:pPr>
            <w:r w:rsidRPr="003C63A1">
              <w:t>Measure</w:t>
            </w:r>
          </w:p>
        </w:tc>
        <w:tc>
          <w:tcPr>
            <w:tcW w:w="1406" w:type="pct"/>
            <w:shd w:val="clear" w:color="auto" w:fill="C2E3FA"/>
          </w:tcPr>
          <w:p w14:paraId="2643EC69" w14:textId="5114C76A" w:rsidR="003A0A9D" w:rsidRPr="000540E1" w:rsidRDefault="003A0A9D" w:rsidP="0018717D">
            <w:pPr>
              <w:pStyle w:val="tablehead"/>
              <w:jc w:val="right"/>
            </w:pPr>
            <w:r>
              <w:t>For CP</w:t>
            </w:r>
            <w:r w:rsidR="00D11A5A">
              <w:t xml:space="preserve"> </w:t>
            </w:r>
            <w:r>
              <w:t>334</w:t>
            </w:r>
          </w:p>
        </w:tc>
        <w:tc>
          <w:tcPr>
            <w:tcW w:w="1407" w:type="pct"/>
            <w:shd w:val="clear" w:color="auto" w:fill="C2E3FA"/>
          </w:tcPr>
          <w:p w14:paraId="268A8F53" w14:textId="5A48F689" w:rsidR="003A0A9D" w:rsidRPr="000540E1" w:rsidRDefault="003A0A9D" w:rsidP="0018717D">
            <w:pPr>
              <w:pStyle w:val="tablehead"/>
              <w:jc w:val="right"/>
            </w:pPr>
            <w:r>
              <w:t xml:space="preserve">For this </w:t>
            </w:r>
            <w:r w:rsidR="0089565E">
              <w:t>paper</w:t>
            </w:r>
          </w:p>
        </w:tc>
      </w:tr>
      <w:tr w:rsidR="0018717D" w:rsidRPr="000540E1" w14:paraId="19A234C9" w14:textId="77777777" w:rsidTr="002A271D">
        <w:trPr>
          <w:cantSplit/>
        </w:trPr>
        <w:tc>
          <w:tcPr>
            <w:tcW w:w="2188" w:type="pct"/>
          </w:tcPr>
          <w:p w14:paraId="11934B8C" w14:textId="56B01452" w:rsidR="0018717D" w:rsidRPr="00924660" w:rsidRDefault="0018717D" w:rsidP="001121CF">
            <w:pPr>
              <w:pStyle w:val="tbltext"/>
            </w:pPr>
            <w:r w:rsidRPr="00924660">
              <w:t>N</w:t>
            </w:r>
            <w:r w:rsidR="00D11A5A" w:rsidRPr="00924660">
              <w:t>umber</w:t>
            </w:r>
            <w:r w:rsidRPr="00924660">
              <w:t xml:space="preserve"> of reporting entities reporting AVIDs for </w:t>
            </w:r>
            <w:r w:rsidR="005B7FC4" w:rsidRPr="00924660">
              <w:t>c</w:t>
            </w:r>
            <w:r w:rsidRPr="00924660">
              <w:t>ounterparty 2</w:t>
            </w:r>
          </w:p>
        </w:tc>
        <w:tc>
          <w:tcPr>
            <w:tcW w:w="1406" w:type="pct"/>
            <w:vAlign w:val="bottom"/>
          </w:tcPr>
          <w:p w14:paraId="5AC60250" w14:textId="643F9AE5" w:rsidR="0018717D" w:rsidRPr="000540E1" w:rsidRDefault="0018717D" w:rsidP="002A271D">
            <w:pPr>
              <w:pStyle w:val="tbltext"/>
              <w:jc w:val="right"/>
            </w:pPr>
            <w:r>
              <w:t>23</w:t>
            </w:r>
          </w:p>
        </w:tc>
        <w:tc>
          <w:tcPr>
            <w:tcW w:w="1407" w:type="pct"/>
            <w:vAlign w:val="bottom"/>
          </w:tcPr>
          <w:p w14:paraId="7953A9B3" w14:textId="0DBE5BDD" w:rsidR="0018717D" w:rsidRPr="000540E1" w:rsidRDefault="0018717D" w:rsidP="002A271D">
            <w:pPr>
              <w:pStyle w:val="tbltext"/>
              <w:jc w:val="right"/>
            </w:pPr>
            <w:r>
              <w:t>25</w:t>
            </w:r>
          </w:p>
        </w:tc>
      </w:tr>
      <w:tr w:rsidR="0018717D" w:rsidRPr="000540E1" w14:paraId="51A99118" w14:textId="77777777" w:rsidTr="002A271D">
        <w:trPr>
          <w:cantSplit/>
        </w:trPr>
        <w:tc>
          <w:tcPr>
            <w:tcW w:w="2188" w:type="pct"/>
          </w:tcPr>
          <w:p w14:paraId="7ECFC720" w14:textId="26E588E7" w:rsidR="0018717D" w:rsidRPr="00924660" w:rsidRDefault="0018717D" w:rsidP="0018717D">
            <w:pPr>
              <w:pStyle w:val="tbltext"/>
            </w:pPr>
            <w:r w:rsidRPr="00924660">
              <w:t>N</w:t>
            </w:r>
            <w:r w:rsidR="00D11A5A" w:rsidRPr="00924660">
              <w:t>umber</w:t>
            </w:r>
            <w:r w:rsidRPr="00924660">
              <w:t xml:space="preserve"> of </w:t>
            </w:r>
            <w:r w:rsidR="005B7FC4" w:rsidRPr="00924660">
              <w:t>c</w:t>
            </w:r>
            <w:r w:rsidRPr="00924660">
              <w:t>ounterparty 2</w:t>
            </w:r>
            <w:r w:rsidR="00474B36">
              <w:t>s</w:t>
            </w:r>
          </w:p>
        </w:tc>
        <w:tc>
          <w:tcPr>
            <w:tcW w:w="1406" w:type="pct"/>
            <w:vAlign w:val="bottom"/>
          </w:tcPr>
          <w:p w14:paraId="04171B1A" w14:textId="32F4EABA" w:rsidR="0018717D" w:rsidRPr="000540E1" w:rsidRDefault="0018717D" w:rsidP="002A271D">
            <w:pPr>
              <w:pStyle w:val="tbltext"/>
              <w:jc w:val="right"/>
            </w:pPr>
            <w:r>
              <w:t>9,040</w:t>
            </w:r>
          </w:p>
        </w:tc>
        <w:tc>
          <w:tcPr>
            <w:tcW w:w="1407" w:type="pct"/>
            <w:vAlign w:val="bottom"/>
          </w:tcPr>
          <w:p w14:paraId="05776D52" w14:textId="6BB97058" w:rsidR="0018717D" w:rsidRPr="000540E1" w:rsidRDefault="0018717D" w:rsidP="002A271D">
            <w:pPr>
              <w:pStyle w:val="tbltext"/>
              <w:jc w:val="right"/>
            </w:pPr>
            <w:r>
              <w:t>6,950</w:t>
            </w:r>
          </w:p>
        </w:tc>
      </w:tr>
      <w:tr w:rsidR="0018717D" w:rsidRPr="000540E1" w14:paraId="08634BC2" w14:textId="77777777" w:rsidTr="002A271D">
        <w:trPr>
          <w:cantSplit/>
        </w:trPr>
        <w:tc>
          <w:tcPr>
            <w:tcW w:w="2188" w:type="pct"/>
          </w:tcPr>
          <w:p w14:paraId="7130294C" w14:textId="14E4BF17" w:rsidR="0018717D" w:rsidRPr="00924660" w:rsidRDefault="0018717D" w:rsidP="001121CF">
            <w:pPr>
              <w:pStyle w:val="tbltext"/>
            </w:pPr>
            <w:r w:rsidRPr="00924660">
              <w:t>N</w:t>
            </w:r>
            <w:r w:rsidR="00D11A5A" w:rsidRPr="00924660">
              <w:t>umber</w:t>
            </w:r>
            <w:r w:rsidRPr="00924660">
              <w:t xml:space="preserve"> of transactions</w:t>
            </w:r>
          </w:p>
        </w:tc>
        <w:tc>
          <w:tcPr>
            <w:tcW w:w="1406" w:type="pct"/>
            <w:vAlign w:val="bottom"/>
          </w:tcPr>
          <w:p w14:paraId="5FAD31CF" w14:textId="00C03306" w:rsidR="0018717D" w:rsidRPr="000540E1" w:rsidRDefault="0018717D" w:rsidP="002A271D">
            <w:pPr>
              <w:pStyle w:val="tbltext"/>
              <w:jc w:val="right"/>
            </w:pPr>
            <w:r>
              <w:t>121,385</w:t>
            </w:r>
          </w:p>
        </w:tc>
        <w:tc>
          <w:tcPr>
            <w:tcW w:w="1407" w:type="pct"/>
            <w:vAlign w:val="bottom"/>
          </w:tcPr>
          <w:p w14:paraId="125CACF1" w14:textId="17E2E689" w:rsidR="0018717D" w:rsidRPr="000540E1" w:rsidRDefault="0018717D" w:rsidP="002A271D">
            <w:pPr>
              <w:pStyle w:val="tbltext"/>
              <w:jc w:val="right"/>
            </w:pPr>
            <w:r>
              <w:t>78,365</w:t>
            </w:r>
          </w:p>
        </w:tc>
      </w:tr>
      <w:tr w:rsidR="003A0A9D" w:rsidRPr="000540E1" w14:paraId="7E4C9CCD" w14:textId="77777777" w:rsidTr="002A271D">
        <w:trPr>
          <w:cantSplit/>
        </w:trPr>
        <w:tc>
          <w:tcPr>
            <w:tcW w:w="2188" w:type="pct"/>
          </w:tcPr>
          <w:p w14:paraId="4B3F6EA6" w14:textId="230D780C" w:rsidR="003A0A9D" w:rsidRPr="00924660" w:rsidRDefault="003A0A9D" w:rsidP="003A0A9D">
            <w:pPr>
              <w:pStyle w:val="tbltext"/>
            </w:pPr>
            <w:r w:rsidRPr="00924660">
              <w:t>N</w:t>
            </w:r>
            <w:r w:rsidR="00D11A5A" w:rsidRPr="00924660">
              <w:t>umber</w:t>
            </w:r>
            <w:r w:rsidRPr="00924660">
              <w:t xml:space="preserve"> of reporting entities reporting </w:t>
            </w:r>
            <w:r w:rsidR="0018717D" w:rsidRPr="00924660">
              <w:t>LEI</w:t>
            </w:r>
            <w:r w:rsidRPr="00924660">
              <w:t xml:space="preserve">s for </w:t>
            </w:r>
            <w:r w:rsidR="005B7FC4" w:rsidRPr="00924660">
              <w:t>c</w:t>
            </w:r>
            <w:r w:rsidRPr="00924660">
              <w:t>ounterparty 2</w:t>
            </w:r>
          </w:p>
        </w:tc>
        <w:tc>
          <w:tcPr>
            <w:tcW w:w="1406" w:type="pct"/>
            <w:vAlign w:val="bottom"/>
          </w:tcPr>
          <w:p w14:paraId="7FAB5AD4" w14:textId="6B96DA9D" w:rsidR="003A0A9D" w:rsidRPr="000540E1" w:rsidRDefault="0018717D" w:rsidP="002A271D">
            <w:pPr>
              <w:pStyle w:val="tbltext"/>
              <w:jc w:val="right"/>
            </w:pPr>
            <w:r>
              <w:t>806</w:t>
            </w:r>
          </w:p>
        </w:tc>
        <w:tc>
          <w:tcPr>
            <w:tcW w:w="1407" w:type="pct"/>
            <w:vAlign w:val="bottom"/>
          </w:tcPr>
          <w:p w14:paraId="6F03C294" w14:textId="71432587" w:rsidR="003A0A9D" w:rsidRPr="000540E1" w:rsidRDefault="0018717D" w:rsidP="002A271D">
            <w:pPr>
              <w:pStyle w:val="tbltext"/>
              <w:jc w:val="right"/>
            </w:pPr>
            <w:r>
              <w:t>865</w:t>
            </w:r>
          </w:p>
        </w:tc>
      </w:tr>
      <w:tr w:rsidR="003A0A9D" w:rsidRPr="000540E1" w14:paraId="1318A4B4" w14:textId="77777777" w:rsidTr="002A271D">
        <w:trPr>
          <w:cantSplit/>
        </w:trPr>
        <w:tc>
          <w:tcPr>
            <w:tcW w:w="2188" w:type="pct"/>
          </w:tcPr>
          <w:p w14:paraId="04E8C0EB" w14:textId="76B67FAB" w:rsidR="003A0A9D" w:rsidRPr="00924660" w:rsidRDefault="003A0A9D" w:rsidP="003A0A9D">
            <w:pPr>
              <w:pStyle w:val="tbltext"/>
            </w:pPr>
            <w:r w:rsidRPr="00924660">
              <w:t>N</w:t>
            </w:r>
            <w:r w:rsidR="00D11A5A" w:rsidRPr="00924660">
              <w:t>umber</w:t>
            </w:r>
            <w:r w:rsidRPr="00924660">
              <w:t xml:space="preserve"> of </w:t>
            </w:r>
            <w:r w:rsidR="005B7FC4" w:rsidRPr="00924660">
              <w:t>c</w:t>
            </w:r>
            <w:r w:rsidRPr="00924660">
              <w:t>ounterparty 2</w:t>
            </w:r>
            <w:r w:rsidR="00474B36">
              <w:t>s</w:t>
            </w:r>
          </w:p>
        </w:tc>
        <w:tc>
          <w:tcPr>
            <w:tcW w:w="1406" w:type="pct"/>
            <w:vAlign w:val="bottom"/>
          </w:tcPr>
          <w:p w14:paraId="7DF73877" w14:textId="486BB282" w:rsidR="003A0A9D" w:rsidRPr="000540E1" w:rsidRDefault="0018717D" w:rsidP="002A271D">
            <w:pPr>
              <w:pStyle w:val="tbltext"/>
              <w:jc w:val="right"/>
            </w:pPr>
            <w:r>
              <w:t>13,504</w:t>
            </w:r>
          </w:p>
        </w:tc>
        <w:tc>
          <w:tcPr>
            <w:tcW w:w="1407" w:type="pct"/>
            <w:vAlign w:val="bottom"/>
          </w:tcPr>
          <w:p w14:paraId="5C285A2F" w14:textId="32C2EC50" w:rsidR="003A0A9D" w:rsidRPr="000540E1" w:rsidRDefault="0018717D" w:rsidP="002A271D">
            <w:pPr>
              <w:pStyle w:val="tbltext"/>
              <w:jc w:val="right"/>
            </w:pPr>
            <w:r>
              <w:t>14,906</w:t>
            </w:r>
          </w:p>
        </w:tc>
      </w:tr>
      <w:tr w:rsidR="003A0A9D" w:rsidRPr="000540E1" w14:paraId="68BFE87B" w14:textId="77777777" w:rsidTr="002A271D">
        <w:trPr>
          <w:cantSplit/>
        </w:trPr>
        <w:tc>
          <w:tcPr>
            <w:tcW w:w="2188" w:type="pct"/>
          </w:tcPr>
          <w:p w14:paraId="25532979" w14:textId="7D897C00" w:rsidR="003A0A9D" w:rsidRPr="00924660" w:rsidRDefault="003A0A9D" w:rsidP="003A0A9D">
            <w:pPr>
              <w:pStyle w:val="tbltext"/>
            </w:pPr>
            <w:r w:rsidRPr="00924660">
              <w:t>N</w:t>
            </w:r>
            <w:r w:rsidR="00D11A5A" w:rsidRPr="00924660">
              <w:t>umber</w:t>
            </w:r>
            <w:r w:rsidR="0018717D" w:rsidRPr="00924660">
              <w:t xml:space="preserve"> </w:t>
            </w:r>
            <w:r w:rsidRPr="00924660">
              <w:t>of transactions</w:t>
            </w:r>
          </w:p>
        </w:tc>
        <w:tc>
          <w:tcPr>
            <w:tcW w:w="1406" w:type="pct"/>
            <w:vAlign w:val="bottom"/>
          </w:tcPr>
          <w:p w14:paraId="1C4CE5E5" w14:textId="7A96B2D7" w:rsidR="003A0A9D" w:rsidRPr="000540E1" w:rsidRDefault="0018717D" w:rsidP="002A271D">
            <w:pPr>
              <w:pStyle w:val="tbltext"/>
              <w:jc w:val="right"/>
            </w:pPr>
            <w:r>
              <w:t>1,549,104</w:t>
            </w:r>
          </w:p>
        </w:tc>
        <w:tc>
          <w:tcPr>
            <w:tcW w:w="1407" w:type="pct"/>
            <w:vAlign w:val="bottom"/>
          </w:tcPr>
          <w:p w14:paraId="337348E3" w14:textId="3FB6DD6F" w:rsidR="003A0A9D" w:rsidRPr="000540E1" w:rsidRDefault="0018717D" w:rsidP="002A271D">
            <w:pPr>
              <w:pStyle w:val="tbltext"/>
              <w:jc w:val="right"/>
            </w:pPr>
            <w:r>
              <w:t>1,849,423</w:t>
            </w:r>
          </w:p>
        </w:tc>
      </w:tr>
    </w:tbl>
    <w:p w14:paraId="00F41A17" w14:textId="4E44BB71" w:rsidR="00152C28" w:rsidRDefault="004B3711" w:rsidP="002A271D">
      <w:pPr>
        <w:pStyle w:val="BodyText"/>
        <w:spacing w:before="220" w:line="310" w:lineRule="atLeast"/>
        <w:ind w:left="2268"/>
      </w:pPr>
      <w:r>
        <w:t xml:space="preserve">In </w:t>
      </w:r>
      <w:hyperlink r:id="rId106" w:history="1">
        <w:r w:rsidRPr="00C4160A">
          <w:rPr>
            <w:rStyle w:val="Hyperlink"/>
          </w:rPr>
          <w:t>CP</w:t>
        </w:r>
        <w:r w:rsidR="00D11A5A" w:rsidRPr="00C4160A">
          <w:rPr>
            <w:rStyle w:val="Hyperlink"/>
          </w:rPr>
          <w:t xml:space="preserve"> </w:t>
        </w:r>
        <w:r w:rsidRPr="00C4160A">
          <w:rPr>
            <w:rStyle w:val="Hyperlink"/>
          </w:rPr>
          <w:t>334</w:t>
        </w:r>
      </w:hyperlink>
      <w:r>
        <w:t>, we estimated that</w:t>
      </w:r>
      <w:r w:rsidR="004A1338">
        <w:t xml:space="preserve">, looking about two years forward, </w:t>
      </w:r>
      <w:r>
        <w:t xml:space="preserve">there were 14 reporting entities reporting AVID identifiers for 1,777 </w:t>
      </w:r>
      <w:r w:rsidR="00FB0BE2">
        <w:t>c</w:t>
      </w:r>
      <w:r w:rsidR="004A1338">
        <w:t>ounterparty 2s</w:t>
      </w:r>
      <w:r>
        <w:t xml:space="preserve"> on 5,711 transactions with maturity or expiry dates beyond 30 September 2022</w:t>
      </w:r>
      <w:r w:rsidR="004A1338">
        <w:t xml:space="preserve">. </w:t>
      </w:r>
      <w:r w:rsidR="00F346A1">
        <w:t xml:space="preserve">We viewed this as a proxy for the AVID-to-LEI conversion task for residual existing transactions with AVIDs. </w:t>
      </w:r>
      <w:r w:rsidR="007C68CF">
        <w:t>There is only a small reduction in our updated D</w:t>
      </w:r>
      <w:r>
        <w:t>ecember 2021</w:t>
      </w:r>
      <w:r w:rsidR="007C68CF">
        <w:t xml:space="preserve"> estimates</w:t>
      </w:r>
      <w:r w:rsidR="00C32B28">
        <w:t>—</w:t>
      </w:r>
      <w:r w:rsidR="00152C28">
        <w:t>16 reporting entities reporting AVID identifiers for 1,614 NRCPs on 5,391 transactions with maturity or expiry dates beyond a two</w:t>
      </w:r>
      <w:r w:rsidR="00C32B28">
        <w:t>-</w:t>
      </w:r>
      <w:r w:rsidR="00152C28">
        <w:t>year forward lead time.</w:t>
      </w:r>
    </w:p>
    <w:p w14:paraId="2241549A" w14:textId="6E26A9D8" w:rsidR="001A0453" w:rsidRPr="001A0453" w:rsidRDefault="007C68CF" w:rsidP="002A271D">
      <w:pPr>
        <w:pStyle w:val="BodyText"/>
        <w:spacing w:before="220" w:line="310" w:lineRule="atLeast"/>
        <w:ind w:left="2268"/>
      </w:pPr>
      <w:r>
        <w:t>Responding to the feedback that some reporting entities expect that a significant effort will be required in the conversion from AVID to LEI</w:t>
      </w:r>
      <w:r w:rsidR="001A0453">
        <w:t>,</w:t>
      </w:r>
      <w:r w:rsidR="00051A93">
        <w:t xml:space="preserve"> </w:t>
      </w:r>
      <w:r w:rsidR="001A0453">
        <w:t xml:space="preserve">the </w:t>
      </w:r>
      <w:r w:rsidR="004709FD">
        <w:t xml:space="preserve">draft </w:t>
      </w:r>
      <w:r w:rsidR="00FB0BE2">
        <w:t>r</w:t>
      </w:r>
      <w:r w:rsidR="001A0453">
        <w:t xml:space="preserve">emade ASIC Rules would not include a requirement that existing </w:t>
      </w:r>
      <w:r w:rsidR="001A0453" w:rsidRPr="00342C5F">
        <w:rPr>
          <w:rFonts w:eastAsiaTheme="minorHAnsi"/>
        </w:rPr>
        <w:t xml:space="preserve">transactions that have been reported with </w:t>
      </w:r>
      <w:r w:rsidR="001A0453">
        <w:rPr>
          <w:rFonts w:eastAsiaTheme="minorHAnsi"/>
        </w:rPr>
        <w:t xml:space="preserve">non-LEI </w:t>
      </w:r>
      <w:r w:rsidR="001A0453" w:rsidRPr="00342C5F">
        <w:rPr>
          <w:rFonts w:eastAsiaTheme="minorHAnsi"/>
        </w:rPr>
        <w:t xml:space="preserve">entity identifiers </w:t>
      </w:r>
      <w:r w:rsidR="001A0453">
        <w:rPr>
          <w:rFonts w:eastAsiaTheme="minorHAnsi"/>
        </w:rPr>
        <w:t>have</w:t>
      </w:r>
      <w:r w:rsidR="001A0453" w:rsidRPr="00342C5F">
        <w:rPr>
          <w:rFonts w:eastAsiaTheme="minorHAnsi"/>
        </w:rPr>
        <w:t xml:space="preserve"> their transaction information updated to include a valid and duly renewed </w:t>
      </w:r>
      <w:r w:rsidR="001A0453">
        <w:rPr>
          <w:rFonts w:eastAsiaTheme="minorHAnsi"/>
        </w:rPr>
        <w:t>LEI.</w:t>
      </w:r>
    </w:p>
    <w:p w14:paraId="106765FB" w14:textId="1B7DFE58" w:rsidR="004575A8" w:rsidRDefault="001A0453" w:rsidP="002A271D">
      <w:pPr>
        <w:pStyle w:val="BodyText"/>
        <w:spacing w:before="220" w:line="310" w:lineRule="atLeast"/>
        <w:ind w:left="2268"/>
      </w:pPr>
      <w:r>
        <w:t>Finally, we have decided to</w:t>
      </w:r>
      <w:r w:rsidR="00F54CF4">
        <w:t xml:space="preserve"> proceed with our proposal to require that, for </w:t>
      </w:r>
      <w:r w:rsidR="00F54CF4" w:rsidRPr="009F544E">
        <w:t xml:space="preserve">joint </w:t>
      </w:r>
      <w:r w:rsidR="00F54CF4">
        <w:t xml:space="preserve">or joint and several counterparties, </w:t>
      </w:r>
      <w:r w:rsidR="00F54CF4" w:rsidRPr="009F544E">
        <w:t>the LEI of one of the joint counterparties is reported as the entity identifier</w:t>
      </w:r>
      <w:r w:rsidR="00C32B28">
        <w:t>. T</w:t>
      </w:r>
      <w:r w:rsidR="00FB0BE2">
        <w:t>h</w:t>
      </w:r>
      <w:r w:rsidR="00F54CF4">
        <w:t>is is modified to exclude partnerships</w:t>
      </w:r>
      <w:r w:rsidR="00FB0BE2">
        <w:t xml:space="preserve"> because</w:t>
      </w:r>
      <w:r w:rsidR="00F54CF4">
        <w:t xml:space="preserve"> a partnership is eligible for an LEI.</w:t>
      </w:r>
    </w:p>
    <w:p w14:paraId="7D91BD73" w14:textId="2D6E6BF1" w:rsidR="000632EC" w:rsidRPr="00221968" w:rsidRDefault="000632EC" w:rsidP="002A271D">
      <w:pPr>
        <w:pStyle w:val="BodyText"/>
        <w:spacing w:before="220" w:line="310" w:lineRule="atLeast"/>
        <w:ind w:left="2268"/>
      </w:pPr>
      <w:r w:rsidRPr="00221968">
        <w:t xml:space="preserve">Entity identifier provisions are set out in the </w:t>
      </w:r>
      <w:r w:rsidR="007910C0" w:rsidRPr="00221968">
        <w:t xml:space="preserve">draft </w:t>
      </w:r>
      <w:r w:rsidR="00FB0BE2" w:rsidRPr="00221968">
        <w:t>r</w:t>
      </w:r>
      <w:r w:rsidRPr="00221968">
        <w:t xml:space="preserve">emade ASIC Rules </w:t>
      </w:r>
      <w:r w:rsidR="00FB0BE2" w:rsidRPr="00221968">
        <w:t>(</w:t>
      </w:r>
      <w:r w:rsidR="00FA0519">
        <w:t xml:space="preserve">see </w:t>
      </w:r>
      <w:r w:rsidR="00FB0BE2" w:rsidRPr="00221968">
        <w:t xml:space="preserve">Attachment 1) </w:t>
      </w:r>
      <w:r w:rsidRPr="00221968">
        <w:t xml:space="preserve">and the </w:t>
      </w:r>
      <w:r w:rsidR="00704150" w:rsidRPr="00221968">
        <w:t xml:space="preserve">draft </w:t>
      </w:r>
      <w:r w:rsidR="004709FD" w:rsidRPr="00221968">
        <w:t>amended ASIC Rules</w:t>
      </w:r>
      <w:r w:rsidR="00704150" w:rsidRPr="00221968">
        <w:t xml:space="preserve"> (</w:t>
      </w:r>
      <w:r w:rsidR="00FA0519">
        <w:t xml:space="preserve">see </w:t>
      </w:r>
      <w:r w:rsidR="00704150" w:rsidRPr="00221968">
        <w:t xml:space="preserve">Attachment 2) </w:t>
      </w:r>
      <w:r w:rsidRPr="00221968">
        <w:t xml:space="preserve">for the data elements </w:t>
      </w:r>
      <w:r w:rsidR="0048055F" w:rsidRPr="00221968">
        <w:t xml:space="preserve">listed </w:t>
      </w:r>
      <w:r w:rsidRPr="00221968">
        <w:t>in</w:t>
      </w:r>
      <w:r w:rsidR="0048055F" w:rsidRPr="00221968">
        <w:t xml:space="preserve"> </w:t>
      </w:r>
      <w:r w:rsidR="0048055F" w:rsidRPr="00221968">
        <w:fldChar w:fldCharType="begin" w:fldLock="1"/>
      </w:r>
      <w:r w:rsidR="0048055F" w:rsidRPr="00221968">
        <w:instrText xml:space="preserve"> REF _Ref92023494 \h </w:instrText>
      </w:r>
      <w:r w:rsidR="00704150" w:rsidRPr="00221968">
        <w:instrText xml:space="preserve"> \* MERGEFORMAT </w:instrText>
      </w:r>
      <w:r w:rsidR="0048055F" w:rsidRPr="00221968">
        <w:fldChar w:fldCharType="separate"/>
      </w:r>
      <w:r w:rsidR="00853A2A" w:rsidRPr="00221968">
        <w:t xml:space="preserve">Table </w:t>
      </w:r>
      <w:r w:rsidR="00853A2A">
        <w:rPr>
          <w:noProof/>
        </w:rPr>
        <w:t>24</w:t>
      </w:r>
      <w:r w:rsidR="0048055F" w:rsidRPr="00221968">
        <w:fldChar w:fldCharType="end"/>
      </w:r>
      <w:r w:rsidR="00F76FCA" w:rsidRPr="00221968">
        <w:t>.</w:t>
      </w:r>
    </w:p>
    <w:p w14:paraId="59F76840" w14:textId="404716A5" w:rsidR="000632EC" w:rsidRPr="00221968" w:rsidRDefault="000632EC" w:rsidP="000632EC">
      <w:pPr>
        <w:pStyle w:val="tabletitleindented"/>
      </w:pPr>
      <w:bookmarkStart w:id="140" w:name="_Ref92023494"/>
      <w:r w:rsidRPr="00221968">
        <w:t xml:space="preserve">Table </w:t>
      </w:r>
      <w:fldSimple w:instr=" SEQ Table \* ARABIC ">
        <w:r w:rsidR="006679BA">
          <w:rPr>
            <w:noProof/>
          </w:rPr>
          <w:t>24</w:t>
        </w:r>
      </w:fldSimple>
      <w:bookmarkEnd w:id="140"/>
      <w:r w:rsidRPr="00221968">
        <w:t>:</w:t>
      </w:r>
      <w:r w:rsidRPr="00221968">
        <w:tab/>
      </w:r>
      <w:r w:rsidR="0048055F" w:rsidRPr="00221968">
        <w:t>Data elements with entity identifier provisions</w:t>
      </w:r>
    </w:p>
    <w:tbl>
      <w:tblPr>
        <w:tblW w:w="6803"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401"/>
        <w:gridCol w:w="3402"/>
      </w:tblGrid>
      <w:tr w:rsidR="000632EC" w:rsidRPr="000540E1" w14:paraId="77AAB64B" w14:textId="77777777" w:rsidTr="0048055F">
        <w:trPr>
          <w:cantSplit/>
          <w:tblHeader/>
        </w:trPr>
        <w:tc>
          <w:tcPr>
            <w:tcW w:w="2500" w:type="pct"/>
            <w:shd w:val="clear" w:color="auto" w:fill="C2E3FA"/>
          </w:tcPr>
          <w:p w14:paraId="612D01D3" w14:textId="6D944883" w:rsidR="000632EC" w:rsidRPr="00221968" w:rsidRDefault="00704150">
            <w:pPr>
              <w:pStyle w:val="tablehead"/>
            </w:pPr>
            <w:r w:rsidRPr="00221968">
              <w:t>Draft r</w:t>
            </w:r>
            <w:r w:rsidR="000632EC" w:rsidRPr="00221968">
              <w:t>emade ASIC Rules</w:t>
            </w:r>
            <w:r w:rsidR="00FB0BE2" w:rsidRPr="00221968">
              <w:t xml:space="preserve"> (effective</w:t>
            </w:r>
            <w:r w:rsidR="000632EC" w:rsidRPr="00221968">
              <w:t xml:space="preserve"> 1</w:t>
            </w:r>
            <w:r w:rsidR="00FB0BE2" w:rsidRPr="00221968">
              <w:t> </w:t>
            </w:r>
            <w:r w:rsidR="000632EC" w:rsidRPr="00221968">
              <w:t>October 2023</w:t>
            </w:r>
            <w:r w:rsidR="00FB0BE2" w:rsidRPr="00221968">
              <w:t xml:space="preserve"> to </w:t>
            </w:r>
            <w:r w:rsidR="000632EC" w:rsidRPr="00221968">
              <w:t>31 March 2024</w:t>
            </w:r>
            <w:r w:rsidR="00FB0BE2" w:rsidRPr="00221968">
              <w:t>)</w:t>
            </w:r>
          </w:p>
        </w:tc>
        <w:tc>
          <w:tcPr>
            <w:tcW w:w="2500" w:type="pct"/>
            <w:shd w:val="clear" w:color="auto" w:fill="C2E3FA"/>
          </w:tcPr>
          <w:p w14:paraId="5E6584F6" w14:textId="383BF9ED" w:rsidR="000632EC" w:rsidRPr="00221968" w:rsidRDefault="00704150">
            <w:pPr>
              <w:pStyle w:val="tablehead"/>
            </w:pPr>
            <w:r w:rsidRPr="00221968">
              <w:t xml:space="preserve">Draft </w:t>
            </w:r>
            <w:r w:rsidR="004709FD" w:rsidRPr="00221968">
              <w:t>amended ASIC Rules</w:t>
            </w:r>
            <w:r w:rsidRPr="00221968">
              <w:t xml:space="preserve"> (effective </w:t>
            </w:r>
            <w:r w:rsidR="000632EC" w:rsidRPr="00221968">
              <w:t>1 April 2024</w:t>
            </w:r>
            <w:r w:rsidR="00FB0BE2" w:rsidRPr="00221968">
              <w:t>)</w:t>
            </w:r>
          </w:p>
        </w:tc>
      </w:tr>
      <w:tr w:rsidR="000632EC" w:rsidRPr="000540E1" w14:paraId="517B5274" w14:textId="77777777" w:rsidTr="0048055F">
        <w:trPr>
          <w:cantSplit/>
        </w:trPr>
        <w:tc>
          <w:tcPr>
            <w:tcW w:w="2500" w:type="pct"/>
          </w:tcPr>
          <w:p w14:paraId="0711F795" w14:textId="7505A6D3" w:rsidR="000632EC" w:rsidRPr="000540E1" w:rsidRDefault="00B401ED" w:rsidP="000632EC">
            <w:pPr>
              <w:pStyle w:val="tbltext"/>
            </w:pPr>
            <w:r>
              <w:t>Not applicable</w:t>
            </w:r>
          </w:p>
        </w:tc>
        <w:tc>
          <w:tcPr>
            <w:tcW w:w="2500" w:type="pct"/>
          </w:tcPr>
          <w:p w14:paraId="6B204EC9" w14:textId="3AD58FED" w:rsidR="000632EC" w:rsidRPr="000540E1" w:rsidRDefault="000632EC" w:rsidP="000632EC">
            <w:pPr>
              <w:pStyle w:val="tbltext"/>
            </w:pPr>
            <w:r>
              <w:t xml:space="preserve">Reporting </w:t>
            </w:r>
            <w:r w:rsidR="00FB0BE2">
              <w:t>e</w:t>
            </w:r>
            <w:r>
              <w:t>ntity</w:t>
            </w:r>
          </w:p>
        </w:tc>
      </w:tr>
      <w:tr w:rsidR="000632EC" w:rsidRPr="000540E1" w14:paraId="28389E3C" w14:textId="77777777" w:rsidTr="0048055F">
        <w:trPr>
          <w:cantSplit/>
        </w:trPr>
        <w:tc>
          <w:tcPr>
            <w:tcW w:w="2500" w:type="pct"/>
          </w:tcPr>
          <w:p w14:paraId="3B101A24" w14:textId="1C1F178D" w:rsidR="000632EC" w:rsidRPr="000540E1" w:rsidRDefault="000632EC" w:rsidP="000632EC">
            <w:pPr>
              <w:pStyle w:val="tbltext"/>
            </w:pPr>
            <w:r>
              <w:t>Counterparty 1</w:t>
            </w:r>
          </w:p>
        </w:tc>
        <w:tc>
          <w:tcPr>
            <w:tcW w:w="2500" w:type="pct"/>
          </w:tcPr>
          <w:p w14:paraId="03171977" w14:textId="30F10DCD" w:rsidR="000632EC" w:rsidRPr="000540E1" w:rsidRDefault="000632EC" w:rsidP="000632EC">
            <w:pPr>
              <w:pStyle w:val="tbltext"/>
            </w:pPr>
            <w:r>
              <w:t>Counterparty 1</w:t>
            </w:r>
          </w:p>
        </w:tc>
      </w:tr>
      <w:tr w:rsidR="000632EC" w:rsidRPr="000540E1" w14:paraId="6DAEFD39" w14:textId="77777777" w:rsidTr="0048055F">
        <w:trPr>
          <w:cantSplit/>
        </w:trPr>
        <w:tc>
          <w:tcPr>
            <w:tcW w:w="2500" w:type="pct"/>
          </w:tcPr>
          <w:p w14:paraId="1B6D1B53" w14:textId="39919F7E" w:rsidR="000632EC" w:rsidRPr="000540E1" w:rsidRDefault="000632EC" w:rsidP="000632EC">
            <w:pPr>
              <w:pStyle w:val="tbltext"/>
            </w:pPr>
            <w:r>
              <w:t>Counterparty 2</w:t>
            </w:r>
          </w:p>
        </w:tc>
        <w:tc>
          <w:tcPr>
            <w:tcW w:w="2500" w:type="pct"/>
          </w:tcPr>
          <w:p w14:paraId="1F1B1986" w14:textId="22A07F5D" w:rsidR="000632EC" w:rsidRPr="000540E1" w:rsidRDefault="000632EC" w:rsidP="000632EC">
            <w:pPr>
              <w:pStyle w:val="tbltext"/>
            </w:pPr>
            <w:r>
              <w:t>Counterparty 2</w:t>
            </w:r>
          </w:p>
        </w:tc>
      </w:tr>
      <w:tr w:rsidR="000632EC" w:rsidRPr="000540E1" w14:paraId="1DC703C3" w14:textId="77777777" w:rsidTr="0048055F">
        <w:trPr>
          <w:cantSplit/>
        </w:trPr>
        <w:tc>
          <w:tcPr>
            <w:tcW w:w="2500" w:type="pct"/>
          </w:tcPr>
          <w:p w14:paraId="7660985D" w14:textId="2CD38A2C" w:rsidR="000632EC" w:rsidRDefault="000632EC" w:rsidP="000632EC">
            <w:pPr>
              <w:pStyle w:val="tbltext"/>
            </w:pPr>
            <w:r>
              <w:t>Beneficiary 1</w:t>
            </w:r>
          </w:p>
        </w:tc>
        <w:tc>
          <w:tcPr>
            <w:tcW w:w="2500" w:type="pct"/>
          </w:tcPr>
          <w:p w14:paraId="72C229B5" w14:textId="4A687BD9" w:rsidR="000632EC" w:rsidRDefault="000632EC" w:rsidP="000632EC">
            <w:pPr>
              <w:pStyle w:val="tbltext"/>
            </w:pPr>
            <w:r>
              <w:t>Beneficiary 1</w:t>
            </w:r>
          </w:p>
        </w:tc>
      </w:tr>
      <w:tr w:rsidR="000632EC" w:rsidRPr="000540E1" w14:paraId="304D6AA6" w14:textId="77777777" w:rsidTr="0048055F">
        <w:trPr>
          <w:cantSplit/>
        </w:trPr>
        <w:tc>
          <w:tcPr>
            <w:tcW w:w="2500" w:type="pct"/>
          </w:tcPr>
          <w:p w14:paraId="1E9C7A23" w14:textId="6874BD69" w:rsidR="000632EC" w:rsidRDefault="000632EC" w:rsidP="000632EC">
            <w:pPr>
              <w:pStyle w:val="tbltext"/>
            </w:pPr>
            <w:r w:rsidRPr="00B46519">
              <w:rPr>
                <w:color w:val="000000" w:themeColor="text1"/>
              </w:rPr>
              <w:t>Report submitting entity</w:t>
            </w:r>
          </w:p>
        </w:tc>
        <w:tc>
          <w:tcPr>
            <w:tcW w:w="2500" w:type="pct"/>
          </w:tcPr>
          <w:p w14:paraId="740649E2" w14:textId="7B55A888" w:rsidR="000632EC" w:rsidRDefault="000632EC" w:rsidP="000632EC">
            <w:pPr>
              <w:pStyle w:val="tbltext"/>
            </w:pPr>
            <w:r w:rsidRPr="00FA37D3">
              <w:rPr>
                <w:color w:val="000000" w:themeColor="text1"/>
              </w:rPr>
              <w:t>Report submitting entity</w:t>
            </w:r>
          </w:p>
        </w:tc>
      </w:tr>
      <w:tr w:rsidR="000632EC" w:rsidRPr="000540E1" w14:paraId="020F2A6F" w14:textId="77777777" w:rsidTr="0048055F">
        <w:trPr>
          <w:cantSplit/>
        </w:trPr>
        <w:tc>
          <w:tcPr>
            <w:tcW w:w="2500" w:type="pct"/>
          </w:tcPr>
          <w:p w14:paraId="106D8F20" w14:textId="57E5307F" w:rsidR="000632EC" w:rsidRPr="00B46519" w:rsidRDefault="000632EC" w:rsidP="000632EC">
            <w:pPr>
              <w:pStyle w:val="tbltext"/>
              <w:rPr>
                <w:color w:val="000000" w:themeColor="text1"/>
              </w:rPr>
            </w:pPr>
            <w:r>
              <w:t>Broker</w:t>
            </w:r>
          </w:p>
        </w:tc>
        <w:tc>
          <w:tcPr>
            <w:tcW w:w="2500" w:type="pct"/>
          </w:tcPr>
          <w:p w14:paraId="56186CB4" w14:textId="69BE3769" w:rsidR="000632EC" w:rsidRPr="00FA37D3" w:rsidRDefault="000632EC" w:rsidP="000632EC">
            <w:pPr>
              <w:pStyle w:val="tbltext"/>
              <w:rPr>
                <w:color w:val="000000" w:themeColor="text1"/>
              </w:rPr>
            </w:pPr>
            <w:r>
              <w:t>Broker</w:t>
            </w:r>
          </w:p>
        </w:tc>
      </w:tr>
      <w:tr w:rsidR="000632EC" w:rsidRPr="000540E1" w14:paraId="04FF3E34" w14:textId="77777777" w:rsidTr="0048055F">
        <w:trPr>
          <w:cantSplit/>
        </w:trPr>
        <w:tc>
          <w:tcPr>
            <w:tcW w:w="2500" w:type="pct"/>
          </w:tcPr>
          <w:p w14:paraId="2EE959BA" w14:textId="74DDEAFB" w:rsidR="000632EC" w:rsidRDefault="00B401ED" w:rsidP="000632EC">
            <w:pPr>
              <w:pStyle w:val="tbltext"/>
            </w:pPr>
            <w:r>
              <w:t>Not applicable</w:t>
            </w:r>
          </w:p>
        </w:tc>
        <w:tc>
          <w:tcPr>
            <w:tcW w:w="2500" w:type="pct"/>
          </w:tcPr>
          <w:p w14:paraId="4923FF20" w14:textId="2DFF4673" w:rsidR="000632EC" w:rsidRDefault="000632EC" w:rsidP="000632EC">
            <w:pPr>
              <w:pStyle w:val="tbltext"/>
            </w:pPr>
            <w:r>
              <w:t xml:space="preserve">Execution agent of </w:t>
            </w:r>
            <w:r w:rsidR="00FB0BE2">
              <w:t>c</w:t>
            </w:r>
            <w:r>
              <w:t>ounterparty 1</w:t>
            </w:r>
          </w:p>
        </w:tc>
      </w:tr>
      <w:tr w:rsidR="000632EC" w:rsidRPr="000540E1" w14:paraId="1772EC9F" w14:textId="77777777" w:rsidTr="0048055F">
        <w:trPr>
          <w:cantSplit/>
        </w:trPr>
        <w:tc>
          <w:tcPr>
            <w:tcW w:w="2500" w:type="pct"/>
          </w:tcPr>
          <w:p w14:paraId="706A08FF" w14:textId="4F98EBD2" w:rsidR="000632EC" w:rsidRDefault="000632EC" w:rsidP="000632EC">
            <w:pPr>
              <w:pStyle w:val="tbltext"/>
            </w:pPr>
            <w:r>
              <w:t>Central counterparty</w:t>
            </w:r>
          </w:p>
        </w:tc>
        <w:tc>
          <w:tcPr>
            <w:tcW w:w="2500" w:type="pct"/>
          </w:tcPr>
          <w:p w14:paraId="2EE80E22" w14:textId="389BB3FA" w:rsidR="000632EC" w:rsidRDefault="000632EC" w:rsidP="000632EC">
            <w:pPr>
              <w:pStyle w:val="tbltext"/>
            </w:pPr>
            <w:r>
              <w:t>Central counterparty</w:t>
            </w:r>
          </w:p>
        </w:tc>
      </w:tr>
      <w:tr w:rsidR="000632EC" w:rsidRPr="000540E1" w14:paraId="18E4622E" w14:textId="77777777" w:rsidTr="0048055F">
        <w:trPr>
          <w:cantSplit/>
        </w:trPr>
        <w:tc>
          <w:tcPr>
            <w:tcW w:w="2500" w:type="pct"/>
          </w:tcPr>
          <w:p w14:paraId="641AC3DA" w14:textId="2CA53BA2" w:rsidR="000632EC" w:rsidRDefault="000632EC" w:rsidP="000632EC">
            <w:pPr>
              <w:pStyle w:val="tbltext"/>
            </w:pPr>
            <w:r>
              <w:t>Clearing member</w:t>
            </w:r>
          </w:p>
        </w:tc>
        <w:tc>
          <w:tcPr>
            <w:tcW w:w="2500" w:type="pct"/>
          </w:tcPr>
          <w:p w14:paraId="71D87A9A" w14:textId="59ED6E1F" w:rsidR="000632EC" w:rsidRDefault="000632EC" w:rsidP="000632EC">
            <w:pPr>
              <w:pStyle w:val="tbltext"/>
            </w:pPr>
            <w:r>
              <w:t>Clearing member</w:t>
            </w:r>
          </w:p>
        </w:tc>
      </w:tr>
      <w:tr w:rsidR="00822470" w:rsidRPr="000540E1" w14:paraId="3E8C1E6C" w14:textId="77777777" w:rsidTr="0048055F">
        <w:trPr>
          <w:cantSplit/>
        </w:trPr>
        <w:tc>
          <w:tcPr>
            <w:tcW w:w="2500" w:type="pct"/>
          </w:tcPr>
          <w:p w14:paraId="0FDC07A2" w14:textId="0D0E138F" w:rsidR="00FB0BE2" w:rsidRDefault="00822470" w:rsidP="0048055F">
            <w:pPr>
              <w:pStyle w:val="tbltext"/>
            </w:pPr>
            <w:r w:rsidRPr="00F76596">
              <w:t>Payer (fixed rate</w:t>
            </w:r>
            <w:r w:rsidR="00753063">
              <w:t xml:space="preserve"> leg 1</w:t>
            </w:r>
            <w:r w:rsidRPr="00F76596">
              <w:t>)</w:t>
            </w:r>
          </w:p>
          <w:p w14:paraId="70110833" w14:textId="45D8555B" w:rsidR="00753063" w:rsidRDefault="00753063" w:rsidP="0048055F">
            <w:pPr>
              <w:pStyle w:val="tbltext"/>
            </w:pPr>
            <w:r>
              <w:t>Payer (fixed rate leg 2)</w:t>
            </w:r>
          </w:p>
          <w:p w14:paraId="4CA7E3D3" w14:textId="353E6AF7" w:rsidR="00FB0BE2" w:rsidRDefault="0048055F" w:rsidP="0048055F">
            <w:pPr>
              <w:pStyle w:val="tbltext"/>
            </w:pPr>
            <w:r w:rsidRPr="00F76596">
              <w:t>Payer (floating rate leg 1)</w:t>
            </w:r>
          </w:p>
          <w:p w14:paraId="0899A149" w14:textId="7EB65729" w:rsidR="00822470" w:rsidRDefault="0048055F" w:rsidP="003C63A1">
            <w:pPr>
              <w:pStyle w:val="tbltext"/>
            </w:pPr>
            <w:r w:rsidRPr="00F76596">
              <w:t xml:space="preserve">Payer (floating rate leg </w:t>
            </w:r>
            <w:r>
              <w:t>2</w:t>
            </w:r>
            <w:r w:rsidRPr="00F76596">
              <w:t>)</w:t>
            </w:r>
            <w:r w:rsidR="00FB0BE2">
              <w:t xml:space="preserve"> </w:t>
            </w:r>
          </w:p>
        </w:tc>
        <w:tc>
          <w:tcPr>
            <w:tcW w:w="2500" w:type="pct"/>
          </w:tcPr>
          <w:p w14:paraId="08CD1430" w14:textId="008C829E" w:rsidR="00822470" w:rsidRDefault="00B401ED" w:rsidP="00822470">
            <w:pPr>
              <w:pStyle w:val="tbltext"/>
            </w:pPr>
            <w:r>
              <w:t>Not applicable</w:t>
            </w:r>
          </w:p>
        </w:tc>
      </w:tr>
      <w:tr w:rsidR="0048055F" w:rsidRPr="000540E1" w14:paraId="3994A44C" w14:textId="77777777" w:rsidTr="0048055F">
        <w:trPr>
          <w:cantSplit/>
        </w:trPr>
        <w:tc>
          <w:tcPr>
            <w:tcW w:w="2500" w:type="pct"/>
          </w:tcPr>
          <w:p w14:paraId="3759B960" w14:textId="297B9C60" w:rsidR="0048055F" w:rsidRPr="00F76596" w:rsidRDefault="00B401ED" w:rsidP="00822470">
            <w:pPr>
              <w:pStyle w:val="tbltext"/>
              <w:ind w:left="284" w:hanging="284"/>
            </w:pPr>
            <w:r>
              <w:t>Not applicable</w:t>
            </w:r>
          </w:p>
        </w:tc>
        <w:tc>
          <w:tcPr>
            <w:tcW w:w="2500" w:type="pct"/>
          </w:tcPr>
          <w:p w14:paraId="109068BB" w14:textId="062AD277" w:rsidR="00B401ED" w:rsidRDefault="0048055F" w:rsidP="00822470">
            <w:pPr>
              <w:pStyle w:val="tbltext"/>
            </w:pPr>
            <w:r w:rsidRPr="00FA37D3">
              <w:t>Other payment payer</w:t>
            </w:r>
          </w:p>
          <w:p w14:paraId="082975B0" w14:textId="7B4B3DD7" w:rsidR="0048055F" w:rsidRDefault="0048055F" w:rsidP="00822470">
            <w:pPr>
              <w:pStyle w:val="tbltext"/>
            </w:pPr>
            <w:r w:rsidRPr="00FA37D3">
              <w:t>Other payment receiver</w:t>
            </w:r>
          </w:p>
        </w:tc>
      </w:tr>
    </w:tbl>
    <w:p w14:paraId="56FE72AA" w14:textId="28897FAB" w:rsidR="005909A2" w:rsidRDefault="00417FBB" w:rsidP="000A4612">
      <w:pPr>
        <w:pStyle w:val="Heading4"/>
      </w:pPr>
      <w:r>
        <w:t>Entity identifier</w:t>
      </w:r>
      <w:r w:rsidR="00BC11CC">
        <w:t xml:space="preserve"> provisions in the </w:t>
      </w:r>
      <w:r w:rsidR="00992B17">
        <w:t xml:space="preserve">draft </w:t>
      </w:r>
      <w:r w:rsidR="002F6587">
        <w:t>r</w:t>
      </w:r>
      <w:r w:rsidR="00BC11CC">
        <w:t>emade ASIC Rules</w:t>
      </w:r>
    </w:p>
    <w:p w14:paraId="28B1FA25" w14:textId="69896C8E" w:rsidR="00BC11CC" w:rsidRDefault="00992B17" w:rsidP="003634C4">
      <w:pPr>
        <w:pStyle w:val="BodyText"/>
        <w:ind w:left="2268"/>
      </w:pPr>
      <w:r>
        <w:t xml:space="preserve">Draft </w:t>
      </w:r>
      <w:r w:rsidR="00FE73B6">
        <w:t xml:space="preserve">Rule </w:t>
      </w:r>
      <w:r w:rsidR="00CE550B">
        <w:t xml:space="preserve">S1.3.1(2) of Part S1.3 in Schedule 1 determines the entity identifier that must be reported for </w:t>
      </w:r>
      <w:r w:rsidR="002F6587">
        <w:t>c</w:t>
      </w:r>
      <w:r w:rsidR="00CE550B">
        <w:t>ounterparty 2</w:t>
      </w:r>
      <w:r w:rsidR="001121CF">
        <w:t xml:space="preserve"> and, if applicable, </w:t>
      </w:r>
      <w:r w:rsidR="002F6587">
        <w:t>b</w:t>
      </w:r>
      <w:r w:rsidR="001121CF">
        <w:t xml:space="preserve">eneficiary 1 and, for interest rate derivatives, </w:t>
      </w:r>
      <w:r w:rsidR="002F6587">
        <w:t>p</w:t>
      </w:r>
      <w:r w:rsidR="001121CF">
        <w:t>ayer (fixed rate</w:t>
      </w:r>
      <w:r w:rsidR="00E85497">
        <w:t xml:space="preserve"> leg 1</w:t>
      </w:r>
      <w:r w:rsidR="001121CF">
        <w:t xml:space="preserve">), </w:t>
      </w:r>
      <w:r w:rsidR="00E85497">
        <w:t xml:space="preserve">payer (fixed rate leg 2), </w:t>
      </w:r>
      <w:r w:rsidR="002F6587">
        <w:t>p</w:t>
      </w:r>
      <w:r w:rsidR="001121CF">
        <w:t xml:space="preserve">ayer (floating rate leg 1) and </w:t>
      </w:r>
      <w:r w:rsidR="002F6587">
        <w:t>p</w:t>
      </w:r>
      <w:r w:rsidR="001121CF">
        <w:t>ayer (floating rate leg 2).</w:t>
      </w:r>
    </w:p>
    <w:p w14:paraId="1B61A78E" w14:textId="4B569F90" w:rsidR="001121CF" w:rsidRDefault="001121CF" w:rsidP="003634C4">
      <w:pPr>
        <w:pStyle w:val="BodyText"/>
        <w:ind w:left="2268"/>
      </w:pPr>
      <w:r>
        <w:t xml:space="preserve">For a </w:t>
      </w:r>
      <w:r w:rsidR="00417FBB">
        <w:t>r</w:t>
      </w:r>
      <w:r>
        <w:t xml:space="preserve">eportable </w:t>
      </w:r>
      <w:r w:rsidR="00417FBB">
        <w:t>t</w:t>
      </w:r>
      <w:r>
        <w:t>ransaction that is the entry into a</w:t>
      </w:r>
      <w:r w:rsidR="0048055F">
        <w:t>n</w:t>
      </w:r>
      <w:r>
        <w:t xml:space="preserve"> </w:t>
      </w:r>
      <w:r w:rsidR="0048055F">
        <w:t xml:space="preserve">OTC </w:t>
      </w:r>
      <w:r>
        <w:t xml:space="preserve">derivative, </w:t>
      </w:r>
      <w:r w:rsidR="002D71EB">
        <w:t>including whe</w:t>
      </w:r>
      <w:r w:rsidR="002F6587">
        <w:t>n</w:t>
      </w:r>
      <w:r w:rsidR="002D71EB">
        <w:t xml:space="preserve"> the reporting entity’s counterparty assigns their rights and obligations to a new counterparty, </w:t>
      </w:r>
      <w:r>
        <w:t>the entity identifier</w:t>
      </w:r>
      <w:r w:rsidR="00F06D87">
        <w:t xml:space="preserve"> for an entity eligible for an LEI</w:t>
      </w:r>
      <w:r>
        <w:t xml:space="preserve"> must be:</w:t>
      </w:r>
    </w:p>
    <w:p w14:paraId="4CB08903" w14:textId="55343366" w:rsidR="001121CF" w:rsidRDefault="00C32B28" w:rsidP="00C443A0">
      <w:pPr>
        <w:pStyle w:val="subparaa"/>
        <w:numPr>
          <w:ilvl w:val="1"/>
          <w:numId w:val="17"/>
        </w:numPr>
      </w:pPr>
      <w:r>
        <w:t>t</w:t>
      </w:r>
      <w:r w:rsidR="001121CF">
        <w:t>he entity’s LEI; or</w:t>
      </w:r>
    </w:p>
    <w:p w14:paraId="36C6406E" w14:textId="1F725838" w:rsidR="001121CF" w:rsidRDefault="00C32B28" w:rsidP="00C443A0">
      <w:pPr>
        <w:pStyle w:val="subparaa"/>
        <w:numPr>
          <w:ilvl w:val="1"/>
          <w:numId w:val="17"/>
        </w:numPr>
      </w:pPr>
      <w:r>
        <w:t>i</w:t>
      </w:r>
      <w:r w:rsidR="001121CF">
        <w:t xml:space="preserve">f the entity does not have an LEI, a </w:t>
      </w:r>
      <w:r w:rsidR="00417FBB">
        <w:t>d</w:t>
      </w:r>
      <w:r w:rsidR="001121CF">
        <w:t xml:space="preserve">esignated </w:t>
      </w:r>
      <w:r w:rsidR="00417FBB">
        <w:t>b</w:t>
      </w:r>
      <w:r w:rsidR="001121CF">
        <w:t xml:space="preserve">usiness </w:t>
      </w:r>
      <w:r w:rsidR="00417FBB">
        <w:t>i</w:t>
      </w:r>
      <w:r w:rsidR="001121CF">
        <w:t xml:space="preserve">dentifier or </w:t>
      </w:r>
      <w:r w:rsidR="00F06D87">
        <w:t xml:space="preserve">a </w:t>
      </w:r>
      <w:r w:rsidR="00ED591A">
        <w:t>client code</w:t>
      </w:r>
      <w:r w:rsidR="00F06D87">
        <w:t xml:space="preserve"> </w:t>
      </w:r>
      <w:r w:rsidR="001121CF">
        <w:t>of the entity, provided that:</w:t>
      </w:r>
    </w:p>
    <w:p w14:paraId="124F05E9" w14:textId="00AF0F73" w:rsidR="001121CF" w:rsidRDefault="00C32B28" w:rsidP="008A6CFD">
      <w:pPr>
        <w:pStyle w:val="subsubparai"/>
        <w:numPr>
          <w:ilvl w:val="2"/>
          <w:numId w:val="17"/>
        </w:numPr>
        <w:spacing w:line="310" w:lineRule="atLeast"/>
      </w:pPr>
      <w:r>
        <w:t>a</w:t>
      </w:r>
      <w:r w:rsidR="001121CF">
        <w:t xml:space="preserve">n LEI is applied for within two </w:t>
      </w:r>
      <w:r w:rsidR="00417FBB">
        <w:t>business days; and</w:t>
      </w:r>
    </w:p>
    <w:p w14:paraId="08D8BEA4" w14:textId="5E43F14E" w:rsidR="00417FBB" w:rsidRDefault="00C32B28" w:rsidP="008A6CFD">
      <w:pPr>
        <w:pStyle w:val="subsubparai"/>
        <w:numPr>
          <w:ilvl w:val="2"/>
          <w:numId w:val="17"/>
        </w:numPr>
        <w:spacing w:line="310" w:lineRule="atLeast"/>
      </w:pPr>
      <w:r>
        <w:t>a</w:t>
      </w:r>
      <w:r w:rsidR="00417FBB">
        <w:t>s soon as practicable, the reporting entity use</w:t>
      </w:r>
      <w:r w:rsidR="00C77B83">
        <w:t>s</w:t>
      </w:r>
      <w:r w:rsidR="00417FBB">
        <w:t xml:space="preserve"> all reasonable endeavours to report that LEI for the reportable transaction.</w:t>
      </w:r>
    </w:p>
    <w:p w14:paraId="26F86557" w14:textId="77777777" w:rsidR="004B68B0" w:rsidRPr="004B68B0" w:rsidRDefault="004B68B0" w:rsidP="004B68B0">
      <w:pPr>
        <w:pStyle w:val="Bodytextplain"/>
        <w:keepNext/>
        <w:spacing w:before="0" w:line="240" w:lineRule="auto"/>
        <w:rPr>
          <w:sz w:val="4"/>
          <w:szCs w:val="4"/>
        </w:rPr>
      </w:pPr>
    </w:p>
    <w:p w14:paraId="16803B42" w14:textId="234EF421" w:rsidR="00417FBB" w:rsidRDefault="00785E7F" w:rsidP="004B68B0">
      <w:pPr>
        <w:pStyle w:val="BodyText"/>
        <w:spacing w:before="0"/>
        <w:ind w:left="2268"/>
      </w:pPr>
      <w:r>
        <w:t xml:space="preserve">A designated business identifier is any one of the non-LEI entity identifiers, other than an internal </w:t>
      </w:r>
      <w:r w:rsidR="00F06D87">
        <w:t>entity identifier,</w:t>
      </w:r>
      <w:r>
        <w:t xml:space="preserve"> that has been allowed to be used in reporting under the current ASIC Rules</w:t>
      </w:r>
      <w:r w:rsidR="00C32B28">
        <w:t>. T</w:t>
      </w:r>
      <w:r>
        <w:t xml:space="preserve">hese </w:t>
      </w:r>
      <w:r w:rsidR="00F06D87">
        <w:t>are ABN, AVID and BIC. An internal entity identifier must be in the structure and format of a client code</w:t>
      </w:r>
      <w:r w:rsidR="00C32B28">
        <w:t>—that is,</w:t>
      </w:r>
      <w:r w:rsidR="00F06D87">
        <w:t xml:space="preserve"> </w:t>
      </w:r>
      <w:r w:rsidR="00F06D87" w:rsidRPr="00F06D87">
        <w:t xml:space="preserve">the LEI of the </w:t>
      </w:r>
      <w:r w:rsidR="00F06D87">
        <w:t>r</w:t>
      </w:r>
      <w:r w:rsidR="00F06D87" w:rsidRPr="00F06D87">
        <w:t xml:space="preserve">eporting </w:t>
      </w:r>
      <w:r w:rsidR="00F06D87">
        <w:t>e</w:t>
      </w:r>
      <w:r w:rsidR="00F06D87" w:rsidRPr="00F06D87">
        <w:t xml:space="preserve">ntity followed by an identifier, unique to the </w:t>
      </w:r>
      <w:r w:rsidR="00F06D87">
        <w:t>r</w:t>
      </w:r>
      <w:r w:rsidR="00F06D87" w:rsidRPr="00F06D87">
        <w:t xml:space="preserve">eporting </w:t>
      </w:r>
      <w:r w:rsidR="00F06D87">
        <w:t>e</w:t>
      </w:r>
      <w:r w:rsidR="00F06D87" w:rsidRPr="00F06D87">
        <w:t>ntity, of up to 52 characters</w:t>
      </w:r>
      <w:r w:rsidR="00F06D87">
        <w:t>.</w:t>
      </w:r>
    </w:p>
    <w:p w14:paraId="46D63020" w14:textId="04A95E9B" w:rsidR="00F06D87" w:rsidRDefault="00F06D87" w:rsidP="003634C4">
      <w:pPr>
        <w:pStyle w:val="BodyText"/>
        <w:ind w:left="2268"/>
      </w:pPr>
      <w:r>
        <w:t>For a reportable transaction that is the entry into a</w:t>
      </w:r>
      <w:r w:rsidR="0048055F">
        <w:t>n OTC</w:t>
      </w:r>
      <w:r>
        <w:t xml:space="preserve"> derivative, the entity identifier for an entity</w:t>
      </w:r>
      <w:r w:rsidR="002D71EB">
        <w:t xml:space="preserve"> that is a natural person not</w:t>
      </w:r>
      <w:r>
        <w:t xml:space="preserve"> eligible for an LEI must be</w:t>
      </w:r>
      <w:r w:rsidR="002D71EB">
        <w:t xml:space="preserve"> the client code of the entity.</w:t>
      </w:r>
    </w:p>
    <w:p w14:paraId="18AF09FC" w14:textId="77777777" w:rsidR="00F615BC" w:rsidRDefault="002D71EB" w:rsidP="003634C4">
      <w:pPr>
        <w:pStyle w:val="BodyText"/>
        <w:ind w:left="2268"/>
      </w:pPr>
      <w:r>
        <w:t xml:space="preserve">For a reportable transaction that is the modification or termination of a previously reported derivative transaction, the entity identifier must be the identifier that was reported for the </w:t>
      </w:r>
      <w:r w:rsidR="00F615BC">
        <w:t>transaction. This may be:</w:t>
      </w:r>
    </w:p>
    <w:p w14:paraId="0B5863FA" w14:textId="1FDDCD3C" w:rsidR="002D71EB" w:rsidRDefault="00C32B28" w:rsidP="00C443A0">
      <w:pPr>
        <w:pStyle w:val="subparaa"/>
        <w:numPr>
          <w:ilvl w:val="1"/>
          <w:numId w:val="17"/>
        </w:numPr>
      </w:pPr>
      <w:r>
        <w:t>a</w:t>
      </w:r>
      <w:r w:rsidR="00F615BC">
        <w:t xml:space="preserve"> non-LEI identifier that has been reported for the transaction</w:t>
      </w:r>
      <w:r w:rsidR="001F0A4E">
        <w:t>,</w:t>
      </w:r>
      <w:r w:rsidR="00F615BC">
        <w:t xml:space="preserve"> but which has never been updated to an LEI; or</w:t>
      </w:r>
    </w:p>
    <w:p w14:paraId="67E64237" w14:textId="22EEB5F5" w:rsidR="00F615BC" w:rsidRDefault="00C32B28" w:rsidP="00C443A0">
      <w:pPr>
        <w:pStyle w:val="subparaa"/>
        <w:numPr>
          <w:ilvl w:val="1"/>
          <w:numId w:val="17"/>
        </w:numPr>
      </w:pPr>
      <w:r>
        <w:t>a</w:t>
      </w:r>
      <w:r w:rsidR="00F615BC">
        <w:t xml:space="preserve"> non-LEI identifier that has been determined and reported for the transaction according to </w:t>
      </w:r>
      <w:r w:rsidR="00120B0D">
        <w:t>draft</w:t>
      </w:r>
      <w:r w:rsidR="00F615BC">
        <w:t xml:space="preserve"> </w:t>
      </w:r>
      <w:r w:rsidR="00904B23">
        <w:t xml:space="preserve">Rule </w:t>
      </w:r>
      <w:r w:rsidR="00F615BC">
        <w:t xml:space="preserve">S1.3.1(2)(a)(ii) and the modification or termination occurs </w:t>
      </w:r>
      <w:r w:rsidR="001F0A4E">
        <w:t>before</w:t>
      </w:r>
      <w:r w:rsidR="00F615BC">
        <w:t xml:space="preserve"> the identifier </w:t>
      </w:r>
      <w:r w:rsidR="001F0A4E">
        <w:t>is</w:t>
      </w:r>
      <w:r w:rsidR="00F615BC">
        <w:t xml:space="preserve"> updated to an LEI.</w:t>
      </w:r>
    </w:p>
    <w:p w14:paraId="2D556910" w14:textId="52D8EFF7" w:rsidR="00C35D43" w:rsidRDefault="00C35D43" w:rsidP="003634C4">
      <w:pPr>
        <w:pStyle w:val="BodyText"/>
        <w:ind w:left="2268"/>
      </w:pPr>
      <w:r>
        <w:t xml:space="preserve">There is no requirement under </w:t>
      </w:r>
      <w:r w:rsidR="00120B0D">
        <w:t xml:space="preserve">draft </w:t>
      </w:r>
      <w:r w:rsidR="00904B23">
        <w:t xml:space="preserve">Rule </w:t>
      </w:r>
      <w:r>
        <w:t xml:space="preserve">S1.3.1(2), or elsewhere in the </w:t>
      </w:r>
      <w:r w:rsidR="00C256B5">
        <w:t xml:space="preserve">draft </w:t>
      </w:r>
      <w:r w:rsidR="001F0A4E">
        <w:t>r</w:t>
      </w:r>
      <w:r>
        <w:t xml:space="preserve">emade ASIC Rules, that non-LEI identifiers that have been reported </w:t>
      </w:r>
      <w:r w:rsidR="001F0A4E">
        <w:t>before</w:t>
      </w:r>
      <w:r>
        <w:t xml:space="preserve"> </w:t>
      </w:r>
      <w:r w:rsidR="00904B23">
        <w:t xml:space="preserve">Rule </w:t>
      </w:r>
      <w:r>
        <w:t>S1.3.1(2) coming into force must be updated to an LEI.</w:t>
      </w:r>
    </w:p>
    <w:p w14:paraId="608B36DD" w14:textId="2058851F" w:rsidR="00C35D43" w:rsidRDefault="00C256B5" w:rsidP="003634C4">
      <w:pPr>
        <w:pStyle w:val="BodyText"/>
        <w:ind w:left="2268"/>
      </w:pPr>
      <w:r w:rsidRPr="00924660">
        <w:t xml:space="preserve">Draft </w:t>
      </w:r>
      <w:r w:rsidR="00904B23">
        <w:t xml:space="preserve">Rule </w:t>
      </w:r>
      <w:r w:rsidR="00C35D43" w:rsidRPr="00924660">
        <w:t>S1.3.1(2)(d) also specifies</w:t>
      </w:r>
      <w:r w:rsidR="00C35D43" w:rsidRPr="00C37300">
        <w:t xml:space="preserve"> that if the entity to which the item relat</w:t>
      </w:r>
      <w:r w:rsidR="00C35D43" w:rsidRPr="001E4956">
        <w:t xml:space="preserve">es </w:t>
      </w:r>
      <w:r w:rsidR="00C35D43" w:rsidRPr="00C256B5">
        <w:t>comprise</w:t>
      </w:r>
      <w:r w:rsidRPr="003C63A1">
        <w:t>s</w:t>
      </w:r>
      <w:r w:rsidR="00C35D43" w:rsidRPr="00C256B5">
        <w:t xml:space="preserve"> two or more counterparties, other than a partnership,</w:t>
      </w:r>
      <w:r w:rsidR="00C35D43" w:rsidRPr="00C35D43">
        <w:t xml:space="preserve"> </w:t>
      </w:r>
      <w:r w:rsidR="001B3D01">
        <w:t>wh</w:t>
      </w:r>
      <w:r w:rsidR="000F49CD">
        <w:t>o</w:t>
      </w:r>
      <w:r w:rsidR="00C35D43" w:rsidRPr="00C35D43">
        <w:t xml:space="preserve"> entered into the </w:t>
      </w:r>
      <w:r w:rsidR="001F0A4E">
        <w:t>r</w:t>
      </w:r>
      <w:r w:rsidR="00C35D43" w:rsidRPr="00C35D43">
        <w:t xml:space="preserve">eportable </w:t>
      </w:r>
      <w:r w:rsidR="001F0A4E">
        <w:t>t</w:t>
      </w:r>
      <w:r w:rsidR="00C35D43" w:rsidRPr="00C35D43">
        <w:t>ransaction as joint or joint and several counterparties, the entity is one of those joint or joint and several entities.</w:t>
      </w:r>
    </w:p>
    <w:p w14:paraId="2F312050" w14:textId="58577122" w:rsidR="00082D07" w:rsidRDefault="00082D07" w:rsidP="003634C4">
      <w:pPr>
        <w:pStyle w:val="BodyText"/>
        <w:ind w:left="2268"/>
      </w:pPr>
      <w:r>
        <w:t>We have decided to describe a renewed LEI as a ‘current’ LEI.</w:t>
      </w:r>
      <w:r w:rsidR="006E0121">
        <w:t xml:space="preserve"> The relevant LEI status in the GLEIS is ‘issued’</w:t>
      </w:r>
      <w:r w:rsidR="00404CA5">
        <w:t>—</w:t>
      </w:r>
      <w:r w:rsidR="006E0121">
        <w:t>as distinct from, for example, ‘lapsed’</w:t>
      </w:r>
      <w:r w:rsidR="00404CA5">
        <w:t>—</w:t>
      </w:r>
      <w:r w:rsidR="006E0121">
        <w:t xml:space="preserve">and there is not a specific status in the GLEIS of ‘renewed’. We think that </w:t>
      </w:r>
      <w:r w:rsidR="00400719">
        <w:t>the ordinary meaning of ‘current’ is a more appropriate generalised description of the relevant LEI status than referencing a specific GLEIS term.</w:t>
      </w:r>
    </w:p>
    <w:p w14:paraId="71B1F36B" w14:textId="20E5C22E" w:rsidR="00C35D43" w:rsidRDefault="00C35D43" w:rsidP="003634C4">
      <w:pPr>
        <w:pStyle w:val="BodyText"/>
        <w:ind w:left="2268"/>
      </w:pPr>
      <w:r>
        <w:t xml:space="preserve">In </w:t>
      </w:r>
      <w:r w:rsidR="000F49CD">
        <w:t xml:space="preserve">draft </w:t>
      </w:r>
      <w:r w:rsidRPr="00C61F09">
        <w:t>Table S1.1(1)</w:t>
      </w:r>
      <w:r w:rsidR="007F6F43" w:rsidRPr="00C61F09">
        <w:t xml:space="preserve"> ‘</w:t>
      </w:r>
      <w:r w:rsidRPr="00C61F09">
        <w:t>Common data</w:t>
      </w:r>
      <w:r w:rsidR="000F49CD" w:rsidRPr="00C61F09">
        <w:t>’</w:t>
      </w:r>
      <w:r w:rsidRPr="00C61F09">
        <w:t>,</w:t>
      </w:r>
      <w:r w:rsidRPr="00C37300">
        <w:t xml:space="preserve"> </w:t>
      </w:r>
      <w:r w:rsidR="00575777" w:rsidRPr="00C37300">
        <w:t xml:space="preserve">only </w:t>
      </w:r>
      <w:r w:rsidRPr="001E4956">
        <w:t>a</w:t>
      </w:r>
      <w:r>
        <w:t xml:space="preserve">n LEI </w:t>
      </w:r>
      <w:r w:rsidR="00575777">
        <w:t xml:space="preserve">may be reported and </w:t>
      </w:r>
      <w:r w:rsidR="0048055F">
        <w:t xml:space="preserve">it </w:t>
      </w:r>
      <w:r>
        <w:t>must be a renewed LEI for:</w:t>
      </w:r>
    </w:p>
    <w:p w14:paraId="3DB71283" w14:textId="462FC599" w:rsidR="00C35D43" w:rsidRDefault="001F0A4E" w:rsidP="00C443A0">
      <w:pPr>
        <w:pStyle w:val="subparaa"/>
        <w:numPr>
          <w:ilvl w:val="1"/>
          <w:numId w:val="17"/>
        </w:numPr>
      </w:pPr>
      <w:r>
        <w:t>a c</w:t>
      </w:r>
      <w:r w:rsidR="00575777">
        <w:t>ounterparty 1;</w:t>
      </w:r>
    </w:p>
    <w:p w14:paraId="4D7C5781" w14:textId="0A31E082" w:rsidR="00575777" w:rsidRDefault="001F0A4E" w:rsidP="00C443A0">
      <w:pPr>
        <w:pStyle w:val="subparaa"/>
        <w:numPr>
          <w:ilvl w:val="1"/>
          <w:numId w:val="17"/>
        </w:numPr>
      </w:pPr>
      <w:r>
        <w:t xml:space="preserve">a </w:t>
      </w:r>
      <w:r w:rsidR="00C32B28">
        <w:t>r</w:t>
      </w:r>
      <w:r w:rsidR="00575777">
        <w:t>eport submitting entity;</w:t>
      </w:r>
    </w:p>
    <w:p w14:paraId="6E0B7B65" w14:textId="367E851D" w:rsidR="00575777" w:rsidRDefault="001F0A4E" w:rsidP="00C443A0">
      <w:pPr>
        <w:pStyle w:val="subparaa"/>
        <w:numPr>
          <w:ilvl w:val="1"/>
          <w:numId w:val="17"/>
        </w:numPr>
      </w:pPr>
      <w:r>
        <w:t xml:space="preserve">a </w:t>
      </w:r>
      <w:r w:rsidR="00C32B28">
        <w:t>b</w:t>
      </w:r>
      <w:r w:rsidR="00575777">
        <w:t>roker;</w:t>
      </w:r>
    </w:p>
    <w:p w14:paraId="72C7A5F9" w14:textId="2EC5719E" w:rsidR="00575777" w:rsidRDefault="001F0A4E" w:rsidP="00C443A0">
      <w:pPr>
        <w:pStyle w:val="subparaa"/>
        <w:numPr>
          <w:ilvl w:val="1"/>
          <w:numId w:val="17"/>
        </w:numPr>
      </w:pPr>
      <w:r>
        <w:t xml:space="preserve">a </w:t>
      </w:r>
      <w:r w:rsidR="00C32B28">
        <w:t>c</w:t>
      </w:r>
      <w:r w:rsidR="00575777">
        <w:t>entral counterparty; and</w:t>
      </w:r>
    </w:p>
    <w:p w14:paraId="1AA950F0" w14:textId="67A48A32" w:rsidR="00575777" w:rsidRDefault="001F0A4E" w:rsidP="00C443A0">
      <w:pPr>
        <w:pStyle w:val="subparaa"/>
        <w:numPr>
          <w:ilvl w:val="1"/>
          <w:numId w:val="17"/>
        </w:numPr>
      </w:pPr>
      <w:r>
        <w:t xml:space="preserve">a </w:t>
      </w:r>
      <w:r w:rsidR="00C32B28">
        <w:t>c</w:t>
      </w:r>
      <w:r w:rsidR="00575777">
        <w:t>learing member.</w:t>
      </w:r>
    </w:p>
    <w:p w14:paraId="6B52D746" w14:textId="77777777" w:rsidR="00BE7905" w:rsidRPr="00BE7905" w:rsidRDefault="00BE7905" w:rsidP="00BE7905">
      <w:pPr>
        <w:pStyle w:val="Bodytextplain"/>
        <w:keepNext/>
        <w:spacing w:before="0" w:line="240" w:lineRule="auto"/>
        <w:rPr>
          <w:sz w:val="4"/>
          <w:szCs w:val="4"/>
        </w:rPr>
      </w:pPr>
    </w:p>
    <w:p w14:paraId="18515E1B" w14:textId="77113CB5" w:rsidR="00575777" w:rsidRPr="001215D8" w:rsidRDefault="00575777" w:rsidP="00BE7905">
      <w:pPr>
        <w:pStyle w:val="BodyText"/>
        <w:keepNext/>
        <w:spacing w:before="0" w:line="290" w:lineRule="atLeast"/>
        <w:ind w:left="2268"/>
      </w:pPr>
      <w:r>
        <w:t xml:space="preserve">In </w:t>
      </w:r>
      <w:r w:rsidR="001215D8" w:rsidRPr="00C61F09">
        <w:t xml:space="preserve">draft </w:t>
      </w:r>
      <w:r w:rsidRPr="00C61F09">
        <w:t xml:space="preserve">Table S1.1(1) </w:t>
      </w:r>
      <w:r w:rsidR="007F6F43" w:rsidRPr="00C61F09">
        <w:t>‘</w:t>
      </w:r>
      <w:r w:rsidRPr="00C61F09">
        <w:t>Common data</w:t>
      </w:r>
      <w:r w:rsidR="001215D8" w:rsidRPr="00C61F09">
        <w:t>’</w:t>
      </w:r>
      <w:r w:rsidRPr="00C61F09">
        <w:t>, whe</w:t>
      </w:r>
      <w:r w:rsidR="001215D8" w:rsidRPr="00C61F09">
        <w:t>n</w:t>
      </w:r>
      <w:r w:rsidRPr="001215D8">
        <w:t xml:space="preserve"> an LEI is reported, it must be a renewed LEI for:</w:t>
      </w:r>
    </w:p>
    <w:p w14:paraId="5F14BEBB" w14:textId="4088CD9F" w:rsidR="00575777" w:rsidRPr="001E4956" w:rsidRDefault="001215D8" w:rsidP="00C443A0">
      <w:pPr>
        <w:pStyle w:val="subparaa"/>
        <w:numPr>
          <w:ilvl w:val="1"/>
          <w:numId w:val="17"/>
        </w:numPr>
        <w:spacing w:line="290" w:lineRule="atLeast"/>
      </w:pPr>
      <w:r>
        <w:t>a</w:t>
      </w:r>
      <w:r w:rsidR="001F0A4E" w:rsidRPr="00C37300">
        <w:t xml:space="preserve"> c</w:t>
      </w:r>
      <w:r w:rsidR="00575777" w:rsidRPr="001215D8">
        <w:t xml:space="preserve">ounterparty 2 that is an Australian entity or </w:t>
      </w:r>
      <w:r>
        <w:t xml:space="preserve">an </w:t>
      </w:r>
      <w:r w:rsidR="00575777" w:rsidRPr="00C37300">
        <w:t>ASIC reporting entity; and</w:t>
      </w:r>
    </w:p>
    <w:p w14:paraId="33BE2161" w14:textId="5B45240D" w:rsidR="00575777" w:rsidRDefault="001215D8" w:rsidP="00C443A0">
      <w:pPr>
        <w:pStyle w:val="subparaa"/>
        <w:numPr>
          <w:ilvl w:val="1"/>
          <w:numId w:val="17"/>
        </w:numPr>
        <w:spacing w:line="290" w:lineRule="atLeast"/>
      </w:pPr>
      <w:r>
        <w:t>a</w:t>
      </w:r>
      <w:r w:rsidR="001F0A4E" w:rsidRPr="00C37300">
        <w:t xml:space="preserve"> b</w:t>
      </w:r>
      <w:r w:rsidR="00575777" w:rsidRPr="001215D8">
        <w:t>eneficiary 1 that is an Australian</w:t>
      </w:r>
      <w:r w:rsidR="00575777">
        <w:t xml:space="preserve"> entity or </w:t>
      </w:r>
      <w:r>
        <w:t xml:space="preserve">an </w:t>
      </w:r>
      <w:r w:rsidR="00575777">
        <w:t>ASIC reporting entity.</w:t>
      </w:r>
    </w:p>
    <w:p w14:paraId="3A223609" w14:textId="362B7D82" w:rsidR="005F0D25" w:rsidRDefault="005F0D25" w:rsidP="00CA4FE4">
      <w:pPr>
        <w:pStyle w:val="BodyText"/>
        <w:spacing w:line="290" w:lineRule="atLeast"/>
        <w:ind w:left="2268"/>
      </w:pPr>
      <w:r>
        <w:t xml:space="preserve">We think that reporting entities will not have material difficulties in determining whether </w:t>
      </w:r>
      <w:r w:rsidR="001F0A4E">
        <w:t>c</w:t>
      </w:r>
      <w:r>
        <w:t xml:space="preserve">ounterparty 2 or </w:t>
      </w:r>
      <w:r w:rsidR="001F0A4E">
        <w:t>b</w:t>
      </w:r>
      <w:r>
        <w:t>eneficiary 1 is an Australian entity or an ASIC reporting entity</w:t>
      </w:r>
      <w:r w:rsidR="001F0A4E">
        <w:t>,</w:t>
      </w:r>
      <w:r>
        <w:t xml:space="preserve"> and therefore whether the requirement for a renewed LEI applies.</w:t>
      </w:r>
    </w:p>
    <w:p w14:paraId="613CF915" w14:textId="3C427BCB" w:rsidR="00FE7335" w:rsidRDefault="00FE7335" w:rsidP="00CA4FE4">
      <w:pPr>
        <w:pStyle w:val="BodyText"/>
        <w:spacing w:line="290" w:lineRule="atLeast"/>
        <w:ind w:left="2268"/>
      </w:pPr>
      <w:bookmarkStart w:id="141" w:name="_ASICRef622"/>
      <w:r>
        <w:t xml:space="preserve">A </w:t>
      </w:r>
      <w:r w:rsidR="001F0A4E">
        <w:t>c</w:t>
      </w:r>
      <w:r>
        <w:t xml:space="preserve">ounterparty 2 or </w:t>
      </w:r>
      <w:r w:rsidR="001F0A4E">
        <w:t>b</w:t>
      </w:r>
      <w:r>
        <w:t xml:space="preserve">eneficiary 1 that is not an Australian entity or ASIC reporting entity would be a </w:t>
      </w:r>
      <w:r w:rsidR="006A145C">
        <w:t xml:space="preserve">foreign entity, other than a foreign entity that is an ASIC reporting entity. Such a foreign entity may or may not have a </w:t>
      </w:r>
      <w:r w:rsidR="005F0D25">
        <w:t xml:space="preserve">requirement to </w:t>
      </w:r>
      <w:r w:rsidR="006A145C">
        <w:t xml:space="preserve">renew </w:t>
      </w:r>
      <w:r w:rsidR="001F0A4E">
        <w:t>its</w:t>
      </w:r>
      <w:r w:rsidR="005F0D25">
        <w:t xml:space="preserve"> </w:t>
      </w:r>
      <w:r w:rsidR="006A145C">
        <w:t xml:space="preserve">LEI </w:t>
      </w:r>
      <w:r w:rsidR="005F0D25">
        <w:t xml:space="preserve">under regulatory provisions </w:t>
      </w:r>
      <w:r w:rsidR="006A145C">
        <w:t>in its home jurisdiction</w:t>
      </w:r>
      <w:r w:rsidR="00EE7C6D">
        <w:t>. T</w:t>
      </w:r>
      <w:r w:rsidR="006A145C">
        <w:t xml:space="preserve">he </w:t>
      </w:r>
      <w:r w:rsidR="00EE7C6D">
        <w:t xml:space="preserve">draft </w:t>
      </w:r>
      <w:r w:rsidR="006A145C">
        <w:t>ASIC Rules requirement is to report an LEI</w:t>
      </w:r>
      <w:r w:rsidR="00571F44">
        <w:t xml:space="preserve"> that need not be a renewed LEI.</w:t>
      </w:r>
      <w:r w:rsidR="006A145C">
        <w:t xml:space="preserve"> This aligns with ESMA’s rules for foreign entities </w:t>
      </w:r>
      <w:r w:rsidR="001F0A4E">
        <w:t>that</w:t>
      </w:r>
      <w:r w:rsidR="006A145C">
        <w:t xml:space="preserve"> are not ESMA reporting entities.</w:t>
      </w:r>
      <w:bookmarkEnd w:id="141"/>
    </w:p>
    <w:p w14:paraId="007281EC" w14:textId="2FF24E4A" w:rsidR="005F0D25" w:rsidRDefault="005F0D25" w:rsidP="00CA4FE4">
      <w:pPr>
        <w:pStyle w:val="BodyText"/>
        <w:spacing w:line="290" w:lineRule="atLeast"/>
        <w:ind w:left="2268"/>
      </w:pPr>
      <w:r>
        <w:t xml:space="preserve">A </w:t>
      </w:r>
      <w:r w:rsidR="00D87783">
        <w:t xml:space="preserve">foreign </w:t>
      </w:r>
      <w:r w:rsidR="001F0A4E">
        <w:t>c</w:t>
      </w:r>
      <w:r>
        <w:t xml:space="preserve">ounterparty 2 in a particular transaction may be a CCP or </w:t>
      </w:r>
      <w:r w:rsidR="00D87783">
        <w:t xml:space="preserve">a </w:t>
      </w:r>
      <w:r w:rsidR="001F0A4E">
        <w:t>c</w:t>
      </w:r>
      <w:r>
        <w:t>learing member, actin</w:t>
      </w:r>
      <w:r w:rsidR="00D87783">
        <w:t>g</w:t>
      </w:r>
      <w:r>
        <w:t xml:space="preserve"> in </w:t>
      </w:r>
      <w:r w:rsidR="007111CA">
        <w:t>its</w:t>
      </w:r>
      <w:r>
        <w:t xml:space="preserve"> respective capacit</w:t>
      </w:r>
      <w:r w:rsidR="007111CA">
        <w:t>y</w:t>
      </w:r>
      <w:r>
        <w:t xml:space="preserve"> as a CCP or </w:t>
      </w:r>
      <w:r w:rsidR="001F0A4E">
        <w:t>c</w:t>
      </w:r>
      <w:r>
        <w:t>learing member</w:t>
      </w:r>
      <w:r w:rsidR="00D87783">
        <w:t xml:space="preserve"> for the transaction</w:t>
      </w:r>
      <w:r w:rsidR="00203193">
        <w:t>, and who is not an ASIC reporting entity</w:t>
      </w:r>
      <w:r>
        <w:t xml:space="preserve">. </w:t>
      </w:r>
      <w:r w:rsidR="00D87783">
        <w:t xml:space="preserve">In this circumstance, the entity identifier of the CCP </w:t>
      </w:r>
      <w:r w:rsidR="00D87783" w:rsidRPr="00C37300">
        <w:t xml:space="preserve">and/or </w:t>
      </w:r>
      <w:r w:rsidR="001F0A4E" w:rsidRPr="00C37300">
        <w:t>c</w:t>
      </w:r>
      <w:r w:rsidR="00D87783" w:rsidRPr="00E45852">
        <w:t xml:space="preserve">learing member will also be reported </w:t>
      </w:r>
      <w:r w:rsidR="00571F44" w:rsidRPr="00E45852">
        <w:t>for</w:t>
      </w:r>
      <w:r w:rsidR="00D87783" w:rsidRPr="00E45852">
        <w:t xml:space="preserve"> the data element</w:t>
      </w:r>
      <w:r w:rsidR="007111CA" w:rsidRPr="00E45852">
        <w:t>s</w:t>
      </w:r>
      <w:r w:rsidR="00D87783" w:rsidRPr="00E45852">
        <w:t xml:space="preserve"> of </w:t>
      </w:r>
      <w:r w:rsidR="00E45852">
        <w:t>CCP</w:t>
      </w:r>
      <w:r w:rsidR="00D87783" w:rsidRPr="00E45852">
        <w:t xml:space="preserve"> and </w:t>
      </w:r>
      <w:r w:rsidR="001F0A4E" w:rsidRPr="00E45852">
        <w:t>c</w:t>
      </w:r>
      <w:r w:rsidR="00D87783" w:rsidRPr="00E45852">
        <w:t>lea</w:t>
      </w:r>
      <w:r w:rsidR="00D87783">
        <w:t xml:space="preserve">ring member respectively. As the entity identifier requirement for these data elements is a renewed LEI, it follows that the entity identifier requirement for </w:t>
      </w:r>
      <w:r w:rsidR="001F0A4E">
        <w:t>c</w:t>
      </w:r>
      <w:r w:rsidR="00D87783">
        <w:t xml:space="preserve">ounterparty 2 as the CCP or </w:t>
      </w:r>
      <w:r w:rsidR="001F0A4E">
        <w:t>c</w:t>
      </w:r>
      <w:r w:rsidR="00D87783">
        <w:t>learing member for the transaction is</w:t>
      </w:r>
      <w:r w:rsidR="00571F44">
        <w:t xml:space="preserve">, in </w:t>
      </w:r>
      <w:r w:rsidR="00203193">
        <w:t>effect</w:t>
      </w:r>
      <w:r w:rsidR="00571F44">
        <w:t>,</w:t>
      </w:r>
      <w:r w:rsidR="00D87783">
        <w:t xml:space="preserve"> the same renewed LEI.</w:t>
      </w:r>
    </w:p>
    <w:p w14:paraId="7A062F35" w14:textId="372C6931" w:rsidR="00D87783" w:rsidRDefault="00D87783" w:rsidP="00CA4FE4">
      <w:pPr>
        <w:pStyle w:val="BodyText"/>
        <w:spacing w:line="290" w:lineRule="atLeast"/>
        <w:ind w:left="2268"/>
      </w:pPr>
      <w:r>
        <w:t xml:space="preserve">Although probably uncommon and unlikely, it is possible that a foreign CCP or </w:t>
      </w:r>
      <w:r w:rsidR="001F0A4E">
        <w:t>c</w:t>
      </w:r>
      <w:r>
        <w:t xml:space="preserve">learing member is </w:t>
      </w:r>
      <w:r w:rsidR="001F0A4E">
        <w:t>c</w:t>
      </w:r>
      <w:r>
        <w:t>ounterparty 2 in a transaction</w:t>
      </w:r>
      <w:r w:rsidR="001F0A4E">
        <w:t>,</w:t>
      </w:r>
      <w:r>
        <w:t xml:space="preserve"> but </w:t>
      </w:r>
      <w:r w:rsidR="00D00CEA">
        <w:t xml:space="preserve">it </w:t>
      </w:r>
      <w:r>
        <w:t xml:space="preserve">is not acting in its </w:t>
      </w:r>
      <w:r w:rsidR="007111CA">
        <w:t xml:space="preserve">capacity as a CCP or </w:t>
      </w:r>
      <w:r w:rsidR="001F0A4E">
        <w:t>c</w:t>
      </w:r>
      <w:r w:rsidR="007111CA">
        <w:t>learing member for the transaction</w:t>
      </w:r>
      <w:r w:rsidR="00D00CEA">
        <w:t>,</w:t>
      </w:r>
      <w:r w:rsidR="007111CA">
        <w:t xml:space="preserve"> and its entity identifier is not also reported as another data element of the transaction. In this circumstance, </w:t>
      </w:r>
      <w:r w:rsidR="00203193">
        <w:t>the LEI that is reported need not be a renewed LEI.</w:t>
      </w:r>
    </w:p>
    <w:p w14:paraId="25C36577" w14:textId="110627A3" w:rsidR="00203193" w:rsidRDefault="00203193" w:rsidP="00CA4FE4">
      <w:pPr>
        <w:pStyle w:val="BodyText"/>
        <w:spacing w:line="290" w:lineRule="atLeast"/>
        <w:ind w:left="2268"/>
      </w:pPr>
      <w:bookmarkStart w:id="142" w:name="_ASICRef647"/>
      <w:r>
        <w:t xml:space="preserve">Similarly, and also uncommonly, a foreign </w:t>
      </w:r>
      <w:r w:rsidR="002E7034">
        <w:t>c</w:t>
      </w:r>
      <w:r>
        <w:t xml:space="preserve">ounterparty 2 may be a </w:t>
      </w:r>
      <w:r w:rsidR="002E7034">
        <w:t>r</w:t>
      </w:r>
      <w:r>
        <w:t xml:space="preserve">eport submitting entity or a </w:t>
      </w:r>
      <w:r w:rsidR="00127A86">
        <w:t xml:space="preserve">foreign </w:t>
      </w:r>
      <w:r w:rsidR="002E7034">
        <w:t>b</w:t>
      </w:r>
      <w:r>
        <w:t xml:space="preserve">eneficiary 1 may be a CCP, </w:t>
      </w:r>
      <w:r w:rsidR="002E7034">
        <w:t>a c</w:t>
      </w:r>
      <w:r>
        <w:t>learing member</w:t>
      </w:r>
      <w:r w:rsidR="00127A86">
        <w:t xml:space="preserve">, </w:t>
      </w:r>
      <w:r w:rsidR="002E7034">
        <w:t>a r</w:t>
      </w:r>
      <w:r w:rsidR="00127A86">
        <w:t xml:space="preserve">eport submitting entity or </w:t>
      </w:r>
      <w:r w:rsidR="002E7034">
        <w:t>a b</w:t>
      </w:r>
      <w:r w:rsidR="00127A86">
        <w:t>roker</w:t>
      </w:r>
      <w:r w:rsidR="002E7034">
        <w:t>,</w:t>
      </w:r>
      <w:r w:rsidR="00127A86">
        <w:t xml:space="preserve"> and also not an ASIC reporting entity. In such circumstances, if the entity’s identifier is reported for a data element other than </w:t>
      </w:r>
      <w:r w:rsidR="002E7034">
        <w:t>c</w:t>
      </w:r>
      <w:r w:rsidR="00127A86">
        <w:t xml:space="preserve">ounterparty 2 or </w:t>
      </w:r>
      <w:r w:rsidR="002E7034">
        <w:t>b</w:t>
      </w:r>
      <w:r w:rsidR="00127A86">
        <w:t>eneficiary 1, its identifier will be, in effect, a renewed LEI</w:t>
      </w:r>
      <w:r w:rsidR="00D00CEA">
        <w:t>,</w:t>
      </w:r>
      <w:r w:rsidR="00127A86">
        <w:t xml:space="preserve"> but otherwise need not be a renewed LEI</w:t>
      </w:r>
      <w:r w:rsidR="002E7034">
        <w:t>. However,</w:t>
      </w:r>
      <w:r w:rsidR="00D971EF">
        <w:t xml:space="preserve"> entities acting in these roles in other transactions, reported in this or other jurisdictions, will likely </w:t>
      </w:r>
      <w:r w:rsidR="007910C0">
        <w:t xml:space="preserve">ordinarily </w:t>
      </w:r>
      <w:r w:rsidR="00D971EF">
        <w:t>have a renewed LEI</w:t>
      </w:r>
      <w:r w:rsidR="00127A86">
        <w:t>.</w:t>
      </w:r>
      <w:bookmarkEnd w:id="142"/>
    </w:p>
    <w:p w14:paraId="30457418" w14:textId="36B7DA88" w:rsidR="00575777" w:rsidRPr="00C35D43" w:rsidRDefault="00127A86" w:rsidP="00CA4FE4">
      <w:pPr>
        <w:pStyle w:val="BodyText"/>
        <w:spacing w:line="290" w:lineRule="atLeast"/>
        <w:ind w:left="2268"/>
      </w:pPr>
      <w:r w:rsidRPr="00C37300">
        <w:t xml:space="preserve">Finally, </w:t>
      </w:r>
      <w:r w:rsidR="00575777" w:rsidRPr="00C37300">
        <w:t xml:space="preserve">in </w:t>
      </w:r>
      <w:r w:rsidR="00D00CEA" w:rsidRPr="00C61F09">
        <w:t xml:space="preserve">draft </w:t>
      </w:r>
      <w:r w:rsidR="00575777" w:rsidRPr="00C61F09">
        <w:t xml:space="preserve">Table S1.1(5) </w:t>
      </w:r>
      <w:r w:rsidR="007F6F43" w:rsidRPr="00C61F09">
        <w:t>‘</w:t>
      </w:r>
      <w:r w:rsidR="00575777" w:rsidRPr="00C61F09">
        <w:t>Interest rate derivative data</w:t>
      </w:r>
      <w:r w:rsidR="00D00CEA" w:rsidRPr="00C61F09">
        <w:t>’</w:t>
      </w:r>
      <w:r w:rsidR="00FE7335" w:rsidRPr="00C61F09">
        <w:t>, whe</w:t>
      </w:r>
      <w:r w:rsidR="002E7034" w:rsidRPr="00C61F09">
        <w:t>n</w:t>
      </w:r>
      <w:r w:rsidR="00FE7335" w:rsidRPr="00C61F09">
        <w:t xml:space="preserve"> an LEI</w:t>
      </w:r>
      <w:r w:rsidR="00FE7335" w:rsidRPr="00D00CEA">
        <w:t xml:space="preserve"> is</w:t>
      </w:r>
      <w:r w:rsidR="00FE7335">
        <w:t xml:space="preserve"> reported for </w:t>
      </w:r>
      <w:r w:rsidR="002E7034">
        <w:t>p</w:t>
      </w:r>
      <w:r w:rsidR="00FE7335">
        <w:t>ayer (fixed rate</w:t>
      </w:r>
      <w:r w:rsidR="00753063">
        <w:t xml:space="preserve"> leg 1</w:t>
      </w:r>
      <w:r w:rsidR="00FE7335">
        <w:t xml:space="preserve">), </w:t>
      </w:r>
      <w:r w:rsidR="00753063">
        <w:t xml:space="preserve">payer (fixed rate leg 2), </w:t>
      </w:r>
      <w:r w:rsidR="002E7034">
        <w:t>p</w:t>
      </w:r>
      <w:r w:rsidR="00FE7335">
        <w:t xml:space="preserve">ayer (floating rate leg 1) or </w:t>
      </w:r>
      <w:r w:rsidR="002E7034">
        <w:t>p</w:t>
      </w:r>
      <w:r w:rsidR="00FE7335">
        <w:t>ayer (floating rate leg 2), it must be a renewed LEI for entities that are Australian entities or ASIC reporting entities.</w:t>
      </w:r>
    </w:p>
    <w:p w14:paraId="4CC1FBA0" w14:textId="58C0AA37" w:rsidR="00F615BC" w:rsidRPr="002A0A68" w:rsidRDefault="00F615BC" w:rsidP="007F6F43">
      <w:pPr>
        <w:pStyle w:val="Heading4"/>
      </w:pPr>
      <w:r>
        <w:t>Entity identifier provisio</w:t>
      </w:r>
      <w:r w:rsidRPr="00C37300">
        <w:t xml:space="preserve">ns in the </w:t>
      </w:r>
      <w:r w:rsidR="002A0A68" w:rsidRPr="00C37300">
        <w:t>d</w:t>
      </w:r>
      <w:r w:rsidR="002A0A68" w:rsidRPr="003C63A1">
        <w:t xml:space="preserve">raft </w:t>
      </w:r>
      <w:r w:rsidR="00893720">
        <w:t>amended ASIC Rules</w:t>
      </w:r>
    </w:p>
    <w:p w14:paraId="3B7AEA4C" w14:textId="37A3CE36" w:rsidR="006A145C" w:rsidRPr="002A0A68" w:rsidRDefault="00C35D43" w:rsidP="00AF73E5">
      <w:pPr>
        <w:pStyle w:val="BodyText"/>
        <w:ind w:left="2268"/>
      </w:pPr>
      <w:r w:rsidRPr="002A0A68">
        <w:t>The entity identif</w:t>
      </w:r>
      <w:r w:rsidR="006A145C" w:rsidRPr="002A0A68">
        <w:t>i</w:t>
      </w:r>
      <w:r w:rsidRPr="002A0A68">
        <w:t>er</w:t>
      </w:r>
      <w:r w:rsidR="006A145C" w:rsidRPr="002A0A68">
        <w:t xml:space="preserve"> provisions are </w:t>
      </w:r>
      <w:r w:rsidR="007B57FA" w:rsidRPr="002A0A68">
        <w:t xml:space="preserve">only </w:t>
      </w:r>
      <w:r w:rsidR="006A145C" w:rsidRPr="002A0A68">
        <w:t xml:space="preserve">changed in the </w:t>
      </w:r>
      <w:r w:rsidR="002A0A68">
        <w:t>d</w:t>
      </w:r>
      <w:r w:rsidR="002A0A68" w:rsidRPr="003C63A1">
        <w:t xml:space="preserve">raft </w:t>
      </w:r>
      <w:r w:rsidR="00893720">
        <w:t>amended ASIC Rules</w:t>
      </w:r>
      <w:r w:rsidR="002A0A68" w:rsidRPr="003C63A1">
        <w:t xml:space="preserve"> (effective 1 April 2024)</w:t>
      </w:r>
      <w:r w:rsidR="007B57FA" w:rsidRPr="002A0A68">
        <w:t xml:space="preserve"> </w:t>
      </w:r>
      <w:r w:rsidR="002B2D05" w:rsidRPr="002A0A68">
        <w:t>as appropriate for the addition and deletion of data elements</w:t>
      </w:r>
      <w:r w:rsidR="006A145C" w:rsidRPr="002A0A68">
        <w:t>.</w:t>
      </w:r>
    </w:p>
    <w:p w14:paraId="27D8B308" w14:textId="46475FE8" w:rsidR="002B2D05" w:rsidRPr="00C37300" w:rsidRDefault="002B2D05" w:rsidP="00AF73E5">
      <w:pPr>
        <w:pStyle w:val="BodyText"/>
        <w:ind w:left="2268"/>
      </w:pPr>
      <w:r w:rsidRPr="002A0A68">
        <w:t xml:space="preserve">In </w:t>
      </w:r>
      <w:r w:rsidR="002A0A68" w:rsidRPr="00C61F09">
        <w:t xml:space="preserve">draft </w:t>
      </w:r>
      <w:r w:rsidRPr="00C61F09">
        <w:t xml:space="preserve">Table S1.1(1) </w:t>
      </w:r>
      <w:r w:rsidR="007F6F43" w:rsidRPr="00C61F09">
        <w:t>‘</w:t>
      </w:r>
      <w:r w:rsidRPr="00C61F09">
        <w:t>Transaction information</w:t>
      </w:r>
      <w:r w:rsidR="002A0A68" w:rsidRPr="00C61F09">
        <w:t>’</w:t>
      </w:r>
      <w:r w:rsidRPr="00C61F09">
        <w:t xml:space="preserve">, only an LEI may be reported and </w:t>
      </w:r>
      <w:r w:rsidR="003626D5" w:rsidRPr="00C61F09">
        <w:t xml:space="preserve">it </w:t>
      </w:r>
      <w:r w:rsidRPr="00C61F09">
        <w:t>must be a renewed LEI for the added data</w:t>
      </w:r>
      <w:r w:rsidRPr="00C37300">
        <w:t xml:space="preserve"> elements:</w:t>
      </w:r>
    </w:p>
    <w:p w14:paraId="38EFFBC0" w14:textId="5E314F52" w:rsidR="002B2D05" w:rsidRPr="002A0A68" w:rsidRDefault="002E7034" w:rsidP="00C443A0">
      <w:pPr>
        <w:pStyle w:val="subparaa"/>
        <w:numPr>
          <w:ilvl w:val="1"/>
          <w:numId w:val="17"/>
        </w:numPr>
      </w:pPr>
      <w:r w:rsidRPr="001E4956">
        <w:t>r</w:t>
      </w:r>
      <w:r w:rsidR="00513F84" w:rsidRPr="002A0A68">
        <w:t xml:space="preserve">eporting </w:t>
      </w:r>
      <w:r w:rsidRPr="002A0A68">
        <w:t>e</w:t>
      </w:r>
      <w:r w:rsidR="00513F84" w:rsidRPr="002A0A68">
        <w:t>ntity</w:t>
      </w:r>
      <w:r w:rsidR="002B2D05" w:rsidRPr="002A0A68">
        <w:t>; and</w:t>
      </w:r>
    </w:p>
    <w:p w14:paraId="3D1C4F49" w14:textId="7D06BEB3" w:rsidR="002B2D05" w:rsidRPr="002A0A68" w:rsidRDefault="002E7034" w:rsidP="00C443A0">
      <w:pPr>
        <w:pStyle w:val="subparaa"/>
        <w:numPr>
          <w:ilvl w:val="1"/>
          <w:numId w:val="17"/>
        </w:numPr>
      </w:pPr>
      <w:r w:rsidRPr="002A0A68">
        <w:t>e</w:t>
      </w:r>
      <w:r w:rsidR="00513F84" w:rsidRPr="002A0A68">
        <w:t xml:space="preserve">xecution agent of </w:t>
      </w:r>
      <w:r w:rsidRPr="002A0A68">
        <w:t>c</w:t>
      </w:r>
      <w:r w:rsidR="00513F84" w:rsidRPr="002A0A68">
        <w:t>ounterparty 1</w:t>
      </w:r>
      <w:r w:rsidR="002B2D05" w:rsidRPr="002A0A68">
        <w:t>.</w:t>
      </w:r>
    </w:p>
    <w:p w14:paraId="2FEA14BA" w14:textId="3B373294" w:rsidR="002B2D05" w:rsidRPr="00C37300" w:rsidRDefault="002B2D05" w:rsidP="00AF73E5">
      <w:pPr>
        <w:pStyle w:val="BodyText"/>
        <w:ind w:left="2268"/>
      </w:pPr>
      <w:r w:rsidRPr="002A0A68">
        <w:t xml:space="preserve">In </w:t>
      </w:r>
      <w:r w:rsidR="002A0A68">
        <w:t xml:space="preserve">draft </w:t>
      </w:r>
      <w:r w:rsidRPr="00C37300">
        <w:t xml:space="preserve">Table S1.1(1) </w:t>
      </w:r>
      <w:r w:rsidR="003A219E">
        <w:t>‘</w:t>
      </w:r>
      <w:r w:rsidRPr="00C37300">
        <w:t>Transaction information</w:t>
      </w:r>
      <w:r w:rsidR="002A0A68">
        <w:t>’</w:t>
      </w:r>
      <w:r w:rsidRPr="00C37300">
        <w:t xml:space="preserve">, </w:t>
      </w:r>
      <w:r w:rsidR="00C4661C" w:rsidRPr="00C37300">
        <w:t xml:space="preserve">if the entity has an LEI, that </w:t>
      </w:r>
      <w:r w:rsidRPr="00C37300">
        <w:t xml:space="preserve">LEI </w:t>
      </w:r>
      <w:r w:rsidR="00C4661C" w:rsidRPr="00C37300">
        <w:t xml:space="preserve">must be </w:t>
      </w:r>
      <w:r w:rsidRPr="001E4956">
        <w:t xml:space="preserve">reported </w:t>
      </w:r>
      <w:r w:rsidR="00C4661C" w:rsidRPr="001E4956">
        <w:t>f</w:t>
      </w:r>
      <w:r w:rsidRPr="001E4956">
        <w:t xml:space="preserve">or the added data </w:t>
      </w:r>
      <w:r w:rsidRPr="009C4EA6">
        <w:t>elements</w:t>
      </w:r>
      <w:r w:rsidRPr="00C37300">
        <w:t>:</w:t>
      </w:r>
    </w:p>
    <w:p w14:paraId="7996CEAA" w14:textId="06CEC587" w:rsidR="00C4661C" w:rsidRPr="002A0A68" w:rsidRDefault="002E7034" w:rsidP="00C443A0">
      <w:pPr>
        <w:pStyle w:val="subparaa"/>
        <w:numPr>
          <w:ilvl w:val="1"/>
          <w:numId w:val="17"/>
        </w:numPr>
      </w:pPr>
      <w:r w:rsidRPr="001E4956">
        <w:t>o</w:t>
      </w:r>
      <w:r w:rsidR="007B57FA" w:rsidRPr="002A0A68">
        <w:t>ther payment payer</w:t>
      </w:r>
      <w:r w:rsidR="00C4661C" w:rsidRPr="002A0A68">
        <w:t>; and</w:t>
      </w:r>
    </w:p>
    <w:p w14:paraId="27137ED9" w14:textId="457C801E" w:rsidR="00513F84" w:rsidRPr="002A0A68" w:rsidRDefault="002E7034" w:rsidP="00C443A0">
      <w:pPr>
        <w:pStyle w:val="subparaa"/>
        <w:numPr>
          <w:ilvl w:val="1"/>
          <w:numId w:val="17"/>
        </w:numPr>
      </w:pPr>
      <w:r w:rsidRPr="002A0A68">
        <w:t>o</w:t>
      </w:r>
      <w:r w:rsidR="007B57FA" w:rsidRPr="002A0A68">
        <w:t>ther payment receiver</w:t>
      </w:r>
      <w:r w:rsidR="00C4661C" w:rsidRPr="002A0A68">
        <w:t>.</w:t>
      </w:r>
    </w:p>
    <w:p w14:paraId="1A3E654C" w14:textId="544BE1F4" w:rsidR="00C4661C" w:rsidRDefault="002E7034" w:rsidP="00AF73E5">
      <w:pPr>
        <w:pStyle w:val="BodyText"/>
        <w:ind w:left="2268"/>
      </w:pPr>
      <w:r w:rsidRPr="002A0A68">
        <w:t>T</w:t>
      </w:r>
      <w:r w:rsidR="00C4661C" w:rsidRPr="002A0A68">
        <w:t xml:space="preserve">he LEI must </w:t>
      </w:r>
      <w:r w:rsidRPr="002A0A68">
        <w:t xml:space="preserve">also </w:t>
      </w:r>
      <w:r w:rsidR="00C4661C" w:rsidRPr="002A0A68">
        <w:t xml:space="preserve">be a renewed LEI if the entity is </w:t>
      </w:r>
      <w:r w:rsidR="003227A4" w:rsidRPr="002A0A68">
        <w:t>a</w:t>
      </w:r>
      <w:r w:rsidR="00D971EF" w:rsidRPr="002A0A68">
        <w:t>n Aust</w:t>
      </w:r>
      <w:r w:rsidR="00D971EF">
        <w:t>ralian entity or an ASIC reporting entity.</w:t>
      </w:r>
    </w:p>
    <w:p w14:paraId="255D807E" w14:textId="663D22D1" w:rsidR="00D971EF" w:rsidRDefault="00D971EF" w:rsidP="00AF73E5">
      <w:pPr>
        <w:pStyle w:val="BodyText"/>
        <w:ind w:left="2268"/>
      </w:pPr>
      <w:r>
        <w:t xml:space="preserve">We think that reporting entities will not have material difficulties in determining whether </w:t>
      </w:r>
      <w:r w:rsidR="005B5E58">
        <w:t xml:space="preserve">an </w:t>
      </w:r>
      <w:r w:rsidR="002E7034">
        <w:t>‘o</w:t>
      </w:r>
      <w:r>
        <w:t>ther payment payer</w:t>
      </w:r>
      <w:r w:rsidR="00406770">
        <w:t>’</w:t>
      </w:r>
      <w:r>
        <w:t xml:space="preserve"> or </w:t>
      </w:r>
      <w:r w:rsidR="002E7034">
        <w:t>‘o</w:t>
      </w:r>
      <w:r>
        <w:t>ther payment receiver</w:t>
      </w:r>
      <w:r w:rsidR="00406770">
        <w:t>’</w:t>
      </w:r>
      <w:r>
        <w:t xml:space="preserve"> is an Australian entity or an ASIC reporting entity</w:t>
      </w:r>
      <w:r w:rsidR="002E7034">
        <w:t>,</w:t>
      </w:r>
      <w:r>
        <w:t xml:space="preserve"> and therefore whether the requirement for a renewed LEI applies.</w:t>
      </w:r>
    </w:p>
    <w:p w14:paraId="0F171A7F" w14:textId="5966C736" w:rsidR="00D971EF" w:rsidRDefault="00D971EF" w:rsidP="00AF73E5">
      <w:pPr>
        <w:pStyle w:val="BodyText"/>
        <w:ind w:left="2268"/>
      </w:pPr>
      <w:r>
        <w:t xml:space="preserve">As with the discussion of the LEI renewal requirements for </w:t>
      </w:r>
      <w:r w:rsidR="002E7034">
        <w:t>c</w:t>
      </w:r>
      <w:r>
        <w:t xml:space="preserve">ounterparty 2 and </w:t>
      </w:r>
      <w:r w:rsidR="002E7034">
        <w:t>b</w:t>
      </w:r>
      <w:r>
        <w:t>eneficiary 1 in paragraphs</w:t>
      </w:r>
      <w:r w:rsidR="00062902">
        <w:t xml:space="preserve"> </w:t>
      </w:r>
      <w:r w:rsidR="00062902">
        <w:fldChar w:fldCharType="begin" w:fldLock="1"/>
      </w:r>
      <w:r w:rsidR="00062902">
        <w:instrText xml:space="preserve"> REF _ASICRef622 \w \h </w:instrText>
      </w:r>
      <w:r w:rsidR="00062902">
        <w:fldChar w:fldCharType="separate"/>
      </w:r>
      <w:r w:rsidR="00853A2A">
        <w:t>296</w:t>
      </w:r>
      <w:r w:rsidR="00062902">
        <w:fldChar w:fldCharType="end"/>
      </w:r>
      <w:r w:rsidR="00062902">
        <w:t>–</w:t>
      </w:r>
      <w:r w:rsidR="00062902">
        <w:fldChar w:fldCharType="begin" w:fldLock="1"/>
      </w:r>
      <w:r w:rsidR="00062902">
        <w:instrText xml:space="preserve"> REF _ASICRef647 \w \h </w:instrText>
      </w:r>
      <w:r w:rsidR="00062902">
        <w:fldChar w:fldCharType="separate"/>
      </w:r>
      <w:r w:rsidR="00853A2A">
        <w:t>299</w:t>
      </w:r>
      <w:r w:rsidR="00062902">
        <w:fldChar w:fldCharType="end"/>
      </w:r>
      <w:r w:rsidR="00062902">
        <w:t>, whe</w:t>
      </w:r>
      <w:r w:rsidR="00D43468">
        <w:t>n</w:t>
      </w:r>
      <w:r w:rsidR="00062902">
        <w:t xml:space="preserve"> the </w:t>
      </w:r>
      <w:r w:rsidR="002E7034">
        <w:t>‘o</w:t>
      </w:r>
      <w:r w:rsidR="00062902">
        <w:t>ther payment payer</w:t>
      </w:r>
      <w:r w:rsidR="00406770">
        <w:t>’</w:t>
      </w:r>
      <w:r w:rsidR="00062902">
        <w:t xml:space="preserve"> or </w:t>
      </w:r>
      <w:r w:rsidR="002E7034">
        <w:t>‘o</w:t>
      </w:r>
      <w:r w:rsidR="00062902">
        <w:t>ther payment receiver</w:t>
      </w:r>
      <w:r w:rsidR="00406770">
        <w:t>’</w:t>
      </w:r>
      <w:r w:rsidR="00062902">
        <w:t xml:space="preserve"> is an entity whose identifier is also reported for another data element for the transaction</w:t>
      </w:r>
      <w:r w:rsidR="005B5E58">
        <w:t xml:space="preserve"> with a renewed LEI requirement</w:t>
      </w:r>
      <w:r w:rsidR="00062902">
        <w:t xml:space="preserve">, the </w:t>
      </w:r>
      <w:r w:rsidR="005B5E58">
        <w:t xml:space="preserve">same renewed </w:t>
      </w:r>
      <w:r w:rsidR="00062902">
        <w:t xml:space="preserve">LEI </w:t>
      </w:r>
      <w:r w:rsidR="005B5E58">
        <w:t xml:space="preserve">would be reported for </w:t>
      </w:r>
      <w:r w:rsidR="002E7034">
        <w:t>‘o</w:t>
      </w:r>
      <w:r w:rsidR="00062902">
        <w:t>ther payment payer</w:t>
      </w:r>
      <w:r w:rsidR="00406770">
        <w:t>’</w:t>
      </w:r>
      <w:r w:rsidR="00062902">
        <w:t xml:space="preserve"> </w:t>
      </w:r>
      <w:r w:rsidR="005B5E58">
        <w:t>or</w:t>
      </w:r>
      <w:r w:rsidR="00062902">
        <w:t xml:space="preserve"> </w:t>
      </w:r>
      <w:r w:rsidR="002E7034">
        <w:t>‘o</w:t>
      </w:r>
      <w:r w:rsidR="00062902">
        <w:t>ther payment receiver</w:t>
      </w:r>
      <w:r w:rsidR="00406770">
        <w:t>’</w:t>
      </w:r>
      <w:r w:rsidR="00062902">
        <w:t xml:space="preserve">. </w:t>
      </w:r>
      <w:r w:rsidR="005B5E58">
        <w:t>Otherwise, the LEI reported need not be a renewed LEI.</w:t>
      </w:r>
    </w:p>
    <w:p w14:paraId="47E542B7" w14:textId="1A2C230E" w:rsidR="009303B2" w:rsidRDefault="005B5E58" w:rsidP="00AF73E5">
      <w:pPr>
        <w:pStyle w:val="BodyText"/>
        <w:ind w:left="2268"/>
      </w:pPr>
      <w:r>
        <w:t xml:space="preserve">An </w:t>
      </w:r>
      <w:r w:rsidR="002E7034">
        <w:t>‘o</w:t>
      </w:r>
      <w:r>
        <w:t>ther payment payer</w:t>
      </w:r>
      <w:r w:rsidR="004E7944">
        <w:t>’</w:t>
      </w:r>
      <w:r>
        <w:t xml:space="preserve"> or </w:t>
      </w:r>
      <w:r w:rsidR="002E7034">
        <w:t>‘o</w:t>
      </w:r>
      <w:r>
        <w:t>ther payment receiver</w:t>
      </w:r>
      <w:r w:rsidR="004E7944">
        <w:t>’</w:t>
      </w:r>
      <w:r>
        <w:t xml:space="preserve"> </w:t>
      </w:r>
      <w:r w:rsidR="00AA3B1F">
        <w:t>may not be an entity that is a counterparty to the transaction</w:t>
      </w:r>
      <w:r w:rsidR="002E7034">
        <w:t>—</w:t>
      </w:r>
      <w:r w:rsidR="00AA3B1F">
        <w:t>such as an entity that assigns its rights and obligations of an existing transaction and steps out of that transaction</w:t>
      </w:r>
      <w:r w:rsidR="002E7034">
        <w:t>—</w:t>
      </w:r>
      <w:r w:rsidR="00AA3B1F">
        <w:t>and/or may not be an entity with whom the ASIC reporting entity has a regular dealer or client relationship</w:t>
      </w:r>
      <w:r w:rsidR="009303B2">
        <w:t xml:space="preserve"> and/or may be a one-off or very infrequent </w:t>
      </w:r>
      <w:r w:rsidR="002E7034">
        <w:t>‘</w:t>
      </w:r>
      <w:r w:rsidR="009303B2">
        <w:t>other</w:t>
      </w:r>
      <w:r w:rsidR="002E7034">
        <w:t>’</w:t>
      </w:r>
      <w:r w:rsidR="009303B2">
        <w:t xml:space="preserve"> payment arrangement</w:t>
      </w:r>
      <w:r w:rsidR="00AA3B1F">
        <w:t>.</w:t>
      </w:r>
    </w:p>
    <w:p w14:paraId="149F9EE3" w14:textId="51231873" w:rsidR="009303B2" w:rsidRDefault="009303B2" w:rsidP="00AF73E5">
      <w:pPr>
        <w:pStyle w:val="BodyText"/>
        <w:ind w:left="2268"/>
      </w:pPr>
      <w:r>
        <w:t xml:space="preserve">For these circumstances, we do not consider </w:t>
      </w:r>
      <w:r w:rsidR="003A219E">
        <w:t>it</w:t>
      </w:r>
      <w:r>
        <w:t xml:space="preserve"> necessary to require the kinds of LEI requirements that ordinarily apply in the ASIC Rules for entities that are counterparties, or act in other roles, in transactions with ASIC reporting entities. Consequently, the entity identifier is specified as:</w:t>
      </w:r>
    </w:p>
    <w:p w14:paraId="5BEC970B" w14:textId="2A4992A0" w:rsidR="009303B2" w:rsidRDefault="009303B2" w:rsidP="00C443A0">
      <w:pPr>
        <w:pStyle w:val="subparaa"/>
        <w:numPr>
          <w:ilvl w:val="1"/>
          <w:numId w:val="17"/>
        </w:numPr>
      </w:pPr>
      <w:r>
        <w:t xml:space="preserve">in the case of an entity </w:t>
      </w:r>
      <w:r w:rsidR="002E7034">
        <w:t>that</w:t>
      </w:r>
      <w:r>
        <w:t xml:space="preserve"> has an LEI, the LEI; or</w:t>
      </w:r>
    </w:p>
    <w:p w14:paraId="52E29899" w14:textId="54330983" w:rsidR="00D971EF" w:rsidRDefault="009303B2" w:rsidP="00C443A0">
      <w:pPr>
        <w:pStyle w:val="subparaa"/>
        <w:numPr>
          <w:ilvl w:val="1"/>
          <w:numId w:val="17"/>
        </w:numPr>
      </w:pPr>
      <w:r>
        <w:t xml:space="preserve">in the case of any other person, </w:t>
      </w:r>
      <w:r w:rsidR="00892303">
        <w:t xml:space="preserve">a </w:t>
      </w:r>
      <w:r w:rsidR="002E7034">
        <w:t>d</w:t>
      </w:r>
      <w:r w:rsidR="00892303">
        <w:t xml:space="preserve">esignated </w:t>
      </w:r>
      <w:r w:rsidR="002E7034">
        <w:t>b</w:t>
      </w:r>
      <w:r w:rsidR="00892303">
        <w:t xml:space="preserve">usiness </w:t>
      </w:r>
      <w:r w:rsidR="002E7034">
        <w:t>i</w:t>
      </w:r>
      <w:r w:rsidR="00892303">
        <w:t xml:space="preserve">dentifier or </w:t>
      </w:r>
      <w:r w:rsidR="002E7034">
        <w:t>c</w:t>
      </w:r>
      <w:r>
        <w:t xml:space="preserve">lient </w:t>
      </w:r>
      <w:r w:rsidR="002E7034">
        <w:t>c</w:t>
      </w:r>
      <w:r>
        <w:t>ode.</w:t>
      </w:r>
    </w:p>
    <w:p w14:paraId="4480CFC5" w14:textId="77777777" w:rsidR="006A1158" w:rsidRPr="006A1158" w:rsidRDefault="006A1158" w:rsidP="006A1158">
      <w:pPr>
        <w:pStyle w:val="Bodytextplain"/>
        <w:keepNext/>
        <w:spacing w:before="0" w:line="240" w:lineRule="auto"/>
        <w:rPr>
          <w:sz w:val="4"/>
          <w:szCs w:val="4"/>
        </w:rPr>
      </w:pPr>
    </w:p>
    <w:p w14:paraId="246D2D48" w14:textId="7F6AEFDC" w:rsidR="00C11B65" w:rsidRDefault="00C5244D" w:rsidP="006A1158">
      <w:pPr>
        <w:pStyle w:val="BodyText"/>
        <w:spacing w:before="0"/>
        <w:ind w:left="2268"/>
      </w:pPr>
      <w:r>
        <w:t xml:space="preserve">A </w:t>
      </w:r>
      <w:r w:rsidR="00D90F99">
        <w:t>d</w:t>
      </w:r>
      <w:r>
        <w:t xml:space="preserve">esignated </w:t>
      </w:r>
      <w:r w:rsidR="00D90F99">
        <w:t>b</w:t>
      </w:r>
      <w:r>
        <w:t xml:space="preserve">usiness </w:t>
      </w:r>
      <w:r w:rsidR="00D90F99">
        <w:t>i</w:t>
      </w:r>
      <w:r>
        <w:t>dentifier may particularly apply whe</w:t>
      </w:r>
      <w:r w:rsidR="0009354A">
        <w:t>n</w:t>
      </w:r>
      <w:r>
        <w:t xml:space="preserve"> an </w:t>
      </w:r>
      <w:r w:rsidR="00D90F99">
        <w:t>‘o</w:t>
      </w:r>
      <w:r>
        <w:t>ther</w:t>
      </w:r>
      <w:r w:rsidR="00D90F99">
        <w:t>’</w:t>
      </w:r>
      <w:r>
        <w:t xml:space="preserve"> payment is for a transaction where </w:t>
      </w:r>
      <w:r w:rsidR="00D90F99">
        <w:t>c</w:t>
      </w:r>
      <w:r>
        <w:t xml:space="preserve">ounterparty 2 </w:t>
      </w:r>
      <w:r w:rsidR="00C11B65">
        <w:t xml:space="preserve">is an </w:t>
      </w:r>
      <w:r w:rsidR="00D90F99">
        <w:t>‘o</w:t>
      </w:r>
      <w:r w:rsidR="00C11B65">
        <w:t>ther payment payer</w:t>
      </w:r>
      <w:r w:rsidR="0009354A">
        <w:t>’</w:t>
      </w:r>
      <w:r w:rsidR="00C11B65">
        <w:t xml:space="preserve"> or </w:t>
      </w:r>
      <w:r w:rsidR="0009354A">
        <w:t xml:space="preserve">an </w:t>
      </w:r>
      <w:r w:rsidR="00D90F99">
        <w:t>‘o</w:t>
      </w:r>
      <w:r w:rsidR="00C11B65">
        <w:t>ther payment receiver</w:t>
      </w:r>
      <w:r w:rsidR="0009354A">
        <w:t>’</w:t>
      </w:r>
      <w:r w:rsidR="00C11B65">
        <w:t xml:space="preserve"> and its entity identifier is determined under the ‘grace period’ provisions of </w:t>
      </w:r>
      <w:r w:rsidR="0009354A">
        <w:t xml:space="preserve">draft </w:t>
      </w:r>
      <w:r w:rsidR="00681C57">
        <w:t xml:space="preserve">Rule </w:t>
      </w:r>
      <w:r w:rsidR="00C11B65">
        <w:t>S1.3.1(2).</w:t>
      </w:r>
    </w:p>
    <w:p w14:paraId="07193212" w14:textId="49EB382A" w:rsidR="007B57FA" w:rsidRPr="0090226E" w:rsidRDefault="0019345C" w:rsidP="00AF73E5">
      <w:pPr>
        <w:pStyle w:val="BodyText"/>
        <w:ind w:left="2268"/>
      </w:pPr>
      <w:r w:rsidRPr="0090226E">
        <w:t xml:space="preserve">In the </w:t>
      </w:r>
      <w:r w:rsidR="00614773" w:rsidRPr="0090226E">
        <w:t xml:space="preserve">draft </w:t>
      </w:r>
      <w:r w:rsidR="004709FD" w:rsidRPr="0090226E">
        <w:t>amended ASIC Rules</w:t>
      </w:r>
      <w:r w:rsidR="00614773" w:rsidRPr="0090226E">
        <w:t xml:space="preserve"> (</w:t>
      </w:r>
      <w:r w:rsidR="00FA0519">
        <w:t xml:space="preserve">see </w:t>
      </w:r>
      <w:r w:rsidR="00614773" w:rsidRPr="0090226E">
        <w:t>Attachment 2)</w:t>
      </w:r>
      <w:r w:rsidRPr="0090226E">
        <w:t xml:space="preserve">, entity identifiers are no longer required for the deleted data elements of </w:t>
      </w:r>
      <w:r w:rsidR="00D90F99" w:rsidRPr="0090226E">
        <w:t>p</w:t>
      </w:r>
      <w:r w:rsidR="007B57FA" w:rsidRPr="0090226E">
        <w:t>ayer (fixed rate</w:t>
      </w:r>
      <w:r w:rsidR="0090226E" w:rsidRPr="0090226E">
        <w:t xml:space="preserve"> leg 1</w:t>
      </w:r>
      <w:r w:rsidR="007B57FA" w:rsidRPr="0090226E">
        <w:t xml:space="preserve">), </w:t>
      </w:r>
      <w:r w:rsidR="0090226E" w:rsidRPr="0090226E">
        <w:t xml:space="preserve">payer (fixed rate leg 2), </w:t>
      </w:r>
      <w:r w:rsidR="00D90F99" w:rsidRPr="0090226E">
        <w:t>p</w:t>
      </w:r>
      <w:r w:rsidR="007B57FA" w:rsidRPr="0090226E">
        <w:t>ayer (floating rate leg 1)</w:t>
      </w:r>
      <w:r w:rsidRPr="0090226E">
        <w:t xml:space="preserve"> and </w:t>
      </w:r>
      <w:r w:rsidR="00D90F99" w:rsidRPr="0090226E">
        <w:t>p</w:t>
      </w:r>
      <w:r w:rsidR="007B57FA" w:rsidRPr="0090226E">
        <w:t>ayer (floating rate leg 1)</w:t>
      </w:r>
      <w:r w:rsidRPr="0090226E">
        <w:t>.</w:t>
      </w:r>
    </w:p>
    <w:p w14:paraId="1310F722" w14:textId="1672A18B" w:rsidR="00F06D87" w:rsidRPr="0090226E" w:rsidRDefault="0019345C" w:rsidP="00AF73E5">
      <w:pPr>
        <w:pStyle w:val="BodyText"/>
        <w:ind w:left="2268"/>
      </w:pPr>
      <w:r w:rsidRPr="0090226E">
        <w:t xml:space="preserve">In addition, </w:t>
      </w:r>
      <w:r w:rsidR="006A145C" w:rsidRPr="0090226E">
        <w:t>with the separate specifications for transaction reports, valuation reports and collateral reports</w:t>
      </w:r>
      <w:r w:rsidRPr="0090226E">
        <w:t xml:space="preserve"> in the </w:t>
      </w:r>
      <w:r w:rsidR="00614773" w:rsidRPr="0090226E">
        <w:t xml:space="preserve">draft </w:t>
      </w:r>
      <w:r w:rsidR="004709FD" w:rsidRPr="0090226E">
        <w:t>amended ASIC Rules</w:t>
      </w:r>
      <w:r w:rsidR="006A145C" w:rsidRPr="0090226E">
        <w:t>, whe</w:t>
      </w:r>
      <w:r w:rsidR="00D90F99" w:rsidRPr="0090226E">
        <w:t>n</w:t>
      </w:r>
      <w:r w:rsidR="006A145C" w:rsidRPr="0090226E">
        <w:t xml:space="preserve"> an entity identifier is also specified in a valuation or collateral report, the requirements for the identifier are the same as for a transaction report.</w:t>
      </w:r>
    </w:p>
    <w:p w14:paraId="63BF9D9B" w14:textId="77777777" w:rsidR="003634C4" w:rsidRPr="00213645" w:rsidRDefault="003634C4" w:rsidP="00213645">
      <w:pPr>
        <w:pStyle w:val="Heading1"/>
      </w:pPr>
      <w:bookmarkStart w:id="143" w:name="_ASICRef301"/>
      <w:bookmarkStart w:id="144" w:name="_ASICRef872"/>
      <w:bookmarkStart w:id="145" w:name="_ASICRef620"/>
      <w:bookmarkStart w:id="146" w:name="_Toc103174635"/>
      <w:r w:rsidRPr="00213645">
        <w:t>The ASIC data elements</w:t>
      </w:r>
      <w:bookmarkEnd w:id="143"/>
      <w:bookmarkEnd w:id="144"/>
      <w:bookmarkEnd w:id="145"/>
      <w:bookmarkEnd w:id="146"/>
    </w:p>
    <w:p w14:paraId="490E2683" w14:textId="77777777" w:rsidR="003634C4" w:rsidRDefault="003634C4" w:rsidP="003634C4">
      <w:pPr>
        <w:pStyle w:val="KPhead"/>
      </w:pPr>
      <w:r>
        <w:t>Key points</w:t>
      </w:r>
    </w:p>
    <w:p w14:paraId="52E8EAF6" w14:textId="131DC04E" w:rsidR="00D945ED" w:rsidRDefault="00D945ED" w:rsidP="00D945ED">
      <w:pPr>
        <w:pStyle w:val="KPtext"/>
      </w:pPr>
      <w:r>
        <w:t xml:space="preserve">We are proposing the data elements set out in Schedule 1 </w:t>
      </w:r>
      <w:r w:rsidR="005E261B">
        <w:t>‘</w:t>
      </w:r>
      <w:r>
        <w:t>Information requirements</w:t>
      </w:r>
      <w:r w:rsidR="005E261B">
        <w:t>’</w:t>
      </w:r>
      <w:r>
        <w:t xml:space="preserve"> of the draft remade ASIC Rules and the draft amended ASIC Rules</w:t>
      </w:r>
      <w:r w:rsidR="00412485">
        <w:t>.</w:t>
      </w:r>
    </w:p>
    <w:p w14:paraId="4C8AC69E" w14:textId="4A6DD6FB" w:rsidR="00D945ED" w:rsidRDefault="00D945ED" w:rsidP="00D945ED">
      <w:pPr>
        <w:pStyle w:val="KPtext"/>
      </w:pPr>
      <w:r>
        <w:t xml:space="preserve">This includes proceeding with many of the </w:t>
      </w:r>
      <w:r w:rsidR="001464F5">
        <w:t xml:space="preserve">data </w:t>
      </w:r>
      <w:r>
        <w:t>elements proposed in CP</w:t>
      </w:r>
      <w:r w:rsidR="00313075">
        <w:t> </w:t>
      </w:r>
      <w:r>
        <w:t xml:space="preserve">334, not proceeding with certain </w:t>
      </w:r>
      <w:r w:rsidR="001464F5">
        <w:t xml:space="preserve">data elements </w:t>
      </w:r>
      <w:r>
        <w:t>and now proposing some new data elements.</w:t>
      </w:r>
    </w:p>
    <w:p w14:paraId="02F280C8" w14:textId="77777777" w:rsidR="00D945ED" w:rsidRDefault="00D945ED" w:rsidP="00D945ED">
      <w:pPr>
        <w:pStyle w:val="KPtext"/>
      </w:pPr>
      <w:r>
        <w:t>Our proposals also include new and amended rules:</w:t>
      </w:r>
    </w:p>
    <w:p w14:paraId="2C4322EB" w14:textId="72DD47E7" w:rsidR="00D945ED" w:rsidRDefault="00D945ED" w:rsidP="00C443A0">
      <w:pPr>
        <w:pStyle w:val="KPtext"/>
        <w:keepNext/>
        <w:numPr>
          <w:ilvl w:val="0"/>
          <w:numId w:val="16"/>
        </w:numPr>
        <w:pBdr>
          <w:left w:val="single" w:sz="6" w:space="4" w:color="117DC7"/>
        </w:pBdr>
        <w:ind w:left="2738" w:hanging="357"/>
      </w:pPr>
      <w:r>
        <w:t xml:space="preserve">exempting </w:t>
      </w:r>
      <w:r w:rsidRPr="005175FE">
        <w:t>small-scale buy-side entities</w:t>
      </w:r>
      <w:r>
        <w:t xml:space="preserve"> from certain reporting requirements;</w:t>
      </w:r>
    </w:p>
    <w:p w14:paraId="269F55EF" w14:textId="77777777" w:rsidR="00D945ED" w:rsidRDefault="00D945ED" w:rsidP="00C443A0">
      <w:pPr>
        <w:pStyle w:val="KPtext"/>
        <w:keepNext/>
        <w:numPr>
          <w:ilvl w:val="0"/>
          <w:numId w:val="16"/>
        </w:numPr>
        <w:pBdr>
          <w:left w:val="single" w:sz="6" w:space="4" w:color="117DC7"/>
        </w:pBdr>
        <w:ind w:left="2738" w:hanging="357"/>
      </w:pPr>
      <w:r>
        <w:t>curtailing duplicative reporting;</w:t>
      </w:r>
    </w:p>
    <w:p w14:paraId="49B08405" w14:textId="77777777" w:rsidR="00D945ED" w:rsidRDefault="00D945ED" w:rsidP="00C443A0">
      <w:pPr>
        <w:pStyle w:val="KPtext"/>
        <w:keepNext/>
        <w:numPr>
          <w:ilvl w:val="0"/>
          <w:numId w:val="16"/>
        </w:numPr>
        <w:pBdr>
          <w:left w:val="single" w:sz="6" w:space="4" w:color="117DC7"/>
        </w:pBdr>
        <w:ind w:left="2738" w:hanging="357"/>
      </w:pPr>
      <w:r>
        <w:t>requiring re-reporting of pre-1 April 2024 transactions in order to update the data elements for the transactions to the new specifications; and</w:t>
      </w:r>
    </w:p>
    <w:p w14:paraId="13C597A0" w14:textId="272685BA" w:rsidR="00D945ED" w:rsidRPr="00E624B5" w:rsidRDefault="00D945ED" w:rsidP="00C443A0">
      <w:pPr>
        <w:pStyle w:val="KPtext"/>
        <w:keepNext/>
        <w:numPr>
          <w:ilvl w:val="0"/>
          <w:numId w:val="16"/>
        </w:numPr>
        <w:pBdr>
          <w:left w:val="single" w:sz="6" w:space="4" w:color="117DC7"/>
        </w:pBdr>
        <w:ind w:left="2738" w:hanging="357"/>
      </w:pPr>
      <w:r>
        <w:t>recognising practical reporting circumstances of derivative trade repositories deriving certain information, other persons operationalising certain reporting requirements on behalf of responsible entities and trustees</w:t>
      </w:r>
      <w:r w:rsidR="00313075">
        <w:t>,</w:t>
      </w:r>
      <w:r>
        <w:t xml:space="preserve"> and requirements to update formats and allowable values in change reports.</w:t>
      </w:r>
    </w:p>
    <w:p w14:paraId="732A320A" w14:textId="14B5C349" w:rsidR="003634C4" w:rsidRDefault="003634C4" w:rsidP="003634C4">
      <w:pPr>
        <w:pStyle w:val="Heading2"/>
      </w:pPr>
      <w:bookmarkStart w:id="147" w:name="_Toc103174636"/>
      <w:r>
        <w:t>Background</w:t>
      </w:r>
      <w:bookmarkEnd w:id="147"/>
    </w:p>
    <w:p w14:paraId="660FD5A7" w14:textId="70CE1FEC" w:rsidR="00453A0C" w:rsidRDefault="00453A0C" w:rsidP="00453A0C">
      <w:pPr>
        <w:pStyle w:val="BodyText"/>
        <w:ind w:left="2268"/>
        <w:rPr>
          <w:rStyle w:val="Hyperlink"/>
          <w:color w:val="auto"/>
          <w:u w:val="none"/>
        </w:rPr>
      </w:pPr>
      <w:r>
        <w:rPr>
          <w:rStyle w:val="Hyperlink"/>
          <w:color w:val="auto"/>
          <w:u w:val="none"/>
        </w:rPr>
        <w:t xml:space="preserve">In </w:t>
      </w:r>
      <w:r w:rsidR="00313075">
        <w:rPr>
          <w:rStyle w:val="Hyperlink"/>
          <w:color w:val="auto"/>
          <w:u w:val="none"/>
        </w:rPr>
        <w:t xml:space="preserve">Section </w:t>
      </w:r>
      <w:r w:rsidR="00313075">
        <w:rPr>
          <w:rStyle w:val="Hyperlink"/>
          <w:color w:val="auto"/>
          <w:u w:val="none"/>
        </w:rPr>
        <w:fldChar w:fldCharType="begin" w:fldLock="1"/>
      </w:r>
      <w:r w:rsidR="00313075">
        <w:rPr>
          <w:rStyle w:val="Hyperlink"/>
          <w:color w:val="auto"/>
          <w:u w:val="none"/>
        </w:rPr>
        <w:instrText xml:space="preserve"> REF _ASICRef219 \w \h </w:instrText>
      </w:r>
      <w:r w:rsidR="00313075">
        <w:rPr>
          <w:rStyle w:val="Hyperlink"/>
          <w:color w:val="auto"/>
          <w:u w:val="none"/>
        </w:rPr>
      </w:r>
      <w:r w:rsidR="00313075">
        <w:rPr>
          <w:rStyle w:val="Hyperlink"/>
          <w:color w:val="auto"/>
          <w:u w:val="none"/>
        </w:rPr>
        <w:fldChar w:fldCharType="separate"/>
      </w:r>
      <w:r w:rsidR="00853A2A">
        <w:rPr>
          <w:rStyle w:val="Hyperlink"/>
          <w:color w:val="auto"/>
          <w:u w:val="none"/>
        </w:rPr>
        <w:t>B</w:t>
      </w:r>
      <w:r w:rsidR="00313075">
        <w:rPr>
          <w:rStyle w:val="Hyperlink"/>
          <w:color w:val="auto"/>
          <w:u w:val="none"/>
        </w:rPr>
        <w:fldChar w:fldCharType="end"/>
      </w:r>
      <w:r>
        <w:rPr>
          <w:rStyle w:val="Hyperlink"/>
          <w:color w:val="auto"/>
          <w:u w:val="none"/>
        </w:rPr>
        <w:t xml:space="preserve"> of </w:t>
      </w:r>
      <w:hyperlink r:id="rId107" w:history="1">
        <w:r w:rsidRPr="00313075">
          <w:rPr>
            <w:rStyle w:val="Hyperlink"/>
          </w:rPr>
          <w:t>CP 334</w:t>
        </w:r>
      </w:hyperlink>
      <w:r>
        <w:rPr>
          <w:rStyle w:val="Hyperlink"/>
          <w:color w:val="auto"/>
          <w:u w:val="none"/>
        </w:rPr>
        <w:t>, we described the background to the development of the CDE Guidance and its governance and operations arrangements.</w:t>
      </w:r>
    </w:p>
    <w:p w14:paraId="08844628" w14:textId="2EAB8DD5" w:rsidR="00453A0C" w:rsidRPr="00036EE7" w:rsidRDefault="00453A0C" w:rsidP="00453A0C">
      <w:pPr>
        <w:pStyle w:val="BodyText"/>
        <w:ind w:left="2268"/>
      </w:pPr>
      <w:r>
        <w:t>The CDE Guidance is one of the international harmonised standards</w:t>
      </w:r>
      <w:r w:rsidRPr="001500F7">
        <w:t xml:space="preserve"> </w:t>
      </w:r>
      <w:r>
        <w:t xml:space="preserve">for which the Committee on Payments and Market Infrastructures (CPMI) of the Bank for International Settlements and the International Organization of Securities Commissions (IOSCO) have developed global guidance. In its role as the International Governing Body for the CDE, the </w:t>
      </w:r>
      <w:r w:rsidR="001464F5">
        <w:t>ROC</w:t>
      </w:r>
      <w:r>
        <w:t xml:space="preserve"> published </w:t>
      </w:r>
      <w:hyperlink r:id="rId108" w:history="1">
        <w:r w:rsidRPr="00DF655F">
          <w:rPr>
            <w:rStyle w:val="Hyperlink"/>
          </w:rPr>
          <w:t>updates to the CDE Guidance</w:t>
        </w:r>
      </w:hyperlink>
      <w:r>
        <w:t xml:space="preserve"> </w:t>
      </w:r>
      <w:r w:rsidR="00DF655F">
        <w:t xml:space="preserve">(PDF 1.23 MB) </w:t>
      </w:r>
      <w:r>
        <w:t>as version 2 in September 2021.</w:t>
      </w:r>
    </w:p>
    <w:p w14:paraId="24031C04" w14:textId="77777777" w:rsidR="00E0081E" w:rsidRDefault="00453A0C" w:rsidP="00453A0C">
      <w:pPr>
        <w:pStyle w:val="BodyText"/>
        <w:ind w:left="2268"/>
      </w:pPr>
      <w:r w:rsidRPr="00474B36">
        <w:t>Adopting da</w:t>
      </w:r>
      <w:r>
        <w:t>ta elements from t</w:t>
      </w:r>
      <w:r w:rsidRPr="00AB76B8">
        <w:t xml:space="preserve">he CDE </w:t>
      </w:r>
      <w:r>
        <w:t xml:space="preserve">Guidance in the draft amended ASIC Rules </w:t>
      </w:r>
      <w:r w:rsidRPr="00AB76B8">
        <w:t xml:space="preserve">will be beneficial to </w:t>
      </w:r>
      <w:r>
        <w:t xml:space="preserve">Australian regulators and reporting entities </w:t>
      </w:r>
      <w:r w:rsidRPr="00AB76B8">
        <w:t>in:</w:t>
      </w:r>
    </w:p>
    <w:p w14:paraId="193996D8" w14:textId="77777777" w:rsidR="00E0081E" w:rsidRDefault="00453A0C" w:rsidP="00453A0C">
      <w:pPr>
        <w:pStyle w:val="BodyText"/>
        <w:numPr>
          <w:ilvl w:val="1"/>
          <w:numId w:val="9"/>
        </w:numPr>
      </w:pPr>
      <w:r>
        <w:t>e</w:t>
      </w:r>
      <w:r w:rsidRPr="00AB76B8">
        <w:t xml:space="preserve">xpanding the dataset for important data </w:t>
      </w:r>
      <w:r>
        <w:t>element</w:t>
      </w:r>
      <w:r w:rsidRPr="00AB76B8">
        <w:t xml:space="preserve">s not in the </w:t>
      </w:r>
      <w:r>
        <w:t xml:space="preserve">current </w:t>
      </w:r>
      <w:r w:rsidRPr="00AB76B8">
        <w:t>ASIC Rules</w:t>
      </w:r>
      <w:r>
        <w:t>;</w:t>
      </w:r>
    </w:p>
    <w:p w14:paraId="63C05E11" w14:textId="77777777" w:rsidR="00E0081E" w:rsidRDefault="00453A0C" w:rsidP="00453A0C">
      <w:pPr>
        <w:pStyle w:val="BodyText"/>
        <w:numPr>
          <w:ilvl w:val="1"/>
          <w:numId w:val="9"/>
        </w:numPr>
      </w:pPr>
      <w:r>
        <w:t>removing many data elements that are either unique to the current ASIC Rules or are duplicative within the current ASIC Rules;</w:t>
      </w:r>
    </w:p>
    <w:p w14:paraId="75CD6997" w14:textId="77777777" w:rsidR="00E0081E" w:rsidRDefault="00453A0C" w:rsidP="00CA4FE4">
      <w:pPr>
        <w:pStyle w:val="BodyText"/>
        <w:numPr>
          <w:ilvl w:val="1"/>
          <w:numId w:val="9"/>
        </w:numPr>
        <w:spacing w:line="290" w:lineRule="atLeast"/>
      </w:pPr>
      <w:r w:rsidRPr="00456DEE">
        <w:t xml:space="preserve">minimising the need for reporting entities that </w:t>
      </w:r>
      <w:r>
        <w:t xml:space="preserve">will </w:t>
      </w:r>
      <w:r w:rsidRPr="00456DEE">
        <w:t xml:space="preserve">report under the ASIC Rules and under the rules of one or more other jurisdictions to prepare and make transaction reports of </w:t>
      </w:r>
      <w:r>
        <w:t xml:space="preserve">significantly </w:t>
      </w:r>
      <w:r w:rsidRPr="00456DEE">
        <w:t>differing content for the same transaction;</w:t>
      </w:r>
    </w:p>
    <w:p w14:paraId="57D4621D" w14:textId="7DE2D75C" w:rsidR="00E0081E" w:rsidRDefault="00E15F61" w:rsidP="00CA4FE4">
      <w:pPr>
        <w:pStyle w:val="BodyText"/>
        <w:numPr>
          <w:ilvl w:val="1"/>
          <w:numId w:val="9"/>
        </w:numPr>
        <w:spacing w:line="290" w:lineRule="atLeast"/>
      </w:pPr>
      <w:r w:rsidRPr="00CA4FE4">
        <w:t>streamlining</w:t>
      </w:r>
      <w:r>
        <w:t xml:space="preserve"> </w:t>
      </w:r>
      <w:r w:rsidR="00453A0C">
        <w:t>the offerings from international reporting services providers who provide their services in multiple jurisdictions; and</w:t>
      </w:r>
    </w:p>
    <w:p w14:paraId="65879784" w14:textId="7F0E04A0" w:rsidR="00453A0C" w:rsidRPr="00AB76B8" w:rsidRDefault="00453A0C" w:rsidP="00CA4FE4">
      <w:pPr>
        <w:pStyle w:val="BodyText"/>
        <w:numPr>
          <w:ilvl w:val="1"/>
          <w:numId w:val="9"/>
        </w:numPr>
        <w:spacing w:line="290" w:lineRule="atLeast"/>
      </w:pPr>
      <w:r>
        <w:t xml:space="preserve">clarifying the definitions of data elements and their allowed values and formats to reduce ambiguity and complexity for reporting entities and </w:t>
      </w:r>
      <w:r w:rsidRPr="00AB76B8">
        <w:t>improv</w:t>
      </w:r>
      <w:r>
        <w:t>e the</w:t>
      </w:r>
      <w:r w:rsidRPr="00AB76B8">
        <w:t xml:space="preserve"> conformance and consistency in data values </w:t>
      </w:r>
      <w:r>
        <w:t>reported.</w:t>
      </w:r>
    </w:p>
    <w:p w14:paraId="1DCC8C61" w14:textId="77777777" w:rsidR="00453A0C" w:rsidRDefault="00453A0C" w:rsidP="00CA4FE4">
      <w:pPr>
        <w:pStyle w:val="BodyText"/>
        <w:spacing w:line="290" w:lineRule="atLeast"/>
        <w:ind w:left="2268"/>
      </w:pPr>
      <w:r w:rsidRPr="00412485">
        <w:t>The CDE</w:t>
      </w:r>
      <w:r>
        <w:t xml:space="preserve"> Guidance</w:t>
      </w:r>
      <w:r w:rsidRPr="00AB76B8">
        <w:t xml:space="preserve"> is not prescriptive </w:t>
      </w:r>
      <w:r>
        <w:t xml:space="preserve">as to a particular set of data elements </w:t>
      </w:r>
      <w:r w:rsidRPr="00AB76B8">
        <w:t xml:space="preserve">and allows for variations according to individual jurisdictional circumstances. ASIC’s approach is to determine our preferred dataset having primary regard to the </w:t>
      </w:r>
      <w:r>
        <w:t xml:space="preserve">regulatory </w:t>
      </w:r>
      <w:r w:rsidRPr="00AB76B8">
        <w:t xml:space="preserve">needs of </w:t>
      </w:r>
      <w:r>
        <w:t>the Australian regulators</w:t>
      </w:r>
      <w:r w:rsidRPr="00AB76B8">
        <w:t xml:space="preserve">. We </w:t>
      </w:r>
      <w:r>
        <w:t xml:space="preserve">also seek to </w:t>
      </w:r>
      <w:r w:rsidRPr="00AB76B8">
        <w:t>align</w:t>
      </w:r>
      <w:r>
        <w:t xml:space="preserve"> wit</w:t>
      </w:r>
      <w:r w:rsidRPr="00AB76B8">
        <w:t>h other jurisdictions’ rules</w:t>
      </w:r>
      <w:r>
        <w:t xml:space="preserve"> and minimise requiring data elements that are unique to the draft remade ASIC Rules.</w:t>
      </w:r>
    </w:p>
    <w:p w14:paraId="1E24A721" w14:textId="066CE9D7" w:rsidR="00E0081E" w:rsidRDefault="00453A0C" w:rsidP="00CA4FE4">
      <w:pPr>
        <w:pStyle w:val="BodyText"/>
        <w:spacing w:line="290" w:lineRule="atLeast"/>
        <w:ind w:left="2268"/>
      </w:pPr>
      <w:r>
        <w:t xml:space="preserve">The data elements we proposed in </w:t>
      </w:r>
      <w:hyperlink r:id="rId109" w:history="1">
        <w:r w:rsidRPr="00E15F61">
          <w:rPr>
            <w:rStyle w:val="Hyperlink"/>
          </w:rPr>
          <w:t>CP 334</w:t>
        </w:r>
      </w:hyperlink>
      <w:r>
        <w:t xml:space="preserve"> and are finalising through this consultation paper</w:t>
      </w:r>
      <w:r w:rsidR="00404CA5">
        <w:t>—</w:t>
      </w:r>
      <w:r>
        <w:t>the ASIC data elements</w:t>
      </w:r>
      <w:r w:rsidR="00404CA5">
        <w:t>—</w:t>
      </w:r>
      <w:r>
        <w:t>are a combination of:</w:t>
      </w:r>
    </w:p>
    <w:p w14:paraId="47EDBECE" w14:textId="1AEBE84F" w:rsidR="00E0081E" w:rsidRDefault="009A69AD" w:rsidP="00CA4FE4">
      <w:pPr>
        <w:pStyle w:val="BodyText"/>
        <w:numPr>
          <w:ilvl w:val="1"/>
          <w:numId w:val="9"/>
        </w:numPr>
        <w:spacing w:line="290" w:lineRule="atLeast"/>
      </w:pPr>
      <w:r>
        <w:t xml:space="preserve">data elements drawn from </w:t>
      </w:r>
      <w:r w:rsidR="00DC57F5">
        <w:t xml:space="preserve">the </w:t>
      </w:r>
      <w:r w:rsidR="00453A0C" w:rsidRPr="007E5BC8">
        <w:t>CDE Guidance</w:t>
      </w:r>
      <w:r w:rsidR="00453A0C">
        <w:t>;</w:t>
      </w:r>
    </w:p>
    <w:p w14:paraId="21C74339" w14:textId="05DA3604" w:rsidR="00E0081E" w:rsidRDefault="00453A0C" w:rsidP="00CA4FE4">
      <w:pPr>
        <w:pStyle w:val="BodyText"/>
        <w:numPr>
          <w:ilvl w:val="1"/>
          <w:numId w:val="9"/>
        </w:numPr>
        <w:spacing w:line="290" w:lineRule="atLeast"/>
      </w:pPr>
      <w:r>
        <w:t xml:space="preserve">other important data elements </w:t>
      </w:r>
      <w:r w:rsidR="00C443C2">
        <w:t>from</w:t>
      </w:r>
      <w:r>
        <w:t xml:space="preserve"> one or both of the final CFTC rules and the final ESMA rules; and</w:t>
      </w:r>
    </w:p>
    <w:p w14:paraId="240ADA2E" w14:textId="1F56EB75" w:rsidR="00453A0C" w:rsidRDefault="00453A0C" w:rsidP="00CA4FE4">
      <w:pPr>
        <w:pStyle w:val="BodyText"/>
        <w:numPr>
          <w:ilvl w:val="1"/>
          <w:numId w:val="9"/>
        </w:numPr>
        <w:spacing w:line="290" w:lineRule="atLeast"/>
      </w:pPr>
      <w:r>
        <w:t>additional data elements that would currently be unique to the ASIC Rules.</w:t>
      </w:r>
    </w:p>
    <w:p w14:paraId="4F60ED7A" w14:textId="77777777" w:rsidR="00453A0C" w:rsidRDefault="00453A0C" w:rsidP="00453A0C">
      <w:pPr>
        <w:pStyle w:val="Heading3"/>
      </w:pPr>
      <w:r>
        <w:t>Our two-stage approach to updating the current ASIC Rules</w:t>
      </w:r>
    </w:p>
    <w:p w14:paraId="37193C5C" w14:textId="51B38E0D" w:rsidR="00E0081E" w:rsidRDefault="00453A0C" w:rsidP="00CA4FE4">
      <w:pPr>
        <w:pStyle w:val="BodyText"/>
        <w:spacing w:line="290" w:lineRule="atLeast"/>
        <w:ind w:left="2268"/>
      </w:pPr>
      <w:r>
        <w:t>As we describe in paragraphs</w:t>
      </w:r>
      <w:r w:rsidR="00F74076">
        <w:t xml:space="preserve"> </w:t>
      </w:r>
      <w:r w:rsidR="00F74076">
        <w:fldChar w:fldCharType="begin" w:fldLock="1"/>
      </w:r>
      <w:r w:rsidR="00F74076">
        <w:instrText xml:space="preserve"> REF _ASICRef191 \w \h </w:instrText>
      </w:r>
      <w:r w:rsidR="00F74076">
        <w:fldChar w:fldCharType="separate"/>
      </w:r>
      <w:r w:rsidR="00853A2A">
        <w:t>7</w:t>
      </w:r>
      <w:r w:rsidR="00F74076">
        <w:fldChar w:fldCharType="end"/>
      </w:r>
      <w:r w:rsidR="00F74076">
        <w:t>–</w:t>
      </w:r>
      <w:r w:rsidR="00F74076">
        <w:fldChar w:fldCharType="begin" w:fldLock="1"/>
      </w:r>
      <w:r w:rsidR="00F74076">
        <w:instrText xml:space="preserve"> REF _ASICRef678 \w \h </w:instrText>
      </w:r>
      <w:r w:rsidR="00F74076">
        <w:fldChar w:fldCharType="separate"/>
      </w:r>
      <w:r w:rsidR="00853A2A">
        <w:t>11</w:t>
      </w:r>
      <w:r w:rsidR="00F74076">
        <w:fldChar w:fldCharType="end"/>
      </w:r>
      <w:r>
        <w:t>, we are proposing a two-stage process to give effect to updates to the data elements of the current ASIC Rules:</w:t>
      </w:r>
    </w:p>
    <w:p w14:paraId="3C6215EA" w14:textId="3DF921E0" w:rsidR="00E0081E" w:rsidRDefault="00E15F61" w:rsidP="00CA4FE4">
      <w:pPr>
        <w:pStyle w:val="BodyText"/>
        <w:numPr>
          <w:ilvl w:val="1"/>
          <w:numId w:val="9"/>
        </w:numPr>
        <w:spacing w:line="290" w:lineRule="atLeast"/>
      </w:pPr>
      <w:r>
        <w:t xml:space="preserve">subject </w:t>
      </w:r>
      <w:r w:rsidR="00453A0C">
        <w:t>to the Minister’s consent, commencing on 1 October 2023 the draft remade ASIC Rules would make changes to the current data elements, but not add any new data elements beyond those currently reported; and</w:t>
      </w:r>
    </w:p>
    <w:p w14:paraId="77FE3E0A" w14:textId="1995625F" w:rsidR="00453A0C" w:rsidRDefault="00E15F61" w:rsidP="00CA4FE4">
      <w:pPr>
        <w:pStyle w:val="BodyText"/>
        <w:numPr>
          <w:ilvl w:val="1"/>
          <w:numId w:val="9"/>
        </w:numPr>
        <w:spacing w:line="290" w:lineRule="atLeast"/>
      </w:pPr>
      <w:r>
        <w:t xml:space="preserve">subject </w:t>
      </w:r>
      <w:r w:rsidR="00453A0C">
        <w:t>to the Minister’s consent, commencing on 1 April 2024, the draft amended ASIC Rules would implement the additional data elements.</w:t>
      </w:r>
    </w:p>
    <w:p w14:paraId="6F9EEEAE" w14:textId="77777777" w:rsidR="00453A0C" w:rsidRPr="0091783B" w:rsidRDefault="00453A0C" w:rsidP="00CA4FE4">
      <w:pPr>
        <w:pStyle w:val="BodyText"/>
        <w:spacing w:line="290" w:lineRule="atLeast"/>
        <w:ind w:left="2268"/>
      </w:pPr>
      <w:r>
        <w:t>Our proposals in CP 334 were of a final future state of the ASIC Rules. In this section, we describe the feedback to CP 334 and our response in terms of our decisions and revised proposals as applicable to each of the draft remade ASIC Rules and the final future state draft amended ASIC Rules.</w:t>
      </w:r>
    </w:p>
    <w:p w14:paraId="4A682CB6" w14:textId="77777777" w:rsidR="00A863DA" w:rsidRDefault="00A863DA" w:rsidP="00A863DA">
      <w:pPr>
        <w:pStyle w:val="Heading2"/>
      </w:pPr>
      <w:bookmarkStart w:id="148" w:name="_Toc95401997"/>
      <w:bookmarkStart w:id="149" w:name="_Toc103174637"/>
      <w:bookmarkStart w:id="150" w:name="_Toc57146489"/>
      <w:r>
        <w:t>ASIC’s proposed approach to data elements in CP 334</w:t>
      </w:r>
      <w:bookmarkEnd w:id="148"/>
      <w:bookmarkEnd w:id="149"/>
    </w:p>
    <w:bookmarkEnd w:id="150"/>
    <w:p w14:paraId="198811C5" w14:textId="705D584B" w:rsidR="00A863DA" w:rsidRPr="00A863DA" w:rsidRDefault="00A863DA" w:rsidP="00A863DA">
      <w:pPr>
        <w:pStyle w:val="BodyText"/>
        <w:ind w:left="2268"/>
      </w:pPr>
      <w:r w:rsidRPr="00A863DA">
        <w:t xml:space="preserve">In </w:t>
      </w:r>
      <w:hyperlink r:id="rId110" w:history="1">
        <w:r w:rsidRPr="00E15F61">
          <w:rPr>
            <w:rStyle w:val="Hyperlink"/>
          </w:rPr>
          <w:t>CP 334</w:t>
        </w:r>
      </w:hyperlink>
      <w:r w:rsidRPr="00A863DA">
        <w:t>, we set out the ASIC data elements that we proposed to include in the ASIC Rules, as well as the data elements that we would consider for inclusion in proposals in the second round of consultation.</w:t>
      </w:r>
    </w:p>
    <w:p w14:paraId="141E6944" w14:textId="38235A98" w:rsidR="00A863DA" w:rsidRDefault="00A863DA" w:rsidP="00C443A0">
      <w:pPr>
        <w:pStyle w:val="BodyText"/>
        <w:numPr>
          <w:ilvl w:val="0"/>
          <w:numId w:val="17"/>
        </w:numPr>
        <w:rPr>
          <w:rFonts w:eastAsiaTheme="minorHAnsi"/>
        </w:rPr>
      </w:pPr>
      <w:r>
        <w:rPr>
          <w:rFonts w:eastAsiaTheme="minorHAnsi"/>
        </w:rPr>
        <w:fldChar w:fldCharType="begin" w:fldLock="1"/>
      </w:r>
      <w:r>
        <w:rPr>
          <w:rFonts w:eastAsiaTheme="minorHAnsi"/>
        </w:rPr>
        <w:instrText xml:space="preserve"> REF _Ref56436270 \h </w:instrText>
      </w:r>
      <w:r>
        <w:rPr>
          <w:rFonts w:eastAsiaTheme="minorHAnsi"/>
        </w:rPr>
      </w:r>
      <w:r>
        <w:rPr>
          <w:rFonts w:eastAsiaTheme="minorHAnsi"/>
        </w:rPr>
        <w:fldChar w:fldCharType="separate"/>
      </w:r>
      <w:r w:rsidR="00853A2A">
        <w:t xml:space="preserve">Table </w:t>
      </w:r>
      <w:r w:rsidR="00853A2A">
        <w:rPr>
          <w:noProof/>
        </w:rPr>
        <w:t>25</w:t>
      </w:r>
      <w:r>
        <w:rPr>
          <w:rFonts w:eastAsiaTheme="minorHAnsi"/>
        </w:rPr>
        <w:fldChar w:fldCharType="end"/>
      </w:r>
      <w:r>
        <w:rPr>
          <w:rFonts w:eastAsiaTheme="minorHAnsi"/>
        </w:rPr>
        <w:t xml:space="preserve"> sets out the number of data elements ‘Proposed’ and ‘Considering’ that are common to various combinations of the ASIC Rules, the CDE Guidance, the final CFTC rules and, what were then, ESMA proposals for the final ESMA rules.</w:t>
      </w:r>
    </w:p>
    <w:p w14:paraId="6DB9201B" w14:textId="7376DE4F" w:rsidR="00A863DA" w:rsidRDefault="00A863DA" w:rsidP="00A863DA">
      <w:pPr>
        <w:pStyle w:val="tabletitleindented"/>
      </w:pPr>
      <w:bookmarkStart w:id="151" w:name="_Ref56436270"/>
      <w:r>
        <w:t xml:space="preserve">Table </w:t>
      </w:r>
      <w:fldSimple w:instr=" SEQ Table \* ARABIC ">
        <w:r w:rsidR="006679BA">
          <w:rPr>
            <w:noProof/>
          </w:rPr>
          <w:t>25</w:t>
        </w:r>
      </w:fldSimple>
      <w:bookmarkEnd w:id="151"/>
      <w:r>
        <w:t>:</w:t>
      </w:r>
      <w:r>
        <w:tab/>
        <w:t>Number of ASIC Rules data elements common to jurisdictions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694"/>
        <w:gridCol w:w="1913"/>
        <w:gridCol w:w="1914"/>
      </w:tblGrid>
      <w:tr w:rsidR="00A863DA" w:rsidRPr="000540E1" w14:paraId="201A9E0A" w14:textId="77777777" w:rsidTr="00F86FF1">
        <w:trPr>
          <w:cantSplit/>
          <w:tblHeader/>
        </w:trPr>
        <w:tc>
          <w:tcPr>
            <w:tcW w:w="2694" w:type="dxa"/>
            <w:shd w:val="clear" w:color="auto" w:fill="C2E3FA"/>
          </w:tcPr>
          <w:p w14:paraId="721193CE" w14:textId="77777777" w:rsidR="00A863DA" w:rsidRDefault="00A863DA" w:rsidP="00F86FF1">
            <w:pPr>
              <w:pStyle w:val="tablehead"/>
            </w:pPr>
            <w:r>
              <w:t>Jurisdictions</w:t>
            </w:r>
          </w:p>
        </w:tc>
        <w:tc>
          <w:tcPr>
            <w:tcW w:w="1913" w:type="dxa"/>
            <w:shd w:val="clear" w:color="auto" w:fill="C2E3FA"/>
          </w:tcPr>
          <w:p w14:paraId="27604A89" w14:textId="77777777" w:rsidR="00A863DA" w:rsidRPr="000540E1" w:rsidRDefault="00A863DA" w:rsidP="00F86FF1">
            <w:pPr>
              <w:pStyle w:val="tablehead"/>
              <w:jc w:val="center"/>
            </w:pPr>
            <w:r>
              <w:t>Proposed</w:t>
            </w:r>
          </w:p>
        </w:tc>
        <w:tc>
          <w:tcPr>
            <w:tcW w:w="1914" w:type="dxa"/>
            <w:shd w:val="clear" w:color="auto" w:fill="C2E3FA"/>
          </w:tcPr>
          <w:p w14:paraId="3418379F" w14:textId="77777777" w:rsidR="00A863DA" w:rsidRPr="000540E1" w:rsidRDefault="00A863DA" w:rsidP="00F86FF1">
            <w:pPr>
              <w:pStyle w:val="tablehead"/>
              <w:jc w:val="center"/>
            </w:pPr>
            <w:r>
              <w:t>Considering</w:t>
            </w:r>
          </w:p>
        </w:tc>
      </w:tr>
      <w:tr w:rsidR="00A863DA" w:rsidRPr="000540E1" w14:paraId="39974B66" w14:textId="77777777" w:rsidTr="00F86FF1">
        <w:trPr>
          <w:cantSplit/>
        </w:trPr>
        <w:tc>
          <w:tcPr>
            <w:tcW w:w="2694" w:type="dxa"/>
          </w:tcPr>
          <w:p w14:paraId="382D9FDA" w14:textId="77777777" w:rsidR="00A863DA" w:rsidRPr="000540E1" w:rsidRDefault="00A863DA" w:rsidP="00F86FF1">
            <w:pPr>
              <w:pStyle w:val="tbltext"/>
            </w:pPr>
            <w:r>
              <w:t>ASIC, CDE, CFTC, EU</w:t>
            </w:r>
          </w:p>
        </w:tc>
        <w:tc>
          <w:tcPr>
            <w:tcW w:w="1913" w:type="dxa"/>
          </w:tcPr>
          <w:p w14:paraId="495A4D34" w14:textId="77777777" w:rsidR="00A863DA" w:rsidRPr="000540E1" w:rsidRDefault="00A863DA" w:rsidP="00F86FF1">
            <w:pPr>
              <w:pStyle w:val="tbltext"/>
              <w:jc w:val="center"/>
            </w:pPr>
            <w:r>
              <w:t>81</w:t>
            </w:r>
          </w:p>
        </w:tc>
        <w:tc>
          <w:tcPr>
            <w:tcW w:w="1914" w:type="dxa"/>
          </w:tcPr>
          <w:p w14:paraId="2850AA05" w14:textId="77777777" w:rsidR="00A863DA" w:rsidRPr="000540E1" w:rsidRDefault="00A863DA" w:rsidP="00F86FF1">
            <w:pPr>
              <w:pStyle w:val="tbltext"/>
              <w:jc w:val="center"/>
            </w:pPr>
            <w:r>
              <w:t>0</w:t>
            </w:r>
          </w:p>
        </w:tc>
      </w:tr>
      <w:tr w:rsidR="00A863DA" w:rsidRPr="000540E1" w14:paraId="75702BDB" w14:textId="77777777" w:rsidTr="00F86FF1">
        <w:trPr>
          <w:cantSplit/>
        </w:trPr>
        <w:tc>
          <w:tcPr>
            <w:tcW w:w="2694" w:type="dxa"/>
          </w:tcPr>
          <w:p w14:paraId="7C3449C3" w14:textId="77777777" w:rsidR="00A863DA" w:rsidRDefault="00A863DA" w:rsidP="00F86FF1">
            <w:pPr>
              <w:pStyle w:val="tbltext"/>
            </w:pPr>
            <w:r>
              <w:t>ASIC, CDE, CFTC</w:t>
            </w:r>
          </w:p>
        </w:tc>
        <w:tc>
          <w:tcPr>
            <w:tcW w:w="1913" w:type="dxa"/>
          </w:tcPr>
          <w:p w14:paraId="7CFEC981" w14:textId="77777777" w:rsidR="00A863DA" w:rsidRDefault="00A863DA" w:rsidP="00F86FF1">
            <w:pPr>
              <w:pStyle w:val="tbltext"/>
              <w:jc w:val="center"/>
            </w:pPr>
            <w:r>
              <w:t>15</w:t>
            </w:r>
          </w:p>
        </w:tc>
        <w:tc>
          <w:tcPr>
            <w:tcW w:w="1914" w:type="dxa"/>
          </w:tcPr>
          <w:p w14:paraId="558549E1" w14:textId="77777777" w:rsidR="00A863DA" w:rsidRDefault="00A863DA" w:rsidP="00F86FF1">
            <w:pPr>
              <w:pStyle w:val="tbltext"/>
              <w:jc w:val="center"/>
            </w:pPr>
            <w:r>
              <w:t>1</w:t>
            </w:r>
          </w:p>
        </w:tc>
      </w:tr>
      <w:tr w:rsidR="00A863DA" w:rsidRPr="000540E1" w14:paraId="4D6AE9F9" w14:textId="77777777" w:rsidTr="00F86FF1">
        <w:trPr>
          <w:cantSplit/>
        </w:trPr>
        <w:tc>
          <w:tcPr>
            <w:tcW w:w="2694" w:type="dxa"/>
          </w:tcPr>
          <w:p w14:paraId="6B4F58B5" w14:textId="77777777" w:rsidR="00A863DA" w:rsidRPr="000540E1" w:rsidRDefault="00A863DA" w:rsidP="00F86FF1">
            <w:pPr>
              <w:pStyle w:val="tbltext"/>
            </w:pPr>
            <w:r>
              <w:t>ASIC, CDE, EU</w:t>
            </w:r>
          </w:p>
        </w:tc>
        <w:tc>
          <w:tcPr>
            <w:tcW w:w="1913" w:type="dxa"/>
          </w:tcPr>
          <w:p w14:paraId="5E0B042C" w14:textId="77777777" w:rsidR="00A863DA" w:rsidRPr="000540E1" w:rsidRDefault="00A863DA" w:rsidP="00F86FF1">
            <w:pPr>
              <w:pStyle w:val="tbltext"/>
              <w:jc w:val="center"/>
            </w:pPr>
            <w:r>
              <w:t>8</w:t>
            </w:r>
          </w:p>
        </w:tc>
        <w:tc>
          <w:tcPr>
            <w:tcW w:w="1914" w:type="dxa"/>
          </w:tcPr>
          <w:p w14:paraId="67AC05E4" w14:textId="77777777" w:rsidR="00A863DA" w:rsidRPr="000540E1" w:rsidRDefault="00A863DA" w:rsidP="00F86FF1">
            <w:pPr>
              <w:pStyle w:val="tbltext"/>
              <w:jc w:val="center"/>
            </w:pPr>
            <w:r>
              <w:t>12</w:t>
            </w:r>
          </w:p>
        </w:tc>
      </w:tr>
      <w:tr w:rsidR="00A863DA" w:rsidRPr="000540E1" w14:paraId="67A88960" w14:textId="77777777" w:rsidTr="00F86FF1">
        <w:trPr>
          <w:cantSplit/>
        </w:trPr>
        <w:tc>
          <w:tcPr>
            <w:tcW w:w="2694" w:type="dxa"/>
          </w:tcPr>
          <w:p w14:paraId="199ECFC0" w14:textId="77777777" w:rsidR="00A863DA" w:rsidRDefault="00A863DA" w:rsidP="00F86FF1">
            <w:pPr>
              <w:pStyle w:val="tbltext"/>
            </w:pPr>
            <w:r>
              <w:t>ASIC, CDE, CFTC &amp;/or EU</w:t>
            </w:r>
          </w:p>
        </w:tc>
        <w:tc>
          <w:tcPr>
            <w:tcW w:w="1913" w:type="dxa"/>
          </w:tcPr>
          <w:p w14:paraId="7C94A780" w14:textId="77777777" w:rsidR="00A863DA" w:rsidRDefault="00A863DA" w:rsidP="00F86FF1">
            <w:pPr>
              <w:pStyle w:val="tbltext"/>
              <w:jc w:val="center"/>
            </w:pPr>
            <w:r>
              <w:t>104</w:t>
            </w:r>
          </w:p>
        </w:tc>
        <w:tc>
          <w:tcPr>
            <w:tcW w:w="1914" w:type="dxa"/>
          </w:tcPr>
          <w:p w14:paraId="6DEAE6E3" w14:textId="77777777" w:rsidR="00A863DA" w:rsidRDefault="00A863DA" w:rsidP="00F86FF1">
            <w:pPr>
              <w:pStyle w:val="tbltext"/>
              <w:jc w:val="center"/>
            </w:pPr>
            <w:r>
              <w:t>13</w:t>
            </w:r>
          </w:p>
        </w:tc>
      </w:tr>
      <w:tr w:rsidR="00A863DA" w:rsidRPr="000540E1" w14:paraId="143AD7C1" w14:textId="77777777" w:rsidTr="00F86FF1">
        <w:trPr>
          <w:cantSplit/>
        </w:trPr>
        <w:tc>
          <w:tcPr>
            <w:tcW w:w="2694" w:type="dxa"/>
          </w:tcPr>
          <w:p w14:paraId="47AB0BE7" w14:textId="77777777" w:rsidR="00A863DA" w:rsidRPr="000540E1" w:rsidRDefault="00A863DA" w:rsidP="00F86FF1">
            <w:pPr>
              <w:pStyle w:val="tbltext"/>
            </w:pPr>
            <w:r>
              <w:t>ASIC, CFTC, EU</w:t>
            </w:r>
          </w:p>
        </w:tc>
        <w:tc>
          <w:tcPr>
            <w:tcW w:w="1913" w:type="dxa"/>
          </w:tcPr>
          <w:p w14:paraId="07F48991" w14:textId="77777777" w:rsidR="00A863DA" w:rsidRPr="000540E1" w:rsidRDefault="00A863DA" w:rsidP="00F86FF1">
            <w:pPr>
              <w:pStyle w:val="tbltext"/>
              <w:jc w:val="center"/>
            </w:pPr>
            <w:r>
              <w:t>6</w:t>
            </w:r>
          </w:p>
        </w:tc>
        <w:tc>
          <w:tcPr>
            <w:tcW w:w="1914" w:type="dxa"/>
          </w:tcPr>
          <w:p w14:paraId="4B4E41B0" w14:textId="77777777" w:rsidR="00A863DA" w:rsidRPr="000540E1" w:rsidRDefault="00A863DA" w:rsidP="00F86FF1">
            <w:pPr>
              <w:pStyle w:val="tbltext"/>
              <w:jc w:val="center"/>
            </w:pPr>
            <w:r>
              <w:t>4</w:t>
            </w:r>
          </w:p>
        </w:tc>
      </w:tr>
      <w:tr w:rsidR="00A863DA" w:rsidRPr="000540E1" w14:paraId="0B52A7F7" w14:textId="77777777" w:rsidTr="00F86FF1">
        <w:trPr>
          <w:cantSplit/>
        </w:trPr>
        <w:tc>
          <w:tcPr>
            <w:tcW w:w="2694" w:type="dxa"/>
          </w:tcPr>
          <w:p w14:paraId="3073C049" w14:textId="77777777" w:rsidR="00A863DA" w:rsidRDefault="00A863DA" w:rsidP="00F86FF1">
            <w:pPr>
              <w:pStyle w:val="tbltext"/>
            </w:pPr>
            <w:r>
              <w:t>ASIC, CFTC</w:t>
            </w:r>
          </w:p>
        </w:tc>
        <w:tc>
          <w:tcPr>
            <w:tcW w:w="1913" w:type="dxa"/>
          </w:tcPr>
          <w:p w14:paraId="63A47AB2" w14:textId="77777777" w:rsidR="00A863DA" w:rsidRDefault="00A863DA" w:rsidP="00F86FF1">
            <w:pPr>
              <w:pStyle w:val="tbltext"/>
              <w:jc w:val="center"/>
            </w:pPr>
            <w:r>
              <w:t>8</w:t>
            </w:r>
          </w:p>
        </w:tc>
        <w:tc>
          <w:tcPr>
            <w:tcW w:w="1914" w:type="dxa"/>
          </w:tcPr>
          <w:p w14:paraId="3803F820" w14:textId="77777777" w:rsidR="00A863DA" w:rsidRDefault="00A863DA" w:rsidP="00F86FF1">
            <w:pPr>
              <w:pStyle w:val="tbltext"/>
              <w:jc w:val="center"/>
            </w:pPr>
            <w:r>
              <w:t>1</w:t>
            </w:r>
          </w:p>
        </w:tc>
      </w:tr>
      <w:tr w:rsidR="00A863DA" w:rsidRPr="000540E1" w14:paraId="4D302AB0" w14:textId="77777777" w:rsidTr="00F86FF1">
        <w:trPr>
          <w:cantSplit/>
        </w:trPr>
        <w:tc>
          <w:tcPr>
            <w:tcW w:w="2694" w:type="dxa"/>
          </w:tcPr>
          <w:p w14:paraId="7D025504" w14:textId="77777777" w:rsidR="00A863DA" w:rsidRDefault="00A863DA" w:rsidP="00F86FF1">
            <w:pPr>
              <w:pStyle w:val="tbltext"/>
            </w:pPr>
            <w:r>
              <w:t>ASIC, EU</w:t>
            </w:r>
          </w:p>
        </w:tc>
        <w:tc>
          <w:tcPr>
            <w:tcW w:w="1913" w:type="dxa"/>
          </w:tcPr>
          <w:p w14:paraId="5D8473B0" w14:textId="77777777" w:rsidR="00A863DA" w:rsidRDefault="00A863DA" w:rsidP="00F86FF1">
            <w:pPr>
              <w:pStyle w:val="tbltext"/>
              <w:jc w:val="center"/>
            </w:pPr>
            <w:r>
              <w:t>5</w:t>
            </w:r>
          </w:p>
        </w:tc>
        <w:tc>
          <w:tcPr>
            <w:tcW w:w="1914" w:type="dxa"/>
          </w:tcPr>
          <w:p w14:paraId="3D56FCE1" w14:textId="77777777" w:rsidR="00A863DA" w:rsidRDefault="00A863DA" w:rsidP="00F86FF1">
            <w:pPr>
              <w:pStyle w:val="tbltext"/>
              <w:jc w:val="center"/>
            </w:pPr>
            <w:r>
              <w:t>1</w:t>
            </w:r>
          </w:p>
        </w:tc>
      </w:tr>
      <w:tr w:rsidR="00A863DA" w:rsidRPr="000540E1" w14:paraId="64F63A19" w14:textId="77777777" w:rsidTr="00F86FF1">
        <w:trPr>
          <w:cantSplit/>
        </w:trPr>
        <w:tc>
          <w:tcPr>
            <w:tcW w:w="2694" w:type="dxa"/>
          </w:tcPr>
          <w:p w14:paraId="4BE291CE" w14:textId="77777777" w:rsidR="00A863DA" w:rsidRDefault="00A863DA" w:rsidP="00F86FF1">
            <w:pPr>
              <w:pStyle w:val="tbltext"/>
            </w:pPr>
            <w:r>
              <w:t>ASIC, CFTC &amp;/or EU</w:t>
            </w:r>
          </w:p>
        </w:tc>
        <w:tc>
          <w:tcPr>
            <w:tcW w:w="1913" w:type="dxa"/>
          </w:tcPr>
          <w:p w14:paraId="4E006CF1" w14:textId="77777777" w:rsidR="00A863DA" w:rsidRDefault="00A863DA" w:rsidP="00F86FF1">
            <w:pPr>
              <w:pStyle w:val="tbltext"/>
              <w:jc w:val="center"/>
            </w:pPr>
            <w:r>
              <w:t>19</w:t>
            </w:r>
          </w:p>
        </w:tc>
        <w:tc>
          <w:tcPr>
            <w:tcW w:w="1914" w:type="dxa"/>
          </w:tcPr>
          <w:p w14:paraId="016042FB" w14:textId="77777777" w:rsidR="00A863DA" w:rsidRDefault="00A863DA" w:rsidP="00F86FF1">
            <w:pPr>
              <w:pStyle w:val="tbltext"/>
              <w:jc w:val="center"/>
            </w:pPr>
            <w:r>
              <w:t>6</w:t>
            </w:r>
          </w:p>
        </w:tc>
      </w:tr>
      <w:tr w:rsidR="00A863DA" w:rsidRPr="000540E1" w14:paraId="564C9E65" w14:textId="77777777" w:rsidTr="00F86FF1">
        <w:trPr>
          <w:cantSplit/>
        </w:trPr>
        <w:tc>
          <w:tcPr>
            <w:tcW w:w="2694" w:type="dxa"/>
          </w:tcPr>
          <w:p w14:paraId="551FC3A6" w14:textId="77777777" w:rsidR="00A863DA" w:rsidRDefault="00A863DA" w:rsidP="00F86FF1">
            <w:pPr>
              <w:pStyle w:val="tbltext"/>
            </w:pPr>
            <w:r>
              <w:t>ASIC-only</w:t>
            </w:r>
          </w:p>
        </w:tc>
        <w:tc>
          <w:tcPr>
            <w:tcW w:w="1913" w:type="dxa"/>
          </w:tcPr>
          <w:p w14:paraId="3EA19231" w14:textId="77777777" w:rsidR="00A863DA" w:rsidRDefault="00A863DA" w:rsidP="00F86FF1">
            <w:pPr>
              <w:pStyle w:val="tbltext"/>
              <w:jc w:val="center"/>
            </w:pPr>
            <w:r>
              <w:t>1</w:t>
            </w:r>
          </w:p>
        </w:tc>
        <w:tc>
          <w:tcPr>
            <w:tcW w:w="1914" w:type="dxa"/>
          </w:tcPr>
          <w:p w14:paraId="5772484D" w14:textId="77777777" w:rsidR="00A863DA" w:rsidRDefault="00A863DA" w:rsidP="00F86FF1">
            <w:pPr>
              <w:pStyle w:val="tbltext"/>
              <w:jc w:val="center"/>
            </w:pPr>
            <w:r>
              <w:t>0</w:t>
            </w:r>
          </w:p>
        </w:tc>
      </w:tr>
    </w:tbl>
    <w:p w14:paraId="54655C29" w14:textId="77777777" w:rsidR="00A863DA" w:rsidRDefault="00A863DA" w:rsidP="00C443A0">
      <w:pPr>
        <w:pStyle w:val="BodyText"/>
        <w:numPr>
          <w:ilvl w:val="0"/>
          <w:numId w:val="17"/>
        </w:numPr>
        <w:rPr>
          <w:rFonts w:eastAsiaTheme="minorHAnsi"/>
        </w:rPr>
      </w:pPr>
      <w:r>
        <w:rPr>
          <w:rFonts w:eastAsiaTheme="minorHAnsi"/>
        </w:rPr>
        <w:t>We proposed a data element set of 124 elements, of which:</w:t>
      </w:r>
    </w:p>
    <w:p w14:paraId="4F8D7812" w14:textId="77777777" w:rsidR="00A863DA" w:rsidRDefault="00A863DA" w:rsidP="00C443A0">
      <w:pPr>
        <w:pStyle w:val="subparaa"/>
        <w:numPr>
          <w:ilvl w:val="1"/>
          <w:numId w:val="17"/>
        </w:numPr>
        <w:rPr>
          <w:rFonts w:eastAsiaTheme="minorHAnsi"/>
        </w:rPr>
      </w:pPr>
      <w:r>
        <w:rPr>
          <w:rFonts w:eastAsiaTheme="minorHAnsi"/>
        </w:rPr>
        <w:t>81 elements (65%) are common to ASIC, CDE, CFTC and the European Union;</w:t>
      </w:r>
    </w:p>
    <w:p w14:paraId="014428F4" w14:textId="77777777" w:rsidR="00A863DA" w:rsidRDefault="00A863DA" w:rsidP="00C443A0">
      <w:pPr>
        <w:pStyle w:val="subparaa"/>
        <w:numPr>
          <w:ilvl w:val="1"/>
          <w:numId w:val="17"/>
        </w:numPr>
        <w:rPr>
          <w:rFonts w:eastAsiaTheme="minorHAnsi"/>
        </w:rPr>
      </w:pPr>
      <w:r>
        <w:rPr>
          <w:rFonts w:eastAsiaTheme="minorHAnsi"/>
        </w:rPr>
        <w:t>23 elements (19%) are common to ASIC, CDE and one of CFTC and the European Union;</w:t>
      </w:r>
    </w:p>
    <w:p w14:paraId="2EE3C706" w14:textId="77777777" w:rsidR="00A863DA" w:rsidRDefault="00A863DA" w:rsidP="00C443A0">
      <w:pPr>
        <w:pStyle w:val="subparaa"/>
        <w:numPr>
          <w:ilvl w:val="1"/>
          <w:numId w:val="17"/>
        </w:numPr>
        <w:rPr>
          <w:rFonts w:eastAsiaTheme="minorHAnsi"/>
        </w:rPr>
      </w:pPr>
      <w:r>
        <w:rPr>
          <w:rFonts w:eastAsiaTheme="minorHAnsi"/>
        </w:rPr>
        <w:t>19 elements (15%) are not CDE elements but are common to ASIC and one of CFTC and the European Union; and</w:t>
      </w:r>
    </w:p>
    <w:p w14:paraId="7356F55D" w14:textId="77777777" w:rsidR="00A863DA" w:rsidRPr="00B70651" w:rsidRDefault="00A863DA" w:rsidP="00C443A0">
      <w:pPr>
        <w:pStyle w:val="subparaa"/>
        <w:numPr>
          <w:ilvl w:val="1"/>
          <w:numId w:val="17"/>
        </w:numPr>
        <w:rPr>
          <w:rFonts w:eastAsiaTheme="minorHAnsi"/>
        </w:rPr>
      </w:pPr>
      <w:r>
        <w:rPr>
          <w:rFonts w:eastAsiaTheme="minorHAnsi"/>
        </w:rPr>
        <w:t>one element (1%) is an ASIC-only element</w:t>
      </w:r>
      <w:r w:rsidRPr="009A3F41">
        <w:rPr>
          <w:rFonts w:eastAsiaTheme="minorHAnsi"/>
        </w:rPr>
        <w:t>—</w:t>
      </w:r>
      <w:r>
        <w:rPr>
          <w:rFonts w:eastAsiaTheme="minorHAnsi"/>
        </w:rPr>
        <w:t>this element is ‘</w:t>
      </w:r>
      <w:r>
        <w:t>Execution Agent of counterparty 1’.</w:t>
      </w:r>
    </w:p>
    <w:p w14:paraId="6B0192DE" w14:textId="77777777" w:rsidR="006A1158" w:rsidRPr="006A1158" w:rsidRDefault="006A1158" w:rsidP="006A1158">
      <w:pPr>
        <w:pStyle w:val="Bodytextplain"/>
        <w:keepNext/>
        <w:spacing w:before="0" w:line="240" w:lineRule="auto"/>
        <w:rPr>
          <w:rFonts w:eastAsiaTheme="minorHAnsi"/>
          <w:sz w:val="4"/>
          <w:szCs w:val="4"/>
        </w:rPr>
      </w:pPr>
    </w:p>
    <w:p w14:paraId="6A0FE15D" w14:textId="2422ED97" w:rsidR="00A863DA" w:rsidRDefault="00A863DA" w:rsidP="006A1158">
      <w:pPr>
        <w:pStyle w:val="BodyText"/>
        <w:keepNext/>
        <w:numPr>
          <w:ilvl w:val="0"/>
          <w:numId w:val="17"/>
        </w:numPr>
        <w:spacing w:before="0" w:line="290" w:lineRule="atLeast"/>
        <w:rPr>
          <w:rFonts w:eastAsiaTheme="minorHAnsi"/>
        </w:rPr>
      </w:pPr>
      <w:r>
        <w:rPr>
          <w:rFonts w:eastAsiaTheme="minorHAnsi"/>
        </w:rPr>
        <w:t>The major changes proposed to the current ASIC Rules data element set were:</w:t>
      </w:r>
    </w:p>
    <w:p w14:paraId="7E4596A8" w14:textId="77777777" w:rsidR="00A863DA" w:rsidRDefault="00A863DA" w:rsidP="00C443A0">
      <w:pPr>
        <w:pStyle w:val="subparaa"/>
        <w:numPr>
          <w:ilvl w:val="1"/>
          <w:numId w:val="17"/>
        </w:numPr>
        <w:spacing w:line="290" w:lineRule="atLeast"/>
        <w:rPr>
          <w:rFonts w:eastAsiaTheme="minorHAnsi"/>
        </w:rPr>
      </w:pPr>
      <w:r>
        <w:rPr>
          <w:rFonts w:eastAsiaTheme="minorHAnsi"/>
        </w:rPr>
        <w:t>the removal of multiple ‘name’ elements;</w:t>
      </w:r>
    </w:p>
    <w:p w14:paraId="4EB19E1F" w14:textId="77777777" w:rsidR="00A863DA" w:rsidRDefault="00A863DA" w:rsidP="00C443A0">
      <w:pPr>
        <w:pStyle w:val="subparaa"/>
        <w:numPr>
          <w:ilvl w:val="1"/>
          <w:numId w:val="17"/>
        </w:numPr>
        <w:spacing w:line="290" w:lineRule="atLeast"/>
        <w:rPr>
          <w:rFonts w:eastAsiaTheme="minorHAnsi"/>
        </w:rPr>
      </w:pPr>
      <w:r>
        <w:rPr>
          <w:rFonts w:eastAsiaTheme="minorHAnsi"/>
        </w:rPr>
        <w:t xml:space="preserve">the removal of extraneous elements </w:t>
      </w:r>
      <w:r w:rsidRPr="002D6752">
        <w:rPr>
          <w:rFonts w:eastAsiaTheme="minorHAnsi"/>
        </w:rPr>
        <w:t xml:space="preserve">whose information content is </w:t>
      </w:r>
      <w:r>
        <w:rPr>
          <w:rFonts w:eastAsiaTheme="minorHAnsi"/>
        </w:rPr>
        <w:t xml:space="preserve">fully or </w:t>
      </w:r>
      <w:r w:rsidRPr="002D6752">
        <w:rPr>
          <w:rFonts w:eastAsiaTheme="minorHAnsi"/>
        </w:rPr>
        <w:t xml:space="preserve">substantially provided by another </w:t>
      </w:r>
      <w:r>
        <w:rPr>
          <w:rFonts w:eastAsiaTheme="minorHAnsi"/>
        </w:rPr>
        <w:t>element;</w:t>
      </w:r>
    </w:p>
    <w:p w14:paraId="0F0BE51B" w14:textId="77777777" w:rsidR="00A863DA" w:rsidRDefault="00A863DA" w:rsidP="00C443A0">
      <w:pPr>
        <w:pStyle w:val="subparaa"/>
        <w:numPr>
          <w:ilvl w:val="1"/>
          <w:numId w:val="17"/>
        </w:numPr>
        <w:rPr>
          <w:rFonts w:eastAsiaTheme="minorHAnsi"/>
        </w:rPr>
      </w:pPr>
      <w:r>
        <w:rPr>
          <w:rFonts w:eastAsiaTheme="minorHAnsi"/>
        </w:rPr>
        <w:t>the removal of multiple ‘delivery timing and location’ elements for commodity derivatives;</w:t>
      </w:r>
    </w:p>
    <w:p w14:paraId="5660E81E" w14:textId="64939D3A" w:rsidR="00A863DA" w:rsidRDefault="00A863DA" w:rsidP="00C443A0">
      <w:pPr>
        <w:pStyle w:val="subparaa"/>
        <w:numPr>
          <w:ilvl w:val="1"/>
          <w:numId w:val="17"/>
        </w:numPr>
        <w:rPr>
          <w:rFonts w:eastAsiaTheme="minorHAnsi"/>
        </w:rPr>
      </w:pPr>
      <w:r>
        <w:rPr>
          <w:rFonts w:eastAsiaTheme="minorHAnsi"/>
        </w:rPr>
        <w:t xml:space="preserve">the substitution of </w:t>
      </w:r>
      <w:r w:rsidRPr="002D6752">
        <w:rPr>
          <w:rFonts w:eastAsiaTheme="minorHAnsi"/>
        </w:rPr>
        <w:t>asset</w:t>
      </w:r>
      <w:r w:rsidR="00BF67C7">
        <w:rPr>
          <w:rFonts w:eastAsiaTheme="minorHAnsi"/>
        </w:rPr>
        <w:t>-</w:t>
      </w:r>
      <w:r w:rsidRPr="002D6752">
        <w:rPr>
          <w:rFonts w:eastAsiaTheme="minorHAnsi"/>
        </w:rPr>
        <w:t xml:space="preserve">class-specific </w:t>
      </w:r>
      <w:r>
        <w:rPr>
          <w:rFonts w:eastAsiaTheme="minorHAnsi"/>
        </w:rPr>
        <w:t>‘side’ or ‘l</w:t>
      </w:r>
      <w:r w:rsidRPr="002D6752">
        <w:rPr>
          <w:rFonts w:eastAsiaTheme="minorHAnsi"/>
        </w:rPr>
        <w:t>eg 1/</w:t>
      </w:r>
      <w:r>
        <w:rPr>
          <w:rFonts w:eastAsiaTheme="minorHAnsi"/>
        </w:rPr>
        <w:t xml:space="preserve">leg </w:t>
      </w:r>
      <w:r w:rsidRPr="002D6752">
        <w:rPr>
          <w:rFonts w:eastAsiaTheme="minorHAnsi"/>
        </w:rPr>
        <w:t>2</w:t>
      </w:r>
      <w:r>
        <w:rPr>
          <w:rFonts w:eastAsiaTheme="minorHAnsi"/>
        </w:rPr>
        <w:t>’</w:t>
      </w:r>
      <w:r w:rsidRPr="002D6752">
        <w:rPr>
          <w:rFonts w:eastAsiaTheme="minorHAnsi"/>
        </w:rPr>
        <w:t xml:space="preserve"> </w:t>
      </w:r>
      <w:r>
        <w:rPr>
          <w:rFonts w:eastAsiaTheme="minorHAnsi"/>
        </w:rPr>
        <w:t>element</w:t>
      </w:r>
      <w:r w:rsidRPr="002D6752">
        <w:rPr>
          <w:rFonts w:eastAsiaTheme="minorHAnsi"/>
        </w:rPr>
        <w:t xml:space="preserve">s </w:t>
      </w:r>
      <w:r>
        <w:rPr>
          <w:rFonts w:eastAsiaTheme="minorHAnsi"/>
        </w:rPr>
        <w:t xml:space="preserve">with the CDE Guidance’s more </w:t>
      </w:r>
      <w:r w:rsidRPr="002D6752">
        <w:rPr>
          <w:rFonts w:eastAsiaTheme="minorHAnsi"/>
        </w:rPr>
        <w:t>generic</w:t>
      </w:r>
      <w:r>
        <w:rPr>
          <w:rFonts w:eastAsiaTheme="minorHAnsi"/>
        </w:rPr>
        <w:t>, cross-asset class</w:t>
      </w:r>
      <w:r w:rsidRPr="002D6752">
        <w:rPr>
          <w:rFonts w:eastAsiaTheme="minorHAnsi"/>
        </w:rPr>
        <w:t xml:space="preserve"> </w:t>
      </w:r>
      <w:r>
        <w:rPr>
          <w:rFonts w:eastAsiaTheme="minorHAnsi"/>
        </w:rPr>
        <w:t>element</w:t>
      </w:r>
      <w:r w:rsidRPr="002D6752">
        <w:rPr>
          <w:rFonts w:eastAsiaTheme="minorHAnsi"/>
        </w:rPr>
        <w:t>s</w:t>
      </w:r>
      <w:r>
        <w:rPr>
          <w:rFonts w:eastAsiaTheme="minorHAnsi"/>
        </w:rPr>
        <w:t>;</w:t>
      </w:r>
    </w:p>
    <w:p w14:paraId="5EB5A049" w14:textId="77777777" w:rsidR="00A863DA" w:rsidRDefault="00A863DA" w:rsidP="00C443A0">
      <w:pPr>
        <w:pStyle w:val="subparaa"/>
        <w:numPr>
          <w:ilvl w:val="1"/>
          <w:numId w:val="17"/>
        </w:numPr>
        <w:rPr>
          <w:rFonts w:eastAsiaTheme="minorHAnsi"/>
        </w:rPr>
      </w:pPr>
      <w:r>
        <w:rPr>
          <w:rFonts w:eastAsiaTheme="minorHAnsi"/>
        </w:rPr>
        <w:t>the addition of ‘price information’ elements to adopt the more comprehensive treatment of this kind of information in the CDE Guidance;</w:t>
      </w:r>
    </w:p>
    <w:p w14:paraId="78D3051B" w14:textId="77777777" w:rsidR="00A863DA" w:rsidRDefault="00A863DA" w:rsidP="00C443A0">
      <w:pPr>
        <w:pStyle w:val="subparaa"/>
        <w:numPr>
          <w:ilvl w:val="1"/>
          <w:numId w:val="17"/>
        </w:numPr>
        <w:rPr>
          <w:rFonts w:eastAsiaTheme="minorHAnsi"/>
        </w:rPr>
      </w:pPr>
      <w:r>
        <w:rPr>
          <w:rFonts w:eastAsiaTheme="minorHAnsi"/>
        </w:rPr>
        <w:t>the addition of ‘collateral price information’ elements to adopt the more comprehensive treatment of this kind of information in the CDE Guidance;</w:t>
      </w:r>
    </w:p>
    <w:p w14:paraId="5277CEEC" w14:textId="77777777" w:rsidR="00A863DA" w:rsidRDefault="00A863DA" w:rsidP="00C443A0">
      <w:pPr>
        <w:pStyle w:val="subparaa"/>
        <w:numPr>
          <w:ilvl w:val="1"/>
          <w:numId w:val="17"/>
        </w:numPr>
        <w:rPr>
          <w:rFonts w:eastAsiaTheme="minorHAnsi"/>
        </w:rPr>
      </w:pPr>
      <w:r>
        <w:rPr>
          <w:rFonts w:eastAsiaTheme="minorHAnsi"/>
        </w:rPr>
        <w:t>the addition of ‘credit derivative tranche and index factor’ elements and ‘structured product’ elements to elaborate on risk exposures in credit derivatives and in combination/package transactions;</w:t>
      </w:r>
    </w:p>
    <w:p w14:paraId="594A2626" w14:textId="77777777" w:rsidR="00A863DA" w:rsidRDefault="00A863DA" w:rsidP="00C443A0">
      <w:pPr>
        <w:pStyle w:val="subparaa"/>
        <w:numPr>
          <w:ilvl w:val="1"/>
          <w:numId w:val="17"/>
        </w:numPr>
        <w:rPr>
          <w:rFonts w:eastAsiaTheme="minorHAnsi"/>
        </w:rPr>
      </w:pPr>
      <w:r>
        <w:rPr>
          <w:rFonts w:eastAsiaTheme="minorHAnsi"/>
        </w:rPr>
        <w:t>the addition of ‘prior transaction identifiers’ and ‘event timestamps’ to make the sequence and timing of transactions more transparent to the Australian regulators;</w:t>
      </w:r>
    </w:p>
    <w:p w14:paraId="0CA667A9" w14:textId="77777777" w:rsidR="00A863DA" w:rsidRDefault="00A863DA" w:rsidP="00C443A0">
      <w:pPr>
        <w:pStyle w:val="subparaa"/>
        <w:numPr>
          <w:ilvl w:val="1"/>
          <w:numId w:val="17"/>
        </w:numPr>
        <w:rPr>
          <w:rFonts w:eastAsiaTheme="minorHAnsi"/>
        </w:rPr>
      </w:pPr>
      <w:r>
        <w:rPr>
          <w:rFonts w:eastAsiaTheme="minorHAnsi"/>
        </w:rPr>
        <w:t>the addition of indicators relating to non-standard features of transactions to assist in clarifying risk and exposure understandings;</w:t>
      </w:r>
    </w:p>
    <w:p w14:paraId="66E3686D" w14:textId="77777777" w:rsidR="00A863DA" w:rsidRPr="007A6821" w:rsidRDefault="00A863DA" w:rsidP="00C443A0">
      <w:pPr>
        <w:pStyle w:val="subparaa"/>
        <w:numPr>
          <w:ilvl w:val="1"/>
          <w:numId w:val="17"/>
        </w:numPr>
        <w:rPr>
          <w:rFonts w:eastAsiaTheme="minorHAnsi"/>
        </w:rPr>
      </w:pPr>
      <w:r>
        <w:rPr>
          <w:rFonts w:eastAsiaTheme="minorHAnsi"/>
        </w:rPr>
        <w:t>the addition of non-reporting counterparty categorisation elements and intragroup indicators to elaborate on geographic, inter-sectoral and intragroup risks and exposures.</w:t>
      </w:r>
    </w:p>
    <w:p w14:paraId="69170FAD" w14:textId="77777777" w:rsidR="00A863DA" w:rsidRDefault="00A863DA" w:rsidP="00A863DA">
      <w:pPr>
        <w:pStyle w:val="Heading2"/>
      </w:pPr>
      <w:bookmarkStart w:id="152" w:name="_Toc103174638"/>
      <w:r>
        <w:t>Feedback on our proposed approach in CP 334</w:t>
      </w:r>
      <w:bookmarkEnd w:id="152"/>
    </w:p>
    <w:p w14:paraId="34C15E7A" w14:textId="77777777" w:rsidR="00A863DA" w:rsidRDefault="00A863DA" w:rsidP="00A863DA">
      <w:pPr>
        <w:pStyle w:val="Heading3"/>
      </w:pPr>
      <w:r>
        <w:t>Data elements related to dates and timestamps</w:t>
      </w:r>
    </w:p>
    <w:p w14:paraId="7952471B" w14:textId="659AE5F7" w:rsidR="00A863DA" w:rsidRDefault="00A863DA" w:rsidP="00C443A0">
      <w:pPr>
        <w:pStyle w:val="BodyText"/>
        <w:numPr>
          <w:ilvl w:val="0"/>
          <w:numId w:val="17"/>
        </w:numPr>
      </w:pPr>
      <w:bookmarkStart w:id="153" w:name="_ASICRef631"/>
      <w:r>
        <w:t>For the proposed data elements related to dates and timestamps</w:t>
      </w:r>
      <w:r w:rsidR="00404CA5">
        <w:t>—</w:t>
      </w:r>
      <w:r>
        <w:t>effective date, expiration date, reporting timestamp, execution timestamp, event timestamp and clearing timestamp</w:t>
      </w:r>
      <w:r w:rsidR="00404CA5">
        <w:t>—</w:t>
      </w:r>
      <w:r>
        <w:t>respondents did not make any objections to the data elements themselves, but some respondents requested clarifications and/or guidance as to whether certain dates apply or not for particular products or transactions.</w:t>
      </w:r>
      <w:bookmarkEnd w:id="153"/>
    </w:p>
    <w:p w14:paraId="647EE060" w14:textId="77777777" w:rsidR="00A863DA" w:rsidRDefault="00A863DA" w:rsidP="00A863DA">
      <w:pPr>
        <w:pStyle w:val="Heading3"/>
      </w:pPr>
      <w:r>
        <w:t>Data elements related to counterparties and beneficiaries</w:t>
      </w:r>
    </w:p>
    <w:p w14:paraId="7272AF98" w14:textId="77777777" w:rsidR="00A863DA" w:rsidRDefault="00A863DA" w:rsidP="00C443A0">
      <w:pPr>
        <w:pStyle w:val="BodyText"/>
        <w:numPr>
          <w:ilvl w:val="0"/>
          <w:numId w:val="17"/>
        </w:numPr>
      </w:pPr>
      <w:r>
        <w:t>Many respondents expressed concerns about our proposals for nature of counterparty 2 and intragroup, citing the additional burden of categorising and maintaining information about their counterparties, and using a categorisation schema that was not consistent with schemas in other jurisdictions.</w:t>
      </w:r>
    </w:p>
    <w:p w14:paraId="34C74990" w14:textId="77777777" w:rsidR="00A863DA" w:rsidRDefault="00A863DA" w:rsidP="00C443A0">
      <w:pPr>
        <w:pStyle w:val="BodyText"/>
        <w:numPr>
          <w:ilvl w:val="0"/>
          <w:numId w:val="17"/>
        </w:numPr>
      </w:pPr>
      <w:r>
        <w:t>Some respondents also expressed individual and disparate concerns about various elements of the proposals, such as:</w:t>
      </w:r>
    </w:p>
    <w:p w14:paraId="5C5DF027" w14:textId="77777777" w:rsidR="00A863DA" w:rsidRPr="001C35EE" w:rsidRDefault="00A863DA" w:rsidP="001C35EE">
      <w:pPr>
        <w:pStyle w:val="subparaa"/>
        <w:numPr>
          <w:ilvl w:val="1"/>
          <w:numId w:val="17"/>
        </w:numPr>
        <w:spacing w:line="290" w:lineRule="atLeast"/>
        <w:rPr>
          <w:rFonts w:eastAsiaTheme="minorHAnsi"/>
        </w:rPr>
      </w:pPr>
      <w:r w:rsidRPr="001C35EE">
        <w:rPr>
          <w:rFonts w:eastAsiaTheme="minorHAnsi"/>
        </w:rPr>
        <w:t>removing beneficiary data fields as had been removed in the final ESMA rules and not adopted by the CFTC;</w:t>
      </w:r>
    </w:p>
    <w:p w14:paraId="1AD2F604" w14:textId="3C3C9001" w:rsidR="00A863DA" w:rsidRPr="001C35EE" w:rsidRDefault="00A863DA" w:rsidP="001C35EE">
      <w:pPr>
        <w:pStyle w:val="subparaa"/>
        <w:numPr>
          <w:ilvl w:val="1"/>
          <w:numId w:val="17"/>
        </w:numPr>
        <w:spacing w:line="290" w:lineRule="atLeast"/>
        <w:rPr>
          <w:rFonts w:eastAsiaTheme="minorHAnsi"/>
        </w:rPr>
      </w:pPr>
      <w:r w:rsidRPr="001C35EE">
        <w:rPr>
          <w:rFonts w:eastAsiaTheme="minorHAnsi"/>
        </w:rPr>
        <w:t>sell-side entities performing delegated reporting for their fund clients would need to record up to three identifiers of reporting entity, counterparty 1 and execution agent of counterparty 1; and</w:t>
      </w:r>
    </w:p>
    <w:p w14:paraId="2A34B5DF" w14:textId="77777777" w:rsidR="00A863DA" w:rsidRPr="001C35EE" w:rsidRDefault="00A863DA" w:rsidP="001C35EE">
      <w:pPr>
        <w:pStyle w:val="subparaa"/>
        <w:numPr>
          <w:ilvl w:val="1"/>
          <w:numId w:val="17"/>
        </w:numPr>
        <w:spacing w:line="290" w:lineRule="atLeast"/>
        <w:rPr>
          <w:rFonts w:eastAsiaTheme="minorHAnsi"/>
        </w:rPr>
      </w:pPr>
      <w:r w:rsidRPr="001C35EE">
        <w:rPr>
          <w:rFonts w:eastAsiaTheme="minorHAnsi"/>
        </w:rPr>
        <w:t>querying whether LEI-only for broker ID would be too stringent.</w:t>
      </w:r>
    </w:p>
    <w:p w14:paraId="4331EB40" w14:textId="13A45D6D" w:rsidR="00A863DA" w:rsidRPr="005175FE" w:rsidRDefault="00A863DA" w:rsidP="00C443A0">
      <w:pPr>
        <w:pStyle w:val="BodyText"/>
        <w:numPr>
          <w:ilvl w:val="0"/>
          <w:numId w:val="17"/>
        </w:numPr>
      </w:pPr>
      <w:r>
        <w:t>However, more broadly, respondents did not make any objections to the data elements reporting entity, counterparty 1,</w:t>
      </w:r>
      <w:r w:rsidRPr="00D67AC7">
        <w:t xml:space="preserve"> </w:t>
      </w:r>
      <w:r>
        <w:t>reporting entity, counterparty 2,</w:t>
      </w:r>
      <w:r w:rsidRPr="00D67AC7">
        <w:t xml:space="preserve"> </w:t>
      </w:r>
      <w:r>
        <w:t>counterparty 2 identifier type,</w:t>
      </w:r>
      <w:r w:rsidRPr="00D67AC7">
        <w:t xml:space="preserve"> </w:t>
      </w:r>
      <w:r>
        <w:t>country of counterparty, beneficiary 1, beneficiary 1 type, broker ID and execution agent of counterparty 1</w:t>
      </w:r>
      <w:r w:rsidR="00404CA5">
        <w:t>—</w:t>
      </w:r>
      <w:r>
        <w:t>noting that concerns about</w:t>
      </w:r>
      <w:r w:rsidR="00886474">
        <w:t xml:space="preserve"> the</w:t>
      </w:r>
      <w:r>
        <w:t xml:space="preserve"> LEI as the sole type of entity identifier are discussed and addressed in </w:t>
      </w:r>
      <w:r w:rsidRPr="005175FE">
        <w:t xml:space="preserve">Section </w:t>
      </w:r>
      <w:r w:rsidR="008B2209" w:rsidRPr="005175FE">
        <w:fldChar w:fldCharType="begin" w:fldLock="1"/>
      </w:r>
      <w:r w:rsidR="008B2209" w:rsidRPr="005175FE">
        <w:instrText xml:space="preserve"> REF _ASICRef993 \w \h </w:instrText>
      </w:r>
      <w:r w:rsidR="004D63EC" w:rsidRPr="005175FE">
        <w:instrText xml:space="preserve"> \* MERGEFORMAT </w:instrText>
      </w:r>
      <w:r w:rsidR="008B2209" w:rsidRPr="005175FE">
        <w:fldChar w:fldCharType="separate"/>
      </w:r>
      <w:r w:rsidR="00853A2A">
        <w:t>D</w:t>
      </w:r>
      <w:r w:rsidR="008B2209" w:rsidRPr="005175FE">
        <w:fldChar w:fldCharType="end"/>
      </w:r>
      <w:r w:rsidRPr="005175FE">
        <w:t xml:space="preserve"> The legal entity identifier</w:t>
      </w:r>
      <w:r w:rsidR="004D63EC" w:rsidRPr="005175FE">
        <w:t xml:space="preserve"> (LEI)</w:t>
      </w:r>
      <w:r w:rsidRPr="005175FE">
        <w:t>.</w:t>
      </w:r>
    </w:p>
    <w:p w14:paraId="6D1ADBC7" w14:textId="77777777" w:rsidR="00A863DA" w:rsidRDefault="00A863DA" w:rsidP="00A863DA">
      <w:pPr>
        <w:pStyle w:val="Heading3"/>
      </w:pPr>
      <w:r>
        <w:t>Data elements related to direction</w:t>
      </w:r>
    </w:p>
    <w:p w14:paraId="3A6E3FDA" w14:textId="23A0E123" w:rsidR="00A863DA" w:rsidRDefault="00A863DA" w:rsidP="00C443A0">
      <w:pPr>
        <w:pStyle w:val="BodyText"/>
        <w:numPr>
          <w:ilvl w:val="0"/>
          <w:numId w:val="17"/>
        </w:numPr>
      </w:pPr>
      <w:bookmarkStart w:id="154" w:name="_ASICRef919"/>
      <w:r>
        <w:t xml:space="preserve">In </w:t>
      </w:r>
      <w:hyperlink r:id="rId111" w:history="1">
        <w:r w:rsidRPr="008B2209">
          <w:rPr>
            <w:rStyle w:val="Hyperlink"/>
          </w:rPr>
          <w:t>CP 334</w:t>
        </w:r>
      </w:hyperlink>
      <w:r>
        <w:t>, we proposed to make the same elections as ESMA for the ‘direction’ data elements, which are different to the CFTC elections. Only a few respondents explicitly commented on our proposal and were supportive.</w:t>
      </w:r>
      <w:bookmarkEnd w:id="154"/>
    </w:p>
    <w:p w14:paraId="32947107" w14:textId="77777777" w:rsidR="00A863DA" w:rsidRDefault="00A863DA" w:rsidP="00A863DA">
      <w:pPr>
        <w:pStyle w:val="Heading3"/>
      </w:pPr>
      <w:bookmarkStart w:id="155" w:name="_Hlk96145651"/>
      <w:r>
        <w:t xml:space="preserve">Data elements related to </w:t>
      </w:r>
      <w:r>
        <w:rPr>
          <w:rFonts w:eastAsiaTheme="minorHAnsi"/>
        </w:rPr>
        <w:t>clearing, trading, and settlement</w:t>
      </w:r>
    </w:p>
    <w:p w14:paraId="03C0E36D" w14:textId="45DD0326" w:rsidR="00A863DA" w:rsidRDefault="00A863DA" w:rsidP="00C443A0">
      <w:pPr>
        <w:pStyle w:val="BodyText"/>
        <w:numPr>
          <w:ilvl w:val="0"/>
          <w:numId w:val="17"/>
        </w:numPr>
      </w:pPr>
      <w:bookmarkStart w:id="156" w:name="_ASICRef627"/>
      <w:r>
        <w:t xml:space="preserve">Respondents expressed concerns about our proposals for final contractual settlement date, settlement location—leg 1 and settlement location—leg 2, generally citing the need to source and append information that is additional to </w:t>
      </w:r>
      <w:r w:rsidR="008B2209">
        <w:t>what</w:t>
      </w:r>
      <w:r>
        <w:t xml:space="preserve"> may otherwise be provided directly from front-office records and the potentially duplicative nature of the data elements.</w:t>
      </w:r>
      <w:bookmarkEnd w:id="156"/>
    </w:p>
    <w:p w14:paraId="19E183D3" w14:textId="76DD479B" w:rsidR="00A863DA" w:rsidRDefault="00A863DA" w:rsidP="00C443A0">
      <w:pPr>
        <w:pStyle w:val="BodyText"/>
        <w:numPr>
          <w:ilvl w:val="0"/>
          <w:numId w:val="17"/>
        </w:numPr>
      </w:pPr>
      <w:r>
        <w:t>For the other data elements related to clearing, trading and settlement</w:t>
      </w:r>
      <w:r w:rsidR="00404CA5">
        <w:t>—</w:t>
      </w:r>
      <w:r>
        <w:t>cleared, central counterparty, clearing member, platform identifier and settlement currency</w:t>
      </w:r>
      <w:r w:rsidR="00404CA5">
        <w:t>—</w:t>
      </w:r>
      <w:r>
        <w:t>respondents did not make any significant objections.</w:t>
      </w:r>
    </w:p>
    <w:bookmarkEnd w:id="155"/>
    <w:p w14:paraId="7B8AE41B" w14:textId="77777777" w:rsidR="00A863DA" w:rsidRDefault="00A863DA" w:rsidP="00A863DA">
      <w:pPr>
        <w:pStyle w:val="Heading3"/>
      </w:pPr>
      <w:r>
        <w:t>Data elements related to regular payments</w:t>
      </w:r>
    </w:p>
    <w:p w14:paraId="1A5DD154" w14:textId="23D48A36" w:rsidR="00A863DA" w:rsidRDefault="00A863DA" w:rsidP="00C443A0">
      <w:pPr>
        <w:pStyle w:val="BodyText"/>
        <w:numPr>
          <w:ilvl w:val="0"/>
          <w:numId w:val="17"/>
        </w:numPr>
      </w:pPr>
      <w:bookmarkStart w:id="157" w:name="_ASICRef298"/>
      <w:r>
        <w:t>For the key data elements related to regular payments</w:t>
      </w:r>
      <w:r w:rsidR="00404CA5">
        <w:t>—</w:t>
      </w:r>
      <w:r>
        <w:t>day count convention and payment frequency data elements</w:t>
      </w:r>
      <w:r w:rsidR="00404CA5">
        <w:t>—</w:t>
      </w:r>
      <w:r>
        <w:t>respondents did not make any significant objections.</w:t>
      </w:r>
    </w:p>
    <w:p w14:paraId="1C343E30" w14:textId="6DE9BA94" w:rsidR="00A863DA" w:rsidRDefault="00A863DA" w:rsidP="00C443A0">
      <w:pPr>
        <w:pStyle w:val="BodyText"/>
        <w:numPr>
          <w:ilvl w:val="0"/>
          <w:numId w:val="17"/>
        </w:numPr>
      </w:pPr>
      <w:r>
        <w:t xml:space="preserve">In </w:t>
      </w:r>
      <w:hyperlink r:id="rId112" w:history="1">
        <w:r w:rsidRPr="004D63EC">
          <w:rPr>
            <w:rStyle w:val="Hyperlink"/>
          </w:rPr>
          <w:t>CP 334</w:t>
        </w:r>
      </w:hyperlink>
      <w:r>
        <w:t>, we also discussed that we would consider for proposal in this second consultation data elements related to the reset frequency period of relevant floating rates, noting that this may differ from the frequency period of the floating rate reference rate itself</w:t>
      </w:r>
      <w:r w:rsidR="00404CA5">
        <w:t>—</w:t>
      </w:r>
      <w:r>
        <w:t>for example, where a contract resets to 6-month BBSW but on a 3-monthly reset frequency.</w:t>
      </w:r>
      <w:bookmarkEnd w:id="157"/>
    </w:p>
    <w:p w14:paraId="1B427388" w14:textId="77777777" w:rsidR="00A863DA" w:rsidRDefault="00A863DA" w:rsidP="00C443A0">
      <w:pPr>
        <w:pStyle w:val="BodyText"/>
        <w:numPr>
          <w:ilvl w:val="0"/>
          <w:numId w:val="17"/>
        </w:numPr>
      </w:pPr>
      <w:bookmarkStart w:id="158" w:name="_ASICRef913"/>
      <w:r>
        <w:t>Respondents generally indicated that regulators could not rely on the frequency period of the floating rate reference rate itself being always the reset frequency of that rate in a contract, but that the incidence of such special cases is low.</w:t>
      </w:r>
      <w:bookmarkEnd w:id="158"/>
    </w:p>
    <w:p w14:paraId="5F56F5CE" w14:textId="77777777" w:rsidR="00A863DA" w:rsidRDefault="00A863DA" w:rsidP="00A863DA">
      <w:pPr>
        <w:pStyle w:val="Heading3"/>
      </w:pPr>
      <w:r>
        <w:t xml:space="preserve">Data elements related to </w:t>
      </w:r>
      <w:r w:rsidRPr="00B564D8">
        <w:t>valuation</w:t>
      </w:r>
    </w:p>
    <w:p w14:paraId="2620D207" w14:textId="118D499D" w:rsidR="00A863DA" w:rsidRDefault="00A863DA" w:rsidP="00C443A0">
      <w:pPr>
        <w:pStyle w:val="BodyText"/>
        <w:numPr>
          <w:ilvl w:val="0"/>
          <w:numId w:val="17"/>
        </w:numPr>
      </w:pPr>
      <w:bookmarkStart w:id="159" w:name="_ASICRef542"/>
      <w:r>
        <w:t>For the proposed data elements related to valuation</w:t>
      </w:r>
      <w:r w:rsidR="00404CA5">
        <w:t>—</w:t>
      </w:r>
      <w:r>
        <w:t>valuation amount, currency, timestamp and method</w:t>
      </w:r>
      <w:r w:rsidR="00404CA5">
        <w:t>—</w:t>
      </w:r>
      <w:r>
        <w:t>respondents did not make any significant objections.</w:t>
      </w:r>
      <w:bookmarkEnd w:id="159"/>
    </w:p>
    <w:p w14:paraId="5426297D" w14:textId="77777777" w:rsidR="00A863DA" w:rsidRDefault="00A863DA" w:rsidP="00C443A0">
      <w:pPr>
        <w:pStyle w:val="BodyText"/>
        <w:numPr>
          <w:ilvl w:val="0"/>
          <w:numId w:val="17"/>
        </w:numPr>
      </w:pPr>
      <w:bookmarkStart w:id="160" w:name="_ASICRef156"/>
      <w:r>
        <w:t>Some respondents requested that ASIC clarify the definition of valuation amount as the ‘unadjusted’ valuation amount and that the valuation timestamp may be the time of, for example, an ‘end-of-day run’ rather than timestamps related to the time that reference prices or rates are determined, which are then used as inputs to a later ‘end-of-day run’.</w:t>
      </w:r>
      <w:bookmarkEnd w:id="160"/>
    </w:p>
    <w:p w14:paraId="57127D2C" w14:textId="77777777" w:rsidR="00A863DA" w:rsidRDefault="00A863DA" w:rsidP="00A863DA">
      <w:pPr>
        <w:pStyle w:val="Heading3"/>
      </w:pPr>
      <w:r>
        <w:t xml:space="preserve">Data elements related to </w:t>
      </w:r>
      <w:r>
        <w:rPr>
          <w:rFonts w:eastAsiaTheme="minorHAnsi"/>
        </w:rPr>
        <w:t>collateral and margins</w:t>
      </w:r>
    </w:p>
    <w:p w14:paraId="7B58D5E0" w14:textId="7B50AA7D" w:rsidR="00A863DA" w:rsidRDefault="00A863DA" w:rsidP="00C443A0">
      <w:pPr>
        <w:pStyle w:val="BodyText"/>
        <w:numPr>
          <w:ilvl w:val="0"/>
          <w:numId w:val="17"/>
        </w:numPr>
      </w:pPr>
      <w:bookmarkStart w:id="161" w:name="_ASICRef459"/>
      <w:r>
        <w:t xml:space="preserve">Respondents expressed concerns </w:t>
      </w:r>
      <w:r w:rsidR="00B968E7">
        <w:t xml:space="preserve">about </w:t>
      </w:r>
      <w:r>
        <w:t>our proposals for collateral data elements</w:t>
      </w:r>
      <w:r w:rsidR="00404CA5">
        <w:t>—</w:t>
      </w:r>
      <w:r>
        <w:t>some respondents said that they had significant concerns with the complexities of the proposed collateral reporting.</w:t>
      </w:r>
      <w:bookmarkEnd w:id="161"/>
    </w:p>
    <w:p w14:paraId="1A11EADD" w14:textId="193FAE64" w:rsidR="00A863DA" w:rsidRDefault="00A863DA" w:rsidP="00C443A0">
      <w:pPr>
        <w:pStyle w:val="BodyText"/>
        <w:numPr>
          <w:ilvl w:val="0"/>
          <w:numId w:val="17"/>
        </w:numPr>
      </w:pPr>
      <w:r>
        <w:t>Several respondents commented on the significant system changes required. The buy-side particularly noted challenges in the granularity of the data, complexities with sourcing information from third parties and potential differences arising across time zones. One sell-side respondent noted challenges in separating initial margin amounts from variation margin amounts for reporting, although another respondent commented that such separation would make their reporting easier as the amounts are carried separately in their systems.</w:t>
      </w:r>
    </w:p>
    <w:p w14:paraId="3C6BD6C2" w14:textId="77777777" w:rsidR="00A863DA" w:rsidRDefault="00A863DA" w:rsidP="00C443A0">
      <w:pPr>
        <w:pStyle w:val="BodyText"/>
        <w:numPr>
          <w:ilvl w:val="0"/>
          <w:numId w:val="17"/>
        </w:numPr>
      </w:pPr>
      <w:bookmarkStart w:id="162" w:name="_ASICRef753"/>
      <w:r>
        <w:t>On the other hand, allowing for up to two portfolio codes follows an industry proposal submitted to, and adopted by, the CFTC and one reporting entity further commented that segmenting the collateral amounts in this way would make their reconciliation processes easier.</w:t>
      </w:r>
      <w:bookmarkEnd w:id="162"/>
    </w:p>
    <w:p w14:paraId="101AAC58" w14:textId="77777777" w:rsidR="00A863DA" w:rsidRDefault="00A863DA" w:rsidP="00A863DA">
      <w:pPr>
        <w:pStyle w:val="Heading3"/>
        <w:rPr>
          <w:rFonts w:eastAsiaTheme="minorHAnsi"/>
        </w:rPr>
      </w:pPr>
      <w:bookmarkStart w:id="163" w:name="_Toc57146496"/>
      <w:r>
        <w:rPr>
          <w:rFonts w:eastAsiaTheme="minorHAnsi"/>
        </w:rPr>
        <w:t>Data elements related to counterparty rating triggers</w:t>
      </w:r>
      <w:bookmarkEnd w:id="163"/>
    </w:p>
    <w:p w14:paraId="6A52539B" w14:textId="3AA7A8D1" w:rsidR="00A863DA" w:rsidRDefault="00A863DA" w:rsidP="00C17FA2">
      <w:pPr>
        <w:pStyle w:val="BodyText"/>
        <w:numPr>
          <w:ilvl w:val="0"/>
          <w:numId w:val="17"/>
        </w:numPr>
        <w:spacing w:line="290" w:lineRule="atLeast"/>
        <w:rPr>
          <w:rFonts w:eastAsiaTheme="minorHAnsi"/>
        </w:rPr>
      </w:pPr>
      <w:r>
        <w:rPr>
          <w:rFonts w:eastAsiaTheme="minorHAnsi"/>
        </w:rPr>
        <w:t xml:space="preserve">In </w:t>
      </w:r>
      <w:hyperlink r:id="rId113" w:history="1">
        <w:r w:rsidRPr="00B968E7">
          <w:rPr>
            <w:rStyle w:val="Hyperlink"/>
            <w:rFonts w:eastAsiaTheme="minorHAnsi"/>
          </w:rPr>
          <w:t>CP 334</w:t>
        </w:r>
      </w:hyperlink>
      <w:r>
        <w:rPr>
          <w:rFonts w:eastAsiaTheme="minorHAnsi"/>
        </w:rPr>
        <w:t xml:space="preserve">, we proposed not to include the </w:t>
      </w:r>
      <w:r w:rsidRPr="004207BB">
        <w:rPr>
          <w:rFonts w:eastAsiaTheme="minorHAnsi"/>
        </w:rPr>
        <w:t>two data elements related to counterparty rating triggers in the CDE Guidance</w:t>
      </w:r>
      <w:r>
        <w:rPr>
          <w:rFonts w:eastAsiaTheme="minorHAnsi"/>
        </w:rPr>
        <w:t xml:space="preserve">, which </w:t>
      </w:r>
      <w:r w:rsidR="00B968E7">
        <w:rPr>
          <w:rFonts w:eastAsiaTheme="minorHAnsi"/>
        </w:rPr>
        <w:t xml:space="preserve">have been </w:t>
      </w:r>
      <w:r w:rsidRPr="004207BB">
        <w:rPr>
          <w:rFonts w:eastAsiaTheme="minorHAnsi"/>
        </w:rPr>
        <w:t xml:space="preserve">adopted </w:t>
      </w:r>
      <w:r>
        <w:rPr>
          <w:rFonts w:eastAsiaTheme="minorHAnsi"/>
        </w:rPr>
        <w:t>by E</w:t>
      </w:r>
      <w:r w:rsidRPr="004207BB">
        <w:rPr>
          <w:rFonts w:eastAsiaTheme="minorHAnsi"/>
        </w:rPr>
        <w:t xml:space="preserve">SMA </w:t>
      </w:r>
      <w:r>
        <w:rPr>
          <w:rFonts w:eastAsiaTheme="minorHAnsi"/>
        </w:rPr>
        <w:t xml:space="preserve">but </w:t>
      </w:r>
      <w:r w:rsidRPr="004207BB">
        <w:rPr>
          <w:rFonts w:eastAsiaTheme="minorHAnsi"/>
        </w:rPr>
        <w:t xml:space="preserve">not </w:t>
      </w:r>
      <w:r>
        <w:rPr>
          <w:rFonts w:eastAsiaTheme="minorHAnsi"/>
        </w:rPr>
        <w:t xml:space="preserve">by the </w:t>
      </w:r>
      <w:r w:rsidRPr="004207BB">
        <w:rPr>
          <w:rFonts w:eastAsiaTheme="minorHAnsi"/>
        </w:rPr>
        <w:t>CFTC</w:t>
      </w:r>
      <w:r>
        <w:rPr>
          <w:rFonts w:eastAsiaTheme="minorHAnsi"/>
        </w:rPr>
        <w:t xml:space="preserve">. </w:t>
      </w:r>
    </w:p>
    <w:p w14:paraId="735E3E84" w14:textId="77777777" w:rsidR="00A863DA" w:rsidRPr="004207BB" w:rsidRDefault="00A863DA" w:rsidP="00C17FA2">
      <w:pPr>
        <w:pStyle w:val="BodyText"/>
        <w:numPr>
          <w:ilvl w:val="0"/>
          <w:numId w:val="17"/>
        </w:numPr>
        <w:spacing w:line="290" w:lineRule="atLeast"/>
        <w:rPr>
          <w:rFonts w:eastAsiaTheme="minorHAnsi"/>
        </w:rPr>
      </w:pPr>
      <w:r>
        <w:rPr>
          <w:rFonts w:eastAsiaTheme="minorHAnsi"/>
        </w:rPr>
        <w:t>There was</w:t>
      </w:r>
      <w:r w:rsidRPr="004207BB">
        <w:rPr>
          <w:rFonts w:eastAsiaTheme="minorHAnsi"/>
        </w:rPr>
        <w:t xml:space="preserve"> </w:t>
      </w:r>
      <w:r>
        <w:rPr>
          <w:rFonts w:eastAsiaTheme="minorHAnsi"/>
        </w:rPr>
        <w:t>no feedback that advocated that these data elements should be included.</w:t>
      </w:r>
    </w:p>
    <w:p w14:paraId="01914CA9" w14:textId="77777777" w:rsidR="00A863DA" w:rsidRDefault="00A863DA" w:rsidP="00A863DA">
      <w:pPr>
        <w:pStyle w:val="Heading3"/>
      </w:pPr>
      <w:r>
        <w:t>Data elements related to price</w:t>
      </w:r>
    </w:p>
    <w:p w14:paraId="3E36A8DD" w14:textId="77777777" w:rsidR="00A863DA" w:rsidRDefault="00A863DA" w:rsidP="00C17FA2">
      <w:pPr>
        <w:pStyle w:val="BodyText"/>
        <w:numPr>
          <w:ilvl w:val="0"/>
          <w:numId w:val="17"/>
        </w:numPr>
        <w:spacing w:line="290" w:lineRule="atLeast"/>
      </w:pPr>
      <w:r>
        <w:t xml:space="preserve">Respondents were generally supportive of, or did not oppose, our proposals regarding data elements related to price. </w:t>
      </w:r>
    </w:p>
    <w:p w14:paraId="51F90C56" w14:textId="387CA1ED" w:rsidR="00A863DA" w:rsidRDefault="00A863DA" w:rsidP="00C17FA2">
      <w:pPr>
        <w:pStyle w:val="BodyText"/>
        <w:numPr>
          <w:ilvl w:val="0"/>
          <w:numId w:val="17"/>
        </w:numPr>
        <w:spacing w:line="290" w:lineRule="atLeast"/>
      </w:pPr>
      <w:r>
        <w:t xml:space="preserve">Some respondents </w:t>
      </w:r>
      <w:r w:rsidR="00B968E7">
        <w:t xml:space="preserve">agreed </w:t>
      </w:r>
      <w:r>
        <w:t xml:space="preserve">that we </w:t>
      </w:r>
      <w:r w:rsidR="00B968E7">
        <w:t xml:space="preserve">should </w:t>
      </w:r>
      <w:r>
        <w:t>follow the CFTC and require that interest rates and other percentage-like prices be reported as decimals and not as percentages</w:t>
      </w:r>
      <w:r w:rsidR="00404CA5">
        <w:t>—</w:t>
      </w:r>
      <w:r>
        <w:t xml:space="preserve">for example, a </w:t>
      </w:r>
      <w:r>
        <w:rPr>
          <w:rFonts w:eastAsiaTheme="minorHAnsi"/>
        </w:rPr>
        <w:t xml:space="preserve">rate of 2.57% is reported as 0.0257 not 2.57. One respondent appeared to misconstrue that ‘spread’ refers to the ‘bid-offer spread’ and would require reporting of a transaction cost, whereas ‘spread’ refers to a contractual term (if applicable) such as a floating rate expressed as ‘3 month BBSW + 25 basis points’ where </w:t>
      </w:r>
      <w:r w:rsidR="00B968E7">
        <w:rPr>
          <w:rFonts w:eastAsiaTheme="minorHAnsi"/>
        </w:rPr>
        <w:t>‘</w:t>
      </w:r>
      <w:r>
        <w:rPr>
          <w:rFonts w:eastAsiaTheme="minorHAnsi"/>
        </w:rPr>
        <w:t>25 basis points’ is the ‘spread’ to be reported.</w:t>
      </w:r>
    </w:p>
    <w:p w14:paraId="5A5B33AE" w14:textId="3B120187" w:rsidR="00A863DA" w:rsidRDefault="00A863DA" w:rsidP="00C17FA2">
      <w:pPr>
        <w:pStyle w:val="BodyText"/>
        <w:numPr>
          <w:ilvl w:val="0"/>
          <w:numId w:val="17"/>
        </w:numPr>
        <w:spacing w:line="290" w:lineRule="atLeast"/>
      </w:pPr>
      <w:bookmarkStart w:id="164" w:name="_ASICRef561"/>
      <w:r>
        <w:t xml:space="preserve">In </w:t>
      </w:r>
      <w:r w:rsidR="00C17FA2" w:rsidRPr="00C17FA2">
        <w:t>CP 334</w:t>
      </w:r>
      <w:r>
        <w:t>, we also discussed that we would consider for proposal in this second consultation the data elements of price schedule, strike price schedule and first exercise date. Respondents generally indicated that the incidence of such terms in contracts is low, and we have decided not to proceed with these proposals.</w:t>
      </w:r>
      <w:bookmarkEnd w:id="164"/>
    </w:p>
    <w:p w14:paraId="77DA7E63" w14:textId="77777777" w:rsidR="00A863DA" w:rsidRDefault="00A863DA" w:rsidP="00A863DA">
      <w:pPr>
        <w:pStyle w:val="Heading3"/>
      </w:pPr>
      <w:r>
        <w:t>Data elements related to n</w:t>
      </w:r>
      <w:r>
        <w:rPr>
          <w:rFonts w:eastAsiaTheme="minorHAnsi"/>
        </w:rPr>
        <w:t>otional amounts and quantities</w:t>
      </w:r>
    </w:p>
    <w:p w14:paraId="142F968D" w14:textId="77777777" w:rsidR="00A863DA" w:rsidRDefault="00A863DA" w:rsidP="00C17FA2">
      <w:pPr>
        <w:pStyle w:val="BodyText"/>
        <w:numPr>
          <w:ilvl w:val="0"/>
          <w:numId w:val="17"/>
        </w:numPr>
        <w:spacing w:line="290" w:lineRule="atLeast"/>
      </w:pPr>
      <w:r>
        <w:t>Respondents were not opposed to our proposals for expanding the existing notional amounts, quantities and currencies data elements to their leg 2 equivalents, including notional amount schedule information and generalising to all asset classes. Respondents did, however, request guidance on how these data elements should be reported for certain products and transaction types.</w:t>
      </w:r>
    </w:p>
    <w:p w14:paraId="00AF58FF" w14:textId="471B6E77" w:rsidR="00A863DA" w:rsidRDefault="00A863DA" w:rsidP="00C17FA2">
      <w:pPr>
        <w:pStyle w:val="BodyText"/>
        <w:numPr>
          <w:ilvl w:val="0"/>
          <w:numId w:val="17"/>
        </w:numPr>
        <w:spacing w:line="290" w:lineRule="atLeast"/>
      </w:pPr>
      <w:r>
        <w:t>Several respondents expressed concerns about the reporting of delta, particularly that its calculation and implementation is likely to be complex and costly. It was also noted that reporting as an end</w:t>
      </w:r>
      <w:r w:rsidR="00966F06">
        <w:t>-</w:t>
      </w:r>
      <w:r>
        <w:t>of</w:t>
      </w:r>
      <w:r w:rsidR="00966F06">
        <w:t>-</w:t>
      </w:r>
      <w:r>
        <w:t>day field included in a valuation report would be the most effective reporting workflow.</w:t>
      </w:r>
    </w:p>
    <w:p w14:paraId="61F5E3D6" w14:textId="2F039880" w:rsidR="00A863DA" w:rsidRDefault="00A863DA" w:rsidP="00C17FA2">
      <w:pPr>
        <w:pStyle w:val="BodyText"/>
        <w:numPr>
          <w:ilvl w:val="0"/>
          <w:numId w:val="17"/>
        </w:numPr>
        <w:spacing w:line="290" w:lineRule="atLeast"/>
      </w:pPr>
      <w:bookmarkStart w:id="165" w:name="_ASICRef97"/>
      <w:r>
        <w:t>In CP</w:t>
      </w:r>
      <w:r w:rsidR="0016558E">
        <w:t xml:space="preserve"> </w:t>
      </w:r>
      <w:r>
        <w:t>334, we also discussed that we would consider for proposal in this second consultation data elements to describe notional quantity schedules. Few respondents commented on this, but comments did include that there is a low incidence of quantity schedules not being equivalent to notional amount divided by price. There was also no apparent consensus about whether reporting an entire notional quantity schedule upfront was preferred to reporting modification updates to notional quantity over the life of the transaction as and when different notional quantity schedule values become effective.</w:t>
      </w:r>
      <w:bookmarkEnd w:id="165"/>
    </w:p>
    <w:p w14:paraId="3132613C" w14:textId="77777777" w:rsidR="00A863DA" w:rsidRDefault="00A863DA" w:rsidP="00A863DA">
      <w:pPr>
        <w:pStyle w:val="Heading3"/>
      </w:pPr>
      <w:r>
        <w:t>Data elements related to CDS index transactions</w:t>
      </w:r>
    </w:p>
    <w:p w14:paraId="74C90D97" w14:textId="77777777" w:rsidR="00A863DA" w:rsidRDefault="00A863DA" w:rsidP="00C443A0">
      <w:pPr>
        <w:pStyle w:val="BodyText"/>
        <w:numPr>
          <w:ilvl w:val="0"/>
          <w:numId w:val="17"/>
        </w:numPr>
      </w:pPr>
      <w:bookmarkStart w:id="166" w:name="_ASICRef269"/>
      <w:r>
        <w:t>Respondents did not express any significant concerns about our proposals for the reporting of CDS index attachment, detachment and index factor information. One respondent advocated that index factor not be required to be reported as this is publicly available information.</w:t>
      </w:r>
      <w:bookmarkEnd w:id="166"/>
    </w:p>
    <w:p w14:paraId="601B4F0B" w14:textId="77777777" w:rsidR="00A863DA" w:rsidRDefault="00A863DA" w:rsidP="00A863DA">
      <w:pPr>
        <w:pStyle w:val="Heading3"/>
      </w:pPr>
      <w:r>
        <w:t>Data elements related to other payments</w:t>
      </w:r>
    </w:p>
    <w:p w14:paraId="12B43623" w14:textId="751310E7" w:rsidR="00A863DA" w:rsidRDefault="00A863DA" w:rsidP="00C17FA2">
      <w:pPr>
        <w:pStyle w:val="BodyText"/>
        <w:numPr>
          <w:ilvl w:val="0"/>
          <w:numId w:val="17"/>
        </w:numPr>
        <w:spacing w:line="290" w:lineRule="atLeast"/>
      </w:pPr>
      <w:bookmarkStart w:id="167" w:name="_ASICRef22"/>
      <w:r>
        <w:t>Respondents did not express any significant concerns about our proposals for reporting data elements related to other payments.</w:t>
      </w:r>
      <w:bookmarkEnd w:id="167"/>
    </w:p>
    <w:p w14:paraId="268D87BA" w14:textId="67BB1ED5" w:rsidR="00A863DA" w:rsidRDefault="00A863DA" w:rsidP="00C17FA2">
      <w:pPr>
        <w:pStyle w:val="BodyText"/>
        <w:numPr>
          <w:ilvl w:val="0"/>
          <w:numId w:val="17"/>
        </w:numPr>
        <w:spacing w:line="290" w:lineRule="atLeast"/>
      </w:pPr>
      <w:r>
        <w:t>However, several respondents requested additional guidance about reporting these data elements.</w:t>
      </w:r>
    </w:p>
    <w:p w14:paraId="1E9CA817" w14:textId="77777777" w:rsidR="00A863DA" w:rsidRDefault="00A863DA" w:rsidP="00A863DA">
      <w:pPr>
        <w:pStyle w:val="Heading3"/>
      </w:pPr>
      <w:r>
        <w:t>Data elements related to packages and links</w:t>
      </w:r>
    </w:p>
    <w:p w14:paraId="7AE932B3" w14:textId="681DFDB1" w:rsidR="00A863DA" w:rsidRDefault="00A863DA" w:rsidP="00C17FA2">
      <w:pPr>
        <w:pStyle w:val="BodyText"/>
        <w:numPr>
          <w:ilvl w:val="0"/>
          <w:numId w:val="17"/>
        </w:numPr>
        <w:spacing w:line="290" w:lineRule="atLeast"/>
      </w:pPr>
      <w:bookmarkStart w:id="168" w:name="_ASICRef55"/>
      <w:r>
        <w:t>Generally, respondents did not express support or opposition to our proposals but commonly requested more explanation and guidance about reporting information related to packages and links.</w:t>
      </w:r>
      <w:bookmarkEnd w:id="168"/>
    </w:p>
    <w:p w14:paraId="5F4AEDA5" w14:textId="77777777" w:rsidR="00A863DA" w:rsidRDefault="00A863DA" w:rsidP="00A863DA">
      <w:pPr>
        <w:pStyle w:val="Heading3"/>
      </w:pPr>
      <w:r>
        <w:t>Data elements related to custom baskets</w:t>
      </w:r>
    </w:p>
    <w:p w14:paraId="588BAD14" w14:textId="77777777" w:rsidR="00A863DA" w:rsidRDefault="00A863DA" w:rsidP="00C17FA2">
      <w:pPr>
        <w:pStyle w:val="BodyText"/>
        <w:numPr>
          <w:ilvl w:val="0"/>
          <w:numId w:val="17"/>
        </w:numPr>
        <w:spacing w:line="290" w:lineRule="atLeast"/>
      </w:pPr>
      <w:bookmarkStart w:id="169" w:name="_ASICRef543"/>
      <w:r>
        <w:t>Respondents generally appeared comfortable with the requirement to report an identifier for each constituent of a custom basket, with some mixed views as to whether only ISINs or a range of identifier types should be allowed.</w:t>
      </w:r>
      <w:bookmarkEnd w:id="169"/>
    </w:p>
    <w:p w14:paraId="017BC5D1" w14:textId="7155F7D9" w:rsidR="00A863DA" w:rsidRDefault="00A863DA" w:rsidP="00C17FA2">
      <w:pPr>
        <w:pStyle w:val="BodyText"/>
        <w:numPr>
          <w:ilvl w:val="0"/>
          <w:numId w:val="17"/>
        </w:numPr>
        <w:spacing w:line="290" w:lineRule="atLeast"/>
      </w:pPr>
      <w:r>
        <w:t>Respondents did express concerns about implementing the requirement to report a custom basket code</w:t>
      </w:r>
      <w:r w:rsidR="00404CA5">
        <w:t>—</w:t>
      </w:r>
      <w:r>
        <w:t>noting similarities to UTI requirements where</w:t>
      </w:r>
      <w:r w:rsidR="00966F06">
        <w:t xml:space="preserve"> the structure</w:t>
      </w:r>
      <w:r w:rsidR="00CC4A6D">
        <w:t>r</w:t>
      </w:r>
      <w:r w:rsidR="00966F06">
        <w:t xml:space="preserve"> of a custom basket needs to</w:t>
      </w:r>
      <w:r>
        <w:t>:</w:t>
      </w:r>
    </w:p>
    <w:p w14:paraId="04608579" w14:textId="52881B52" w:rsidR="00A863DA" w:rsidRDefault="00A863DA" w:rsidP="00C17FA2">
      <w:pPr>
        <w:pStyle w:val="subparaa"/>
        <w:numPr>
          <w:ilvl w:val="1"/>
          <w:numId w:val="17"/>
        </w:numPr>
        <w:spacing w:line="290" w:lineRule="atLeast"/>
      </w:pPr>
      <w:r>
        <w:t>be identified (most likely as one of the counterparties to the transaction);</w:t>
      </w:r>
    </w:p>
    <w:p w14:paraId="05ED1C53" w14:textId="4A8D0403" w:rsidR="00A863DA" w:rsidRDefault="00A863DA" w:rsidP="00C17FA2">
      <w:pPr>
        <w:pStyle w:val="subparaa"/>
        <w:numPr>
          <w:ilvl w:val="1"/>
          <w:numId w:val="17"/>
        </w:numPr>
        <w:spacing w:line="290" w:lineRule="atLeast"/>
      </w:pPr>
      <w:r>
        <w:t>generate a custom basket code; and</w:t>
      </w:r>
    </w:p>
    <w:p w14:paraId="74643EF3" w14:textId="12E9FCD4" w:rsidR="00A863DA" w:rsidRDefault="00A863DA" w:rsidP="00C17FA2">
      <w:pPr>
        <w:pStyle w:val="subparaa"/>
        <w:numPr>
          <w:ilvl w:val="1"/>
          <w:numId w:val="17"/>
        </w:numPr>
        <w:spacing w:line="290" w:lineRule="atLeast"/>
      </w:pPr>
      <w:r>
        <w:t>provide it to the counterparties who will report the transaction.</w:t>
      </w:r>
    </w:p>
    <w:p w14:paraId="44CFE3F1" w14:textId="77777777" w:rsidR="00A863DA" w:rsidRDefault="00A863DA" w:rsidP="00C17FA2">
      <w:pPr>
        <w:pStyle w:val="BodyText"/>
        <w:numPr>
          <w:ilvl w:val="0"/>
          <w:numId w:val="17"/>
        </w:numPr>
        <w:spacing w:line="290" w:lineRule="atLeast"/>
      </w:pPr>
      <w:r>
        <w:t>Respondents also noted that, although a custom basket code is a CDE Guidance data element, the identification of custom baskets under the final CFTC rules is by true/false indicator, rather than by a code.</w:t>
      </w:r>
    </w:p>
    <w:p w14:paraId="76688012" w14:textId="4D0426E0" w:rsidR="00A863DA" w:rsidRDefault="00A863DA" w:rsidP="00C17FA2">
      <w:pPr>
        <w:pStyle w:val="Note"/>
        <w:spacing w:line="230" w:lineRule="atLeast"/>
      </w:pPr>
      <w:r>
        <w:t xml:space="preserve">Note: </w:t>
      </w:r>
      <w:r w:rsidR="003B410B">
        <w:t>I</w:t>
      </w:r>
      <w:r>
        <w:t xml:space="preserve">n Table 25 of </w:t>
      </w:r>
      <w:hyperlink r:id="rId114" w:history="1">
        <w:r w:rsidRPr="003B410B">
          <w:rPr>
            <w:rStyle w:val="Hyperlink"/>
          </w:rPr>
          <w:t>CP 334</w:t>
        </w:r>
      </w:hyperlink>
      <w:r>
        <w:t>, we misidentified that the ESMA proposals specify ‘B’ for custom basket code, rather than a code. However, at paragraph 305 of CP 334, we described that the ESMA proposals specify ‘B’ for ‘underlying identification type’, if a basket. In fact, in the ESMA proposals and in the final EU rules, a code is required for custom basket code and ‘B’ is required for ‘underlying identification type’, if a basket.</w:t>
      </w:r>
    </w:p>
    <w:p w14:paraId="2206257B" w14:textId="33544E1F" w:rsidR="00A863DA" w:rsidRDefault="00A863DA" w:rsidP="00C17FA2">
      <w:pPr>
        <w:pStyle w:val="BodyText"/>
        <w:numPr>
          <w:ilvl w:val="0"/>
          <w:numId w:val="17"/>
        </w:numPr>
        <w:spacing w:line="290" w:lineRule="atLeast"/>
      </w:pPr>
      <w:r>
        <w:t xml:space="preserve">In </w:t>
      </w:r>
      <w:hyperlink r:id="rId115" w:history="1">
        <w:r w:rsidRPr="00376D83">
          <w:rPr>
            <w:rStyle w:val="Hyperlink"/>
          </w:rPr>
          <w:t>CP 334</w:t>
        </w:r>
      </w:hyperlink>
      <w:r>
        <w:t>, we also discussed that we would consider for proposal in this second consultation additional data elements related to the number of units of each of a basket’s constituents. We noted that these data elements were proposed in the text of ESMA proposals but not in the ‘Draft RTS’.</w:t>
      </w:r>
    </w:p>
    <w:p w14:paraId="60D8ABBC" w14:textId="77777777" w:rsidR="00A863DA" w:rsidRDefault="00A863DA" w:rsidP="00C17FA2">
      <w:pPr>
        <w:pStyle w:val="BodyText"/>
        <w:numPr>
          <w:ilvl w:val="0"/>
          <w:numId w:val="17"/>
        </w:numPr>
        <w:spacing w:line="290" w:lineRule="atLeast"/>
      </w:pPr>
      <w:bookmarkStart w:id="170" w:name="_ASICRef916"/>
      <w:r>
        <w:t>These additional data elements are not in the final ESMA rules. Respondents also anticipated added complexity if these data elements were required to be reported.</w:t>
      </w:r>
      <w:bookmarkEnd w:id="170"/>
    </w:p>
    <w:p w14:paraId="73413325" w14:textId="77777777" w:rsidR="00A863DA" w:rsidRDefault="00A863DA" w:rsidP="00A863DA">
      <w:pPr>
        <w:pStyle w:val="Heading3"/>
      </w:pPr>
      <w:r>
        <w:t>Data elements related to other data elements</w:t>
      </w:r>
    </w:p>
    <w:p w14:paraId="27540934" w14:textId="3B143C53" w:rsidR="00A863DA" w:rsidRDefault="00A863DA" w:rsidP="00C17FA2">
      <w:pPr>
        <w:pStyle w:val="BodyText"/>
        <w:numPr>
          <w:ilvl w:val="0"/>
          <w:numId w:val="17"/>
        </w:numPr>
        <w:spacing w:line="290" w:lineRule="atLeast"/>
      </w:pPr>
      <w:bookmarkStart w:id="171" w:name="_ASICRef155"/>
      <w:r>
        <w:t xml:space="preserve">In </w:t>
      </w:r>
      <w:r w:rsidR="00376D83" w:rsidRPr="00376D83">
        <w:t>CP 334</w:t>
      </w:r>
      <w:r>
        <w:t>, the other data elements referred to UTI, UPI, action type, event type, report submitting entity, reporting timestamp, jurisdiction and e</w:t>
      </w:r>
      <w:bookmarkStart w:id="172" w:name="_Hlk54157082"/>
      <w:r>
        <w:t>mbedded option type</w:t>
      </w:r>
      <w:bookmarkEnd w:id="172"/>
      <w:r>
        <w:t>. We also discussed that we would consider for proposal in this second consultation additional data elements of m</w:t>
      </w:r>
      <w:r w:rsidRPr="00812ADA">
        <w:t>aturity date of the underlying</w:t>
      </w:r>
      <w:r>
        <w:t xml:space="preserve"> and a n</w:t>
      </w:r>
      <w:r w:rsidRPr="005A1E16">
        <w:t>on</w:t>
      </w:r>
      <w:r>
        <w:t>-</w:t>
      </w:r>
      <w:r w:rsidRPr="00B15E5E">
        <w:t>r</w:t>
      </w:r>
      <w:r>
        <w:t>e</w:t>
      </w:r>
      <w:r w:rsidRPr="00B15E5E">
        <w:t>ported</w:t>
      </w:r>
      <w:r>
        <w:t xml:space="preserve"> </w:t>
      </w:r>
      <w:r w:rsidRPr="005A1E16">
        <w:t>term indicator</w:t>
      </w:r>
      <w:r>
        <w:t>.</w:t>
      </w:r>
      <w:bookmarkEnd w:id="171"/>
    </w:p>
    <w:p w14:paraId="5DF1E5FB" w14:textId="0EC6DD8E" w:rsidR="00A863DA" w:rsidRDefault="00A863DA" w:rsidP="00C17FA2">
      <w:pPr>
        <w:pStyle w:val="BodyText"/>
        <w:numPr>
          <w:ilvl w:val="0"/>
          <w:numId w:val="17"/>
        </w:numPr>
        <w:spacing w:line="290" w:lineRule="atLeast"/>
      </w:pPr>
      <w:r>
        <w:t xml:space="preserve">For the UTI and UPI, we have discussed the feedback responses and our revised proposals in Sections </w:t>
      </w:r>
      <w:r w:rsidR="004C5BF8">
        <w:fldChar w:fldCharType="begin" w:fldLock="1"/>
      </w:r>
      <w:r w:rsidR="004C5BF8">
        <w:instrText xml:space="preserve"> REF _ASICRef705 \r \h </w:instrText>
      </w:r>
      <w:r w:rsidR="004C5BF8">
        <w:fldChar w:fldCharType="separate"/>
      </w:r>
      <w:r w:rsidR="00853A2A">
        <w:t>B</w:t>
      </w:r>
      <w:r w:rsidR="004C5BF8">
        <w:fldChar w:fldCharType="end"/>
      </w:r>
      <w:r>
        <w:t xml:space="preserve"> and </w:t>
      </w:r>
      <w:r w:rsidR="004C5BF8">
        <w:fldChar w:fldCharType="begin" w:fldLock="1"/>
      </w:r>
      <w:r w:rsidR="004C5BF8">
        <w:instrText xml:space="preserve"> REF _Ref100562254 \r \h </w:instrText>
      </w:r>
      <w:r w:rsidR="004C5BF8">
        <w:fldChar w:fldCharType="separate"/>
      </w:r>
      <w:r w:rsidR="00853A2A">
        <w:t>C</w:t>
      </w:r>
      <w:r w:rsidR="004C5BF8">
        <w:fldChar w:fldCharType="end"/>
      </w:r>
      <w:r>
        <w:t xml:space="preserve"> respectively, including specifying maturity date of the underlying as a data element. For report submitting entity ID, respondents did not raise any concerns but noted that we had duplicated in error our proposal for reporting timestamp.</w:t>
      </w:r>
    </w:p>
    <w:p w14:paraId="2410C313" w14:textId="47B60E0C" w:rsidR="00A863DA" w:rsidRDefault="00A863DA" w:rsidP="00C17FA2">
      <w:pPr>
        <w:pStyle w:val="BodyText"/>
        <w:numPr>
          <w:ilvl w:val="0"/>
          <w:numId w:val="17"/>
        </w:numPr>
        <w:spacing w:line="290" w:lineRule="atLeast"/>
      </w:pPr>
      <w:bookmarkStart w:id="173" w:name="_ASICRef95"/>
      <w:r>
        <w:t xml:space="preserve">For action type and event type, several respondents requested comprehensive and clear guidance about the circumstances </w:t>
      </w:r>
      <w:r w:rsidR="00A91406">
        <w:t xml:space="preserve">in which </w:t>
      </w:r>
      <w:r>
        <w:t>each kind of action type value or event type value is required to be reported.</w:t>
      </w:r>
      <w:bookmarkEnd w:id="173"/>
    </w:p>
    <w:p w14:paraId="3218712B" w14:textId="77777777" w:rsidR="00A863DA" w:rsidRDefault="00A863DA" w:rsidP="00C17FA2">
      <w:pPr>
        <w:pStyle w:val="BodyText"/>
        <w:numPr>
          <w:ilvl w:val="0"/>
          <w:numId w:val="17"/>
        </w:numPr>
        <w:spacing w:line="290" w:lineRule="atLeast"/>
      </w:pPr>
      <w:bookmarkStart w:id="174" w:name="_ASICRef474"/>
      <w:r>
        <w:t>However, several respondents opposed our proposals for the data elements of jurisdiction, embedded option type and our possible proposal for non-reported term indicator. Respondents commonly noted that:</w:t>
      </w:r>
      <w:bookmarkEnd w:id="174"/>
    </w:p>
    <w:p w14:paraId="6EBA3A1D" w14:textId="77777777" w:rsidR="00A863DA" w:rsidRDefault="00A863DA" w:rsidP="00C17FA2">
      <w:pPr>
        <w:pStyle w:val="subparaa"/>
        <w:numPr>
          <w:ilvl w:val="1"/>
          <w:numId w:val="17"/>
        </w:numPr>
        <w:spacing w:line="290" w:lineRule="atLeast"/>
      </w:pPr>
      <w:r>
        <w:t>our proposal for jurisdiction was not aligned with the CFTC’s requirements for the data element;</w:t>
      </w:r>
    </w:p>
    <w:p w14:paraId="79544CEA" w14:textId="77777777" w:rsidR="00A863DA" w:rsidRDefault="00A863DA" w:rsidP="00C17FA2">
      <w:pPr>
        <w:pStyle w:val="subparaa"/>
        <w:numPr>
          <w:ilvl w:val="1"/>
          <w:numId w:val="17"/>
        </w:numPr>
        <w:spacing w:line="290" w:lineRule="atLeast"/>
      </w:pPr>
      <w:r>
        <w:t>embedded option type is information that is not ordinarily in systems and may present some front office data capture challenges; and</w:t>
      </w:r>
    </w:p>
    <w:p w14:paraId="321799E1" w14:textId="77777777" w:rsidR="00A863DA" w:rsidRDefault="00A863DA" w:rsidP="00C17FA2">
      <w:pPr>
        <w:pStyle w:val="subparaa"/>
        <w:numPr>
          <w:ilvl w:val="1"/>
          <w:numId w:val="17"/>
        </w:numPr>
        <w:spacing w:line="290" w:lineRule="atLeast"/>
      </w:pPr>
      <w:r>
        <w:t>our proposal for non-reported term indicator introduced a meaning that was different to the CFTC’s meaning for its comparable field and this meaning was not particularly clear.</w:t>
      </w:r>
    </w:p>
    <w:p w14:paraId="4303D824" w14:textId="77777777" w:rsidR="002975E5" w:rsidRDefault="002975E5" w:rsidP="000A4612">
      <w:pPr>
        <w:pStyle w:val="Heading3"/>
      </w:pPr>
      <w:r>
        <w:t>Our response</w:t>
      </w:r>
    </w:p>
    <w:p w14:paraId="0587C874" w14:textId="77777777" w:rsidR="002975E5" w:rsidRDefault="002975E5" w:rsidP="00C17FA2">
      <w:pPr>
        <w:pStyle w:val="BodyText"/>
        <w:numPr>
          <w:ilvl w:val="0"/>
          <w:numId w:val="17"/>
        </w:numPr>
        <w:spacing w:line="290" w:lineRule="atLeast"/>
      </w:pPr>
      <w:r>
        <w:t>Taking into account the feedback to CP 334, for the draft amended ASIC Rules we have decided to:</w:t>
      </w:r>
    </w:p>
    <w:p w14:paraId="4521C8C8" w14:textId="77777777" w:rsidR="002975E5" w:rsidRDefault="002975E5" w:rsidP="00C17FA2">
      <w:pPr>
        <w:pStyle w:val="subparaa"/>
        <w:numPr>
          <w:ilvl w:val="1"/>
          <w:numId w:val="17"/>
        </w:numPr>
        <w:spacing w:line="290" w:lineRule="atLeast"/>
      </w:pPr>
      <w:r>
        <w:t>proceed with many of the elements of our proposals in CP 334;</w:t>
      </w:r>
    </w:p>
    <w:p w14:paraId="3C2074CD" w14:textId="77777777" w:rsidR="002975E5" w:rsidRDefault="002975E5" w:rsidP="00C17FA2">
      <w:pPr>
        <w:pStyle w:val="subparaa"/>
        <w:numPr>
          <w:ilvl w:val="1"/>
          <w:numId w:val="17"/>
        </w:numPr>
        <w:spacing w:line="290" w:lineRule="atLeast"/>
      </w:pPr>
      <w:r>
        <w:t>not proceed with several elements, particularly those which were to be considered for a proposal in this second consultation;</w:t>
      </w:r>
    </w:p>
    <w:p w14:paraId="442DB5A3" w14:textId="77777777" w:rsidR="002975E5" w:rsidRDefault="002975E5" w:rsidP="00C17FA2">
      <w:pPr>
        <w:pStyle w:val="subparaa"/>
        <w:numPr>
          <w:ilvl w:val="1"/>
          <w:numId w:val="17"/>
        </w:numPr>
        <w:spacing w:line="290" w:lineRule="atLeast"/>
      </w:pPr>
      <w:r>
        <w:t>make new proposals for additional data elements.</w:t>
      </w:r>
    </w:p>
    <w:p w14:paraId="33AE7449" w14:textId="77777777" w:rsidR="00C41A0B" w:rsidRPr="00C41A0B" w:rsidRDefault="00C41A0B" w:rsidP="00C41A0B">
      <w:pPr>
        <w:pStyle w:val="Bodytextplain"/>
        <w:keepNext/>
        <w:spacing w:before="0" w:line="240" w:lineRule="auto"/>
        <w:rPr>
          <w:sz w:val="4"/>
          <w:szCs w:val="4"/>
        </w:rPr>
      </w:pPr>
    </w:p>
    <w:p w14:paraId="289E0DE6" w14:textId="40C72A4C" w:rsidR="002975E5" w:rsidRDefault="002975E5" w:rsidP="00537148">
      <w:pPr>
        <w:pStyle w:val="BodyText"/>
        <w:numPr>
          <w:ilvl w:val="0"/>
          <w:numId w:val="17"/>
        </w:numPr>
        <w:spacing w:before="0" w:line="290" w:lineRule="atLeast"/>
      </w:pPr>
      <w:r>
        <w:t xml:space="preserve">We are now proposing Schedule 1 </w:t>
      </w:r>
      <w:r w:rsidR="005E261B">
        <w:t>‘</w:t>
      </w:r>
      <w:r>
        <w:t>Information requirements</w:t>
      </w:r>
      <w:r w:rsidR="005E261B">
        <w:t>’</w:t>
      </w:r>
      <w:r>
        <w:t xml:space="preserve"> of the draft amended ASIC Rules (</w:t>
      </w:r>
      <w:r w:rsidR="004C5BF8">
        <w:t xml:space="preserve">see </w:t>
      </w:r>
      <w:r>
        <w:t>Attachment 2) as the implementation of the data element requirements from 1 April 2024.</w:t>
      </w:r>
    </w:p>
    <w:p w14:paraId="528808AB" w14:textId="1F7E77AB" w:rsidR="002975E5" w:rsidRDefault="002975E5" w:rsidP="00CB04C4">
      <w:pPr>
        <w:pStyle w:val="BodyText"/>
        <w:numPr>
          <w:ilvl w:val="0"/>
          <w:numId w:val="17"/>
        </w:numPr>
        <w:spacing w:before="180" w:line="290" w:lineRule="atLeast"/>
      </w:pPr>
      <w:r>
        <w:t xml:space="preserve">Schedule 1 </w:t>
      </w:r>
      <w:r w:rsidR="00DE3816">
        <w:t>‘</w:t>
      </w:r>
      <w:r>
        <w:t>Information requirements</w:t>
      </w:r>
      <w:r w:rsidR="00DE3816">
        <w:t>’</w:t>
      </w:r>
      <w:r>
        <w:t xml:space="preserve"> of the draft amended ASIC Rules sets out:</w:t>
      </w:r>
    </w:p>
    <w:p w14:paraId="47C17956" w14:textId="77777777" w:rsidR="002975E5" w:rsidRDefault="002975E5" w:rsidP="00CB04C4">
      <w:pPr>
        <w:pStyle w:val="subparaa"/>
        <w:numPr>
          <w:ilvl w:val="1"/>
          <w:numId w:val="17"/>
        </w:numPr>
        <w:spacing w:before="80" w:line="290" w:lineRule="atLeast"/>
      </w:pPr>
      <w:r>
        <w:t>the derivative transaction information organised in three tables as transaction information, valuation information and collateral information;</w:t>
      </w:r>
    </w:p>
    <w:p w14:paraId="6458C3B0" w14:textId="77777777" w:rsidR="002975E5" w:rsidRDefault="002975E5" w:rsidP="00CB04C4">
      <w:pPr>
        <w:pStyle w:val="subparaa"/>
        <w:numPr>
          <w:ilvl w:val="1"/>
          <w:numId w:val="17"/>
        </w:numPr>
        <w:spacing w:before="80" w:line="290" w:lineRule="atLeast"/>
      </w:pPr>
      <w:r>
        <w:t>the meaning and applicability of each data element and the required formats and allowable values for each data element;</w:t>
      </w:r>
    </w:p>
    <w:p w14:paraId="3C5822E9" w14:textId="77777777" w:rsidR="002975E5" w:rsidRPr="00BD1BF2" w:rsidRDefault="002975E5" w:rsidP="00CB04C4">
      <w:pPr>
        <w:pStyle w:val="subparaa"/>
        <w:numPr>
          <w:ilvl w:val="1"/>
          <w:numId w:val="17"/>
        </w:numPr>
        <w:spacing w:before="80" w:line="290" w:lineRule="atLeast"/>
      </w:pPr>
      <w:r w:rsidRPr="00BD1BF2">
        <w:t>the entity identifier required to be reported for different circumstances of the kind of entity and kind of report;</w:t>
      </w:r>
    </w:p>
    <w:p w14:paraId="1C4014AC" w14:textId="77777777" w:rsidR="002975E5" w:rsidRDefault="002975E5" w:rsidP="00CB04C4">
      <w:pPr>
        <w:pStyle w:val="subparaa"/>
        <w:numPr>
          <w:ilvl w:val="1"/>
          <w:numId w:val="17"/>
        </w:numPr>
        <w:spacing w:before="80" w:line="290" w:lineRule="atLeast"/>
      </w:pPr>
      <w:r>
        <w:t xml:space="preserve">an exemption for a </w:t>
      </w:r>
      <w:r w:rsidRPr="005175FE">
        <w:t>‘small-scale buy-side entity’ from the</w:t>
      </w:r>
      <w:r>
        <w:t xml:space="preserve"> requirements to report delta for an option and most of the extended requirement for collateral information.</w:t>
      </w:r>
    </w:p>
    <w:p w14:paraId="6165BDA9" w14:textId="7952909A" w:rsidR="002975E5" w:rsidRDefault="002975E5" w:rsidP="00CB04C4">
      <w:pPr>
        <w:pStyle w:val="BodyText"/>
        <w:numPr>
          <w:ilvl w:val="0"/>
          <w:numId w:val="17"/>
        </w:numPr>
        <w:spacing w:before="180" w:line="290" w:lineRule="atLeast"/>
      </w:pPr>
      <w:r>
        <w:t xml:space="preserve">We are also proposing Schedule 1 </w:t>
      </w:r>
      <w:r w:rsidR="00DE3816">
        <w:t>‘</w:t>
      </w:r>
      <w:r>
        <w:t>Information requirements</w:t>
      </w:r>
      <w:r w:rsidR="00DE3816">
        <w:t>’</w:t>
      </w:r>
      <w:r>
        <w:t xml:space="preserve"> of the draft remade ASIC Rules (</w:t>
      </w:r>
      <w:r w:rsidR="004C5BF8">
        <w:t xml:space="preserve">see </w:t>
      </w:r>
      <w:r>
        <w:t>Attachment 1) as the implementation of the data element requirements from 1 October 2023 to 31 March 2024.</w:t>
      </w:r>
    </w:p>
    <w:p w14:paraId="1729D88F" w14:textId="1C983652" w:rsidR="002975E5" w:rsidRDefault="002975E5" w:rsidP="00CB04C4">
      <w:pPr>
        <w:pStyle w:val="BodyText"/>
        <w:numPr>
          <w:ilvl w:val="0"/>
          <w:numId w:val="17"/>
        </w:numPr>
        <w:spacing w:before="180" w:line="290" w:lineRule="atLeast"/>
      </w:pPr>
      <w:r>
        <w:t xml:space="preserve">Schedule 1 </w:t>
      </w:r>
      <w:r w:rsidR="00DE3816">
        <w:t>‘</w:t>
      </w:r>
      <w:r>
        <w:t>Information requirements</w:t>
      </w:r>
      <w:r w:rsidR="00DE3816">
        <w:t>’</w:t>
      </w:r>
      <w:r>
        <w:t xml:space="preserve"> of the draft remade ASIC Rules sets out:</w:t>
      </w:r>
    </w:p>
    <w:p w14:paraId="3B65A976" w14:textId="77777777" w:rsidR="002975E5" w:rsidRDefault="002975E5" w:rsidP="00CB04C4">
      <w:pPr>
        <w:pStyle w:val="subparaa"/>
        <w:numPr>
          <w:ilvl w:val="1"/>
          <w:numId w:val="17"/>
        </w:numPr>
        <w:spacing w:before="80" w:line="290" w:lineRule="atLeast"/>
      </w:pPr>
      <w:r>
        <w:t>consequential changes for consistency with the second stage draft amended ASIC Rules in the name, meaning and applicability of each data element;</w:t>
      </w:r>
    </w:p>
    <w:p w14:paraId="4622E098" w14:textId="16CFDB54" w:rsidR="002975E5" w:rsidRDefault="002975E5" w:rsidP="00CB04C4">
      <w:pPr>
        <w:pStyle w:val="subparaa"/>
        <w:numPr>
          <w:ilvl w:val="1"/>
          <w:numId w:val="17"/>
        </w:numPr>
        <w:spacing w:before="80" w:line="290" w:lineRule="atLeast"/>
      </w:pPr>
      <w:r>
        <w:t>additional data elements but only to the extent that the data elements are already reported to the sole ASIC-licensed derivative trade repository</w:t>
      </w:r>
      <w:r w:rsidRPr="00D87AF3">
        <w:t xml:space="preserve"> </w:t>
      </w:r>
      <w:r w:rsidRPr="00AF65B3">
        <w:t>DDRS</w:t>
      </w:r>
      <w:r>
        <w:t>, albeit that they are not data elements required under the current ASIC Rules;</w:t>
      </w:r>
    </w:p>
    <w:p w14:paraId="430F010F" w14:textId="77777777" w:rsidR="002975E5" w:rsidRDefault="002975E5" w:rsidP="00CB04C4">
      <w:pPr>
        <w:pStyle w:val="subparaa"/>
        <w:numPr>
          <w:ilvl w:val="1"/>
          <w:numId w:val="17"/>
        </w:numPr>
        <w:spacing w:before="80" w:line="290" w:lineRule="atLeast"/>
      </w:pPr>
      <w:r>
        <w:t>required formats and allowable values for each data element but only to the extent that the requirements are the same as under the current reporting to a derivative trade repository; and</w:t>
      </w:r>
    </w:p>
    <w:p w14:paraId="31A86E1F" w14:textId="77777777" w:rsidR="002975E5" w:rsidRDefault="002975E5" w:rsidP="00CB04C4">
      <w:pPr>
        <w:pStyle w:val="subparaa"/>
        <w:numPr>
          <w:ilvl w:val="1"/>
          <w:numId w:val="17"/>
        </w:numPr>
        <w:spacing w:before="80" w:line="290" w:lineRule="atLeast"/>
      </w:pPr>
      <w:r>
        <w:t>temporarily retaining data elements of the current ASIC Rules that do not exactly align with data elements of the draft amended ASIC Rules.</w:t>
      </w:r>
    </w:p>
    <w:p w14:paraId="50EC9285" w14:textId="6B010F2C" w:rsidR="00B93452" w:rsidRDefault="002975E5" w:rsidP="00CB04C4">
      <w:pPr>
        <w:pStyle w:val="BodyText"/>
        <w:numPr>
          <w:ilvl w:val="0"/>
          <w:numId w:val="17"/>
        </w:numPr>
        <w:spacing w:before="180" w:line="290" w:lineRule="atLeast"/>
      </w:pPr>
      <w:bookmarkStart w:id="175" w:name="_ASICRef261"/>
      <w:bookmarkStart w:id="176" w:name="_Hlk96231778"/>
      <w:r>
        <w:t xml:space="preserve">Schedule 1 </w:t>
      </w:r>
      <w:r w:rsidR="00DE3816">
        <w:t>‘</w:t>
      </w:r>
      <w:r>
        <w:t>Information requirements</w:t>
      </w:r>
      <w:r w:rsidR="00DE3816">
        <w:t>’</w:t>
      </w:r>
      <w:r>
        <w:t xml:space="preserve"> of the draft remade ASIC Rules </w:t>
      </w:r>
      <w:r w:rsidR="005851D0">
        <w:t xml:space="preserve">does </w:t>
      </w:r>
      <w:r>
        <w:t>not intend to require changes to the systems and processes that the vast majority of reporting entities currently use for reporting. We think that:</w:t>
      </w:r>
      <w:bookmarkEnd w:id="175"/>
      <w:bookmarkEnd w:id="176"/>
    </w:p>
    <w:p w14:paraId="4FA34CA0" w14:textId="0817F2D6" w:rsidR="00B93452" w:rsidRDefault="002975E5" w:rsidP="00CB04C4">
      <w:pPr>
        <w:pStyle w:val="BodyText"/>
        <w:numPr>
          <w:ilvl w:val="1"/>
          <w:numId w:val="17"/>
        </w:numPr>
        <w:spacing w:before="180" w:line="290" w:lineRule="atLeast"/>
      </w:pPr>
      <w:r>
        <w:t>data elements that are removed from the current ASIC Rules become data elements that are ‘not required’</w:t>
      </w:r>
      <w:r w:rsidR="00404CA5">
        <w:t>—</w:t>
      </w:r>
      <w:r>
        <w:t>they may, but not necessarily must, be removed from a reporting entity’s reporting to a derivative trade repository;</w:t>
      </w:r>
    </w:p>
    <w:p w14:paraId="0B6D1703" w14:textId="77777777" w:rsidR="00B93452" w:rsidRDefault="002975E5" w:rsidP="00CB04C4">
      <w:pPr>
        <w:pStyle w:val="BodyText"/>
        <w:numPr>
          <w:ilvl w:val="1"/>
          <w:numId w:val="17"/>
        </w:numPr>
        <w:spacing w:before="180" w:line="290" w:lineRule="atLeast"/>
      </w:pPr>
      <w:r>
        <w:t>the formats and allowable values for data elements are not changed from their current formats and allowable values;</w:t>
      </w:r>
    </w:p>
    <w:p w14:paraId="7E38F3F6" w14:textId="766B3F6C" w:rsidR="002975E5" w:rsidRDefault="002975E5" w:rsidP="00CB04C4">
      <w:pPr>
        <w:pStyle w:val="BodyText"/>
        <w:numPr>
          <w:ilvl w:val="1"/>
          <w:numId w:val="17"/>
        </w:numPr>
        <w:spacing w:line="290" w:lineRule="atLeast"/>
      </w:pPr>
      <w:r>
        <w:t>a small number of reporting entities would be required to report one or two data elements that they are not currently reporting (unlike the reporting by the vast majority of reporting entities).</w:t>
      </w:r>
    </w:p>
    <w:p w14:paraId="69F432A7" w14:textId="7A2215E1" w:rsidR="002975E5" w:rsidRDefault="00061A2D" w:rsidP="00CB04C4">
      <w:pPr>
        <w:pStyle w:val="BodyText"/>
        <w:numPr>
          <w:ilvl w:val="0"/>
          <w:numId w:val="17"/>
        </w:numPr>
        <w:spacing w:line="290" w:lineRule="atLeast"/>
      </w:pPr>
      <w:r>
        <w:t>Appendix 1</w:t>
      </w:r>
      <w:r w:rsidR="002975E5">
        <w:t xml:space="preserve"> maps the changes in data elements from the current ASIC Rules through the draft remade ASIC Rules to the draft amended ASIC Rules.</w:t>
      </w:r>
    </w:p>
    <w:p w14:paraId="58482E79" w14:textId="77777777" w:rsidR="002975E5" w:rsidRDefault="002975E5" w:rsidP="00CB04C4">
      <w:pPr>
        <w:pStyle w:val="BodyText"/>
        <w:numPr>
          <w:ilvl w:val="0"/>
          <w:numId w:val="17"/>
        </w:numPr>
        <w:spacing w:line="290" w:lineRule="atLeast"/>
      </w:pPr>
      <w:r>
        <w:t>We are also proposing changes in:</w:t>
      </w:r>
    </w:p>
    <w:p w14:paraId="642BB0D2" w14:textId="77777777" w:rsidR="002975E5" w:rsidRDefault="002975E5" w:rsidP="00CB04C4">
      <w:pPr>
        <w:pStyle w:val="subparaa"/>
        <w:numPr>
          <w:ilvl w:val="1"/>
          <w:numId w:val="17"/>
        </w:numPr>
        <w:spacing w:line="290" w:lineRule="atLeast"/>
      </w:pPr>
      <w:r>
        <w:t>Rule 2.2.1 to curtail duplicative reporting and recognise information derived by a derivative trade repository from other information received; and</w:t>
      </w:r>
    </w:p>
    <w:p w14:paraId="7B2B5276" w14:textId="19CBBD9B" w:rsidR="002975E5" w:rsidRDefault="002975E5" w:rsidP="00CB04C4">
      <w:pPr>
        <w:pStyle w:val="subparaa"/>
        <w:numPr>
          <w:ilvl w:val="1"/>
          <w:numId w:val="17"/>
        </w:numPr>
        <w:spacing w:line="290" w:lineRule="atLeast"/>
      </w:pPr>
      <w:r>
        <w:t>Schedule 1 to recognise that appointed persons (e.g. fund managers) may fulfil certain reporting requirements for a reporting entity that is a responsible entity or trustee, recognise transaction-to-position conversion reporting practices and not require format and allowable values updates in change reports until the commencement of the draft amended ASIC Rules.</w:t>
      </w:r>
    </w:p>
    <w:p w14:paraId="48076178" w14:textId="47CBC57B" w:rsidR="002975E5" w:rsidRDefault="002975E5" w:rsidP="00CB04C4">
      <w:pPr>
        <w:pStyle w:val="BodyText"/>
        <w:numPr>
          <w:ilvl w:val="0"/>
          <w:numId w:val="17"/>
        </w:numPr>
        <w:spacing w:line="290" w:lineRule="atLeast"/>
      </w:pPr>
      <w:r>
        <w:t>These changes would affect or condition</w:t>
      </w:r>
      <w:r w:rsidR="00966F06">
        <w:t xml:space="preserve"> how the data elements are</w:t>
      </w:r>
      <w:r w:rsidR="0057753E">
        <w:t xml:space="preserve"> reported</w:t>
      </w:r>
      <w:r w:rsidR="00966F06">
        <w:t xml:space="preserve"> </w:t>
      </w:r>
      <w:r>
        <w:t>and are presented in this section to provide a fuller context for stakeholders’ evaluation of the proposed data element requirements.</w:t>
      </w:r>
    </w:p>
    <w:p w14:paraId="5E3301F2" w14:textId="2F7A9108" w:rsidR="002975E5" w:rsidRDefault="002975E5" w:rsidP="00CB04C4">
      <w:pPr>
        <w:pStyle w:val="BodyText"/>
        <w:numPr>
          <w:ilvl w:val="0"/>
          <w:numId w:val="17"/>
        </w:numPr>
        <w:spacing w:line="290" w:lineRule="atLeast"/>
      </w:pPr>
      <w:r>
        <w:t xml:space="preserve">Our responses and proposals are summarised in </w:t>
      </w:r>
      <w:r>
        <w:fldChar w:fldCharType="begin" w:fldLock="1"/>
      </w:r>
      <w:r>
        <w:instrText xml:space="preserve"> REF _Ref96232416 \h </w:instrText>
      </w:r>
      <w:r>
        <w:fldChar w:fldCharType="separate"/>
      </w:r>
      <w:r w:rsidR="00853A2A">
        <w:t xml:space="preserve">Table </w:t>
      </w:r>
      <w:r w:rsidR="00853A2A">
        <w:rPr>
          <w:noProof/>
        </w:rPr>
        <w:t>26</w:t>
      </w:r>
      <w:r>
        <w:fldChar w:fldCharType="end"/>
      </w:r>
      <w:r w:rsidR="005851D0">
        <w:t>.</w:t>
      </w:r>
    </w:p>
    <w:p w14:paraId="65DE9A72" w14:textId="76AE4CB9" w:rsidR="002975E5" w:rsidRDefault="002975E5" w:rsidP="002764E1">
      <w:pPr>
        <w:pStyle w:val="tabletitleindented"/>
      </w:pPr>
      <w:bookmarkStart w:id="177" w:name="_Ref96232416"/>
      <w:r>
        <w:t xml:space="preserve">Table </w:t>
      </w:r>
      <w:fldSimple w:instr=" SEQ Table \* ARABIC ">
        <w:r w:rsidR="006679BA">
          <w:rPr>
            <w:noProof/>
          </w:rPr>
          <w:t>26</w:t>
        </w:r>
      </w:fldSimple>
      <w:bookmarkEnd w:id="177"/>
      <w:r>
        <w:t>:</w:t>
      </w:r>
      <w:r>
        <w:tab/>
        <w:t>Summary of ASIC’s responses and proposals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1701"/>
        <w:gridCol w:w="5103"/>
      </w:tblGrid>
      <w:tr w:rsidR="002975E5" w:rsidRPr="000540E1" w14:paraId="4F97EF24" w14:textId="77777777" w:rsidTr="009E722B">
        <w:tc>
          <w:tcPr>
            <w:tcW w:w="1701" w:type="dxa"/>
            <w:shd w:val="clear" w:color="auto" w:fill="C2E3FA"/>
          </w:tcPr>
          <w:p w14:paraId="27D7F915" w14:textId="77777777" w:rsidR="002975E5" w:rsidRPr="000540E1" w:rsidRDefault="002975E5" w:rsidP="00CB04C4">
            <w:pPr>
              <w:pStyle w:val="tablehead"/>
              <w:keepNext w:val="0"/>
              <w:spacing w:before="100"/>
            </w:pPr>
            <w:bookmarkStart w:id="178" w:name="_Hlk100563038"/>
            <w:r>
              <w:t>Decisions for the draft remade ASIC Rules</w:t>
            </w:r>
          </w:p>
        </w:tc>
        <w:tc>
          <w:tcPr>
            <w:tcW w:w="5103" w:type="dxa"/>
          </w:tcPr>
          <w:p w14:paraId="237B6329" w14:textId="3835B030" w:rsidR="002975E5" w:rsidRPr="000540E1" w:rsidRDefault="002975E5" w:rsidP="00CB04C4">
            <w:pPr>
              <w:pStyle w:val="tbltext"/>
              <w:spacing w:before="100"/>
            </w:pPr>
            <w:r>
              <w:t>R</w:t>
            </w:r>
            <w:r w:rsidRPr="001F6FC5">
              <w:t xml:space="preserve">emove data elements that are not present in the </w:t>
            </w:r>
            <w:r>
              <w:t xml:space="preserve">draft amended </w:t>
            </w:r>
            <w:r w:rsidRPr="001F6FC5">
              <w:t>ASIC Rules</w:t>
            </w:r>
          </w:p>
        </w:tc>
      </w:tr>
      <w:tr w:rsidR="002975E5" w:rsidRPr="000540E1" w14:paraId="392A542E" w14:textId="77777777" w:rsidTr="009E722B">
        <w:tc>
          <w:tcPr>
            <w:tcW w:w="1701" w:type="dxa"/>
            <w:shd w:val="clear" w:color="auto" w:fill="C2E3FA"/>
          </w:tcPr>
          <w:p w14:paraId="12BE0A5A" w14:textId="77777777" w:rsidR="002975E5" w:rsidRPr="000540E1" w:rsidRDefault="002975E5" w:rsidP="00CB04C4">
            <w:pPr>
              <w:pStyle w:val="tablehead"/>
              <w:keepNext w:val="0"/>
              <w:spacing w:before="100"/>
            </w:pPr>
            <w:r>
              <w:t>Proposals for the draft remade ASIC Rules</w:t>
            </w:r>
          </w:p>
        </w:tc>
        <w:tc>
          <w:tcPr>
            <w:tcW w:w="5103" w:type="dxa"/>
          </w:tcPr>
          <w:p w14:paraId="1F9FE31B" w14:textId="2506553B" w:rsidR="002975E5" w:rsidRPr="005175FE" w:rsidRDefault="002975E5" w:rsidP="00CB04C4">
            <w:pPr>
              <w:pStyle w:val="tbltext"/>
              <w:spacing w:before="100"/>
            </w:pPr>
            <w:r w:rsidRPr="005175FE">
              <w:t>In Part 1.2 Interpretation</w:t>
            </w:r>
            <w:r w:rsidR="00AF7D8A" w:rsidRPr="005175FE">
              <w:t>:</w:t>
            </w:r>
          </w:p>
          <w:p w14:paraId="53D8566D" w14:textId="7EB4E2D9" w:rsidR="002975E5" w:rsidRPr="005175FE" w:rsidRDefault="002975E5" w:rsidP="00CB04C4">
            <w:pPr>
              <w:pStyle w:val="tbltext"/>
              <w:numPr>
                <w:ilvl w:val="0"/>
                <w:numId w:val="16"/>
              </w:numPr>
              <w:spacing w:before="100"/>
              <w:ind w:left="284" w:hanging="284"/>
            </w:pPr>
            <w:r w:rsidRPr="005175FE">
              <w:t>recognise transaction-to-position conversion reporting practices</w:t>
            </w:r>
          </w:p>
          <w:p w14:paraId="2D7888B6" w14:textId="77777777" w:rsidR="002975E5" w:rsidRPr="005175FE" w:rsidRDefault="002975E5" w:rsidP="00CB04C4">
            <w:pPr>
              <w:pStyle w:val="tbltext"/>
              <w:spacing w:before="100"/>
            </w:pPr>
            <w:r w:rsidRPr="005175FE">
              <w:t>In Part 2.2 Reporting requirements:</w:t>
            </w:r>
          </w:p>
          <w:p w14:paraId="0421844A" w14:textId="7C6F8E9F" w:rsidR="002975E5" w:rsidRPr="005175FE" w:rsidRDefault="002975E5" w:rsidP="00CB04C4">
            <w:pPr>
              <w:pStyle w:val="tbltext"/>
              <w:numPr>
                <w:ilvl w:val="0"/>
                <w:numId w:val="16"/>
              </w:numPr>
              <w:spacing w:before="100"/>
              <w:ind w:left="284" w:hanging="284"/>
            </w:pPr>
            <w:r w:rsidRPr="005175FE">
              <w:t>curtail duplicative reporting</w:t>
            </w:r>
          </w:p>
          <w:p w14:paraId="14DCBA04" w14:textId="0090CDF4" w:rsidR="002975E5" w:rsidRPr="005175FE" w:rsidRDefault="002975E5" w:rsidP="00CB04C4">
            <w:pPr>
              <w:pStyle w:val="tbltext"/>
              <w:numPr>
                <w:ilvl w:val="0"/>
                <w:numId w:val="16"/>
              </w:numPr>
              <w:spacing w:before="100"/>
              <w:ind w:left="284" w:hanging="284"/>
            </w:pPr>
            <w:r w:rsidRPr="005175FE">
              <w:t>recognise that a derivative trade repository may create derivative transaction information for reporting entities</w:t>
            </w:r>
            <w:r w:rsidR="009C3354">
              <w:t>’</w:t>
            </w:r>
            <w:r w:rsidRPr="005175FE">
              <w:t xml:space="preserve"> reports that is derived from other information</w:t>
            </w:r>
          </w:p>
          <w:p w14:paraId="72D8E898" w14:textId="26BFA23E" w:rsidR="002975E5" w:rsidRPr="005175FE" w:rsidRDefault="002975E5" w:rsidP="00CB04C4">
            <w:pPr>
              <w:pStyle w:val="tbltext"/>
              <w:numPr>
                <w:ilvl w:val="0"/>
                <w:numId w:val="16"/>
              </w:numPr>
              <w:spacing w:before="100"/>
              <w:ind w:left="284" w:hanging="284"/>
            </w:pPr>
            <w:r w:rsidRPr="005175FE">
              <w:t>exempt small-scale buy-side entities from the extended lifecycle reporting requirements</w:t>
            </w:r>
          </w:p>
          <w:p w14:paraId="065FF174" w14:textId="178146EE" w:rsidR="002975E5" w:rsidRDefault="002975E5" w:rsidP="00CB04C4">
            <w:pPr>
              <w:pStyle w:val="tbltext"/>
              <w:spacing w:before="100"/>
            </w:pPr>
            <w:r>
              <w:t xml:space="preserve">In Schedule 1 </w:t>
            </w:r>
            <w:r w:rsidR="00DE3816">
              <w:t>‘</w:t>
            </w:r>
            <w:r>
              <w:t>Information requirements</w:t>
            </w:r>
            <w:r w:rsidR="00DE3816">
              <w:t>’</w:t>
            </w:r>
            <w:r>
              <w:t>:</w:t>
            </w:r>
          </w:p>
          <w:p w14:paraId="29BEA7B7" w14:textId="680B2972" w:rsidR="002975E5" w:rsidRPr="00DB5737" w:rsidRDefault="002975E5" w:rsidP="00CB04C4">
            <w:pPr>
              <w:pStyle w:val="tbltext"/>
              <w:numPr>
                <w:ilvl w:val="0"/>
                <w:numId w:val="16"/>
              </w:numPr>
              <w:spacing w:before="100"/>
              <w:ind w:left="284" w:hanging="284"/>
            </w:pPr>
            <w:r w:rsidRPr="00DB5737">
              <w:t xml:space="preserve">recognise that fund managers, and other persons appointed to enter into OTC </w:t>
            </w:r>
            <w:r w:rsidR="00762B5F">
              <w:t>d</w:t>
            </w:r>
            <w:r w:rsidR="00762B5F" w:rsidRPr="00DB5737">
              <w:t xml:space="preserve">erivatives </w:t>
            </w:r>
            <w:r w:rsidRPr="00DB5737">
              <w:t>on behalf of a reporting entity, may fulfil certain reporting requirements on behalf of the reporting entity</w:t>
            </w:r>
          </w:p>
          <w:p w14:paraId="62D24EEA" w14:textId="3BFEB424" w:rsidR="002975E5" w:rsidRPr="008F4463" w:rsidRDefault="002975E5" w:rsidP="00CB04C4">
            <w:pPr>
              <w:pStyle w:val="tbltext"/>
              <w:numPr>
                <w:ilvl w:val="0"/>
                <w:numId w:val="16"/>
              </w:numPr>
              <w:spacing w:before="100"/>
              <w:ind w:left="284" w:hanging="284"/>
            </w:pPr>
            <w:r w:rsidRPr="00BF3A0E">
              <w:t>not require format and allowable values updates in change reports</w:t>
            </w:r>
          </w:p>
        </w:tc>
      </w:tr>
      <w:tr w:rsidR="002764E1" w:rsidRPr="000540E1" w14:paraId="099B8A1A" w14:textId="77777777" w:rsidTr="009E722B">
        <w:tc>
          <w:tcPr>
            <w:tcW w:w="1701" w:type="dxa"/>
            <w:shd w:val="clear" w:color="auto" w:fill="C2E3FA"/>
          </w:tcPr>
          <w:p w14:paraId="48640366" w14:textId="25B306E0" w:rsidR="002764E1" w:rsidRDefault="002764E1" w:rsidP="00E23D33">
            <w:pPr>
              <w:pStyle w:val="tablehead"/>
              <w:keepNext w:val="0"/>
              <w:spacing w:line="250" w:lineRule="exact"/>
            </w:pPr>
            <w:r>
              <w:t>Proposals for the draft remade ASIC Rules (cont.)</w:t>
            </w:r>
          </w:p>
        </w:tc>
        <w:tc>
          <w:tcPr>
            <w:tcW w:w="5103" w:type="dxa"/>
          </w:tcPr>
          <w:p w14:paraId="38F8C96A" w14:textId="5DD36924" w:rsidR="002764E1" w:rsidRDefault="00762B5F" w:rsidP="00C443A0">
            <w:pPr>
              <w:pStyle w:val="tbltext"/>
              <w:numPr>
                <w:ilvl w:val="0"/>
                <w:numId w:val="16"/>
              </w:numPr>
              <w:spacing w:line="250" w:lineRule="exact"/>
              <w:ind w:left="284" w:hanging="284"/>
            </w:pPr>
            <w:r>
              <w:t xml:space="preserve">make </w:t>
            </w:r>
            <w:r w:rsidR="002764E1">
              <w:t>consequential changes for consistency with the draft amended ASIC Rules in the name, meaning and applicability of data elements</w:t>
            </w:r>
          </w:p>
          <w:p w14:paraId="3B53BF79" w14:textId="11F6ADFA" w:rsidR="002764E1" w:rsidRDefault="002764E1" w:rsidP="00C443A0">
            <w:pPr>
              <w:pStyle w:val="tbltext"/>
              <w:numPr>
                <w:ilvl w:val="0"/>
                <w:numId w:val="16"/>
              </w:numPr>
              <w:spacing w:line="250" w:lineRule="exact"/>
              <w:ind w:left="284" w:hanging="284"/>
            </w:pPr>
            <w:r>
              <w:t>add data elements, but only as already currently reported</w:t>
            </w:r>
          </w:p>
          <w:p w14:paraId="16E5683D" w14:textId="1E2C928A" w:rsidR="002764E1" w:rsidRDefault="002764E1" w:rsidP="00C443A0">
            <w:pPr>
              <w:pStyle w:val="tbltext"/>
              <w:numPr>
                <w:ilvl w:val="0"/>
                <w:numId w:val="16"/>
              </w:numPr>
              <w:spacing w:line="250" w:lineRule="exact"/>
              <w:ind w:left="284" w:hanging="284"/>
            </w:pPr>
            <w:r>
              <w:t>specify formats and allowable values but only the same as already currently reported</w:t>
            </w:r>
          </w:p>
          <w:p w14:paraId="3FE32F54" w14:textId="00183C33" w:rsidR="002764E1" w:rsidRDefault="002764E1" w:rsidP="00C443A0">
            <w:pPr>
              <w:pStyle w:val="tbltext"/>
              <w:numPr>
                <w:ilvl w:val="0"/>
                <w:numId w:val="16"/>
              </w:numPr>
              <w:spacing w:line="250" w:lineRule="exact"/>
              <w:ind w:left="284" w:hanging="284"/>
            </w:pPr>
            <w:r>
              <w:t>retain data elements until superseded by the draft amended ASIC Rules</w:t>
            </w:r>
          </w:p>
        </w:tc>
      </w:tr>
      <w:tr w:rsidR="002975E5" w:rsidRPr="000540E1" w14:paraId="59A39C0F" w14:textId="77777777" w:rsidTr="009E722B">
        <w:tc>
          <w:tcPr>
            <w:tcW w:w="1701" w:type="dxa"/>
            <w:shd w:val="clear" w:color="auto" w:fill="C2E3FA"/>
          </w:tcPr>
          <w:p w14:paraId="27EC3524" w14:textId="77777777" w:rsidR="002975E5" w:rsidRPr="000540E1" w:rsidRDefault="002975E5" w:rsidP="00E23D33">
            <w:pPr>
              <w:pStyle w:val="tablehead"/>
              <w:keepNext w:val="0"/>
              <w:spacing w:line="250" w:lineRule="exact"/>
            </w:pPr>
            <w:r>
              <w:t>Decisions for the draft amended ASIC Rules</w:t>
            </w:r>
          </w:p>
        </w:tc>
        <w:tc>
          <w:tcPr>
            <w:tcW w:w="5103" w:type="dxa"/>
          </w:tcPr>
          <w:p w14:paraId="2BBF640C" w14:textId="0C1AB447" w:rsidR="002975E5" w:rsidRDefault="002975E5" w:rsidP="00E23D33">
            <w:pPr>
              <w:pStyle w:val="tbltext"/>
              <w:spacing w:line="250" w:lineRule="exact"/>
            </w:pPr>
            <w:r>
              <w:t xml:space="preserve">Proceed with many of the data elements proposed in </w:t>
            </w:r>
            <w:hyperlink r:id="rId116" w:history="1">
              <w:r w:rsidRPr="00762B5F">
                <w:rPr>
                  <w:rStyle w:val="Hyperlink"/>
                </w:rPr>
                <w:t>CP 334</w:t>
              </w:r>
            </w:hyperlink>
          </w:p>
          <w:p w14:paraId="686DDC26" w14:textId="77777777" w:rsidR="002975E5" w:rsidRPr="000540E1" w:rsidRDefault="002975E5" w:rsidP="00E23D33">
            <w:pPr>
              <w:pStyle w:val="tbltext"/>
              <w:spacing w:line="250" w:lineRule="exact"/>
            </w:pPr>
            <w:r>
              <w:t>Not proceed with several data elements, particularly those which were to be considered for a proposal in this second consultation</w:t>
            </w:r>
          </w:p>
        </w:tc>
      </w:tr>
      <w:tr w:rsidR="002975E5" w:rsidRPr="000540E1" w14:paraId="7EC96228" w14:textId="77777777" w:rsidTr="009E722B">
        <w:tc>
          <w:tcPr>
            <w:tcW w:w="1701" w:type="dxa"/>
            <w:shd w:val="clear" w:color="auto" w:fill="C2E3FA"/>
          </w:tcPr>
          <w:p w14:paraId="74A6C7C2" w14:textId="77777777" w:rsidR="002975E5" w:rsidRPr="000540E1" w:rsidRDefault="002975E5" w:rsidP="00E23D33">
            <w:pPr>
              <w:pStyle w:val="tablehead"/>
              <w:spacing w:line="250" w:lineRule="exact"/>
            </w:pPr>
            <w:r>
              <w:t>Proposals for the draft amended ASIC Rules</w:t>
            </w:r>
          </w:p>
        </w:tc>
        <w:tc>
          <w:tcPr>
            <w:tcW w:w="5103" w:type="dxa"/>
          </w:tcPr>
          <w:p w14:paraId="3D4A554A" w14:textId="753FCCBA" w:rsidR="002975E5" w:rsidRPr="005175FE" w:rsidRDefault="002975E5" w:rsidP="00E23D33">
            <w:pPr>
              <w:pStyle w:val="tbltext"/>
              <w:keepNext/>
              <w:spacing w:line="250" w:lineRule="exact"/>
            </w:pPr>
            <w:r>
              <w:t xml:space="preserve">In </w:t>
            </w:r>
            <w:r w:rsidRPr="005175FE">
              <w:t>Part 2.4 Transitional matters</w:t>
            </w:r>
            <w:r w:rsidR="00011AEE" w:rsidRPr="005175FE">
              <w:t>:</w:t>
            </w:r>
          </w:p>
          <w:p w14:paraId="67B6BC71" w14:textId="77777777" w:rsidR="002975E5" w:rsidRPr="005175FE" w:rsidRDefault="002975E5" w:rsidP="00C443A0">
            <w:pPr>
              <w:pStyle w:val="tbltext"/>
              <w:keepNext/>
              <w:numPr>
                <w:ilvl w:val="0"/>
                <w:numId w:val="16"/>
              </w:numPr>
              <w:spacing w:line="250" w:lineRule="exact"/>
              <w:ind w:left="284" w:hanging="284"/>
            </w:pPr>
            <w:r w:rsidRPr="005175FE">
              <w:t>require the re-reporting of pre-1 April 2024 transactions in order to update the data elements for the transactions to the new specifications</w:t>
            </w:r>
          </w:p>
          <w:p w14:paraId="68681C9B" w14:textId="2C6F9EFD" w:rsidR="002975E5" w:rsidRPr="005175FE" w:rsidRDefault="002975E5" w:rsidP="00E23D33">
            <w:pPr>
              <w:pStyle w:val="tbltext"/>
              <w:keepNext/>
              <w:spacing w:line="250" w:lineRule="exact"/>
            </w:pPr>
            <w:r w:rsidRPr="005175FE">
              <w:t xml:space="preserve">In Schedule 1 </w:t>
            </w:r>
            <w:r w:rsidR="00DE3816" w:rsidRPr="005175FE">
              <w:t>‘</w:t>
            </w:r>
            <w:r w:rsidRPr="005175FE">
              <w:t>Information requirements</w:t>
            </w:r>
            <w:r w:rsidR="00DE3816" w:rsidRPr="005175FE">
              <w:t>’</w:t>
            </w:r>
            <w:r w:rsidRPr="005175FE">
              <w:t>:</w:t>
            </w:r>
          </w:p>
          <w:p w14:paraId="7D1E532D" w14:textId="3551ACCF" w:rsidR="002975E5" w:rsidRPr="005175FE" w:rsidRDefault="002975E5" w:rsidP="00C443A0">
            <w:pPr>
              <w:pStyle w:val="tbltext"/>
              <w:keepNext/>
              <w:numPr>
                <w:ilvl w:val="0"/>
                <w:numId w:val="16"/>
              </w:numPr>
              <w:spacing w:line="250" w:lineRule="exact"/>
              <w:ind w:left="284" w:hanging="284"/>
            </w:pPr>
            <w:r w:rsidRPr="005175FE">
              <w:t>require format and allowable values updates in change reports, other than for entity identifiers</w:t>
            </w:r>
          </w:p>
          <w:p w14:paraId="0F69E2A2" w14:textId="78D88FF3" w:rsidR="002975E5" w:rsidRPr="005175FE" w:rsidRDefault="00AF7D8A" w:rsidP="00C443A0">
            <w:pPr>
              <w:pStyle w:val="tbltext"/>
              <w:keepNext/>
              <w:numPr>
                <w:ilvl w:val="0"/>
                <w:numId w:val="16"/>
              </w:numPr>
              <w:spacing w:line="250" w:lineRule="exact"/>
              <w:ind w:left="284" w:hanging="284"/>
            </w:pPr>
            <w:r w:rsidRPr="005175FE">
              <w:t xml:space="preserve">organise </w:t>
            </w:r>
            <w:r w:rsidR="002975E5" w:rsidRPr="005175FE">
              <w:t>the derivative transaction information in three tables as transaction information, valuation information and collateral information</w:t>
            </w:r>
          </w:p>
          <w:p w14:paraId="6C2808F0" w14:textId="4655EA43" w:rsidR="002975E5" w:rsidRPr="005175FE" w:rsidRDefault="002975E5" w:rsidP="00C443A0">
            <w:pPr>
              <w:pStyle w:val="tbltext"/>
              <w:keepNext/>
              <w:numPr>
                <w:ilvl w:val="0"/>
                <w:numId w:val="16"/>
              </w:numPr>
              <w:spacing w:line="250" w:lineRule="exact"/>
              <w:ind w:left="284" w:hanging="284"/>
            </w:pPr>
            <w:r w:rsidRPr="005175FE">
              <w:t>specify the meaning and applicability of each data element and the required formats and allowable values for each data element</w:t>
            </w:r>
          </w:p>
          <w:p w14:paraId="56EBBFD8" w14:textId="77777777" w:rsidR="002975E5" w:rsidRPr="005175FE" w:rsidRDefault="002975E5" w:rsidP="00C443A0">
            <w:pPr>
              <w:pStyle w:val="tbltext"/>
              <w:keepNext/>
              <w:numPr>
                <w:ilvl w:val="0"/>
                <w:numId w:val="16"/>
              </w:numPr>
              <w:spacing w:line="250" w:lineRule="exact"/>
              <w:ind w:left="284" w:hanging="284"/>
            </w:pPr>
            <w:r w:rsidRPr="005175FE">
              <w:t>add data elements not proposed in CP 334</w:t>
            </w:r>
          </w:p>
          <w:p w14:paraId="2D2BA799" w14:textId="6908DC36" w:rsidR="002975E5" w:rsidRPr="000540E1" w:rsidRDefault="002975E5" w:rsidP="00C443A0">
            <w:pPr>
              <w:pStyle w:val="tbltext"/>
              <w:keepNext/>
              <w:numPr>
                <w:ilvl w:val="0"/>
                <w:numId w:val="16"/>
              </w:numPr>
              <w:spacing w:line="250" w:lineRule="exact"/>
              <w:ind w:left="284" w:hanging="284"/>
            </w:pPr>
            <w:r w:rsidRPr="005175FE">
              <w:t>exempt small-scale buy-side entities from</w:t>
            </w:r>
            <w:r>
              <w:t xml:space="preserve"> the requirements to report delta for an option and most of the extended requirement for collateral information</w:t>
            </w:r>
          </w:p>
        </w:tc>
      </w:tr>
      <w:tr w:rsidR="002975E5" w:rsidRPr="000540E1" w14:paraId="44D7BB94" w14:textId="77777777" w:rsidTr="009E722B">
        <w:tc>
          <w:tcPr>
            <w:tcW w:w="1701" w:type="dxa"/>
            <w:shd w:val="clear" w:color="auto" w:fill="C2E3FA"/>
          </w:tcPr>
          <w:p w14:paraId="0EC7A6F9" w14:textId="77777777" w:rsidR="002975E5" w:rsidRDefault="002975E5" w:rsidP="00E23D33">
            <w:pPr>
              <w:pStyle w:val="tablehead"/>
              <w:spacing w:line="250" w:lineRule="exact"/>
            </w:pPr>
            <w:r>
              <w:t>Matters deferred to the third consultation</w:t>
            </w:r>
          </w:p>
        </w:tc>
        <w:tc>
          <w:tcPr>
            <w:tcW w:w="5103" w:type="dxa"/>
          </w:tcPr>
          <w:p w14:paraId="1C5D5D79" w14:textId="13F4F596" w:rsidR="002975E5" w:rsidRDefault="00011AEE" w:rsidP="00E23D33">
            <w:pPr>
              <w:pStyle w:val="tbltext"/>
              <w:keepNext/>
              <w:spacing w:line="250" w:lineRule="exact"/>
            </w:pPr>
            <w:r>
              <w:t>Not applicable</w:t>
            </w:r>
          </w:p>
        </w:tc>
      </w:tr>
    </w:tbl>
    <w:bookmarkEnd w:id="178"/>
    <w:p w14:paraId="234407B1" w14:textId="203425B9" w:rsidR="002975E5" w:rsidRDefault="002975E5" w:rsidP="00C443A0">
      <w:pPr>
        <w:pStyle w:val="BodyText"/>
        <w:numPr>
          <w:ilvl w:val="0"/>
          <w:numId w:val="17"/>
        </w:numPr>
        <w:rPr>
          <w:rFonts w:eastAsiaTheme="minorHAnsi"/>
        </w:rPr>
      </w:pPr>
      <w:r>
        <w:rPr>
          <w:rFonts w:eastAsiaTheme="minorHAnsi"/>
          <w:color w:val="FF0000"/>
        </w:rPr>
        <w:fldChar w:fldCharType="begin" w:fldLock="1"/>
      </w:r>
      <w:r>
        <w:rPr>
          <w:rFonts w:eastAsiaTheme="minorHAnsi"/>
          <w:color w:val="FF0000"/>
        </w:rPr>
        <w:instrText xml:space="preserve"> REF _Ref97361728 \h </w:instrText>
      </w:r>
      <w:r>
        <w:rPr>
          <w:rFonts w:eastAsiaTheme="minorHAnsi"/>
          <w:color w:val="FF0000"/>
        </w:rPr>
      </w:r>
      <w:r>
        <w:rPr>
          <w:rFonts w:eastAsiaTheme="minorHAnsi"/>
          <w:color w:val="FF0000"/>
        </w:rPr>
        <w:fldChar w:fldCharType="separate"/>
      </w:r>
      <w:r w:rsidR="00853A2A">
        <w:t xml:space="preserve">Table </w:t>
      </w:r>
      <w:r w:rsidR="00853A2A">
        <w:rPr>
          <w:noProof/>
        </w:rPr>
        <w:t>27</w:t>
      </w:r>
      <w:r>
        <w:rPr>
          <w:rFonts w:eastAsiaTheme="minorHAnsi"/>
          <w:color w:val="FF0000"/>
        </w:rPr>
        <w:fldChar w:fldCharType="end"/>
      </w:r>
      <w:r>
        <w:rPr>
          <w:rFonts w:eastAsiaTheme="minorHAnsi"/>
        </w:rPr>
        <w:t xml:space="preserve"> sets out the number of data elements in this second consultation paper compared to </w:t>
      </w:r>
      <w:hyperlink r:id="rId117" w:history="1">
        <w:r w:rsidRPr="00477098">
          <w:rPr>
            <w:rStyle w:val="Hyperlink"/>
            <w:rFonts w:eastAsiaTheme="minorHAnsi"/>
          </w:rPr>
          <w:t>CP 334</w:t>
        </w:r>
      </w:hyperlink>
      <w:r>
        <w:rPr>
          <w:rFonts w:eastAsiaTheme="minorHAnsi"/>
        </w:rPr>
        <w:t xml:space="preserve">. Overall, there is only one more data element (125 versus 124). The alignment to the CDE Guidance is proportionately lower (79% versus 84%) as the number of ASIC-only fields has increased from </w:t>
      </w:r>
      <w:r w:rsidR="00011AEE">
        <w:rPr>
          <w:rFonts w:eastAsiaTheme="minorHAnsi"/>
        </w:rPr>
        <w:t xml:space="preserve">one </w:t>
      </w:r>
      <w:r>
        <w:rPr>
          <w:rFonts w:eastAsiaTheme="minorHAnsi"/>
        </w:rPr>
        <w:t xml:space="preserve">to </w:t>
      </w:r>
      <w:r w:rsidR="00011AEE">
        <w:rPr>
          <w:rFonts w:eastAsiaTheme="minorHAnsi"/>
        </w:rPr>
        <w:t>six</w:t>
      </w:r>
      <w:r>
        <w:rPr>
          <w:rFonts w:eastAsiaTheme="minorHAnsi"/>
        </w:rPr>
        <w:t>.</w:t>
      </w:r>
    </w:p>
    <w:p w14:paraId="03E7CC80" w14:textId="40EFED7E" w:rsidR="002975E5" w:rsidRDefault="002975E5" w:rsidP="002975E5">
      <w:pPr>
        <w:pStyle w:val="tabletitleindented"/>
      </w:pPr>
      <w:bookmarkStart w:id="179" w:name="_Ref97361728"/>
      <w:r>
        <w:t xml:space="preserve">Table </w:t>
      </w:r>
      <w:fldSimple w:instr=" SEQ Table \* ARABIC ">
        <w:r w:rsidR="006679BA">
          <w:rPr>
            <w:noProof/>
          </w:rPr>
          <w:t>27</w:t>
        </w:r>
      </w:fldSimple>
      <w:bookmarkEnd w:id="179"/>
      <w:r>
        <w:t>:</w:t>
      </w:r>
      <w:r>
        <w:tab/>
        <w:t>Number of ASIC Rules data elements common to jurisdictions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704"/>
        <w:gridCol w:w="1366"/>
        <w:gridCol w:w="1366"/>
        <w:gridCol w:w="1366"/>
      </w:tblGrid>
      <w:tr w:rsidR="002975E5" w:rsidRPr="000540E1" w14:paraId="16D6309A" w14:textId="77777777" w:rsidTr="00A72C41">
        <w:trPr>
          <w:cantSplit/>
          <w:tblHeader/>
        </w:trPr>
        <w:tc>
          <w:tcPr>
            <w:tcW w:w="2704" w:type="dxa"/>
            <w:shd w:val="clear" w:color="auto" w:fill="C2E3FA"/>
          </w:tcPr>
          <w:p w14:paraId="6E9CEAA4" w14:textId="77777777" w:rsidR="002975E5" w:rsidRDefault="002975E5" w:rsidP="00EB1B9E">
            <w:pPr>
              <w:pStyle w:val="tablehead"/>
              <w:spacing w:before="100" w:line="230" w:lineRule="atLeast"/>
            </w:pPr>
            <w:r>
              <w:t>Jurisdictions</w:t>
            </w:r>
          </w:p>
        </w:tc>
        <w:tc>
          <w:tcPr>
            <w:tcW w:w="1366" w:type="dxa"/>
            <w:shd w:val="clear" w:color="auto" w:fill="C2E3FA"/>
          </w:tcPr>
          <w:p w14:paraId="14E292DC" w14:textId="31FB591D" w:rsidR="002975E5" w:rsidRPr="000540E1" w:rsidRDefault="002764E1" w:rsidP="00A72C41">
            <w:pPr>
              <w:pStyle w:val="tablehead"/>
              <w:spacing w:before="100" w:line="230" w:lineRule="atLeast"/>
              <w:jc w:val="right"/>
            </w:pPr>
            <w:r>
              <w:t xml:space="preserve">Second </w:t>
            </w:r>
            <w:r w:rsidR="002975E5">
              <w:t>consultation</w:t>
            </w:r>
          </w:p>
        </w:tc>
        <w:tc>
          <w:tcPr>
            <w:tcW w:w="1366" w:type="dxa"/>
            <w:shd w:val="clear" w:color="auto" w:fill="C2E3FA"/>
          </w:tcPr>
          <w:p w14:paraId="5328D05F" w14:textId="34137CB4" w:rsidR="002975E5" w:rsidDel="00001D98" w:rsidRDefault="00221968" w:rsidP="00A72C41">
            <w:pPr>
              <w:pStyle w:val="tablehead"/>
              <w:spacing w:before="100" w:line="230" w:lineRule="atLeast"/>
              <w:jc w:val="right"/>
            </w:pPr>
            <w:r>
              <w:t xml:space="preserve">As a </w:t>
            </w:r>
            <w:r w:rsidR="00EB1B9E">
              <w:t xml:space="preserve">% </w:t>
            </w:r>
            <w:r>
              <w:t>of all data elements</w:t>
            </w:r>
          </w:p>
        </w:tc>
        <w:tc>
          <w:tcPr>
            <w:tcW w:w="1366" w:type="dxa"/>
            <w:shd w:val="clear" w:color="auto" w:fill="C2E3FA"/>
          </w:tcPr>
          <w:p w14:paraId="5FCEAD2B" w14:textId="77777777" w:rsidR="002975E5" w:rsidRPr="000540E1" w:rsidRDefault="002975E5" w:rsidP="00A72C41">
            <w:pPr>
              <w:pStyle w:val="tablehead"/>
              <w:spacing w:before="100" w:line="230" w:lineRule="atLeast"/>
              <w:jc w:val="right"/>
            </w:pPr>
            <w:r>
              <w:t>Change from CP 334</w:t>
            </w:r>
          </w:p>
        </w:tc>
      </w:tr>
      <w:tr w:rsidR="002975E5" w:rsidRPr="000540E1" w14:paraId="534CB517" w14:textId="77777777" w:rsidTr="00A72C41">
        <w:trPr>
          <w:cantSplit/>
        </w:trPr>
        <w:tc>
          <w:tcPr>
            <w:tcW w:w="2704" w:type="dxa"/>
          </w:tcPr>
          <w:p w14:paraId="32133F97" w14:textId="77777777" w:rsidR="002975E5" w:rsidRPr="000540E1" w:rsidRDefault="002975E5" w:rsidP="00EB1B9E">
            <w:pPr>
              <w:pStyle w:val="tbltext"/>
              <w:spacing w:before="100" w:line="230" w:lineRule="atLeast"/>
            </w:pPr>
            <w:r>
              <w:t>ASIC, CDE, CFTC, EU</w:t>
            </w:r>
          </w:p>
        </w:tc>
        <w:tc>
          <w:tcPr>
            <w:tcW w:w="1366" w:type="dxa"/>
          </w:tcPr>
          <w:p w14:paraId="277B4DD0" w14:textId="77777777" w:rsidR="002975E5" w:rsidRPr="000540E1" w:rsidRDefault="002975E5" w:rsidP="00A72C41">
            <w:pPr>
              <w:pStyle w:val="tbltext"/>
              <w:spacing w:before="100" w:line="230" w:lineRule="atLeast"/>
              <w:jc w:val="right"/>
            </w:pPr>
            <w:r>
              <w:t>78</w:t>
            </w:r>
          </w:p>
        </w:tc>
        <w:tc>
          <w:tcPr>
            <w:tcW w:w="1366" w:type="dxa"/>
          </w:tcPr>
          <w:p w14:paraId="4064E2C1" w14:textId="77777777" w:rsidR="002975E5" w:rsidDel="00001D98" w:rsidRDefault="002975E5" w:rsidP="00A72C41">
            <w:pPr>
              <w:pStyle w:val="tbltext"/>
              <w:spacing w:before="100" w:line="230" w:lineRule="atLeast"/>
              <w:jc w:val="right"/>
            </w:pPr>
            <w:r>
              <w:t>62%</w:t>
            </w:r>
          </w:p>
        </w:tc>
        <w:tc>
          <w:tcPr>
            <w:tcW w:w="1366" w:type="dxa"/>
          </w:tcPr>
          <w:p w14:paraId="795BD6CF" w14:textId="77777777" w:rsidR="002975E5" w:rsidRPr="000540E1" w:rsidRDefault="002975E5" w:rsidP="00A72C41">
            <w:pPr>
              <w:pStyle w:val="tbltext"/>
              <w:spacing w:before="100" w:line="230" w:lineRule="atLeast"/>
              <w:jc w:val="right"/>
            </w:pPr>
            <w:r>
              <w:t>-3</w:t>
            </w:r>
          </w:p>
        </w:tc>
      </w:tr>
      <w:tr w:rsidR="002975E5" w:rsidRPr="000540E1" w14:paraId="4DA5741A" w14:textId="77777777" w:rsidTr="00A72C41">
        <w:trPr>
          <w:cantSplit/>
        </w:trPr>
        <w:tc>
          <w:tcPr>
            <w:tcW w:w="2704" w:type="dxa"/>
          </w:tcPr>
          <w:p w14:paraId="40CC10CB" w14:textId="77777777" w:rsidR="002975E5" w:rsidRDefault="002975E5" w:rsidP="00EB1B9E">
            <w:pPr>
              <w:pStyle w:val="tbltext"/>
              <w:spacing w:before="100" w:line="230" w:lineRule="atLeast"/>
            </w:pPr>
            <w:r>
              <w:t>ASIC, CDE, CFTC</w:t>
            </w:r>
          </w:p>
        </w:tc>
        <w:tc>
          <w:tcPr>
            <w:tcW w:w="1366" w:type="dxa"/>
          </w:tcPr>
          <w:p w14:paraId="6FAD02A0" w14:textId="77777777" w:rsidR="002975E5" w:rsidRDefault="002975E5" w:rsidP="00A72C41">
            <w:pPr>
              <w:pStyle w:val="tbltext"/>
              <w:spacing w:before="100" w:line="230" w:lineRule="atLeast"/>
              <w:jc w:val="right"/>
            </w:pPr>
            <w:r>
              <w:t>13</w:t>
            </w:r>
          </w:p>
        </w:tc>
        <w:tc>
          <w:tcPr>
            <w:tcW w:w="1366" w:type="dxa"/>
          </w:tcPr>
          <w:p w14:paraId="5B4AADE2" w14:textId="1AF8C078" w:rsidR="002975E5" w:rsidDel="00001D98" w:rsidRDefault="0057753E" w:rsidP="00A72C41">
            <w:pPr>
              <w:pStyle w:val="tbltext"/>
              <w:spacing w:before="100" w:line="230" w:lineRule="atLeast"/>
              <w:jc w:val="right"/>
            </w:pPr>
            <w:r>
              <w:t>10</w:t>
            </w:r>
            <w:r w:rsidR="002975E5">
              <w:t>%</w:t>
            </w:r>
          </w:p>
        </w:tc>
        <w:tc>
          <w:tcPr>
            <w:tcW w:w="1366" w:type="dxa"/>
          </w:tcPr>
          <w:p w14:paraId="5AFD9762" w14:textId="77777777" w:rsidR="002975E5" w:rsidRDefault="002975E5" w:rsidP="00A72C41">
            <w:pPr>
              <w:pStyle w:val="tbltext"/>
              <w:spacing w:before="100" w:line="230" w:lineRule="atLeast"/>
              <w:jc w:val="right"/>
            </w:pPr>
            <w:r>
              <w:t>-2</w:t>
            </w:r>
          </w:p>
        </w:tc>
      </w:tr>
      <w:tr w:rsidR="002975E5" w:rsidRPr="000540E1" w14:paraId="46878D10" w14:textId="77777777" w:rsidTr="00A72C41">
        <w:trPr>
          <w:cantSplit/>
        </w:trPr>
        <w:tc>
          <w:tcPr>
            <w:tcW w:w="2704" w:type="dxa"/>
          </w:tcPr>
          <w:p w14:paraId="5F63D9B1" w14:textId="77777777" w:rsidR="002975E5" w:rsidRPr="000540E1" w:rsidRDefault="002975E5" w:rsidP="00EB1B9E">
            <w:pPr>
              <w:pStyle w:val="tbltext"/>
              <w:spacing w:before="100" w:line="230" w:lineRule="atLeast"/>
            </w:pPr>
            <w:r>
              <w:t>ASIC, CDE, EU</w:t>
            </w:r>
          </w:p>
        </w:tc>
        <w:tc>
          <w:tcPr>
            <w:tcW w:w="1366" w:type="dxa"/>
          </w:tcPr>
          <w:p w14:paraId="14A349C0" w14:textId="77777777" w:rsidR="002975E5" w:rsidRPr="000540E1" w:rsidRDefault="002975E5" w:rsidP="00A72C41">
            <w:pPr>
              <w:pStyle w:val="tbltext"/>
              <w:spacing w:before="100" w:line="230" w:lineRule="atLeast"/>
              <w:jc w:val="right"/>
            </w:pPr>
            <w:r>
              <w:t>5</w:t>
            </w:r>
          </w:p>
        </w:tc>
        <w:tc>
          <w:tcPr>
            <w:tcW w:w="1366" w:type="dxa"/>
          </w:tcPr>
          <w:p w14:paraId="5750F42F" w14:textId="53FC8420" w:rsidR="002975E5" w:rsidDel="00001D98" w:rsidRDefault="0057753E" w:rsidP="00A72C41">
            <w:pPr>
              <w:pStyle w:val="tbltext"/>
              <w:spacing w:before="100" w:line="230" w:lineRule="atLeast"/>
              <w:jc w:val="right"/>
            </w:pPr>
            <w:r>
              <w:t>4</w:t>
            </w:r>
            <w:r w:rsidR="00011AEE">
              <w:t>%</w:t>
            </w:r>
          </w:p>
        </w:tc>
        <w:tc>
          <w:tcPr>
            <w:tcW w:w="1366" w:type="dxa"/>
          </w:tcPr>
          <w:p w14:paraId="57B49A12" w14:textId="77777777" w:rsidR="002975E5" w:rsidRPr="000540E1" w:rsidRDefault="002975E5" w:rsidP="00A72C41">
            <w:pPr>
              <w:pStyle w:val="tbltext"/>
              <w:spacing w:before="100" w:line="230" w:lineRule="atLeast"/>
              <w:jc w:val="right"/>
            </w:pPr>
            <w:r>
              <w:t>-3</w:t>
            </w:r>
          </w:p>
        </w:tc>
      </w:tr>
      <w:tr w:rsidR="002975E5" w:rsidRPr="000540E1" w14:paraId="1ED46A78" w14:textId="77777777" w:rsidTr="00A72C41">
        <w:trPr>
          <w:cantSplit/>
        </w:trPr>
        <w:tc>
          <w:tcPr>
            <w:tcW w:w="2704" w:type="dxa"/>
          </w:tcPr>
          <w:p w14:paraId="593B8790" w14:textId="77777777" w:rsidR="002975E5" w:rsidRPr="000540E1" w:rsidRDefault="002975E5" w:rsidP="00EB1B9E">
            <w:pPr>
              <w:pStyle w:val="tbltext"/>
              <w:spacing w:before="100" w:line="230" w:lineRule="atLeast"/>
            </w:pPr>
            <w:r>
              <w:t>ASIC, CDE</w:t>
            </w:r>
          </w:p>
        </w:tc>
        <w:tc>
          <w:tcPr>
            <w:tcW w:w="1366" w:type="dxa"/>
          </w:tcPr>
          <w:p w14:paraId="5BCC769A" w14:textId="00BA5C1E" w:rsidR="002975E5" w:rsidRPr="000540E1" w:rsidRDefault="00662142" w:rsidP="00A72C41">
            <w:pPr>
              <w:pStyle w:val="tbltext"/>
              <w:spacing w:before="100" w:line="230" w:lineRule="atLeast"/>
              <w:jc w:val="right"/>
            </w:pPr>
            <w:r>
              <w:t>3</w:t>
            </w:r>
          </w:p>
        </w:tc>
        <w:tc>
          <w:tcPr>
            <w:tcW w:w="1366" w:type="dxa"/>
          </w:tcPr>
          <w:p w14:paraId="4DEEE33D" w14:textId="196592DF" w:rsidR="002975E5" w:rsidRDefault="00802880" w:rsidP="00A72C41">
            <w:pPr>
              <w:pStyle w:val="tbltext"/>
              <w:spacing w:before="100" w:line="230" w:lineRule="atLeast"/>
              <w:jc w:val="right"/>
            </w:pPr>
            <w:r>
              <w:t>2</w:t>
            </w:r>
            <w:r w:rsidR="00011AEE">
              <w:t>%</w:t>
            </w:r>
          </w:p>
        </w:tc>
        <w:tc>
          <w:tcPr>
            <w:tcW w:w="1366" w:type="dxa"/>
          </w:tcPr>
          <w:p w14:paraId="60906736" w14:textId="5AED29A3" w:rsidR="002975E5" w:rsidRPr="000540E1" w:rsidRDefault="002975E5" w:rsidP="00A72C41">
            <w:pPr>
              <w:pStyle w:val="tbltext"/>
              <w:spacing w:before="100" w:line="230" w:lineRule="atLeast"/>
              <w:jc w:val="right"/>
            </w:pPr>
            <w:r>
              <w:t>+</w:t>
            </w:r>
            <w:r w:rsidR="00662142">
              <w:t>3</w:t>
            </w:r>
          </w:p>
        </w:tc>
      </w:tr>
      <w:tr w:rsidR="002975E5" w:rsidRPr="000540E1" w14:paraId="4B1458FA" w14:textId="77777777" w:rsidTr="00A72C41">
        <w:trPr>
          <w:cantSplit/>
        </w:trPr>
        <w:tc>
          <w:tcPr>
            <w:tcW w:w="2704" w:type="dxa"/>
          </w:tcPr>
          <w:p w14:paraId="56054DFE" w14:textId="77777777" w:rsidR="002975E5" w:rsidRDefault="002975E5" w:rsidP="00EB1B9E">
            <w:pPr>
              <w:pStyle w:val="tbltext"/>
              <w:spacing w:before="100" w:line="230" w:lineRule="atLeast"/>
            </w:pPr>
            <w:r>
              <w:t>ASIC and CDE, CFTC &amp;/or EU</w:t>
            </w:r>
          </w:p>
        </w:tc>
        <w:tc>
          <w:tcPr>
            <w:tcW w:w="1366" w:type="dxa"/>
          </w:tcPr>
          <w:p w14:paraId="248DDF4B" w14:textId="44CF2C8E" w:rsidR="002975E5" w:rsidRDefault="002975E5" w:rsidP="00A72C41">
            <w:pPr>
              <w:pStyle w:val="tbltext"/>
              <w:spacing w:before="100" w:line="230" w:lineRule="atLeast"/>
              <w:jc w:val="right"/>
            </w:pPr>
            <w:r>
              <w:t>9</w:t>
            </w:r>
            <w:r w:rsidR="00662142">
              <w:t>9</w:t>
            </w:r>
          </w:p>
        </w:tc>
        <w:tc>
          <w:tcPr>
            <w:tcW w:w="1366" w:type="dxa"/>
          </w:tcPr>
          <w:p w14:paraId="71BC07CD" w14:textId="57A3AFEE" w:rsidR="002975E5" w:rsidDel="00001D98" w:rsidRDefault="002975E5" w:rsidP="00A72C41">
            <w:pPr>
              <w:pStyle w:val="tbltext"/>
              <w:spacing w:before="100" w:line="230" w:lineRule="atLeast"/>
              <w:jc w:val="right"/>
            </w:pPr>
            <w:r>
              <w:t>7</w:t>
            </w:r>
            <w:r w:rsidR="00662142">
              <w:t>9</w:t>
            </w:r>
            <w:r>
              <w:t>%</w:t>
            </w:r>
          </w:p>
        </w:tc>
        <w:tc>
          <w:tcPr>
            <w:tcW w:w="1366" w:type="dxa"/>
          </w:tcPr>
          <w:p w14:paraId="55842F38" w14:textId="57633B30" w:rsidR="002975E5" w:rsidRDefault="00662142" w:rsidP="00A72C41">
            <w:pPr>
              <w:pStyle w:val="tbltext"/>
              <w:spacing w:before="100" w:line="230" w:lineRule="atLeast"/>
              <w:jc w:val="right"/>
            </w:pPr>
            <w:r>
              <w:t>-5</w:t>
            </w:r>
          </w:p>
        </w:tc>
      </w:tr>
      <w:tr w:rsidR="002975E5" w:rsidRPr="000540E1" w14:paraId="5146CFC9" w14:textId="77777777" w:rsidTr="00A72C41">
        <w:trPr>
          <w:cantSplit/>
        </w:trPr>
        <w:tc>
          <w:tcPr>
            <w:tcW w:w="2704" w:type="dxa"/>
          </w:tcPr>
          <w:p w14:paraId="66A63C4B" w14:textId="77777777" w:rsidR="002975E5" w:rsidRPr="000540E1" w:rsidRDefault="002975E5" w:rsidP="00EB1B9E">
            <w:pPr>
              <w:pStyle w:val="tbltext"/>
              <w:spacing w:before="100" w:line="230" w:lineRule="atLeast"/>
            </w:pPr>
            <w:r>
              <w:t>ASIC, CFTC, EU</w:t>
            </w:r>
          </w:p>
        </w:tc>
        <w:tc>
          <w:tcPr>
            <w:tcW w:w="1366" w:type="dxa"/>
          </w:tcPr>
          <w:p w14:paraId="12640269" w14:textId="77777777" w:rsidR="002975E5" w:rsidRPr="000540E1" w:rsidRDefault="002975E5" w:rsidP="00A72C41">
            <w:pPr>
              <w:pStyle w:val="tbltext"/>
              <w:spacing w:before="100" w:line="230" w:lineRule="atLeast"/>
              <w:jc w:val="right"/>
            </w:pPr>
            <w:r>
              <w:t>8</w:t>
            </w:r>
          </w:p>
        </w:tc>
        <w:tc>
          <w:tcPr>
            <w:tcW w:w="1366" w:type="dxa"/>
          </w:tcPr>
          <w:p w14:paraId="21BD1E9C" w14:textId="68C04748" w:rsidR="002975E5" w:rsidDel="00001D98" w:rsidRDefault="0057753E" w:rsidP="00A72C41">
            <w:pPr>
              <w:pStyle w:val="tbltext"/>
              <w:spacing w:before="100" w:line="230" w:lineRule="atLeast"/>
              <w:jc w:val="right"/>
            </w:pPr>
            <w:r>
              <w:t>6</w:t>
            </w:r>
            <w:r w:rsidR="002975E5">
              <w:t>%</w:t>
            </w:r>
          </w:p>
        </w:tc>
        <w:tc>
          <w:tcPr>
            <w:tcW w:w="1366" w:type="dxa"/>
          </w:tcPr>
          <w:p w14:paraId="6F4BFD71" w14:textId="77777777" w:rsidR="002975E5" w:rsidRPr="000540E1" w:rsidRDefault="002975E5" w:rsidP="00A72C41">
            <w:pPr>
              <w:pStyle w:val="tbltext"/>
              <w:spacing w:before="100" w:line="230" w:lineRule="atLeast"/>
              <w:jc w:val="right"/>
            </w:pPr>
            <w:r>
              <w:t>+2</w:t>
            </w:r>
          </w:p>
        </w:tc>
      </w:tr>
      <w:tr w:rsidR="002975E5" w:rsidRPr="000540E1" w14:paraId="380E0B7E" w14:textId="77777777" w:rsidTr="00A72C41">
        <w:trPr>
          <w:cantSplit/>
        </w:trPr>
        <w:tc>
          <w:tcPr>
            <w:tcW w:w="2704" w:type="dxa"/>
          </w:tcPr>
          <w:p w14:paraId="249E360D" w14:textId="77777777" w:rsidR="002975E5" w:rsidRDefault="002975E5" w:rsidP="00EB1B9E">
            <w:pPr>
              <w:pStyle w:val="tbltext"/>
              <w:spacing w:before="100" w:line="230" w:lineRule="atLeast"/>
            </w:pPr>
            <w:r>
              <w:t>ASIC, CFTC</w:t>
            </w:r>
          </w:p>
        </w:tc>
        <w:tc>
          <w:tcPr>
            <w:tcW w:w="1366" w:type="dxa"/>
          </w:tcPr>
          <w:p w14:paraId="648C5701" w14:textId="77777777" w:rsidR="002975E5" w:rsidRDefault="002975E5" w:rsidP="00A72C41">
            <w:pPr>
              <w:pStyle w:val="tbltext"/>
              <w:spacing w:before="100" w:line="230" w:lineRule="atLeast"/>
              <w:jc w:val="right"/>
            </w:pPr>
            <w:r>
              <w:t>7</w:t>
            </w:r>
          </w:p>
        </w:tc>
        <w:tc>
          <w:tcPr>
            <w:tcW w:w="1366" w:type="dxa"/>
          </w:tcPr>
          <w:p w14:paraId="76F2A9BC" w14:textId="337B7FEE" w:rsidR="002975E5" w:rsidDel="00001D98" w:rsidRDefault="0057753E" w:rsidP="00A72C41">
            <w:pPr>
              <w:pStyle w:val="tbltext"/>
              <w:spacing w:before="100" w:line="230" w:lineRule="atLeast"/>
              <w:jc w:val="right"/>
            </w:pPr>
            <w:r>
              <w:t>6</w:t>
            </w:r>
            <w:r w:rsidR="00011AEE">
              <w:t>%</w:t>
            </w:r>
          </w:p>
        </w:tc>
        <w:tc>
          <w:tcPr>
            <w:tcW w:w="1366" w:type="dxa"/>
          </w:tcPr>
          <w:p w14:paraId="56669279" w14:textId="77777777" w:rsidR="002975E5" w:rsidRDefault="002975E5" w:rsidP="00A72C41">
            <w:pPr>
              <w:pStyle w:val="tbltext"/>
              <w:spacing w:before="100" w:line="230" w:lineRule="atLeast"/>
              <w:jc w:val="right"/>
            </w:pPr>
            <w:r>
              <w:t>-1</w:t>
            </w:r>
          </w:p>
        </w:tc>
      </w:tr>
      <w:tr w:rsidR="002975E5" w:rsidRPr="000540E1" w14:paraId="499CFFC1" w14:textId="77777777" w:rsidTr="00A72C41">
        <w:trPr>
          <w:cantSplit/>
        </w:trPr>
        <w:tc>
          <w:tcPr>
            <w:tcW w:w="2704" w:type="dxa"/>
          </w:tcPr>
          <w:p w14:paraId="0DDBAAF5" w14:textId="77777777" w:rsidR="002975E5" w:rsidRDefault="002975E5" w:rsidP="00EB1B9E">
            <w:pPr>
              <w:pStyle w:val="tbltext"/>
              <w:spacing w:before="100" w:line="230" w:lineRule="atLeast"/>
            </w:pPr>
            <w:r>
              <w:t>ASIC, EU</w:t>
            </w:r>
          </w:p>
        </w:tc>
        <w:tc>
          <w:tcPr>
            <w:tcW w:w="1366" w:type="dxa"/>
          </w:tcPr>
          <w:p w14:paraId="3F3A25BD" w14:textId="23E7A115" w:rsidR="002975E5" w:rsidRDefault="00802880" w:rsidP="00A72C41">
            <w:pPr>
              <w:pStyle w:val="tbltext"/>
              <w:spacing w:before="100" w:line="230" w:lineRule="atLeast"/>
              <w:jc w:val="right"/>
            </w:pPr>
            <w:r>
              <w:t>5</w:t>
            </w:r>
          </w:p>
        </w:tc>
        <w:tc>
          <w:tcPr>
            <w:tcW w:w="1366" w:type="dxa"/>
          </w:tcPr>
          <w:p w14:paraId="34C687FF" w14:textId="081B7162" w:rsidR="002975E5" w:rsidDel="00001D98" w:rsidRDefault="0057753E" w:rsidP="00A72C41">
            <w:pPr>
              <w:pStyle w:val="tbltext"/>
              <w:spacing w:before="100" w:line="230" w:lineRule="atLeast"/>
              <w:jc w:val="right"/>
            </w:pPr>
            <w:r>
              <w:t>3</w:t>
            </w:r>
            <w:r w:rsidR="00011AEE">
              <w:t>%</w:t>
            </w:r>
          </w:p>
        </w:tc>
        <w:tc>
          <w:tcPr>
            <w:tcW w:w="1366" w:type="dxa"/>
          </w:tcPr>
          <w:p w14:paraId="3F5C0E4A" w14:textId="1FD96C68" w:rsidR="002975E5" w:rsidRDefault="00802880" w:rsidP="00A72C41">
            <w:pPr>
              <w:pStyle w:val="tbltext"/>
              <w:spacing w:before="100" w:line="230" w:lineRule="atLeast"/>
              <w:jc w:val="right"/>
            </w:pPr>
            <w:r>
              <w:t>+0</w:t>
            </w:r>
          </w:p>
        </w:tc>
      </w:tr>
      <w:tr w:rsidR="002975E5" w:rsidRPr="000540E1" w14:paraId="1242BC21" w14:textId="77777777" w:rsidTr="00A72C41">
        <w:trPr>
          <w:cantSplit/>
        </w:trPr>
        <w:tc>
          <w:tcPr>
            <w:tcW w:w="2704" w:type="dxa"/>
          </w:tcPr>
          <w:p w14:paraId="270C64E8" w14:textId="77777777" w:rsidR="002975E5" w:rsidRDefault="002975E5" w:rsidP="00EB1B9E">
            <w:pPr>
              <w:pStyle w:val="tbltext"/>
              <w:spacing w:before="100" w:line="230" w:lineRule="atLeast"/>
            </w:pPr>
            <w:r>
              <w:t>ASIC, CFTC &amp;/or EU</w:t>
            </w:r>
          </w:p>
        </w:tc>
        <w:tc>
          <w:tcPr>
            <w:tcW w:w="1366" w:type="dxa"/>
          </w:tcPr>
          <w:p w14:paraId="2187F14C" w14:textId="7320A746" w:rsidR="002975E5" w:rsidRDefault="00802880" w:rsidP="00A72C41">
            <w:pPr>
              <w:pStyle w:val="tbltext"/>
              <w:spacing w:before="100" w:line="230" w:lineRule="atLeast"/>
              <w:jc w:val="right"/>
            </w:pPr>
            <w:r>
              <w:t>20</w:t>
            </w:r>
          </w:p>
        </w:tc>
        <w:tc>
          <w:tcPr>
            <w:tcW w:w="1366" w:type="dxa"/>
          </w:tcPr>
          <w:p w14:paraId="7740C25A" w14:textId="77777777" w:rsidR="002975E5" w:rsidDel="00001D98" w:rsidRDefault="002975E5" w:rsidP="00A72C41">
            <w:pPr>
              <w:pStyle w:val="tbltext"/>
              <w:spacing w:before="100" w:line="230" w:lineRule="atLeast"/>
              <w:jc w:val="right"/>
            </w:pPr>
            <w:r>
              <w:t>16%</w:t>
            </w:r>
          </w:p>
        </w:tc>
        <w:tc>
          <w:tcPr>
            <w:tcW w:w="1366" w:type="dxa"/>
          </w:tcPr>
          <w:p w14:paraId="0A6CFD6C" w14:textId="46BE0BEF" w:rsidR="002975E5" w:rsidRDefault="00802880" w:rsidP="00A72C41">
            <w:pPr>
              <w:pStyle w:val="tbltext"/>
              <w:spacing w:before="100" w:line="230" w:lineRule="atLeast"/>
              <w:jc w:val="right"/>
            </w:pPr>
            <w:r>
              <w:t>+1</w:t>
            </w:r>
          </w:p>
        </w:tc>
      </w:tr>
      <w:tr w:rsidR="002975E5" w:rsidRPr="000540E1" w14:paraId="2B69D7F5" w14:textId="77777777" w:rsidTr="00A72C41">
        <w:trPr>
          <w:cantSplit/>
        </w:trPr>
        <w:tc>
          <w:tcPr>
            <w:tcW w:w="2704" w:type="dxa"/>
          </w:tcPr>
          <w:p w14:paraId="2537F1B1" w14:textId="77777777" w:rsidR="002975E5" w:rsidRDefault="002975E5" w:rsidP="00EB1B9E">
            <w:pPr>
              <w:pStyle w:val="tbltext"/>
              <w:spacing w:before="100" w:line="230" w:lineRule="atLeast"/>
            </w:pPr>
            <w:r>
              <w:t>ASIC-only</w:t>
            </w:r>
          </w:p>
        </w:tc>
        <w:tc>
          <w:tcPr>
            <w:tcW w:w="1366" w:type="dxa"/>
          </w:tcPr>
          <w:p w14:paraId="6E3FD383" w14:textId="77777777" w:rsidR="002975E5" w:rsidRDefault="002975E5" w:rsidP="00A72C41">
            <w:pPr>
              <w:pStyle w:val="tbltext"/>
              <w:spacing w:before="100" w:line="230" w:lineRule="atLeast"/>
              <w:jc w:val="right"/>
            </w:pPr>
            <w:r>
              <w:t>6</w:t>
            </w:r>
          </w:p>
        </w:tc>
        <w:tc>
          <w:tcPr>
            <w:tcW w:w="1366" w:type="dxa"/>
          </w:tcPr>
          <w:p w14:paraId="21A23BFB" w14:textId="77777777" w:rsidR="002975E5" w:rsidDel="00001D98" w:rsidRDefault="002975E5" w:rsidP="00A72C41">
            <w:pPr>
              <w:pStyle w:val="tbltext"/>
              <w:spacing w:before="100" w:line="230" w:lineRule="atLeast"/>
              <w:jc w:val="right"/>
            </w:pPr>
            <w:r>
              <w:t>5%</w:t>
            </w:r>
          </w:p>
        </w:tc>
        <w:tc>
          <w:tcPr>
            <w:tcW w:w="1366" w:type="dxa"/>
          </w:tcPr>
          <w:p w14:paraId="67E3DB88" w14:textId="77777777" w:rsidR="002975E5" w:rsidRDefault="002975E5" w:rsidP="00A72C41">
            <w:pPr>
              <w:pStyle w:val="tbltext"/>
              <w:spacing w:before="100" w:line="230" w:lineRule="atLeast"/>
              <w:jc w:val="right"/>
            </w:pPr>
            <w:r>
              <w:t>+5</w:t>
            </w:r>
          </w:p>
        </w:tc>
      </w:tr>
      <w:tr w:rsidR="002975E5" w:rsidRPr="000540E1" w14:paraId="75C12913" w14:textId="77777777" w:rsidTr="00A72C41">
        <w:trPr>
          <w:cantSplit/>
        </w:trPr>
        <w:tc>
          <w:tcPr>
            <w:tcW w:w="2704" w:type="dxa"/>
          </w:tcPr>
          <w:p w14:paraId="168EACE5" w14:textId="77777777" w:rsidR="002975E5" w:rsidRDefault="002975E5" w:rsidP="00EB1B9E">
            <w:pPr>
              <w:pStyle w:val="tbltext"/>
              <w:spacing w:before="100" w:line="230" w:lineRule="atLeast"/>
            </w:pPr>
            <w:r>
              <w:t>TOTAL</w:t>
            </w:r>
          </w:p>
        </w:tc>
        <w:tc>
          <w:tcPr>
            <w:tcW w:w="1366" w:type="dxa"/>
          </w:tcPr>
          <w:p w14:paraId="7A8B8D54" w14:textId="77777777" w:rsidR="002975E5" w:rsidDel="00001D98" w:rsidRDefault="002975E5" w:rsidP="00A72C41">
            <w:pPr>
              <w:pStyle w:val="tbltext"/>
              <w:spacing w:before="100" w:line="230" w:lineRule="atLeast"/>
              <w:jc w:val="right"/>
            </w:pPr>
            <w:r>
              <w:t>125</w:t>
            </w:r>
          </w:p>
        </w:tc>
        <w:tc>
          <w:tcPr>
            <w:tcW w:w="1366" w:type="dxa"/>
          </w:tcPr>
          <w:p w14:paraId="56B9BBF0" w14:textId="0947B0BB" w:rsidR="002975E5" w:rsidRPr="00EB1B9E" w:rsidRDefault="00EB1B9E" w:rsidP="00A72C41">
            <w:pPr>
              <w:pStyle w:val="tbltext"/>
              <w:spacing w:before="100" w:line="230" w:lineRule="atLeast"/>
              <w:jc w:val="right"/>
              <w:rPr>
                <w:color w:val="FFFFFF" w:themeColor="background1"/>
              </w:rPr>
            </w:pPr>
            <w:r w:rsidRPr="00EB1B9E">
              <w:rPr>
                <w:color w:val="FFFFFF" w:themeColor="background1"/>
              </w:rPr>
              <w:t>Not applicable</w:t>
            </w:r>
          </w:p>
        </w:tc>
        <w:tc>
          <w:tcPr>
            <w:tcW w:w="1366" w:type="dxa"/>
          </w:tcPr>
          <w:p w14:paraId="2E6BB9BC" w14:textId="77777777" w:rsidR="002975E5" w:rsidDel="00001D98" w:rsidRDefault="002975E5" w:rsidP="00A72C41">
            <w:pPr>
              <w:pStyle w:val="tbltext"/>
              <w:spacing w:before="100" w:line="230" w:lineRule="atLeast"/>
              <w:jc w:val="right"/>
            </w:pPr>
            <w:r>
              <w:t>+1</w:t>
            </w:r>
          </w:p>
        </w:tc>
      </w:tr>
    </w:tbl>
    <w:p w14:paraId="0E51BE8F" w14:textId="77777777" w:rsidR="002975E5" w:rsidRDefault="002975E5" w:rsidP="00C443A0">
      <w:pPr>
        <w:pStyle w:val="BodyText"/>
        <w:numPr>
          <w:ilvl w:val="0"/>
          <w:numId w:val="17"/>
        </w:numPr>
        <w:rPr>
          <w:rFonts w:eastAsiaTheme="minorHAnsi"/>
        </w:rPr>
      </w:pPr>
      <w:r>
        <w:rPr>
          <w:rFonts w:eastAsiaTheme="minorHAnsi"/>
        </w:rPr>
        <w:t>The ASIC-only fields are:</w:t>
      </w:r>
    </w:p>
    <w:p w14:paraId="710822C7" w14:textId="0B97DCCA" w:rsidR="002975E5" w:rsidRPr="00990B6B" w:rsidRDefault="002975E5" w:rsidP="00C443A0">
      <w:pPr>
        <w:pStyle w:val="subparaa"/>
        <w:numPr>
          <w:ilvl w:val="1"/>
          <w:numId w:val="17"/>
        </w:numPr>
        <w:rPr>
          <w:rFonts w:eastAsiaTheme="minorHAnsi"/>
        </w:rPr>
      </w:pPr>
      <w:r>
        <w:t xml:space="preserve">‘Execution agent of counterparty 1’ as was proposed in </w:t>
      </w:r>
      <w:hyperlink r:id="rId118" w:history="1">
        <w:r w:rsidRPr="00477098">
          <w:rPr>
            <w:rStyle w:val="Hyperlink"/>
          </w:rPr>
          <w:t>CP 334</w:t>
        </w:r>
      </w:hyperlink>
      <w:r>
        <w:t>;</w:t>
      </w:r>
    </w:p>
    <w:p w14:paraId="602B1A49" w14:textId="6AA3D0D7" w:rsidR="002975E5" w:rsidRPr="00E536CA" w:rsidRDefault="002975E5" w:rsidP="00C443A0">
      <w:pPr>
        <w:pStyle w:val="subparaa"/>
        <w:numPr>
          <w:ilvl w:val="1"/>
          <w:numId w:val="17"/>
        </w:numPr>
        <w:rPr>
          <w:rFonts w:eastAsiaTheme="minorHAnsi"/>
        </w:rPr>
      </w:pPr>
      <w:r>
        <w:t>‘</w:t>
      </w:r>
      <w:r w:rsidRPr="00E536CA">
        <w:t>Identifier of the floating rate</w:t>
      </w:r>
      <w:r w:rsidR="00EB1B9E">
        <w:rPr>
          <w:rFonts w:eastAsiaTheme="minorHAnsi"/>
        </w:rPr>
        <w:t>—</w:t>
      </w:r>
      <w:r w:rsidRPr="00E536CA">
        <w:t>Leg 2</w:t>
      </w:r>
      <w:r>
        <w:t>’ and the two associated reference rate period data elements in response to those data elements not being reference data elements in the UPI; and</w:t>
      </w:r>
    </w:p>
    <w:p w14:paraId="709C553B" w14:textId="0B82F632" w:rsidR="002975E5" w:rsidRPr="00C7508E" w:rsidRDefault="002975E5" w:rsidP="00C443A0">
      <w:pPr>
        <w:pStyle w:val="subparaa"/>
        <w:numPr>
          <w:ilvl w:val="1"/>
          <w:numId w:val="17"/>
        </w:numPr>
        <w:rPr>
          <w:rFonts w:eastAsiaTheme="minorHAnsi"/>
        </w:rPr>
      </w:pPr>
      <w:r w:rsidRPr="00E536CA">
        <w:rPr>
          <w:rFonts w:eastAsiaTheme="minorHAnsi"/>
        </w:rPr>
        <w:t>‘Underlier ID</w:t>
      </w:r>
      <w:r w:rsidR="00404CA5">
        <w:rPr>
          <w:rFonts w:eastAsiaTheme="minorHAnsi"/>
        </w:rPr>
        <w:t>—</w:t>
      </w:r>
      <w:r w:rsidRPr="00E536CA">
        <w:rPr>
          <w:rFonts w:eastAsiaTheme="minorHAnsi"/>
        </w:rPr>
        <w:t>non-UPI’</w:t>
      </w:r>
      <w:r>
        <w:rPr>
          <w:rFonts w:eastAsiaTheme="minorHAnsi"/>
        </w:rPr>
        <w:t xml:space="preserve"> and ‘</w:t>
      </w:r>
      <w:r w:rsidRPr="00E536CA">
        <w:rPr>
          <w:rFonts w:eastAsiaTheme="minorHAnsi"/>
        </w:rPr>
        <w:t>Underlier ID source</w:t>
      </w:r>
      <w:r w:rsidR="00404CA5">
        <w:rPr>
          <w:rFonts w:eastAsiaTheme="minorHAnsi"/>
        </w:rPr>
        <w:t>—</w:t>
      </w:r>
      <w:r w:rsidRPr="00E536CA">
        <w:rPr>
          <w:rFonts w:eastAsiaTheme="minorHAnsi"/>
        </w:rPr>
        <w:t>non-UPI’</w:t>
      </w:r>
      <w:r>
        <w:rPr>
          <w:rFonts w:eastAsiaTheme="minorHAnsi"/>
        </w:rPr>
        <w:t xml:space="preserve"> in response to the incomplete underlier coverage in the UPI system for commodities and equity.</w:t>
      </w:r>
    </w:p>
    <w:p w14:paraId="387EBC29" w14:textId="77777777" w:rsidR="002975E5" w:rsidRDefault="002975E5" w:rsidP="002975E5">
      <w:pPr>
        <w:pStyle w:val="Heading3"/>
      </w:pPr>
      <w:r>
        <w:t>Schedule 1 Technical Guidance</w:t>
      </w:r>
    </w:p>
    <w:p w14:paraId="710530F5" w14:textId="332CC405" w:rsidR="002975E5" w:rsidRDefault="002975E5" w:rsidP="00C443A0">
      <w:pPr>
        <w:pStyle w:val="BodyText"/>
        <w:numPr>
          <w:ilvl w:val="0"/>
          <w:numId w:val="17"/>
        </w:numPr>
      </w:pPr>
      <w:r>
        <w:t xml:space="preserve">We have been developing a guidance document related to the Schedule 1 </w:t>
      </w:r>
      <w:r w:rsidR="00DE3816">
        <w:t>‘</w:t>
      </w:r>
      <w:r>
        <w:t>Information requirements</w:t>
      </w:r>
      <w:r w:rsidR="00DE3816">
        <w:t>’</w:t>
      </w:r>
      <w:r w:rsidR="00404CA5">
        <w:t>—</w:t>
      </w:r>
      <w:r>
        <w:t>the Schedule 1 Technical Guidance</w:t>
      </w:r>
      <w:r w:rsidR="00404CA5">
        <w:t>—</w:t>
      </w:r>
      <w:r>
        <w:t>but we have not yet completed this. We intend to release this for public comment in the second half of this year.</w:t>
      </w:r>
    </w:p>
    <w:p w14:paraId="6F340C74" w14:textId="3E4A9759" w:rsidR="002975E5" w:rsidRDefault="002975E5" w:rsidP="00C443A0">
      <w:pPr>
        <w:pStyle w:val="BodyText"/>
        <w:numPr>
          <w:ilvl w:val="0"/>
          <w:numId w:val="17"/>
        </w:numPr>
      </w:pPr>
      <w:bookmarkStart w:id="180" w:name="_ASICRef960"/>
      <w:bookmarkStart w:id="181" w:name="_ASICRef114"/>
      <w:bookmarkStart w:id="182" w:name="_ASICRef923"/>
      <w:bookmarkStart w:id="183" w:name="_ASICRef364"/>
      <w:bookmarkStart w:id="184" w:name="_ASICRef479"/>
      <w:r>
        <w:t xml:space="preserve">Throughout this </w:t>
      </w:r>
      <w:r w:rsidR="00E23D33">
        <w:t xml:space="preserve">section </w:t>
      </w:r>
      <w:r>
        <w:t>we note matters that we intend to include in the Schedule 1 Technical Guidance and, generally, our various explanations of data elements can be taken as indicative of the sort of further guidance that we envisage could be covered in the guidance document.</w:t>
      </w:r>
      <w:bookmarkEnd w:id="180"/>
      <w:bookmarkEnd w:id="181"/>
      <w:bookmarkEnd w:id="182"/>
      <w:bookmarkEnd w:id="183"/>
      <w:bookmarkEnd w:id="184"/>
    </w:p>
    <w:p w14:paraId="1F0D0CDD" w14:textId="7F499281" w:rsidR="005C7FB5" w:rsidRDefault="005C7FB5" w:rsidP="005C7FB5">
      <w:pPr>
        <w:pStyle w:val="Heading2"/>
      </w:pPr>
      <w:bookmarkStart w:id="185" w:name="_Toc103174639"/>
      <w:r>
        <w:t>ASIC’s proposals</w:t>
      </w:r>
      <w:bookmarkEnd w:id="185"/>
    </w:p>
    <w:p w14:paraId="032ABA96" w14:textId="77777777" w:rsidR="002975E5" w:rsidRDefault="002975E5" w:rsidP="002975E5">
      <w:pPr>
        <w:pStyle w:val="Proposalhead"/>
      </w:pPr>
      <w:r>
        <w:t>Proposal</w:t>
      </w:r>
    </w:p>
    <w:p w14:paraId="1944B15C" w14:textId="77777777" w:rsidR="002975E5" w:rsidRDefault="002975E5" w:rsidP="002975E5">
      <w:pPr>
        <w:pStyle w:val="Proposaltext"/>
      </w:pPr>
      <w:r>
        <w:t>We propose that the remade ASIC Rules (see Attachment 1) include:</w:t>
      </w:r>
    </w:p>
    <w:p w14:paraId="7B54D7FC" w14:textId="2083225A" w:rsidR="002975E5" w:rsidRDefault="002975E5" w:rsidP="002975E5">
      <w:pPr>
        <w:pStyle w:val="Proposalsubpara"/>
      </w:pPr>
      <w:r>
        <w:t xml:space="preserve">new </w:t>
      </w:r>
      <w:r w:rsidR="00E23D33">
        <w:t xml:space="preserve">Rule </w:t>
      </w:r>
      <w:r>
        <w:t>1.2.5</w:t>
      </w:r>
      <w:r w:rsidR="00810243">
        <w:t>(1)(b)(iv)</w:t>
      </w:r>
      <w:r>
        <w:t xml:space="preserve"> </w:t>
      </w:r>
      <w:r w:rsidR="00796DC4">
        <w:t xml:space="preserve">and amended </w:t>
      </w:r>
      <w:r w:rsidR="00E23D33">
        <w:t xml:space="preserve">Rule </w:t>
      </w:r>
      <w:r w:rsidR="00796DC4">
        <w:t xml:space="preserve">S1.3.1(1)(a) </w:t>
      </w:r>
      <w:r>
        <w:t>recognising transaction-to-position conversion reporting practices;</w:t>
      </w:r>
    </w:p>
    <w:p w14:paraId="00EECCEC" w14:textId="61C9AA50" w:rsidR="002975E5" w:rsidRDefault="002975E5" w:rsidP="002975E5">
      <w:pPr>
        <w:pStyle w:val="Proposalsubpara"/>
      </w:pPr>
      <w:r>
        <w:t xml:space="preserve">new </w:t>
      </w:r>
      <w:r w:rsidR="00E23D33">
        <w:t>R</w:t>
      </w:r>
      <w:r>
        <w:t>ule 2.2.1(1A) to curtail duplicative reporting;</w:t>
      </w:r>
    </w:p>
    <w:p w14:paraId="64381C46" w14:textId="6C01FF43" w:rsidR="002975E5" w:rsidRDefault="002975E5" w:rsidP="002975E5">
      <w:pPr>
        <w:pStyle w:val="Proposalsubpara"/>
      </w:pPr>
      <w:r>
        <w:t xml:space="preserve">new </w:t>
      </w:r>
      <w:r w:rsidR="00E23D33">
        <w:t>R</w:t>
      </w:r>
      <w:r>
        <w:t>ule 2.2.1(1B) to recognise that reporting entities comply with their reporting obligations where derivative trade repositories derive derivative transaction</w:t>
      </w:r>
      <w:r w:rsidR="00802880">
        <w:t xml:space="preserve"> information</w:t>
      </w:r>
      <w:r>
        <w:t xml:space="preserve"> for the reporting entity from other information they receive;</w:t>
      </w:r>
    </w:p>
    <w:p w14:paraId="57A19F84" w14:textId="2C35B573" w:rsidR="002975E5" w:rsidRPr="005175FE" w:rsidRDefault="002975E5" w:rsidP="002975E5">
      <w:pPr>
        <w:pStyle w:val="Proposalsubpara"/>
      </w:pPr>
      <w:r>
        <w:t xml:space="preserve">a definition of </w:t>
      </w:r>
      <w:r w:rsidRPr="005175FE">
        <w:t xml:space="preserve">a ‘Small-scale Buy-side Entity’ in </w:t>
      </w:r>
      <w:r w:rsidR="00E23D33" w:rsidRPr="005175FE">
        <w:t xml:space="preserve">Rule </w:t>
      </w:r>
      <w:r w:rsidRPr="005175FE">
        <w:t xml:space="preserve">1.2.3 and amendments to </w:t>
      </w:r>
      <w:r w:rsidR="00E23D33" w:rsidRPr="005175FE">
        <w:t>R</w:t>
      </w:r>
      <w:r w:rsidRPr="005175FE">
        <w:t>ule 2.2.8 such that small-scale buy-side entities are not required to report, on a lifecycle basis, reportable transactions that are not equity derivative transactions;</w:t>
      </w:r>
    </w:p>
    <w:p w14:paraId="6E717A72" w14:textId="77777777" w:rsidR="002975E5" w:rsidRPr="005175FE" w:rsidRDefault="002975E5" w:rsidP="002975E5">
      <w:pPr>
        <w:pStyle w:val="Proposalsubpara"/>
      </w:pPr>
      <w:r w:rsidRPr="005175FE">
        <w:t>new Part S1.1 rule allowing that requirements of a reporting entity that is a responsible entity or trustee may be met by a person appointed to deal on behalf of the responsible entity or trustee; and</w:t>
      </w:r>
    </w:p>
    <w:p w14:paraId="12734C0C" w14:textId="091D27C3" w:rsidR="002975E5" w:rsidRPr="005175FE" w:rsidRDefault="002975E5" w:rsidP="002975E5">
      <w:pPr>
        <w:pStyle w:val="Proposalsubpara"/>
      </w:pPr>
      <w:r w:rsidRPr="005175FE">
        <w:t xml:space="preserve">new </w:t>
      </w:r>
      <w:r w:rsidR="00766757" w:rsidRPr="005175FE">
        <w:t>R</w:t>
      </w:r>
      <w:r w:rsidRPr="005175FE">
        <w:t xml:space="preserve">ule S1.3.1(3) only </w:t>
      </w:r>
      <w:r w:rsidR="00B22D1C" w:rsidRPr="005175FE">
        <w:t xml:space="preserve">requiring </w:t>
      </w:r>
      <w:r w:rsidRPr="005175FE">
        <w:t xml:space="preserve">adherence to the new formats and allowable values for the data elements that are being changed or updated in a report made under </w:t>
      </w:r>
      <w:r w:rsidR="00766757" w:rsidRPr="005175FE">
        <w:t>R</w:t>
      </w:r>
      <w:r w:rsidRPr="005175FE">
        <w:t>ule 2.2.2.</w:t>
      </w:r>
    </w:p>
    <w:p w14:paraId="6C3919BC" w14:textId="77777777" w:rsidR="002975E5" w:rsidRPr="005175FE" w:rsidRDefault="002975E5" w:rsidP="002975E5">
      <w:pPr>
        <w:pStyle w:val="Feedbackhead"/>
      </w:pPr>
      <w:r w:rsidRPr="005175FE">
        <w:t>Your feedback</w:t>
      </w:r>
    </w:p>
    <w:p w14:paraId="659D3608" w14:textId="77777777" w:rsidR="002975E5" w:rsidRPr="005175FE" w:rsidRDefault="002975E5" w:rsidP="002975E5">
      <w:pPr>
        <w:pStyle w:val="Feedbackquestion"/>
        <w:pBdr>
          <w:left w:val="single" w:sz="6" w:space="2" w:color="117DC7"/>
        </w:pBdr>
      </w:pPr>
      <w:r w:rsidRPr="005175FE">
        <w:t>Do you agree with this proposal? In your response, please give detailed reasons for your answer.</w:t>
      </w:r>
    </w:p>
    <w:p w14:paraId="5B2ED11B" w14:textId="77777777" w:rsidR="002975E5" w:rsidRPr="005175FE" w:rsidRDefault="002975E5" w:rsidP="002975E5">
      <w:pPr>
        <w:pStyle w:val="Proposaltext"/>
      </w:pPr>
      <w:r w:rsidRPr="005175FE">
        <w:t>We propose that the amended ASIC Rules (see Attachment 2) include:</w:t>
      </w:r>
    </w:p>
    <w:p w14:paraId="2E18F0D8" w14:textId="136748CF" w:rsidR="002975E5" w:rsidRDefault="002975E5" w:rsidP="002975E5">
      <w:pPr>
        <w:pStyle w:val="Proposalsubpara"/>
      </w:pPr>
      <w:r w:rsidRPr="005175FE">
        <w:t xml:space="preserve">new </w:t>
      </w:r>
      <w:r w:rsidR="00766757" w:rsidRPr="005175FE">
        <w:t>R</w:t>
      </w:r>
      <w:r w:rsidRPr="005175FE">
        <w:t>ule S1.3.1(4) providing that small-scale buy-side entities are</w:t>
      </w:r>
      <w:r>
        <w:t xml:space="preserve"> not required to report delta and some of the extended collateral information;</w:t>
      </w:r>
    </w:p>
    <w:p w14:paraId="0DDC67DD" w14:textId="2B58E15E" w:rsidR="002975E5" w:rsidRDefault="002975E5" w:rsidP="002975E5">
      <w:pPr>
        <w:pStyle w:val="Proposalsubpara"/>
      </w:pPr>
      <w:r>
        <w:t xml:space="preserve">amended </w:t>
      </w:r>
      <w:r w:rsidR="00156C12">
        <w:t>R</w:t>
      </w:r>
      <w:r>
        <w:t>ule S1.3.1(3) requiring adherence to the new formats and allowable values for all the data elements reported, other than entity identifier data elements; and</w:t>
      </w:r>
    </w:p>
    <w:p w14:paraId="5B893125" w14:textId="0BCA941D" w:rsidR="002975E5" w:rsidRDefault="002975E5" w:rsidP="002975E5">
      <w:pPr>
        <w:pStyle w:val="Proposalsubpara"/>
      </w:pPr>
      <w:r>
        <w:t xml:space="preserve">new </w:t>
      </w:r>
      <w:r w:rsidR="00156C12">
        <w:t>R</w:t>
      </w:r>
      <w:r>
        <w:t>ule 2.4.1 requiring the re-reporting of transactions reported prior to the commencement of the amended ASIC Rules in order to update the data elements for the transactions to the new specifications.</w:t>
      </w:r>
    </w:p>
    <w:p w14:paraId="392F4A8F" w14:textId="77777777" w:rsidR="002975E5" w:rsidRDefault="002975E5" w:rsidP="002975E5">
      <w:pPr>
        <w:pStyle w:val="Feedbackhead"/>
      </w:pPr>
      <w:r>
        <w:t>Your feedback</w:t>
      </w:r>
    </w:p>
    <w:p w14:paraId="664C1BED" w14:textId="77777777" w:rsidR="002975E5" w:rsidRDefault="002975E5" w:rsidP="002975E5">
      <w:pPr>
        <w:pStyle w:val="Feedbackquestion"/>
        <w:pBdr>
          <w:left w:val="single" w:sz="6" w:space="2" w:color="117DC7"/>
        </w:pBdr>
      </w:pPr>
      <w:r>
        <w:t>Do you agree with this proposal? In your response, please give detailed reasons for your answer.</w:t>
      </w:r>
    </w:p>
    <w:p w14:paraId="10D833FC" w14:textId="57579B24" w:rsidR="002975E5" w:rsidRDefault="002975E5" w:rsidP="002975E5">
      <w:pPr>
        <w:pStyle w:val="Feedbackquestion"/>
        <w:pBdr>
          <w:left w:val="single" w:sz="6" w:space="2" w:color="117DC7"/>
        </w:pBdr>
      </w:pPr>
      <w:r>
        <w:t>Do you consider that, from the commencement of the amended ASIC Rules, a trade state report should be structured on a ‘carried forward/enlarged’ basis, a ‘converted’ basis or on some other basis: see paragraphs</w:t>
      </w:r>
      <w:r w:rsidR="00156C12">
        <w:t> </w:t>
      </w:r>
      <w:r>
        <w:fldChar w:fldCharType="begin" w:fldLock="1"/>
      </w:r>
      <w:r>
        <w:instrText xml:space="preserve"> REF _ASICRef536 \w \h </w:instrText>
      </w:r>
      <w:r>
        <w:fldChar w:fldCharType="separate"/>
      </w:r>
      <w:r w:rsidR="00853A2A">
        <w:t>411</w:t>
      </w:r>
      <w:r>
        <w:fldChar w:fldCharType="end"/>
      </w:r>
      <w:r>
        <w:t>–</w:t>
      </w:r>
      <w:r>
        <w:fldChar w:fldCharType="begin" w:fldLock="1"/>
      </w:r>
      <w:r>
        <w:instrText xml:space="preserve"> REF _ASICRef657 \w \h </w:instrText>
      </w:r>
      <w:r>
        <w:fldChar w:fldCharType="separate"/>
      </w:r>
      <w:r w:rsidR="00853A2A">
        <w:t>417</w:t>
      </w:r>
      <w:r>
        <w:fldChar w:fldCharType="end"/>
      </w:r>
      <w:r>
        <w:t>? In your response, please give detailed reasons for your answer.</w:t>
      </w:r>
    </w:p>
    <w:p w14:paraId="3861EB43" w14:textId="77777777" w:rsidR="00423629" w:rsidRPr="00423629" w:rsidRDefault="00423629" w:rsidP="00423629">
      <w:pPr>
        <w:pStyle w:val="Bodytextplain"/>
        <w:keepNext/>
        <w:spacing w:before="0" w:line="240" w:lineRule="auto"/>
        <w:ind w:left="2835"/>
        <w:rPr>
          <w:sz w:val="4"/>
          <w:szCs w:val="4"/>
        </w:rPr>
      </w:pPr>
    </w:p>
    <w:p w14:paraId="514EF8B4" w14:textId="0096E87E" w:rsidR="002975E5" w:rsidRDefault="002975E5" w:rsidP="00423629">
      <w:pPr>
        <w:pStyle w:val="Proposaltext"/>
        <w:spacing w:before="0"/>
      </w:pPr>
      <w:r>
        <w:t>We propose that the remade ASIC Rules (see Attachment 1) include:</w:t>
      </w:r>
    </w:p>
    <w:p w14:paraId="5DA7E708" w14:textId="09F0E59E" w:rsidR="002975E5" w:rsidRDefault="002975E5" w:rsidP="002975E5">
      <w:pPr>
        <w:pStyle w:val="Proposalsubpara"/>
      </w:pPr>
      <w:r>
        <w:t>the meanings, formats and allowable values for derivative transaction information set out in Tables S1.1.(1)</w:t>
      </w:r>
      <w:r w:rsidR="00156C12">
        <w:t>–</w:t>
      </w:r>
      <w:r>
        <w:t>(5).</w:t>
      </w:r>
    </w:p>
    <w:p w14:paraId="0D570F5A" w14:textId="77777777" w:rsidR="002975E5" w:rsidRDefault="002975E5" w:rsidP="002975E5">
      <w:pPr>
        <w:pStyle w:val="Feedbackhead"/>
      </w:pPr>
      <w:r>
        <w:t>Your feedback</w:t>
      </w:r>
    </w:p>
    <w:p w14:paraId="5FF4A352" w14:textId="77777777" w:rsidR="002975E5" w:rsidRDefault="002975E5" w:rsidP="002975E5">
      <w:pPr>
        <w:pStyle w:val="Feedbackquestion"/>
        <w:pBdr>
          <w:left w:val="single" w:sz="6" w:space="2" w:color="117DC7"/>
        </w:pBdr>
      </w:pPr>
      <w:r>
        <w:t>Do you agree with this proposal? In your response, please give detailed reasons for your answer.</w:t>
      </w:r>
    </w:p>
    <w:p w14:paraId="472A6066" w14:textId="77777777" w:rsidR="002975E5" w:rsidRDefault="002975E5" w:rsidP="002975E5">
      <w:pPr>
        <w:pStyle w:val="Proposaltext"/>
      </w:pPr>
      <w:r>
        <w:t>We propose that the remade ASIC Rules (see Attachment 1) include:</w:t>
      </w:r>
    </w:p>
    <w:p w14:paraId="3FC0FA34" w14:textId="13C6A6AE" w:rsidR="002975E5" w:rsidRDefault="002975E5" w:rsidP="002975E5">
      <w:pPr>
        <w:pStyle w:val="Proposalsubpara"/>
      </w:pPr>
      <w:r w:rsidRPr="0062010D">
        <w:t>the new data elements ‘</w:t>
      </w:r>
      <w:r>
        <w:t>Payer (fixed rate leg 2)’, ‘</w:t>
      </w:r>
      <w:r w:rsidRPr="0062010D">
        <w:t>Fixed rate (leg 2)</w:t>
      </w:r>
      <w:r>
        <w:t>’, ‘</w:t>
      </w:r>
      <w:bookmarkStart w:id="186" w:name="_Hlk96579791"/>
      <w:r w:rsidRPr="00F76596">
        <w:t>Fixed leg payment frequency</w:t>
      </w:r>
      <w:r>
        <w:t xml:space="preserve"> (leg 2)</w:t>
      </w:r>
      <w:bookmarkEnd w:id="186"/>
      <w:r>
        <w:t>’, ‘</w:t>
      </w:r>
      <w:r w:rsidRPr="0062010D">
        <w:t>Floating rate payment frequency (leg 2)</w:t>
      </w:r>
      <w:r>
        <w:t>’ and ‘</w:t>
      </w:r>
      <w:r w:rsidRPr="0062010D">
        <w:t>Floating rate reset frequency</w:t>
      </w:r>
      <w:r w:rsidR="008C4B5C">
        <w:t xml:space="preserve"> (</w:t>
      </w:r>
      <w:r w:rsidRPr="0062010D">
        <w:t>leg 2</w:t>
      </w:r>
      <w:r w:rsidR="008C4B5C">
        <w:t>)</w:t>
      </w:r>
      <w:r>
        <w:t xml:space="preserve">’ </w:t>
      </w:r>
      <w:r w:rsidRPr="0062010D">
        <w:t xml:space="preserve">with the meanings, formats and allowable values of items </w:t>
      </w:r>
      <w:r>
        <w:t>7, 11, 14, 16</w:t>
      </w:r>
      <w:r w:rsidRPr="0062010D">
        <w:t xml:space="preserve"> and </w:t>
      </w:r>
      <w:r>
        <w:t>20</w:t>
      </w:r>
      <w:r w:rsidRPr="0062010D">
        <w:t xml:space="preserve"> respectively in Table S1.1(</w:t>
      </w:r>
      <w:r>
        <w:t>5</w:t>
      </w:r>
      <w:r w:rsidRPr="0062010D">
        <w:t xml:space="preserve">) </w:t>
      </w:r>
      <w:r w:rsidR="004A6049">
        <w:t>‘</w:t>
      </w:r>
      <w:r>
        <w:t>Interest rate derivative data</w:t>
      </w:r>
      <w:r w:rsidR="004A6049">
        <w:t>’</w:t>
      </w:r>
      <w:r>
        <w:t>;</w:t>
      </w:r>
    </w:p>
    <w:p w14:paraId="694B6BDD" w14:textId="0336D0EE" w:rsidR="002975E5" w:rsidRPr="004A6049" w:rsidRDefault="002975E5" w:rsidP="002975E5">
      <w:pPr>
        <w:pStyle w:val="Proposalsubpara"/>
        <w:rPr>
          <w:spacing w:val="-2"/>
        </w:rPr>
      </w:pPr>
      <w:r w:rsidRPr="004A6049">
        <w:rPr>
          <w:spacing w:val="-2"/>
        </w:rPr>
        <w:t xml:space="preserve">the relocation and renaming of ‘Basis’ from item 34 in Table S2.1(1) </w:t>
      </w:r>
      <w:r w:rsidR="004A6049">
        <w:rPr>
          <w:spacing w:val="-2"/>
        </w:rPr>
        <w:t>‘</w:t>
      </w:r>
      <w:r w:rsidRPr="004A6049">
        <w:rPr>
          <w:spacing w:val="-2"/>
        </w:rPr>
        <w:t>Common data</w:t>
      </w:r>
      <w:r w:rsidR="004A6049">
        <w:rPr>
          <w:spacing w:val="-2"/>
        </w:rPr>
        <w:t>’</w:t>
      </w:r>
      <w:r w:rsidRPr="004A6049">
        <w:rPr>
          <w:spacing w:val="-2"/>
        </w:rPr>
        <w:t xml:space="preserve"> in the current ASIC Rules to ‘Day count convention</w:t>
      </w:r>
      <w:bookmarkStart w:id="187" w:name="_Hlk101280101"/>
      <w:r w:rsidRPr="004A6049">
        <w:rPr>
          <w:spacing w:val="-2"/>
        </w:rPr>
        <w:t>—</w:t>
      </w:r>
      <w:bookmarkEnd w:id="187"/>
      <w:r w:rsidRPr="004A6049">
        <w:rPr>
          <w:spacing w:val="-2"/>
        </w:rPr>
        <w:t xml:space="preserve">Leg 2’ as item 5 in Table S1.1(3) </w:t>
      </w:r>
      <w:r w:rsidR="004A6049">
        <w:rPr>
          <w:spacing w:val="-2"/>
        </w:rPr>
        <w:t>‘</w:t>
      </w:r>
      <w:r w:rsidRPr="004A6049">
        <w:rPr>
          <w:spacing w:val="-2"/>
        </w:rPr>
        <w:t>Equity and credit derivatives data</w:t>
      </w:r>
      <w:r w:rsidR="004A6049">
        <w:rPr>
          <w:spacing w:val="-2"/>
        </w:rPr>
        <w:t>’</w:t>
      </w:r>
      <w:r w:rsidRPr="004A6049">
        <w:rPr>
          <w:spacing w:val="-2"/>
        </w:rPr>
        <w:t xml:space="preserve"> in the remade ASIC Rules with a changed meaning, format and allowable values;</w:t>
      </w:r>
    </w:p>
    <w:p w14:paraId="0D75E85C" w14:textId="41BCC104" w:rsidR="002975E5" w:rsidRDefault="002975E5" w:rsidP="002975E5">
      <w:pPr>
        <w:pStyle w:val="Proposalsubpara"/>
      </w:pPr>
      <w:r>
        <w:t xml:space="preserve">the relocation, for commodity derivatives of ‘Settlement rate or index’ from item 35 in Table S2.1(1) </w:t>
      </w:r>
      <w:r w:rsidR="004A6049">
        <w:t>‘</w:t>
      </w:r>
      <w:r>
        <w:t>Common data</w:t>
      </w:r>
      <w:r w:rsidR="004A6049">
        <w:t>’</w:t>
      </w:r>
      <w:r>
        <w:t xml:space="preserve"> in the current ASIC Rules to item 8 in Table S1.1(2) </w:t>
      </w:r>
      <w:r w:rsidR="004A6049">
        <w:t>‘</w:t>
      </w:r>
      <w:r>
        <w:t xml:space="preserve">Commodity derivative </w:t>
      </w:r>
      <w:r w:rsidR="008C4B5C">
        <w:t>data</w:t>
      </w:r>
      <w:r w:rsidR="004A6049">
        <w:t>’</w:t>
      </w:r>
      <w:r>
        <w:t xml:space="preserve"> with a changed meaning, format and allowable values;</w:t>
      </w:r>
    </w:p>
    <w:p w14:paraId="7F5FDA8C" w14:textId="67EB644D" w:rsidR="002975E5" w:rsidRDefault="002975E5" w:rsidP="002975E5">
      <w:pPr>
        <w:pStyle w:val="Proposalsubpara"/>
      </w:pPr>
      <w:r>
        <w:t xml:space="preserve">the relocation and renaming, for equity and credit derivatives, of </w:t>
      </w:r>
      <w:r w:rsidR="00B22D1C">
        <w:t>‘</w:t>
      </w:r>
      <w:r>
        <w:t xml:space="preserve">Settlement rate or index’ from item 35 in Table S2.1(1) </w:t>
      </w:r>
      <w:r w:rsidR="004A6049">
        <w:t>‘</w:t>
      </w:r>
      <w:r>
        <w:t>Common data</w:t>
      </w:r>
      <w:r w:rsidR="004A6049">
        <w:t>’</w:t>
      </w:r>
      <w:r>
        <w:t xml:space="preserve"> in the current ASIC Rules to ‘</w:t>
      </w:r>
      <w:r w:rsidRPr="006011D4">
        <w:t>Identifier of the floating rate—Leg 2</w:t>
      </w:r>
      <w:r>
        <w:t xml:space="preserve">’ as item 6 in Table S1.1(3) </w:t>
      </w:r>
      <w:r w:rsidR="004A6049">
        <w:t>‘</w:t>
      </w:r>
      <w:r>
        <w:t>Equity and credit derivatives data</w:t>
      </w:r>
      <w:r w:rsidR="004A6049">
        <w:t>’</w:t>
      </w:r>
      <w:r>
        <w:t xml:space="preserve"> in the remade ASIC Rules with a changed meaning, format and allowable values; and</w:t>
      </w:r>
    </w:p>
    <w:p w14:paraId="1B5037DB" w14:textId="6C585559" w:rsidR="002975E5" w:rsidRDefault="002975E5" w:rsidP="002975E5">
      <w:pPr>
        <w:pStyle w:val="Proposalsubpara"/>
      </w:pPr>
      <w:r>
        <w:t xml:space="preserve">the relocation, for equity and credit derivatives of ‘Rate reset frequency’ from item 53 in Table S2.1(1) </w:t>
      </w:r>
      <w:r w:rsidR="004A6049">
        <w:t>‘</w:t>
      </w:r>
      <w:r>
        <w:t>Common data</w:t>
      </w:r>
      <w:r w:rsidR="004A6049">
        <w:t>’</w:t>
      </w:r>
      <w:r>
        <w:t xml:space="preserve"> in the current ASIC Rules to item 7 in Table S1.1(3) </w:t>
      </w:r>
      <w:r w:rsidR="009A5CA1">
        <w:t>‘</w:t>
      </w:r>
      <w:r>
        <w:t>Equity and credit derivatives data</w:t>
      </w:r>
      <w:r w:rsidR="009A5CA1">
        <w:t>’</w:t>
      </w:r>
      <w:r>
        <w:t xml:space="preserve"> with a changed meaning, format and allowable values.</w:t>
      </w:r>
    </w:p>
    <w:p w14:paraId="6F7B7DEF" w14:textId="77777777" w:rsidR="002975E5" w:rsidRDefault="002975E5" w:rsidP="002975E5">
      <w:pPr>
        <w:pStyle w:val="Feedbackhead"/>
      </w:pPr>
      <w:r>
        <w:t>Your feedback</w:t>
      </w:r>
    </w:p>
    <w:p w14:paraId="6F9B2E8F" w14:textId="77777777" w:rsidR="002975E5" w:rsidRPr="00660EA3" w:rsidRDefault="002975E5" w:rsidP="002975E5">
      <w:pPr>
        <w:pStyle w:val="Feedbackquestion"/>
        <w:pBdr>
          <w:left w:val="single" w:sz="6" w:space="2" w:color="117DC7"/>
        </w:pBdr>
      </w:pPr>
      <w:r>
        <w:t>Do you agree with this proposal? In your response, please give detailed reasons for your answer.</w:t>
      </w:r>
    </w:p>
    <w:p w14:paraId="2F562427" w14:textId="77777777" w:rsidR="002975E5" w:rsidRDefault="002975E5" w:rsidP="002975E5">
      <w:pPr>
        <w:pStyle w:val="Proposaltext"/>
      </w:pPr>
      <w:r>
        <w:t>We propose that the amended ASIC Rules (see Attachment 2) include:</w:t>
      </w:r>
    </w:p>
    <w:p w14:paraId="16B5BDEB" w14:textId="5B08677C" w:rsidR="002975E5" w:rsidRDefault="002975E5" w:rsidP="002975E5">
      <w:pPr>
        <w:pStyle w:val="Proposalsubpara"/>
      </w:pPr>
      <w:r>
        <w:t xml:space="preserve">the meanings, formats and allowable values for transaction information set out in Table S1.1.(1) </w:t>
      </w:r>
      <w:r w:rsidR="009A5CA1">
        <w:t>‘</w:t>
      </w:r>
      <w:r>
        <w:t>Transaction information</w:t>
      </w:r>
      <w:r w:rsidR="009A5CA1">
        <w:t>’</w:t>
      </w:r>
      <w:r>
        <w:t>;</w:t>
      </w:r>
    </w:p>
    <w:p w14:paraId="55439A5D" w14:textId="5DDD9BCC" w:rsidR="002975E5" w:rsidRDefault="002975E5" w:rsidP="002975E5">
      <w:pPr>
        <w:pStyle w:val="Proposalsubpara"/>
      </w:pPr>
      <w:r>
        <w:t xml:space="preserve">the meanings, formats and allowable values for valuation information set out in Table S1.1.(2) </w:t>
      </w:r>
      <w:r w:rsidR="009A5CA1">
        <w:t>‘</w:t>
      </w:r>
      <w:r>
        <w:t>Valuation information</w:t>
      </w:r>
      <w:r w:rsidR="009A5CA1">
        <w:t>’</w:t>
      </w:r>
      <w:r>
        <w:t>;</w:t>
      </w:r>
      <w:r w:rsidR="00100A26">
        <w:t xml:space="preserve"> and</w:t>
      </w:r>
    </w:p>
    <w:p w14:paraId="1D85D241" w14:textId="3E8B24F4" w:rsidR="002975E5" w:rsidRDefault="002975E5" w:rsidP="002975E5">
      <w:pPr>
        <w:pStyle w:val="Proposalsubpara"/>
      </w:pPr>
      <w:r>
        <w:t xml:space="preserve">the meanings, formats and allowable values for transaction information set out in Table S1.1.(3) </w:t>
      </w:r>
      <w:r w:rsidR="009A5CA1">
        <w:t>‘</w:t>
      </w:r>
      <w:r>
        <w:t>Collateral information</w:t>
      </w:r>
      <w:r w:rsidR="009A5CA1">
        <w:t>’</w:t>
      </w:r>
      <w:r w:rsidR="00100A26">
        <w:t>.</w:t>
      </w:r>
    </w:p>
    <w:p w14:paraId="2004061B" w14:textId="77777777" w:rsidR="005A0086" w:rsidRPr="005A0086" w:rsidRDefault="005A0086" w:rsidP="002D207E">
      <w:pPr>
        <w:pStyle w:val="Bodytextplain"/>
        <w:keepNext/>
        <w:spacing w:before="0" w:line="240" w:lineRule="auto"/>
        <w:rPr>
          <w:sz w:val="4"/>
          <w:szCs w:val="4"/>
        </w:rPr>
      </w:pPr>
    </w:p>
    <w:p w14:paraId="31DFD3BE" w14:textId="3A3BB7B9" w:rsidR="002975E5" w:rsidRDefault="002975E5" w:rsidP="005A0086">
      <w:pPr>
        <w:pStyle w:val="Feedbackhead"/>
        <w:spacing w:before="0"/>
      </w:pPr>
      <w:r>
        <w:t>Your feedback</w:t>
      </w:r>
    </w:p>
    <w:p w14:paraId="72CAE87A" w14:textId="77777777" w:rsidR="002975E5" w:rsidRDefault="002975E5" w:rsidP="002D207E">
      <w:pPr>
        <w:pStyle w:val="Feedbackquestion"/>
        <w:keepNext/>
        <w:pBdr>
          <w:left w:val="single" w:sz="6" w:space="2" w:color="117DC7"/>
        </w:pBdr>
      </w:pPr>
      <w:r>
        <w:t>Do you agree with this proposal? In your response, please give detailed reasons for your answer.</w:t>
      </w:r>
    </w:p>
    <w:p w14:paraId="6D4582F5" w14:textId="79A58C2D" w:rsidR="002975E5" w:rsidRPr="00660EA3" w:rsidRDefault="00E85497" w:rsidP="00E85497">
      <w:pPr>
        <w:pStyle w:val="Feedbackquestion"/>
        <w:pBdr>
          <w:left w:val="single" w:sz="6" w:space="2" w:color="117DC7"/>
        </w:pBdr>
      </w:pPr>
      <w:r w:rsidRPr="00E85497">
        <w:t>Do</w:t>
      </w:r>
      <w:r w:rsidR="002975E5" w:rsidRPr="00E85497">
        <w:t xml:space="preserve"> you </w:t>
      </w:r>
      <w:r w:rsidRPr="00E85497">
        <w:t>consider that</w:t>
      </w:r>
      <w:r>
        <w:t xml:space="preserve"> the </w:t>
      </w:r>
      <w:r w:rsidR="002975E5" w:rsidRPr="00E85497">
        <w:t xml:space="preserve">explanations of data elements in this </w:t>
      </w:r>
      <w:r>
        <w:t>consultation paper are an appropriate basis for guidance in a Schedule 1 Technical Guidance document? Are there particular data elements for which you consider additional guidance is required and what is the nature of the additional guidance required?</w:t>
      </w:r>
    </w:p>
    <w:p w14:paraId="1EBDEDE9" w14:textId="77777777" w:rsidR="002975E5" w:rsidRDefault="002975E5" w:rsidP="002975E5">
      <w:pPr>
        <w:pStyle w:val="Proposaltext"/>
      </w:pPr>
      <w:r>
        <w:t>We propose that the amended ASIC Rules (see Attachment 2) include:</w:t>
      </w:r>
    </w:p>
    <w:p w14:paraId="775CD5B0" w14:textId="01BEF094" w:rsidR="002975E5" w:rsidRDefault="002975E5" w:rsidP="002975E5">
      <w:pPr>
        <w:pStyle w:val="Proposalsubpara"/>
      </w:pPr>
      <w:r>
        <w:t>the new data elements ‘Underlier ID</w:t>
      </w:r>
      <w:r w:rsidR="00100A26" w:rsidRPr="00CF221A">
        <w:rPr>
          <w:color w:val="000000" w:themeColor="text1"/>
        </w:rPr>
        <w:t>—</w:t>
      </w:r>
      <w:r>
        <w:t>non-UPI’ and ‘Underlier ID source</w:t>
      </w:r>
      <w:r w:rsidR="00100A26" w:rsidRPr="004A6049">
        <w:rPr>
          <w:spacing w:val="-2"/>
        </w:rPr>
        <w:t>—</w:t>
      </w:r>
      <w:r>
        <w:t xml:space="preserve">non-UPI’ with the meanings, formats and allowable values of items 81 and 82 respectively in Table S1.1(1) </w:t>
      </w:r>
      <w:r w:rsidR="009A5CA1">
        <w:t>‘</w:t>
      </w:r>
      <w:r>
        <w:t>Transaction information</w:t>
      </w:r>
      <w:r w:rsidR="009A5CA1">
        <w:t>’</w:t>
      </w:r>
      <w:r>
        <w:t>;</w:t>
      </w:r>
    </w:p>
    <w:p w14:paraId="3F7EBD2B" w14:textId="3A4818DC" w:rsidR="002975E5" w:rsidRDefault="002975E5" w:rsidP="002975E5">
      <w:pPr>
        <w:pStyle w:val="Proposalsubpara"/>
      </w:pPr>
      <w:r>
        <w:t>the new data elements ‘</w:t>
      </w:r>
      <w:r w:rsidRPr="009F4663">
        <w:t>Identifier of the floating rate</w:t>
      </w:r>
      <w:r w:rsidR="00100A26" w:rsidRPr="004A6049">
        <w:rPr>
          <w:spacing w:val="-2"/>
        </w:rPr>
        <w:t>—</w:t>
      </w:r>
      <w:r w:rsidRPr="009F4663">
        <w:t>Leg 2</w:t>
      </w:r>
      <w:r>
        <w:t>’</w:t>
      </w:r>
      <w:r w:rsidRPr="009F4663">
        <w:t xml:space="preserve">, </w:t>
      </w:r>
      <w:r>
        <w:t>‘</w:t>
      </w:r>
      <w:r w:rsidRPr="009F4663">
        <w:t>Floating rate reference period</w:t>
      </w:r>
      <w:r w:rsidR="00100A26" w:rsidRPr="004A6049">
        <w:rPr>
          <w:spacing w:val="-2"/>
        </w:rPr>
        <w:t>—</w:t>
      </w:r>
      <w:r w:rsidRPr="009F4663">
        <w:t>Leg 2</w:t>
      </w:r>
      <w:r>
        <w:t>’ and</w:t>
      </w:r>
      <w:r w:rsidRPr="009F4663">
        <w:t xml:space="preserve"> </w:t>
      </w:r>
      <w:r>
        <w:t>‘</w:t>
      </w:r>
      <w:r w:rsidRPr="009F4663">
        <w:t>Floating rate reference period multiplier</w:t>
      </w:r>
      <w:r w:rsidR="00100A26" w:rsidRPr="004A6049">
        <w:rPr>
          <w:spacing w:val="-2"/>
        </w:rPr>
        <w:t>—</w:t>
      </w:r>
      <w:r w:rsidRPr="009F4663">
        <w:t>Leg 2</w:t>
      </w:r>
      <w:r>
        <w:t xml:space="preserve">’ with the meanings, formats and allowable values of items 84, 85 and 86 respectively in Table S1.1(1) </w:t>
      </w:r>
      <w:r w:rsidR="009A5CA1">
        <w:t>‘</w:t>
      </w:r>
      <w:r>
        <w:t>Transaction information</w:t>
      </w:r>
      <w:r w:rsidR="009A5CA1">
        <w:t>’</w:t>
      </w:r>
      <w:r>
        <w:t>;</w:t>
      </w:r>
    </w:p>
    <w:p w14:paraId="7C2BFAC0" w14:textId="2B41D9DC" w:rsidR="002975E5" w:rsidRDefault="002975E5" w:rsidP="002975E5">
      <w:pPr>
        <w:pStyle w:val="Proposalsubpara"/>
      </w:pPr>
      <w:r>
        <w:t>the new data elements ‘Next floating reference reset date</w:t>
      </w:r>
      <w:r w:rsidR="00100A26" w:rsidRPr="004A6049">
        <w:rPr>
          <w:spacing w:val="-2"/>
        </w:rPr>
        <w:t>—</w:t>
      </w:r>
      <w:r>
        <w:t>Leg 1’ and ‘Next floating reference reset date</w:t>
      </w:r>
      <w:r w:rsidR="00100A26" w:rsidRPr="004A6049">
        <w:rPr>
          <w:spacing w:val="-2"/>
        </w:rPr>
        <w:t>—</w:t>
      </w:r>
      <w:r>
        <w:t xml:space="preserve">Leg 2’ with the meanings, formats and allowable values of items 10 and 11 respectively in Table S1.1(2) </w:t>
      </w:r>
      <w:r w:rsidR="009A5CA1">
        <w:t>‘</w:t>
      </w:r>
      <w:r>
        <w:t>Valuation information</w:t>
      </w:r>
      <w:r w:rsidR="009A5CA1">
        <w:t>’</w:t>
      </w:r>
      <w:r>
        <w:t>; and</w:t>
      </w:r>
    </w:p>
    <w:p w14:paraId="3E3F99AD" w14:textId="01FAA513" w:rsidR="002975E5" w:rsidRDefault="002975E5" w:rsidP="002975E5">
      <w:pPr>
        <w:pStyle w:val="Proposalsubpara"/>
      </w:pPr>
      <w:r>
        <w:t xml:space="preserve">the new data element ‘Collateral timestamp’ with the meaning, format and allowable values of item 5 in Table S1.1(3) </w:t>
      </w:r>
      <w:r w:rsidR="009A5CA1">
        <w:t>‘</w:t>
      </w:r>
      <w:r>
        <w:t>Collateral information</w:t>
      </w:r>
      <w:r w:rsidR="009A5CA1">
        <w:t>’</w:t>
      </w:r>
      <w:r>
        <w:t>.</w:t>
      </w:r>
    </w:p>
    <w:p w14:paraId="28F75A7D" w14:textId="77777777" w:rsidR="002975E5" w:rsidRDefault="002975E5" w:rsidP="002975E5">
      <w:pPr>
        <w:pStyle w:val="Feedbackhead"/>
      </w:pPr>
      <w:r>
        <w:t>Your feedback</w:t>
      </w:r>
    </w:p>
    <w:p w14:paraId="345742AE" w14:textId="77777777" w:rsidR="002975E5" w:rsidRDefault="002975E5" w:rsidP="002975E5">
      <w:pPr>
        <w:pStyle w:val="Feedbackquestion"/>
        <w:pBdr>
          <w:left w:val="single" w:sz="6" w:space="2" w:color="117DC7"/>
        </w:pBdr>
      </w:pPr>
      <w:r>
        <w:t>Do you agree with this proposal? In your response, please give detailed reasons for your answer.</w:t>
      </w:r>
    </w:p>
    <w:p w14:paraId="12A5DBD0" w14:textId="77777777" w:rsidR="002975E5" w:rsidRDefault="002975E5" w:rsidP="002975E5">
      <w:pPr>
        <w:pStyle w:val="Heading3"/>
      </w:pPr>
      <w:r>
        <w:t>Rationale</w:t>
      </w:r>
    </w:p>
    <w:p w14:paraId="7FEE82CA" w14:textId="77777777" w:rsidR="002975E5" w:rsidRDefault="002975E5" w:rsidP="002975E5">
      <w:pPr>
        <w:pStyle w:val="Heading4"/>
      </w:pPr>
      <w:r>
        <w:t>R</w:t>
      </w:r>
      <w:r w:rsidRPr="00696A1D">
        <w:t>ecognis</w:t>
      </w:r>
      <w:r>
        <w:t>ing</w:t>
      </w:r>
      <w:r w:rsidRPr="00696A1D">
        <w:t xml:space="preserve"> transaction-to-position conversion reporting practices</w:t>
      </w:r>
      <w:r>
        <w:t xml:space="preserve"> (draft remade ASIC Rules)</w:t>
      </w:r>
    </w:p>
    <w:p w14:paraId="7C1C837A" w14:textId="1C7D84B6" w:rsidR="002975E5" w:rsidRDefault="002975E5" w:rsidP="00C443A0">
      <w:pPr>
        <w:pStyle w:val="BodyText"/>
        <w:numPr>
          <w:ilvl w:val="0"/>
          <w:numId w:val="17"/>
        </w:numPr>
      </w:pPr>
      <w:bookmarkStart w:id="188" w:name="_ASICRef538"/>
      <w:r>
        <w:t>Some reporters of CFD transactions, influenced by EU reporting practices, adopt a practice of reporting that we describe as the ‘conversion’ of a transaction into a ‘position’.</w:t>
      </w:r>
      <w:bookmarkEnd w:id="188"/>
    </w:p>
    <w:p w14:paraId="3697FDB0" w14:textId="77777777" w:rsidR="00326AE8" w:rsidRDefault="002975E5" w:rsidP="00C443A0">
      <w:pPr>
        <w:pStyle w:val="BodyText"/>
        <w:numPr>
          <w:ilvl w:val="0"/>
          <w:numId w:val="17"/>
        </w:numPr>
      </w:pPr>
      <w:bookmarkStart w:id="189" w:name="_ASICRef210"/>
      <w:r>
        <w:t>By this we mean, in this stylised example:</w:t>
      </w:r>
      <w:bookmarkEnd w:id="189"/>
    </w:p>
    <w:p w14:paraId="58C04F34" w14:textId="421C7EB4" w:rsidR="00326AE8" w:rsidRDefault="002975E5" w:rsidP="00C443A0">
      <w:pPr>
        <w:pStyle w:val="BodyText"/>
        <w:numPr>
          <w:ilvl w:val="1"/>
          <w:numId w:val="17"/>
        </w:numPr>
      </w:pPr>
      <w:r>
        <w:t>reporting a new trade with</w:t>
      </w:r>
      <w:r w:rsidR="00886474">
        <w:t xml:space="preserve"> a</w:t>
      </w:r>
      <w:r>
        <w:t xml:space="preserve"> UTI of ‘123’; followed by</w:t>
      </w:r>
    </w:p>
    <w:p w14:paraId="0F63F1A9" w14:textId="54F98178" w:rsidR="00326AE8" w:rsidRDefault="002975E5" w:rsidP="00C443A0">
      <w:pPr>
        <w:pStyle w:val="BodyText"/>
        <w:numPr>
          <w:ilvl w:val="1"/>
          <w:numId w:val="17"/>
        </w:numPr>
      </w:pPr>
      <w:r>
        <w:t>reporting the termination of the trade with</w:t>
      </w:r>
      <w:r w:rsidR="00886474">
        <w:t xml:space="preserve"> a</w:t>
      </w:r>
      <w:r>
        <w:t xml:space="preserve"> UTI of ‘123’;</w:t>
      </w:r>
    </w:p>
    <w:p w14:paraId="04E7A3F8" w14:textId="32D02C7B" w:rsidR="00326AE8" w:rsidRDefault="002975E5" w:rsidP="00C443A0">
      <w:pPr>
        <w:pStyle w:val="BodyText"/>
        <w:numPr>
          <w:ilvl w:val="1"/>
          <w:numId w:val="17"/>
        </w:numPr>
      </w:pPr>
      <w:r>
        <w:t xml:space="preserve">reporting a new ‘position’ with </w:t>
      </w:r>
      <w:r w:rsidR="00886474">
        <w:t xml:space="preserve">a </w:t>
      </w:r>
      <w:r>
        <w:t>UTI of ‘ABC’; and</w:t>
      </w:r>
    </w:p>
    <w:p w14:paraId="2C5D6378" w14:textId="04397011" w:rsidR="002975E5" w:rsidRDefault="002975E5" w:rsidP="00C443A0">
      <w:pPr>
        <w:pStyle w:val="BodyText"/>
        <w:numPr>
          <w:ilvl w:val="1"/>
          <w:numId w:val="17"/>
        </w:numPr>
      </w:pPr>
      <w:r>
        <w:t xml:space="preserve">subsequently reporting modifications of the ‘position’ with </w:t>
      </w:r>
      <w:r w:rsidR="00886474">
        <w:t xml:space="preserve">a </w:t>
      </w:r>
      <w:r>
        <w:t>UTI of ‘ABC’ as further new trades increase or decrease the ‘position’.</w:t>
      </w:r>
    </w:p>
    <w:p w14:paraId="15BDD069" w14:textId="21BA282B" w:rsidR="002975E5" w:rsidRDefault="002975E5" w:rsidP="00C443A0">
      <w:pPr>
        <w:pStyle w:val="BodyText"/>
        <w:numPr>
          <w:ilvl w:val="0"/>
          <w:numId w:val="17"/>
        </w:numPr>
      </w:pPr>
      <w:r>
        <w:t>However, whil</w:t>
      </w:r>
      <w:r w:rsidR="00C77C9C">
        <w:t>e</w:t>
      </w:r>
      <w:r>
        <w:t xml:space="preserve"> (a), (b) and (d) are all reportable transactions under the current ASIC Rules, we </w:t>
      </w:r>
      <w:r w:rsidR="00B63667">
        <w:t xml:space="preserve">do not </w:t>
      </w:r>
      <w:r>
        <w:t>think that (c) is itself a reportable transaction</w:t>
      </w:r>
      <w:r w:rsidR="00404CA5">
        <w:t>—</w:t>
      </w:r>
      <w:r>
        <w:t xml:space="preserve">we do not think that it is ‘the entry into </w:t>
      </w:r>
      <w:r w:rsidRPr="00A47F80">
        <w:t>an arrangement that is an OTC Derivative</w:t>
      </w:r>
      <w:r>
        <w:t>’ (as the ‘entry into’ action is new trade (a) in the sequence above), and we think it is more akin to a bookkeeping or administrative action.</w:t>
      </w:r>
    </w:p>
    <w:p w14:paraId="2DF10025" w14:textId="0CBABC5B" w:rsidR="002975E5" w:rsidRPr="00796DC4" w:rsidRDefault="002975E5" w:rsidP="00C443A0">
      <w:pPr>
        <w:pStyle w:val="BodyText"/>
        <w:numPr>
          <w:ilvl w:val="0"/>
          <w:numId w:val="17"/>
        </w:numPr>
      </w:pPr>
      <w:r w:rsidRPr="00796DC4">
        <w:t xml:space="preserve">Consequently, for the purposes of reflecting current reporting practices and to provide certainty to reporting entities, draft new </w:t>
      </w:r>
      <w:r w:rsidR="00C77C9C">
        <w:t>Rule</w:t>
      </w:r>
      <w:r w:rsidR="008E0DC0">
        <w:t xml:space="preserve"> </w:t>
      </w:r>
      <w:r w:rsidRPr="00796DC4">
        <w:t>1.2.5</w:t>
      </w:r>
      <w:r w:rsidR="00810243" w:rsidRPr="00796DC4">
        <w:t>(1)(b)(iv)</w:t>
      </w:r>
      <w:r w:rsidRPr="00796DC4">
        <w:t xml:space="preserve"> recognises that each of the actions that in the stylised example in paragraph</w:t>
      </w:r>
      <w:r w:rsidR="00C77C9C">
        <w:t> </w:t>
      </w:r>
      <w:r w:rsidRPr="00796DC4">
        <w:fldChar w:fldCharType="begin" w:fldLock="1"/>
      </w:r>
      <w:r w:rsidRPr="00796DC4">
        <w:instrText xml:space="preserve"> REF _ASICRef210 \w \h </w:instrText>
      </w:r>
      <w:r w:rsidR="00E70003" w:rsidRPr="00796DC4">
        <w:instrText xml:space="preserve"> \* MERGEFORMAT </w:instrText>
      </w:r>
      <w:r w:rsidRPr="00796DC4">
        <w:fldChar w:fldCharType="separate"/>
      </w:r>
      <w:r w:rsidR="00853A2A">
        <w:t>374</w:t>
      </w:r>
      <w:r w:rsidRPr="00796DC4">
        <w:fldChar w:fldCharType="end"/>
      </w:r>
      <w:r w:rsidR="00796DC4" w:rsidRPr="00796DC4">
        <w:t xml:space="preserve"> is a ‘change to the way a Reporting Entity records an OTC Derivative in the Reporting Entity’s books and records’</w:t>
      </w:r>
      <w:r w:rsidRPr="00796DC4">
        <w:t xml:space="preserve">, </w:t>
      </w:r>
      <w:r w:rsidR="00796DC4" w:rsidRPr="00796DC4">
        <w:t>is a reportable transaction.</w:t>
      </w:r>
    </w:p>
    <w:p w14:paraId="119F6788" w14:textId="68CEFD90" w:rsidR="002975E5" w:rsidRDefault="00C77C9C" w:rsidP="00C443A0">
      <w:pPr>
        <w:pStyle w:val="BodyText"/>
        <w:numPr>
          <w:ilvl w:val="0"/>
          <w:numId w:val="17"/>
        </w:numPr>
      </w:pPr>
      <w:bookmarkStart w:id="190" w:name="_ASICRef406"/>
      <w:r>
        <w:t>Draft</w:t>
      </w:r>
      <w:r w:rsidR="00503EB7">
        <w:t xml:space="preserve"> </w:t>
      </w:r>
      <w:r>
        <w:t>R</w:t>
      </w:r>
      <w:r w:rsidR="00503EB7">
        <w:t xml:space="preserve">ule </w:t>
      </w:r>
      <w:r w:rsidR="002975E5">
        <w:t>S1.3.1(1)</w:t>
      </w:r>
      <w:r>
        <w:t>(a)</w:t>
      </w:r>
      <w:r w:rsidR="002975E5">
        <w:t xml:space="preserve"> </w:t>
      </w:r>
      <w:r w:rsidR="00503EB7">
        <w:t xml:space="preserve">also includes reference to </w:t>
      </w:r>
      <w:r>
        <w:t xml:space="preserve">Rule </w:t>
      </w:r>
      <w:r w:rsidR="00503EB7" w:rsidRPr="00796DC4">
        <w:t xml:space="preserve">1.2.5(1)(b)(iv) </w:t>
      </w:r>
      <w:r w:rsidR="00503EB7">
        <w:t>as a reportable transaction for which the derivative tran</w:t>
      </w:r>
      <w:r w:rsidR="002975E5" w:rsidRPr="00D50A62">
        <w:t xml:space="preserve">saction </w:t>
      </w:r>
      <w:r w:rsidR="002975E5">
        <w:t>i</w:t>
      </w:r>
      <w:r w:rsidR="002975E5" w:rsidRPr="00D50A62">
        <w:t>nformation</w:t>
      </w:r>
      <w:r w:rsidR="002975E5">
        <w:t xml:space="preserve"> </w:t>
      </w:r>
      <w:r w:rsidR="00503EB7">
        <w:t>is required to be reported.</w:t>
      </w:r>
      <w:bookmarkEnd w:id="190"/>
    </w:p>
    <w:p w14:paraId="2B5388F3" w14:textId="77777777" w:rsidR="002975E5" w:rsidRDefault="002975E5" w:rsidP="002975E5">
      <w:pPr>
        <w:pStyle w:val="Heading4"/>
      </w:pPr>
      <w:r>
        <w:t>Curtail duplicative reporting (draft remade ASIC Rules)</w:t>
      </w:r>
    </w:p>
    <w:p w14:paraId="3EB9A320" w14:textId="67E266E2" w:rsidR="002975E5" w:rsidRDefault="002975E5" w:rsidP="00C443A0">
      <w:pPr>
        <w:pStyle w:val="BodyText"/>
        <w:numPr>
          <w:ilvl w:val="0"/>
          <w:numId w:val="17"/>
        </w:numPr>
      </w:pPr>
      <w:r>
        <w:t>Some reporting entities appear to practice what is sometimes known as ‘full refresh’ reporting, which is the reporting on a day of all existing transactions of the reporting entity on that day</w:t>
      </w:r>
      <w:r w:rsidR="00404CA5">
        <w:t>—</w:t>
      </w:r>
      <w:r>
        <w:t>that is, in addition to reporting ‘new’ transactions on a day, reporting entities are also reporting (again) ‘new’ transactions that were entered into yesterday and first reported yesterday, and indeed reporting again ‘new’ transactions that were first reported many days ago and reported on every day since then.</w:t>
      </w:r>
    </w:p>
    <w:p w14:paraId="72B3DC16" w14:textId="77777777" w:rsidR="002975E5" w:rsidRDefault="002975E5" w:rsidP="00C443A0">
      <w:pPr>
        <w:pStyle w:val="BodyText"/>
        <w:numPr>
          <w:ilvl w:val="0"/>
          <w:numId w:val="17"/>
        </w:numPr>
      </w:pPr>
      <w:r>
        <w:t>This impairs our data analysis in two keys ways:</w:t>
      </w:r>
    </w:p>
    <w:p w14:paraId="790F338C" w14:textId="6F76165D" w:rsidR="002975E5" w:rsidRDefault="002975E5" w:rsidP="00C443A0">
      <w:pPr>
        <w:pStyle w:val="subparaa"/>
        <w:numPr>
          <w:ilvl w:val="1"/>
          <w:numId w:val="17"/>
        </w:numPr>
      </w:pPr>
      <w:r>
        <w:t>the re-reported trade</w:t>
      </w:r>
      <w:r w:rsidR="008C4B5C">
        <w:t>s</w:t>
      </w:r>
      <w:r>
        <w:t xml:space="preserve"> need to be excluded from analyses of late reporting by identifying that it was not late when first reported; and</w:t>
      </w:r>
    </w:p>
    <w:p w14:paraId="57396FEE" w14:textId="77777777" w:rsidR="002975E5" w:rsidRDefault="002975E5" w:rsidP="00C443A0">
      <w:pPr>
        <w:pStyle w:val="subparaa"/>
        <w:numPr>
          <w:ilvl w:val="1"/>
          <w:numId w:val="17"/>
        </w:numPr>
      </w:pPr>
      <w:r>
        <w:t>the re-reported trades likewise need to be identified and excluded from datasets of actual trades on a day for surveillance needs and for accurate measures of true turnover on a day or in a period.</w:t>
      </w:r>
    </w:p>
    <w:p w14:paraId="5187D0DB" w14:textId="0D2B7320" w:rsidR="002975E5" w:rsidRDefault="002975E5" w:rsidP="00C443A0">
      <w:pPr>
        <w:pStyle w:val="BodyText"/>
        <w:numPr>
          <w:ilvl w:val="0"/>
          <w:numId w:val="17"/>
        </w:numPr>
      </w:pPr>
      <w:r>
        <w:t xml:space="preserve">In other jurisdictions, the EU </w:t>
      </w:r>
      <w:r w:rsidR="00831C4F">
        <w:t>r</w:t>
      </w:r>
      <w:r>
        <w:t>ules require that reporting entities report ‘without duplication’ and the final CFTC rules have removed t</w:t>
      </w:r>
      <w:r w:rsidRPr="00CA67ED">
        <w:t xml:space="preserve">he § 45.12 regulations for voluntary supplemental reporting </w:t>
      </w:r>
      <w:r>
        <w:t>on the grounds that it compromises data quality and provides no clear regulatory benefit.</w:t>
      </w:r>
    </w:p>
    <w:p w14:paraId="626441C4" w14:textId="7391E9AE" w:rsidR="002975E5" w:rsidRDefault="002975E5" w:rsidP="00C443A0">
      <w:pPr>
        <w:pStyle w:val="BodyText"/>
        <w:numPr>
          <w:ilvl w:val="0"/>
          <w:numId w:val="17"/>
        </w:numPr>
      </w:pPr>
      <w:r>
        <w:t xml:space="preserve">Proposed </w:t>
      </w:r>
      <w:r w:rsidR="004729A3">
        <w:t>R</w:t>
      </w:r>
      <w:r>
        <w:t>ule 2.2.1(1A) addresses this problem by requiring that a reporting entity use its best endeavours to ensure that a report is not a duplicated report. The best endeavours qualification intends to recognise that, on occasions, automated reporting systems may inadvertently run twice or more on a day and duplicated reporting would then occur, but this would not be as a consequence of the fundamental design of the reporting systems and processes.</w:t>
      </w:r>
    </w:p>
    <w:p w14:paraId="3B3BDEBC" w14:textId="3FBEA289" w:rsidR="002975E5" w:rsidRDefault="002975E5" w:rsidP="00C443A0">
      <w:pPr>
        <w:pStyle w:val="BodyText"/>
        <w:numPr>
          <w:ilvl w:val="0"/>
          <w:numId w:val="17"/>
        </w:numPr>
      </w:pPr>
      <w:r>
        <w:t xml:space="preserve">This proposed </w:t>
      </w:r>
      <w:r w:rsidR="004729A3">
        <w:t xml:space="preserve">Rule </w:t>
      </w:r>
      <w:r>
        <w:t>2.2.1(1A) would be continued in the draft amended ASIC Rules.</w:t>
      </w:r>
    </w:p>
    <w:p w14:paraId="02DCA6AC" w14:textId="77777777" w:rsidR="002975E5" w:rsidRDefault="002975E5" w:rsidP="002975E5">
      <w:pPr>
        <w:pStyle w:val="Heading4"/>
      </w:pPr>
      <w:r>
        <w:t>T</w:t>
      </w:r>
      <w:r w:rsidRPr="00750CA6">
        <w:t>rade repositor</w:t>
      </w:r>
      <w:r>
        <w:t xml:space="preserve">ies </w:t>
      </w:r>
      <w:r w:rsidRPr="00750CA6">
        <w:t xml:space="preserve">may create </w:t>
      </w:r>
      <w:r>
        <w:t xml:space="preserve">derived </w:t>
      </w:r>
      <w:r w:rsidRPr="00750CA6">
        <w:t>transaction information</w:t>
      </w:r>
      <w:r>
        <w:t xml:space="preserve"> (draft remade ASIC Rules)</w:t>
      </w:r>
    </w:p>
    <w:p w14:paraId="65F2B5D3" w14:textId="77777777" w:rsidR="002975E5" w:rsidRDefault="002975E5" w:rsidP="00C443A0">
      <w:pPr>
        <w:pStyle w:val="BodyText"/>
        <w:numPr>
          <w:ilvl w:val="0"/>
          <w:numId w:val="17"/>
        </w:numPr>
      </w:pPr>
      <w:r>
        <w:t>In practice, under the current ASIC Rules, certain data elements in the data files sent by DDRS to the Australian regulators are derived by DDRS from other information that is submitted to DDRS by reporting entities.</w:t>
      </w:r>
    </w:p>
    <w:p w14:paraId="2B365957" w14:textId="77777777" w:rsidR="002975E5" w:rsidRDefault="002975E5" w:rsidP="00C443A0">
      <w:pPr>
        <w:pStyle w:val="BodyText"/>
        <w:numPr>
          <w:ilvl w:val="0"/>
          <w:numId w:val="17"/>
        </w:numPr>
      </w:pPr>
      <w:r>
        <w:t>The enduring example is reporting timestamp, which is the trade repository timestamp of receipt of the report, rather than the reporting entity’s timestamp of sending the report or an estimate of the receipt time by the trade repository.</w:t>
      </w:r>
    </w:p>
    <w:p w14:paraId="5F0E287C" w14:textId="77777777" w:rsidR="002975E5" w:rsidRDefault="002975E5" w:rsidP="00C443A0">
      <w:pPr>
        <w:pStyle w:val="BodyText"/>
        <w:numPr>
          <w:ilvl w:val="0"/>
          <w:numId w:val="17"/>
        </w:numPr>
      </w:pPr>
      <w:r>
        <w:t>Other examples include certain ‘frequency’ data elements which are derived from ‘period’ and ‘period multiplier’ data elements submitted by reporting entities.</w:t>
      </w:r>
    </w:p>
    <w:p w14:paraId="3D33FAA2" w14:textId="0F6E3205" w:rsidR="002975E5" w:rsidRDefault="002975E5" w:rsidP="00C443A0">
      <w:pPr>
        <w:pStyle w:val="BodyText"/>
        <w:numPr>
          <w:ilvl w:val="0"/>
          <w:numId w:val="17"/>
        </w:numPr>
      </w:pPr>
      <w:r>
        <w:t xml:space="preserve">The purpose of proposed </w:t>
      </w:r>
      <w:r w:rsidR="004729A3">
        <w:t xml:space="preserve">Rule </w:t>
      </w:r>
      <w:r>
        <w:t>2.2.1(1B) is to reflect current reporting practices, generalised to any trade repository, and provide certainty to reporting entities that where information is received by the Australian regulators in the form required by the ASIC Rules, having been derived by a trade repository from information submitted by a reporting entity, the reporting entity is taken to have complied with its reporting obligations.</w:t>
      </w:r>
    </w:p>
    <w:p w14:paraId="0E22EDAC" w14:textId="1181B1E7" w:rsidR="002975E5" w:rsidRDefault="002975E5" w:rsidP="00C443A0">
      <w:pPr>
        <w:pStyle w:val="BodyText"/>
        <w:numPr>
          <w:ilvl w:val="0"/>
          <w:numId w:val="17"/>
        </w:numPr>
      </w:pPr>
      <w:r>
        <w:t xml:space="preserve">This proposed </w:t>
      </w:r>
      <w:r w:rsidR="004729A3">
        <w:t xml:space="preserve">Rule </w:t>
      </w:r>
      <w:r>
        <w:t>2.2.1(1A) would be continued in the draft amended ASIC Rules, but not as a general endorsement of ‘TR-derived’ information. Given the detailed specification of data elements in the draft amended ASIC Rules, we think that ‘TR-derived’ information should only be the reporting timestamp.</w:t>
      </w:r>
    </w:p>
    <w:p w14:paraId="6D04AAA3" w14:textId="0D522BB2" w:rsidR="002975E5" w:rsidRDefault="002975E5" w:rsidP="002975E5">
      <w:pPr>
        <w:pStyle w:val="Heading4"/>
      </w:pPr>
      <w:r w:rsidRPr="004C5C35">
        <w:t>Exempting small-scale buy-side entities from</w:t>
      </w:r>
      <w:r w:rsidRPr="007628A5">
        <w:t xml:space="preserve"> </w:t>
      </w:r>
      <w:r>
        <w:t xml:space="preserve">certain </w:t>
      </w:r>
      <w:r w:rsidRPr="007628A5">
        <w:t>extended reporting requirements</w:t>
      </w:r>
      <w:r>
        <w:t xml:space="preserve"> (draft remade ASIC Rules </w:t>
      </w:r>
      <w:r w:rsidR="004729A3">
        <w:t xml:space="preserve">and </w:t>
      </w:r>
      <w:r>
        <w:t>draft amended ASIC Rules)</w:t>
      </w:r>
    </w:p>
    <w:p w14:paraId="6713102C" w14:textId="72D8AC92" w:rsidR="002975E5" w:rsidRDefault="002975E5" w:rsidP="00C443A0">
      <w:pPr>
        <w:pStyle w:val="BodyText"/>
        <w:numPr>
          <w:ilvl w:val="0"/>
          <w:numId w:val="17"/>
        </w:numPr>
      </w:pPr>
      <w:bookmarkStart w:id="191" w:name="_ASICRef673"/>
      <w:r>
        <w:t xml:space="preserve">The feedback from buy-side respondents to </w:t>
      </w:r>
      <w:hyperlink r:id="rId119" w:history="1">
        <w:r w:rsidRPr="004729A3">
          <w:rPr>
            <w:rStyle w:val="Hyperlink"/>
          </w:rPr>
          <w:t>CP 334</w:t>
        </w:r>
      </w:hyperlink>
      <w:r>
        <w:t xml:space="preserve"> raised a number of concerns about the complexity and costs in satisfying the requirements of some of our proposals that would extend the current reporting requirements, particularly for collateral reporting.</w:t>
      </w:r>
      <w:bookmarkEnd w:id="191"/>
    </w:p>
    <w:p w14:paraId="6160439F" w14:textId="77777777" w:rsidR="002975E5" w:rsidRDefault="002975E5" w:rsidP="00C443A0">
      <w:pPr>
        <w:pStyle w:val="BodyText"/>
        <w:numPr>
          <w:ilvl w:val="0"/>
          <w:numId w:val="17"/>
        </w:numPr>
      </w:pPr>
      <w:r>
        <w:t>We have subsequently identified a large segment of the reporting entity population whose exposures and scale of trading are such that requiring extended reporting from them would not be of clear regulatory benefit.</w:t>
      </w:r>
    </w:p>
    <w:p w14:paraId="450F0A38" w14:textId="7D61621C" w:rsidR="002975E5" w:rsidRDefault="002975E5" w:rsidP="00C443A0">
      <w:pPr>
        <w:pStyle w:val="BodyText"/>
        <w:numPr>
          <w:ilvl w:val="0"/>
          <w:numId w:val="17"/>
        </w:numPr>
      </w:pPr>
      <w:r>
        <w:t>The Australian Prudential Regulatory Authority</w:t>
      </w:r>
      <w:r w:rsidR="004729A3">
        <w:t xml:space="preserve"> (APRA)’</w:t>
      </w:r>
      <w:r>
        <w:t xml:space="preserve">s </w:t>
      </w:r>
      <w:r w:rsidRPr="00735E78">
        <w:t>Prudential Standard CPS</w:t>
      </w:r>
      <w:r w:rsidR="004729A3">
        <w:t> </w:t>
      </w:r>
      <w:r w:rsidRPr="00735E78">
        <w:t xml:space="preserve">226 </w:t>
      </w:r>
      <w:r w:rsidRPr="00735E78">
        <w:rPr>
          <w:i/>
          <w:iCs/>
        </w:rPr>
        <w:t>Margining and risk mitigation for non-centrally cleared derivatives</w:t>
      </w:r>
      <w:r w:rsidRPr="00735E78">
        <w:t xml:space="preserve"> </w:t>
      </w:r>
      <w:r>
        <w:t xml:space="preserve">specifies that covered entities that hold more than A$12 billion notional amount of non-centrally cleared derivatives must adopt the enhanced risk management practice of posting and collecting initial margin with a covered counterparty. We think that there are parallels between enhanced risk management obligations and extended reporting obligations, and we are proposing to use the same measure of more than A$12 billion notional amount of non-centrally cleared derivatives held by a buy-side entity as the threshold for requiring the extended reporting requirements proposed in </w:t>
      </w:r>
      <w:hyperlink r:id="rId120" w:history="1">
        <w:r w:rsidRPr="004729A3">
          <w:rPr>
            <w:rStyle w:val="Hyperlink"/>
          </w:rPr>
          <w:t>CP</w:t>
        </w:r>
        <w:r w:rsidR="004729A3" w:rsidRPr="004729A3">
          <w:rPr>
            <w:rStyle w:val="Hyperlink"/>
          </w:rPr>
          <w:t> </w:t>
        </w:r>
        <w:r w:rsidRPr="004729A3">
          <w:rPr>
            <w:rStyle w:val="Hyperlink"/>
          </w:rPr>
          <w:t>334</w:t>
        </w:r>
      </w:hyperlink>
      <w:r>
        <w:t xml:space="preserve"> in relation to collateral, delta and lifecycle reporting. Correspondingly, a reporting entity holding A$12 billion or less notional amount of non-centrally cleared derivatives would be ‘small-scale’.</w:t>
      </w:r>
    </w:p>
    <w:p w14:paraId="6D07EFEA" w14:textId="4098DDC1" w:rsidR="002975E5" w:rsidRPr="004C5C35" w:rsidRDefault="002975E5" w:rsidP="00C443A0">
      <w:pPr>
        <w:pStyle w:val="BodyText"/>
        <w:numPr>
          <w:ilvl w:val="0"/>
          <w:numId w:val="17"/>
        </w:numPr>
      </w:pPr>
      <w:r w:rsidRPr="004C5C35">
        <w:t>In our analysis, the cohort of 725 to 750 reporting entities that we identify as ‘Small-scale Buy-side’ entities account for</w:t>
      </w:r>
      <w:r w:rsidR="0075007C" w:rsidRPr="004C5C35">
        <w:t xml:space="preserve"> (excluding CFD transactions)</w:t>
      </w:r>
      <w:r w:rsidRPr="004C5C35">
        <w:t>:</w:t>
      </w:r>
    </w:p>
    <w:p w14:paraId="648BE196" w14:textId="4F334C86" w:rsidR="002975E5" w:rsidRPr="004C5C35" w:rsidRDefault="002975E5" w:rsidP="00C443A0">
      <w:pPr>
        <w:pStyle w:val="subparaa"/>
        <w:numPr>
          <w:ilvl w:val="1"/>
          <w:numId w:val="17"/>
        </w:numPr>
      </w:pPr>
      <w:r w:rsidRPr="004C5C35">
        <w:t>less than 5% of the number of transactions;</w:t>
      </w:r>
    </w:p>
    <w:p w14:paraId="655A21D0" w14:textId="77777777" w:rsidR="002975E5" w:rsidRPr="004C5C35" w:rsidRDefault="002975E5" w:rsidP="00C443A0">
      <w:pPr>
        <w:pStyle w:val="subparaa"/>
        <w:numPr>
          <w:ilvl w:val="1"/>
          <w:numId w:val="17"/>
        </w:numPr>
      </w:pPr>
      <w:r w:rsidRPr="004C5C35">
        <w:t>less than 1.5% of notional amount;</w:t>
      </w:r>
    </w:p>
    <w:p w14:paraId="4DD01F19" w14:textId="77777777" w:rsidR="002975E5" w:rsidRPr="004C5C35" w:rsidRDefault="002975E5" w:rsidP="00C443A0">
      <w:pPr>
        <w:pStyle w:val="subparaa"/>
        <w:numPr>
          <w:ilvl w:val="1"/>
          <w:numId w:val="17"/>
        </w:numPr>
      </w:pPr>
      <w:r w:rsidRPr="004C5C35">
        <w:t>less than 0.5% of collateral posted; and</w:t>
      </w:r>
    </w:p>
    <w:p w14:paraId="4445E98F" w14:textId="5753AF79" w:rsidR="002975E5" w:rsidRPr="004C5C35" w:rsidRDefault="002975E5" w:rsidP="00C443A0">
      <w:pPr>
        <w:pStyle w:val="subparaa"/>
        <w:numPr>
          <w:ilvl w:val="1"/>
          <w:numId w:val="17"/>
        </w:numPr>
      </w:pPr>
      <w:r w:rsidRPr="004C5C35">
        <w:t>about 6% of option transactions</w:t>
      </w:r>
      <w:r w:rsidR="004729A3" w:rsidRPr="004C5C35">
        <w:t>,</w:t>
      </w:r>
    </w:p>
    <w:p w14:paraId="491DE6DE" w14:textId="77777777" w:rsidR="002975E5" w:rsidRPr="004C5C35" w:rsidRDefault="002975E5" w:rsidP="002975E5">
      <w:pPr>
        <w:pStyle w:val="subparaa"/>
        <w:numPr>
          <w:ilvl w:val="0"/>
          <w:numId w:val="0"/>
        </w:numPr>
        <w:ind w:left="2268"/>
      </w:pPr>
      <w:r w:rsidRPr="004C5C35">
        <w:t>with about 105 reporting entities (excluding CFD providers) accounting for the balance of transactions, notional amount, collateral posted and options.</w:t>
      </w:r>
    </w:p>
    <w:p w14:paraId="1B2EBD46" w14:textId="22A9C229" w:rsidR="002975E5" w:rsidRDefault="002975E5" w:rsidP="00C443A0">
      <w:pPr>
        <w:pStyle w:val="BodyText"/>
        <w:numPr>
          <w:ilvl w:val="0"/>
          <w:numId w:val="17"/>
        </w:numPr>
      </w:pPr>
      <w:r w:rsidRPr="004C5C35">
        <w:t>In Rule 1.2.3 of the draft remade ASIC Rules, a ‘Small-scale Buy-side Entity’ is</w:t>
      </w:r>
      <w:r>
        <w:t xml:space="preserve"> firstly defined in terms of </w:t>
      </w:r>
      <w:r w:rsidR="00CF221A">
        <w:t xml:space="preserve">the </w:t>
      </w:r>
      <w:r>
        <w:t>buy-side elements</w:t>
      </w:r>
      <w:r w:rsidR="00CF221A">
        <w:t>:</w:t>
      </w:r>
    </w:p>
    <w:p w14:paraId="6B1FEC1C" w14:textId="77777777" w:rsidR="002975E5" w:rsidRDefault="002975E5" w:rsidP="00C443A0">
      <w:pPr>
        <w:pStyle w:val="subparaa"/>
        <w:numPr>
          <w:ilvl w:val="1"/>
          <w:numId w:val="17"/>
        </w:numPr>
      </w:pPr>
      <w:r>
        <w:t>is a responsible entity, trustee or a non-bank body regulated by APRA (i.e. an insurance company); and</w:t>
      </w:r>
    </w:p>
    <w:p w14:paraId="42B1EB87" w14:textId="41942DB5" w:rsidR="002975E5" w:rsidRDefault="002975E5" w:rsidP="00C443A0">
      <w:pPr>
        <w:pStyle w:val="subparaa"/>
        <w:numPr>
          <w:ilvl w:val="1"/>
          <w:numId w:val="17"/>
        </w:numPr>
      </w:pPr>
      <w:r>
        <w:t xml:space="preserve">is not an AFS </w:t>
      </w:r>
      <w:r w:rsidR="000D7C56">
        <w:t xml:space="preserve">licensee </w:t>
      </w:r>
      <w:r>
        <w:t xml:space="preserve">whose AFS </w:t>
      </w:r>
      <w:r w:rsidR="000D7C56">
        <w:t xml:space="preserve">licence </w:t>
      </w:r>
      <w:r>
        <w:t>authorises them to make a market in derivatives (i.e. a market-maker cannot be taken to be a buy-side entity); and</w:t>
      </w:r>
    </w:p>
    <w:p w14:paraId="3EA56F89" w14:textId="2CA92D76" w:rsidR="002975E5" w:rsidRDefault="002975E5" w:rsidP="00C443A0">
      <w:pPr>
        <w:pStyle w:val="subparaa"/>
        <w:numPr>
          <w:ilvl w:val="1"/>
          <w:numId w:val="17"/>
        </w:numPr>
      </w:pPr>
      <w:r>
        <w:t xml:space="preserve">is not an </w:t>
      </w:r>
      <w:r w:rsidR="000D7C56">
        <w:t xml:space="preserve">exempt foreign licensee </w:t>
      </w:r>
      <w:r>
        <w:t xml:space="preserve">(as the definition of an </w:t>
      </w:r>
      <w:r w:rsidR="000D7C56">
        <w:t xml:space="preserve">exempt foreign licensee </w:t>
      </w:r>
      <w:r>
        <w:t>does not exclude that they may be a market-maker).</w:t>
      </w:r>
    </w:p>
    <w:p w14:paraId="6BB4BE46" w14:textId="77777777" w:rsidR="002975E5" w:rsidRDefault="002975E5" w:rsidP="00C443A0">
      <w:pPr>
        <w:pStyle w:val="BodyText"/>
        <w:numPr>
          <w:ilvl w:val="0"/>
          <w:numId w:val="17"/>
        </w:numPr>
      </w:pPr>
      <w:r>
        <w:t>Then the small-scale element is defined in terms of:</w:t>
      </w:r>
    </w:p>
    <w:p w14:paraId="0FF465AA" w14:textId="5CF0678E" w:rsidR="002975E5" w:rsidRDefault="002975E5" w:rsidP="00C443A0">
      <w:pPr>
        <w:pStyle w:val="subparaa"/>
        <w:numPr>
          <w:ilvl w:val="1"/>
          <w:numId w:val="17"/>
        </w:numPr>
      </w:pPr>
      <w:r>
        <w:t xml:space="preserve">holding total gross notional outstanding non-centrally cleared derivatives of </w:t>
      </w:r>
      <w:r w:rsidR="0034761C">
        <w:t>A</w:t>
      </w:r>
      <w:r>
        <w:t>$12 billion or less (measured at the managed investment scheme, trust or entity level (as applicable));</w:t>
      </w:r>
    </w:p>
    <w:p w14:paraId="2DECE355" w14:textId="77777777" w:rsidR="002975E5" w:rsidRDefault="002975E5" w:rsidP="00C443A0">
      <w:pPr>
        <w:pStyle w:val="subparaa"/>
        <w:numPr>
          <w:ilvl w:val="1"/>
          <w:numId w:val="17"/>
        </w:numPr>
      </w:pPr>
      <w:r>
        <w:t>measured on each 31 March, 30 June, 30 September and 31 December (each a ‘quarter day’);</w:t>
      </w:r>
    </w:p>
    <w:p w14:paraId="73D9ECAC" w14:textId="4D4768BE" w:rsidR="002975E5" w:rsidRDefault="002975E5" w:rsidP="00C443A0">
      <w:pPr>
        <w:pStyle w:val="subparaa"/>
        <w:numPr>
          <w:ilvl w:val="1"/>
          <w:numId w:val="17"/>
        </w:numPr>
      </w:pPr>
      <w:r>
        <w:t>being small-scale from</w:t>
      </w:r>
      <w:r w:rsidR="0075007C">
        <w:t xml:space="preserve"> the </w:t>
      </w:r>
      <w:r w:rsidR="00511E62">
        <w:t>day after the</w:t>
      </w:r>
      <w:r>
        <w:t xml:space="preserve"> quarter day where the holding is </w:t>
      </w:r>
      <w:r w:rsidR="0034761C">
        <w:t>A</w:t>
      </w:r>
      <w:r>
        <w:t>$12 billion or less on the prior two quarter days; and</w:t>
      </w:r>
    </w:p>
    <w:p w14:paraId="0A59768D" w14:textId="2EB56F13" w:rsidR="002975E5" w:rsidRDefault="002975E5" w:rsidP="00C443A0">
      <w:pPr>
        <w:pStyle w:val="subparaa"/>
        <w:numPr>
          <w:ilvl w:val="1"/>
          <w:numId w:val="17"/>
        </w:numPr>
      </w:pPr>
      <w:r>
        <w:t xml:space="preserve">ceasing to be small-scale from </w:t>
      </w:r>
      <w:r w:rsidR="0075007C">
        <w:t xml:space="preserve">the </w:t>
      </w:r>
      <w:r w:rsidR="00511E62">
        <w:t>day after the</w:t>
      </w:r>
      <w:r>
        <w:t xml:space="preserve"> quarter day where the holding is greater than </w:t>
      </w:r>
      <w:r w:rsidR="0034761C">
        <w:t>A</w:t>
      </w:r>
      <w:r>
        <w:t>$12 billion on the prior two quarter days.</w:t>
      </w:r>
    </w:p>
    <w:p w14:paraId="2525C0A3" w14:textId="73122A54" w:rsidR="002975E5" w:rsidRPr="004C5C35" w:rsidRDefault="002975E5" w:rsidP="00C443A0">
      <w:pPr>
        <w:pStyle w:val="BodyText"/>
        <w:numPr>
          <w:ilvl w:val="0"/>
          <w:numId w:val="17"/>
        </w:numPr>
      </w:pPr>
      <w:r>
        <w:t xml:space="preserve">This definition of small-scale linking total gross notional outstanding and the pattern of the measure versus a threshold over successive quarter days </w:t>
      </w:r>
      <w:r w:rsidRPr="004C5C35">
        <w:t xml:space="preserve">follows the same logic used in reg 7.5A.73 </w:t>
      </w:r>
      <w:r w:rsidR="000D7C56" w:rsidRPr="004C5C35">
        <w:t xml:space="preserve">of the Corporations Regulations </w:t>
      </w:r>
      <w:r w:rsidRPr="004C5C35">
        <w:t xml:space="preserve">for ‘small-scale, single-sided’ reporting entities and for mandatory clearing under the </w:t>
      </w:r>
      <w:r w:rsidRPr="004C5C35">
        <w:rPr>
          <w:i/>
          <w:iCs/>
        </w:rPr>
        <w:t>ASIC Derivative Transaction Rules (Clearing) 2015</w:t>
      </w:r>
      <w:r w:rsidRPr="004C5C35">
        <w:t>. That is, that:</w:t>
      </w:r>
    </w:p>
    <w:p w14:paraId="345BF6A5" w14:textId="67918CA1" w:rsidR="002975E5" w:rsidRPr="004C5C35" w:rsidRDefault="002975E5" w:rsidP="00C443A0">
      <w:pPr>
        <w:pStyle w:val="subparaa"/>
        <w:numPr>
          <w:ilvl w:val="1"/>
          <w:numId w:val="17"/>
        </w:numPr>
      </w:pPr>
      <w:r w:rsidRPr="004C5C35">
        <w:t>the small-scale, single-sided exemption continues to apply or commences to apply and mandatory clearing ceases to apply</w:t>
      </w:r>
      <w:r w:rsidR="00404CA5" w:rsidRPr="004C5C35">
        <w:t>—</w:t>
      </w:r>
      <w:r w:rsidRPr="004C5C35">
        <w:t>with a further one quarter’s lag</w:t>
      </w:r>
      <w:r w:rsidR="00404CA5" w:rsidRPr="004C5C35">
        <w:t>—</w:t>
      </w:r>
      <w:r w:rsidRPr="004C5C35">
        <w:t>if an entity’s holding of derivatives does not exceed the relevant threshold on two consecutive quarter days</w:t>
      </w:r>
      <w:r w:rsidR="000D7C56" w:rsidRPr="004C5C35">
        <w:t>; and</w:t>
      </w:r>
    </w:p>
    <w:p w14:paraId="4711F214" w14:textId="44E7A212" w:rsidR="002975E5" w:rsidRPr="004C5C35" w:rsidRDefault="002975E5" w:rsidP="00C443A0">
      <w:pPr>
        <w:pStyle w:val="subparaa"/>
        <w:numPr>
          <w:ilvl w:val="1"/>
          <w:numId w:val="17"/>
        </w:numPr>
      </w:pPr>
      <w:r w:rsidRPr="004C5C35">
        <w:t>the small-scale, single-sided exemption ceases to apply and mandatory clearing continues to apply or commences to apply</w:t>
      </w:r>
      <w:r w:rsidR="00404CA5" w:rsidRPr="004C5C35">
        <w:t>—</w:t>
      </w:r>
      <w:r w:rsidRPr="004C5C35">
        <w:t>with a further one quarter’s lag</w:t>
      </w:r>
      <w:r w:rsidR="00404CA5" w:rsidRPr="004C5C35">
        <w:t>—</w:t>
      </w:r>
      <w:r w:rsidRPr="004C5C35">
        <w:t>if an entity’s holding of derivatives exceeds the relevant threshold on two consecutive quarter days</w:t>
      </w:r>
      <w:r w:rsidR="000D7C56" w:rsidRPr="004C5C35">
        <w:t>.</w:t>
      </w:r>
    </w:p>
    <w:p w14:paraId="1680D6D0" w14:textId="07F32ADA" w:rsidR="002975E5" w:rsidRPr="004C5C35" w:rsidRDefault="002975E5" w:rsidP="00C443A0">
      <w:pPr>
        <w:pStyle w:val="BodyText"/>
        <w:numPr>
          <w:ilvl w:val="0"/>
          <w:numId w:val="17"/>
        </w:numPr>
      </w:pPr>
      <w:r w:rsidRPr="004C5C35">
        <w:t xml:space="preserve">As we note at paragraph </w:t>
      </w:r>
      <w:r w:rsidRPr="004C5C35">
        <w:fldChar w:fldCharType="begin" w:fldLock="1"/>
      </w:r>
      <w:r w:rsidRPr="004C5C35">
        <w:instrText xml:space="preserve"> REF _ASICRef596 \w \h </w:instrText>
      </w:r>
      <w:r w:rsidR="004C5C35">
        <w:instrText xml:space="preserve"> \* MERGEFORMAT </w:instrText>
      </w:r>
      <w:r w:rsidRPr="004C5C35">
        <w:fldChar w:fldCharType="separate"/>
      </w:r>
      <w:r w:rsidR="00853A2A">
        <w:t>838</w:t>
      </w:r>
      <w:r w:rsidRPr="004C5C35">
        <w:fldChar w:fldCharType="end"/>
      </w:r>
      <w:r w:rsidRPr="004C5C35">
        <w:t xml:space="preserve"> in Section </w:t>
      </w:r>
      <w:r w:rsidR="005D4522" w:rsidRPr="004C5C35">
        <w:fldChar w:fldCharType="begin" w:fldLock="1"/>
      </w:r>
      <w:r w:rsidR="005D4522" w:rsidRPr="004C5C35">
        <w:instrText xml:space="preserve"> REF _ASICRef357 \w \h </w:instrText>
      </w:r>
      <w:r w:rsidR="004C5C35">
        <w:instrText xml:space="preserve"> \* MERGEFORMAT </w:instrText>
      </w:r>
      <w:r w:rsidR="005D4522" w:rsidRPr="004C5C35">
        <w:fldChar w:fldCharType="separate"/>
      </w:r>
      <w:r w:rsidR="00853A2A">
        <w:t>I</w:t>
      </w:r>
      <w:r w:rsidR="005D4522" w:rsidRPr="004C5C35">
        <w:fldChar w:fldCharType="end"/>
      </w:r>
      <w:r w:rsidR="005D4522" w:rsidRPr="004C5C35">
        <w:t xml:space="preserve"> </w:t>
      </w:r>
      <w:r w:rsidR="000D7C56" w:rsidRPr="004C5C35">
        <w:t>‘</w:t>
      </w:r>
      <w:r w:rsidR="0075007C" w:rsidRPr="004C5C35">
        <w:t>Reporting requirements</w:t>
      </w:r>
      <w:r w:rsidR="000D7C56" w:rsidRPr="004C5C35">
        <w:t>’</w:t>
      </w:r>
      <w:r w:rsidR="0075007C" w:rsidRPr="004C5C35">
        <w:t>,</w:t>
      </w:r>
      <w:r w:rsidRPr="004C5C35">
        <w:t xml:space="preserve"> we </w:t>
      </w:r>
      <w:r w:rsidR="00EA7F2F" w:rsidRPr="004C5C35">
        <w:t xml:space="preserve">have decided </w:t>
      </w:r>
      <w:r w:rsidRPr="004C5C35">
        <w:t>to extend lifecycle reporting to all products in the draft remade ASIC Rules, However, this is one of the extended requirements small-scale</w:t>
      </w:r>
      <w:r w:rsidR="00A832BD">
        <w:t xml:space="preserve"> </w:t>
      </w:r>
      <w:r w:rsidRPr="004C5C35">
        <w:t>buy-side entities would not be required to comply with.</w:t>
      </w:r>
    </w:p>
    <w:p w14:paraId="67BDB277" w14:textId="5C7BE9B7" w:rsidR="002975E5" w:rsidRPr="004C5C35" w:rsidRDefault="008836FE" w:rsidP="00C443A0">
      <w:pPr>
        <w:pStyle w:val="BodyText"/>
        <w:numPr>
          <w:ilvl w:val="0"/>
          <w:numId w:val="17"/>
        </w:numPr>
      </w:pPr>
      <w:bookmarkStart w:id="192" w:name="_ASICRef256"/>
      <w:r w:rsidRPr="004C5C35">
        <w:t xml:space="preserve">Draft </w:t>
      </w:r>
      <w:r w:rsidR="002975E5" w:rsidRPr="004C5C35">
        <w:t xml:space="preserve">Rule 2.2.8 </w:t>
      </w:r>
      <w:r w:rsidR="0087228F" w:rsidRPr="004C5C35">
        <w:t>‘</w:t>
      </w:r>
      <w:r w:rsidR="002975E5" w:rsidRPr="004C5C35">
        <w:t>Lifecycle or snapshot reporting</w:t>
      </w:r>
      <w:r w:rsidR="0087228F" w:rsidRPr="004C5C35">
        <w:t>’</w:t>
      </w:r>
      <w:r w:rsidR="002975E5" w:rsidRPr="004C5C35">
        <w:t xml:space="preserve"> </w:t>
      </w:r>
      <w:r w:rsidRPr="004C5C35">
        <w:t>states that</w:t>
      </w:r>
      <w:r w:rsidR="002975E5" w:rsidRPr="004C5C35">
        <w:t>:</w:t>
      </w:r>
      <w:bookmarkEnd w:id="192"/>
    </w:p>
    <w:p w14:paraId="73747551" w14:textId="4263D872" w:rsidR="002975E5" w:rsidRPr="004C5C35" w:rsidRDefault="002975E5" w:rsidP="00C443A0">
      <w:pPr>
        <w:pStyle w:val="subparaa"/>
        <w:numPr>
          <w:ilvl w:val="1"/>
          <w:numId w:val="17"/>
        </w:numPr>
      </w:pPr>
      <w:r w:rsidRPr="004C5C35">
        <w:t>at subrule (1), reporting entities that are not small-scale buy-side entities are required to report each transaction that takes place on a day;</w:t>
      </w:r>
    </w:p>
    <w:p w14:paraId="55C58874" w14:textId="16BF901E" w:rsidR="002975E5" w:rsidRPr="004C5C35" w:rsidRDefault="002975E5" w:rsidP="00C443A0">
      <w:pPr>
        <w:pStyle w:val="subparaa"/>
        <w:numPr>
          <w:ilvl w:val="1"/>
          <w:numId w:val="17"/>
        </w:numPr>
      </w:pPr>
      <w:r w:rsidRPr="004C5C35">
        <w:t>at subrule (2), small-scale buy-side entities are required to report each equity derivative transaction that takes place on a day</w:t>
      </w:r>
      <w:r w:rsidR="00404CA5" w:rsidRPr="004C5C35">
        <w:t>—</w:t>
      </w:r>
      <w:r w:rsidRPr="004C5C35">
        <w:t xml:space="preserve">this continues the situation under the current ASIC Rules and </w:t>
      </w:r>
      <w:hyperlink r:id="rId121" w:history="1">
        <w:r w:rsidRPr="004C5C35">
          <w:rPr>
            <w:rStyle w:val="Hyperlink"/>
            <w:i/>
            <w:iCs/>
          </w:rPr>
          <w:t>ASIC Derivative Transaction Rules (Reporting) Determination 2018/1096</w:t>
        </w:r>
      </w:hyperlink>
      <w:r w:rsidRPr="004C5C35">
        <w:t xml:space="preserve"> </w:t>
      </w:r>
      <w:r w:rsidR="0028593F" w:rsidRPr="004C5C35">
        <w:t xml:space="preserve">(PDF 105 KB) </w:t>
      </w:r>
      <w:r w:rsidRPr="004C5C35">
        <w:t>that all reporting entities are required to report equity derivative transactions on a lifecycle basis; and</w:t>
      </w:r>
    </w:p>
    <w:p w14:paraId="1610B6DD" w14:textId="0448BF5B" w:rsidR="002975E5" w:rsidRPr="004C5C35" w:rsidRDefault="002975E5" w:rsidP="00C443A0">
      <w:pPr>
        <w:pStyle w:val="subparaa"/>
        <w:numPr>
          <w:ilvl w:val="1"/>
          <w:numId w:val="17"/>
        </w:numPr>
      </w:pPr>
      <w:r w:rsidRPr="004C5C35">
        <w:t>at subrule (3), small-scale buy-side entities may report other kinds of derivative transactions on a snapshot basis.</w:t>
      </w:r>
    </w:p>
    <w:p w14:paraId="1A440545" w14:textId="75E1A693" w:rsidR="002975E5" w:rsidRPr="004C5C35" w:rsidRDefault="002975E5" w:rsidP="00C443A0">
      <w:pPr>
        <w:pStyle w:val="BodyText"/>
        <w:numPr>
          <w:ilvl w:val="0"/>
          <w:numId w:val="17"/>
        </w:numPr>
      </w:pPr>
      <w:bookmarkStart w:id="193" w:name="_ASICRef105"/>
      <w:r w:rsidRPr="004C5C35">
        <w:t>The other extended reporting requirements that small-scale buy-side entities would not be required to comply with are introduced in the draft amended ASIC Rules and are delta and certain collateral information data elements.</w:t>
      </w:r>
      <w:bookmarkEnd w:id="193"/>
    </w:p>
    <w:p w14:paraId="3E8AD865" w14:textId="54B47F25" w:rsidR="002975E5" w:rsidRDefault="002975E5" w:rsidP="00C443A0">
      <w:pPr>
        <w:pStyle w:val="BodyText"/>
        <w:numPr>
          <w:ilvl w:val="0"/>
          <w:numId w:val="17"/>
        </w:numPr>
      </w:pPr>
      <w:r w:rsidRPr="004C5C35">
        <w:t xml:space="preserve">In Schedule 1 </w:t>
      </w:r>
      <w:r w:rsidR="005E261B" w:rsidRPr="004C5C35">
        <w:t>‘</w:t>
      </w:r>
      <w:r w:rsidRPr="004C5C35">
        <w:t>Information requirements</w:t>
      </w:r>
      <w:r w:rsidR="005E261B" w:rsidRPr="004C5C35">
        <w:t>’</w:t>
      </w:r>
      <w:r w:rsidRPr="004C5C35">
        <w:t xml:space="preserve">, </w:t>
      </w:r>
      <w:r w:rsidR="00DE3816" w:rsidRPr="004C5C35">
        <w:t xml:space="preserve">Rule </w:t>
      </w:r>
      <w:r w:rsidRPr="004C5C35">
        <w:t>S1.3.1(4) sets out that a</w:t>
      </w:r>
      <w:r>
        <w:t xml:space="preserve"> small-scale buy-side </w:t>
      </w:r>
      <w:r w:rsidR="005D4522">
        <w:t xml:space="preserve">entity </w:t>
      </w:r>
      <w:r>
        <w:t>is not required to report:</w:t>
      </w:r>
    </w:p>
    <w:p w14:paraId="6F9C7A99" w14:textId="77777777" w:rsidR="002975E5" w:rsidRPr="006A67FD" w:rsidRDefault="002975E5" w:rsidP="00C443A0">
      <w:pPr>
        <w:pStyle w:val="subparaa"/>
        <w:numPr>
          <w:ilvl w:val="1"/>
          <w:numId w:val="17"/>
        </w:numPr>
      </w:pPr>
      <w:r>
        <w:t>delta (i</w:t>
      </w:r>
      <w:r w:rsidRPr="006A67FD">
        <w:t>tem 9 in Table S1.1(2)</w:t>
      </w:r>
      <w:r>
        <w:t>)</w:t>
      </w:r>
      <w:r w:rsidRPr="006A67FD">
        <w:t>; or</w:t>
      </w:r>
    </w:p>
    <w:p w14:paraId="61182C9A" w14:textId="77777777" w:rsidR="002975E5" w:rsidRDefault="002975E5" w:rsidP="00C443A0">
      <w:pPr>
        <w:pStyle w:val="subparaa"/>
        <w:numPr>
          <w:ilvl w:val="1"/>
          <w:numId w:val="17"/>
        </w:numPr>
      </w:pPr>
      <w:r>
        <w:t>initial margin posted (post-haircut), initial margin collected (both pre-haircut and post-haircut) and its currency and variation margin collected and its currency (i</w:t>
      </w:r>
      <w:r w:rsidRPr="006A67FD">
        <w:t>tems 12, 14, 15, 16, 19 and 20 in Table S1.1(3)</w:t>
      </w:r>
      <w:r>
        <w:t>)</w:t>
      </w:r>
      <w:r w:rsidRPr="006A67FD">
        <w:t>.</w:t>
      </w:r>
    </w:p>
    <w:p w14:paraId="5EF1703C" w14:textId="77777777" w:rsidR="00116288" w:rsidRPr="00116288" w:rsidRDefault="00116288" w:rsidP="00116288">
      <w:pPr>
        <w:pStyle w:val="Bodytextplain"/>
        <w:keepNext/>
        <w:spacing w:before="0" w:line="240" w:lineRule="auto"/>
        <w:rPr>
          <w:sz w:val="4"/>
          <w:szCs w:val="4"/>
        </w:rPr>
      </w:pPr>
    </w:p>
    <w:p w14:paraId="7773F4DF" w14:textId="4E16E238" w:rsidR="002975E5" w:rsidRPr="004C5C35" w:rsidRDefault="002975E5" w:rsidP="00116288">
      <w:pPr>
        <w:pStyle w:val="BodyText"/>
        <w:keepNext/>
        <w:numPr>
          <w:ilvl w:val="0"/>
          <w:numId w:val="17"/>
        </w:numPr>
        <w:spacing w:before="0"/>
      </w:pPr>
      <w:r>
        <w:t xml:space="preserve">In relation to collateral amounts information, </w:t>
      </w:r>
      <w:r w:rsidRPr="004C5C35">
        <w:t>a small-scale buy-side entity would be required to report:</w:t>
      </w:r>
    </w:p>
    <w:p w14:paraId="3686028D" w14:textId="77777777" w:rsidR="002975E5" w:rsidRPr="004C5C35" w:rsidRDefault="002975E5" w:rsidP="00C443A0">
      <w:pPr>
        <w:pStyle w:val="subparaa"/>
        <w:numPr>
          <w:ilvl w:val="1"/>
          <w:numId w:val="17"/>
        </w:numPr>
      </w:pPr>
      <w:r w:rsidRPr="004C5C35">
        <w:t>initial margin posted (pre-haircut) and its currency; and</w:t>
      </w:r>
    </w:p>
    <w:p w14:paraId="4E1CB8A8" w14:textId="77777777" w:rsidR="002975E5" w:rsidRPr="004C5C35" w:rsidRDefault="002975E5" w:rsidP="00C443A0">
      <w:pPr>
        <w:pStyle w:val="subparaa"/>
        <w:numPr>
          <w:ilvl w:val="1"/>
          <w:numId w:val="17"/>
        </w:numPr>
      </w:pPr>
      <w:r w:rsidRPr="004C5C35">
        <w:t>variation margin posted (pre-haircut) and its currency.</w:t>
      </w:r>
    </w:p>
    <w:p w14:paraId="3EE4F247" w14:textId="6E8E3E56" w:rsidR="002975E5" w:rsidRPr="00E44DF0" w:rsidRDefault="002975E5" w:rsidP="00C443A0">
      <w:pPr>
        <w:pStyle w:val="BodyText"/>
        <w:numPr>
          <w:ilvl w:val="0"/>
          <w:numId w:val="17"/>
        </w:numPr>
      </w:pPr>
      <w:bookmarkStart w:id="194" w:name="_ASICRef331"/>
      <w:r w:rsidRPr="004C5C35">
        <w:t>The requirement under the current ASIC Rules is to report the total collateral amount posted and its currency. This requirement would change for a small-scale buy-side entity by requiring that the total collateral amount posted be reported as split between initial margin and variation margin</w:t>
      </w:r>
      <w:r w:rsidR="00404CA5" w:rsidRPr="004C5C35">
        <w:t>—</w:t>
      </w:r>
      <w:r w:rsidRPr="004C5C35">
        <w:t>though noting</w:t>
      </w:r>
      <w:r>
        <w:t xml:space="preserve"> that item 11 </w:t>
      </w:r>
      <w:r w:rsidR="00525C9C">
        <w:t>‘</w:t>
      </w:r>
      <w:r w:rsidRPr="00E44DF0">
        <w:t>Initial margin posted by the Reporting Entity (pre-haircut)</w:t>
      </w:r>
      <w:r w:rsidR="00525C9C">
        <w:t>’</w:t>
      </w:r>
      <w:r>
        <w:t xml:space="preserve"> allows a single amount </w:t>
      </w:r>
      <w:r w:rsidR="00525C9C">
        <w:t xml:space="preserve">to </w:t>
      </w:r>
      <w:r>
        <w:t xml:space="preserve">be reported if </w:t>
      </w:r>
      <w:r>
        <w:rPr>
          <w:color w:val="000000" w:themeColor="text1"/>
        </w:rPr>
        <w:t xml:space="preserve">the amount posted </w:t>
      </w:r>
      <w:r w:rsidRPr="00730E4B">
        <w:rPr>
          <w:color w:val="000000" w:themeColor="text1"/>
        </w:rPr>
        <w:t>does not distinguish between</w:t>
      </w:r>
      <w:r>
        <w:rPr>
          <w:color w:val="000000" w:themeColor="text1"/>
        </w:rPr>
        <w:t xml:space="preserve"> initial</w:t>
      </w:r>
      <w:r w:rsidRPr="00730E4B">
        <w:rPr>
          <w:color w:val="000000" w:themeColor="text1"/>
        </w:rPr>
        <w:t xml:space="preserve"> margin </w:t>
      </w:r>
      <w:r>
        <w:rPr>
          <w:color w:val="000000" w:themeColor="text1"/>
        </w:rPr>
        <w:t xml:space="preserve">and </w:t>
      </w:r>
      <w:r w:rsidRPr="00730E4B">
        <w:rPr>
          <w:color w:val="000000" w:themeColor="text1"/>
        </w:rPr>
        <w:t>variation margin</w:t>
      </w:r>
      <w:r>
        <w:rPr>
          <w:color w:val="000000" w:themeColor="text1"/>
        </w:rPr>
        <w:t>.</w:t>
      </w:r>
      <w:bookmarkEnd w:id="194"/>
    </w:p>
    <w:p w14:paraId="702F612F" w14:textId="0EEB9CEC" w:rsidR="002975E5" w:rsidRPr="00696A1D" w:rsidRDefault="002975E5" w:rsidP="002975E5">
      <w:pPr>
        <w:pStyle w:val="Heading4"/>
      </w:pPr>
      <w:r>
        <w:t>R</w:t>
      </w:r>
      <w:r w:rsidRPr="00696A1D">
        <w:t xml:space="preserve">ecognise that </w:t>
      </w:r>
      <w:r w:rsidR="000D2572">
        <w:t xml:space="preserve">other entities </w:t>
      </w:r>
      <w:r w:rsidRPr="00696A1D">
        <w:t>may fulfil certain reporting requirements</w:t>
      </w:r>
      <w:r>
        <w:t xml:space="preserve"> for responsible entities and trustees (draft remade ASIC Rules).</w:t>
      </w:r>
    </w:p>
    <w:p w14:paraId="64B04EA5" w14:textId="7FEFBC15" w:rsidR="002975E5" w:rsidRDefault="002975E5" w:rsidP="00C443A0">
      <w:pPr>
        <w:pStyle w:val="BodyText"/>
        <w:numPr>
          <w:ilvl w:val="0"/>
          <w:numId w:val="17"/>
        </w:numPr>
      </w:pPr>
      <w:r>
        <w:t xml:space="preserve">The text at Part S1.1 </w:t>
      </w:r>
      <w:r w:rsidR="00525C9C">
        <w:t>‘</w:t>
      </w:r>
      <w:r>
        <w:t>Preliminary</w:t>
      </w:r>
      <w:r w:rsidR="00525C9C">
        <w:t>’</w:t>
      </w:r>
      <w:r>
        <w:t xml:space="preserve"> of the draft remade ASIC Rules essentially repeats the text at </w:t>
      </w:r>
      <w:r w:rsidR="00525C9C">
        <w:t xml:space="preserve">Rule </w:t>
      </w:r>
      <w:r>
        <w:t>2.2.9(2).</w:t>
      </w:r>
    </w:p>
    <w:p w14:paraId="5AC5F279" w14:textId="38E56268" w:rsidR="002975E5" w:rsidRDefault="002975E5" w:rsidP="00C443A0">
      <w:pPr>
        <w:pStyle w:val="BodyText"/>
        <w:numPr>
          <w:ilvl w:val="0"/>
          <w:numId w:val="17"/>
        </w:numPr>
      </w:pPr>
      <w:r>
        <w:t xml:space="preserve">As we explain at paragraph </w:t>
      </w:r>
      <w:r>
        <w:fldChar w:fldCharType="begin" w:fldLock="1"/>
      </w:r>
      <w:r>
        <w:instrText xml:space="preserve"> REF _ASICRef18 \w \h </w:instrText>
      </w:r>
      <w:r>
        <w:fldChar w:fldCharType="separate"/>
      </w:r>
      <w:r w:rsidR="00853A2A">
        <w:t>192</w:t>
      </w:r>
      <w:r>
        <w:fldChar w:fldCharType="end"/>
      </w:r>
      <w:r>
        <w:t>, t</w:t>
      </w:r>
      <w:r w:rsidRPr="001D5407">
        <w:t>his recognises that, for example, a fund manager, rather than a</w:t>
      </w:r>
      <w:r>
        <w:t xml:space="preserve"> responsible entity or </w:t>
      </w:r>
      <w:r w:rsidRPr="001D5407">
        <w:t>trustee, may be the entity that operationalises the UTI requirements on behalf of a</w:t>
      </w:r>
      <w:r>
        <w:t xml:space="preserve"> responsible entity or </w:t>
      </w:r>
      <w:r w:rsidRPr="001D5407">
        <w:t>trustee</w:t>
      </w:r>
      <w:r>
        <w:t>.</w:t>
      </w:r>
    </w:p>
    <w:p w14:paraId="76F3E053" w14:textId="77777777" w:rsidR="002975E5" w:rsidRDefault="002975E5" w:rsidP="00C443A0">
      <w:pPr>
        <w:pStyle w:val="BodyText"/>
        <w:numPr>
          <w:ilvl w:val="0"/>
          <w:numId w:val="17"/>
        </w:numPr>
      </w:pPr>
      <w:r>
        <w:t>Likewise, we think that there may be situations where, in practice, such an entity operationalises determining other data elements for reporting, in particular creating and maintaining internal codes, such as:</w:t>
      </w:r>
    </w:p>
    <w:p w14:paraId="4B2E59CA" w14:textId="77777777" w:rsidR="00B83AFB" w:rsidRDefault="002975E5" w:rsidP="00C443A0">
      <w:pPr>
        <w:pStyle w:val="subparaa"/>
        <w:numPr>
          <w:ilvl w:val="1"/>
          <w:numId w:val="17"/>
        </w:numPr>
      </w:pPr>
      <w:r>
        <w:t>client codes;</w:t>
      </w:r>
    </w:p>
    <w:p w14:paraId="5880E8DA" w14:textId="77777777" w:rsidR="00B83AFB" w:rsidRDefault="002975E5" w:rsidP="00C443A0">
      <w:pPr>
        <w:pStyle w:val="subparaa"/>
        <w:numPr>
          <w:ilvl w:val="1"/>
          <w:numId w:val="17"/>
        </w:numPr>
      </w:pPr>
      <w:r>
        <w:t>collateral portfolio codes (for initial margin and/or variation margin);</w:t>
      </w:r>
    </w:p>
    <w:p w14:paraId="3ADC19A7" w14:textId="0B1FA81C" w:rsidR="002975E5" w:rsidRDefault="002975E5" w:rsidP="00C443A0">
      <w:pPr>
        <w:pStyle w:val="subparaa"/>
        <w:numPr>
          <w:ilvl w:val="1"/>
          <w:numId w:val="17"/>
        </w:numPr>
      </w:pPr>
      <w:r>
        <w:t>package identifiers, custom basket codes and event identifiers.</w:t>
      </w:r>
    </w:p>
    <w:p w14:paraId="28D0FE33" w14:textId="715DC42A" w:rsidR="002975E5" w:rsidRDefault="002975E5" w:rsidP="00C443A0">
      <w:pPr>
        <w:pStyle w:val="BodyText"/>
        <w:numPr>
          <w:ilvl w:val="0"/>
          <w:numId w:val="17"/>
        </w:numPr>
      </w:pPr>
      <w:r>
        <w:t xml:space="preserve">In these situations, we consider that Part S1.1. </w:t>
      </w:r>
      <w:r w:rsidR="00525C9C">
        <w:t>‘</w:t>
      </w:r>
      <w:r>
        <w:t>Preliminary</w:t>
      </w:r>
      <w:r w:rsidR="00525C9C">
        <w:t>’</w:t>
      </w:r>
      <w:r>
        <w:t xml:space="preserve"> of Schedule 1 would apply such that the maintenance, determination or assignment of codes may be performed by the fund manager as ‘a person appointed by the Reporting Entity to enter into OTC Derivatives on behalf of the Reporting Entity’.</w:t>
      </w:r>
    </w:p>
    <w:p w14:paraId="74B4BEE5" w14:textId="0AEAC5FE" w:rsidR="002975E5" w:rsidRDefault="002975E5" w:rsidP="002975E5">
      <w:pPr>
        <w:pStyle w:val="Heading4"/>
      </w:pPr>
      <w:r>
        <w:t xml:space="preserve">Format and allowable values updates in change reports (draft remade ASIC Rules </w:t>
      </w:r>
      <w:r w:rsidR="00525C9C">
        <w:t xml:space="preserve">and </w:t>
      </w:r>
      <w:r>
        <w:t>draft amended ASIC Rules</w:t>
      </w:r>
    </w:p>
    <w:p w14:paraId="550C4543" w14:textId="64C84D23" w:rsidR="002975E5" w:rsidRDefault="002975E5" w:rsidP="00C443A0">
      <w:pPr>
        <w:pStyle w:val="BodyText"/>
        <w:numPr>
          <w:ilvl w:val="0"/>
          <w:numId w:val="17"/>
        </w:numPr>
      </w:pPr>
      <w:r>
        <w:t>The draft remade ASIC Rules would introduce requirements for formats and allowable values. Whil</w:t>
      </w:r>
      <w:r w:rsidR="00525C9C">
        <w:t>e</w:t>
      </w:r>
      <w:r>
        <w:t xml:space="preserve"> we think that these are already in use in current reporting, </w:t>
      </w:r>
      <w:r w:rsidR="00985EA9">
        <w:t xml:space="preserve">although </w:t>
      </w:r>
      <w:r>
        <w:t>not set out in the current ASIC Rules, there may be some transactions that were reported before the current formats and allowable values were in use.</w:t>
      </w:r>
    </w:p>
    <w:p w14:paraId="52C9EEBC" w14:textId="50F3C419" w:rsidR="002975E5" w:rsidRDefault="002975E5" w:rsidP="00C443A0">
      <w:pPr>
        <w:pStyle w:val="BodyText"/>
        <w:numPr>
          <w:ilvl w:val="0"/>
          <w:numId w:val="17"/>
        </w:numPr>
      </w:pPr>
      <w:r>
        <w:t xml:space="preserve">In keeping with our intention described at paragraph </w:t>
      </w:r>
      <w:r>
        <w:fldChar w:fldCharType="begin" w:fldLock="1"/>
      </w:r>
      <w:r>
        <w:instrText xml:space="preserve"> REF _ASICRef261 \w \h </w:instrText>
      </w:r>
      <w:r>
        <w:fldChar w:fldCharType="separate"/>
      </w:r>
      <w:r w:rsidR="00853A2A">
        <w:t>364</w:t>
      </w:r>
      <w:r>
        <w:fldChar w:fldCharType="end"/>
      </w:r>
      <w:r>
        <w:t xml:space="preserve"> not to require changes to the systems and processes that reporting entities currently use for reporting, new </w:t>
      </w:r>
      <w:r w:rsidR="00985EA9">
        <w:t xml:space="preserve">Rule </w:t>
      </w:r>
      <w:r>
        <w:t>S1.3.1(3) only requires adherence to the new formats and allowable values for the data elements that are being changed or updated and any information that is not being changed or updated may be reported with unchanged formats and allowable values.</w:t>
      </w:r>
    </w:p>
    <w:p w14:paraId="27D88282" w14:textId="55F5692C" w:rsidR="002975E5" w:rsidRDefault="002975E5" w:rsidP="00C443A0">
      <w:pPr>
        <w:pStyle w:val="BodyText"/>
        <w:numPr>
          <w:ilvl w:val="0"/>
          <w:numId w:val="17"/>
        </w:numPr>
      </w:pPr>
      <w:r>
        <w:t xml:space="preserve">This applies to a report made under Rule 2.2.2. This includes valuation and collateral reporting, for which there is likely to be limited unchanged information that would not already be in the formats and allowable values of the draft remade ASIC Rules. In practice, it more likely applies to ‘change’ reports that are correcting or updating other data elements of a reported transaction. It does not apply to reports made under </w:t>
      </w:r>
      <w:r w:rsidR="00985EA9">
        <w:t xml:space="preserve">Rule </w:t>
      </w:r>
      <w:r>
        <w:t>2.2.1(1), such as a modification report, and in those cases all data elements must be reported according to the formats and allowable values of the draft remade ASIC Rules.</w:t>
      </w:r>
    </w:p>
    <w:p w14:paraId="38137165" w14:textId="46275134" w:rsidR="002975E5" w:rsidRDefault="002975E5" w:rsidP="00C443A0">
      <w:pPr>
        <w:pStyle w:val="BodyText"/>
        <w:numPr>
          <w:ilvl w:val="0"/>
          <w:numId w:val="17"/>
        </w:numPr>
      </w:pPr>
      <w:r>
        <w:t xml:space="preserve">However, the effect of </w:t>
      </w:r>
      <w:r w:rsidR="00985EA9">
        <w:t xml:space="preserve">Rule </w:t>
      </w:r>
      <w:r>
        <w:t xml:space="preserve">S1.3.1(3) is narrowed in the draft amended ASIC Rules to only apply to data elements that are entity identifiers. We think that, from the commencement of the draft amended ASIC Rules, all reporting should adhere to the formats and allowable values of the draft amended ASIC Rules. This would not apply to entity identifiers, where, for example, a non-LEI identifier that was reported under </w:t>
      </w:r>
      <w:r w:rsidR="00985EA9">
        <w:t xml:space="preserve">Rule </w:t>
      </w:r>
      <w:r>
        <w:t xml:space="preserve">2.2.1(1) </w:t>
      </w:r>
      <w:r w:rsidR="005A5E1A">
        <w:t>does</w:t>
      </w:r>
      <w:r>
        <w:t xml:space="preserve"> not need to be updated to an LEI in a report made under Rule 2.2.2.</w:t>
      </w:r>
    </w:p>
    <w:p w14:paraId="5CF2040F" w14:textId="77777777" w:rsidR="002975E5" w:rsidRDefault="002975E5" w:rsidP="002975E5">
      <w:pPr>
        <w:pStyle w:val="Heading4"/>
      </w:pPr>
      <w:r>
        <w:t>Require re-reporting of pre-1 April 2024 transactions (draft amended ASIC Rules)</w:t>
      </w:r>
    </w:p>
    <w:p w14:paraId="4B92A185" w14:textId="5D38A08B" w:rsidR="002975E5" w:rsidRDefault="002975E5" w:rsidP="00C443A0">
      <w:pPr>
        <w:pStyle w:val="BodyText"/>
        <w:numPr>
          <w:ilvl w:val="0"/>
          <w:numId w:val="17"/>
        </w:numPr>
      </w:pPr>
      <w:r>
        <w:t>From the commencement of the draft amended ASIC Rules, new transactions must be reported using the data elements, formats and allowable values of the draft amended ASIC Rules (future-state reports).</w:t>
      </w:r>
    </w:p>
    <w:p w14:paraId="534B3EA3" w14:textId="56B3DFEC" w:rsidR="002975E5" w:rsidRDefault="002975E5" w:rsidP="00C443A0">
      <w:pPr>
        <w:pStyle w:val="BodyText"/>
        <w:numPr>
          <w:ilvl w:val="0"/>
          <w:numId w:val="17"/>
        </w:numPr>
      </w:pPr>
      <w:r>
        <w:t>Transactions reported under the current ASIC Rules or the draft remade ASIC Rules will have been reported using the data elements, formats and allowable values of those rules (legacy reports).</w:t>
      </w:r>
    </w:p>
    <w:p w14:paraId="08AECC75" w14:textId="0DD9D708" w:rsidR="002975E5" w:rsidRDefault="002975E5" w:rsidP="00C443A0">
      <w:pPr>
        <w:pStyle w:val="BodyText"/>
        <w:numPr>
          <w:ilvl w:val="0"/>
          <w:numId w:val="17"/>
        </w:numPr>
      </w:pPr>
      <w:bookmarkStart w:id="195" w:name="_ASICRef536"/>
      <w:r>
        <w:t>The Trade State Report (</w:t>
      </w:r>
      <w:r w:rsidRPr="000A4612">
        <w:t>TSR</w:t>
      </w:r>
      <w:r w:rsidRPr="00985EA9">
        <w:t>)</w:t>
      </w:r>
      <w:r>
        <w:t xml:space="preserve"> information that is compiled by DDRS as consolidated ‘open position’ information will necessarily be a mixture of information that has been reported on different bases, including that:</w:t>
      </w:r>
      <w:bookmarkEnd w:id="195"/>
    </w:p>
    <w:p w14:paraId="34E664CB" w14:textId="77777777" w:rsidR="002975E5" w:rsidRDefault="002975E5" w:rsidP="00C443A0">
      <w:pPr>
        <w:pStyle w:val="subparaa"/>
        <w:numPr>
          <w:ilvl w:val="1"/>
          <w:numId w:val="17"/>
        </w:numPr>
      </w:pPr>
      <w:r>
        <w:t>there will be typically fewer data elements describing the terms of transactions in legacy reports than in future-state reports;</w:t>
      </w:r>
    </w:p>
    <w:p w14:paraId="05B593BF" w14:textId="77777777" w:rsidR="002975E5" w:rsidRDefault="002975E5" w:rsidP="00C443A0">
      <w:pPr>
        <w:pStyle w:val="subparaa"/>
        <w:numPr>
          <w:ilvl w:val="1"/>
          <w:numId w:val="17"/>
        </w:numPr>
      </w:pPr>
      <w:r>
        <w:t>certain information will be embedded in the UPI reported in future-state reports, but which will be separate data elements in legacy reports;</w:t>
      </w:r>
    </w:p>
    <w:p w14:paraId="21F1AB41" w14:textId="77777777" w:rsidR="002975E5" w:rsidRDefault="002975E5" w:rsidP="00C443A0">
      <w:pPr>
        <w:pStyle w:val="subparaa"/>
        <w:numPr>
          <w:ilvl w:val="1"/>
          <w:numId w:val="17"/>
        </w:numPr>
      </w:pPr>
      <w:r>
        <w:t>the indicator of the ‘side’ of the transaction will be of a different form in future-state reports compared to legacy reports;</w:t>
      </w:r>
    </w:p>
    <w:p w14:paraId="4F439E2D" w14:textId="77777777" w:rsidR="002975E5" w:rsidRDefault="002975E5" w:rsidP="00C443A0">
      <w:pPr>
        <w:pStyle w:val="subparaa"/>
        <w:numPr>
          <w:ilvl w:val="1"/>
          <w:numId w:val="17"/>
        </w:numPr>
      </w:pPr>
      <w:r>
        <w:t>the indicator of other data elements, such as action type, will also be of a different form in future-state reports compared to legacy reports; and</w:t>
      </w:r>
    </w:p>
    <w:p w14:paraId="7017FBB6" w14:textId="77777777" w:rsidR="002975E5" w:rsidRDefault="002975E5" w:rsidP="00C443A0">
      <w:pPr>
        <w:pStyle w:val="subparaa"/>
        <w:numPr>
          <w:ilvl w:val="1"/>
          <w:numId w:val="17"/>
        </w:numPr>
        <w:tabs>
          <w:tab w:val="left" w:pos="2977"/>
        </w:tabs>
      </w:pPr>
      <w:r>
        <w:t>there will be a significantly increased conformity to required formats and allowable values in future-state reports compared to the wider range of formats and values in legacy reports.</w:t>
      </w:r>
    </w:p>
    <w:p w14:paraId="63206D60" w14:textId="77777777" w:rsidR="002975E5" w:rsidRDefault="002975E5" w:rsidP="00C443A0">
      <w:pPr>
        <w:pStyle w:val="BodyText"/>
        <w:numPr>
          <w:ilvl w:val="0"/>
          <w:numId w:val="17"/>
        </w:numPr>
      </w:pPr>
      <w:r>
        <w:t>The base structure of the future-state TSR would be of the data elements of future-state reporting, which would include new data elements, data elements carried forward from legacy reporting but with changed allowable values (e.g. action type) and data elements carried forward from legacy reporting with unchanged allowable values (e.g. date data elements).</w:t>
      </w:r>
    </w:p>
    <w:p w14:paraId="6E10EA3E" w14:textId="0D788655" w:rsidR="002975E5" w:rsidRDefault="002975E5" w:rsidP="00C443A0">
      <w:pPr>
        <w:pStyle w:val="BodyText"/>
        <w:numPr>
          <w:ilvl w:val="0"/>
          <w:numId w:val="17"/>
        </w:numPr>
      </w:pPr>
      <w:r>
        <w:t>In addition, the structure of the TSR would need to accommodate data elements from legacy reporting that have been replaced with different data elements</w:t>
      </w:r>
      <w:r w:rsidR="00E6166C">
        <w:t xml:space="preserve">, or are ceased, </w:t>
      </w:r>
      <w:r>
        <w:t>in future-state reporting</w:t>
      </w:r>
      <w:r w:rsidR="00E6166C">
        <w:t>.</w:t>
      </w:r>
    </w:p>
    <w:p w14:paraId="19F73BB8" w14:textId="354F7F00" w:rsidR="002975E5" w:rsidRDefault="002975E5" w:rsidP="00C443A0">
      <w:pPr>
        <w:pStyle w:val="BodyText"/>
        <w:numPr>
          <w:ilvl w:val="0"/>
          <w:numId w:val="17"/>
        </w:numPr>
      </w:pPr>
      <w:bookmarkStart w:id="196" w:name="_ASICRef73"/>
      <w:r>
        <w:t xml:space="preserve">There appear to be two principal approaches to </w:t>
      </w:r>
      <w:r w:rsidR="000C6D4C">
        <w:t xml:space="preserve">migrating the data of the last legacy TSR </w:t>
      </w:r>
      <w:r w:rsidR="00DF1FC6">
        <w:t xml:space="preserve">of 31 March 2024 </w:t>
      </w:r>
      <w:r w:rsidR="000C6D4C">
        <w:t xml:space="preserve">to a </w:t>
      </w:r>
      <w:r>
        <w:t>structure of the daily TSR from the commencement of the draft amended ASIC Rules</w:t>
      </w:r>
      <w:r w:rsidR="00DF1FC6">
        <w:t xml:space="preserve"> on 1 April 2024</w:t>
      </w:r>
      <w:r>
        <w:t>:</w:t>
      </w:r>
      <w:bookmarkEnd w:id="196"/>
    </w:p>
    <w:p w14:paraId="3CBACA9A" w14:textId="6AD5CC41" w:rsidR="002975E5" w:rsidRDefault="000C6D4C" w:rsidP="00C443A0">
      <w:pPr>
        <w:pStyle w:val="subparaa"/>
        <w:numPr>
          <w:ilvl w:val="1"/>
          <w:numId w:val="17"/>
        </w:numPr>
      </w:pPr>
      <w:r>
        <w:t xml:space="preserve">carry forward continuing data elements </w:t>
      </w:r>
      <w:r w:rsidR="00DF1FC6">
        <w:t xml:space="preserve">without converting any values </w:t>
      </w:r>
      <w:r>
        <w:t xml:space="preserve">and </w:t>
      </w:r>
      <w:r w:rsidR="002975E5">
        <w:t>enlarge the base structure of the T</w:t>
      </w:r>
      <w:r w:rsidR="00DF1FC6">
        <w:t>SR</w:t>
      </w:r>
      <w:r w:rsidR="002975E5">
        <w:t xml:space="preserve"> to also include the data elements that are replaced</w:t>
      </w:r>
      <w:r w:rsidR="00DF1FC6">
        <w:t xml:space="preserve"> or </w:t>
      </w:r>
      <w:r w:rsidR="00E6166C">
        <w:t>ceased</w:t>
      </w:r>
      <w:r w:rsidR="0093201F">
        <w:t xml:space="preserve"> (</w:t>
      </w:r>
      <w:r w:rsidR="0093201F" w:rsidRPr="000A4612">
        <w:t xml:space="preserve">carried forward </w:t>
      </w:r>
      <w:r w:rsidRPr="000A4612">
        <w:t>and</w:t>
      </w:r>
      <w:r w:rsidR="0093201F" w:rsidRPr="000A4612">
        <w:t xml:space="preserve"> enlarged TSR</w:t>
      </w:r>
      <w:r w:rsidR="0093201F">
        <w:t>)</w:t>
      </w:r>
      <w:r w:rsidR="002975E5">
        <w:t>; or</w:t>
      </w:r>
    </w:p>
    <w:p w14:paraId="64FB37BB" w14:textId="39B228B2" w:rsidR="002975E5" w:rsidRDefault="00DF1FC6" w:rsidP="00C443A0">
      <w:pPr>
        <w:pStyle w:val="subparaa"/>
        <w:numPr>
          <w:ilvl w:val="1"/>
          <w:numId w:val="17"/>
        </w:numPr>
      </w:pPr>
      <w:r>
        <w:t xml:space="preserve">carry forward continuing data elements but with a </w:t>
      </w:r>
      <w:r w:rsidR="002975E5">
        <w:t>one-time conversion of values in legacy reporting to their equivalent in future-state reporting</w:t>
      </w:r>
      <w:r w:rsidR="0093201F">
        <w:t xml:space="preserve"> </w:t>
      </w:r>
      <w:r>
        <w:t xml:space="preserve">and only enlarge the base structure of the TSR for </w:t>
      </w:r>
      <w:r w:rsidR="00E17426">
        <w:t xml:space="preserve">continuing </w:t>
      </w:r>
      <w:r>
        <w:t xml:space="preserve">data elements that </w:t>
      </w:r>
      <w:r w:rsidR="00E17426">
        <w:t>cannot readily be converted</w:t>
      </w:r>
      <w:r>
        <w:t xml:space="preserve"> </w:t>
      </w:r>
      <w:r w:rsidR="0093201F">
        <w:t>(</w:t>
      </w:r>
      <w:r w:rsidR="00E17426" w:rsidRPr="0028593F">
        <w:t xml:space="preserve">carried forward </w:t>
      </w:r>
      <w:r w:rsidR="00E17426" w:rsidRPr="000A4612">
        <w:t>and converted TSR</w:t>
      </w:r>
      <w:r w:rsidR="00985EA9">
        <w:t>)</w:t>
      </w:r>
      <w:r w:rsidR="002975E5">
        <w:t>.</w:t>
      </w:r>
    </w:p>
    <w:p w14:paraId="1495ED35" w14:textId="4620E4E1" w:rsidR="002975E5" w:rsidRDefault="002975E5" w:rsidP="00C443A0">
      <w:pPr>
        <w:pStyle w:val="BodyText"/>
        <w:numPr>
          <w:ilvl w:val="0"/>
          <w:numId w:val="17"/>
        </w:numPr>
      </w:pPr>
      <w:r>
        <w:t xml:space="preserve">Some examples of the application of these approaches are explained in </w:t>
      </w:r>
      <w:r w:rsidR="006D1E69">
        <w:fldChar w:fldCharType="begin" w:fldLock="1"/>
      </w:r>
      <w:r w:rsidR="006D1E69">
        <w:instrText xml:space="preserve"> REF _Ref97354945 \h </w:instrText>
      </w:r>
      <w:r w:rsidR="006D1E69">
        <w:fldChar w:fldCharType="separate"/>
      </w:r>
      <w:r w:rsidR="00853A2A">
        <w:t xml:space="preserve">Table </w:t>
      </w:r>
      <w:r w:rsidR="00853A2A">
        <w:rPr>
          <w:noProof/>
        </w:rPr>
        <w:t>28</w:t>
      </w:r>
      <w:r w:rsidR="006D1E69">
        <w:fldChar w:fldCharType="end"/>
      </w:r>
      <w:r w:rsidR="006D1E69">
        <w:t>.</w:t>
      </w:r>
    </w:p>
    <w:p w14:paraId="56B9CFC9" w14:textId="79E01AFF" w:rsidR="002975E5" w:rsidRDefault="002975E5" w:rsidP="002975E5">
      <w:pPr>
        <w:pStyle w:val="tabletitlefullwidth"/>
      </w:pPr>
      <w:bookmarkStart w:id="197" w:name="_Ref97354945"/>
      <w:r>
        <w:t xml:space="preserve">Table </w:t>
      </w:r>
      <w:fldSimple w:instr=" SEQ Table \* ARABIC ">
        <w:r w:rsidR="006679BA">
          <w:rPr>
            <w:noProof/>
          </w:rPr>
          <w:t>28</w:t>
        </w:r>
      </w:fldSimple>
      <w:bookmarkEnd w:id="197"/>
      <w:r>
        <w:t>:</w:t>
      </w:r>
      <w:r>
        <w:tab/>
        <w:t>Example applications of approaches to the future-state Trade State Report</w:t>
      </w:r>
    </w:p>
    <w:tbl>
      <w:tblPr>
        <w:tblW w:w="9174"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130"/>
        <w:gridCol w:w="3022"/>
        <w:gridCol w:w="3022"/>
      </w:tblGrid>
      <w:tr w:rsidR="002975E5" w:rsidRPr="000540E1" w14:paraId="0399314C" w14:textId="77777777" w:rsidTr="00533145">
        <w:trPr>
          <w:cantSplit/>
          <w:tblHeader/>
        </w:trPr>
        <w:tc>
          <w:tcPr>
            <w:tcW w:w="3130" w:type="dxa"/>
            <w:shd w:val="clear" w:color="auto" w:fill="C2E3FA"/>
          </w:tcPr>
          <w:p w14:paraId="31654170" w14:textId="77777777" w:rsidR="002975E5" w:rsidRPr="000540E1" w:rsidRDefault="002975E5" w:rsidP="00F86FF1">
            <w:pPr>
              <w:pStyle w:val="tablehead"/>
            </w:pPr>
            <w:r>
              <w:t>Data element</w:t>
            </w:r>
          </w:p>
        </w:tc>
        <w:tc>
          <w:tcPr>
            <w:tcW w:w="3022" w:type="dxa"/>
            <w:shd w:val="clear" w:color="auto" w:fill="C2E3FA"/>
          </w:tcPr>
          <w:p w14:paraId="148C435A" w14:textId="66A4051D" w:rsidR="002975E5" w:rsidRPr="000540E1" w:rsidRDefault="00E17426" w:rsidP="00F86FF1">
            <w:pPr>
              <w:pStyle w:val="tablehead"/>
            </w:pPr>
            <w:r>
              <w:t>C</w:t>
            </w:r>
            <w:r w:rsidR="002975E5">
              <w:t xml:space="preserve">arried forward </w:t>
            </w:r>
            <w:r>
              <w:t xml:space="preserve">and </w:t>
            </w:r>
            <w:r w:rsidR="002975E5">
              <w:t>enlarge</w:t>
            </w:r>
            <w:r>
              <w:t>d TSR</w:t>
            </w:r>
          </w:p>
        </w:tc>
        <w:tc>
          <w:tcPr>
            <w:tcW w:w="3022" w:type="dxa"/>
            <w:shd w:val="clear" w:color="auto" w:fill="C2E3FA"/>
          </w:tcPr>
          <w:p w14:paraId="6400891E" w14:textId="7258FC89" w:rsidR="002975E5" w:rsidRPr="000540E1" w:rsidRDefault="00E17426" w:rsidP="00F86FF1">
            <w:pPr>
              <w:pStyle w:val="tablehead"/>
            </w:pPr>
            <w:r>
              <w:t xml:space="preserve">Carried forward and </w:t>
            </w:r>
            <w:r w:rsidR="002975E5">
              <w:t>convert</w:t>
            </w:r>
            <w:r>
              <w:t>ed TSR</w:t>
            </w:r>
          </w:p>
        </w:tc>
      </w:tr>
      <w:tr w:rsidR="002975E5" w:rsidRPr="000540E1" w14:paraId="4E993A46" w14:textId="77777777" w:rsidTr="00533145">
        <w:trPr>
          <w:cantSplit/>
        </w:trPr>
        <w:tc>
          <w:tcPr>
            <w:tcW w:w="3130" w:type="dxa"/>
          </w:tcPr>
          <w:p w14:paraId="2704EB94" w14:textId="77777777" w:rsidR="002975E5" w:rsidRDefault="002975E5" w:rsidP="00F86FF1">
            <w:pPr>
              <w:pStyle w:val="tbltext"/>
            </w:pPr>
            <w:r>
              <w:t>‘Action type’</w:t>
            </w:r>
          </w:p>
          <w:p w14:paraId="02CE64BC" w14:textId="4CEBE375" w:rsidR="002975E5" w:rsidRPr="000540E1" w:rsidRDefault="002975E5" w:rsidP="00F86FF1">
            <w:pPr>
              <w:pStyle w:val="tbltext"/>
            </w:pPr>
            <w:r>
              <w:t>carried forward but with changed allowable values from e.g. ‘New’, ‘Modify’ to ‘NEWT’, ‘MODI’</w:t>
            </w:r>
          </w:p>
        </w:tc>
        <w:tc>
          <w:tcPr>
            <w:tcW w:w="3022" w:type="dxa"/>
          </w:tcPr>
          <w:p w14:paraId="42FB3D37" w14:textId="77777777" w:rsidR="002975E5" w:rsidRDefault="002975E5" w:rsidP="00F86FF1">
            <w:pPr>
              <w:pStyle w:val="tbltext"/>
            </w:pPr>
          </w:p>
          <w:p w14:paraId="3B68344F" w14:textId="1AF14560" w:rsidR="002975E5" w:rsidRPr="000540E1" w:rsidRDefault="002975E5" w:rsidP="00F86FF1">
            <w:pPr>
              <w:pStyle w:val="tbltext"/>
            </w:pPr>
            <w:r>
              <w:t>Legacy values are carried forward but the values for transaction records are mixed as ‘New’, ‘NEWT’, ‘Modify’, ‘MODI’</w:t>
            </w:r>
            <w:r w:rsidR="000A5E80">
              <w:t>,</w:t>
            </w:r>
            <w:r>
              <w:t xml:space="preserve"> etc</w:t>
            </w:r>
            <w:r w:rsidR="000A5E80">
              <w:t>.</w:t>
            </w:r>
          </w:p>
        </w:tc>
        <w:tc>
          <w:tcPr>
            <w:tcW w:w="3022" w:type="dxa"/>
          </w:tcPr>
          <w:p w14:paraId="27AB9690" w14:textId="77777777" w:rsidR="002975E5" w:rsidRDefault="002975E5" w:rsidP="00F86FF1">
            <w:pPr>
              <w:pStyle w:val="tbltext"/>
            </w:pPr>
          </w:p>
          <w:p w14:paraId="7CBBE04F" w14:textId="0D569BC7" w:rsidR="002975E5" w:rsidRPr="000540E1" w:rsidRDefault="002975E5" w:rsidP="00F86FF1">
            <w:pPr>
              <w:pStyle w:val="tbltext"/>
            </w:pPr>
            <w:r>
              <w:t>Legacy values are one-time converted</w:t>
            </w:r>
            <w:r w:rsidR="00404CA5">
              <w:t>—</w:t>
            </w:r>
            <w:r>
              <w:t>e.g. ‘New’ to ‘NEWT’, ‘Modify’ to ‘MODI’</w:t>
            </w:r>
            <w:r w:rsidR="00404CA5">
              <w:t>—</w:t>
            </w:r>
            <w:r>
              <w:t>and values for transaction records are only ‘NEWT’, ‘MODI’</w:t>
            </w:r>
            <w:r w:rsidR="000A5E80">
              <w:t>,</w:t>
            </w:r>
            <w:r>
              <w:t xml:space="preserve"> etc</w:t>
            </w:r>
            <w:r w:rsidR="000A5E80">
              <w:t>.</w:t>
            </w:r>
          </w:p>
        </w:tc>
      </w:tr>
      <w:tr w:rsidR="002975E5" w:rsidRPr="000540E1" w14:paraId="4D573CDD" w14:textId="77777777" w:rsidTr="00533145">
        <w:trPr>
          <w:cantSplit/>
        </w:trPr>
        <w:tc>
          <w:tcPr>
            <w:tcW w:w="3130" w:type="dxa"/>
          </w:tcPr>
          <w:p w14:paraId="675D67C5" w14:textId="77777777" w:rsidR="002975E5" w:rsidRDefault="002975E5" w:rsidP="00F86FF1">
            <w:pPr>
              <w:pStyle w:val="tbltext"/>
            </w:pPr>
            <w:r>
              <w:t>‘Counterparty side (buy/sell)’</w:t>
            </w:r>
          </w:p>
          <w:p w14:paraId="0562D054" w14:textId="32752B15" w:rsidR="002975E5" w:rsidRPr="000540E1" w:rsidRDefault="002975E5" w:rsidP="00F86FF1">
            <w:pPr>
              <w:pStyle w:val="tbltext"/>
            </w:pPr>
            <w:r>
              <w:t>replaced by ‘Direction 1’ for most products and ‘Direction 2</w:t>
            </w:r>
            <w:r w:rsidR="000A5E80" w:rsidRPr="000A4612">
              <w:t>—</w:t>
            </w:r>
            <w:r>
              <w:t>Leg 1/Leg 2’ for some products (e.g. CDS) but with changed allowable values from e.g. ‘Buyer’, ‘Seller’ to ‘BYER’, ‘SLLR’ and for the Direction</w:t>
            </w:r>
            <w:r w:rsidR="000A5E80">
              <w:t> </w:t>
            </w:r>
            <w:r>
              <w:t>2</w:t>
            </w:r>
            <w:r w:rsidR="000A5E80" w:rsidRPr="00266B94">
              <w:t>—</w:t>
            </w:r>
            <w:r>
              <w:t>Leg 1/Leg 2 data elements ‘MAKE’ or ‘TAKE’</w:t>
            </w:r>
          </w:p>
        </w:tc>
        <w:tc>
          <w:tcPr>
            <w:tcW w:w="3022" w:type="dxa"/>
          </w:tcPr>
          <w:p w14:paraId="3ADEDF3D" w14:textId="77777777" w:rsidR="002975E5" w:rsidRDefault="002975E5" w:rsidP="00F86FF1">
            <w:pPr>
              <w:pStyle w:val="tbltext"/>
            </w:pPr>
          </w:p>
          <w:p w14:paraId="1326EDE5" w14:textId="54028418" w:rsidR="002975E5" w:rsidRDefault="002975E5" w:rsidP="00F86FF1">
            <w:pPr>
              <w:pStyle w:val="tbltext"/>
            </w:pPr>
            <w:r>
              <w:t>Legacy values are carried forward into ‘Direction 1’ but the values for transaction records are mixed as ‘Buyer’, ‘BYER’, ‘Seller’, ‘SLLR’</w:t>
            </w:r>
          </w:p>
          <w:p w14:paraId="57812FA6" w14:textId="2D97F795" w:rsidR="002975E5" w:rsidRPr="000540E1" w:rsidRDefault="002975E5" w:rsidP="00F86FF1">
            <w:pPr>
              <w:pStyle w:val="tbltext"/>
            </w:pPr>
            <w:r>
              <w:t>For some products (e.g. CDS), side for legacy reporting is indicated in ‘Direction 1’ but for future-state reporting is indicated in ‘Direction 2</w:t>
            </w:r>
            <w:r w:rsidR="000A5E80" w:rsidRPr="00266B94">
              <w:t>—</w:t>
            </w:r>
            <w:r>
              <w:t>Leg 1/Leg 2’</w:t>
            </w:r>
          </w:p>
        </w:tc>
        <w:tc>
          <w:tcPr>
            <w:tcW w:w="3022" w:type="dxa"/>
          </w:tcPr>
          <w:p w14:paraId="120DDBC2" w14:textId="77777777" w:rsidR="002975E5" w:rsidRDefault="002975E5" w:rsidP="00F86FF1">
            <w:pPr>
              <w:pStyle w:val="tbltext"/>
            </w:pPr>
          </w:p>
          <w:p w14:paraId="38B45CE5" w14:textId="3BF21BE0" w:rsidR="002975E5" w:rsidRDefault="002975E5" w:rsidP="00F86FF1">
            <w:pPr>
              <w:pStyle w:val="tbltext"/>
            </w:pPr>
            <w:r>
              <w:t>Legacy values are one-time converted</w:t>
            </w:r>
            <w:r w:rsidR="00404CA5">
              <w:t>—</w:t>
            </w:r>
            <w:r>
              <w:t>e.g. ‘Buyer’ to ‘BYER’, ‘Seller’ to ‘SLLR’</w:t>
            </w:r>
            <w:r w:rsidR="00404CA5">
              <w:t>—</w:t>
            </w:r>
            <w:r>
              <w:t>and values for transaction records are only ‘BYER’, ‘SLLR’</w:t>
            </w:r>
            <w:r w:rsidR="000A5E80">
              <w:t>,</w:t>
            </w:r>
            <w:r>
              <w:t xml:space="preserve"> etc</w:t>
            </w:r>
            <w:r w:rsidR="000A5E80">
              <w:t>.</w:t>
            </w:r>
          </w:p>
          <w:p w14:paraId="7A5C989A" w14:textId="5B427BB8" w:rsidR="002975E5" w:rsidRPr="000540E1" w:rsidRDefault="002975E5" w:rsidP="00F86FF1">
            <w:pPr>
              <w:pStyle w:val="tbltext"/>
            </w:pPr>
            <w:r>
              <w:t>For some products (e.g. CDS), legacy values are one-time converted</w:t>
            </w:r>
            <w:r w:rsidR="00404CA5">
              <w:t>—</w:t>
            </w:r>
            <w:r>
              <w:t xml:space="preserve">e.g. ‘Buyer’ to ‘TAKE’ </w:t>
            </w:r>
            <w:r w:rsidR="00404CA5">
              <w:t>—</w:t>
            </w:r>
            <w:r>
              <w:t>and populated to ‘Direction 2</w:t>
            </w:r>
            <w:r w:rsidR="000A5E80" w:rsidRPr="00266B94">
              <w:t>—</w:t>
            </w:r>
            <w:r>
              <w:t>Leg 1/Leg 2’, but this is a complex conversion</w:t>
            </w:r>
            <w:r w:rsidR="00E6166C">
              <w:t xml:space="preserve"> that may not be practical</w:t>
            </w:r>
          </w:p>
        </w:tc>
      </w:tr>
      <w:tr w:rsidR="002975E5" w:rsidRPr="000540E1" w14:paraId="2E70467D" w14:textId="77777777" w:rsidTr="00533145">
        <w:trPr>
          <w:cantSplit/>
        </w:trPr>
        <w:tc>
          <w:tcPr>
            <w:tcW w:w="3130" w:type="dxa"/>
          </w:tcPr>
          <w:p w14:paraId="26C6B9F0" w14:textId="77777777" w:rsidR="002975E5" w:rsidRDefault="002975E5" w:rsidP="00F86FF1">
            <w:pPr>
              <w:pStyle w:val="tbltext"/>
            </w:pPr>
            <w:r>
              <w:t>various ‘frequency’ data elements</w:t>
            </w:r>
          </w:p>
          <w:p w14:paraId="30D7E2E3" w14:textId="77777777" w:rsidR="002975E5" w:rsidRDefault="002975E5" w:rsidP="00F86FF1">
            <w:pPr>
              <w:pStyle w:val="tbltext"/>
            </w:pPr>
            <w:r>
              <w:t>replaced by two data elements for the ‘period multiplier’ and the ‘period’</w:t>
            </w:r>
          </w:p>
          <w:p w14:paraId="6527E8DE" w14:textId="20912A39" w:rsidR="002975E5" w:rsidRPr="000540E1" w:rsidRDefault="002975E5" w:rsidP="00F86FF1">
            <w:pPr>
              <w:pStyle w:val="tbltext"/>
            </w:pPr>
            <w:r>
              <w:t>e.g. a legacy value of ‘3M’ is reported separately as ‘3’ and ‘M’ in future state reporting</w:t>
            </w:r>
          </w:p>
        </w:tc>
        <w:tc>
          <w:tcPr>
            <w:tcW w:w="3022" w:type="dxa"/>
          </w:tcPr>
          <w:p w14:paraId="471D74A6" w14:textId="77777777" w:rsidR="002975E5" w:rsidRDefault="002975E5" w:rsidP="00F86FF1">
            <w:pPr>
              <w:pStyle w:val="tbltext"/>
            </w:pPr>
          </w:p>
          <w:p w14:paraId="5010E2A4" w14:textId="7C0D8127" w:rsidR="002975E5" w:rsidRPr="000540E1" w:rsidRDefault="002975E5" w:rsidP="00F86FF1">
            <w:pPr>
              <w:pStyle w:val="tbltext"/>
            </w:pPr>
            <w:r>
              <w:t>Legacy ‘frequency’ data elements are added to the TSR and the values for transaction records are either ‘3M’ for legacy reporting in one data element or ‘3’ and ‘M’ for future-state reporting in two other data elements</w:t>
            </w:r>
          </w:p>
        </w:tc>
        <w:tc>
          <w:tcPr>
            <w:tcW w:w="3022" w:type="dxa"/>
          </w:tcPr>
          <w:p w14:paraId="32D37B5B" w14:textId="77777777" w:rsidR="002975E5" w:rsidRDefault="002975E5" w:rsidP="00F86FF1">
            <w:pPr>
              <w:pStyle w:val="tbltext"/>
            </w:pPr>
          </w:p>
          <w:p w14:paraId="76301A5D" w14:textId="5BB5456E" w:rsidR="002975E5" w:rsidRPr="000540E1" w:rsidRDefault="002975E5" w:rsidP="00F86FF1">
            <w:pPr>
              <w:pStyle w:val="tbltext"/>
            </w:pPr>
            <w:r>
              <w:t>Legacy values are one-time converted</w:t>
            </w:r>
            <w:r w:rsidR="00404CA5">
              <w:t>—</w:t>
            </w:r>
            <w:r>
              <w:t xml:space="preserve">e.g. ‘3M’ to ‘3’ and ‘M’ </w:t>
            </w:r>
            <w:r w:rsidR="000A5E80" w:rsidRPr="00266B94">
              <w:t>—</w:t>
            </w:r>
            <w:r>
              <w:t>and values for transaction records are only e.g. ‘3’ and ‘M’ in the relevant future-state data elements</w:t>
            </w:r>
          </w:p>
        </w:tc>
      </w:tr>
      <w:tr w:rsidR="002975E5" w:rsidRPr="000540E1" w14:paraId="3F6C6388" w14:textId="77777777" w:rsidTr="00533145">
        <w:trPr>
          <w:cantSplit/>
        </w:trPr>
        <w:tc>
          <w:tcPr>
            <w:tcW w:w="3130" w:type="dxa"/>
          </w:tcPr>
          <w:p w14:paraId="244D080C" w14:textId="77777777" w:rsidR="002975E5" w:rsidRDefault="002975E5" w:rsidP="00F86FF1">
            <w:pPr>
              <w:pStyle w:val="tbltext"/>
            </w:pPr>
            <w:r>
              <w:t>‘Option type’</w:t>
            </w:r>
          </w:p>
          <w:p w14:paraId="3A3A77A5" w14:textId="77777777" w:rsidR="002975E5" w:rsidRPr="000540E1" w:rsidRDefault="002975E5" w:rsidP="00F86FF1">
            <w:pPr>
              <w:pStyle w:val="tbltext"/>
            </w:pPr>
            <w:r>
              <w:t>ceases in future-state reporting as the information is embedded in the UPI reported</w:t>
            </w:r>
          </w:p>
        </w:tc>
        <w:tc>
          <w:tcPr>
            <w:tcW w:w="3022" w:type="dxa"/>
          </w:tcPr>
          <w:p w14:paraId="700CD320" w14:textId="77777777" w:rsidR="002975E5" w:rsidRDefault="002975E5" w:rsidP="00F86FF1">
            <w:pPr>
              <w:pStyle w:val="tbltext"/>
            </w:pPr>
          </w:p>
          <w:p w14:paraId="370C58D4" w14:textId="54356706" w:rsidR="002975E5" w:rsidRPr="000540E1" w:rsidRDefault="002975E5" w:rsidP="00F86FF1">
            <w:pPr>
              <w:pStyle w:val="tbltext"/>
            </w:pPr>
            <w:r>
              <w:t>‘Option type’ is added to the TSR and option type for transaction records is either indicated in this data element for legacy reporting or in the UPI for future-state reporting</w:t>
            </w:r>
          </w:p>
        </w:tc>
        <w:tc>
          <w:tcPr>
            <w:tcW w:w="3022" w:type="dxa"/>
          </w:tcPr>
          <w:p w14:paraId="6FB88D90" w14:textId="77777777" w:rsidR="002975E5" w:rsidRDefault="002975E5" w:rsidP="00F86FF1">
            <w:pPr>
              <w:pStyle w:val="tbltext"/>
            </w:pPr>
          </w:p>
          <w:p w14:paraId="161BB145" w14:textId="14645637" w:rsidR="002975E5" w:rsidRPr="000540E1" w:rsidRDefault="0071403C" w:rsidP="00F86FF1">
            <w:pPr>
              <w:pStyle w:val="tbltext"/>
            </w:pPr>
            <w:r>
              <w:t>not applicable</w:t>
            </w:r>
            <w:r w:rsidR="00404CA5">
              <w:t>—</w:t>
            </w:r>
            <w:r w:rsidR="002975E5">
              <w:t>we have not identified a practical approach to conversion of option type to a future-state value</w:t>
            </w:r>
          </w:p>
        </w:tc>
      </w:tr>
    </w:tbl>
    <w:p w14:paraId="3C332C7A" w14:textId="6D1ED1B9" w:rsidR="002975E5" w:rsidRDefault="002975E5" w:rsidP="00C443A0">
      <w:pPr>
        <w:pStyle w:val="BodyText"/>
        <w:numPr>
          <w:ilvl w:val="0"/>
          <w:numId w:val="17"/>
        </w:numPr>
      </w:pPr>
      <w:r>
        <w:t xml:space="preserve">We have been discussing these approaches with DDRS but </w:t>
      </w:r>
      <w:r w:rsidR="003A063C">
        <w:t xml:space="preserve">the technical and implementation requirements of each approach have not been fully determined or evaluated, and a preferred approach has not been settled. </w:t>
      </w:r>
      <w:r>
        <w:t>We think there are advantages in the ‘</w:t>
      </w:r>
      <w:r w:rsidR="00C45D1E" w:rsidRPr="00C45D1E">
        <w:t>carried forward and converted TSR</w:t>
      </w:r>
      <w:r>
        <w:t>’ approach to make the TSR more compact and data element values more consistent than the ‘</w:t>
      </w:r>
      <w:r w:rsidR="00C45D1E" w:rsidRPr="00C45D1E">
        <w:t>carried forward and enlarged TSR</w:t>
      </w:r>
      <w:r>
        <w:t>’ approach.</w:t>
      </w:r>
    </w:p>
    <w:p w14:paraId="123E1685" w14:textId="77777777" w:rsidR="002975E5" w:rsidRDefault="002975E5" w:rsidP="00C443A0">
      <w:pPr>
        <w:pStyle w:val="BodyText"/>
        <w:numPr>
          <w:ilvl w:val="0"/>
          <w:numId w:val="17"/>
        </w:numPr>
      </w:pPr>
      <w:bookmarkStart w:id="198" w:name="_ASICRef657"/>
      <w:r>
        <w:t>We recognise that the TSR is likely to be used by reporting entities for, for example, reconciliation purposes. We welcome any preliminary feedback from reporting entities about their preferred approach to the structure of the TSR from the commencement of the draft amended ASIC Rules.</w:t>
      </w:r>
      <w:bookmarkEnd w:id="198"/>
    </w:p>
    <w:p w14:paraId="72F2A9C1" w14:textId="638CCCBE" w:rsidR="002975E5" w:rsidRDefault="002975E5" w:rsidP="00C443A0">
      <w:pPr>
        <w:pStyle w:val="BodyText"/>
        <w:numPr>
          <w:ilvl w:val="0"/>
          <w:numId w:val="17"/>
        </w:numPr>
      </w:pPr>
      <w:r>
        <w:t xml:space="preserve">However, as illustrated in </w:t>
      </w:r>
      <w:r>
        <w:fldChar w:fldCharType="begin" w:fldLock="1"/>
      </w:r>
      <w:r>
        <w:instrText xml:space="preserve"> REF _Ref97354945 \h </w:instrText>
      </w:r>
      <w:r>
        <w:fldChar w:fldCharType="separate"/>
      </w:r>
      <w:r w:rsidR="00853A2A">
        <w:t xml:space="preserve">Table </w:t>
      </w:r>
      <w:r w:rsidR="00853A2A">
        <w:rPr>
          <w:noProof/>
        </w:rPr>
        <w:t>28</w:t>
      </w:r>
      <w:r>
        <w:fldChar w:fldCharType="end"/>
      </w:r>
      <w:r>
        <w:t>, even with high levels of ‘conversion’, the TSR would not be fully normalised to future-state reporting and not be complete with all the data elements describing the terms of transactions in future-state reporting.</w:t>
      </w:r>
    </w:p>
    <w:p w14:paraId="62674F37" w14:textId="59B9E5FE" w:rsidR="002975E5" w:rsidRDefault="002975E5" w:rsidP="00C443A0">
      <w:pPr>
        <w:pStyle w:val="BodyText"/>
        <w:numPr>
          <w:ilvl w:val="0"/>
          <w:numId w:val="17"/>
        </w:numPr>
      </w:pPr>
      <w:r>
        <w:t xml:space="preserve">The Australian regulators consider that it is important for their regulatory purposes to normalise and complete the </w:t>
      </w:r>
      <w:r w:rsidR="000A5E80">
        <w:t>TSR</w:t>
      </w:r>
      <w:r>
        <w:t xml:space="preserve"> information to a common structure within a reasonable period following the commencement of the draft amended ASIC Rules.</w:t>
      </w:r>
    </w:p>
    <w:p w14:paraId="3056E5CC" w14:textId="4BB914D1" w:rsidR="002975E5" w:rsidRDefault="002975E5" w:rsidP="00C443A0">
      <w:pPr>
        <w:pStyle w:val="BodyText"/>
        <w:numPr>
          <w:ilvl w:val="0"/>
          <w:numId w:val="17"/>
        </w:numPr>
      </w:pPr>
      <w:r>
        <w:t xml:space="preserve">Consequently, in keeping with the requirements of the final ESMA rules and as also proposed by </w:t>
      </w:r>
      <w:r w:rsidR="00EB6F40">
        <w:t>MAS</w:t>
      </w:r>
      <w:r>
        <w:t>, we are proposing a re-reporting requirement in the draft amended ASIC Rules.</w:t>
      </w:r>
    </w:p>
    <w:p w14:paraId="10BA7D68" w14:textId="0FB780D5" w:rsidR="002975E5" w:rsidRDefault="002975E5" w:rsidP="00C443A0">
      <w:pPr>
        <w:pStyle w:val="BodyText"/>
        <w:numPr>
          <w:ilvl w:val="0"/>
          <w:numId w:val="17"/>
        </w:numPr>
      </w:pPr>
      <w:r w:rsidRPr="004C5C35">
        <w:t xml:space="preserve">In Part 2.4 </w:t>
      </w:r>
      <w:r w:rsidR="00F27307" w:rsidRPr="004C5C35">
        <w:t>‘</w:t>
      </w:r>
      <w:r w:rsidRPr="004C5C35">
        <w:t>Transitional matters</w:t>
      </w:r>
      <w:r w:rsidR="00F27307" w:rsidRPr="004C5C35">
        <w:t>’</w:t>
      </w:r>
      <w:r w:rsidRPr="004C5C35">
        <w:t xml:space="preserve">, draft Rule 2.4.1 </w:t>
      </w:r>
      <w:r w:rsidR="00F27307" w:rsidRPr="004C5C35">
        <w:t>‘</w:t>
      </w:r>
      <w:r w:rsidRPr="004C5C35">
        <w:t>Re-reporting requirement</w:t>
      </w:r>
      <w:r w:rsidR="00F27307" w:rsidRPr="004C5C35">
        <w:t>’</w:t>
      </w:r>
      <w:r w:rsidRPr="004C5C35">
        <w:t>, sets out a re-reporting requirement that follows the</w:t>
      </w:r>
      <w:r>
        <w:t xml:space="preserve"> requirement proposed by MAS</w:t>
      </w:r>
      <w:r w:rsidR="00F27307">
        <w:t>, that is</w:t>
      </w:r>
      <w:r>
        <w:t>:</w:t>
      </w:r>
    </w:p>
    <w:p w14:paraId="5D69BE65" w14:textId="77777777" w:rsidR="002975E5" w:rsidRDefault="002975E5" w:rsidP="00C443A0">
      <w:pPr>
        <w:pStyle w:val="subparaa"/>
        <w:numPr>
          <w:ilvl w:val="1"/>
          <w:numId w:val="17"/>
        </w:numPr>
      </w:pPr>
      <w:r>
        <w:t>by 30 September 2024 (i.e. within six months of the commencement of the draft amended ASIC Rules);</w:t>
      </w:r>
    </w:p>
    <w:p w14:paraId="3CBA0AB3" w14:textId="0DD61A23" w:rsidR="002975E5" w:rsidRDefault="002975E5" w:rsidP="00C443A0">
      <w:pPr>
        <w:pStyle w:val="subparaa"/>
        <w:numPr>
          <w:ilvl w:val="1"/>
          <w:numId w:val="17"/>
        </w:numPr>
      </w:pPr>
      <w:r>
        <w:t>re-report outstanding legacy transactions with expiration dates after 31</w:t>
      </w:r>
      <w:r w:rsidR="00F27307">
        <w:t> </w:t>
      </w:r>
      <w:r>
        <w:t>March 2025 (i.e. with then greater than six months to expiration)</w:t>
      </w:r>
      <w:r w:rsidR="00F27307">
        <w:t>;</w:t>
      </w:r>
    </w:p>
    <w:p w14:paraId="48393EFB" w14:textId="300BDF46" w:rsidR="002975E5" w:rsidRDefault="002975E5" w:rsidP="00C443A0">
      <w:pPr>
        <w:pStyle w:val="subparaa"/>
        <w:numPr>
          <w:ilvl w:val="1"/>
          <w:numId w:val="17"/>
        </w:numPr>
      </w:pPr>
      <w:r>
        <w:t xml:space="preserve">whose </w:t>
      </w:r>
      <w:r w:rsidR="007C430B">
        <w:t xml:space="preserve">derivative transaction information </w:t>
      </w:r>
      <w:r>
        <w:t>does not include all of the information required under future-state reporting, and with the formats and allowable values required under future-state reporting.</w:t>
      </w:r>
    </w:p>
    <w:p w14:paraId="573207BC" w14:textId="70CB66B5" w:rsidR="002975E5" w:rsidRDefault="002975E5" w:rsidP="00C443A0">
      <w:pPr>
        <w:pStyle w:val="BodyText"/>
        <w:numPr>
          <w:ilvl w:val="0"/>
          <w:numId w:val="17"/>
        </w:numPr>
      </w:pPr>
      <w:r>
        <w:t xml:space="preserve">Legacy transactions that expire within </w:t>
      </w:r>
      <w:r w:rsidR="00F27307">
        <w:t xml:space="preserve">12 </w:t>
      </w:r>
      <w:r>
        <w:t>months of the commencement of the draft amended ASIC Rules (i.e. by 31 March 2025) are not required to be re-reported. Legacy transactions that are terminated within six months of the commencement of the draft amended ASIC Rules are also not required to be re-reported.</w:t>
      </w:r>
    </w:p>
    <w:p w14:paraId="355FAE5C" w14:textId="77777777" w:rsidR="002975E5" w:rsidRDefault="002975E5" w:rsidP="00C443A0">
      <w:pPr>
        <w:pStyle w:val="BodyText"/>
        <w:numPr>
          <w:ilvl w:val="0"/>
          <w:numId w:val="17"/>
        </w:numPr>
      </w:pPr>
      <w:r>
        <w:t>Legacy transactions that are modified by 30 September 2024 would have the report of that modification made under the draft amended ASIC Rules, and, as such, are effectively re-reported by that modification report.</w:t>
      </w:r>
    </w:p>
    <w:p w14:paraId="32B0CAF3" w14:textId="2DF1C284" w:rsidR="002975E5" w:rsidRDefault="00F27307" w:rsidP="00C443A0">
      <w:pPr>
        <w:pStyle w:val="BodyText"/>
        <w:numPr>
          <w:ilvl w:val="0"/>
          <w:numId w:val="17"/>
        </w:numPr>
      </w:pPr>
      <w:r>
        <w:t>Under Rule</w:t>
      </w:r>
      <w:r w:rsidR="002975E5">
        <w:t xml:space="preserve"> 2.4.1(1)(d), a legacy transaction is only required to be re-reported if the information in the TSR does not accord with the reporting requirements under the draft amended ASIC Rules. This could apply, for example, to a legacy transaction of a plain vanilla interest rate swap that has been comprehensively ‘converted’ in the future-state TSR and the information about the transaction fully accords with the reporting requirements under the draft amended ASIC Rules.</w:t>
      </w:r>
    </w:p>
    <w:p w14:paraId="4366A9B7" w14:textId="77777777" w:rsidR="002975E5" w:rsidRDefault="002975E5" w:rsidP="002975E5">
      <w:pPr>
        <w:pStyle w:val="Heading4"/>
      </w:pPr>
      <w:r>
        <w:t>Three tables of transaction information, valuation information and collateral information</w:t>
      </w:r>
    </w:p>
    <w:p w14:paraId="5489985D" w14:textId="2B977323" w:rsidR="002975E5" w:rsidRDefault="002975E5" w:rsidP="00C443A0">
      <w:pPr>
        <w:pStyle w:val="BodyText"/>
        <w:numPr>
          <w:ilvl w:val="0"/>
          <w:numId w:val="17"/>
        </w:numPr>
      </w:pPr>
      <w:r>
        <w:t xml:space="preserve">In Section J </w:t>
      </w:r>
      <w:r w:rsidR="00D01472">
        <w:t>‘</w:t>
      </w:r>
      <w:r>
        <w:t>Outstanding matters</w:t>
      </w:r>
      <w:r w:rsidR="00D01472">
        <w:t>’</w:t>
      </w:r>
      <w:r>
        <w:t xml:space="preserve"> of </w:t>
      </w:r>
      <w:hyperlink r:id="rId122" w:history="1">
        <w:r w:rsidRPr="00D01472">
          <w:rPr>
            <w:rStyle w:val="Hyperlink"/>
          </w:rPr>
          <w:t>CP 334</w:t>
        </w:r>
      </w:hyperlink>
      <w:r>
        <w:t>, we identified ‘Different types of reports’ as an outstanding matter</w:t>
      </w:r>
      <w:r w:rsidR="00404CA5">
        <w:t>—</w:t>
      </w:r>
      <w:r>
        <w:t>‘</w:t>
      </w:r>
      <w:r w:rsidRPr="004B14CD">
        <w:t>Whether the ASIC Rules should address specifying different types of reports—such as transaction, valuation or collateral reports—and the data elements that would be required to be reported in each type of report</w:t>
      </w:r>
      <w:r>
        <w:t>’.</w:t>
      </w:r>
    </w:p>
    <w:p w14:paraId="3DA6FB2E" w14:textId="7D8473CE" w:rsidR="002975E5" w:rsidRDefault="002975E5" w:rsidP="0083427D">
      <w:pPr>
        <w:pStyle w:val="BodyText"/>
        <w:numPr>
          <w:ilvl w:val="0"/>
          <w:numId w:val="17"/>
        </w:numPr>
        <w:spacing w:before="220" w:line="310" w:lineRule="atLeast"/>
      </w:pPr>
      <w:r>
        <w:t xml:space="preserve">We are now proposing the information that is required to be reported under the draft amended ASIC Rules be set out for </w:t>
      </w:r>
      <w:r w:rsidR="00A070EC">
        <w:t xml:space="preserve">transaction information </w:t>
      </w:r>
      <w:r>
        <w:t xml:space="preserve">(in Table S1.1(1)), </w:t>
      </w:r>
      <w:r w:rsidR="00A070EC">
        <w:t xml:space="preserve">valuation information </w:t>
      </w:r>
      <w:r>
        <w:t>(in Table</w:t>
      </w:r>
      <w:r w:rsidR="00D01472">
        <w:t> </w:t>
      </w:r>
      <w:r>
        <w:t xml:space="preserve">S1.1(2)) and </w:t>
      </w:r>
      <w:r w:rsidR="00A070EC">
        <w:t>collateral information</w:t>
      </w:r>
      <w:r>
        <w:t xml:space="preserve"> (in Table S1.1(3)).</w:t>
      </w:r>
    </w:p>
    <w:p w14:paraId="49FEF3EB" w14:textId="77777777" w:rsidR="002975E5" w:rsidRDefault="002975E5" w:rsidP="0083427D">
      <w:pPr>
        <w:pStyle w:val="BodyText"/>
        <w:numPr>
          <w:ilvl w:val="0"/>
          <w:numId w:val="17"/>
        </w:numPr>
        <w:spacing w:before="220" w:line="310" w:lineRule="atLeast"/>
      </w:pPr>
      <w:r>
        <w:t>This is because:</w:t>
      </w:r>
    </w:p>
    <w:p w14:paraId="54E060E7" w14:textId="77777777" w:rsidR="002975E5" w:rsidRDefault="002975E5" w:rsidP="0083427D">
      <w:pPr>
        <w:pStyle w:val="subparaa"/>
        <w:numPr>
          <w:ilvl w:val="1"/>
          <w:numId w:val="17"/>
        </w:numPr>
        <w:spacing w:before="120" w:line="310" w:lineRule="atLeast"/>
      </w:pPr>
      <w:r>
        <w:t>the structure of the data elements under the draft remade ASIC Rules are significantly more agnostic to asset classes than under the current ASIC Rules, and only one table is required to set out the data elements for derivative transaction information;</w:t>
      </w:r>
    </w:p>
    <w:p w14:paraId="3EF2524A" w14:textId="41F55E91" w:rsidR="002975E5" w:rsidRDefault="002975E5" w:rsidP="0083427D">
      <w:pPr>
        <w:pStyle w:val="subparaa"/>
        <w:numPr>
          <w:ilvl w:val="1"/>
          <w:numId w:val="17"/>
        </w:numPr>
        <w:spacing w:before="120" w:line="310" w:lineRule="atLeast"/>
      </w:pPr>
      <w:r>
        <w:t xml:space="preserve">as a framework, it would better align with actual practices of reporting to </w:t>
      </w:r>
      <w:r w:rsidR="00B83BEE">
        <w:t xml:space="preserve">the </w:t>
      </w:r>
      <w:r>
        <w:t>derivative trade repository where the mechanisms or forms of the submission of information may differ between reports about transaction, valuation and collateral information</w:t>
      </w:r>
      <w:r w:rsidR="00404CA5">
        <w:t>—</w:t>
      </w:r>
      <w:r>
        <w:t>note that the separation of the types of reports in the draft amended ASIC Rules does not mean that information must be reported by technically separated mechanisms or forms depending on the requirements of the derivative trade repository receiving the information;</w:t>
      </w:r>
    </w:p>
    <w:p w14:paraId="714BA896" w14:textId="77777777" w:rsidR="002975E5" w:rsidRDefault="002975E5" w:rsidP="0083427D">
      <w:pPr>
        <w:pStyle w:val="subparaa"/>
        <w:numPr>
          <w:ilvl w:val="1"/>
          <w:numId w:val="17"/>
        </w:numPr>
        <w:spacing w:before="120" w:line="310" w:lineRule="atLeast"/>
      </w:pPr>
      <w:r>
        <w:t>it would align with similar delineations of types of information adopted in other jurisdictions; and</w:t>
      </w:r>
    </w:p>
    <w:p w14:paraId="7E8F7C2C" w14:textId="77777777" w:rsidR="002975E5" w:rsidRDefault="002975E5" w:rsidP="0083427D">
      <w:pPr>
        <w:pStyle w:val="subparaa"/>
        <w:numPr>
          <w:ilvl w:val="1"/>
          <w:numId w:val="17"/>
        </w:numPr>
        <w:spacing w:before="120" w:line="310" w:lineRule="atLeast"/>
      </w:pPr>
      <w:r>
        <w:t>it allows a clear specification of the minimum information required in reports about transaction, valuation and collateral information.</w:t>
      </w:r>
    </w:p>
    <w:p w14:paraId="619BA396" w14:textId="77777777" w:rsidR="002975E5" w:rsidRDefault="002975E5" w:rsidP="002975E5">
      <w:pPr>
        <w:pStyle w:val="Heading5"/>
      </w:pPr>
      <w:r>
        <w:t>Application to the draft remade ASIC Rules</w:t>
      </w:r>
    </w:p>
    <w:p w14:paraId="2ADF9838" w14:textId="7D39AC6D" w:rsidR="002975E5" w:rsidRDefault="002975E5" w:rsidP="0083427D">
      <w:pPr>
        <w:pStyle w:val="BodyText"/>
        <w:numPr>
          <w:ilvl w:val="0"/>
          <w:numId w:val="17"/>
        </w:numPr>
        <w:spacing w:before="220" w:line="310" w:lineRule="atLeast"/>
      </w:pPr>
      <w:r>
        <w:t>We are not proposing to implement information requirements separated by transaction, valuation and collateral information in the draft remade ASIC Rules, and propose to retain the table structure of the current ASIC Rules of one table for common data and four additional tables for asset</w:t>
      </w:r>
      <w:r w:rsidR="00D01472">
        <w:t>-</w:t>
      </w:r>
      <w:r>
        <w:t>class-specific information.</w:t>
      </w:r>
    </w:p>
    <w:p w14:paraId="5EDF774E" w14:textId="77777777" w:rsidR="002975E5" w:rsidRDefault="002975E5" w:rsidP="002975E5">
      <w:pPr>
        <w:pStyle w:val="Heading4"/>
      </w:pPr>
      <w:r>
        <w:t>Data elements related to UTI and UPI</w:t>
      </w:r>
    </w:p>
    <w:p w14:paraId="3DF0D8CE" w14:textId="6C28BE95" w:rsidR="002975E5" w:rsidRDefault="002975E5" w:rsidP="0083427D">
      <w:pPr>
        <w:pStyle w:val="BodyText"/>
        <w:numPr>
          <w:ilvl w:val="0"/>
          <w:numId w:val="17"/>
        </w:numPr>
        <w:spacing w:before="220" w:after="240" w:line="310" w:lineRule="atLeast"/>
      </w:pPr>
      <w:r>
        <w:t>The draft amended ASIC Rules (</w:t>
      </w:r>
      <w:r w:rsidR="00FA0519">
        <w:t xml:space="preserve">see </w:t>
      </w:r>
      <w:r>
        <w:t xml:space="preserve">Attachment 2) include the following data elements related to UTI and UPI as were proposed or foreshadowed in </w:t>
      </w:r>
      <w:hyperlink r:id="rId123" w:history="1">
        <w:r w:rsidRPr="00D01472">
          <w:rPr>
            <w:rStyle w:val="Hyperlink"/>
          </w:rPr>
          <w:t>CP</w:t>
        </w:r>
        <w:r w:rsidR="00D01472" w:rsidRPr="00D01472">
          <w:rPr>
            <w:rStyle w:val="Hyperlink"/>
          </w:rPr>
          <w:t> </w:t>
        </w:r>
        <w:r w:rsidRPr="00D01472">
          <w:rPr>
            <w:rStyle w:val="Hyperlink"/>
          </w:rPr>
          <w:t>334</w:t>
        </w:r>
      </w:hyperlink>
      <w:r>
        <w:t>, with no new data elements proposed in this category</w:t>
      </w:r>
      <w:r w:rsidR="00572907">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261D529B" w14:textId="77777777" w:rsidTr="00F86FF1">
        <w:trPr>
          <w:cantSplit/>
        </w:trPr>
        <w:tc>
          <w:tcPr>
            <w:tcW w:w="1701" w:type="dxa"/>
            <w:shd w:val="clear" w:color="auto" w:fill="C2E3FA"/>
          </w:tcPr>
          <w:p w14:paraId="5BBA3F22" w14:textId="07A1AF39" w:rsidR="002975E5" w:rsidRPr="000540E1" w:rsidRDefault="002975E5" w:rsidP="0083427D">
            <w:pPr>
              <w:pStyle w:val="tablehead"/>
              <w:spacing w:line="250" w:lineRule="atLeast"/>
            </w:pPr>
            <w:r>
              <w:t>Proceed per CP</w:t>
            </w:r>
            <w:r w:rsidR="00110AA0">
              <w:t> </w:t>
            </w:r>
            <w:r>
              <w:t>334</w:t>
            </w:r>
          </w:p>
        </w:tc>
        <w:tc>
          <w:tcPr>
            <w:tcW w:w="5103" w:type="dxa"/>
          </w:tcPr>
          <w:p w14:paraId="1314F590" w14:textId="7E202056" w:rsidR="002975E5" w:rsidRPr="000540E1" w:rsidRDefault="002975E5" w:rsidP="0083427D">
            <w:pPr>
              <w:pStyle w:val="tbltext"/>
              <w:spacing w:line="250" w:lineRule="atLeast"/>
            </w:pPr>
            <w:r>
              <w:t>Unique transaction identifier</w:t>
            </w:r>
            <w:r w:rsidR="00082D07">
              <w:t>,</w:t>
            </w:r>
            <w:r>
              <w:t xml:space="preserve"> Unique product identifier</w:t>
            </w:r>
          </w:p>
        </w:tc>
      </w:tr>
      <w:tr w:rsidR="002975E5" w:rsidRPr="000540E1" w14:paraId="1C28821C" w14:textId="77777777" w:rsidTr="00F86FF1">
        <w:trPr>
          <w:cantSplit/>
        </w:trPr>
        <w:tc>
          <w:tcPr>
            <w:tcW w:w="1701" w:type="dxa"/>
            <w:shd w:val="clear" w:color="auto" w:fill="C2E3FA"/>
          </w:tcPr>
          <w:p w14:paraId="4DF6CE1D" w14:textId="77777777" w:rsidR="002975E5" w:rsidRPr="000540E1" w:rsidRDefault="002975E5" w:rsidP="0083427D">
            <w:pPr>
              <w:pStyle w:val="tablehead"/>
              <w:spacing w:line="250" w:lineRule="atLeast"/>
            </w:pPr>
            <w:r>
              <w:t>New proposal</w:t>
            </w:r>
          </w:p>
        </w:tc>
        <w:tc>
          <w:tcPr>
            <w:tcW w:w="5103" w:type="dxa"/>
          </w:tcPr>
          <w:p w14:paraId="104E0528" w14:textId="60CBD9CC" w:rsidR="002975E5" w:rsidRPr="000540E1" w:rsidRDefault="00D01472" w:rsidP="0083427D">
            <w:pPr>
              <w:pStyle w:val="tbltext"/>
              <w:spacing w:line="250" w:lineRule="atLeast"/>
            </w:pPr>
            <w:r>
              <w:t>Not applicable</w:t>
            </w:r>
          </w:p>
        </w:tc>
      </w:tr>
    </w:tbl>
    <w:p w14:paraId="649DA510" w14:textId="59BDA8FC" w:rsidR="003D6963" w:rsidRPr="0083427D" w:rsidRDefault="002975E5" w:rsidP="0083427D">
      <w:pPr>
        <w:pStyle w:val="BodyText"/>
        <w:numPr>
          <w:ilvl w:val="0"/>
          <w:numId w:val="17"/>
        </w:numPr>
        <w:spacing w:before="220" w:line="310" w:lineRule="atLeast"/>
        <w:rPr>
          <w:spacing w:val="2"/>
        </w:rPr>
      </w:pPr>
      <w:r w:rsidRPr="0083427D">
        <w:rPr>
          <w:spacing w:val="2"/>
        </w:rPr>
        <w:t xml:space="preserve">For the UTI, in Table S1.1.(1) </w:t>
      </w:r>
      <w:r w:rsidR="00D01472" w:rsidRPr="0083427D">
        <w:rPr>
          <w:spacing w:val="2"/>
        </w:rPr>
        <w:t>‘</w:t>
      </w:r>
      <w:r w:rsidRPr="0083427D">
        <w:rPr>
          <w:spacing w:val="2"/>
        </w:rPr>
        <w:t>Transaction information</w:t>
      </w:r>
      <w:r w:rsidR="00D01472" w:rsidRPr="0083427D">
        <w:rPr>
          <w:spacing w:val="2"/>
        </w:rPr>
        <w:t>’</w:t>
      </w:r>
      <w:r w:rsidRPr="0083427D">
        <w:rPr>
          <w:spacing w:val="2"/>
        </w:rPr>
        <w:t xml:space="preserve">, item 1 </w:t>
      </w:r>
      <w:r w:rsidR="00D01472" w:rsidRPr="0083427D">
        <w:rPr>
          <w:spacing w:val="2"/>
        </w:rPr>
        <w:t>‘</w:t>
      </w:r>
      <w:r w:rsidRPr="0083427D">
        <w:rPr>
          <w:spacing w:val="2"/>
        </w:rPr>
        <w:t>Unique transaction identifier</w:t>
      </w:r>
      <w:r w:rsidR="00D01472" w:rsidRPr="0083427D">
        <w:rPr>
          <w:spacing w:val="2"/>
        </w:rPr>
        <w:t>’</w:t>
      </w:r>
      <w:r w:rsidRPr="0083427D">
        <w:rPr>
          <w:spacing w:val="2"/>
        </w:rPr>
        <w:t xml:space="preserve"> implements the UTI Guidance by requiring the reporting of a Rule 2.2.9 UTI for a reportable transaction of the kind referred to:</w:t>
      </w:r>
    </w:p>
    <w:p w14:paraId="16CD18E5" w14:textId="6700D126" w:rsidR="003D6963" w:rsidRDefault="002975E5" w:rsidP="00C443A0">
      <w:pPr>
        <w:pStyle w:val="BodyText"/>
        <w:numPr>
          <w:ilvl w:val="1"/>
          <w:numId w:val="17"/>
        </w:numPr>
      </w:pPr>
      <w:r>
        <w:t xml:space="preserve">in draft </w:t>
      </w:r>
      <w:r w:rsidR="00D01472">
        <w:t xml:space="preserve">Rule </w:t>
      </w:r>
      <w:r>
        <w:t>1.2.5(1)(b)(i)</w:t>
      </w:r>
      <w:r w:rsidR="00404CA5">
        <w:t>—</w:t>
      </w:r>
      <w:r w:rsidR="00D01472">
        <w:t>that is,</w:t>
      </w:r>
      <w:r>
        <w:t xml:space="preserve"> a new transaction arising from a trade;</w:t>
      </w:r>
    </w:p>
    <w:p w14:paraId="74639834" w14:textId="25649E2F" w:rsidR="002975E5" w:rsidRDefault="002975E5" w:rsidP="00C443A0">
      <w:pPr>
        <w:pStyle w:val="BodyText"/>
        <w:numPr>
          <w:ilvl w:val="1"/>
          <w:numId w:val="17"/>
        </w:numPr>
      </w:pPr>
      <w:r>
        <w:t xml:space="preserve">in draft </w:t>
      </w:r>
      <w:r w:rsidR="00D01472">
        <w:t xml:space="preserve">Rule </w:t>
      </w:r>
      <w:r>
        <w:t>1.2.5(1)(b)(iii)</w:t>
      </w:r>
      <w:r w:rsidR="00404CA5">
        <w:t>—</w:t>
      </w:r>
      <w:r w:rsidR="00D01472">
        <w:t>that is,</w:t>
      </w:r>
      <w:r>
        <w:t xml:space="preserve"> a new transaction arising from an assignment of an existing transaction by the other counterparty to another counterparty</w:t>
      </w:r>
      <w:r w:rsidR="00511E62">
        <w:t>; or</w:t>
      </w:r>
    </w:p>
    <w:p w14:paraId="2991E597" w14:textId="368A57FE" w:rsidR="00511E62" w:rsidRDefault="00511E62" w:rsidP="00C443A0">
      <w:pPr>
        <w:pStyle w:val="BodyText"/>
        <w:numPr>
          <w:ilvl w:val="1"/>
          <w:numId w:val="17"/>
        </w:numPr>
      </w:pPr>
      <w:r>
        <w:t xml:space="preserve">in draft Rule 1.2.5(1)(b)(iv)—that is, </w:t>
      </w:r>
      <w:r w:rsidR="00743D09">
        <w:t xml:space="preserve">the ‘final change’ to the way a </w:t>
      </w:r>
      <w:r w:rsidR="00886474">
        <w:t xml:space="preserve">reporting entity </w:t>
      </w:r>
      <w:r w:rsidR="00743D09">
        <w:t xml:space="preserve">records an OTC Derivative in the </w:t>
      </w:r>
      <w:r w:rsidR="00886474">
        <w:t xml:space="preserve">reporting entity’s </w:t>
      </w:r>
      <w:r w:rsidR="00743D09">
        <w:t>books and records.</w:t>
      </w:r>
    </w:p>
    <w:p w14:paraId="2BD2F8E7" w14:textId="77777777" w:rsidR="002975E5" w:rsidRDefault="002975E5" w:rsidP="00C443A0">
      <w:pPr>
        <w:pStyle w:val="BodyText"/>
        <w:numPr>
          <w:ilvl w:val="0"/>
          <w:numId w:val="17"/>
        </w:numPr>
      </w:pPr>
      <w:r>
        <w:t>These are the circumstances for which a new UTI is required to be generated under Rule 2.2.9, and this is the UTI that is reported for the reportable transaction.</w:t>
      </w:r>
    </w:p>
    <w:p w14:paraId="57A3930D" w14:textId="77777777" w:rsidR="002975E5" w:rsidRDefault="002975E5" w:rsidP="00C443A0">
      <w:pPr>
        <w:pStyle w:val="BodyText"/>
        <w:numPr>
          <w:ilvl w:val="0"/>
          <w:numId w:val="17"/>
        </w:numPr>
      </w:pPr>
      <w:r>
        <w:t>However, for a:</w:t>
      </w:r>
    </w:p>
    <w:p w14:paraId="394D5175" w14:textId="7AB3A314" w:rsidR="002975E5" w:rsidRDefault="00B414FE" w:rsidP="00C443A0">
      <w:pPr>
        <w:pStyle w:val="subparaa"/>
        <w:numPr>
          <w:ilvl w:val="1"/>
          <w:numId w:val="17"/>
        </w:numPr>
      </w:pPr>
      <w:r>
        <w:t>r</w:t>
      </w:r>
      <w:r w:rsidRPr="00764670">
        <w:t xml:space="preserve">eportable </w:t>
      </w:r>
      <w:r w:rsidR="002975E5">
        <w:t>t</w:t>
      </w:r>
      <w:r w:rsidR="002975E5" w:rsidRPr="00764670">
        <w:t xml:space="preserve">ransaction of the kind referred to in </w:t>
      </w:r>
      <w:r>
        <w:t xml:space="preserve">Rule </w:t>
      </w:r>
      <w:r w:rsidR="002975E5" w:rsidRPr="00764670">
        <w:t>1.2.5(1)(b)(ii)</w:t>
      </w:r>
      <w:r w:rsidR="00D01472">
        <w:rPr>
          <w:rFonts w:ascii="Calibri" w:hAnsi="Calibri"/>
        </w:rPr>
        <w:t>—</w:t>
      </w:r>
      <w:r w:rsidR="00D01472">
        <w:t xml:space="preserve">that is, </w:t>
      </w:r>
      <w:r w:rsidR="002975E5">
        <w:t>the modification or termination of a transaction; or</w:t>
      </w:r>
    </w:p>
    <w:p w14:paraId="663AD962" w14:textId="602AEDCB" w:rsidR="002975E5" w:rsidRDefault="002975E5" w:rsidP="00C443A0">
      <w:pPr>
        <w:pStyle w:val="subparaa"/>
        <w:numPr>
          <w:ilvl w:val="1"/>
          <w:numId w:val="17"/>
        </w:numPr>
      </w:pPr>
      <w:r w:rsidRPr="00764670">
        <w:t xml:space="preserve">a report made under </w:t>
      </w:r>
      <w:r w:rsidR="00B414FE">
        <w:t xml:space="preserve">Rule </w:t>
      </w:r>
      <w:r w:rsidRPr="00764670">
        <w:t>2.2.2</w:t>
      </w:r>
      <w:r w:rsidR="00404CA5">
        <w:t>—</w:t>
      </w:r>
      <w:r w:rsidR="00B414FE" w:rsidRPr="00B414FE">
        <w:t xml:space="preserve"> </w:t>
      </w:r>
      <w:r w:rsidR="00B414FE">
        <w:t xml:space="preserve">that is, </w:t>
      </w:r>
      <w:r>
        <w:t>a report of a change to information previously reported</w:t>
      </w:r>
      <w:r w:rsidR="00B414FE">
        <w:t>,</w:t>
      </w:r>
    </w:p>
    <w:p w14:paraId="7AB2634F" w14:textId="77777777" w:rsidR="002975E5" w:rsidRDefault="002975E5" w:rsidP="002975E5">
      <w:pPr>
        <w:pStyle w:val="subparaa"/>
        <w:numPr>
          <w:ilvl w:val="0"/>
          <w:numId w:val="0"/>
        </w:numPr>
        <w:ind w:left="2268"/>
        <w:rPr>
          <w:color w:val="000000" w:themeColor="text1"/>
        </w:rPr>
      </w:pPr>
      <w:r>
        <w:t>this item 1 is the ‘transaction</w:t>
      </w:r>
      <w:r w:rsidRPr="00A35EE1">
        <w:rPr>
          <w:color w:val="000000" w:themeColor="text1"/>
        </w:rPr>
        <w:t xml:space="preserve"> </w:t>
      </w:r>
      <w:r>
        <w:rPr>
          <w:color w:val="000000" w:themeColor="text1"/>
        </w:rPr>
        <w:t>identifier</w:t>
      </w:r>
      <w:r w:rsidRPr="00AD0A6A">
        <w:rPr>
          <w:color w:val="000000" w:themeColor="text1"/>
        </w:rPr>
        <w:t xml:space="preserve"> of the Reportable Transaction about which the report is made</w:t>
      </w:r>
      <w:r>
        <w:rPr>
          <w:color w:val="000000" w:themeColor="text1"/>
        </w:rPr>
        <w:t>’.</w:t>
      </w:r>
    </w:p>
    <w:p w14:paraId="2898BE51" w14:textId="69F17849" w:rsidR="002975E5" w:rsidRDefault="002975E5" w:rsidP="00C443A0">
      <w:pPr>
        <w:pStyle w:val="BodyText"/>
        <w:numPr>
          <w:ilvl w:val="0"/>
          <w:numId w:val="17"/>
        </w:numPr>
      </w:pPr>
      <w:r>
        <w:t>This transaction identifier may be a UTI or it may be a transaction identifier of a form predating the requirement to use UTIs as transaction identifiers</w:t>
      </w:r>
      <w:r w:rsidR="00404CA5">
        <w:t>—</w:t>
      </w:r>
      <w:r>
        <w:t>hence, legacy transaction identifiers are able to be used in reporting modifications, terminations or information changes and there is no requirement to update legacy transaction identifiers to UTIs.</w:t>
      </w:r>
    </w:p>
    <w:p w14:paraId="06CA0391" w14:textId="62AABA14" w:rsidR="002975E5" w:rsidRDefault="002975E5" w:rsidP="00C443A0">
      <w:pPr>
        <w:pStyle w:val="BodyText"/>
        <w:numPr>
          <w:ilvl w:val="0"/>
          <w:numId w:val="17"/>
        </w:numPr>
      </w:pPr>
      <w:r>
        <w:t xml:space="preserve">In Table S1.1.(2) </w:t>
      </w:r>
      <w:r w:rsidR="00B414FE">
        <w:t>‘</w:t>
      </w:r>
      <w:r>
        <w:t>Valuation information</w:t>
      </w:r>
      <w:r w:rsidR="00B414FE">
        <w:t>’</w:t>
      </w:r>
      <w:r>
        <w:t xml:space="preserve"> and Table S1.1.(3) </w:t>
      </w:r>
      <w:r w:rsidR="00B414FE">
        <w:t>‘</w:t>
      </w:r>
      <w:r>
        <w:t>Collateral information</w:t>
      </w:r>
      <w:r w:rsidR="00B414FE">
        <w:t>’</w:t>
      </w:r>
      <w:r>
        <w:t xml:space="preserve">, the respective item 1 </w:t>
      </w:r>
      <w:r w:rsidR="00B414FE">
        <w:t>‘</w:t>
      </w:r>
      <w:r>
        <w:t>Unique transaction identifier</w:t>
      </w:r>
      <w:r w:rsidR="00B414FE">
        <w:t>’</w:t>
      </w:r>
      <w:r>
        <w:t xml:space="preserve"> only refers to a report made under Rule 2.2.2, as </w:t>
      </w:r>
      <w:r w:rsidR="00B414FE">
        <w:t xml:space="preserve">valuation </w:t>
      </w:r>
      <w:r>
        <w:t xml:space="preserve">information and </w:t>
      </w:r>
      <w:r w:rsidR="00B414FE">
        <w:t xml:space="preserve">collateral </w:t>
      </w:r>
      <w:r>
        <w:t xml:space="preserve">information </w:t>
      </w:r>
      <w:r w:rsidR="00B414FE">
        <w:t xml:space="preserve">are </w:t>
      </w:r>
      <w:r>
        <w:t>only reported under this rule.</w:t>
      </w:r>
    </w:p>
    <w:p w14:paraId="0EF798DC" w14:textId="4AB170CD" w:rsidR="002975E5" w:rsidRPr="00E3273B" w:rsidRDefault="002975E5" w:rsidP="00C443A0">
      <w:pPr>
        <w:pStyle w:val="BodyText"/>
        <w:numPr>
          <w:ilvl w:val="0"/>
          <w:numId w:val="17"/>
        </w:numPr>
        <w:rPr>
          <w:color w:val="000000" w:themeColor="text1"/>
        </w:rPr>
      </w:pPr>
      <w:r>
        <w:t xml:space="preserve">As per Table S1.1.(1) </w:t>
      </w:r>
      <w:r w:rsidR="00B414FE">
        <w:t>‘</w:t>
      </w:r>
      <w:r>
        <w:t>Transaction information</w:t>
      </w:r>
      <w:r w:rsidR="00B414FE">
        <w:t>’</w:t>
      </w:r>
      <w:r>
        <w:t xml:space="preserve"> for reports made under Rule</w:t>
      </w:r>
      <w:r w:rsidR="00B414FE">
        <w:t> </w:t>
      </w:r>
      <w:r>
        <w:t xml:space="preserve">2.2.2, the item 1 </w:t>
      </w:r>
      <w:r w:rsidR="00B414FE">
        <w:t>‘</w:t>
      </w:r>
      <w:r>
        <w:t>Unique transaction identifier</w:t>
      </w:r>
      <w:r w:rsidR="00B414FE">
        <w:t>’</w:t>
      </w:r>
      <w:r>
        <w:t xml:space="preserve"> is the ‘transaction</w:t>
      </w:r>
      <w:r w:rsidRPr="00E3273B">
        <w:rPr>
          <w:color w:val="000000" w:themeColor="text1"/>
        </w:rPr>
        <w:t xml:space="preserve"> identifier of the Reportable Transaction about which the report is made’.</w:t>
      </w:r>
      <w:r>
        <w:rPr>
          <w:color w:val="000000" w:themeColor="text1"/>
        </w:rPr>
        <w:t xml:space="preserve"> This may be a UTI or a legacy transaction identifier.</w:t>
      </w:r>
    </w:p>
    <w:p w14:paraId="4BAFF8D4" w14:textId="4759DBC6" w:rsidR="002975E5" w:rsidRDefault="002975E5" w:rsidP="00C443A0">
      <w:pPr>
        <w:pStyle w:val="BodyText"/>
        <w:numPr>
          <w:ilvl w:val="0"/>
          <w:numId w:val="17"/>
        </w:numPr>
      </w:pPr>
      <w:r>
        <w:t xml:space="preserve">The format of a UTI is as specified in ISO 23897 </w:t>
      </w:r>
      <w:r w:rsidRPr="000A4612">
        <w:rPr>
          <w:i/>
          <w:iCs/>
        </w:rPr>
        <w:t>Unique transaction identifier</w:t>
      </w:r>
      <w:r>
        <w:t>. The format of any other transaction identifier is not specified under the draft amended ASIC Rules, but a derivative trade repository may specify a format as envisaged by the existing Rule 2.2.4.</w:t>
      </w:r>
    </w:p>
    <w:p w14:paraId="38E9ACBD" w14:textId="22E208D4" w:rsidR="002975E5" w:rsidRDefault="002975E5" w:rsidP="00C443A0">
      <w:pPr>
        <w:pStyle w:val="BodyText"/>
        <w:numPr>
          <w:ilvl w:val="0"/>
          <w:numId w:val="17"/>
        </w:numPr>
      </w:pPr>
      <w:r>
        <w:t xml:space="preserve">For the UPI, in Table S1.1.(1) </w:t>
      </w:r>
      <w:r w:rsidR="00B414FE">
        <w:t>‘</w:t>
      </w:r>
      <w:r>
        <w:t>Transaction information</w:t>
      </w:r>
      <w:r w:rsidR="00B414FE">
        <w:t>’</w:t>
      </w:r>
      <w:r>
        <w:t xml:space="preserve">, item 2 </w:t>
      </w:r>
      <w:r w:rsidR="00B414FE">
        <w:t>‘</w:t>
      </w:r>
      <w:r>
        <w:t>Unique product identifier</w:t>
      </w:r>
      <w:r w:rsidR="00B414FE">
        <w:t>’</w:t>
      </w:r>
      <w:r>
        <w:t xml:space="preserve"> implements the UPI Guidance. </w:t>
      </w:r>
    </w:p>
    <w:p w14:paraId="7794B2B0" w14:textId="244103C4" w:rsidR="002975E5" w:rsidRPr="0004768B" w:rsidRDefault="002975E5" w:rsidP="00C443A0">
      <w:pPr>
        <w:pStyle w:val="BodyText"/>
        <w:numPr>
          <w:ilvl w:val="0"/>
          <w:numId w:val="17"/>
        </w:numPr>
      </w:pPr>
      <w:r>
        <w:t xml:space="preserve">The column 3 derivative transaction information does not itself specify a UPI from the UPI system operated by DSB. However, this is required by the column 4 format being ‘as specified in ISO 4914’, and ISO 4914 includes that a UPI is assigned by </w:t>
      </w:r>
      <w:r w:rsidRPr="0004768B">
        <w:t xml:space="preserve">a </w:t>
      </w:r>
      <w:r>
        <w:t>‘</w:t>
      </w:r>
      <w:r w:rsidRPr="0004768B">
        <w:t>UPI service provider</w:t>
      </w:r>
      <w:r>
        <w:t>’</w:t>
      </w:r>
      <w:r w:rsidRPr="0004768B">
        <w:t xml:space="preserve"> </w:t>
      </w:r>
      <w:r>
        <w:t>that is ‘</w:t>
      </w:r>
      <w:r w:rsidRPr="0004768B">
        <w:t>an organisation designated by an external body of financial regulators to assign UPIs and operate the UPI reference data library</w:t>
      </w:r>
      <w:r>
        <w:t>’</w:t>
      </w:r>
      <w:r w:rsidR="00404CA5">
        <w:t>—</w:t>
      </w:r>
      <w:r>
        <w:t>t</w:t>
      </w:r>
      <w:r w:rsidRPr="0004768B">
        <w:t xml:space="preserve">he FSB has designated </w:t>
      </w:r>
      <w:r w:rsidR="00191DE8">
        <w:t>DSB</w:t>
      </w:r>
      <w:r>
        <w:t xml:space="preserve"> </w:t>
      </w:r>
      <w:r w:rsidRPr="0004768B">
        <w:t>as the service provider for the UPI system.</w:t>
      </w:r>
    </w:p>
    <w:p w14:paraId="1E97F696" w14:textId="6D3A3A89" w:rsidR="002975E5" w:rsidRDefault="002975E5" w:rsidP="00C443A0">
      <w:pPr>
        <w:pStyle w:val="BodyText"/>
        <w:numPr>
          <w:ilvl w:val="0"/>
          <w:numId w:val="17"/>
        </w:numPr>
      </w:pPr>
      <w:r>
        <w:t xml:space="preserve">A UPI from the UPI system is required to be reported for a new transaction, a modification to an existing transaction or a report of changed information under </w:t>
      </w:r>
      <w:r w:rsidR="00B414FE">
        <w:t>R</w:t>
      </w:r>
      <w:r>
        <w:t>ule 2.2.2, but not for a termination of a transaction.</w:t>
      </w:r>
    </w:p>
    <w:p w14:paraId="46DB9AA7" w14:textId="6DE48CC8" w:rsidR="002975E5" w:rsidRDefault="002975E5" w:rsidP="00C443A0">
      <w:pPr>
        <w:pStyle w:val="BodyText"/>
        <w:numPr>
          <w:ilvl w:val="0"/>
          <w:numId w:val="17"/>
        </w:numPr>
      </w:pPr>
      <w:r>
        <w:t xml:space="preserve">This means that if there is a report about a modification or a change of information to an existing transaction, a legacy unique product identifier will need to be upgraded to a UPI from the UPI system. We think this is consistent with the proposed re-reporting requirement of </w:t>
      </w:r>
      <w:r w:rsidR="00B414FE">
        <w:t>R</w:t>
      </w:r>
      <w:r>
        <w:t>ule 2.4.1 of the draft amended ASIC Rules.</w:t>
      </w:r>
    </w:p>
    <w:p w14:paraId="71C8E16A" w14:textId="73F9CDF6" w:rsidR="002975E5" w:rsidRDefault="002975E5" w:rsidP="00C443A0">
      <w:pPr>
        <w:pStyle w:val="BodyText"/>
        <w:numPr>
          <w:ilvl w:val="0"/>
          <w:numId w:val="17"/>
        </w:numPr>
      </w:pPr>
      <w:r>
        <w:t xml:space="preserve">However, a report of a termination does not require a UPI to be reported. A UPI is also not included as an item in Table S1.1(2) </w:t>
      </w:r>
      <w:r w:rsidR="00B414FE">
        <w:t>‘</w:t>
      </w:r>
      <w:r>
        <w:t>Valuation information</w:t>
      </w:r>
      <w:r w:rsidR="00B414FE">
        <w:t>’</w:t>
      </w:r>
      <w:r>
        <w:t xml:space="preserve"> or Table S1.1.(3) </w:t>
      </w:r>
      <w:r w:rsidR="00B414FE">
        <w:t>‘</w:t>
      </w:r>
      <w:r>
        <w:t>Collateral information</w:t>
      </w:r>
      <w:r w:rsidR="00B414FE">
        <w:t>’</w:t>
      </w:r>
      <w:r w:rsidR="00404CA5">
        <w:t>—</w:t>
      </w:r>
      <w:r>
        <w:t>terminations, valuation information and collateral information may be reported without a legacy unique product identifier needing to be upgraded to a UPI from the UPI system.</w:t>
      </w:r>
    </w:p>
    <w:p w14:paraId="427C9D2A" w14:textId="77777777" w:rsidR="002975E5" w:rsidRDefault="002975E5" w:rsidP="002975E5">
      <w:pPr>
        <w:pStyle w:val="Heading5"/>
      </w:pPr>
      <w:r>
        <w:t>Application to the draft remade ASIC Rules</w:t>
      </w:r>
    </w:p>
    <w:p w14:paraId="41A61F43" w14:textId="515F5991" w:rsidR="002975E5" w:rsidRDefault="002975E5" w:rsidP="00C443A0">
      <w:pPr>
        <w:pStyle w:val="BodyText"/>
        <w:numPr>
          <w:ilvl w:val="0"/>
          <w:numId w:val="17"/>
        </w:numPr>
      </w:pPr>
      <w:r>
        <w:t xml:space="preserve">For the UTI, in Table S1.1.(1) </w:t>
      </w:r>
      <w:r w:rsidR="00B414FE">
        <w:t>‘</w:t>
      </w:r>
      <w:r>
        <w:t>Common data</w:t>
      </w:r>
      <w:r w:rsidR="00B414FE">
        <w:t>’</w:t>
      </w:r>
      <w:r>
        <w:t xml:space="preserve">, item 1 </w:t>
      </w:r>
      <w:r w:rsidR="00B414FE">
        <w:t>‘</w:t>
      </w:r>
      <w:r>
        <w:t>Unique transaction identifier</w:t>
      </w:r>
      <w:r w:rsidR="00B414FE">
        <w:t>’</w:t>
      </w:r>
      <w:r>
        <w:t xml:space="preserve"> implements the same requirements as in the draft amended ASIC Rules</w:t>
      </w:r>
      <w:r w:rsidR="00404CA5">
        <w:t>—</w:t>
      </w:r>
      <w:r>
        <w:t>the UTI requirements commence from 1 October 2023 under the draft remade ASIC Rules.</w:t>
      </w:r>
    </w:p>
    <w:p w14:paraId="1D0A205D" w14:textId="456DD17C" w:rsidR="002975E5" w:rsidRDefault="002975E5" w:rsidP="00C443A0">
      <w:pPr>
        <w:pStyle w:val="BodyText"/>
        <w:numPr>
          <w:ilvl w:val="0"/>
          <w:numId w:val="17"/>
        </w:numPr>
      </w:pPr>
      <w:r>
        <w:t xml:space="preserve">For the UPI, in Table S1.1.(1) </w:t>
      </w:r>
      <w:r w:rsidR="00B414FE">
        <w:t>‘</w:t>
      </w:r>
      <w:r>
        <w:t>Common data</w:t>
      </w:r>
      <w:r w:rsidR="00B414FE">
        <w:t>’</w:t>
      </w:r>
      <w:r>
        <w:t xml:space="preserve">, item 2 </w:t>
      </w:r>
      <w:r w:rsidR="00B414FE">
        <w:t>‘</w:t>
      </w:r>
      <w:r>
        <w:t>Unique product identifier</w:t>
      </w:r>
      <w:r w:rsidR="00B414FE">
        <w:t>’</w:t>
      </w:r>
      <w:r>
        <w:t xml:space="preserve"> follows the text of the current ASIC Rules in referring to a product identifier ‘using an internationally accepted product taxonomy’. A format is not specified and the allowable values are ‘</w:t>
      </w:r>
      <w:r w:rsidRPr="003B5EC0">
        <w:t>Any values accepted by the Derivative Trade Repository that is receiving the report</w:t>
      </w:r>
      <w:r>
        <w:t>’.</w:t>
      </w:r>
    </w:p>
    <w:p w14:paraId="28884D27" w14:textId="51FBEB9D" w:rsidR="002975E5" w:rsidRDefault="002975E5" w:rsidP="00C443A0">
      <w:pPr>
        <w:pStyle w:val="BodyText"/>
        <w:numPr>
          <w:ilvl w:val="0"/>
          <w:numId w:val="17"/>
        </w:numPr>
      </w:pPr>
      <w:r>
        <w:t xml:space="preserve">This continues the situation under the current ASIC Rules that it is left to derivative trade repositories to implement an internationally accepted product taxonomy in reporting. The requirement to report a UPI </w:t>
      </w:r>
      <w:r w:rsidR="00FA0519">
        <w:t xml:space="preserve">from </w:t>
      </w:r>
      <w:r>
        <w:t>the UPI system would only commence from 1 April 2024 under the draft amended ASIC Rules.</w:t>
      </w:r>
    </w:p>
    <w:p w14:paraId="1004A1F2" w14:textId="77777777" w:rsidR="002975E5" w:rsidRDefault="002975E5" w:rsidP="002975E5">
      <w:pPr>
        <w:pStyle w:val="Heading4"/>
      </w:pPr>
      <w:r>
        <w:t>Data elements related to counterparties, beneficiaries and other entities</w:t>
      </w:r>
    </w:p>
    <w:p w14:paraId="1CC56D0D" w14:textId="72245529" w:rsidR="002975E5" w:rsidRDefault="002975E5" w:rsidP="00C443A0">
      <w:pPr>
        <w:pStyle w:val="BodyText"/>
        <w:numPr>
          <w:ilvl w:val="0"/>
          <w:numId w:val="17"/>
        </w:numPr>
        <w:spacing w:after="200"/>
      </w:pPr>
      <w:r>
        <w:t>The draft amended ASIC Rules (</w:t>
      </w:r>
      <w:r w:rsidR="00FA0519">
        <w:t xml:space="preserve">see </w:t>
      </w:r>
      <w:r>
        <w:t xml:space="preserve">Attachment 2) include the following data elements related to </w:t>
      </w:r>
      <w:r w:rsidRPr="00011634">
        <w:t>counterparties, beneficiaries and other entities</w:t>
      </w:r>
      <w:r>
        <w:t xml:space="preserve"> as were proposed or foreshadowed in </w:t>
      </w:r>
      <w:hyperlink r:id="rId124" w:history="1">
        <w:r w:rsidRPr="00FA0519">
          <w:rPr>
            <w:rStyle w:val="Hyperlink"/>
          </w:rPr>
          <w:t>CP 334</w:t>
        </w:r>
      </w:hyperlink>
      <w:r>
        <w:t>. We are not proceeding with two data elements</w:t>
      </w:r>
      <w:r w:rsidR="00C45D1E">
        <w:t xml:space="preserve"> that were proposed in CP 334.</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042BEDB0" w14:textId="77777777" w:rsidTr="00F86FF1">
        <w:trPr>
          <w:cantSplit/>
        </w:trPr>
        <w:tc>
          <w:tcPr>
            <w:tcW w:w="1701" w:type="dxa"/>
            <w:shd w:val="clear" w:color="auto" w:fill="C2E3FA"/>
          </w:tcPr>
          <w:p w14:paraId="5CF53EAC" w14:textId="488ABB01" w:rsidR="002975E5" w:rsidRPr="000540E1" w:rsidRDefault="002975E5" w:rsidP="00F86FF1">
            <w:pPr>
              <w:pStyle w:val="tablehead"/>
            </w:pPr>
            <w:r>
              <w:t>Proceed per CP</w:t>
            </w:r>
            <w:r w:rsidR="00FA0519">
              <w:t> </w:t>
            </w:r>
            <w:r>
              <w:t>334</w:t>
            </w:r>
          </w:p>
        </w:tc>
        <w:tc>
          <w:tcPr>
            <w:tcW w:w="5103" w:type="dxa"/>
          </w:tcPr>
          <w:p w14:paraId="38C8897F" w14:textId="77777777" w:rsidR="00191DE8" w:rsidRDefault="002975E5" w:rsidP="00F86FF1">
            <w:pPr>
              <w:pStyle w:val="tbltext"/>
            </w:pPr>
            <w:r w:rsidRPr="00011634">
              <w:t>Reporting Entity</w:t>
            </w:r>
            <w:r>
              <w:t>; Counterparty 1; Counterparty 2;</w:t>
            </w:r>
          </w:p>
          <w:p w14:paraId="0249B785" w14:textId="540B0C58" w:rsidR="00191DE8" w:rsidRDefault="002975E5" w:rsidP="00F86FF1">
            <w:pPr>
              <w:pStyle w:val="tbltext"/>
            </w:pPr>
            <w:r w:rsidRPr="00011634">
              <w:t>Counterparty 2 identifier type</w:t>
            </w:r>
            <w:r>
              <w:t xml:space="preserve">; </w:t>
            </w:r>
            <w:r w:rsidRPr="00011634">
              <w:t xml:space="preserve">Country of </w:t>
            </w:r>
            <w:r w:rsidR="00B54164">
              <w:t>c</w:t>
            </w:r>
            <w:r w:rsidRPr="00011634">
              <w:t>ounterparty 2</w:t>
            </w:r>
            <w:r>
              <w:t>;</w:t>
            </w:r>
          </w:p>
          <w:p w14:paraId="1E4175B8" w14:textId="77777777" w:rsidR="00191DE8" w:rsidRDefault="002975E5" w:rsidP="00F86FF1">
            <w:pPr>
              <w:pStyle w:val="tbltext"/>
            </w:pPr>
            <w:r>
              <w:t xml:space="preserve">Beneficiary 1; </w:t>
            </w:r>
            <w:r w:rsidRPr="00011634">
              <w:t>Beneficiary 1 identifier type</w:t>
            </w:r>
            <w:r>
              <w:t>;</w:t>
            </w:r>
          </w:p>
          <w:p w14:paraId="47723A1B" w14:textId="6CAA2366" w:rsidR="002975E5" w:rsidRPr="000540E1" w:rsidRDefault="002975E5" w:rsidP="00F86FF1">
            <w:pPr>
              <w:pStyle w:val="tbltext"/>
            </w:pPr>
            <w:r>
              <w:t xml:space="preserve">Broker; </w:t>
            </w:r>
            <w:r w:rsidRPr="00011634">
              <w:t xml:space="preserve">Execution agent of </w:t>
            </w:r>
            <w:r w:rsidR="00B54164">
              <w:t>c</w:t>
            </w:r>
            <w:r w:rsidRPr="00011634">
              <w:t>ounterparty 1</w:t>
            </w:r>
          </w:p>
        </w:tc>
      </w:tr>
      <w:tr w:rsidR="002975E5" w:rsidRPr="000540E1" w14:paraId="73AF16DF" w14:textId="77777777" w:rsidTr="00F86FF1">
        <w:trPr>
          <w:cantSplit/>
        </w:trPr>
        <w:tc>
          <w:tcPr>
            <w:tcW w:w="1701" w:type="dxa"/>
            <w:shd w:val="clear" w:color="auto" w:fill="C2E3FA"/>
          </w:tcPr>
          <w:p w14:paraId="244A1E2E" w14:textId="77777777" w:rsidR="002975E5" w:rsidRPr="000540E1" w:rsidRDefault="002975E5" w:rsidP="00F86FF1">
            <w:pPr>
              <w:pStyle w:val="tablehead"/>
            </w:pPr>
            <w:r>
              <w:t>Not proceed</w:t>
            </w:r>
          </w:p>
        </w:tc>
        <w:tc>
          <w:tcPr>
            <w:tcW w:w="5103" w:type="dxa"/>
          </w:tcPr>
          <w:p w14:paraId="4A7488C0" w14:textId="77777777" w:rsidR="002975E5" w:rsidRPr="000540E1" w:rsidRDefault="002975E5" w:rsidP="00F86FF1">
            <w:pPr>
              <w:pStyle w:val="tbltext"/>
            </w:pPr>
            <w:r>
              <w:t>Nature of counterparty 2; Intragroup</w:t>
            </w:r>
          </w:p>
        </w:tc>
      </w:tr>
      <w:tr w:rsidR="002975E5" w:rsidRPr="000540E1" w14:paraId="4CD102A8" w14:textId="77777777" w:rsidTr="00F86FF1">
        <w:trPr>
          <w:cantSplit/>
        </w:trPr>
        <w:tc>
          <w:tcPr>
            <w:tcW w:w="1701" w:type="dxa"/>
            <w:shd w:val="clear" w:color="auto" w:fill="C2E3FA"/>
          </w:tcPr>
          <w:p w14:paraId="1F0D6326" w14:textId="77777777" w:rsidR="002975E5" w:rsidRPr="000540E1" w:rsidRDefault="002975E5" w:rsidP="00F86FF1">
            <w:pPr>
              <w:pStyle w:val="tablehead"/>
            </w:pPr>
            <w:r>
              <w:t>New proposal</w:t>
            </w:r>
          </w:p>
        </w:tc>
        <w:tc>
          <w:tcPr>
            <w:tcW w:w="5103" w:type="dxa"/>
          </w:tcPr>
          <w:p w14:paraId="5FA15F47" w14:textId="0D34EE75" w:rsidR="002975E5" w:rsidRPr="000540E1" w:rsidRDefault="00FA0519" w:rsidP="00F86FF1">
            <w:pPr>
              <w:pStyle w:val="tbltext"/>
            </w:pPr>
            <w:r>
              <w:t>Not applicable</w:t>
            </w:r>
          </w:p>
        </w:tc>
      </w:tr>
    </w:tbl>
    <w:p w14:paraId="095FB509" w14:textId="77777777" w:rsidR="002975E5" w:rsidRDefault="002975E5" w:rsidP="00C443A0">
      <w:pPr>
        <w:pStyle w:val="BodyText"/>
        <w:numPr>
          <w:ilvl w:val="0"/>
          <w:numId w:val="17"/>
        </w:numPr>
      </w:pPr>
      <w:r>
        <w:t>Responding to the feedback to CP 334, we have decided not to proceed with the data elements nature of counterparty 2 and intragroup.</w:t>
      </w:r>
    </w:p>
    <w:p w14:paraId="37B0D11E" w14:textId="77777777" w:rsidR="002975E5" w:rsidRDefault="002975E5" w:rsidP="00C443A0">
      <w:pPr>
        <w:pStyle w:val="BodyText"/>
        <w:numPr>
          <w:ilvl w:val="0"/>
          <w:numId w:val="17"/>
        </w:numPr>
      </w:pPr>
      <w:r>
        <w:t>Though there was some feedback advocating excluding the beneficiary data elements, we consider that it is important for the Australian regulators to have information about any person who has the rights and obligations of a reportable transaction, and we have decided to proceed with the beneficiary data elements.</w:t>
      </w:r>
    </w:p>
    <w:p w14:paraId="1553443E" w14:textId="77777777" w:rsidR="002975E5" w:rsidRDefault="002975E5" w:rsidP="00C443A0">
      <w:pPr>
        <w:pStyle w:val="BodyText"/>
        <w:numPr>
          <w:ilvl w:val="0"/>
          <w:numId w:val="17"/>
        </w:numPr>
      </w:pPr>
      <w:r>
        <w:t>More broadly, respondents did not make any objections to the other entity identifier data elements, and we have decided to proceed with them.</w:t>
      </w:r>
    </w:p>
    <w:p w14:paraId="366DB7EB" w14:textId="20866FFA" w:rsidR="002975E5" w:rsidRDefault="002975E5" w:rsidP="00C443A0">
      <w:pPr>
        <w:pStyle w:val="BodyText"/>
        <w:numPr>
          <w:ilvl w:val="0"/>
          <w:numId w:val="17"/>
        </w:numPr>
      </w:pPr>
      <w:r>
        <w:t>The types of entity identifier</w:t>
      </w:r>
      <w:r w:rsidR="00404CA5">
        <w:t>—</w:t>
      </w:r>
      <w:r w:rsidR="00FA0519">
        <w:t>that is,</w:t>
      </w:r>
      <w:r>
        <w:t xml:space="preserve"> whether an LEI, designated business identifier or client code</w:t>
      </w:r>
      <w:r w:rsidR="00404CA5">
        <w:t>—</w:t>
      </w:r>
      <w:r>
        <w:t xml:space="preserve">for different entity identifier data elements, the requirements to report a current LEI and the absence of a requirement to update any non-LEI entity identifiers to LEIs, are discussed in Section </w:t>
      </w:r>
      <w:r w:rsidR="00FA0519">
        <w:fldChar w:fldCharType="begin" w:fldLock="1"/>
      </w:r>
      <w:r w:rsidR="00FA0519">
        <w:instrText xml:space="preserve"> REF _ASICRef533 \r \h </w:instrText>
      </w:r>
      <w:r w:rsidR="00FA0519">
        <w:fldChar w:fldCharType="separate"/>
      </w:r>
      <w:r w:rsidR="00853A2A">
        <w:t>D</w:t>
      </w:r>
      <w:r w:rsidR="00FA0519">
        <w:fldChar w:fldCharType="end"/>
      </w:r>
      <w:r>
        <w:t xml:space="preserve"> </w:t>
      </w:r>
      <w:r w:rsidR="00FA0519">
        <w:t>‘</w:t>
      </w:r>
      <w:r>
        <w:t>The legal entity identifier</w:t>
      </w:r>
      <w:r w:rsidR="00231974">
        <w:t xml:space="preserve"> (LEI)</w:t>
      </w:r>
      <w:r w:rsidR="00FA0519">
        <w:t>’</w:t>
      </w:r>
      <w:r>
        <w:t>.</w:t>
      </w:r>
    </w:p>
    <w:p w14:paraId="2A359175" w14:textId="77777777" w:rsidR="002975E5" w:rsidRDefault="002975E5" w:rsidP="00C443A0">
      <w:pPr>
        <w:pStyle w:val="BodyText"/>
        <w:numPr>
          <w:ilvl w:val="0"/>
          <w:numId w:val="17"/>
        </w:numPr>
      </w:pPr>
      <w:r>
        <w:t>The formats of the different types of identifiers are:</w:t>
      </w:r>
    </w:p>
    <w:p w14:paraId="6419FC3C" w14:textId="77777777" w:rsidR="002975E5" w:rsidRDefault="002975E5" w:rsidP="00C443A0">
      <w:pPr>
        <w:pStyle w:val="subparaa"/>
        <w:numPr>
          <w:ilvl w:val="1"/>
          <w:numId w:val="17"/>
        </w:numPr>
      </w:pPr>
      <w:r>
        <w:t>for an LEI, as specified in ISO 17442;</w:t>
      </w:r>
    </w:p>
    <w:p w14:paraId="53EE759E" w14:textId="74E0A8C1" w:rsidR="002975E5" w:rsidRDefault="002975E5" w:rsidP="00C443A0">
      <w:pPr>
        <w:pStyle w:val="subparaa"/>
        <w:numPr>
          <w:ilvl w:val="1"/>
          <w:numId w:val="17"/>
        </w:numPr>
      </w:pPr>
      <w:r>
        <w:t xml:space="preserve">for a </w:t>
      </w:r>
      <w:r w:rsidR="00FA0519">
        <w:t>client code</w:t>
      </w:r>
      <w:r>
        <w:t xml:space="preserve">, an alphanumeric code of not more than 72 characters, noting that, </w:t>
      </w:r>
      <w:r w:rsidR="009E7018">
        <w:t xml:space="preserve">under Rule </w:t>
      </w:r>
      <w:r>
        <w:t xml:space="preserve">S1.2.1 </w:t>
      </w:r>
      <w:r w:rsidR="009E7018">
        <w:t>‘</w:t>
      </w:r>
      <w:r>
        <w:t>Definitions</w:t>
      </w:r>
      <w:r w:rsidR="009E7018">
        <w:t>’</w:t>
      </w:r>
      <w:r>
        <w:t>, the first 20 characters must be an LEI; and</w:t>
      </w:r>
    </w:p>
    <w:p w14:paraId="7E2316D8" w14:textId="69B6F403" w:rsidR="002975E5" w:rsidRDefault="002975E5" w:rsidP="00C443A0">
      <w:pPr>
        <w:pStyle w:val="subparaa"/>
        <w:numPr>
          <w:ilvl w:val="1"/>
          <w:numId w:val="17"/>
        </w:numPr>
      </w:pPr>
      <w:r>
        <w:t>for any other identifier, an alphanumeric code of not more than 72</w:t>
      </w:r>
      <w:r w:rsidR="009E7018">
        <w:t> </w:t>
      </w:r>
      <w:r>
        <w:t>characters.</w:t>
      </w:r>
    </w:p>
    <w:p w14:paraId="2330649E" w14:textId="2ABC19B1" w:rsidR="002975E5" w:rsidRDefault="002975E5" w:rsidP="00C443A0">
      <w:pPr>
        <w:pStyle w:val="BodyText"/>
        <w:numPr>
          <w:ilvl w:val="0"/>
          <w:numId w:val="17"/>
        </w:numPr>
      </w:pPr>
      <w:r>
        <w:t>In addition, in each of the Tables S1.1(1)</w:t>
      </w:r>
      <w:r w:rsidR="009E7018">
        <w:t>–</w:t>
      </w:r>
      <w:r>
        <w:t xml:space="preserve">(3), counterparty 1 and counterparty 2 </w:t>
      </w:r>
      <w:r w:rsidR="004D59F4">
        <w:t>would</w:t>
      </w:r>
      <w:r>
        <w:t xml:space="preserve"> identify a managed investment scheme or trust instead of the reporting entity</w:t>
      </w:r>
      <w:r w:rsidR="00B54164">
        <w:t>.</w:t>
      </w:r>
      <w:r>
        <w:t xml:space="preserve"> This conforms to the CDE Guidance and the approaches in other jurisdictions.</w:t>
      </w:r>
    </w:p>
    <w:p w14:paraId="1290B687" w14:textId="2F294114" w:rsidR="002975E5" w:rsidRDefault="002975E5" w:rsidP="00C443A0">
      <w:pPr>
        <w:pStyle w:val="BodyText"/>
        <w:numPr>
          <w:ilvl w:val="0"/>
          <w:numId w:val="17"/>
        </w:numPr>
      </w:pPr>
      <w:bookmarkStart w:id="199" w:name="_ASICRef785"/>
      <w:r>
        <w:t xml:space="preserve">In Table S1.1(1), item 4 </w:t>
      </w:r>
      <w:r w:rsidR="009E7018">
        <w:t>‘</w:t>
      </w:r>
      <w:r>
        <w:t>Counterparty 1</w:t>
      </w:r>
      <w:r w:rsidR="009E7018">
        <w:t>’</w:t>
      </w:r>
      <w:r>
        <w:t xml:space="preserve"> is required to be reported as ‘the managed investment scheme</w:t>
      </w:r>
      <w:r w:rsidR="00A41824">
        <w:t>,</w:t>
      </w:r>
      <w:r>
        <w:t xml:space="preserve"> trust </w:t>
      </w:r>
      <w:r w:rsidR="00A41824">
        <w:t xml:space="preserve">or CCIV </w:t>
      </w:r>
      <w:r>
        <w:t>that holds the OTC Derivative’ where the reporting entity is the responsible entity</w:t>
      </w:r>
      <w:r w:rsidR="00A41824">
        <w:t>,</w:t>
      </w:r>
      <w:r>
        <w:t xml:space="preserve"> trustee </w:t>
      </w:r>
      <w:r w:rsidR="00A41824">
        <w:t xml:space="preserve">or corporate director </w:t>
      </w:r>
      <w:r>
        <w:t>of that managed investment scheme</w:t>
      </w:r>
      <w:r w:rsidR="00A41824">
        <w:t>,</w:t>
      </w:r>
      <w:r>
        <w:t xml:space="preserve"> trust</w:t>
      </w:r>
      <w:r w:rsidR="00A41824">
        <w:t xml:space="preserve"> or CCIV</w:t>
      </w:r>
      <w:r>
        <w:t>. If there is no managed investment scheme</w:t>
      </w:r>
      <w:r w:rsidR="00A41824">
        <w:t>,</w:t>
      </w:r>
      <w:r>
        <w:t xml:space="preserve"> trust </w:t>
      </w:r>
      <w:r w:rsidR="00A41824">
        <w:t>or CCIV</w:t>
      </w:r>
      <w:r w:rsidR="00881356">
        <w:t xml:space="preserve"> </w:t>
      </w:r>
      <w:r>
        <w:t>involved, counterparty 1 is reported as the reporting entity.</w:t>
      </w:r>
      <w:bookmarkEnd w:id="199"/>
    </w:p>
    <w:p w14:paraId="54B70433" w14:textId="6F06A784" w:rsidR="002975E5" w:rsidRDefault="002975E5" w:rsidP="00C443A0">
      <w:pPr>
        <w:pStyle w:val="BodyText"/>
        <w:numPr>
          <w:ilvl w:val="0"/>
          <w:numId w:val="17"/>
        </w:numPr>
      </w:pPr>
      <w:bookmarkStart w:id="200" w:name="_ASICRef378"/>
      <w:r>
        <w:t xml:space="preserve">In Table S1.1(1), item 5 </w:t>
      </w:r>
      <w:r w:rsidR="009E7018">
        <w:t>‘</w:t>
      </w:r>
      <w:r>
        <w:t>Counterparty 2</w:t>
      </w:r>
      <w:r w:rsidR="009E7018">
        <w:t>’</w:t>
      </w:r>
      <w:r>
        <w:t xml:space="preserve"> refers to the counterparty whose identifier is not reported at item 4</w:t>
      </w:r>
      <w:r w:rsidR="00404CA5">
        <w:t>—</w:t>
      </w:r>
      <w:r w:rsidR="009E7018">
        <w:t>that is,</w:t>
      </w:r>
      <w:r>
        <w:t xml:space="preserve"> the other counterparty in the transaction that is not counterparty 1. Then, similar to the requirements for counterparty 1, counterparty 2 is required to be reported as ‘the managed investment scheme or trust that holds the OTC Derivative’ where the other counterparty is the responsible entity or trustee of that managed investment scheme or trust. If there is no managed investment scheme or trust involved, counterparty 2 is reported as the other counterparty.</w:t>
      </w:r>
      <w:bookmarkEnd w:id="200"/>
    </w:p>
    <w:p w14:paraId="0C290A59" w14:textId="462AF3EA" w:rsidR="002975E5" w:rsidRDefault="002975E5" w:rsidP="00C443A0">
      <w:pPr>
        <w:pStyle w:val="BodyText"/>
        <w:numPr>
          <w:ilvl w:val="0"/>
          <w:numId w:val="17"/>
        </w:numPr>
      </w:pPr>
      <w:r>
        <w:t xml:space="preserve">Counterparty 1 and counterparty 2 are also data elements in Table S1.1(2) </w:t>
      </w:r>
      <w:r w:rsidR="009E7018">
        <w:t>‘</w:t>
      </w:r>
      <w:r>
        <w:t>Valuation information</w:t>
      </w:r>
      <w:r w:rsidR="009E7018">
        <w:t>’</w:t>
      </w:r>
      <w:r>
        <w:t xml:space="preserve"> and Table S1.1(3) </w:t>
      </w:r>
      <w:r w:rsidR="009E7018">
        <w:t>‘</w:t>
      </w:r>
      <w:r>
        <w:t>Collateral information</w:t>
      </w:r>
      <w:r w:rsidR="009E7018">
        <w:t>’</w:t>
      </w:r>
      <w:r>
        <w:t>. In these tables, counterparty 1 and counterparty 2 have the same meanings as in Table S1.1(1).</w:t>
      </w:r>
    </w:p>
    <w:p w14:paraId="1D7EA870" w14:textId="61C9D5BC" w:rsidR="002975E5" w:rsidRDefault="002975E5" w:rsidP="00C443A0">
      <w:pPr>
        <w:pStyle w:val="BodyText"/>
        <w:numPr>
          <w:ilvl w:val="0"/>
          <w:numId w:val="17"/>
        </w:numPr>
      </w:pPr>
      <w:r>
        <w:t>The meaning of beneficiary under the current ASIC Rules envisages that a managed investment scheme o</w:t>
      </w:r>
      <w:r w:rsidR="009E7018">
        <w:t>r</w:t>
      </w:r>
      <w:r>
        <w:t xml:space="preserve"> trust may be reported as the beneficiary where the responsible entity or trustee is reported as the reporting counterparty (i.e. the reporting entity), and the multiple beneficiaries of the managed investment scheme or trust are not themselves reported.</w:t>
      </w:r>
    </w:p>
    <w:p w14:paraId="1F109BB1" w14:textId="40713CFD" w:rsidR="002975E5" w:rsidRDefault="002975E5" w:rsidP="00C443A0">
      <w:pPr>
        <w:pStyle w:val="BodyText"/>
        <w:numPr>
          <w:ilvl w:val="0"/>
          <w:numId w:val="17"/>
        </w:numPr>
      </w:pPr>
      <w:r>
        <w:t>In the draft amended ASIC Rules, the required reporting is of the responsible entity</w:t>
      </w:r>
      <w:r w:rsidR="00A41824">
        <w:t>,</w:t>
      </w:r>
      <w:r>
        <w:t xml:space="preserve"> trustee </w:t>
      </w:r>
      <w:r w:rsidR="00A41824">
        <w:t xml:space="preserve">or corporate director of a CCIV </w:t>
      </w:r>
      <w:r>
        <w:t>as the reporting entity and the managed investment scheme</w:t>
      </w:r>
      <w:r w:rsidR="00A41824">
        <w:t>,</w:t>
      </w:r>
      <w:r>
        <w:t xml:space="preserve"> trust </w:t>
      </w:r>
      <w:r w:rsidR="00A41824">
        <w:t xml:space="preserve">or CCIV </w:t>
      </w:r>
      <w:r>
        <w:t>as counterparty 1. To clarify that the multiple beneficiaries of the managed investment scheme</w:t>
      </w:r>
      <w:r w:rsidR="00A41824">
        <w:t>,</w:t>
      </w:r>
      <w:r>
        <w:t xml:space="preserve"> trust </w:t>
      </w:r>
      <w:r w:rsidR="00A41824">
        <w:t xml:space="preserve">or CCIV </w:t>
      </w:r>
      <w:r>
        <w:t xml:space="preserve">should continue </w:t>
      </w:r>
      <w:r w:rsidR="009E7018">
        <w:t xml:space="preserve">not </w:t>
      </w:r>
      <w:r>
        <w:t xml:space="preserve">to be reported, in Table S1.1(1), the meaning of item </w:t>
      </w:r>
      <w:r w:rsidR="005C38BA">
        <w:t xml:space="preserve">8 </w:t>
      </w:r>
      <w:r w:rsidR="009E7018">
        <w:t>‘</w:t>
      </w:r>
      <w:r>
        <w:t>Beneficiary 1</w:t>
      </w:r>
      <w:r w:rsidR="009E7018">
        <w:t>’</w:t>
      </w:r>
      <w:r>
        <w:t xml:space="preserve"> excludes </w:t>
      </w:r>
      <w:r w:rsidRPr="007C572D">
        <w:t>the beneficiaries of a managed investment scheme</w:t>
      </w:r>
      <w:r w:rsidR="00A41824">
        <w:t>,</w:t>
      </w:r>
      <w:r w:rsidRPr="007C572D">
        <w:t xml:space="preserve"> trust</w:t>
      </w:r>
      <w:r w:rsidR="00A41824">
        <w:t xml:space="preserve"> or CCIV</w:t>
      </w:r>
      <w:r>
        <w:t>.</w:t>
      </w:r>
    </w:p>
    <w:p w14:paraId="5B31A852" w14:textId="1AECE654" w:rsidR="002975E5" w:rsidRDefault="002975E5" w:rsidP="00C443A0">
      <w:pPr>
        <w:pStyle w:val="BodyText"/>
        <w:numPr>
          <w:ilvl w:val="0"/>
          <w:numId w:val="17"/>
        </w:numPr>
      </w:pPr>
      <w:r>
        <w:t xml:space="preserve">In Table S1.1(1), the meaning of item 10 </w:t>
      </w:r>
      <w:r w:rsidR="00510481">
        <w:t>‘</w:t>
      </w:r>
      <w:r>
        <w:t>Broker</w:t>
      </w:r>
      <w:r w:rsidR="00510481">
        <w:t>’</w:t>
      </w:r>
      <w:r>
        <w:t xml:space="preserve"> closely follows the description of this data element in the final ESMA rules, in particular using the qualification that the broker acted as an intermediary </w:t>
      </w:r>
      <w:r w:rsidR="00510481">
        <w:t>‘</w:t>
      </w:r>
      <w:r w:rsidRPr="000A4612">
        <w:t>without becoming a counterparty to the OTC Derivative</w:t>
      </w:r>
      <w:r w:rsidR="00510481">
        <w:t>’</w:t>
      </w:r>
      <w:r>
        <w:t xml:space="preserve">. The meaning of broker in the current ASIC Rules, with its reference to execution on behalf of the reporting counterparty, is intended to be interpreted in the same way, but we note that some buy-side reporting entities have reported their sell-side dealer counterparty as the broker (in addition to reporting them as the non-reporting counterparty). We think that the proposed meaning of </w:t>
      </w:r>
      <w:r w:rsidR="00510481">
        <w:t>‘</w:t>
      </w:r>
      <w:r>
        <w:t>Broker</w:t>
      </w:r>
      <w:r w:rsidR="00510481">
        <w:t>’</w:t>
      </w:r>
      <w:r>
        <w:t xml:space="preserve"> in the draft amended ASIC Rules more clearly identifies the broker as an intermediary and not a counterparty.</w:t>
      </w:r>
    </w:p>
    <w:p w14:paraId="1B133585" w14:textId="27739C8B" w:rsidR="002975E5" w:rsidRDefault="002975E5" w:rsidP="00C443A0">
      <w:pPr>
        <w:pStyle w:val="BodyText"/>
        <w:numPr>
          <w:ilvl w:val="0"/>
          <w:numId w:val="17"/>
        </w:numPr>
      </w:pPr>
      <w:r>
        <w:t xml:space="preserve">We are proposing similar text for the meaning of item 11 </w:t>
      </w:r>
      <w:r w:rsidR="00510481">
        <w:t>‘</w:t>
      </w:r>
      <w:r>
        <w:t>Execution agent of counterparty 1</w:t>
      </w:r>
      <w:r w:rsidR="00510481">
        <w:t>’</w:t>
      </w:r>
      <w:r>
        <w:t xml:space="preserve"> by identifying this entity as acting as agent for the reporting entity </w:t>
      </w:r>
      <w:r w:rsidR="00510481">
        <w:t>‘</w:t>
      </w:r>
      <w:r w:rsidRPr="000A4612">
        <w:t>without becoming a counterparty to the Reportable Transaction</w:t>
      </w:r>
      <w:r w:rsidR="00510481">
        <w:t>’</w:t>
      </w:r>
      <w:r>
        <w:rPr>
          <w:i/>
          <w:iCs/>
        </w:rPr>
        <w:t>.</w:t>
      </w:r>
    </w:p>
    <w:p w14:paraId="4AF90017" w14:textId="77777777" w:rsidR="002975E5" w:rsidRDefault="002975E5" w:rsidP="002975E5">
      <w:pPr>
        <w:pStyle w:val="Heading5"/>
      </w:pPr>
      <w:r>
        <w:t>Application to the draft remade ASIC Rules</w:t>
      </w:r>
    </w:p>
    <w:p w14:paraId="4D8544DA" w14:textId="77777777" w:rsidR="002975E5" w:rsidRDefault="002975E5" w:rsidP="00C443A0">
      <w:pPr>
        <w:pStyle w:val="BodyText"/>
        <w:numPr>
          <w:ilvl w:val="0"/>
          <w:numId w:val="17"/>
        </w:numPr>
        <w:spacing w:line="290" w:lineRule="atLeast"/>
      </w:pPr>
      <w:r w:rsidRPr="00D163FA">
        <w:t>Beneficiary 1</w:t>
      </w:r>
      <w:r>
        <w:t xml:space="preserve"> and b</w:t>
      </w:r>
      <w:r w:rsidRPr="00D163FA">
        <w:t>roker</w:t>
      </w:r>
      <w:r>
        <w:t xml:space="preserve"> are data elements that are present in the current ASIC Rules and the draft remade ASIC Rules and have the same meanings as in the draft amended ASIC Rules.</w:t>
      </w:r>
    </w:p>
    <w:p w14:paraId="0CAF3883" w14:textId="77777777" w:rsidR="002975E5" w:rsidRDefault="002975E5" w:rsidP="00C443A0">
      <w:pPr>
        <w:pStyle w:val="BodyText"/>
        <w:numPr>
          <w:ilvl w:val="0"/>
          <w:numId w:val="17"/>
        </w:numPr>
        <w:spacing w:line="290" w:lineRule="atLeast"/>
      </w:pPr>
      <w:r w:rsidRPr="00D163FA">
        <w:t>Counterparty 1</w:t>
      </w:r>
      <w:r>
        <w:t xml:space="preserve"> and c</w:t>
      </w:r>
      <w:r w:rsidRPr="00D163FA">
        <w:t>ounterparty 2</w:t>
      </w:r>
      <w:r>
        <w:t xml:space="preserve"> are also data elements that are present in the draft remade ASIC Rules, but with meanings that allow that the reporting of a managed investment scheme or trust instead of the reporting entity is only optional and not required.</w:t>
      </w:r>
    </w:p>
    <w:p w14:paraId="3917C0D9" w14:textId="5E3CB8D0" w:rsidR="002975E5" w:rsidRDefault="002975E5" w:rsidP="00C443A0">
      <w:pPr>
        <w:pStyle w:val="BodyText"/>
        <w:numPr>
          <w:ilvl w:val="0"/>
          <w:numId w:val="17"/>
        </w:numPr>
        <w:spacing w:line="290" w:lineRule="atLeast"/>
      </w:pPr>
      <w:r>
        <w:t xml:space="preserve">Existing reporting practices have been that some reporting entities who are responsible entities or trustees report themselves as counterparty 1 (‘Reporting Counterparty’ in the current ASIC Rules) and other reporting entities report the managed investment scheme or trust. In keeping with our intention described at paragraph </w:t>
      </w:r>
      <w:r>
        <w:fldChar w:fldCharType="begin" w:fldLock="1"/>
      </w:r>
      <w:r>
        <w:instrText xml:space="preserve"> REF _ASICRef261 \w \h </w:instrText>
      </w:r>
      <w:r>
        <w:fldChar w:fldCharType="separate"/>
      </w:r>
      <w:r w:rsidR="00853A2A">
        <w:t>364</w:t>
      </w:r>
      <w:r>
        <w:fldChar w:fldCharType="end"/>
      </w:r>
      <w:r>
        <w:t xml:space="preserve"> to not require changes to the systems and processes that reporting entities currently use for reporting, the draft remade ASIC Rules would continue to provide for either of these options. In the draft amended ASIC Rules, the option is removed and the reporting is required to be as described in paragraphs </w:t>
      </w:r>
      <w:r>
        <w:fldChar w:fldCharType="begin" w:fldLock="1"/>
      </w:r>
      <w:r>
        <w:instrText xml:space="preserve"> REF _ASICRef785 \w \h </w:instrText>
      </w:r>
      <w:r>
        <w:fldChar w:fldCharType="separate"/>
      </w:r>
      <w:r w:rsidR="00853A2A">
        <w:t>452</w:t>
      </w:r>
      <w:r>
        <w:fldChar w:fldCharType="end"/>
      </w:r>
      <w:r>
        <w:t>–</w:t>
      </w:r>
      <w:r>
        <w:fldChar w:fldCharType="begin" w:fldLock="1"/>
      </w:r>
      <w:r>
        <w:instrText xml:space="preserve"> REF _ASICRef378 \w \h </w:instrText>
      </w:r>
      <w:r>
        <w:fldChar w:fldCharType="separate"/>
      </w:r>
      <w:r w:rsidR="00853A2A">
        <w:t>453</w:t>
      </w:r>
      <w:r>
        <w:fldChar w:fldCharType="end"/>
      </w:r>
      <w:r>
        <w:t>.</w:t>
      </w:r>
    </w:p>
    <w:p w14:paraId="5F4E14B4" w14:textId="5D510EEC" w:rsidR="002975E5" w:rsidRDefault="002975E5" w:rsidP="00C443A0">
      <w:pPr>
        <w:pStyle w:val="BodyText"/>
        <w:numPr>
          <w:ilvl w:val="0"/>
          <w:numId w:val="17"/>
        </w:numPr>
        <w:spacing w:line="290" w:lineRule="atLeast"/>
      </w:pPr>
      <w:r w:rsidRPr="00D163FA">
        <w:t xml:space="preserve">Reporting </w:t>
      </w:r>
      <w:r>
        <w:t>e</w:t>
      </w:r>
      <w:r w:rsidRPr="00D163FA">
        <w:t>ntity</w:t>
      </w:r>
      <w:r>
        <w:t>, c</w:t>
      </w:r>
      <w:r w:rsidRPr="00D163FA">
        <w:t>ounterparty 2 identifier type</w:t>
      </w:r>
      <w:r w:rsidR="00231974">
        <w:t>,</w:t>
      </w:r>
      <w:r w:rsidRPr="00D163FA">
        <w:t xml:space="preserve"> </w:t>
      </w:r>
      <w:r>
        <w:t>co</w:t>
      </w:r>
      <w:r w:rsidRPr="00D163FA">
        <w:t xml:space="preserve">untry of </w:t>
      </w:r>
      <w:r>
        <w:t>c</w:t>
      </w:r>
      <w:r w:rsidRPr="00D163FA">
        <w:t>ounterparty 2</w:t>
      </w:r>
      <w:r>
        <w:t>, b</w:t>
      </w:r>
      <w:r w:rsidRPr="00D163FA">
        <w:t>eneficiary 1 identifier type</w:t>
      </w:r>
      <w:r>
        <w:t xml:space="preserve"> and e</w:t>
      </w:r>
      <w:r w:rsidRPr="00D163FA">
        <w:t xml:space="preserve">xecution agent of </w:t>
      </w:r>
      <w:r>
        <w:t>c</w:t>
      </w:r>
      <w:r w:rsidRPr="00D163FA">
        <w:t>ounterparty 1</w:t>
      </w:r>
      <w:r>
        <w:t xml:space="preserve"> are not data elements that are present in the current ASIC Rules or the draft remade ASIC Rules.</w:t>
      </w:r>
    </w:p>
    <w:p w14:paraId="517D2F5B" w14:textId="77777777" w:rsidR="002975E5" w:rsidRDefault="002975E5" w:rsidP="002975E5">
      <w:pPr>
        <w:pStyle w:val="Heading4"/>
      </w:pPr>
      <w:r>
        <w:t>Data elements related to direction</w:t>
      </w:r>
    </w:p>
    <w:p w14:paraId="4A8E9A76" w14:textId="77016AA6" w:rsidR="002975E5" w:rsidRDefault="002975E5" w:rsidP="00C443A0">
      <w:pPr>
        <w:pStyle w:val="BodyText"/>
        <w:numPr>
          <w:ilvl w:val="0"/>
          <w:numId w:val="17"/>
        </w:numPr>
        <w:spacing w:after="200" w:line="290" w:lineRule="atLeast"/>
      </w:pPr>
      <w:r>
        <w:t>The draft amended ASIC Rules (</w:t>
      </w:r>
      <w:r w:rsidR="00FA0519">
        <w:t xml:space="preserve">see </w:t>
      </w:r>
      <w:r>
        <w:t>Attachment 2) include the following data elements related to direction—</w:t>
      </w:r>
      <w:r w:rsidR="00510481">
        <w:t>that is,</w:t>
      </w:r>
      <w:r>
        <w:t xml:space="preserve"> the ‘side’ taken by each party to the transaction: buyer/seller, payer/receiver.</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5EFBE7AE" w14:textId="77777777" w:rsidTr="00F86FF1">
        <w:trPr>
          <w:cantSplit/>
        </w:trPr>
        <w:tc>
          <w:tcPr>
            <w:tcW w:w="1701" w:type="dxa"/>
            <w:shd w:val="clear" w:color="auto" w:fill="C2E3FA"/>
          </w:tcPr>
          <w:p w14:paraId="5BC889FD" w14:textId="0C655E8A" w:rsidR="002975E5" w:rsidRPr="000540E1" w:rsidRDefault="002975E5" w:rsidP="00F86FF1">
            <w:pPr>
              <w:pStyle w:val="tablehead"/>
            </w:pPr>
            <w:r>
              <w:t>Proceed per CP</w:t>
            </w:r>
            <w:r w:rsidR="00510481">
              <w:t> </w:t>
            </w:r>
            <w:r>
              <w:t>334</w:t>
            </w:r>
          </w:p>
        </w:tc>
        <w:tc>
          <w:tcPr>
            <w:tcW w:w="5103" w:type="dxa"/>
          </w:tcPr>
          <w:p w14:paraId="1606BBF3" w14:textId="68DA0C20" w:rsidR="00B54164" w:rsidRDefault="002975E5" w:rsidP="00F86FF1">
            <w:pPr>
              <w:pStyle w:val="tbltext"/>
            </w:pPr>
            <w:r w:rsidRPr="00011634">
              <w:t>Direction 1</w:t>
            </w:r>
            <w:r w:rsidR="00082D07">
              <w:t>,</w:t>
            </w:r>
          </w:p>
          <w:p w14:paraId="3762A90B" w14:textId="558470D1" w:rsidR="002975E5" w:rsidRPr="000540E1" w:rsidRDefault="002975E5" w:rsidP="00F86FF1">
            <w:pPr>
              <w:pStyle w:val="tbltext"/>
            </w:pPr>
            <w:r w:rsidRPr="00011634">
              <w:t>Direction 2—Leg 1</w:t>
            </w:r>
            <w:r w:rsidR="00082D07">
              <w:t>,</w:t>
            </w:r>
            <w:r>
              <w:t xml:space="preserve"> </w:t>
            </w:r>
            <w:r w:rsidRPr="00011634">
              <w:t>Direction 2—Leg 2</w:t>
            </w:r>
          </w:p>
        </w:tc>
      </w:tr>
      <w:tr w:rsidR="002975E5" w:rsidRPr="000540E1" w14:paraId="1D95CB7D" w14:textId="77777777" w:rsidTr="00F86FF1">
        <w:trPr>
          <w:cantSplit/>
        </w:trPr>
        <w:tc>
          <w:tcPr>
            <w:tcW w:w="1701" w:type="dxa"/>
            <w:shd w:val="clear" w:color="auto" w:fill="C2E3FA"/>
          </w:tcPr>
          <w:p w14:paraId="00F3F281" w14:textId="77777777" w:rsidR="002975E5" w:rsidRPr="000540E1" w:rsidRDefault="002975E5" w:rsidP="00F86FF1">
            <w:pPr>
              <w:pStyle w:val="tablehead"/>
            </w:pPr>
            <w:r>
              <w:t>Not proceed</w:t>
            </w:r>
          </w:p>
        </w:tc>
        <w:tc>
          <w:tcPr>
            <w:tcW w:w="5103" w:type="dxa"/>
          </w:tcPr>
          <w:p w14:paraId="29AAEEBF" w14:textId="27E88DE8" w:rsidR="002975E5" w:rsidRPr="000540E1" w:rsidRDefault="00510481" w:rsidP="00F86FF1">
            <w:pPr>
              <w:pStyle w:val="tbltext"/>
            </w:pPr>
            <w:r>
              <w:t>Not applicable</w:t>
            </w:r>
          </w:p>
        </w:tc>
      </w:tr>
      <w:tr w:rsidR="002975E5" w:rsidRPr="000540E1" w14:paraId="6BD5453A" w14:textId="77777777" w:rsidTr="00F86FF1">
        <w:trPr>
          <w:cantSplit/>
        </w:trPr>
        <w:tc>
          <w:tcPr>
            <w:tcW w:w="1701" w:type="dxa"/>
            <w:shd w:val="clear" w:color="auto" w:fill="C2E3FA"/>
          </w:tcPr>
          <w:p w14:paraId="16AC3EEF" w14:textId="77777777" w:rsidR="002975E5" w:rsidRPr="000540E1" w:rsidRDefault="002975E5" w:rsidP="00F86FF1">
            <w:pPr>
              <w:pStyle w:val="tablehead"/>
            </w:pPr>
            <w:r>
              <w:t>New proposal</w:t>
            </w:r>
          </w:p>
        </w:tc>
        <w:tc>
          <w:tcPr>
            <w:tcW w:w="5103" w:type="dxa"/>
          </w:tcPr>
          <w:p w14:paraId="68F721B6" w14:textId="77777777" w:rsidR="002975E5" w:rsidRPr="000540E1" w:rsidRDefault="002975E5" w:rsidP="00F86FF1">
            <w:pPr>
              <w:pStyle w:val="tbltext"/>
            </w:pPr>
            <w:r>
              <w:t>Payer (fixed rate leg 2) in the draft remade ASIC Rules</w:t>
            </w:r>
          </w:p>
        </w:tc>
      </w:tr>
    </w:tbl>
    <w:p w14:paraId="6FCDBF33" w14:textId="1D569ED7" w:rsidR="002975E5" w:rsidRDefault="002975E5" w:rsidP="00C443A0">
      <w:pPr>
        <w:pStyle w:val="BodyText"/>
        <w:numPr>
          <w:ilvl w:val="0"/>
          <w:numId w:val="17"/>
        </w:numPr>
        <w:spacing w:line="290" w:lineRule="atLeast"/>
      </w:pPr>
      <w:r>
        <w:t xml:space="preserve">As noted in paragraph </w:t>
      </w:r>
      <w:r>
        <w:fldChar w:fldCharType="begin" w:fldLock="1"/>
      </w:r>
      <w:r>
        <w:instrText xml:space="preserve"> REF _ASICRef919 \w \h </w:instrText>
      </w:r>
      <w:r>
        <w:fldChar w:fldCharType="separate"/>
      </w:r>
      <w:r w:rsidR="00853A2A">
        <w:t>327</w:t>
      </w:r>
      <w:r>
        <w:fldChar w:fldCharType="end"/>
      </w:r>
      <w:r>
        <w:t>, the few respondents who explicitly commented were supportive of our proposals and we have decided to proceed as we had proposed</w:t>
      </w:r>
      <w:r w:rsidR="00404CA5">
        <w:t>—</w:t>
      </w:r>
      <w:r>
        <w:t>that is</w:t>
      </w:r>
      <w:r w:rsidR="00510481">
        <w:t>,</w:t>
      </w:r>
      <w:r>
        <w:t xml:space="preserve"> to make the same elections as ESMA for the direction data elements.</w:t>
      </w:r>
    </w:p>
    <w:p w14:paraId="432CEE8E" w14:textId="1F186A3C" w:rsidR="002975E5" w:rsidRDefault="002975E5" w:rsidP="00C443A0">
      <w:pPr>
        <w:pStyle w:val="BodyText"/>
        <w:numPr>
          <w:ilvl w:val="0"/>
          <w:numId w:val="17"/>
        </w:numPr>
        <w:spacing w:line="290" w:lineRule="atLeast"/>
      </w:pPr>
      <w:r>
        <w:t xml:space="preserve">In paragraph 220 of </w:t>
      </w:r>
      <w:hyperlink r:id="rId125" w:history="1">
        <w:r w:rsidRPr="00510481">
          <w:rPr>
            <w:rStyle w:val="Hyperlink"/>
          </w:rPr>
          <w:t>CP 334</w:t>
        </w:r>
      </w:hyperlink>
      <w:r>
        <w:t>, we set out that:</w:t>
      </w:r>
    </w:p>
    <w:p w14:paraId="2DC88E23" w14:textId="11F7C5DD" w:rsidR="002975E5" w:rsidRDefault="002975E5" w:rsidP="00C443A0">
      <w:pPr>
        <w:pStyle w:val="subparaa"/>
        <w:numPr>
          <w:ilvl w:val="1"/>
          <w:numId w:val="17"/>
        </w:numPr>
        <w:spacing w:line="290" w:lineRule="atLeast"/>
      </w:pPr>
      <w:r>
        <w:t>CDE Guidance model 1 (Direction 1) applies to types of transactions where it is commonly understood that one party is the ‘buyer’ and the other party is the ‘seller’—for example, in a plain vanilla option transaction; and</w:t>
      </w:r>
    </w:p>
    <w:p w14:paraId="0201924F" w14:textId="696E7B69" w:rsidR="002975E5" w:rsidRDefault="002975E5" w:rsidP="00C443A0">
      <w:pPr>
        <w:pStyle w:val="subparaa"/>
        <w:numPr>
          <w:ilvl w:val="1"/>
          <w:numId w:val="17"/>
        </w:numPr>
      </w:pPr>
      <w:r>
        <w:t>CDE Guidance model 2 (Direction 2) applies to types of transactions where it is commonly understood that one party is the ‘payer’ of leg 1 and the ‘receiver’ of leg 2 and vice versa for the other party—for example, in a fixed-rate versus floating-rate interest rate swap.</w:t>
      </w:r>
    </w:p>
    <w:p w14:paraId="1156A004" w14:textId="77777777" w:rsidR="002975E5" w:rsidRDefault="002975E5" w:rsidP="00C443A0">
      <w:pPr>
        <w:pStyle w:val="BodyText"/>
        <w:numPr>
          <w:ilvl w:val="0"/>
          <w:numId w:val="17"/>
        </w:numPr>
      </w:pPr>
      <w:r>
        <w:t>The CDE Guidance also sets out ‘non-exhaustive list[s] of examples of instruments’ for which each of direction 1 and direction 2 could apply.</w:t>
      </w:r>
    </w:p>
    <w:p w14:paraId="43457F97" w14:textId="5F05AAC0" w:rsidR="002975E5" w:rsidRDefault="002975E5" w:rsidP="00C443A0">
      <w:pPr>
        <w:pStyle w:val="BodyText"/>
        <w:numPr>
          <w:ilvl w:val="0"/>
          <w:numId w:val="17"/>
        </w:numPr>
      </w:pPr>
      <w:r>
        <w:t xml:space="preserve">In Table S1.1(1), the meaning of item 12 </w:t>
      </w:r>
      <w:r w:rsidR="000618DF">
        <w:t>‘</w:t>
      </w:r>
      <w:r>
        <w:t>Direction 1</w:t>
      </w:r>
      <w:r w:rsidR="000618DF">
        <w:t>’</w:t>
      </w:r>
      <w:r>
        <w:t xml:space="preserve"> is the same meaning as is given in the CDE Guidance, other than referring to the reporting entity as the buyer or seller. The allowable values for this data element are BYER </w:t>
      </w:r>
      <w:r w:rsidR="00B54164">
        <w:t>and</w:t>
      </w:r>
      <w:r>
        <w:t xml:space="preserve"> SLLR.</w:t>
      </w:r>
    </w:p>
    <w:p w14:paraId="5C3C8EEF" w14:textId="078292F9" w:rsidR="002975E5" w:rsidRDefault="002975E5" w:rsidP="00C443A0">
      <w:pPr>
        <w:pStyle w:val="BodyText"/>
        <w:numPr>
          <w:ilvl w:val="0"/>
          <w:numId w:val="17"/>
        </w:numPr>
      </w:pPr>
      <w:r>
        <w:t xml:space="preserve">The OTC </w:t>
      </w:r>
      <w:r w:rsidR="00A133A0">
        <w:t>d</w:t>
      </w:r>
      <w:r>
        <w:t xml:space="preserve">erivatives for which this data element is required to be reported closely follow the ‘list of examples’ in the CDE Guidance as illustrated in </w:t>
      </w:r>
      <w:r w:rsidR="002764E1">
        <w:fldChar w:fldCharType="begin" w:fldLock="1"/>
      </w:r>
      <w:r w:rsidR="002764E1">
        <w:instrText xml:space="preserve"> REF _Ref99961489 \h </w:instrText>
      </w:r>
      <w:r w:rsidR="002764E1">
        <w:fldChar w:fldCharType="separate"/>
      </w:r>
      <w:r w:rsidR="00853A2A">
        <w:t xml:space="preserve">Table </w:t>
      </w:r>
      <w:r w:rsidR="00853A2A">
        <w:rPr>
          <w:noProof/>
        </w:rPr>
        <w:t>29</w:t>
      </w:r>
      <w:r w:rsidR="002764E1">
        <w:fldChar w:fldCharType="end"/>
      </w:r>
      <w:r w:rsidR="002764E1">
        <w:t>.</w:t>
      </w:r>
    </w:p>
    <w:p w14:paraId="1A4440D1" w14:textId="26806F02" w:rsidR="002975E5" w:rsidRDefault="002975E5" w:rsidP="002975E5">
      <w:pPr>
        <w:pStyle w:val="tabletitleindented"/>
      </w:pPr>
      <w:bookmarkStart w:id="201" w:name="_Ref99961489"/>
      <w:r>
        <w:t xml:space="preserve">Table </w:t>
      </w:r>
      <w:fldSimple w:instr=" SEQ Table \* ARABIC ">
        <w:r w:rsidR="006679BA">
          <w:rPr>
            <w:noProof/>
          </w:rPr>
          <w:t>29</w:t>
        </w:r>
      </w:fldSimple>
      <w:bookmarkEnd w:id="201"/>
      <w:r>
        <w:t>:</w:t>
      </w:r>
      <w:r>
        <w:tab/>
        <w:t xml:space="preserve">Products/OTC </w:t>
      </w:r>
      <w:r w:rsidR="00A133A0">
        <w:t>d</w:t>
      </w:r>
      <w:r>
        <w:t>erivatives to which direction 1 applies</w:t>
      </w:r>
    </w:p>
    <w:tbl>
      <w:tblPr>
        <w:tblW w:w="6804"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402"/>
        <w:gridCol w:w="3402"/>
      </w:tblGrid>
      <w:tr w:rsidR="002975E5" w:rsidRPr="000540E1" w14:paraId="76BDEF53" w14:textId="77777777" w:rsidTr="00F86FF1">
        <w:trPr>
          <w:cantSplit/>
          <w:tblHeader/>
        </w:trPr>
        <w:tc>
          <w:tcPr>
            <w:tcW w:w="2500" w:type="pct"/>
            <w:shd w:val="clear" w:color="auto" w:fill="C2E3FA"/>
          </w:tcPr>
          <w:p w14:paraId="47774B2C" w14:textId="77777777" w:rsidR="002975E5" w:rsidRDefault="002975E5" w:rsidP="00F86FF1">
            <w:pPr>
              <w:pStyle w:val="tablehead"/>
            </w:pPr>
            <w:r>
              <w:t>CDE Guidance</w:t>
            </w:r>
          </w:p>
        </w:tc>
        <w:tc>
          <w:tcPr>
            <w:tcW w:w="2500" w:type="pct"/>
            <w:shd w:val="clear" w:color="auto" w:fill="C2E3FA"/>
            <w:vAlign w:val="center"/>
          </w:tcPr>
          <w:p w14:paraId="468BA822" w14:textId="77777777" w:rsidR="002975E5" w:rsidRPr="000540E1" w:rsidRDefault="002975E5" w:rsidP="00F86FF1">
            <w:pPr>
              <w:pStyle w:val="tablehead"/>
            </w:pPr>
            <w:r>
              <w:t>Draft amended ASIC Rules</w:t>
            </w:r>
          </w:p>
        </w:tc>
      </w:tr>
      <w:tr w:rsidR="002975E5" w:rsidRPr="000540E1" w14:paraId="3785D91A" w14:textId="77777777" w:rsidTr="00F86FF1">
        <w:trPr>
          <w:cantSplit/>
        </w:trPr>
        <w:tc>
          <w:tcPr>
            <w:tcW w:w="2500" w:type="pct"/>
          </w:tcPr>
          <w:p w14:paraId="6F932E39" w14:textId="77777777" w:rsidR="002975E5" w:rsidRPr="000540E1" w:rsidRDefault="002975E5" w:rsidP="00F86FF1">
            <w:pPr>
              <w:pStyle w:val="tbltext"/>
            </w:pPr>
            <w:r w:rsidRPr="007A23E3">
              <w:t>most forwards and forward-like contracts (except for foreign exchange forwards and foreign exchange non-deliverable forwards)</w:t>
            </w:r>
          </w:p>
        </w:tc>
        <w:tc>
          <w:tcPr>
            <w:tcW w:w="2500" w:type="pct"/>
          </w:tcPr>
          <w:p w14:paraId="7C613046" w14:textId="219B753F" w:rsidR="002975E5" w:rsidRPr="000540E1" w:rsidRDefault="002975E5" w:rsidP="00F86FF1">
            <w:pPr>
              <w:pStyle w:val="tbltext"/>
            </w:pPr>
            <w:r w:rsidRPr="007A23E3">
              <w:t>where, other than for foreign exchange derivatives, the UPI that is reported is for an instrument type that is a forward</w:t>
            </w:r>
          </w:p>
        </w:tc>
      </w:tr>
      <w:tr w:rsidR="002975E5" w:rsidRPr="000540E1" w14:paraId="4E2526FC" w14:textId="77777777" w:rsidTr="00F86FF1">
        <w:trPr>
          <w:cantSplit/>
        </w:trPr>
        <w:tc>
          <w:tcPr>
            <w:tcW w:w="2500" w:type="pct"/>
          </w:tcPr>
          <w:p w14:paraId="24E69509" w14:textId="77777777" w:rsidR="002975E5" w:rsidRDefault="002975E5" w:rsidP="00F86FF1">
            <w:pPr>
              <w:pStyle w:val="tbltext"/>
            </w:pPr>
            <w:r w:rsidRPr="007A23E3">
              <w:t>most options and option-like contracts including swaptions, caps and floors</w:t>
            </w:r>
          </w:p>
          <w:p w14:paraId="3CF044E6" w14:textId="77777777" w:rsidR="002975E5" w:rsidRDefault="002975E5" w:rsidP="00F86FF1">
            <w:pPr>
              <w:pStyle w:val="tbltext"/>
            </w:pPr>
            <w:r w:rsidRPr="007A23E3">
              <w:t>contracts for difference and spreadbets</w:t>
            </w:r>
          </w:p>
          <w:p w14:paraId="68900218" w14:textId="77777777" w:rsidR="002975E5" w:rsidRPr="000540E1" w:rsidRDefault="002975E5" w:rsidP="00F86FF1">
            <w:pPr>
              <w:pStyle w:val="tbltext"/>
            </w:pPr>
            <w:r w:rsidRPr="007A23E3">
              <w:t>credit default swaps (buyer/seller of protection)</w:t>
            </w:r>
          </w:p>
        </w:tc>
        <w:tc>
          <w:tcPr>
            <w:tcW w:w="2500" w:type="pct"/>
          </w:tcPr>
          <w:p w14:paraId="77AD4B0D" w14:textId="63EDAFB3" w:rsidR="002975E5" w:rsidRPr="000540E1" w:rsidRDefault="002975E5" w:rsidP="00F86FF1">
            <w:pPr>
              <w:pStyle w:val="tbltext"/>
            </w:pPr>
            <w:r w:rsidRPr="007A23E3">
              <w:t>that are options, contracts for difference (other than foreign exchange contracts for difference) or credit default swaps</w:t>
            </w:r>
          </w:p>
        </w:tc>
      </w:tr>
      <w:tr w:rsidR="002975E5" w:rsidRPr="000540E1" w14:paraId="3B000985" w14:textId="77777777" w:rsidTr="00F86FF1">
        <w:trPr>
          <w:cantSplit/>
        </w:trPr>
        <w:tc>
          <w:tcPr>
            <w:tcW w:w="2500" w:type="pct"/>
          </w:tcPr>
          <w:p w14:paraId="025575BB" w14:textId="77777777" w:rsidR="002975E5" w:rsidRPr="000540E1" w:rsidRDefault="002975E5" w:rsidP="00F86FF1">
            <w:pPr>
              <w:pStyle w:val="tbltext"/>
            </w:pPr>
            <w:r w:rsidRPr="007A23E3">
              <w:t>variance, volatility and correlation swaps</w:t>
            </w:r>
          </w:p>
        </w:tc>
        <w:tc>
          <w:tcPr>
            <w:tcW w:w="2500" w:type="pct"/>
            <w:vAlign w:val="center"/>
          </w:tcPr>
          <w:p w14:paraId="239234CB" w14:textId="16A5B667" w:rsidR="002975E5" w:rsidRPr="000540E1" w:rsidRDefault="002975E5" w:rsidP="00F86FF1">
            <w:pPr>
              <w:pStyle w:val="tbltext"/>
            </w:pPr>
            <w:r w:rsidRPr="007A23E3">
              <w:t>where the underlier to the OTC Derivative is a measure of variance, volatility, correlation, dividend or other attribute of an underlier (other than its price) which may vary in value</w:t>
            </w:r>
          </w:p>
        </w:tc>
      </w:tr>
      <w:tr w:rsidR="002975E5" w:rsidRPr="000540E1" w14:paraId="498DB87A" w14:textId="77777777" w:rsidTr="00F86FF1">
        <w:trPr>
          <w:cantSplit/>
        </w:trPr>
        <w:tc>
          <w:tcPr>
            <w:tcW w:w="2500" w:type="pct"/>
          </w:tcPr>
          <w:p w14:paraId="0B79FF86" w14:textId="307A609C" w:rsidR="002975E5" w:rsidRPr="000540E1" w:rsidRDefault="002975E5" w:rsidP="00F86FF1">
            <w:pPr>
              <w:pStyle w:val="tbltext"/>
            </w:pPr>
            <w:r>
              <w:t>t</w:t>
            </w:r>
            <w:r w:rsidRPr="007A23E3">
              <w:t>his data element is not applicable to instrument types covered by data elements Direction 2 or by Payer identifier and Receiver identifier</w:t>
            </w:r>
          </w:p>
        </w:tc>
        <w:tc>
          <w:tcPr>
            <w:tcW w:w="2500" w:type="pct"/>
            <w:vAlign w:val="center"/>
          </w:tcPr>
          <w:p w14:paraId="624C60BD" w14:textId="012ECC1B" w:rsidR="002975E5" w:rsidRDefault="002975E5" w:rsidP="00F86FF1">
            <w:pPr>
              <w:pStyle w:val="tbltext"/>
            </w:pPr>
            <w:r>
              <w:t>where a</w:t>
            </w:r>
            <w:r w:rsidR="00743D09">
              <w:t>n</w:t>
            </w:r>
            <w:r w:rsidR="000D4FFF">
              <w:t xml:space="preserve"> allowable</w:t>
            </w:r>
            <w:r>
              <w:t xml:space="preserve"> value is not reported for Direction 2—Leg 1 or Direction—Leg 2</w:t>
            </w:r>
          </w:p>
          <w:p w14:paraId="2728212E" w14:textId="5B76B108" w:rsidR="002975E5" w:rsidRPr="000540E1" w:rsidRDefault="002975E5" w:rsidP="00F86FF1">
            <w:pPr>
              <w:pStyle w:val="tbltext"/>
            </w:pPr>
            <w:r>
              <w:t>This data element is not applicable to Reportable Transactions for which a value for Direction 2</w:t>
            </w:r>
            <w:r w:rsidR="00404CA5">
              <w:t>—</w:t>
            </w:r>
            <w:r>
              <w:t>Leg 1 is required to be reported</w:t>
            </w:r>
          </w:p>
        </w:tc>
      </w:tr>
    </w:tbl>
    <w:p w14:paraId="5CEB0732" w14:textId="6F246930" w:rsidR="002975E5" w:rsidRDefault="002975E5" w:rsidP="00C443A0">
      <w:pPr>
        <w:pStyle w:val="BodyText"/>
        <w:numPr>
          <w:ilvl w:val="0"/>
          <w:numId w:val="17"/>
        </w:numPr>
      </w:pPr>
      <w:bookmarkStart w:id="202" w:name="_ASICRef694"/>
      <w:r>
        <w:t xml:space="preserve">We think that the relevant scope of OTC </w:t>
      </w:r>
      <w:r w:rsidR="00A133A0">
        <w:t xml:space="preserve">derivatives </w:t>
      </w:r>
      <w:r>
        <w:t>under the draft amended ASIC Rules accurately aligns with the intended scope of instruments in the CDE Guidance, noting that:</w:t>
      </w:r>
      <w:bookmarkEnd w:id="202"/>
    </w:p>
    <w:p w14:paraId="3F7FF210" w14:textId="4ADFCF1A" w:rsidR="002975E5" w:rsidRDefault="002975E5" w:rsidP="0083427D">
      <w:pPr>
        <w:pStyle w:val="subparaa"/>
        <w:numPr>
          <w:ilvl w:val="1"/>
          <w:numId w:val="17"/>
        </w:numPr>
        <w:spacing w:before="120" w:line="310" w:lineRule="atLeast"/>
      </w:pPr>
      <w:r>
        <w:t>rather than define a ‘forward or forward-like contract’ directly, the meaning is indirectly linked to the instrument type data element of the UPI that is reported</w:t>
      </w:r>
      <w:r w:rsidR="00404CA5">
        <w:t>—</w:t>
      </w:r>
      <w:r>
        <w:t xml:space="preserve">every UPI from the UPI system is catalogued by a ‘header section’ that includes its asset class, </w:t>
      </w:r>
      <w:r>
        <w:rPr>
          <w:i/>
          <w:iCs/>
        </w:rPr>
        <w:t xml:space="preserve">instrument type </w:t>
      </w:r>
      <w:r w:rsidRPr="00604B81">
        <w:t>(</w:t>
      </w:r>
      <w:r>
        <w:t>as a forward, swap or option) and product;</w:t>
      </w:r>
    </w:p>
    <w:p w14:paraId="2A76350B" w14:textId="0718F0DD" w:rsidR="002975E5" w:rsidRDefault="002975E5" w:rsidP="0083427D">
      <w:pPr>
        <w:pStyle w:val="subparaa"/>
        <w:numPr>
          <w:ilvl w:val="1"/>
          <w:numId w:val="17"/>
        </w:numPr>
        <w:spacing w:before="120" w:line="310" w:lineRule="atLeast"/>
      </w:pPr>
      <w:r>
        <w:t>we think that options, contract</w:t>
      </w:r>
      <w:r w:rsidR="00A133A0">
        <w:t>s</w:t>
      </w:r>
      <w:r>
        <w:t xml:space="preserve"> for difference and credit default swaps are commonly understood and </w:t>
      </w:r>
      <w:r w:rsidR="00A133A0">
        <w:t xml:space="preserve">are </w:t>
      </w:r>
      <w:r>
        <w:t>unambiguous terms that do not require to be further defined; and</w:t>
      </w:r>
    </w:p>
    <w:p w14:paraId="13DDA9AF" w14:textId="77777777" w:rsidR="002975E5" w:rsidRDefault="002975E5" w:rsidP="0083427D">
      <w:pPr>
        <w:pStyle w:val="subparaa"/>
        <w:numPr>
          <w:ilvl w:val="1"/>
          <w:numId w:val="17"/>
        </w:numPr>
        <w:spacing w:before="120" w:line="310" w:lineRule="atLeast"/>
      </w:pPr>
      <w:r>
        <w:t>the reference to variance, volatility and correlation swaps is extended to measures of dividend or any other attribute of an underlier, other than its price.</w:t>
      </w:r>
    </w:p>
    <w:p w14:paraId="39C36B60" w14:textId="62DD0EA6" w:rsidR="002975E5" w:rsidRDefault="002975E5" w:rsidP="00081B74">
      <w:pPr>
        <w:pStyle w:val="BodyText"/>
        <w:numPr>
          <w:ilvl w:val="0"/>
          <w:numId w:val="17"/>
        </w:numPr>
        <w:spacing w:before="220" w:line="310" w:lineRule="atLeast"/>
      </w:pPr>
      <w:r>
        <w:t>In addition, a value for direction 1 is required where a value is not reported for the direction 2 data elements, and is not applicable where a value is required to be reported for direction 2</w:t>
      </w:r>
      <w:r w:rsidR="00404CA5">
        <w:t>—</w:t>
      </w:r>
      <w:r>
        <w:t>leg 1. That is, either the direction 1 data element is reported or the direction 2 data elements are reported, but not both.</w:t>
      </w:r>
    </w:p>
    <w:p w14:paraId="18FB22AF" w14:textId="7B58E433" w:rsidR="002975E5" w:rsidRPr="00F5385D" w:rsidRDefault="002975E5" w:rsidP="00081B74">
      <w:pPr>
        <w:pStyle w:val="BodyText"/>
        <w:numPr>
          <w:ilvl w:val="0"/>
          <w:numId w:val="17"/>
        </w:numPr>
        <w:spacing w:before="220" w:line="310" w:lineRule="atLeast"/>
        <w:rPr>
          <w:spacing w:val="-1"/>
        </w:rPr>
      </w:pPr>
      <w:r w:rsidRPr="00F5385D">
        <w:rPr>
          <w:spacing w:val="-1"/>
        </w:rPr>
        <w:t xml:space="preserve">If a reporting entity considers that the kind of OTC </w:t>
      </w:r>
      <w:r w:rsidR="00A133A0" w:rsidRPr="00F5385D">
        <w:rPr>
          <w:spacing w:val="-1"/>
        </w:rPr>
        <w:t>d</w:t>
      </w:r>
      <w:r w:rsidRPr="00F5385D">
        <w:rPr>
          <w:spacing w:val="-1"/>
        </w:rPr>
        <w:t xml:space="preserve">erivative they are reporting does not readily fall within the scope set out of OTC </w:t>
      </w:r>
      <w:r w:rsidR="00A133A0" w:rsidRPr="00F5385D">
        <w:rPr>
          <w:spacing w:val="-1"/>
        </w:rPr>
        <w:t>d</w:t>
      </w:r>
      <w:r w:rsidRPr="00F5385D">
        <w:rPr>
          <w:spacing w:val="-1"/>
        </w:rPr>
        <w:t>erivatives for which direction 1 is required to be reported, the reporting entity may still report direction 1 for the transaction</w:t>
      </w:r>
      <w:r w:rsidR="00404CA5" w:rsidRPr="00F5385D">
        <w:rPr>
          <w:spacing w:val="-1"/>
        </w:rPr>
        <w:t>—</w:t>
      </w:r>
      <w:r w:rsidRPr="00F5385D">
        <w:rPr>
          <w:spacing w:val="-1"/>
        </w:rPr>
        <w:t>the scope set out for direction 1 is not an exhaustive or exclusive scope. The reporting entity would need to determine that reporting the direction 2 data elements is not the more accurate reporting for the transaction, taking into account the other leg 1/leg 2 data elements that are required to be reported for the transaction.</w:t>
      </w:r>
    </w:p>
    <w:p w14:paraId="756E611F" w14:textId="3D2EAD75" w:rsidR="002975E5" w:rsidRDefault="002975E5" w:rsidP="00081B74">
      <w:pPr>
        <w:pStyle w:val="BodyText"/>
        <w:numPr>
          <w:ilvl w:val="0"/>
          <w:numId w:val="17"/>
        </w:numPr>
        <w:spacing w:before="220" w:line="310" w:lineRule="atLeast"/>
      </w:pPr>
      <w:bookmarkStart w:id="203" w:name="_ASICRef428"/>
      <w:r>
        <w:t xml:space="preserve">In other words, the draft amended ASIC Rules allow for a ‘best fit’ approach to reporting of either the direction 1 data element or direction 2 data elements (but not both), taking into </w:t>
      </w:r>
      <w:r w:rsidR="001A582E">
        <w:t xml:space="preserve">account </w:t>
      </w:r>
      <w:r>
        <w:t>the other leg 1/leg 2 data elements that are required to be reported for the transaction.</w:t>
      </w:r>
      <w:bookmarkEnd w:id="203"/>
    </w:p>
    <w:p w14:paraId="2690E264" w14:textId="1C3761CE" w:rsidR="002975E5" w:rsidRDefault="002975E5" w:rsidP="00081B74">
      <w:pPr>
        <w:pStyle w:val="BodyText"/>
        <w:numPr>
          <w:ilvl w:val="0"/>
          <w:numId w:val="17"/>
        </w:numPr>
        <w:spacing w:before="220" w:line="310" w:lineRule="atLeast"/>
      </w:pPr>
      <w:r>
        <w:t xml:space="preserve">In Table S1.1(1), the meanings of item 13 </w:t>
      </w:r>
      <w:r w:rsidR="00A133A0">
        <w:t>‘</w:t>
      </w:r>
      <w:r>
        <w:t>Direction 2</w:t>
      </w:r>
      <w:r w:rsidR="00A133A0" w:rsidRPr="00F5385D">
        <w:t>—</w:t>
      </w:r>
      <w:r>
        <w:t>Leg 1</w:t>
      </w:r>
      <w:r w:rsidR="00A133A0">
        <w:t>’</w:t>
      </w:r>
      <w:r>
        <w:t xml:space="preserve"> and item 14 </w:t>
      </w:r>
      <w:r w:rsidR="00A133A0">
        <w:t>‘</w:t>
      </w:r>
      <w:r>
        <w:t>Direction 2</w:t>
      </w:r>
      <w:r w:rsidR="00A133A0" w:rsidRPr="00F5385D">
        <w:t>—</w:t>
      </w:r>
      <w:r>
        <w:t>Leg 1</w:t>
      </w:r>
      <w:r w:rsidR="006D1F87">
        <w:t>’</w:t>
      </w:r>
      <w:r>
        <w:t xml:space="preserve"> are the same meanings given in the CDE Guidance, other than referring to the reporting entity as the payer or receiver. The allowable values for these data elements are MAKE (for payer) and TAKE (for receiver).</w:t>
      </w:r>
    </w:p>
    <w:p w14:paraId="1F49E12F" w14:textId="29FB93E8" w:rsidR="002975E5" w:rsidRDefault="002975E5" w:rsidP="00081B74">
      <w:pPr>
        <w:pStyle w:val="BodyText"/>
        <w:numPr>
          <w:ilvl w:val="0"/>
          <w:numId w:val="17"/>
        </w:numPr>
        <w:spacing w:before="220" w:line="310" w:lineRule="atLeast"/>
      </w:pPr>
      <w:r>
        <w:t xml:space="preserve">The OTC </w:t>
      </w:r>
      <w:r w:rsidR="00A133A0">
        <w:t>d</w:t>
      </w:r>
      <w:r>
        <w:t xml:space="preserve">erivatives for which this data element is required to be reported compares to the ‘list of examples’ in the CDE Guidance as illustrated in </w:t>
      </w:r>
      <w:r w:rsidR="00BE3812">
        <w:fldChar w:fldCharType="begin" w:fldLock="1"/>
      </w:r>
      <w:r w:rsidR="00BE3812">
        <w:instrText xml:space="preserve"> REF _Ref99117198 \h </w:instrText>
      </w:r>
      <w:r w:rsidR="00BE3812">
        <w:fldChar w:fldCharType="separate"/>
      </w:r>
      <w:r w:rsidR="00853A2A">
        <w:t xml:space="preserve">Table </w:t>
      </w:r>
      <w:r w:rsidR="00853A2A">
        <w:rPr>
          <w:noProof/>
        </w:rPr>
        <w:t>30</w:t>
      </w:r>
      <w:r w:rsidR="00BE3812">
        <w:fldChar w:fldCharType="end"/>
      </w:r>
      <w:r w:rsidR="00BE3812">
        <w:t>.</w:t>
      </w:r>
    </w:p>
    <w:p w14:paraId="70508D28" w14:textId="73F12340" w:rsidR="002975E5" w:rsidRDefault="002975E5" w:rsidP="002975E5">
      <w:pPr>
        <w:pStyle w:val="tabletitleindented"/>
      </w:pPr>
      <w:bookmarkStart w:id="204" w:name="_Ref99117198"/>
      <w:r>
        <w:t xml:space="preserve">Table </w:t>
      </w:r>
      <w:fldSimple w:instr=" SEQ Table \* ARABIC ">
        <w:r w:rsidR="006679BA">
          <w:rPr>
            <w:noProof/>
          </w:rPr>
          <w:t>30</w:t>
        </w:r>
      </w:fldSimple>
      <w:bookmarkEnd w:id="204"/>
      <w:r>
        <w:t>:</w:t>
      </w:r>
      <w:r>
        <w:tab/>
        <w:t xml:space="preserve">Instruments/OTC </w:t>
      </w:r>
      <w:r w:rsidR="00A133A0">
        <w:t>d</w:t>
      </w:r>
      <w:r>
        <w:t>erivatives for which direction 2 applies</w:t>
      </w:r>
    </w:p>
    <w:tbl>
      <w:tblPr>
        <w:tblW w:w="6804"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402"/>
        <w:gridCol w:w="3402"/>
      </w:tblGrid>
      <w:tr w:rsidR="002975E5" w:rsidRPr="000540E1" w14:paraId="608D4CE0" w14:textId="77777777" w:rsidTr="00F86FF1">
        <w:trPr>
          <w:cantSplit/>
          <w:tblHeader/>
        </w:trPr>
        <w:tc>
          <w:tcPr>
            <w:tcW w:w="2500" w:type="pct"/>
            <w:shd w:val="clear" w:color="auto" w:fill="C2E3FA"/>
          </w:tcPr>
          <w:p w14:paraId="5D442380" w14:textId="77777777" w:rsidR="002975E5" w:rsidRDefault="002975E5" w:rsidP="00110FFE">
            <w:pPr>
              <w:pStyle w:val="tablehead"/>
            </w:pPr>
            <w:r>
              <w:t>CDE Guidance</w:t>
            </w:r>
          </w:p>
        </w:tc>
        <w:tc>
          <w:tcPr>
            <w:tcW w:w="2500" w:type="pct"/>
            <w:shd w:val="clear" w:color="auto" w:fill="C2E3FA"/>
            <w:vAlign w:val="center"/>
          </w:tcPr>
          <w:p w14:paraId="1A12DBF7" w14:textId="77777777" w:rsidR="002975E5" w:rsidRPr="000540E1" w:rsidRDefault="002975E5" w:rsidP="00110FFE">
            <w:pPr>
              <w:pStyle w:val="tablehead"/>
            </w:pPr>
            <w:r>
              <w:t>Draft amended ASIC Rules</w:t>
            </w:r>
          </w:p>
        </w:tc>
      </w:tr>
      <w:tr w:rsidR="002975E5" w:rsidRPr="000540E1" w14:paraId="16FFE4AF" w14:textId="77777777" w:rsidTr="00F86FF1">
        <w:trPr>
          <w:cantSplit/>
        </w:trPr>
        <w:tc>
          <w:tcPr>
            <w:tcW w:w="2500" w:type="pct"/>
          </w:tcPr>
          <w:p w14:paraId="27CB056B" w14:textId="77777777" w:rsidR="002975E5" w:rsidRPr="000540E1" w:rsidRDefault="002975E5" w:rsidP="00110FFE">
            <w:pPr>
              <w:pStyle w:val="tbltext"/>
            </w:pPr>
            <w:r>
              <w:t>most swaps and swap-like contracts including interest rate swaps, credit total return swaps, and equity swaps (except for credit default swaps, variance, volatility, and correlation swaps)</w:t>
            </w:r>
          </w:p>
        </w:tc>
        <w:tc>
          <w:tcPr>
            <w:tcW w:w="2500" w:type="pct"/>
          </w:tcPr>
          <w:p w14:paraId="329B9DC2" w14:textId="655EFB1A" w:rsidR="002975E5" w:rsidRPr="000540E1" w:rsidRDefault="00BE3812" w:rsidP="00110FFE">
            <w:pPr>
              <w:pStyle w:val="tbltext"/>
            </w:pPr>
            <w:r>
              <w:t>not specified</w:t>
            </w:r>
          </w:p>
        </w:tc>
      </w:tr>
      <w:tr w:rsidR="00BE3812" w:rsidRPr="000540E1" w14:paraId="6269C13E" w14:textId="77777777" w:rsidTr="00F86FF1">
        <w:trPr>
          <w:cantSplit/>
        </w:trPr>
        <w:tc>
          <w:tcPr>
            <w:tcW w:w="2500" w:type="pct"/>
          </w:tcPr>
          <w:p w14:paraId="71F4D2CE" w14:textId="77777777" w:rsidR="00BE3812" w:rsidRPr="000540E1" w:rsidRDefault="00BE3812" w:rsidP="00110FFE">
            <w:pPr>
              <w:pStyle w:val="tbltext"/>
            </w:pPr>
            <w:r w:rsidRPr="004E03C6">
              <w:t>foreign exchange swaps, forwards, non-deliverable forwards</w:t>
            </w:r>
          </w:p>
        </w:tc>
        <w:tc>
          <w:tcPr>
            <w:tcW w:w="2500" w:type="pct"/>
          </w:tcPr>
          <w:p w14:paraId="584822BE" w14:textId="2C5AA872" w:rsidR="00BE3812" w:rsidRPr="000540E1" w:rsidRDefault="00BE3812" w:rsidP="00110FFE">
            <w:pPr>
              <w:pStyle w:val="tbltext"/>
            </w:pPr>
            <w:r>
              <w:t>not specified</w:t>
            </w:r>
          </w:p>
        </w:tc>
      </w:tr>
      <w:tr w:rsidR="00BE3812" w:rsidRPr="000540E1" w14:paraId="4A2C2E7D" w14:textId="77777777" w:rsidTr="00F86FF1">
        <w:trPr>
          <w:cantSplit/>
        </w:trPr>
        <w:tc>
          <w:tcPr>
            <w:tcW w:w="2500" w:type="pct"/>
          </w:tcPr>
          <w:p w14:paraId="0E2748C9" w14:textId="2CBACD4A" w:rsidR="00BE3812" w:rsidRPr="000540E1" w:rsidRDefault="00BE3812" w:rsidP="00110FFE">
            <w:pPr>
              <w:pStyle w:val="tbltext"/>
            </w:pPr>
            <w:r>
              <w:t>This data element is not applicable to instrument types covered by data elements Direction 1 or Buyer identifier and Seller identifier</w:t>
            </w:r>
          </w:p>
        </w:tc>
        <w:tc>
          <w:tcPr>
            <w:tcW w:w="2500" w:type="pct"/>
            <w:vAlign w:val="center"/>
          </w:tcPr>
          <w:p w14:paraId="141FF1A8" w14:textId="66B3E0D0" w:rsidR="00BE3812" w:rsidRDefault="00BE3812" w:rsidP="00110FFE">
            <w:pPr>
              <w:pStyle w:val="tbltext"/>
            </w:pPr>
            <w:r>
              <w:t>This data element is required for OTC Derivatives where an allowable value is not reported for Direction 1.</w:t>
            </w:r>
          </w:p>
          <w:p w14:paraId="28867B12" w14:textId="5453AEAF" w:rsidR="00BE3812" w:rsidRPr="000540E1" w:rsidRDefault="00BE3812" w:rsidP="00110FFE">
            <w:pPr>
              <w:pStyle w:val="tbltext"/>
            </w:pPr>
            <w:r>
              <w:t>This data element is not applicable to Reportable Transactions for which a value for Direction 1 is required to be reported</w:t>
            </w:r>
          </w:p>
        </w:tc>
      </w:tr>
    </w:tbl>
    <w:p w14:paraId="1C006028" w14:textId="1F921778" w:rsidR="002975E5" w:rsidRDefault="002975E5" w:rsidP="00236FEE">
      <w:pPr>
        <w:pStyle w:val="BodyText"/>
        <w:numPr>
          <w:ilvl w:val="0"/>
          <w:numId w:val="17"/>
        </w:numPr>
      </w:pPr>
      <w:r>
        <w:t>The approach that is taken in the draft amended ASIC Rules is that the scope of</w:t>
      </w:r>
      <w:r w:rsidR="00F237B5">
        <w:t> </w:t>
      </w:r>
      <w:r>
        <w:t xml:space="preserve">OTC </w:t>
      </w:r>
      <w:r w:rsidR="00A133A0">
        <w:t>d</w:t>
      </w:r>
      <w:r>
        <w:t>erivatives for which the direction 2 data elements are required to be reported is ‘everything else’ that is not reported as the direction 1 data element.</w:t>
      </w:r>
    </w:p>
    <w:p w14:paraId="5575A3D7" w14:textId="5C41DB75" w:rsidR="002975E5" w:rsidRDefault="002975E5" w:rsidP="00236FEE">
      <w:pPr>
        <w:pStyle w:val="BodyText"/>
        <w:numPr>
          <w:ilvl w:val="0"/>
          <w:numId w:val="17"/>
        </w:numPr>
      </w:pPr>
      <w:r>
        <w:t>The ‘everything else’ necessarily includes foreign exchange forwards and contracts for difference that are excluded from the scope of direction 1. The ‘everything else’ necessarily excludes options, credit default swaps, variance, volatility, correlation and other non-price attribute swaps, and non-foreign exchange contracts for difference which are included in the scope of direction</w:t>
      </w:r>
      <w:r w:rsidR="00A133A0">
        <w:t xml:space="preserve"> </w:t>
      </w:r>
      <w:r>
        <w:t>1.</w:t>
      </w:r>
    </w:p>
    <w:p w14:paraId="1D1B499F" w14:textId="6A443A6D" w:rsidR="002975E5" w:rsidRDefault="002975E5" w:rsidP="00110FFE">
      <w:pPr>
        <w:pStyle w:val="BodyText"/>
        <w:numPr>
          <w:ilvl w:val="0"/>
          <w:numId w:val="17"/>
        </w:numPr>
      </w:pPr>
      <w:r>
        <w:t xml:space="preserve">As we note at paragraph </w:t>
      </w:r>
      <w:r>
        <w:fldChar w:fldCharType="begin" w:fldLock="1"/>
      </w:r>
      <w:r>
        <w:instrText xml:space="preserve"> REF _ASICRef428 \w \h </w:instrText>
      </w:r>
      <w:r>
        <w:fldChar w:fldCharType="separate"/>
      </w:r>
      <w:r w:rsidR="00853A2A">
        <w:t>472</w:t>
      </w:r>
      <w:r>
        <w:fldChar w:fldCharType="end"/>
      </w:r>
      <w:r>
        <w:t>, a reporting entity retains the flexibility, and responsibility, to determine the most accurate reporting of a particular OTC</w:t>
      </w:r>
      <w:r w:rsidR="00A133A0">
        <w:t xml:space="preserve"> derivative</w:t>
      </w:r>
      <w:r>
        <w:t xml:space="preserve"> as being reporting the direction 1 data element or the direction 2 data elements.</w:t>
      </w:r>
    </w:p>
    <w:p w14:paraId="3AE41C6C" w14:textId="77777777" w:rsidR="002975E5" w:rsidRDefault="002975E5" w:rsidP="002975E5">
      <w:pPr>
        <w:pStyle w:val="Heading5"/>
      </w:pPr>
      <w:r>
        <w:t>Application to the draft remade ASIC Rules</w:t>
      </w:r>
    </w:p>
    <w:p w14:paraId="5C2335E5" w14:textId="426EBBEC" w:rsidR="002975E5" w:rsidRDefault="002975E5" w:rsidP="00110FFE">
      <w:pPr>
        <w:pStyle w:val="BodyText"/>
        <w:numPr>
          <w:ilvl w:val="0"/>
          <w:numId w:val="17"/>
        </w:numPr>
      </w:pPr>
      <w:r w:rsidRPr="0048612E">
        <w:t>Direction 1</w:t>
      </w:r>
      <w:r>
        <w:t>,</w:t>
      </w:r>
      <w:r w:rsidRPr="0048612E">
        <w:t xml:space="preserve"> Direction 2—Leg 1</w:t>
      </w:r>
      <w:r>
        <w:t xml:space="preserve"> and</w:t>
      </w:r>
      <w:r w:rsidRPr="0048612E">
        <w:t xml:space="preserve"> Direction 2—Leg 2</w:t>
      </w:r>
      <w:r>
        <w:t xml:space="preserve"> are not data elements that are present in the current ASIC Rules or the draft remade ASIC Rules.</w:t>
      </w:r>
    </w:p>
    <w:p w14:paraId="4DD78A27" w14:textId="77777777" w:rsidR="002975E5" w:rsidRDefault="002975E5" w:rsidP="00110FFE">
      <w:pPr>
        <w:pStyle w:val="BodyText"/>
        <w:numPr>
          <w:ilvl w:val="0"/>
          <w:numId w:val="17"/>
        </w:numPr>
      </w:pPr>
      <w:r>
        <w:t>The draft remade ASIC Rules, in keeping with our intention to not require changes to the systems and processes that reporting entities currently use for reporting until the draft amended ASIC Rules commence on 1 April 2024, continue with the relevant data elements in the current ASIC Rules:</w:t>
      </w:r>
    </w:p>
    <w:p w14:paraId="60DBCC96" w14:textId="355A0914" w:rsidR="002975E5" w:rsidRDefault="002975E5" w:rsidP="00110FFE">
      <w:pPr>
        <w:pStyle w:val="subparaa"/>
        <w:numPr>
          <w:ilvl w:val="1"/>
          <w:numId w:val="17"/>
        </w:numPr>
      </w:pPr>
      <w:r>
        <w:t>‘Counterparty side (buy/sell)’ is broadly reported with the same logic as for direction 1 under the draft amended ASIC Rules, except that equity and commodity swaps related to the price of the underlier are reported with this direction</w:t>
      </w:r>
      <w:r w:rsidR="00081B74">
        <w:t>-</w:t>
      </w:r>
      <w:r>
        <w:t>1-like data element under the draft remade ASIC Rules but with direction</w:t>
      </w:r>
      <w:r w:rsidR="00081B74">
        <w:t>-</w:t>
      </w:r>
      <w:r>
        <w:t>2-like data elements under the draft amended ASIC Rules;</w:t>
      </w:r>
    </w:p>
    <w:p w14:paraId="6B448F33" w14:textId="5A1B1BA1" w:rsidR="002975E5" w:rsidRDefault="00CA59E4" w:rsidP="00BB6EA8">
      <w:pPr>
        <w:pStyle w:val="subparaa"/>
        <w:numPr>
          <w:ilvl w:val="1"/>
          <w:numId w:val="17"/>
        </w:numPr>
      </w:pPr>
      <w:r>
        <w:t xml:space="preserve">for </w:t>
      </w:r>
      <w:r w:rsidR="002975E5">
        <w:t>interest rate derivatives, p</w:t>
      </w:r>
      <w:r w:rsidR="002975E5" w:rsidRPr="00336174">
        <w:t>ayer (fixed rate leg 1)</w:t>
      </w:r>
      <w:r w:rsidR="002975E5">
        <w:t>, p</w:t>
      </w:r>
      <w:r w:rsidR="002975E5" w:rsidRPr="00336174">
        <w:t>ayer (</w:t>
      </w:r>
      <w:r w:rsidR="002975E5">
        <w:t xml:space="preserve">floating </w:t>
      </w:r>
      <w:r w:rsidR="002975E5" w:rsidRPr="00336174">
        <w:t>rate</w:t>
      </w:r>
      <w:r>
        <w:t> </w:t>
      </w:r>
      <w:r w:rsidR="002975E5" w:rsidRPr="00336174">
        <w:t>leg 1)</w:t>
      </w:r>
      <w:r w:rsidR="002975E5">
        <w:t xml:space="preserve"> and p</w:t>
      </w:r>
      <w:r w:rsidR="002975E5" w:rsidRPr="00336174">
        <w:t>ayer (</w:t>
      </w:r>
      <w:r w:rsidR="002975E5">
        <w:t xml:space="preserve">floating </w:t>
      </w:r>
      <w:r w:rsidR="002975E5" w:rsidRPr="00336174">
        <w:t xml:space="preserve">rate leg </w:t>
      </w:r>
      <w:r w:rsidR="002975E5">
        <w:t>2</w:t>
      </w:r>
      <w:r w:rsidR="002975E5" w:rsidRPr="00336174">
        <w:t>)</w:t>
      </w:r>
      <w:r w:rsidR="002975E5">
        <w:t xml:space="preserve"> continue to be reported as direction</w:t>
      </w:r>
      <w:r w:rsidR="00081B74">
        <w:t>-</w:t>
      </w:r>
      <w:r w:rsidR="002975E5">
        <w:t>2-like fields under the draft remade ASIC Rules but cease to be asset</w:t>
      </w:r>
      <w:r>
        <w:t>-</w:t>
      </w:r>
      <w:r w:rsidR="002975E5">
        <w:t>class-specific data elements under the draft amended ASIC Rules.</w:t>
      </w:r>
    </w:p>
    <w:p w14:paraId="40368945" w14:textId="0FEE3D57" w:rsidR="002975E5" w:rsidRDefault="002975E5" w:rsidP="00BB6EA8">
      <w:pPr>
        <w:pStyle w:val="BodyText"/>
        <w:numPr>
          <w:ilvl w:val="0"/>
          <w:numId w:val="17"/>
        </w:numPr>
      </w:pPr>
      <w:r>
        <w:t>We are also proposing to add the data element p</w:t>
      </w:r>
      <w:r w:rsidRPr="00336174">
        <w:t xml:space="preserve">ayer (fixed rate leg </w:t>
      </w:r>
      <w:r>
        <w:t>2</w:t>
      </w:r>
      <w:r w:rsidRPr="00336174">
        <w:t>)</w:t>
      </w:r>
      <w:r>
        <w:t xml:space="preserve"> to the draft remade ASIC Rules for completeness</w:t>
      </w:r>
      <w:r w:rsidR="00CA59E4">
        <w:t xml:space="preserve">, </w:t>
      </w:r>
      <w:r>
        <w:t>recognising that it is a data element that is already commonly reported to DDRS and would not require any system or process changes by the reporting entities that are already reporting this data element. However, this would be as optional information as there are a material number of reporting entities who are not already reporting this data element and it is not a data element that is continued in the draft amended ASIC Rules.</w:t>
      </w:r>
    </w:p>
    <w:p w14:paraId="073CEBB8" w14:textId="77777777" w:rsidR="002975E5" w:rsidRDefault="002975E5" w:rsidP="002975E5">
      <w:pPr>
        <w:pStyle w:val="Heading4"/>
      </w:pPr>
      <w:r>
        <w:t>Data elements related to dates and timestamps</w:t>
      </w:r>
    </w:p>
    <w:p w14:paraId="472BA88B" w14:textId="5CFFE7BF" w:rsidR="002975E5" w:rsidRDefault="002975E5" w:rsidP="00C443A0">
      <w:pPr>
        <w:pStyle w:val="BodyText"/>
        <w:numPr>
          <w:ilvl w:val="0"/>
          <w:numId w:val="17"/>
        </w:numPr>
        <w:spacing w:after="200"/>
      </w:pPr>
      <w:r>
        <w:t>The draft amended ASIC Rules (</w:t>
      </w:r>
      <w:r w:rsidR="00CA59E4">
        <w:t xml:space="preserve">see </w:t>
      </w:r>
      <w:r>
        <w:t>Attachment 2) include the following data elements related to date and timestamps</w:t>
      </w:r>
      <w:r w:rsidR="00572907">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7B96FEEB" w14:textId="77777777" w:rsidTr="00F86FF1">
        <w:trPr>
          <w:cantSplit/>
        </w:trPr>
        <w:tc>
          <w:tcPr>
            <w:tcW w:w="1701" w:type="dxa"/>
            <w:shd w:val="clear" w:color="auto" w:fill="C2E3FA"/>
          </w:tcPr>
          <w:p w14:paraId="70EDA6E6" w14:textId="41B3F119" w:rsidR="002975E5" w:rsidRPr="000540E1" w:rsidRDefault="002975E5" w:rsidP="00F86FF1">
            <w:pPr>
              <w:pStyle w:val="tablehead"/>
            </w:pPr>
            <w:r>
              <w:t>Proceed per CP</w:t>
            </w:r>
            <w:r w:rsidR="00CA59E4">
              <w:t> </w:t>
            </w:r>
            <w:r>
              <w:t>334</w:t>
            </w:r>
          </w:p>
        </w:tc>
        <w:tc>
          <w:tcPr>
            <w:tcW w:w="5103" w:type="dxa"/>
          </w:tcPr>
          <w:p w14:paraId="6BF10585" w14:textId="77777777" w:rsidR="00B54164" w:rsidRDefault="002975E5" w:rsidP="00F86FF1">
            <w:pPr>
              <w:pStyle w:val="tbltext"/>
            </w:pPr>
            <w:r>
              <w:t>Effective date, Expiration date,</w:t>
            </w:r>
          </w:p>
          <w:p w14:paraId="2B162964" w14:textId="77777777" w:rsidR="00B54164" w:rsidRDefault="002975E5" w:rsidP="00F86FF1">
            <w:pPr>
              <w:pStyle w:val="tbltext"/>
            </w:pPr>
            <w:r>
              <w:t>Execution timestamp, Event timestamp,</w:t>
            </w:r>
          </w:p>
          <w:p w14:paraId="6828AD8E" w14:textId="0C3EAAB0" w:rsidR="002975E5" w:rsidRPr="000540E1" w:rsidRDefault="002975E5" w:rsidP="00F86FF1">
            <w:pPr>
              <w:pStyle w:val="tbltext"/>
            </w:pPr>
            <w:r w:rsidRPr="00F76596">
              <w:t>Clearing timestamp</w:t>
            </w:r>
          </w:p>
        </w:tc>
      </w:tr>
      <w:tr w:rsidR="002975E5" w:rsidRPr="000540E1" w14:paraId="7D84D3A2" w14:textId="77777777" w:rsidTr="00F86FF1">
        <w:trPr>
          <w:cantSplit/>
        </w:trPr>
        <w:tc>
          <w:tcPr>
            <w:tcW w:w="1701" w:type="dxa"/>
            <w:shd w:val="clear" w:color="auto" w:fill="C2E3FA"/>
          </w:tcPr>
          <w:p w14:paraId="6ABE7182" w14:textId="77777777" w:rsidR="002975E5" w:rsidRPr="000540E1" w:rsidRDefault="002975E5" w:rsidP="00F86FF1">
            <w:pPr>
              <w:pStyle w:val="tablehead"/>
            </w:pPr>
            <w:r>
              <w:t>Not proceed</w:t>
            </w:r>
          </w:p>
        </w:tc>
        <w:tc>
          <w:tcPr>
            <w:tcW w:w="5103" w:type="dxa"/>
          </w:tcPr>
          <w:p w14:paraId="2715770C" w14:textId="2F35124B" w:rsidR="002975E5" w:rsidRPr="000540E1" w:rsidRDefault="00CA59E4" w:rsidP="00F86FF1">
            <w:pPr>
              <w:pStyle w:val="tbltext"/>
            </w:pPr>
            <w:r>
              <w:t>Not applicable</w:t>
            </w:r>
          </w:p>
        </w:tc>
      </w:tr>
      <w:tr w:rsidR="002975E5" w:rsidRPr="000540E1" w14:paraId="45CCA4D7" w14:textId="77777777" w:rsidTr="00F86FF1">
        <w:trPr>
          <w:cantSplit/>
        </w:trPr>
        <w:tc>
          <w:tcPr>
            <w:tcW w:w="1701" w:type="dxa"/>
            <w:shd w:val="clear" w:color="auto" w:fill="C2E3FA"/>
          </w:tcPr>
          <w:p w14:paraId="6BB7EA9B" w14:textId="77777777" w:rsidR="002975E5" w:rsidRPr="000540E1" w:rsidRDefault="002975E5" w:rsidP="00F86FF1">
            <w:pPr>
              <w:pStyle w:val="tablehead"/>
            </w:pPr>
            <w:r>
              <w:t>New proposal</w:t>
            </w:r>
          </w:p>
        </w:tc>
        <w:tc>
          <w:tcPr>
            <w:tcW w:w="5103" w:type="dxa"/>
          </w:tcPr>
          <w:p w14:paraId="09B026C9" w14:textId="220B824B" w:rsidR="002975E5" w:rsidRPr="000540E1" w:rsidRDefault="00CA59E4" w:rsidP="00F86FF1">
            <w:pPr>
              <w:pStyle w:val="tbltext"/>
            </w:pPr>
            <w:r>
              <w:t>Not applicable</w:t>
            </w:r>
          </w:p>
        </w:tc>
      </w:tr>
    </w:tbl>
    <w:p w14:paraId="56DCB24E" w14:textId="0A35A83E" w:rsidR="002975E5" w:rsidRDefault="002975E5" w:rsidP="00C443A0">
      <w:pPr>
        <w:pStyle w:val="BodyText"/>
        <w:numPr>
          <w:ilvl w:val="0"/>
          <w:numId w:val="17"/>
        </w:numPr>
      </w:pPr>
      <w:r>
        <w:t xml:space="preserve">As noted in paragraph </w:t>
      </w:r>
      <w:r>
        <w:fldChar w:fldCharType="begin" w:fldLock="1"/>
      </w:r>
      <w:r>
        <w:instrText xml:space="preserve"> REF _ASICRef631 \w \h </w:instrText>
      </w:r>
      <w:r>
        <w:fldChar w:fldCharType="separate"/>
      </w:r>
      <w:r w:rsidR="00853A2A">
        <w:t>323</w:t>
      </w:r>
      <w:r>
        <w:fldChar w:fldCharType="end"/>
      </w:r>
      <w:r>
        <w:t xml:space="preserve">, respondents to </w:t>
      </w:r>
      <w:hyperlink r:id="rId126" w:history="1">
        <w:r w:rsidRPr="00CA59E4">
          <w:rPr>
            <w:rStyle w:val="Hyperlink"/>
          </w:rPr>
          <w:t>CP 334</w:t>
        </w:r>
      </w:hyperlink>
      <w:r>
        <w:t xml:space="preserve"> did not oppose our proposals to adopt these data elements and we have decided to proceed as we had proposed.</w:t>
      </w:r>
    </w:p>
    <w:p w14:paraId="6BB1513F" w14:textId="669F246E" w:rsidR="002975E5" w:rsidRDefault="002975E5" w:rsidP="00C443A0">
      <w:pPr>
        <w:pStyle w:val="BodyText"/>
        <w:numPr>
          <w:ilvl w:val="0"/>
          <w:numId w:val="17"/>
        </w:numPr>
      </w:pPr>
      <w:r>
        <w:t xml:space="preserve">In Table S1.1(1), the meanings of item 15 </w:t>
      </w:r>
      <w:r w:rsidR="00CA59E4">
        <w:t>‘</w:t>
      </w:r>
      <w:r>
        <w:t>Effective date</w:t>
      </w:r>
      <w:r w:rsidR="00CA59E4">
        <w:t>’</w:t>
      </w:r>
      <w:r>
        <w:t xml:space="preserve"> and item 16 </w:t>
      </w:r>
      <w:r w:rsidR="00CA59E4">
        <w:t>‘</w:t>
      </w:r>
      <w:r>
        <w:t>Expiration date</w:t>
      </w:r>
      <w:r w:rsidR="00CA59E4">
        <w:t>’</w:t>
      </w:r>
      <w:r>
        <w:t xml:space="preserve"> closely follow the definition of these data elements in the CDE Guidance:</w:t>
      </w:r>
    </w:p>
    <w:p w14:paraId="0C86C1D8" w14:textId="77777777" w:rsidR="002975E5" w:rsidRDefault="002975E5" w:rsidP="00C443A0">
      <w:pPr>
        <w:pStyle w:val="subparaa"/>
        <w:numPr>
          <w:ilvl w:val="1"/>
          <w:numId w:val="17"/>
        </w:numPr>
      </w:pPr>
      <w:r>
        <w:t>the dates are ‘unadjusted dates’ as the dates agreed between the counterparties prior to any subsequent adjustment where the unadjusted date is not a business day or banking business day; and</w:t>
      </w:r>
    </w:p>
    <w:p w14:paraId="28C73AEF" w14:textId="77777777" w:rsidR="002975E5" w:rsidRDefault="002975E5" w:rsidP="00C443A0">
      <w:pPr>
        <w:pStyle w:val="subparaa"/>
        <w:numPr>
          <w:ilvl w:val="1"/>
          <w:numId w:val="17"/>
        </w:numPr>
      </w:pPr>
      <w:r>
        <w:t>the dates are ‘taken from the trade confirmation’ and are therefore only required to be reported where there is such a date in the trade confirmation.</w:t>
      </w:r>
    </w:p>
    <w:p w14:paraId="7E2CB6E4" w14:textId="77777777" w:rsidR="002975E5" w:rsidRDefault="002975E5" w:rsidP="00C443A0">
      <w:pPr>
        <w:pStyle w:val="BodyText"/>
        <w:numPr>
          <w:ilvl w:val="0"/>
          <w:numId w:val="17"/>
        </w:numPr>
      </w:pPr>
      <w:r>
        <w:t>Dates ‘taken from the trade confirmation’ would conform to market practices for different kinds of OTC derivatives. For example:</w:t>
      </w:r>
    </w:p>
    <w:p w14:paraId="14714164" w14:textId="39414416" w:rsidR="002975E5" w:rsidRDefault="002975E5" w:rsidP="00C443A0">
      <w:pPr>
        <w:pStyle w:val="subparaa"/>
        <w:numPr>
          <w:ilvl w:val="1"/>
          <w:numId w:val="17"/>
        </w:numPr>
      </w:pPr>
      <w:r>
        <w:t xml:space="preserve">a foreign exchange forward or an option does not ordinarily have an </w:t>
      </w:r>
      <w:r w:rsidR="00CA0687">
        <w:t>e</w:t>
      </w:r>
      <w:r>
        <w:t xml:space="preserve">ffective date included in the trade confirmation and, if so, a value for </w:t>
      </w:r>
      <w:r w:rsidR="00CA0687">
        <w:t>e</w:t>
      </w:r>
      <w:r>
        <w:t>ffective date is not required to be reported; and</w:t>
      </w:r>
    </w:p>
    <w:p w14:paraId="57E656D8" w14:textId="4332D3D3" w:rsidR="002975E5" w:rsidRDefault="002975E5" w:rsidP="00C443A0">
      <w:pPr>
        <w:pStyle w:val="subparaa"/>
        <w:numPr>
          <w:ilvl w:val="1"/>
          <w:numId w:val="17"/>
        </w:numPr>
      </w:pPr>
      <w:r>
        <w:t>contracts for difference do not ordinarily</w:t>
      </w:r>
      <w:r w:rsidR="009F75F5">
        <w:t xml:space="preserve"> </w:t>
      </w:r>
      <w:r>
        <w:t xml:space="preserve">have an </w:t>
      </w:r>
      <w:r w:rsidR="00CA0687">
        <w:t>e</w:t>
      </w:r>
      <w:r>
        <w:t xml:space="preserve">xpiration date included in the trade confirmation and, if so, a value for </w:t>
      </w:r>
      <w:r w:rsidR="00CA0687">
        <w:t>e</w:t>
      </w:r>
      <w:r>
        <w:t>xpiration date is not required to be reported.</w:t>
      </w:r>
    </w:p>
    <w:p w14:paraId="03BA943F" w14:textId="302128D6" w:rsidR="009F75F5" w:rsidRDefault="009F75F5" w:rsidP="00F5385D">
      <w:pPr>
        <w:pStyle w:val="Note"/>
      </w:pPr>
      <w:r>
        <w:t>Note: Contracts for difference do not ordinarily have an expiration date except where the underlier has an expiration date—such as a futures contract—and the expiration date for the contract for difference may be the expiration date of the underlier.</w:t>
      </w:r>
    </w:p>
    <w:p w14:paraId="3A9E7B2E" w14:textId="0FF523EA" w:rsidR="002975E5" w:rsidRDefault="002975E5" w:rsidP="00C443A0">
      <w:pPr>
        <w:pStyle w:val="BodyText"/>
        <w:numPr>
          <w:ilvl w:val="0"/>
          <w:numId w:val="17"/>
        </w:numPr>
      </w:pPr>
      <w:r>
        <w:t xml:space="preserve">As per the CDE Guidance, </w:t>
      </w:r>
      <w:r w:rsidR="00CA0687">
        <w:t>e</w:t>
      </w:r>
      <w:r>
        <w:t>xpiration date (as taken from the trade confirmation) applies to all instrument types of forwards, swaps and options</w:t>
      </w:r>
      <w:r w:rsidR="00404CA5">
        <w:t>—</w:t>
      </w:r>
      <w:r>
        <w:t>there is not a separate option expiration date data element in the draft amended ASIC Rules.</w:t>
      </w:r>
    </w:p>
    <w:p w14:paraId="6CE85DF6" w14:textId="6E9428D0" w:rsidR="002975E5" w:rsidRDefault="002975E5" w:rsidP="00C443A0">
      <w:pPr>
        <w:pStyle w:val="BodyText"/>
        <w:numPr>
          <w:ilvl w:val="0"/>
          <w:numId w:val="17"/>
        </w:numPr>
      </w:pPr>
      <w:r>
        <w:t xml:space="preserve">In Table S1.1(1), the meaning of item 17 </w:t>
      </w:r>
      <w:r w:rsidR="009F75F5">
        <w:t>‘</w:t>
      </w:r>
      <w:r>
        <w:t>Execution date</w:t>
      </w:r>
      <w:r w:rsidR="009F75F5">
        <w:t>’</w:t>
      </w:r>
      <w:r>
        <w:t xml:space="preserve"> closely follows its definition in the CDE Guidance, including that this data element remains constant during the life of the OTC derivative.</w:t>
      </w:r>
    </w:p>
    <w:p w14:paraId="2969A6CC" w14:textId="77777777" w:rsidR="002975E5" w:rsidRDefault="002975E5" w:rsidP="00C443A0">
      <w:pPr>
        <w:pStyle w:val="BodyText"/>
        <w:numPr>
          <w:ilvl w:val="0"/>
          <w:numId w:val="17"/>
        </w:numPr>
      </w:pPr>
      <w:r>
        <w:t>In addition, it is specified that this data element is reported in all reports of transaction information, including a report about the termination of the OTC derivative. In current reporting practices, execution date is reported for modification reports but not for termination reports. We are proposing to require reporting of execution date for termination reports to more readily provide to the Australian regulators transparency about the hold period of open positions by reporting entities.</w:t>
      </w:r>
    </w:p>
    <w:p w14:paraId="5530A079" w14:textId="4A6F8ED1" w:rsidR="002975E5" w:rsidRDefault="002975E5" w:rsidP="00C443A0">
      <w:pPr>
        <w:pStyle w:val="BodyText"/>
        <w:numPr>
          <w:ilvl w:val="0"/>
          <w:numId w:val="17"/>
        </w:numPr>
      </w:pPr>
      <w:r>
        <w:t xml:space="preserve">In Table S1.1(1), the meaning of item 18 </w:t>
      </w:r>
      <w:r w:rsidR="009F75F5">
        <w:t>‘</w:t>
      </w:r>
      <w:r>
        <w:t>Event timestamp</w:t>
      </w:r>
      <w:r w:rsidR="009F75F5">
        <w:t>’</w:t>
      </w:r>
      <w:r>
        <w:t xml:space="preserve"> corresponds to its definition in the final CFTC rules. Whereas execution timestamp is reported for the entry into of an OTC derivative, event timestamp is reported for certain subsequent lifecycle events of the OTC derivative</w:t>
      </w:r>
      <w:r w:rsidR="00404CA5">
        <w:t>—</w:t>
      </w:r>
      <w:r>
        <w:t>identified in reporting as events reported with an action type of ‘MODI’ (for a modification) or ‘TERM’ (for a termination).</w:t>
      </w:r>
    </w:p>
    <w:p w14:paraId="45891CEC" w14:textId="192A1A32" w:rsidR="002975E5" w:rsidRDefault="002975E5" w:rsidP="00C443A0">
      <w:pPr>
        <w:pStyle w:val="BodyText"/>
        <w:numPr>
          <w:ilvl w:val="0"/>
          <w:numId w:val="17"/>
        </w:numPr>
      </w:pPr>
      <w:r>
        <w:t xml:space="preserve">In Table S1.1(1), the meaning of item 19 </w:t>
      </w:r>
      <w:r w:rsidR="009F75F5">
        <w:t>‘</w:t>
      </w:r>
      <w:r>
        <w:t>Clearing timestamp</w:t>
      </w:r>
      <w:r w:rsidR="009F75F5">
        <w:t>’</w:t>
      </w:r>
      <w:r>
        <w:t xml:space="preserve"> substantively corresponds to its definition in the final ESMA rules, with the clarification that the clearing timestamp is the timestamp ‘</w:t>
      </w:r>
      <w:r w:rsidRPr="008E6087">
        <w:t>notified to the Reporting Entity by the CCP</w:t>
      </w:r>
      <w:r>
        <w:t>’.</w:t>
      </w:r>
    </w:p>
    <w:p w14:paraId="382750D8" w14:textId="77777777" w:rsidR="002975E5" w:rsidRDefault="002975E5" w:rsidP="00C443A0">
      <w:pPr>
        <w:pStyle w:val="BodyText"/>
        <w:numPr>
          <w:ilvl w:val="0"/>
          <w:numId w:val="17"/>
        </w:numPr>
      </w:pPr>
      <w:r>
        <w:t>For each of these date and timestamp fields, the format is specified as a date value or date and time value (as applicable) in accordance with ISO 8601.</w:t>
      </w:r>
    </w:p>
    <w:p w14:paraId="57553068" w14:textId="77777777" w:rsidR="002975E5" w:rsidRDefault="002975E5" w:rsidP="002975E5">
      <w:pPr>
        <w:pStyle w:val="Heading5"/>
      </w:pPr>
      <w:r>
        <w:t>Application to the draft remade ASIC Rules</w:t>
      </w:r>
    </w:p>
    <w:p w14:paraId="7A2ED99F" w14:textId="34C6B45B" w:rsidR="002975E5" w:rsidRDefault="002975E5" w:rsidP="00C443A0">
      <w:pPr>
        <w:pStyle w:val="BodyText"/>
        <w:numPr>
          <w:ilvl w:val="0"/>
          <w:numId w:val="17"/>
        </w:numPr>
      </w:pPr>
      <w:r w:rsidRPr="002550F9">
        <w:t>Effective date</w:t>
      </w:r>
      <w:r>
        <w:t>, e</w:t>
      </w:r>
      <w:r w:rsidRPr="002550F9">
        <w:t>xecution timestamp</w:t>
      </w:r>
      <w:r>
        <w:t xml:space="preserve"> and c</w:t>
      </w:r>
      <w:r w:rsidRPr="002550F9">
        <w:t>learing timestamp</w:t>
      </w:r>
      <w:r>
        <w:t xml:space="preserve"> are data elements that are present in the current ASIC Rules and the draft remade ASIC Rules and have substantively the same meanings as in the draft amended ASIC Rules</w:t>
      </w:r>
      <w:r w:rsidR="00404CA5">
        <w:t>—</w:t>
      </w:r>
      <w:r>
        <w:t>noting that execution timestamp is not required to be reported in all reports of transaction information under the draft remade ASIC Rules.</w:t>
      </w:r>
    </w:p>
    <w:p w14:paraId="725FB2C7" w14:textId="77777777" w:rsidR="002975E5" w:rsidRDefault="002975E5" w:rsidP="00C443A0">
      <w:pPr>
        <w:pStyle w:val="BodyText"/>
        <w:numPr>
          <w:ilvl w:val="0"/>
          <w:numId w:val="17"/>
        </w:numPr>
      </w:pPr>
      <w:r>
        <w:t>For forward or swap contracts, e</w:t>
      </w:r>
      <w:r w:rsidRPr="002550F9">
        <w:t>xpiration date</w:t>
      </w:r>
      <w:r>
        <w:t xml:space="preserve"> is a data element that is present in the current ASIC Rules (as ‘Maturity, termination or end date’) and the draft remade ASIC Rules (as ‘Expiration date’). For options, the draft remade ASIC Rules continue with the separate option expiration date data element that is in the current ASIC Rules, but which would cease to be a separate data element in the draft amended ASIC Rules.</w:t>
      </w:r>
    </w:p>
    <w:p w14:paraId="5C5A6C9C" w14:textId="085DE571" w:rsidR="002975E5" w:rsidRPr="007D1D85" w:rsidRDefault="002975E5" w:rsidP="00C443A0">
      <w:pPr>
        <w:pStyle w:val="BodyText"/>
        <w:numPr>
          <w:ilvl w:val="0"/>
          <w:numId w:val="17"/>
        </w:numPr>
      </w:pPr>
      <w:r w:rsidRPr="007D1D85">
        <w:t xml:space="preserve">Event timestamp is not a data element that is present in the current ASIC Rules </w:t>
      </w:r>
      <w:r w:rsidR="007D1D85" w:rsidRPr="007D1D85">
        <w:t xml:space="preserve">and is not included in </w:t>
      </w:r>
      <w:r w:rsidRPr="007D1D85">
        <w:t>the draft remade ASIC Rules.</w:t>
      </w:r>
    </w:p>
    <w:p w14:paraId="1405814E" w14:textId="77777777" w:rsidR="002975E5" w:rsidRDefault="002975E5" w:rsidP="002975E5">
      <w:pPr>
        <w:pStyle w:val="Heading4"/>
      </w:pPr>
      <w:r>
        <w:t xml:space="preserve">Data elements related to </w:t>
      </w:r>
      <w:r>
        <w:rPr>
          <w:rFonts w:eastAsiaTheme="minorHAnsi"/>
        </w:rPr>
        <w:t>clearing and trading</w:t>
      </w:r>
    </w:p>
    <w:p w14:paraId="323E3EA4" w14:textId="47841715" w:rsidR="002975E5" w:rsidRDefault="002975E5" w:rsidP="00C443A0">
      <w:pPr>
        <w:pStyle w:val="BodyText"/>
        <w:numPr>
          <w:ilvl w:val="0"/>
          <w:numId w:val="17"/>
        </w:numPr>
        <w:spacing w:after="200"/>
      </w:pPr>
      <w:r>
        <w:t>The draft amended ASIC Rules (</w:t>
      </w:r>
      <w:r w:rsidR="00F83ACB">
        <w:t xml:space="preserve">see </w:t>
      </w:r>
      <w:r>
        <w:t xml:space="preserve">Attachment 2) include the following data elements related to clearing and settlement. We have decided not to proceed with </w:t>
      </w:r>
      <w:r w:rsidR="00F83ACB">
        <w:t xml:space="preserve">three </w:t>
      </w:r>
      <w:r>
        <w:t xml:space="preserve">data elements that were proposed in </w:t>
      </w:r>
      <w:hyperlink r:id="rId127" w:history="1">
        <w:r w:rsidRPr="00F83ACB">
          <w:rPr>
            <w:rStyle w:val="Hyperlink"/>
          </w:rPr>
          <w:t>CP 334</w:t>
        </w:r>
      </w:hyperlink>
      <w:r>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3FD1E9C8" w14:textId="77777777" w:rsidTr="00F86FF1">
        <w:trPr>
          <w:cantSplit/>
        </w:trPr>
        <w:tc>
          <w:tcPr>
            <w:tcW w:w="1701" w:type="dxa"/>
            <w:shd w:val="clear" w:color="auto" w:fill="C2E3FA"/>
          </w:tcPr>
          <w:p w14:paraId="18F5E0FD" w14:textId="4CF05956" w:rsidR="002975E5" w:rsidRPr="000540E1" w:rsidRDefault="002975E5" w:rsidP="00F86FF1">
            <w:pPr>
              <w:pStyle w:val="tablehead"/>
            </w:pPr>
            <w:r>
              <w:t>Proceed per CP</w:t>
            </w:r>
            <w:r w:rsidR="00F83ACB">
              <w:t> </w:t>
            </w:r>
            <w:r>
              <w:t>334</w:t>
            </w:r>
          </w:p>
        </w:tc>
        <w:tc>
          <w:tcPr>
            <w:tcW w:w="5103" w:type="dxa"/>
          </w:tcPr>
          <w:p w14:paraId="178C36AE" w14:textId="77777777" w:rsidR="007D1D85" w:rsidRDefault="002975E5" w:rsidP="00F86FF1">
            <w:pPr>
              <w:pStyle w:val="tbltext"/>
            </w:pPr>
            <w:r>
              <w:t xml:space="preserve">Cleared, </w:t>
            </w:r>
            <w:r w:rsidRPr="00D708F7">
              <w:t>Central counterparty</w:t>
            </w:r>
            <w:r>
              <w:t>, Clearing member,</w:t>
            </w:r>
          </w:p>
          <w:p w14:paraId="2BC5015C" w14:textId="791A691B" w:rsidR="002975E5" w:rsidRPr="000540E1" w:rsidRDefault="002975E5" w:rsidP="00F86FF1">
            <w:pPr>
              <w:pStyle w:val="tbltext"/>
            </w:pPr>
            <w:r>
              <w:t>Platform identifier</w:t>
            </w:r>
          </w:p>
        </w:tc>
      </w:tr>
      <w:tr w:rsidR="002975E5" w:rsidRPr="000540E1" w14:paraId="23469828" w14:textId="77777777" w:rsidTr="00F86FF1">
        <w:trPr>
          <w:cantSplit/>
        </w:trPr>
        <w:tc>
          <w:tcPr>
            <w:tcW w:w="1701" w:type="dxa"/>
            <w:shd w:val="clear" w:color="auto" w:fill="C2E3FA"/>
          </w:tcPr>
          <w:p w14:paraId="730282CF" w14:textId="77777777" w:rsidR="002975E5" w:rsidRPr="000540E1" w:rsidRDefault="002975E5" w:rsidP="00F86FF1">
            <w:pPr>
              <w:pStyle w:val="tablehead"/>
            </w:pPr>
            <w:r>
              <w:t>Not proceed</w:t>
            </w:r>
          </w:p>
        </w:tc>
        <w:tc>
          <w:tcPr>
            <w:tcW w:w="5103" w:type="dxa"/>
          </w:tcPr>
          <w:p w14:paraId="616DF2AF" w14:textId="77777777" w:rsidR="007D1D85" w:rsidRDefault="002975E5" w:rsidP="00F86FF1">
            <w:pPr>
              <w:pStyle w:val="tbltext"/>
            </w:pPr>
            <w:r w:rsidRPr="00AF2156">
              <w:t>Final contractual settlement date</w:t>
            </w:r>
            <w:r>
              <w:t>,</w:t>
            </w:r>
          </w:p>
          <w:p w14:paraId="42612148" w14:textId="52040EDF" w:rsidR="002975E5" w:rsidRPr="000540E1" w:rsidRDefault="002975E5" w:rsidP="00F86FF1">
            <w:pPr>
              <w:pStyle w:val="tbltext"/>
            </w:pPr>
            <w:r>
              <w:t>Settlement location</w:t>
            </w:r>
            <w:r w:rsidRPr="004270E6">
              <w:t>—</w:t>
            </w:r>
            <w:r>
              <w:t>Leg 1, Settlement location</w:t>
            </w:r>
            <w:r w:rsidRPr="004270E6">
              <w:t>—</w:t>
            </w:r>
            <w:r>
              <w:t>Leg 2</w:t>
            </w:r>
          </w:p>
        </w:tc>
      </w:tr>
      <w:tr w:rsidR="002975E5" w:rsidRPr="000540E1" w14:paraId="5555A0A7" w14:textId="77777777" w:rsidTr="00F86FF1">
        <w:trPr>
          <w:cantSplit/>
        </w:trPr>
        <w:tc>
          <w:tcPr>
            <w:tcW w:w="1701" w:type="dxa"/>
            <w:shd w:val="clear" w:color="auto" w:fill="C2E3FA"/>
          </w:tcPr>
          <w:p w14:paraId="6647F791" w14:textId="77777777" w:rsidR="002975E5" w:rsidRPr="000540E1" w:rsidRDefault="002975E5" w:rsidP="00F86FF1">
            <w:pPr>
              <w:pStyle w:val="tablehead"/>
            </w:pPr>
            <w:r>
              <w:t>New proposal</w:t>
            </w:r>
          </w:p>
        </w:tc>
        <w:tc>
          <w:tcPr>
            <w:tcW w:w="5103" w:type="dxa"/>
          </w:tcPr>
          <w:p w14:paraId="71F168FD" w14:textId="0697C4AB" w:rsidR="002975E5" w:rsidRPr="000540E1" w:rsidRDefault="00F83ACB" w:rsidP="00F86FF1">
            <w:pPr>
              <w:pStyle w:val="tbltext"/>
            </w:pPr>
            <w:r>
              <w:t>Not applicable</w:t>
            </w:r>
          </w:p>
        </w:tc>
      </w:tr>
    </w:tbl>
    <w:p w14:paraId="5101127D" w14:textId="25A191F2" w:rsidR="002975E5" w:rsidRPr="00F5385D" w:rsidRDefault="002975E5" w:rsidP="00C443A0">
      <w:pPr>
        <w:pStyle w:val="BodyText"/>
        <w:numPr>
          <w:ilvl w:val="0"/>
          <w:numId w:val="17"/>
        </w:numPr>
        <w:rPr>
          <w:spacing w:val="-2"/>
        </w:rPr>
      </w:pPr>
      <w:r w:rsidRPr="00F5385D">
        <w:rPr>
          <w:spacing w:val="-2"/>
        </w:rPr>
        <w:t xml:space="preserve">As noted in paragraph </w:t>
      </w:r>
      <w:r w:rsidRPr="00F5385D">
        <w:rPr>
          <w:spacing w:val="-2"/>
        </w:rPr>
        <w:fldChar w:fldCharType="begin" w:fldLock="1"/>
      </w:r>
      <w:r w:rsidRPr="00F5385D">
        <w:rPr>
          <w:spacing w:val="-2"/>
        </w:rPr>
        <w:instrText xml:space="preserve"> REF _ASICRef627 \w \h </w:instrText>
      </w:r>
      <w:r w:rsidR="00F83ACB">
        <w:rPr>
          <w:spacing w:val="-2"/>
        </w:rPr>
        <w:instrText xml:space="preserve"> \* MERGEFORMAT </w:instrText>
      </w:r>
      <w:r w:rsidRPr="00F5385D">
        <w:rPr>
          <w:spacing w:val="-2"/>
        </w:rPr>
      </w:r>
      <w:r w:rsidRPr="00F5385D">
        <w:rPr>
          <w:spacing w:val="-2"/>
        </w:rPr>
        <w:fldChar w:fldCharType="separate"/>
      </w:r>
      <w:r w:rsidR="00853A2A">
        <w:rPr>
          <w:spacing w:val="-2"/>
        </w:rPr>
        <w:t>328</w:t>
      </w:r>
      <w:r w:rsidRPr="00F5385D">
        <w:rPr>
          <w:spacing w:val="-2"/>
        </w:rPr>
        <w:fldChar w:fldCharType="end"/>
      </w:r>
      <w:r w:rsidRPr="00F5385D">
        <w:rPr>
          <w:spacing w:val="-2"/>
        </w:rPr>
        <w:t>, respondents to CP 334 expressed concerns about our proposals for final contractual settlement date, settlement location—leg 1 and settlement location—leg 2, and we have decided not to proceed with the proposals.</w:t>
      </w:r>
    </w:p>
    <w:p w14:paraId="312F2DDD" w14:textId="77777777" w:rsidR="002975E5" w:rsidRDefault="002975E5" w:rsidP="00C443A0">
      <w:pPr>
        <w:pStyle w:val="BodyText"/>
        <w:numPr>
          <w:ilvl w:val="0"/>
          <w:numId w:val="17"/>
        </w:numPr>
      </w:pPr>
      <w:r>
        <w:t>For the other data elements related to clearing and trading, respondents did not make any significant objections and we have decided to proceed with the proposals.</w:t>
      </w:r>
    </w:p>
    <w:p w14:paraId="79FF32B3" w14:textId="28C69E76" w:rsidR="002975E5" w:rsidRDefault="002975E5" w:rsidP="00C443A0">
      <w:pPr>
        <w:pStyle w:val="BodyText"/>
        <w:numPr>
          <w:ilvl w:val="0"/>
          <w:numId w:val="17"/>
        </w:numPr>
      </w:pPr>
      <w:r>
        <w:t xml:space="preserve">In Table S1.1(1), the meaning of item 20 </w:t>
      </w:r>
      <w:r w:rsidR="00F83ACB">
        <w:t>‘</w:t>
      </w:r>
      <w:r>
        <w:t>Cleared</w:t>
      </w:r>
      <w:r w:rsidR="00F83ACB">
        <w:t>’</w:t>
      </w:r>
      <w:r>
        <w:t xml:space="preserve"> closely follows the definition of this data element in the CDE Guidance, including allowing the reporting of an intention to clear. The formats and allowable values are of the values Y, N or I.</w:t>
      </w:r>
    </w:p>
    <w:p w14:paraId="4E48FECD" w14:textId="6048E628" w:rsidR="002975E5" w:rsidRDefault="002975E5" w:rsidP="00C443A0">
      <w:pPr>
        <w:pStyle w:val="BodyText"/>
        <w:numPr>
          <w:ilvl w:val="0"/>
          <w:numId w:val="17"/>
        </w:numPr>
        <w:spacing w:line="310" w:lineRule="atLeast"/>
      </w:pPr>
      <w:r>
        <w:t xml:space="preserve">In Table S1.1(1), the meaning of item 21 </w:t>
      </w:r>
      <w:r w:rsidR="00F83ACB">
        <w:t>‘</w:t>
      </w:r>
      <w:r>
        <w:t>Central counterparty</w:t>
      </w:r>
      <w:r w:rsidR="00F83ACB">
        <w:t>’</w:t>
      </w:r>
      <w:r>
        <w:t xml:space="preserve"> closely follows the definition of this data element in the CDE Guidance. The formats and allowable values are of a current LEI.</w:t>
      </w:r>
    </w:p>
    <w:p w14:paraId="6163EF63" w14:textId="32BDE262" w:rsidR="002975E5" w:rsidRDefault="002975E5" w:rsidP="00C443A0">
      <w:pPr>
        <w:pStyle w:val="BodyText"/>
        <w:numPr>
          <w:ilvl w:val="0"/>
          <w:numId w:val="17"/>
        </w:numPr>
        <w:spacing w:line="310" w:lineRule="atLeast"/>
      </w:pPr>
      <w:r>
        <w:t xml:space="preserve">In Table S1.1(1), the meaning of item 22 </w:t>
      </w:r>
      <w:r w:rsidR="00F83ACB">
        <w:t>‘</w:t>
      </w:r>
      <w:r>
        <w:t>Clearing member</w:t>
      </w:r>
      <w:r w:rsidR="00F83ACB">
        <w:t>’</w:t>
      </w:r>
      <w:r>
        <w:t xml:space="preserve"> closely follows the definition of this data element in the CDE Guidance. The formats and allowable values are of a current LEI.</w:t>
      </w:r>
    </w:p>
    <w:p w14:paraId="51E39EE7" w14:textId="17B8FC91" w:rsidR="002975E5" w:rsidRDefault="002975E5" w:rsidP="00C443A0">
      <w:pPr>
        <w:pStyle w:val="BodyText"/>
        <w:numPr>
          <w:ilvl w:val="0"/>
          <w:numId w:val="17"/>
        </w:numPr>
        <w:spacing w:line="310" w:lineRule="atLeast"/>
      </w:pPr>
      <w:r>
        <w:t xml:space="preserve">In Table S1.1(1), the meaning of item 23 </w:t>
      </w:r>
      <w:r w:rsidR="00F83ACB">
        <w:t>‘</w:t>
      </w:r>
      <w:r>
        <w:t>Platform identifier</w:t>
      </w:r>
      <w:r w:rsidR="00F83ACB">
        <w:t>’</w:t>
      </w:r>
      <w:r>
        <w:t xml:space="preserve"> is based on the definition of this data element in the CDE Guidance, and the meanings of the codes XOFF, XXXX and BILT within ISO 10383. The format and allowable value to identify a platform is its segment </w:t>
      </w:r>
      <w:r w:rsidR="008C6398">
        <w:t xml:space="preserve">market identification code </w:t>
      </w:r>
      <w:r>
        <w:t>(MIC) under ISO 10383.</w:t>
      </w:r>
    </w:p>
    <w:p w14:paraId="2453DA03" w14:textId="77777777" w:rsidR="002975E5" w:rsidRDefault="002975E5" w:rsidP="002975E5">
      <w:pPr>
        <w:pStyle w:val="Heading5"/>
      </w:pPr>
      <w:r>
        <w:t>Application to the draft remade ASIC Rules</w:t>
      </w:r>
    </w:p>
    <w:p w14:paraId="3FDF739D" w14:textId="77777777" w:rsidR="002975E5" w:rsidRDefault="002975E5" w:rsidP="00C443A0">
      <w:pPr>
        <w:pStyle w:val="BodyText"/>
        <w:numPr>
          <w:ilvl w:val="0"/>
          <w:numId w:val="17"/>
        </w:numPr>
        <w:spacing w:line="310" w:lineRule="atLeast"/>
      </w:pPr>
      <w:r>
        <w:t>Each of cleared, c</w:t>
      </w:r>
      <w:r w:rsidRPr="00D708F7">
        <w:t>entral counterparty</w:t>
      </w:r>
      <w:r>
        <w:t>, clearing member and platform identifier are data elements that are present in the current ASIC Rules and the draft remade ASIC Rules, but with some differences in their meanings and allowable values.</w:t>
      </w:r>
    </w:p>
    <w:p w14:paraId="7A6335A8" w14:textId="7473F53C" w:rsidR="002975E5" w:rsidRDefault="002975E5" w:rsidP="00C443A0">
      <w:pPr>
        <w:pStyle w:val="BodyText"/>
        <w:numPr>
          <w:ilvl w:val="0"/>
          <w:numId w:val="17"/>
        </w:numPr>
        <w:spacing w:line="310" w:lineRule="atLeast"/>
      </w:pPr>
      <w:r>
        <w:t xml:space="preserve">For </w:t>
      </w:r>
      <w:r w:rsidR="008C6398">
        <w:t>‘</w:t>
      </w:r>
      <w:r>
        <w:t>cleared</w:t>
      </w:r>
      <w:r w:rsidR="008C6398">
        <w:t>’</w:t>
      </w:r>
      <w:r>
        <w:t>, the draft remade ASIC Rules continue with the substantive meaning of this data element in the current ASIC Rules, including that it does not provide for the reporting of an intention to clear. The format is not specified and the allowable values provide for the simple continuation of current reporting practices as ‘</w:t>
      </w:r>
      <w:r w:rsidRPr="002D5048">
        <w:t>Any values accepted by the Derivative Trade Repository that is receiving the report</w:t>
      </w:r>
      <w:r>
        <w:t>’.</w:t>
      </w:r>
    </w:p>
    <w:p w14:paraId="4B0E7640" w14:textId="57D584E3" w:rsidR="002975E5" w:rsidRDefault="00BA49CC" w:rsidP="00C443A0">
      <w:pPr>
        <w:pStyle w:val="BodyText"/>
        <w:numPr>
          <w:ilvl w:val="0"/>
          <w:numId w:val="17"/>
        </w:numPr>
        <w:spacing w:line="310" w:lineRule="atLeast"/>
      </w:pPr>
      <w:r>
        <w:t>C</w:t>
      </w:r>
      <w:r w:rsidR="002975E5">
        <w:t>entral counterparty, in the current ASIC Rules</w:t>
      </w:r>
      <w:r>
        <w:t>,</w:t>
      </w:r>
      <w:r w:rsidR="002975E5">
        <w:t xml:space="preserve"> is defined as the ‘Name of the central clearing facility’</w:t>
      </w:r>
      <w:r w:rsidRPr="00F5385D">
        <w:t>—</w:t>
      </w:r>
      <w:r w:rsidR="002975E5">
        <w:t>however, in practice, LEIs for CCPs are reported for this data element. In the draft remade ASIC Rules, the central counterparty data element would have the same meaning and current LEI allowed values as in the draft amended ASIC Rules.</w:t>
      </w:r>
    </w:p>
    <w:p w14:paraId="04DB57C9" w14:textId="799A0614" w:rsidR="002975E5" w:rsidRDefault="00BA49CC" w:rsidP="00C443A0">
      <w:pPr>
        <w:pStyle w:val="BodyText"/>
        <w:numPr>
          <w:ilvl w:val="0"/>
          <w:numId w:val="17"/>
        </w:numPr>
        <w:spacing w:line="310" w:lineRule="atLeast"/>
      </w:pPr>
      <w:r>
        <w:t>T</w:t>
      </w:r>
      <w:r w:rsidR="002975E5">
        <w:t xml:space="preserve">he substantive meaning of </w:t>
      </w:r>
      <w:r w:rsidR="001A582E">
        <w:t>the data element ‘</w:t>
      </w:r>
      <w:r>
        <w:t>clearing member</w:t>
      </w:r>
      <w:r w:rsidR="001A582E">
        <w:t>’</w:t>
      </w:r>
      <w:r w:rsidR="002975E5">
        <w:t xml:space="preserve"> is the same across each of the current ASIC Rules, the draft remade ASIC Rules and the draft amended ASIC Rules. In the draft remade ASIC Rules, the allowable value for this data element becomes only an LEI.</w:t>
      </w:r>
    </w:p>
    <w:p w14:paraId="6DC36806" w14:textId="429E831B" w:rsidR="002975E5" w:rsidRDefault="00BA49CC" w:rsidP="00C443A0">
      <w:pPr>
        <w:pStyle w:val="BodyText"/>
        <w:numPr>
          <w:ilvl w:val="0"/>
          <w:numId w:val="17"/>
        </w:numPr>
        <w:spacing w:line="310" w:lineRule="atLeast"/>
      </w:pPr>
      <w:r>
        <w:t>P</w:t>
      </w:r>
      <w:r w:rsidR="002975E5">
        <w:t>latform identifier, in the current ASIC Rules (as ‘Execution venue’)</w:t>
      </w:r>
      <w:r>
        <w:t>,</w:t>
      </w:r>
      <w:r w:rsidR="002975E5">
        <w:t xml:space="preserve"> is defined in terms of an identifier code or name of the trading venue or a notation to indicate there was no trading venue.</w:t>
      </w:r>
    </w:p>
    <w:p w14:paraId="7C7A9C3F" w14:textId="77777777" w:rsidR="002975E5" w:rsidRDefault="002975E5" w:rsidP="00C443A0">
      <w:pPr>
        <w:pStyle w:val="BodyText"/>
        <w:numPr>
          <w:ilvl w:val="0"/>
          <w:numId w:val="17"/>
        </w:numPr>
        <w:spacing w:line="310" w:lineRule="atLeast"/>
      </w:pPr>
      <w:r>
        <w:t>We propose to change this in the draft remade ASIC Rules to the same meaning and allowable values for platform identifier in the draft amended ASIC Rules.</w:t>
      </w:r>
    </w:p>
    <w:p w14:paraId="06C916A6" w14:textId="3A9894B1" w:rsidR="002975E5" w:rsidRDefault="002975E5" w:rsidP="00C443A0">
      <w:pPr>
        <w:pStyle w:val="BodyText"/>
        <w:numPr>
          <w:ilvl w:val="0"/>
          <w:numId w:val="17"/>
        </w:numPr>
        <w:spacing w:line="304" w:lineRule="atLeast"/>
      </w:pPr>
      <w:r>
        <w:t>The mix of values that has been reported as ‘Execution venue’ but also, in addition, to DDRS as ‘Execution Venue</w:t>
      </w:r>
      <w:r w:rsidR="00404CA5">
        <w:t>—</w:t>
      </w:r>
      <w:r>
        <w:t>MIC Code’ and ‘Execution Venue Type’ has changed over time. However, most recently in January and February 2022, we observe</w:t>
      </w:r>
      <w:r w:rsidR="00886474">
        <w:t>d</w:t>
      </w:r>
      <w:r>
        <w:t xml:space="preserve"> that 90.5% of reports identify the platform, or indicate an off-platform transaction, using a MIC. A further 8.4% identify a platform with an LEI that are LEIs of platforms, or platform operators, who have a MIC. Therefore, we think that 98.9% of recent reporting about platform identifiers is with a MIC or is ‘MIC-capable’.</w:t>
      </w:r>
    </w:p>
    <w:p w14:paraId="6B769839" w14:textId="0444C00D" w:rsidR="002975E5" w:rsidRDefault="002975E5" w:rsidP="00C443A0">
      <w:pPr>
        <w:pStyle w:val="BodyText"/>
        <w:numPr>
          <w:ilvl w:val="0"/>
          <w:numId w:val="17"/>
        </w:numPr>
        <w:spacing w:line="304" w:lineRule="atLeast"/>
      </w:pPr>
      <w:r>
        <w:t xml:space="preserve">From the same platform reporting </w:t>
      </w:r>
      <w:r w:rsidR="007D1D85">
        <w:t>analysis</w:t>
      </w:r>
      <w:r>
        <w:t>, we identif</w:t>
      </w:r>
      <w:r w:rsidR="00BA49CC">
        <w:t>ied</w:t>
      </w:r>
      <w:r>
        <w:t xml:space="preserve"> 12 reporting entities whose recent reporting about platform identifiers appears to not, or not commonly, use either MICs or LEIs in reporting.</w:t>
      </w:r>
    </w:p>
    <w:p w14:paraId="3FBAAC35" w14:textId="63209137" w:rsidR="002975E5" w:rsidRDefault="002975E5" w:rsidP="00C443A0">
      <w:pPr>
        <w:pStyle w:val="BodyText"/>
        <w:numPr>
          <w:ilvl w:val="0"/>
          <w:numId w:val="17"/>
        </w:numPr>
        <w:spacing w:line="304" w:lineRule="atLeast"/>
      </w:pPr>
      <w:r>
        <w:t xml:space="preserve">Although our proposal </w:t>
      </w:r>
      <w:r w:rsidR="00E80B77">
        <w:t>would</w:t>
      </w:r>
      <w:r>
        <w:t xml:space="preserve"> require 12 reporting entities to make changes to their systems and/or processes to incorporate MIC</w:t>
      </w:r>
      <w:r w:rsidR="00886474">
        <w:t>s</w:t>
      </w:r>
      <w:r>
        <w:t xml:space="preserve"> in reporting before the draft amended ASIC Rules commence on 1 April 2024, we think this is a small number of affected entities where nearly 99% of transactions by other reporting entities already incorporate MIC</w:t>
      </w:r>
      <w:r w:rsidR="00886474">
        <w:t>s</w:t>
      </w:r>
      <w:r>
        <w:t xml:space="preserve"> in reporting.</w:t>
      </w:r>
    </w:p>
    <w:p w14:paraId="776D3D80" w14:textId="77777777" w:rsidR="002975E5" w:rsidRDefault="002975E5" w:rsidP="002975E5">
      <w:pPr>
        <w:pStyle w:val="Heading4"/>
      </w:pPr>
      <w:r>
        <w:t>Data elements related to notional amounts and quantities</w:t>
      </w:r>
    </w:p>
    <w:p w14:paraId="34DD45F2" w14:textId="4268C7D5" w:rsidR="002975E5" w:rsidRDefault="002975E5" w:rsidP="00C443A0">
      <w:pPr>
        <w:pStyle w:val="BodyText"/>
        <w:numPr>
          <w:ilvl w:val="0"/>
          <w:numId w:val="17"/>
        </w:numPr>
        <w:spacing w:after="200"/>
      </w:pPr>
      <w:r>
        <w:t>The draft amended ASIC Rules (</w:t>
      </w:r>
      <w:r w:rsidR="00BA49CC">
        <w:t xml:space="preserve">see </w:t>
      </w:r>
      <w:r>
        <w:t xml:space="preserve">Attachment 2) include the following data elements related to notional amounts and quantities. We have decided not to proceed with </w:t>
      </w:r>
      <w:r w:rsidR="00BA49CC">
        <w:t xml:space="preserve">two </w:t>
      </w:r>
      <w:r>
        <w:t xml:space="preserve">data elements that were discussed in </w:t>
      </w:r>
      <w:hyperlink r:id="rId128" w:history="1">
        <w:r w:rsidRPr="00BA49CC">
          <w:rPr>
            <w:rStyle w:val="Hyperlink"/>
          </w:rPr>
          <w:t>CP 334</w:t>
        </w:r>
      </w:hyperlink>
      <w:r>
        <w:t xml:space="preserve"> to be considered for possible proposal in this consultation.</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560"/>
        <w:gridCol w:w="5244"/>
      </w:tblGrid>
      <w:tr w:rsidR="002975E5" w:rsidRPr="000540E1" w14:paraId="319C148F" w14:textId="77777777" w:rsidTr="00F5385D">
        <w:trPr>
          <w:cantSplit/>
        </w:trPr>
        <w:tc>
          <w:tcPr>
            <w:tcW w:w="1560" w:type="dxa"/>
            <w:shd w:val="clear" w:color="auto" w:fill="C2E3FA"/>
          </w:tcPr>
          <w:p w14:paraId="27D124DD" w14:textId="66011441" w:rsidR="002975E5" w:rsidRPr="000540E1" w:rsidRDefault="002975E5" w:rsidP="00F5385D">
            <w:pPr>
              <w:pStyle w:val="tablehead"/>
              <w:keepNext w:val="0"/>
              <w:spacing w:line="244" w:lineRule="atLeast"/>
            </w:pPr>
            <w:r>
              <w:t>Proceed per CP</w:t>
            </w:r>
            <w:r w:rsidR="00BA49CC">
              <w:t> </w:t>
            </w:r>
            <w:r>
              <w:t>334</w:t>
            </w:r>
          </w:p>
        </w:tc>
        <w:tc>
          <w:tcPr>
            <w:tcW w:w="5244" w:type="dxa"/>
          </w:tcPr>
          <w:p w14:paraId="6C711074" w14:textId="77777777" w:rsidR="00E80B77" w:rsidRDefault="002975E5" w:rsidP="00F5385D">
            <w:pPr>
              <w:pStyle w:val="tbltext"/>
              <w:spacing w:line="244" w:lineRule="atLeast"/>
            </w:pPr>
            <w:r w:rsidRPr="00F76596">
              <w:t>Notional amount</w:t>
            </w:r>
            <w:r w:rsidRPr="00584F15">
              <w:t>—</w:t>
            </w:r>
            <w:r>
              <w:t xml:space="preserve">Leg 1, </w:t>
            </w:r>
            <w:r w:rsidRPr="00F76596">
              <w:t>Notional amount</w:t>
            </w:r>
            <w:r w:rsidRPr="00584F15">
              <w:t>—</w:t>
            </w:r>
            <w:r>
              <w:t>Leg 2,</w:t>
            </w:r>
          </w:p>
          <w:p w14:paraId="61768575" w14:textId="77777777" w:rsidR="00E80B77" w:rsidRDefault="002975E5" w:rsidP="00F5385D">
            <w:pPr>
              <w:pStyle w:val="tbltext"/>
              <w:spacing w:line="244" w:lineRule="atLeast"/>
              <w:rPr>
                <w:color w:val="000000" w:themeColor="text1"/>
              </w:rPr>
            </w:pPr>
            <w:r>
              <w:rPr>
                <w:color w:val="000000" w:themeColor="text1"/>
              </w:rPr>
              <w:t>Total notional quantity</w:t>
            </w:r>
            <w:r w:rsidRPr="00B95D2B">
              <w:rPr>
                <w:color w:val="000000" w:themeColor="text1"/>
              </w:rPr>
              <w:t>—Leg 1</w:t>
            </w:r>
            <w:r>
              <w:rPr>
                <w:color w:val="000000" w:themeColor="text1"/>
              </w:rPr>
              <w:t xml:space="preserve">, </w:t>
            </w:r>
            <w:r w:rsidRPr="00B95D2B">
              <w:rPr>
                <w:color w:val="000000" w:themeColor="text1"/>
              </w:rPr>
              <w:t>Total notional quantity—Leg 2</w:t>
            </w:r>
            <w:r>
              <w:rPr>
                <w:color w:val="000000" w:themeColor="text1"/>
              </w:rPr>
              <w:t xml:space="preserve">, </w:t>
            </w:r>
            <w:r w:rsidRPr="00B95D2B">
              <w:rPr>
                <w:color w:val="000000" w:themeColor="text1"/>
              </w:rPr>
              <w:t xml:space="preserve">Notional </w:t>
            </w:r>
            <w:r>
              <w:rPr>
                <w:color w:val="000000" w:themeColor="text1"/>
              </w:rPr>
              <w:t>quantity</w:t>
            </w:r>
            <w:r w:rsidRPr="00B95D2B">
              <w:rPr>
                <w:color w:val="000000" w:themeColor="text1"/>
              </w:rPr>
              <w:t>—Leg 1</w:t>
            </w:r>
            <w:r>
              <w:rPr>
                <w:color w:val="000000" w:themeColor="text1"/>
              </w:rPr>
              <w:t xml:space="preserve">, </w:t>
            </w:r>
            <w:r w:rsidRPr="00B95D2B">
              <w:rPr>
                <w:color w:val="000000" w:themeColor="text1"/>
              </w:rPr>
              <w:t>Notional quantity—Leg 2</w:t>
            </w:r>
            <w:r>
              <w:rPr>
                <w:color w:val="000000" w:themeColor="text1"/>
              </w:rPr>
              <w:t>,</w:t>
            </w:r>
          </w:p>
          <w:p w14:paraId="1D8004DC" w14:textId="1AEACF5E" w:rsidR="002975E5" w:rsidRDefault="002975E5" w:rsidP="00F5385D">
            <w:pPr>
              <w:pStyle w:val="tbltext"/>
              <w:spacing w:line="244" w:lineRule="atLeast"/>
              <w:rPr>
                <w:color w:val="000000" w:themeColor="text1"/>
              </w:rPr>
            </w:pPr>
            <w:r w:rsidRPr="007A28FD">
              <w:rPr>
                <w:color w:val="000000" w:themeColor="text1"/>
              </w:rPr>
              <w:t>Call amount</w:t>
            </w:r>
            <w:r>
              <w:rPr>
                <w:color w:val="000000" w:themeColor="text1"/>
              </w:rPr>
              <w:t>, Put</w:t>
            </w:r>
            <w:r w:rsidRPr="007A28FD">
              <w:rPr>
                <w:color w:val="000000" w:themeColor="text1"/>
              </w:rPr>
              <w:t xml:space="preserve"> amount</w:t>
            </w:r>
            <w:r>
              <w:rPr>
                <w:color w:val="000000" w:themeColor="text1"/>
              </w:rPr>
              <w:t xml:space="preserve">, </w:t>
            </w:r>
          </w:p>
          <w:p w14:paraId="600A0813" w14:textId="77777777" w:rsidR="00E80B77" w:rsidRDefault="002975E5" w:rsidP="00F5385D">
            <w:pPr>
              <w:pStyle w:val="tbltext"/>
              <w:spacing w:line="244" w:lineRule="atLeast"/>
              <w:rPr>
                <w:color w:val="000000" w:themeColor="text1"/>
              </w:rPr>
            </w:pPr>
            <w:r w:rsidRPr="007A28FD">
              <w:rPr>
                <w:color w:val="000000" w:themeColor="text1"/>
              </w:rPr>
              <w:t>Notional currency—Leg 1</w:t>
            </w:r>
            <w:r>
              <w:rPr>
                <w:color w:val="000000" w:themeColor="text1"/>
              </w:rPr>
              <w:t xml:space="preserve">, </w:t>
            </w:r>
            <w:r w:rsidRPr="007A28FD">
              <w:rPr>
                <w:color w:val="000000" w:themeColor="text1"/>
              </w:rPr>
              <w:t>Notional currency—Leg 2</w:t>
            </w:r>
            <w:r>
              <w:rPr>
                <w:color w:val="000000" w:themeColor="text1"/>
              </w:rPr>
              <w:t>,</w:t>
            </w:r>
          </w:p>
          <w:p w14:paraId="1B81A57B" w14:textId="77777777" w:rsidR="00E80B77" w:rsidRDefault="002975E5" w:rsidP="00F5385D">
            <w:pPr>
              <w:pStyle w:val="tbltext"/>
              <w:spacing w:line="244" w:lineRule="atLeast"/>
              <w:rPr>
                <w:color w:val="000000" w:themeColor="text1"/>
              </w:rPr>
            </w:pPr>
            <w:r w:rsidRPr="00113E06">
              <w:rPr>
                <w:color w:val="000000" w:themeColor="text1"/>
              </w:rPr>
              <w:t>Quantity unit of measure—Leg 1</w:t>
            </w:r>
            <w:r>
              <w:rPr>
                <w:color w:val="000000" w:themeColor="text1"/>
              </w:rPr>
              <w:t xml:space="preserve">, </w:t>
            </w:r>
            <w:r w:rsidRPr="00113E06">
              <w:rPr>
                <w:color w:val="000000" w:themeColor="text1"/>
              </w:rPr>
              <w:t xml:space="preserve">Quantity unit of measure—Leg </w:t>
            </w:r>
            <w:r>
              <w:rPr>
                <w:color w:val="000000" w:themeColor="text1"/>
              </w:rPr>
              <w:t>2,</w:t>
            </w:r>
          </w:p>
          <w:p w14:paraId="534725D7" w14:textId="278E5C8F" w:rsidR="002975E5" w:rsidRDefault="002975E5" w:rsidP="00F5385D">
            <w:pPr>
              <w:pStyle w:val="tbltext"/>
              <w:spacing w:line="244" w:lineRule="atLeast"/>
              <w:rPr>
                <w:color w:val="000000" w:themeColor="text1"/>
              </w:rPr>
            </w:pPr>
            <w:r w:rsidRPr="00113E06">
              <w:rPr>
                <w:color w:val="000000" w:themeColor="text1"/>
              </w:rPr>
              <w:t>Call currency</w:t>
            </w:r>
            <w:r>
              <w:rPr>
                <w:color w:val="000000" w:themeColor="text1"/>
              </w:rPr>
              <w:t xml:space="preserve">, </w:t>
            </w:r>
            <w:r w:rsidRPr="00113E06">
              <w:rPr>
                <w:color w:val="000000" w:themeColor="text1"/>
              </w:rPr>
              <w:t>Put currency</w:t>
            </w:r>
            <w:r>
              <w:rPr>
                <w:color w:val="000000" w:themeColor="text1"/>
              </w:rPr>
              <w:t xml:space="preserve">, </w:t>
            </w:r>
          </w:p>
          <w:p w14:paraId="6B83929A" w14:textId="24341EAC" w:rsidR="002975E5" w:rsidRPr="008B4297" w:rsidRDefault="002975E5" w:rsidP="00F5385D">
            <w:pPr>
              <w:pStyle w:val="tbltext"/>
              <w:spacing w:line="244" w:lineRule="atLeast"/>
              <w:rPr>
                <w:color w:val="000000" w:themeColor="text1"/>
              </w:rPr>
            </w:pPr>
            <w:r w:rsidRPr="00CE6458">
              <w:rPr>
                <w:color w:val="000000" w:themeColor="text1"/>
              </w:rPr>
              <w:t>Notional amount schedule effective date—Leg 1</w:t>
            </w:r>
            <w:r>
              <w:rPr>
                <w:color w:val="000000" w:themeColor="text1"/>
              </w:rPr>
              <w:t>,</w:t>
            </w:r>
            <w:r w:rsidR="00E80B77">
              <w:rPr>
                <w:color w:val="000000" w:themeColor="text1"/>
              </w:rPr>
              <w:br/>
            </w:r>
            <w:r w:rsidRPr="00580E8E">
              <w:rPr>
                <w:color w:val="000000" w:themeColor="text1"/>
              </w:rPr>
              <w:t>Notional amount schedule end date—Leg 1</w:t>
            </w:r>
            <w:r>
              <w:rPr>
                <w:color w:val="000000" w:themeColor="text1"/>
              </w:rPr>
              <w:t>,</w:t>
            </w:r>
            <w:r w:rsidR="00E80B77">
              <w:rPr>
                <w:color w:val="000000" w:themeColor="text1"/>
              </w:rPr>
              <w:br/>
            </w:r>
            <w:r w:rsidRPr="00580E8E">
              <w:rPr>
                <w:color w:val="000000" w:themeColor="text1"/>
              </w:rPr>
              <w:t>Notional amount schedule amount—Leg 1</w:t>
            </w:r>
            <w:r>
              <w:rPr>
                <w:color w:val="000000" w:themeColor="text1"/>
              </w:rPr>
              <w:t>,</w:t>
            </w:r>
            <w:r w:rsidR="00E80B77">
              <w:rPr>
                <w:color w:val="000000" w:themeColor="text1"/>
              </w:rPr>
              <w:br/>
            </w:r>
            <w:r w:rsidRPr="00580E8E">
              <w:rPr>
                <w:color w:val="000000" w:themeColor="text1"/>
              </w:rPr>
              <w:t xml:space="preserve">Notional amount schedule effective date—Leg </w:t>
            </w:r>
            <w:r>
              <w:rPr>
                <w:color w:val="000000" w:themeColor="text1"/>
              </w:rPr>
              <w:t>2,</w:t>
            </w:r>
            <w:r w:rsidR="00E80B77">
              <w:rPr>
                <w:color w:val="000000" w:themeColor="text1"/>
              </w:rPr>
              <w:br/>
            </w:r>
            <w:r w:rsidRPr="00580E8E">
              <w:rPr>
                <w:color w:val="000000" w:themeColor="text1"/>
              </w:rPr>
              <w:t>Notional amount schedule end date—Leg 2</w:t>
            </w:r>
            <w:r>
              <w:rPr>
                <w:color w:val="000000" w:themeColor="text1"/>
              </w:rPr>
              <w:t>,</w:t>
            </w:r>
            <w:r w:rsidR="00E80B77">
              <w:rPr>
                <w:color w:val="000000" w:themeColor="text1"/>
              </w:rPr>
              <w:br/>
            </w:r>
            <w:r w:rsidRPr="00F64E92">
              <w:rPr>
                <w:color w:val="000000" w:themeColor="text1"/>
              </w:rPr>
              <w:t>Notional amount schedule amount—Leg 2</w:t>
            </w:r>
          </w:p>
        </w:tc>
      </w:tr>
      <w:tr w:rsidR="002975E5" w:rsidRPr="000540E1" w14:paraId="2F37D248" w14:textId="77777777" w:rsidTr="00F5385D">
        <w:trPr>
          <w:cantSplit/>
        </w:trPr>
        <w:tc>
          <w:tcPr>
            <w:tcW w:w="1560" w:type="dxa"/>
            <w:shd w:val="clear" w:color="auto" w:fill="C2E3FA"/>
          </w:tcPr>
          <w:p w14:paraId="4BCD7A1B" w14:textId="77777777" w:rsidR="002975E5" w:rsidRPr="000540E1" w:rsidRDefault="002975E5" w:rsidP="00F5385D">
            <w:pPr>
              <w:pStyle w:val="tablehead"/>
              <w:keepNext w:val="0"/>
              <w:spacing w:line="244" w:lineRule="atLeast"/>
            </w:pPr>
            <w:r>
              <w:t>Not proceed</w:t>
            </w:r>
          </w:p>
        </w:tc>
        <w:tc>
          <w:tcPr>
            <w:tcW w:w="5244" w:type="dxa"/>
          </w:tcPr>
          <w:p w14:paraId="24D23494" w14:textId="77777777" w:rsidR="002975E5" w:rsidRPr="000540E1" w:rsidRDefault="002975E5" w:rsidP="00F5385D">
            <w:pPr>
              <w:pStyle w:val="tbltext"/>
              <w:spacing w:line="244" w:lineRule="atLeast"/>
            </w:pPr>
            <w:r w:rsidRPr="00AE6A3B">
              <w:t>Notional quantity schedule</w:t>
            </w:r>
            <w:r>
              <w:t xml:space="preserve">—Leg 1, </w:t>
            </w:r>
            <w:r w:rsidRPr="00AE6A3B">
              <w:t>Notional quantity schedule</w:t>
            </w:r>
            <w:r>
              <w:t>—Leg 2</w:t>
            </w:r>
          </w:p>
        </w:tc>
      </w:tr>
      <w:tr w:rsidR="002975E5" w:rsidRPr="000540E1" w14:paraId="0C550919" w14:textId="77777777" w:rsidTr="00F5385D">
        <w:trPr>
          <w:cantSplit/>
        </w:trPr>
        <w:tc>
          <w:tcPr>
            <w:tcW w:w="1560" w:type="dxa"/>
            <w:shd w:val="clear" w:color="auto" w:fill="C2E3FA"/>
          </w:tcPr>
          <w:p w14:paraId="0B8AD6B2" w14:textId="77777777" w:rsidR="002975E5" w:rsidRPr="000540E1" w:rsidRDefault="002975E5" w:rsidP="00F5385D">
            <w:pPr>
              <w:pStyle w:val="tablehead"/>
              <w:keepNext w:val="0"/>
              <w:spacing w:line="244" w:lineRule="atLeast"/>
            </w:pPr>
            <w:r>
              <w:t>New proposal</w:t>
            </w:r>
          </w:p>
        </w:tc>
        <w:tc>
          <w:tcPr>
            <w:tcW w:w="5244" w:type="dxa"/>
          </w:tcPr>
          <w:p w14:paraId="685B2987" w14:textId="5272F1DB" w:rsidR="002975E5" w:rsidRPr="000540E1" w:rsidRDefault="00BA49CC" w:rsidP="00F5385D">
            <w:pPr>
              <w:pStyle w:val="tbltext"/>
              <w:spacing w:line="244" w:lineRule="atLeast"/>
            </w:pPr>
            <w:r>
              <w:t>Not applicable</w:t>
            </w:r>
          </w:p>
        </w:tc>
      </w:tr>
    </w:tbl>
    <w:p w14:paraId="354AAA85" w14:textId="2912C177" w:rsidR="002975E5" w:rsidRDefault="002975E5" w:rsidP="00C443A0">
      <w:pPr>
        <w:pStyle w:val="BodyText"/>
        <w:keepNext/>
        <w:numPr>
          <w:ilvl w:val="0"/>
          <w:numId w:val="17"/>
        </w:numPr>
        <w:spacing w:before="220" w:line="310" w:lineRule="atLeast"/>
      </w:pPr>
      <w:r>
        <w:t xml:space="preserve">As noted in paragraph </w:t>
      </w:r>
      <w:r>
        <w:fldChar w:fldCharType="begin" w:fldLock="1"/>
      </w:r>
      <w:r>
        <w:instrText xml:space="preserve"> REF _ASICRef97 \w \h </w:instrText>
      </w:r>
      <w:r>
        <w:fldChar w:fldCharType="separate"/>
      </w:r>
      <w:r w:rsidR="00853A2A">
        <w:t>345</w:t>
      </w:r>
      <w:r>
        <w:fldChar w:fldCharType="end"/>
      </w:r>
      <w:r>
        <w:t xml:space="preserve">, respondents to </w:t>
      </w:r>
      <w:hyperlink r:id="rId129" w:history="1">
        <w:r w:rsidRPr="003A72D1">
          <w:rPr>
            <w:rStyle w:val="Hyperlink"/>
          </w:rPr>
          <w:t>CP 334</w:t>
        </w:r>
      </w:hyperlink>
      <w:r>
        <w:t xml:space="preserve"> indicated a low incidence of quantity schedules that would not be simply equivalent to notional amount divided by price, and there was no apparent consensus preference to report an entire notional quantity schedule upfront compared with reporting modification updates to notional quantity as and when different notional quantity schedule values become effective. We have decided not to make any proposal to include notional quantity schedule data elements.</w:t>
      </w:r>
    </w:p>
    <w:p w14:paraId="0C7C9121" w14:textId="77777777" w:rsidR="002975E5" w:rsidRDefault="002975E5" w:rsidP="00C443A0">
      <w:pPr>
        <w:pStyle w:val="BodyText"/>
        <w:numPr>
          <w:ilvl w:val="0"/>
          <w:numId w:val="17"/>
        </w:numPr>
        <w:spacing w:before="220" w:line="310" w:lineRule="atLeast"/>
      </w:pPr>
      <w:r>
        <w:t>Otherwise, respondents were not opposed to our proposals for expanding the existing notional amounts, quantities and currencies data elements to their leg 2 equivalents, including notional amount schedule information and generalising to all asset classes.</w:t>
      </w:r>
    </w:p>
    <w:p w14:paraId="21D8462E" w14:textId="589BD17E" w:rsidR="002975E5" w:rsidRDefault="002975E5" w:rsidP="002975E5">
      <w:pPr>
        <w:pStyle w:val="Heading5"/>
      </w:pPr>
      <w:r>
        <w:t xml:space="preserve">Which is </w:t>
      </w:r>
      <w:r w:rsidR="00BA49CC">
        <w:t>l</w:t>
      </w:r>
      <w:r>
        <w:t xml:space="preserve">eg 1 and which is </w:t>
      </w:r>
      <w:r w:rsidR="00BA49CC">
        <w:t>l</w:t>
      </w:r>
      <w:r>
        <w:t>eg 2?</w:t>
      </w:r>
    </w:p>
    <w:p w14:paraId="0109061E" w14:textId="0866D1CE" w:rsidR="002975E5" w:rsidRDefault="002975E5" w:rsidP="00C443A0">
      <w:pPr>
        <w:pStyle w:val="BodyText"/>
        <w:numPr>
          <w:ilvl w:val="0"/>
          <w:numId w:val="17"/>
        </w:numPr>
        <w:spacing w:before="220" w:line="310" w:lineRule="atLeast"/>
      </w:pPr>
      <w:r>
        <w:t xml:space="preserve">Prior to elaborating on the various </w:t>
      </w:r>
      <w:r w:rsidR="00BA49CC">
        <w:t>l</w:t>
      </w:r>
      <w:r>
        <w:t xml:space="preserve">eg 1 and </w:t>
      </w:r>
      <w:r w:rsidR="00BA49CC">
        <w:t>l</w:t>
      </w:r>
      <w:r>
        <w:t xml:space="preserve">eg 2 data elements for notional amounts and quantities, we think it is important to discuss which legs of a transaction should be considered as </w:t>
      </w:r>
      <w:r w:rsidR="00BA49CC">
        <w:t>l</w:t>
      </w:r>
      <w:r>
        <w:t xml:space="preserve">eg 1 and </w:t>
      </w:r>
      <w:r w:rsidR="00BA49CC">
        <w:t>l</w:t>
      </w:r>
      <w:r>
        <w:t>eg 2 respectively.</w:t>
      </w:r>
    </w:p>
    <w:p w14:paraId="523C513D" w14:textId="6F58488B" w:rsidR="002975E5" w:rsidRDefault="002975E5" w:rsidP="00C443A0">
      <w:pPr>
        <w:pStyle w:val="BodyText"/>
        <w:numPr>
          <w:ilvl w:val="0"/>
          <w:numId w:val="17"/>
        </w:numPr>
        <w:spacing w:before="220" w:line="310" w:lineRule="atLeast"/>
      </w:pPr>
      <w:r>
        <w:t>The set of ASIC data elements, as with the data element sets in other jurisdictions, requires the reporting of a number of attributes relating to the ‘leg’ of a transaction, including an indicator of what the reporting entity is doing on the leg</w:t>
      </w:r>
      <w:r w:rsidR="00404CA5">
        <w:t>—</w:t>
      </w:r>
      <w:r w:rsidR="00BA49CC">
        <w:t>that is,</w:t>
      </w:r>
      <w:r>
        <w:t xml:space="preserve"> paying or receiving. Given the reported indicator of the action on a leg, it need not matter whether a transaction is reported in a </w:t>
      </w:r>
      <w:r w:rsidR="00BA49CC">
        <w:t>l</w:t>
      </w:r>
      <w:r>
        <w:t>eg 1/</w:t>
      </w:r>
      <w:r w:rsidR="00BA49CC">
        <w:t>l</w:t>
      </w:r>
      <w:r>
        <w:t xml:space="preserve">eg 2 pattern or a </w:t>
      </w:r>
      <w:r w:rsidR="00BA49CC">
        <w:t>l</w:t>
      </w:r>
      <w:r>
        <w:t>eg 2/</w:t>
      </w:r>
      <w:r w:rsidR="00BA49CC">
        <w:t>l</w:t>
      </w:r>
      <w:r>
        <w:t>eg 1 pattern.</w:t>
      </w:r>
    </w:p>
    <w:p w14:paraId="6F056EAB" w14:textId="4BCCE315" w:rsidR="002975E5" w:rsidRDefault="002975E5" w:rsidP="00C443A0">
      <w:pPr>
        <w:pStyle w:val="BodyText"/>
        <w:numPr>
          <w:ilvl w:val="0"/>
          <w:numId w:val="17"/>
        </w:numPr>
        <w:spacing w:before="220" w:line="310" w:lineRule="atLeast"/>
      </w:pPr>
      <w:r>
        <w:t xml:space="preserve">As we understand it from interactions between industry and regulators in other jurisdictions, industry is generally of the view that there need not be guidance or prescription about determining </w:t>
      </w:r>
      <w:r w:rsidR="00BA49CC">
        <w:t>l</w:t>
      </w:r>
      <w:r>
        <w:t xml:space="preserve">eg 1 and </w:t>
      </w:r>
      <w:r w:rsidR="00BA49CC">
        <w:t>l</w:t>
      </w:r>
      <w:r>
        <w:t>eg 2 for different kinds of transactions in different asset classes. We also understand that it is a commonly held view that forward contracts and option contracts (other than foreign exchange contracts) are not considered to have ‘legs’.</w:t>
      </w:r>
    </w:p>
    <w:p w14:paraId="3E7395CD" w14:textId="4436A5BF" w:rsidR="002975E5" w:rsidRDefault="002975E5" w:rsidP="00C443A0">
      <w:pPr>
        <w:pStyle w:val="BodyText"/>
        <w:numPr>
          <w:ilvl w:val="0"/>
          <w:numId w:val="17"/>
        </w:numPr>
        <w:spacing w:before="220" w:line="310" w:lineRule="atLeast"/>
      </w:pPr>
      <w:r>
        <w:t xml:space="preserve">However, we think there is scope for, and benefits in, setting out some high-level guidance in order to promote a level of conformance to common methods of reporting. The guidance that we propose is not intended to cover every transactional circumstance and is set out in </w:t>
      </w:r>
      <w:r>
        <w:fldChar w:fldCharType="begin" w:fldLock="1"/>
      </w:r>
      <w:r>
        <w:instrText xml:space="preserve"> REF _Ref96430957 \h </w:instrText>
      </w:r>
      <w:r>
        <w:fldChar w:fldCharType="separate"/>
      </w:r>
      <w:r w:rsidR="00853A2A">
        <w:t xml:space="preserve">Table </w:t>
      </w:r>
      <w:r w:rsidR="00853A2A">
        <w:rPr>
          <w:noProof/>
        </w:rPr>
        <w:t>31</w:t>
      </w:r>
      <w:r>
        <w:fldChar w:fldCharType="end"/>
      </w:r>
      <w:r>
        <w:t>.</w:t>
      </w:r>
    </w:p>
    <w:p w14:paraId="7346A0BA" w14:textId="4B099BAF" w:rsidR="002975E5" w:rsidRDefault="002975E5" w:rsidP="002975E5">
      <w:pPr>
        <w:pStyle w:val="tabletitleindented"/>
      </w:pPr>
      <w:bookmarkStart w:id="205" w:name="_Ref96430957"/>
      <w:r>
        <w:t xml:space="preserve">Table </w:t>
      </w:r>
      <w:fldSimple w:instr=" SEQ Table \* ARABIC ">
        <w:r w:rsidR="006679BA">
          <w:rPr>
            <w:noProof/>
          </w:rPr>
          <w:t>31</w:t>
        </w:r>
      </w:fldSimple>
      <w:bookmarkEnd w:id="205"/>
      <w:r>
        <w:t>:</w:t>
      </w:r>
      <w:r>
        <w:tab/>
        <w:t xml:space="preserve">High-level guidance on </w:t>
      </w:r>
      <w:r w:rsidR="004253F8">
        <w:t>l</w:t>
      </w:r>
      <w:r>
        <w:t>eg 1/</w:t>
      </w:r>
      <w:r w:rsidR="004253F8">
        <w:t>l</w:t>
      </w:r>
      <w:r>
        <w:t>eg 2 reporting</w:t>
      </w:r>
    </w:p>
    <w:tbl>
      <w:tblPr>
        <w:tblW w:w="6912" w:type="dxa"/>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510"/>
        <w:gridCol w:w="3402"/>
      </w:tblGrid>
      <w:tr w:rsidR="002975E5" w:rsidRPr="000540E1" w14:paraId="2BAD49B2" w14:textId="77777777" w:rsidTr="00A11F3A">
        <w:trPr>
          <w:cantSplit/>
          <w:tblHeader/>
        </w:trPr>
        <w:tc>
          <w:tcPr>
            <w:tcW w:w="3510" w:type="dxa"/>
            <w:shd w:val="clear" w:color="auto" w:fill="C2E3FA"/>
          </w:tcPr>
          <w:p w14:paraId="7790F5CE" w14:textId="77777777" w:rsidR="002975E5" w:rsidRPr="000540E1" w:rsidRDefault="002975E5" w:rsidP="00F5385D">
            <w:pPr>
              <w:pStyle w:val="tablehead"/>
              <w:spacing w:line="260" w:lineRule="atLeast"/>
            </w:pPr>
            <w:r>
              <w:t>Guidance element</w:t>
            </w:r>
          </w:p>
        </w:tc>
        <w:tc>
          <w:tcPr>
            <w:tcW w:w="3402" w:type="dxa"/>
            <w:shd w:val="clear" w:color="auto" w:fill="C2E3FA"/>
          </w:tcPr>
          <w:p w14:paraId="0F32D1F4" w14:textId="77777777" w:rsidR="002975E5" w:rsidRPr="000540E1" w:rsidRDefault="002975E5" w:rsidP="00F5385D">
            <w:pPr>
              <w:pStyle w:val="tablehead"/>
              <w:spacing w:line="260" w:lineRule="atLeast"/>
            </w:pPr>
            <w:r>
              <w:t>Explanation</w:t>
            </w:r>
          </w:p>
        </w:tc>
      </w:tr>
      <w:tr w:rsidR="002975E5" w:rsidRPr="000540E1" w14:paraId="6FD9BCA9" w14:textId="77777777" w:rsidTr="00A11F3A">
        <w:trPr>
          <w:cantSplit/>
        </w:trPr>
        <w:tc>
          <w:tcPr>
            <w:tcW w:w="3510" w:type="dxa"/>
          </w:tcPr>
          <w:p w14:paraId="31F0F327" w14:textId="77777777" w:rsidR="002975E5" w:rsidRPr="000540E1" w:rsidRDefault="002975E5" w:rsidP="00F5385D">
            <w:pPr>
              <w:pStyle w:val="tbltext"/>
              <w:spacing w:line="260" w:lineRule="atLeast"/>
            </w:pPr>
            <w:r>
              <w:t>Notional amount</w:t>
            </w:r>
            <w:r w:rsidRPr="00584F15">
              <w:t>—</w:t>
            </w:r>
            <w:r>
              <w:t>Leg 1 must always be reported</w:t>
            </w:r>
          </w:p>
        </w:tc>
        <w:tc>
          <w:tcPr>
            <w:tcW w:w="3402" w:type="dxa"/>
          </w:tcPr>
          <w:p w14:paraId="03ACEF92" w14:textId="06B90AC3" w:rsidR="002975E5" w:rsidRPr="007812E0" w:rsidRDefault="002975E5" w:rsidP="00F5385D">
            <w:pPr>
              <w:pStyle w:val="tbltext"/>
              <w:spacing w:line="260" w:lineRule="atLeast"/>
            </w:pPr>
            <w:r w:rsidRPr="007812E0">
              <w:t xml:space="preserve">Notional amount—Leg 1 would be reported as the actual notional amount or the equivalent to the actual </w:t>
            </w:r>
            <w:r w:rsidR="00886474">
              <w:t>T</w:t>
            </w:r>
            <w:r w:rsidR="00886474" w:rsidRPr="007812E0">
              <w:t xml:space="preserve">otal </w:t>
            </w:r>
            <w:r w:rsidRPr="007812E0">
              <w:t>notional quantity—Leg 1</w:t>
            </w:r>
          </w:p>
          <w:p w14:paraId="1C6F63B2" w14:textId="77777777" w:rsidR="002975E5" w:rsidRPr="007812E0" w:rsidRDefault="002975E5" w:rsidP="00F5385D">
            <w:pPr>
              <w:pStyle w:val="tbltext"/>
              <w:spacing w:line="260" w:lineRule="atLeast"/>
            </w:pPr>
            <w:r w:rsidRPr="007812E0">
              <w:t>This is consistent with the view that a forward or option contract (other than a foreign exchange contract) can be represented as:</w:t>
            </w:r>
          </w:p>
          <w:p w14:paraId="78506B38" w14:textId="77777777" w:rsidR="002975E5" w:rsidRPr="007812E0" w:rsidRDefault="002975E5" w:rsidP="00F5385D">
            <w:pPr>
              <w:pStyle w:val="ListBullet"/>
              <w:spacing w:before="120" w:line="260" w:lineRule="atLeast"/>
              <w:ind w:left="284" w:hanging="284"/>
            </w:pPr>
            <w:r w:rsidRPr="007812E0">
              <w:rPr>
                <w:rFonts w:ascii="Arial" w:hAnsi="Arial" w:cs="Arial"/>
                <w:sz w:val="18"/>
                <w:szCs w:val="18"/>
              </w:rPr>
              <w:t>Notional amount—Leg 1</w:t>
            </w:r>
            <w:r>
              <w:rPr>
                <w:rFonts w:ascii="Arial" w:hAnsi="Arial" w:cs="Arial"/>
                <w:sz w:val="18"/>
                <w:szCs w:val="18"/>
              </w:rPr>
              <w:t xml:space="preserve"> only</w:t>
            </w:r>
          </w:p>
          <w:p w14:paraId="402E2F17" w14:textId="32A6673E" w:rsidR="002975E5" w:rsidRPr="007812E0" w:rsidRDefault="002975E5" w:rsidP="00F5385D">
            <w:pPr>
              <w:pStyle w:val="ListBullet"/>
              <w:spacing w:before="120" w:line="260" w:lineRule="atLeast"/>
              <w:ind w:left="284" w:hanging="284"/>
            </w:pPr>
            <w:r w:rsidRPr="007812E0">
              <w:rPr>
                <w:rFonts w:ascii="Arial" w:hAnsi="Arial" w:cs="Arial"/>
                <w:sz w:val="18"/>
                <w:szCs w:val="18"/>
              </w:rPr>
              <w:t>Notional</w:t>
            </w:r>
            <w:r>
              <w:rPr>
                <w:rFonts w:ascii="Arial" w:hAnsi="Arial" w:cs="Arial"/>
                <w:sz w:val="18"/>
                <w:szCs w:val="18"/>
              </w:rPr>
              <w:t xml:space="preserve"> quantity</w:t>
            </w:r>
            <w:r w:rsidRPr="007812E0">
              <w:rPr>
                <w:rFonts w:ascii="Arial" w:hAnsi="Arial" w:cs="Arial"/>
                <w:sz w:val="18"/>
                <w:szCs w:val="18"/>
              </w:rPr>
              <w:t>—Leg 1</w:t>
            </w:r>
            <w:r>
              <w:rPr>
                <w:rFonts w:ascii="Arial" w:hAnsi="Arial" w:cs="Arial"/>
                <w:sz w:val="18"/>
                <w:szCs w:val="18"/>
              </w:rPr>
              <w:t xml:space="preserve"> v</w:t>
            </w:r>
            <w:r w:rsidR="004253F8">
              <w:rPr>
                <w:rFonts w:ascii="Arial" w:hAnsi="Arial" w:cs="Arial"/>
                <w:sz w:val="18"/>
                <w:szCs w:val="18"/>
              </w:rPr>
              <w:t>.</w:t>
            </w:r>
            <w:r>
              <w:rPr>
                <w:rFonts w:ascii="Arial" w:hAnsi="Arial" w:cs="Arial"/>
                <w:sz w:val="18"/>
                <w:szCs w:val="18"/>
              </w:rPr>
              <w:t xml:space="preserve"> </w:t>
            </w:r>
            <w:r w:rsidRPr="007812E0">
              <w:rPr>
                <w:rFonts w:ascii="Arial" w:hAnsi="Arial" w:cs="Arial"/>
                <w:sz w:val="18"/>
                <w:szCs w:val="18"/>
              </w:rPr>
              <w:t>Notional amount—Leg 1</w:t>
            </w:r>
          </w:p>
          <w:p w14:paraId="46D166FD" w14:textId="77777777" w:rsidR="002975E5" w:rsidRDefault="002975E5" w:rsidP="00F5385D">
            <w:pPr>
              <w:pStyle w:val="tbltext"/>
              <w:spacing w:line="260" w:lineRule="atLeast"/>
            </w:pPr>
            <w:r>
              <w:t>This does not preclude that a contract could be viewed and reported as e.g.:</w:t>
            </w:r>
          </w:p>
          <w:p w14:paraId="6A68C562" w14:textId="34D3815A" w:rsidR="002975E5" w:rsidRPr="007812E0" w:rsidRDefault="002975E5" w:rsidP="00F5385D">
            <w:pPr>
              <w:pStyle w:val="ListBullet"/>
              <w:spacing w:before="120" w:line="260" w:lineRule="atLeast"/>
              <w:ind w:left="284" w:hanging="284"/>
            </w:pPr>
            <w:r w:rsidRPr="007812E0">
              <w:rPr>
                <w:rFonts w:ascii="Arial" w:hAnsi="Arial" w:cs="Arial"/>
                <w:sz w:val="18"/>
                <w:szCs w:val="18"/>
              </w:rPr>
              <w:t>Notional</w:t>
            </w:r>
            <w:r>
              <w:rPr>
                <w:rFonts w:ascii="Arial" w:hAnsi="Arial" w:cs="Arial"/>
                <w:sz w:val="18"/>
                <w:szCs w:val="18"/>
              </w:rPr>
              <w:t xml:space="preserve"> quantity</w:t>
            </w:r>
            <w:r w:rsidRPr="007812E0">
              <w:rPr>
                <w:rFonts w:ascii="Arial" w:hAnsi="Arial" w:cs="Arial"/>
                <w:sz w:val="18"/>
                <w:szCs w:val="18"/>
              </w:rPr>
              <w:t>—Leg 1</w:t>
            </w:r>
            <w:r>
              <w:rPr>
                <w:rFonts w:ascii="Arial" w:hAnsi="Arial" w:cs="Arial"/>
                <w:sz w:val="18"/>
                <w:szCs w:val="18"/>
              </w:rPr>
              <w:t xml:space="preserve"> v</w:t>
            </w:r>
            <w:r w:rsidR="004253F8">
              <w:rPr>
                <w:rFonts w:ascii="Arial" w:hAnsi="Arial" w:cs="Arial"/>
                <w:sz w:val="18"/>
                <w:szCs w:val="18"/>
              </w:rPr>
              <w:t>.</w:t>
            </w:r>
            <w:r>
              <w:rPr>
                <w:rFonts w:ascii="Arial" w:hAnsi="Arial" w:cs="Arial"/>
                <w:sz w:val="18"/>
                <w:szCs w:val="18"/>
              </w:rPr>
              <w:t xml:space="preserve"> </w:t>
            </w:r>
            <w:r w:rsidRPr="007812E0">
              <w:rPr>
                <w:rFonts w:ascii="Arial" w:hAnsi="Arial" w:cs="Arial"/>
                <w:sz w:val="18"/>
                <w:szCs w:val="18"/>
              </w:rPr>
              <w:t xml:space="preserve">Notional amount—Leg </w:t>
            </w:r>
            <w:r>
              <w:rPr>
                <w:rFonts w:ascii="Arial" w:hAnsi="Arial" w:cs="Arial"/>
                <w:sz w:val="18"/>
                <w:szCs w:val="18"/>
              </w:rPr>
              <w:t>2</w:t>
            </w:r>
          </w:p>
          <w:p w14:paraId="506939C3" w14:textId="31162CA4" w:rsidR="002975E5" w:rsidRPr="007812E0" w:rsidRDefault="002975E5" w:rsidP="00F5385D">
            <w:pPr>
              <w:pStyle w:val="tbltext"/>
              <w:spacing w:line="260" w:lineRule="atLeast"/>
            </w:pPr>
            <w:r>
              <w:t>p</w:t>
            </w:r>
            <w:r w:rsidRPr="007812E0">
              <w:t>rovide</w:t>
            </w:r>
            <w:r>
              <w:t xml:space="preserve">d that </w:t>
            </w:r>
            <w:r w:rsidRPr="007812E0">
              <w:t>Notional amount—Leg 1</w:t>
            </w:r>
            <w:r>
              <w:t xml:space="preserve"> was also reported</w:t>
            </w:r>
          </w:p>
        </w:tc>
      </w:tr>
      <w:tr w:rsidR="002975E5" w:rsidRPr="000540E1" w14:paraId="4D22148D" w14:textId="77777777" w:rsidTr="00A11F3A">
        <w:trPr>
          <w:cantSplit/>
        </w:trPr>
        <w:tc>
          <w:tcPr>
            <w:tcW w:w="3510" w:type="dxa"/>
          </w:tcPr>
          <w:p w14:paraId="0F27A2E6" w14:textId="7BB46431" w:rsidR="002975E5" w:rsidRPr="000540E1" w:rsidRDefault="002975E5" w:rsidP="00F5385D">
            <w:pPr>
              <w:pStyle w:val="tbltext"/>
              <w:spacing w:line="260" w:lineRule="atLeast"/>
            </w:pPr>
            <w:r>
              <w:t xml:space="preserve">For derivatives </w:t>
            </w:r>
            <w:r w:rsidR="001A582E">
              <w:t xml:space="preserve">involving </w:t>
            </w:r>
            <w:r>
              <w:t xml:space="preserve">fixed prices, </w:t>
            </w:r>
            <w:r w:rsidR="0034479B">
              <w:t xml:space="preserve">fixed </w:t>
            </w:r>
            <w:r>
              <w:t xml:space="preserve">rates or strike prices, </w:t>
            </w:r>
            <w:r w:rsidR="004253F8">
              <w:t>l</w:t>
            </w:r>
            <w:r>
              <w:t xml:space="preserve">eg 1 should describe the fixed price or rate and </w:t>
            </w:r>
            <w:r w:rsidR="004253F8">
              <w:t>l</w:t>
            </w:r>
            <w:r>
              <w:t>eg 2 should describe the floating price or rate leg</w:t>
            </w:r>
          </w:p>
        </w:tc>
        <w:tc>
          <w:tcPr>
            <w:tcW w:w="3402" w:type="dxa"/>
          </w:tcPr>
          <w:p w14:paraId="7EA0FCA3" w14:textId="4E031A99" w:rsidR="002975E5" w:rsidRDefault="002975E5" w:rsidP="00F5385D">
            <w:pPr>
              <w:pStyle w:val="tbltext"/>
              <w:spacing w:line="260" w:lineRule="atLeast"/>
            </w:pPr>
            <w:r>
              <w:t xml:space="preserve">This provides data conformance for the Australian regulators to be able to readily understand </w:t>
            </w:r>
            <w:r w:rsidR="004253F8">
              <w:t>l</w:t>
            </w:r>
            <w:r>
              <w:t>eg 1 as providing the fixed price or rate returns</w:t>
            </w:r>
          </w:p>
          <w:p w14:paraId="0108E411" w14:textId="68203B71" w:rsidR="002975E5" w:rsidRPr="000540E1" w:rsidRDefault="002975E5" w:rsidP="00F5385D">
            <w:pPr>
              <w:pStyle w:val="tbltext"/>
              <w:spacing w:line="260" w:lineRule="atLeast"/>
            </w:pPr>
            <w:r>
              <w:t>For a transaction involving two fixed prices or rates or two floating prices or rates, the price or rate returns can be attributed to the legs in any combinatio</w:t>
            </w:r>
            <w:r w:rsidR="004253F8">
              <w:t>n</w:t>
            </w:r>
          </w:p>
        </w:tc>
      </w:tr>
      <w:tr w:rsidR="002975E5" w:rsidRPr="000540E1" w14:paraId="770DECBC" w14:textId="77777777" w:rsidTr="00A11F3A">
        <w:trPr>
          <w:cantSplit/>
        </w:trPr>
        <w:tc>
          <w:tcPr>
            <w:tcW w:w="3510" w:type="dxa"/>
          </w:tcPr>
          <w:p w14:paraId="2F7B3DCA" w14:textId="3795526A" w:rsidR="002975E5" w:rsidRPr="000540E1" w:rsidRDefault="002975E5" w:rsidP="00F5385D">
            <w:pPr>
              <w:pStyle w:val="tbltext"/>
              <w:spacing w:line="260" w:lineRule="atLeast"/>
            </w:pPr>
            <w:r>
              <w:t xml:space="preserve">For credit, commodity and equity derivatives, </w:t>
            </w:r>
            <w:r w:rsidR="004253F8">
              <w:t>l</w:t>
            </w:r>
            <w:r>
              <w:t>eg 1 should describe the credit, commodity or equity price or parameter returns</w:t>
            </w:r>
          </w:p>
        </w:tc>
        <w:tc>
          <w:tcPr>
            <w:tcW w:w="3402" w:type="dxa"/>
          </w:tcPr>
          <w:p w14:paraId="25FE4826" w14:textId="48BB302F" w:rsidR="002975E5" w:rsidRDefault="002975E5" w:rsidP="00F5385D">
            <w:pPr>
              <w:pStyle w:val="tbltext"/>
              <w:spacing w:line="260" w:lineRule="atLeast"/>
            </w:pPr>
            <w:r>
              <w:t xml:space="preserve">This provides data conformance for the Australian regulators to be able to readily understand </w:t>
            </w:r>
            <w:r w:rsidR="004253F8">
              <w:t xml:space="preserve">leg </w:t>
            </w:r>
            <w:r>
              <w:t>1 as providing the asset class returns</w:t>
            </w:r>
          </w:p>
          <w:p w14:paraId="2722A483" w14:textId="4640C464" w:rsidR="002975E5" w:rsidRPr="000540E1" w:rsidRDefault="002975E5" w:rsidP="00F5385D">
            <w:pPr>
              <w:pStyle w:val="tbltext"/>
              <w:spacing w:line="260" w:lineRule="atLeast"/>
            </w:pPr>
            <w:r>
              <w:t>For a transaction involving a credit, commodity or equity return on both legs (other than a fixed v</w:t>
            </w:r>
            <w:r w:rsidR="004253F8">
              <w:t>.</w:t>
            </w:r>
            <w:r>
              <w:t xml:space="preserve"> floating return in the same asset class), including</w:t>
            </w:r>
            <w:r w:rsidR="0012112F">
              <w:t xml:space="preserve"> </w:t>
            </w:r>
            <w:r>
              <w:t>a commodity return on one leg and an equity return on the other leg, the asset class returns can be attributed to the legs in any combination</w:t>
            </w:r>
          </w:p>
        </w:tc>
      </w:tr>
    </w:tbl>
    <w:p w14:paraId="6C3FDC82" w14:textId="77777777" w:rsidR="002975E5" w:rsidRDefault="002975E5" w:rsidP="002975E5">
      <w:pPr>
        <w:pStyle w:val="Heading5"/>
      </w:pPr>
      <w:r>
        <w:t>Data elements relating to notional amounts and quantities in the draft amended ASIC Rules</w:t>
      </w:r>
    </w:p>
    <w:p w14:paraId="68FB5CF0" w14:textId="4D2B5227" w:rsidR="002975E5" w:rsidRDefault="002975E5" w:rsidP="0083427D">
      <w:pPr>
        <w:pStyle w:val="BodyText"/>
        <w:numPr>
          <w:ilvl w:val="0"/>
          <w:numId w:val="17"/>
        </w:numPr>
        <w:spacing w:before="220" w:line="310" w:lineRule="atLeast"/>
      </w:pPr>
      <w:r>
        <w:t>The meaning of the items related to notional amounts, total notional quantities and notional quantities follow, in</w:t>
      </w:r>
      <w:r w:rsidR="004253F8">
        <w:t xml:space="preserve"> </w:t>
      </w:r>
      <w:r>
        <w:t>principle, the definitions in the CDE Guidance.</w:t>
      </w:r>
    </w:p>
    <w:p w14:paraId="0E294AD1" w14:textId="6EE5BC23" w:rsidR="002975E5" w:rsidRDefault="002975E5" w:rsidP="0083427D">
      <w:pPr>
        <w:pStyle w:val="BodyText"/>
        <w:numPr>
          <w:ilvl w:val="0"/>
          <w:numId w:val="17"/>
        </w:numPr>
        <w:spacing w:before="220" w:line="310" w:lineRule="atLeast"/>
      </w:pPr>
      <w:r>
        <w:t xml:space="preserve">In Table S1.1(1), item 24 </w:t>
      </w:r>
      <w:r w:rsidR="004253F8">
        <w:t>‘</w:t>
      </w:r>
      <w:r w:rsidRPr="00F76596">
        <w:t>Notional amount</w:t>
      </w:r>
      <w:r w:rsidRPr="00584F15">
        <w:t>—</w:t>
      </w:r>
      <w:r>
        <w:t>Leg 1</w:t>
      </w:r>
      <w:r w:rsidR="004253F8">
        <w:t>’</w:t>
      </w:r>
      <w:r>
        <w:t xml:space="preserve"> is defined in terms of:</w:t>
      </w:r>
    </w:p>
    <w:p w14:paraId="6127EF6B" w14:textId="11FB7F75" w:rsidR="002975E5" w:rsidRDefault="002975E5" w:rsidP="0083427D">
      <w:pPr>
        <w:pStyle w:val="subparaa"/>
        <w:numPr>
          <w:ilvl w:val="1"/>
          <w:numId w:val="17"/>
        </w:numPr>
        <w:spacing w:before="120" w:line="310" w:lineRule="atLeast"/>
      </w:pPr>
      <w:r>
        <w:rPr>
          <w:color w:val="000000" w:themeColor="text1"/>
        </w:rPr>
        <w:t>the n</w:t>
      </w:r>
      <w:r w:rsidRPr="007A28FD">
        <w:rPr>
          <w:color w:val="000000" w:themeColor="text1"/>
        </w:rPr>
        <w:t xml:space="preserve">otional amount </w:t>
      </w:r>
      <w:r>
        <w:t xml:space="preserve">taken from </w:t>
      </w:r>
      <w:r w:rsidRPr="00C468E0">
        <w:t>the</w:t>
      </w:r>
      <w:r>
        <w:t xml:space="preserve"> trade </w:t>
      </w:r>
      <w:r w:rsidRPr="00C468E0">
        <w:t>confirmation</w:t>
      </w:r>
      <w:r w:rsidR="00404CA5">
        <w:t>—</w:t>
      </w:r>
      <w:r>
        <w:t>this corresponds to ‘</w:t>
      </w:r>
      <w:r w:rsidRPr="00933B08">
        <w:t>amount specified in the contract</w:t>
      </w:r>
      <w:r>
        <w:t>’ in the CDE Guidance;</w:t>
      </w:r>
      <w:r w:rsidR="002250B5">
        <w:t xml:space="preserve"> and</w:t>
      </w:r>
    </w:p>
    <w:p w14:paraId="5418BE40" w14:textId="5FB2ED40" w:rsidR="002975E5" w:rsidRPr="002143E0" w:rsidRDefault="002975E5" w:rsidP="0083427D">
      <w:pPr>
        <w:pStyle w:val="subparaa"/>
        <w:numPr>
          <w:ilvl w:val="1"/>
          <w:numId w:val="17"/>
        </w:numPr>
        <w:spacing w:before="120" w:line="310" w:lineRule="atLeast"/>
      </w:pPr>
      <w:r>
        <w:rPr>
          <w:color w:val="000000" w:themeColor="text1"/>
        </w:rPr>
        <w:t xml:space="preserve">attributed by the reporting entity to </w:t>
      </w:r>
      <w:r w:rsidR="004253F8">
        <w:rPr>
          <w:color w:val="000000" w:themeColor="text1"/>
        </w:rPr>
        <w:t>l</w:t>
      </w:r>
      <w:r>
        <w:rPr>
          <w:color w:val="000000" w:themeColor="text1"/>
        </w:rPr>
        <w:t>eg 1</w:t>
      </w:r>
      <w:r w:rsidR="00404CA5">
        <w:rPr>
          <w:color w:val="000000" w:themeColor="text1"/>
        </w:rPr>
        <w:t>—</w:t>
      </w:r>
      <w:r>
        <w:rPr>
          <w:color w:val="000000" w:themeColor="text1"/>
        </w:rPr>
        <w:t xml:space="preserve">the trade confirmation may or may not specify an amount as being a </w:t>
      </w:r>
      <w:r w:rsidR="004253F8">
        <w:rPr>
          <w:color w:val="000000" w:themeColor="text1"/>
        </w:rPr>
        <w:t>l</w:t>
      </w:r>
      <w:r>
        <w:rPr>
          <w:color w:val="000000" w:themeColor="text1"/>
        </w:rPr>
        <w:t xml:space="preserve">eg 1 amount, but the reporting entity needs to attribute a notional amount to </w:t>
      </w:r>
      <w:r w:rsidR="004253F8">
        <w:rPr>
          <w:color w:val="000000" w:themeColor="text1"/>
        </w:rPr>
        <w:t>l</w:t>
      </w:r>
      <w:r>
        <w:rPr>
          <w:color w:val="000000" w:themeColor="text1"/>
        </w:rPr>
        <w:t>eg 1;</w:t>
      </w:r>
      <w:r w:rsidR="002250B5">
        <w:rPr>
          <w:color w:val="000000" w:themeColor="text1"/>
        </w:rPr>
        <w:t xml:space="preserve"> or</w:t>
      </w:r>
    </w:p>
    <w:p w14:paraId="54478A0C" w14:textId="6E448A50" w:rsidR="002975E5" w:rsidRDefault="002975E5" w:rsidP="0083427D">
      <w:pPr>
        <w:pStyle w:val="subparaa"/>
        <w:numPr>
          <w:ilvl w:val="1"/>
          <w:numId w:val="17"/>
        </w:numPr>
        <w:spacing w:before="120" w:line="310" w:lineRule="atLeast"/>
      </w:pPr>
      <w:r>
        <w:rPr>
          <w:color w:val="000000" w:themeColor="text1"/>
        </w:rPr>
        <w:t>if there is no such amount specified in the trade confirmation, the notional equivalent calculated by multiplying the total notional quantity</w:t>
      </w:r>
      <w:r w:rsidRPr="00584F15">
        <w:t>—</w:t>
      </w:r>
      <w:r>
        <w:t>leg 1 by the contract price, contact strike price or market price for the underlier at the time of the transaction</w:t>
      </w:r>
      <w:r w:rsidR="00404CA5">
        <w:t>—</w:t>
      </w:r>
      <w:r>
        <w:t>this corresponds to the various ‘Converted Amounts’ referred to in the CDE Guidance.</w:t>
      </w:r>
    </w:p>
    <w:p w14:paraId="5787BE4F" w14:textId="5759C94B" w:rsidR="002975E5" w:rsidRDefault="002975E5" w:rsidP="0083427D">
      <w:pPr>
        <w:pStyle w:val="BodyText"/>
        <w:numPr>
          <w:ilvl w:val="0"/>
          <w:numId w:val="17"/>
        </w:numPr>
        <w:spacing w:before="220" w:line="310" w:lineRule="atLeast"/>
      </w:pPr>
      <w:r>
        <w:t xml:space="preserve">In Table S1.1(1), item 25 </w:t>
      </w:r>
      <w:r w:rsidR="004253F8">
        <w:t>‘</w:t>
      </w:r>
      <w:r w:rsidRPr="00F76596">
        <w:t>Notional amount</w:t>
      </w:r>
      <w:r w:rsidRPr="00584F15">
        <w:t>—</w:t>
      </w:r>
      <w:r>
        <w:t>Leg 2</w:t>
      </w:r>
      <w:r w:rsidR="004253F8">
        <w:t>’</w:t>
      </w:r>
      <w:r>
        <w:t xml:space="preserve"> is only defined in terms of the amount taken from the trade confirmation and attributed by the reporting entity to </w:t>
      </w:r>
      <w:r w:rsidR="004253F8">
        <w:t>l</w:t>
      </w:r>
      <w:r>
        <w:t xml:space="preserve">eg 2. We do not anticipate that it would be necessary to require a quantity-to-notional conversion on </w:t>
      </w:r>
      <w:r w:rsidR="004253F8">
        <w:t>l</w:t>
      </w:r>
      <w:r>
        <w:t>eg 2</w:t>
      </w:r>
      <w:r w:rsidR="00404CA5">
        <w:t>—</w:t>
      </w:r>
      <w:r>
        <w:t xml:space="preserve">we expect that our guidance would promote high conformance to reporting quantity amounts as </w:t>
      </w:r>
      <w:r w:rsidR="004253F8">
        <w:t>l</w:t>
      </w:r>
      <w:r>
        <w:t>eg 1, where there is a conversion requirement, and in the case of a transaction with quantities on both legs, we do not consider that there is material regulatory value in requiring notional equivalents for both legs. This does not preclude the reporting of a converted amount if, for example, the reporting entity’s systems generate such an amount or the transaction is reported to another jurisdiction where the amount is required and excluding the amount from reporting in either case is an unnecessary complexity.</w:t>
      </w:r>
    </w:p>
    <w:p w14:paraId="0D9CAF46" w14:textId="2E1FC6A4" w:rsidR="002975E5" w:rsidRDefault="002975E5" w:rsidP="0083427D">
      <w:pPr>
        <w:pStyle w:val="BodyText"/>
        <w:numPr>
          <w:ilvl w:val="0"/>
          <w:numId w:val="17"/>
        </w:numPr>
        <w:spacing w:before="220" w:line="310" w:lineRule="atLeast"/>
      </w:pPr>
      <w:r>
        <w:t xml:space="preserve">In Table S1.1(1), the meanings of item 26 </w:t>
      </w:r>
      <w:r w:rsidR="004253F8">
        <w:t>‘</w:t>
      </w:r>
      <w:r>
        <w:t>Total n</w:t>
      </w:r>
      <w:r w:rsidRPr="00F76596">
        <w:t xml:space="preserve">otional </w:t>
      </w:r>
      <w:r>
        <w:t>quantity</w:t>
      </w:r>
      <w:r w:rsidRPr="00584F15">
        <w:t>—</w:t>
      </w:r>
      <w:r>
        <w:t>Leg 1</w:t>
      </w:r>
      <w:r w:rsidR="004253F8">
        <w:t xml:space="preserve">’ </w:t>
      </w:r>
      <w:r>
        <w:t xml:space="preserve">and </w:t>
      </w:r>
      <w:r w:rsidR="004253F8">
        <w:t xml:space="preserve">item </w:t>
      </w:r>
      <w:r>
        <w:t xml:space="preserve">26 </w:t>
      </w:r>
      <w:r w:rsidR="004253F8">
        <w:t>‘</w:t>
      </w:r>
      <w:r>
        <w:t>Total n</w:t>
      </w:r>
      <w:r w:rsidRPr="00F76596">
        <w:t xml:space="preserve">otional </w:t>
      </w:r>
      <w:r>
        <w:t>quantity</w:t>
      </w:r>
      <w:r w:rsidRPr="00584F15">
        <w:t>—</w:t>
      </w:r>
      <w:r>
        <w:t>Leg 2</w:t>
      </w:r>
      <w:r w:rsidR="004253F8">
        <w:t>’</w:t>
      </w:r>
      <w:r>
        <w:t xml:space="preserve"> closely follow the definition of this data element in the CDE Guidance as relating to aggregate notional quantity of the underlier for the entire term of the transaction. These quantities are for the legs as attributed by the reporting entity.</w:t>
      </w:r>
    </w:p>
    <w:p w14:paraId="4EFCCA59" w14:textId="13AFE2CC" w:rsidR="002975E5" w:rsidRDefault="002975E5" w:rsidP="0083427D">
      <w:pPr>
        <w:pStyle w:val="BodyText"/>
        <w:numPr>
          <w:ilvl w:val="0"/>
          <w:numId w:val="17"/>
        </w:numPr>
        <w:spacing w:before="220" w:line="310" w:lineRule="atLeast"/>
      </w:pPr>
      <w:r>
        <w:t xml:space="preserve">In Table S1.1(1), the meanings of item 28 </w:t>
      </w:r>
      <w:r w:rsidR="007C252E">
        <w:t>‘</w:t>
      </w:r>
      <w:r>
        <w:t>N</w:t>
      </w:r>
      <w:r w:rsidRPr="00F76596">
        <w:t xml:space="preserve">otional </w:t>
      </w:r>
      <w:r>
        <w:t>quantity</w:t>
      </w:r>
      <w:r w:rsidRPr="00584F15">
        <w:t>—</w:t>
      </w:r>
      <w:r>
        <w:t>Leg 1</w:t>
      </w:r>
      <w:r w:rsidR="007C252E">
        <w:t>’</w:t>
      </w:r>
      <w:r>
        <w:t xml:space="preserve"> and </w:t>
      </w:r>
      <w:r w:rsidR="007C252E">
        <w:t xml:space="preserve">item </w:t>
      </w:r>
      <w:r>
        <w:t xml:space="preserve">29 </w:t>
      </w:r>
      <w:r w:rsidR="007C252E">
        <w:t>‘</w:t>
      </w:r>
      <w:r>
        <w:t>N</w:t>
      </w:r>
      <w:r w:rsidRPr="00F76596">
        <w:t xml:space="preserve">otional </w:t>
      </w:r>
      <w:r>
        <w:t>quantity</w:t>
      </w:r>
      <w:r w:rsidRPr="00584F15">
        <w:t>—</w:t>
      </w:r>
      <w:r>
        <w:t>Leg 2</w:t>
      </w:r>
      <w:r w:rsidR="007C252E">
        <w:t>’</w:t>
      </w:r>
      <w:r>
        <w:t xml:space="preserve"> follow the definition of this data element in the final CFTC rules as relating to the per-period constant quantity amount. As we have decided not to include notional quantity schedule data elements, these data elements specify the reporting of the notional quantity of the current period of the OTC </w:t>
      </w:r>
      <w:r w:rsidR="007C252E">
        <w:t>derivative</w:t>
      </w:r>
      <w:r w:rsidR="00404CA5">
        <w:t>—</w:t>
      </w:r>
      <w:r>
        <w:t>that is, if the notional quantity increases or decreases for a period, the reporting entity must report the changed notional quantity applying to the current period.</w:t>
      </w:r>
    </w:p>
    <w:p w14:paraId="52EBA1D5" w14:textId="7F8160A2" w:rsidR="002975E5" w:rsidRPr="00F6289E" w:rsidRDefault="002975E5" w:rsidP="0083427D">
      <w:pPr>
        <w:pStyle w:val="BodyText"/>
        <w:numPr>
          <w:ilvl w:val="0"/>
          <w:numId w:val="17"/>
        </w:numPr>
        <w:spacing w:line="310" w:lineRule="atLeast"/>
        <w:rPr>
          <w:rFonts w:eastAsiaTheme="minorHAnsi"/>
        </w:rPr>
      </w:pPr>
      <w:r>
        <w:t xml:space="preserve">In Table S1.1(1), the meanings of item 30 </w:t>
      </w:r>
      <w:r w:rsidR="007C252E">
        <w:t>‘</w:t>
      </w:r>
      <w:r>
        <w:t>Call amount</w:t>
      </w:r>
      <w:r w:rsidR="007C252E">
        <w:t>’</w:t>
      </w:r>
      <w:r>
        <w:t xml:space="preserve"> and </w:t>
      </w:r>
      <w:r w:rsidR="007C252E">
        <w:t xml:space="preserve">item </w:t>
      </w:r>
      <w:r>
        <w:t xml:space="preserve">31 </w:t>
      </w:r>
      <w:r w:rsidR="007C252E">
        <w:t>‘</w:t>
      </w:r>
      <w:r>
        <w:t>Put amount</w:t>
      </w:r>
      <w:r w:rsidR="007C252E">
        <w:t>’</w:t>
      </w:r>
      <w:r>
        <w:t xml:space="preserve"> for foreign exchange options closely follow the definition of </w:t>
      </w:r>
      <w:r w:rsidR="00886474">
        <w:t xml:space="preserve">these </w:t>
      </w:r>
      <w:r>
        <w:t>data element</w:t>
      </w:r>
      <w:r w:rsidR="00174BFB">
        <w:t>s</w:t>
      </w:r>
      <w:r>
        <w:t xml:space="preserve"> in the CDE Guidance. As noted in paragraph 275 of </w:t>
      </w:r>
      <w:hyperlink r:id="rId130" w:history="1">
        <w:r w:rsidRPr="007C252E">
          <w:rPr>
            <w:rStyle w:val="Hyperlink"/>
          </w:rPr>
          <w:t>CP 334</w:t>
        </w:r>
      </w:hyperlink>
      <w:r>
        <w:t>, these data elements are necessary</w:t>
      </w:r>
      <w:r w:rsidR="005F1948">
        <w:t xml:space="preserve"> as</w:t>
      </w:r>
      <w:r w:rsidRPr="0081210C">
        <w:rPr>
          <w:rFonts w:eastAsiaTheme="minorHAnsi"/>
        </w:rPr>
        <w:t xml:space="preserve"> </w:t>
      </w:r>
      <w:r w:rsidRPr="00F6289E">
        <w:rPr>
          <w:rFonts w:eastAsiaTheme="minorHAnsi"/>
        </w:rPr>
        <w:t>‘direction’ identifies the buyer and seller of the option but does not, of itself, identify whether the option is a call over the leg 1 currency amount or over the leg 2 currency amount.</w:t>
      </w:r>
    </w:p>
    <w:p w14:paraId="34AC38A1" w14:textId="04BB3372" w:rsidR="002975E5" w:rsidRDefault="002975E5" w:rsidP="0083427D">
      <w:pPr>
        <w:pStyle w:val="BodyText"/>
        <w:numPr>
          <w:ilvl w:val="0"/>
          <w:numId w:val="17"/>
        </w:numPr>
        <w:spacing w:line="310" w:lineRule="atLeast"/>
      </w:pPr>
      <w:r>
        <w:t>The specified format for these notional amount</w:t>
      </w:r>
      <w:r w:rsidR="007C252E">
        <w:t>s</w:t>
      </w:r>
      <w:r>
        <w:t xml:space="preserve"> and notional quantities is as numbers per the CDE Guidance.</w:t>
      </w:r>
    </w:p>
    <w:p w14:paraId="4E054092" w14:textId="5A898ECF" w:rsidR="002975E5" w:rsidRDefault="002975E5" w:rsidP="0083427D">
      <w:pPr>
        <w:pStyle w:val="BodyText"/>
        <w:numPr>
          <w:ilvl w:val="0"/>
          <w:numId w:val="17"/>
        </w:numPr>
        <w:spacing w:line="310" w:lineRule="atLeast"/>
      </w:pPr>
      <w:r>
        <w:t xml:space="preserve">The allowable values are also as per the CDE </w:t>
      </w:r>
      <w:r w:rsidR="007C252E">
        <w:t>G</w:t>
      </w:r>
      <w:r>
        <w:t xml:space="preserve">uidance as any numeric value greater than or equal to zero, except for </w:t>
      </w:r>
      <w:r w:rsidRPr="00F76596">
        <w:t>Notional amount</w:t>
      </w:r>
      <w:r w:rsidRPr="00584F15">
        <w:t>—</w:t>
      </w:r>
      <w:r>
        <w:t xml:space="preserve">Leg 1 and </w:t>
      </w:r>
      <w:r w:rsidRPr="00F76596">
        <w:t>Notional amount</w:t>
      </w:r>
      <w:r w:rsidRPr="00584F15">
        <w:t>—</w:t>
      </w:r>
      <w:r>
        <w:t>Leg 2 where negative numeric values are allowable. We expect that a negative number would only be reported for a notional equivalent amount on the rare occasions when the price, used as a multiplier</w:t>
      </w:r>
      <w:r w:rsidR="005F1948">
        <w:t xml:space="preserve"> to convert a notional quantity into a notional amount</w:t>
      </w:r>
      <w:r>
        <w:t>, is a negative number</w:t>
      </w:r>
      <w:r w:rsidR="00404CA5">
        <w:t>—</w:t>
      </w:r>
      <w:r>
        <w:t>this should only occur for commodity derivatives.</w:t>
      </w:r>
    </w:p>
    <w:p w14:paraId="3A8AF0D7" w14:textId="77777777" w:rsidR="002975E5" w:rsidRDefault="002975E5" w:rsidP="0083427D">
      <w:pPr>
        <w:pStyle w:val="BodyText"/>
        <w:numPr>
          <w:ilvl w:val="0"/>
          <w:numId w:val="17"/>
        </w:numPr>
        <w:spacing w:line="310" w:lineRule="atLeast"/>
      </w:pPr>
      <w:r>
        <w:t>In Table S1.1(1), items 32 to 37 refer to the currency in which a monetary amount, or the unit of measure in which a quantity, is reported under another item in the table.</w:t>
      </w:r>
    </w:p>
    <w:p w14:paraId="7F462CBC" w14:textId="683E99A7" w:rsidR="002975E5" w:rsidRDefault="002975E5" w:rsidP="0083427D">
      <w:pPr>
        <w:pStyle w:val="subparaa"/>
        <w:numPr>
          <w:ilvl w:val="1"/>
          <w:numId w:val="17"/>
        </w:numPr>
        <w:spacing w:line="310" w:lineRule="atLeast"/>
      </w:pPr>
      <w:r>
        <w:t>In the case of a currency</w:t>
      </w:r>
      <w:r w:rsidR="004C477F">
        <w:t>,</w:t>
      </w:r>
      <w:r>
        <w:t xml:space="preserve"> the format and allowable values are as per ISO 4217</w:t>
      </w:r>
      <w:r w:rsidR="007C252E">
        <w:t>.</w:t>
      </w:r>
    </w:p>
    <w:p w14:paraId="422F372F" w14:textId="007FF91A" w:rsidR="002975E5" w:rsidRDefault="002975E5" w:rsidP="0083427D">
      <w:pPr>
        <w:pStyle w:val="subparaa"/>
        <w:numPr>
          <w:ilvl w:val="1"/>
          <w:numId w:val="17"/>
        </w:numPr>
        <w:spacing w:line="310" w:lineRule="atLeast"/>
      </w:pPr>
      <w:r>
        <w:t>In the case of a unit of measure, the format and allowable values reference a specified ISO 20022 code</w:t>
      </w:r>
      <w:r w:rsidR="001A582E">
        <w:t xml:space="preserve"> </w:t>
      </w:r>
      <w:r>
        <w:t>set of values.</w:t>
      </w:r>
    </w:p>
    <w:p w14:paraId="2864EEE7" w14:textId="77777777" w:rsidR="002975E5" w:rsidRDefault="002975E5" w:rsidP="0083427D">
      <w:pPr>
        <w:pStyle w:val="BodyText"/>
        <w:numPr>
          <w:ilvl w:val="0"/>
          <w:numId w:val="17"/>
        </w:numPr>
        <w:spacing w:line="310" w:lineRule="atLeast"/>
      </w:pPr>
      <w:r>
        <w:t>In Table S1.1(1), items 38 to 43 refer to the data elements that describe a notional amount schedule.</w:t>
      </w:r>
    </w:p>
    <w:p w14:paraId="432DCBD1" w14:textId="77777777" w:rsidR="002975E5" w:rsidRDefault="002975E5" w:rsidP="0083427D">
      <w:pPr>
        <w:pStyle w:val="BodyText"/>
        <w:numPr>
          <w:ilvl w:val="0"/>
          <w:numId w:val="17"/>
        </w:numPr>
        <w:spacing w:line="310" w:lineRule="atLeast"/>
      </w:pPr>
      <w:r>
        <w:t>The meanings of these items closely follow the definitions for these data elements in the CDE Guidance, including that:</w:t>
      </w:r>
    </w:p>
    <w:p w14:paraId="4EF0D7BC" w14:textId="64490364" w:rsidR="002975E5" w:rsidRDefault="002975E5" w:rsidP="0083427D">
      <w:pPr>
        <w:pStyle w:val="subparaa"/>
        <w:numPr>
          <w:ilvl w:val="1"/>
          <w:numId w:val="17"/>
        </w:numPr>
        <w:spacing w:line="310" w:lineRule="atLeast"/>
      </w:pPr>
      <w:r>
        <w:t>the values for effective date</w:t>
      </w:r>
      <w:r w:rsidR="005A5E1A">
        <w:t xml:space="preserve"> and</w:t>
      </w:r>
      <w:r>
        <w:t xml:space="preserve"> end date amount are repeatable for each date or amount; and</w:t>
      </w:r>
    </w:p>
    <w:p w14:paraId="089113BA" w14:textId="77777777" w:rsidR="002975E5" w:rsidRDefault="002975E5" w:rsidP="0083427D">
      <w:pPr>
        <w:pStyle w:val="subparaa"/>
        <w:numPr>
          <w:ilvl w:val="1"/>
          <w:numId w:val="17"/>
        </w:numPr>
        <w:spacing w:line="310" w:lineRule="atLeast"/>
      </w:pPr>
      <w:r>
        <w:t xml:space="preserve">an </w:t>
      </w:r>
      <w:r w:rsidRPr="000F7EBF">
        <w:t>end date is not required to be reported if it is the same date as the effective date of the next period of the schedule</w:t>
      </w:r>
      <w:r>
        <w:t>.</w:t>
      </w:r>
    </w:p>
    <w:p w14:paraId="40AE8489" w14:textId="7CC548E5" w:rsidR="002975E5" w:rsidRDefault="002975E5" w:rsidP="0083427D">
      <w:pPr>
        <w:pStyle w:val="BodyText"/>
        <w:numPr>
          <w:ilvl w:val="0"/>
          <w:numId w:val="17"/>
        </w:numPr>
        <w:spacing w:line="310" w:lineRule="atLeast"/>
      </w:pPr>
      <w:r>
        <w:t xml:space="preserve">In addition, a notional amount schedule for </w:t>
      </w:r>
      <w:r w:rsidR="00056186">
        <w:t>l</w:t>
      </w:r>
      <w:r>
        <w:t xml:space="preserve">eg 2 is only required to be reported if the schedule information for </w:t>
      </w:r>
      <w:r w:rsidR="00056186">
        <w:t>l</w:t>
      </w:r>
      <w:r>
        <w:t xml:space="preserve">eg 2 is different to the schedule information of </w:t>
      </w:r>
      <w:r w:rsidR="00056186">
        <w:t>l</w:t>
      </w:r>
      <w:r>
        <w:t>eg 1 in one or more of its dates or amounts elements.</w:t>
      </w:r>
    </w:p>
    <w:p w14:paraId="021F5DEE" w14:textId="77777777" w:rsidR="002975E5" w:rsidRDefault="002975E5" w:rsidP="002975E5">
      <w:pPr>
        <w:pStyle w:val="Heading5"/>
      </w:pPr>
      <w:r>
        <w:t>Application to the draft remade ASIC Rules</w:t>
      </w:r>
    </w:p>
    <w:p w14:paraId="086324FE" w14:textId="7A9EDC3A" w:rsidR="002975E5" w:rsidRDefault="002975E5" w:rsidP="0083427D">
      <w:pPr>
        <w:pStyle w:val="BodyText"/>
        <w:numPr>
          <w:ilvl w:val="0"/>
          <w:numId w:val="17"/>
        </w:numPr>
        <w:spacing w:line="310" w:lineRule="atLeast"/>
      </w:pPr>
      <w:r>
        <w:t xml:space="preserve">In the current ASIC Rules, both </w:t>
      </w:r>
      <w:r w:rsidR="00056186">
        <w:t>l</w:t>
      </w:r>
      <w:r>
        <w:t xml:space="preserve">eg 1 and </w:t>
      </w:r>
      <w:r w:rsidR="00056186">
        <w:t>l</w:t>
      </w:r>
      <w:r>
        <w:t xml:space="preserve">eg 2 notional amounts are only present for foreign exchange derivatives and interest rate derivatives. There are only effectively </w:t>
      </w:r>
      <w:r w:rsidR="00056186">
        <w:t>l</w:t>
      </w:r>
      <w:r>
        <w:t xml:space="preserve">eg 1 notional amounts for credit derivatives and equity derivatives and only effectively </w:t>
      </w:r>
      <w:r w:rsidR="00056186">
        <w:t>l</w:t>
      </w:r>
      <w:r>
        <w:t>eg 1 notional amount</w:t>
      </w:r>
      <w:r w:rsidR="00886474">
        <w:t>s</w:t>
      </w:r>
      <w:r>
        <w:t xml:space="preserve"> and </w:t>
      </w:r>
      <w:r w:rsidR="00056186">
        <w:t>l</w:t>
      </w:r>
      <w:r>
        <w:t>eg 1 notional quantities for commodity derivatives.</w:t>
      </w:r>
    </w:p>
    <w:p w14:paraId="5E8EDA39" w14:textId="3B9E4D55" w:rsidR="002975E5" w:rsidRDefault="002975E5" w:rsidP="004C477F">
      <w:pPr>
        <w:pStyle w:val="BodyText"/>
        <w:numPr>
          <w:ilvl w:val="0"/>
          <w:numId w:val="17"/>
        </w:numPr>
        <w:spacing w:before="220" w:line="310" w:lineRule="atLeast"/>
      </w:pPr>
      <w:r>
        <w:t xml:space="preserve">In the draft remade ASIC Rules, these data elements adopt some of the </w:t>
      </w:r>
      <w:r w:rsidR="00056186">
        <w:t>l</w:t>
      </w:r>
      <w:r>
        <w:t>eg1/</w:t>
      </w:r>
      <w:r w:rsidR="00056186">
        <w:t>l</w:t>
      </w:r>
      <w:r>
        <w:t>eg 2 labelling of the draft amended ASIC Rules and substantively the meanings of the draft amended ASIC Rules, except that:</w:t>
      </w:r>
    </w:p>
    <w:p w14:paraId="2956A526" w14:textId="77777777" w:rsidR="002975E5" w:rsidRDefault="002975E5" w:rsidP="004C477F">
      <w:pPr>
        <w:pStyle w:val="subparaa"/>
        <w:numPr>
          <w:ilvl w:val="1"/>
          <w:numId w:val="17"/>
        </w:numPr>
        <w:spacing w:before="120" w:line="310" w:lineRule="atLeast"/>
      </w:pPr>
      <w:r>
        <w:t>the reference to the reporting entity attributing an amount to a particular leg is only applied to interest rate derivatives; and</w:t>
      </w:r>
    </w:p>
    <w:p w14:paraId="7C0A754C" w14:textId="1754E035" w:rsidR="002975E5" w:rsidRDefault="002975E5" w:rsidP="004C477F">
      <w:pPr>
        <w:pStyle w:val="subparaa"/>
        <w:numPr>
          <w:ilvl w:val="1"/>
          <w:numId w:val="17"/>
        </w:numPr>
        <w:spacing w:before="120" w:line="310" w:lineRule="atLeast"/>
      </w:pPr>
      <w:r>
        <w:t>for foreign exchange derivatives, the meanings of Notional amount—Leg 1 and Notional amount—Leg 2 continue to be expressed, as per the current ASIC Rules, in terms of the amount of the currency payable and receivable, respectively, by the reporting entity.</w:t>
      </w:r>
    </w:p>
    <w:p w14:paraId="793CB223" w14:textId="56649401" w:rsidR="002975E5" w:rsidRDefault="002975E5" w:rsidP="004C477F">
      <w:pPr>
        <w:pStyle w:val="BodyText"/>
        <w:numPr>
          <w:ilvl w:val="0"/>
          <w:numId w:val="17"/>
        </w:numPr>
        <w:spacing w:before="220" w:line="310" w:lineRule="atLeast"/>
      </w:pPr>
      <w:r>
        <w:t>The corresponding currency and quantity unit data elements substantively adopt the meanings, formats and allowable values of these data elements in the draft amended ASIC Rules, except that</w:t>
      </w:r>
      <w:r w:rsidR="00056186">
        <w:t xml:space="preserve"> </w:t>
      </w:r>
      <w:r>
        <w:t>the allowable values for the quantity unit of measure do not specify an ISO 20022 code</w:t>
      </w:r>
      <w:r w:rsidR="00A853C5">
        <w:t xml:space="preserve"> </w:t>
      </w:r>
      <w:r>
        <w:t>set but continue with the existing practice that the allowable values are ‘</w:t>
      </w:r>
      <w:r w:rsidRPr="00056186">
        <w:rPr>
          <w:color w:val="000000" w:themeColor="text1"/>
        </w:rPr>
        <w:t>Any value accepted by the Derivative Trade Repository that is receiving the report’.</w:t>
      </w:r>
    </w:p>
    <w:p w14:paraId="288ADEF4" w14:textId="1D916731" w:rsidR="002975E5" w:rsidRDefault="002975E5" w:rsidP="004C477F">
      <w:pPr>
        <w:pStyle w:val="BodyText"/>
        <w:numPr>
          <w:ilvl w:val="0"/>
          <w:numId w:val="17"/>
        </w:numPr>
        <w:spacing w:before="220" w:line="310" w:lineRule="atLeast"/>
      </w:pPr>
      <w:r>
        <w:t xml:space="preserve">Call amount, put amount, call currency, put currency, the remaining </w:t>
      </w:r>
      <w:r w:rsidR="00056186">
        <w:t>l</w:t>
      </w:r>
      <w:r>
        <w:t>eg 2 data elements and the notional amount schedules dat</w:t>
      </w:r>
      <w:r w:rsidR="003A72D1">
        <w:t>a</w:t>
      </w:r>
      <w:r>
        <w:t xml:space="preserve"> elements are </w:t>
      </w:r>
      <w:r w:rsidRPr="00F60894">
        <w:t>not data elements that are present in the current ASIC Rules</w:t>
      </w:r>
      <w:r>
        <w:t xml:space="preserve">. In keeping with our intention not </w:t>
      </w:r>
      <w:r w:rsidR="00056186">
        <w:t xml:space="preserve">to </w:t>
      </w:r>
      <w:r>
        <w:t>require changes to the systems and processes that reporting entities currently use for reporting until the draft amended ASIC Rules commence on 1 April 2024, we are not proposing to include them in the earlier draft remade ASIC Rules.</w:t>
      </w:r>
    </w:p>
    <w:p w14:paraId="72980264" w14:textId="77777777" w:rsidR="002975E5" w:rsidRDefault="002975E5" w:rsidP="002975E5">
      <w:pPr>
        <w:pStyle w:val="Heading4"/>
      </w:pPr>
      <w:r>
        <w:t>Data elements related to prices</w:t>
      </w:r>
    </w:p>
    <w:p w14:paraId="4CA0A8AB" w14:textId="2165154C" w:rsidR="002975E5" w:rsidRDefault="002975E5" w:rsidP="00C443A0">
      <w:pPr>
        <w:pStyle w:val="BodyText"/>
        <w:numPr>
          <w:ilvl w:val="0"/>
          <w:numId w:val="17"/>
        </w:numPr>
        <w:spacing w:before="220" w:after="200" w:line="310" w:lineRule="atLeast"/>
      </w:pPr>
      <w:r>
        <w:t>The draft amended ASIC Rules (</w:t>
      </w:r>
      <w:r w:rsidR="003A72D1">
        <w:t xml:space="preserve">see </w:t>
      </w:r>
      <w:r>
        <w:t xml:space="preserve">Attachment 2) include the following data elements related to prices. We have decided not to proceed with </w:t>
      </w:r>
      <w:r w:rsidR="003A72D1">
        <w:t xml:space="preserve">three </w:t>
      </w:r>
      <w:r>
        <w:t xml:space="preserve">data elements that were discussed in </w:t>
      </w:r>
      <w:hyperlink r:id="rId131" w:history="1">
        <w:r w:rsidRPr="003A72D1">
          <w:rPr>
            <w:rStyle w:val="Hyperlink"/>
          </w:rPr>
          <w:t>CP 334</w:t>
        </w:r>
      </w:hyperlink>
      <w:r>
        <w:t xml:space="preserve"> to be considered for possible proposal in this consultation. However, we are now proposing to bring forward </w:t>
      </w:r>
      <w:r w:rsidR="003A72D1">
        <w:t xml:space="preserve">one </w:t>
      </w:r>
      <w:r>
        <w:t>new data element in the draft amended ASIC Rules to apply in the earlier draft remade ASIC Rules.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21659935" w14:textId="77777777" w:rsidTr="00F86FF1">
        <w:trPr>
          <w:cantSplit/>
        </w:trPr>
        <w:tc>
          <w:tcPr>
            <w:tcW w:w="1701" w:type="dxa"/>
            <w:shd w:val="clear" w:color="auto" w:fill="C2E3FA"/>
          </w:tcPr>
          <w:p w14:paraId="4A738927" w14:textId="2FB0DA08" w:rsidR="002975E5" w:rsidRPr="000540E1" w:rsidRDefault="002975E5" w:rsidP="0083427D">
            <w:pPr>
              <w:pStyle w:val="tablehead"/>
              <w:spacing w:line="250" w:lineRule="atLeast"/>
            </w:pPr>
            <w:r>
              <w:t>Proceed per CP</w:t>
            </w:r>
            <w:r w:rsidR="00056186">
              <w:t> </w:t>
            </w:r>
            <w:r>
              <w:t>334</w:t>
            </w:r>
          </w:p>
        </w:tc>
        <w:tc>
          <w:tcPr>
            <w:tcW w:w="5103" w:type="dxa"/>
          </w:tcPr>
          <w:p w14:paraId="4D617FA0" w14:textId="77777777" w:rsidR="002975E5" w:rsidRDefault="002975E5" w:rsidP="0083427D">
            <w:pPr>
              <w:pStyle w:val="tbltext"/>
              <w:spacing w:line="250" w:lineRule="atLeast"/>
            </w:pPr>
            <w:r>
              <w:t xml:space="preserve">Price, Price currency, Price notation, </w:t>
            </w:r>
            <w:r w:rsidRPr="000E4237">
              <w:t>Price unit of measure</w:t>
            </w:r>
          </w:p>
          <w:p w14:paraId="3069EA87" w14:textId="77777777" w:rsidR="002975E5" w:rsidRDefault="002975E5" w:rsidP="0083427D">
            <w:pPr>
              <w:pStyle w:val="tbltext"/>
              <w:spacing w:line="250" w:lineRule="atLeast"/>
            </w:pPr>
            <w:r w:rsidRPr="00F76596">
              <w:t>Fixed rate</w:t>
            </w:r>
            <w:r>
              <w:t xml:space="preserve">—Leg 1, </w:t>
            </w:r>
            <w:r w:rsidRPr="00F76596">
              <w:t>Fixed rate</w:t>
            </w:r>
            <w:r>
              <w:t xml:space="preserve"> —Leg 2</w:t>
            </w:r>
          </w:p>
          <w:p w14:paraId="6A5708DE" w14:textId="77777777" w:rsidR="002975E5" w:rsidRDefault="002975E5" w:rsidP="0083427D">
            <w:pPr>
              <w:pStyle w:val="tbltext"/>
              <w:spacing w:line="250" w:lineRule="atLeast"/>
            </w:pPr>
            <w:r>
              <w:t>Spread—Leg 1, Spread—Leg 2</w:t>
            </w:r>
            <w:r>
              <w:br/>
              <w:t>Spread currency—Leg 1, Spread currency—Leg 2</w:t>
            </w:r>
            <w:r>
              <w:br/>
              <w:t>Spread notation—Leg 1, Spread notation—Leg 2</w:t>
            </w:r>
          </w:p>
          <w:p w14:paraId="27FC25F6" w14:textId="77777777" w:rsidR="002975E5" w:rsidRDefault="002975E5" w:rsidP="0083427D">
            <w:pPr>
              <w:pStyle w:val="tbltext"/>
              <w:spacing w:line="250" w:lineRule="atLeast"/>
            </w:pPr>
            <w:r>
              <w:t>Strike price</w:t>
            </w:r>
            <w:r>
              <w:br/>
            </w:r>
            <w:r w:rsidRPr="00D36BA6">
              <w:t>Strike price currency/currency pair</w:t>
            </w:r>
            <w:r>
              <w:t>, Strike price notation</w:t>
            </w:r>
          </w:p>
          <w:p w14:paraId="0F4904C5" w14:textId="77777777" w:rsidR="002975E5" w:rsidRDefault="002975E5" w:rsidP="0083427D">
            <w:pPr>
              <w:pStyle w:val="tbltext"/>
              <w:spacing w:line="250" w:lineRule="atLeast"/>
            </w:pPr>
            <w:r w:rsidRPr="00F76596">
              <w:t xml:space="preserve">Option premium </w:t>
            </w:r>
            <w:r>
              <w:t xml:space="preserve">amount, </w:t>
            </w:r>
            <w:r w:rsidRPr="00202C30">
              <w:t>Option premium currency</w:t>
            </w:r>
            <w:r>
              <w:t>,</w:t>
            </w:r>
            <w:r>
              <w:br/>
            </w:r>
            <w:r w:rsidRPr="00E51A7B">
              <w:t>Option premium payment date</w:t>
            </w:r>
          </w:p>
          <w:p w14:paraId="7F48A818" w14:textId="77777777" w:rsidR="002975E5" w:rsidRPr="008B4297" w:rsidRDefault="002975E5" w:rsidP="0083427D">
            <w:pPr>
              <w:pStyle w:val="tbltext"/>
              <w:spacing w:line="250" w:lineRule="atLeast"/>
              <w:rPr>
                <w:color w:val="000000" w:themeColor="text1"/>
              </w:rPr>
            </w:pPr>
            <w:r w:rsidRPr="00D94A5F">
              <w:t>Exchange rate</w:t>
            </w:r>
            <w:r>
              <w:t>, Exchange rate basis</w:t>
            </w:r>
          </w:p>
        </w:tc>
      </w:tr>
      <w:tr w:rsidR="002975E5" w:rsidRPr="000540E1" w14:paraId="50D4FC5D" w14:textId="77777777" w:rsidTr="00F86FF1">
        <w:trPr>
          <w:cantSplit/>
        </w:trPr>
        <w:tc>
          <w:tcPr>
            <w:tcW w:w="1701" w:type="dxa"/>
            <w:shd w:val="clear" w:color="auto" w:fill="C2E3FA"/>
          </w:tcPr>
          <w:p w14:paraId="51B33CBA" w14:textId="77777777" w:rsidR="002975E5" w:rsidRPr="000540E1" w:rsidRDefault="002975E5" w:rsidP="0083427D">
            <w:pPr>
              <w:pStyle w:val="tablehead"/>
              <w:spacing w:line="250" w:lineRule="atLeast"/>
            </w:pPr>
            <w:r>
              <w:t>Not proceed</w:t>
            </w:r>
          </w:p>
        </w:tc>
        <w:tc>
          <w:tcPr>
            <w:tcW w:w="5103" w:type="dxa"/>
          </w:tcPr>
          <w:p w14:paraId="642D876E" w14:textId="77777777" w:rsidR="002975E5" w:rsidRDefault="002975E5" w:rsidP="0083427D">
            <w:pPr>
              <w:pStyle w:val="tbltext"/>
              <w:spacing w:line="250" w:lineRule="atLeast"/>
            </w:pPr>
            <w:r>
              <w:t>Price schedule, Strike price schedule</w:t>
            </w:r>
          </w:p>
          <w:p w14:paraId="41B17B53" w14:textId="77777777" w:rsidR="002975E5" w:rsidRPr="000540E1" w:rsidRDefault="002975E5" w:rsidP="0083427D">
            <w:pPr>
              <w:pStyle w:val="tbltext"/>
              <w:spacing w:line="250" w:lineRule="atLeast"/>
            </w:pPr>
            <w:r>
              <w:t>First exercise date</w:t>
            </w:r>
          </w:p>
        </w:tc>
      </w:tr>
      <w:tr w:rsidR="002975E5" w:rsidRPr="000540E1" w14:paraId="02A0A1B1" w14:textId="77777777" w:rsidTr="00F86FF1">
        <w:trPr>
          <w:cantSplit/>
        </w:trPr>
        <w:tc>
          <w:tcPr>
            <w:tcW w:w="1701" w:type="dxa"/>
            <w:shd w:val="clear" w:color="auto" w:fill="C2E3FA"/>
          </w:tcPr>
          <w:p w14:paraId="15E25421" w14:textId="77777777" w:rsidR="002975E5" w:rsidRPr="000540E1" w:rsidRDefault="002975E5" w:rsidP="0083427D">
            <w:pPr>
              <w:pStyle w:val="tablehead"/>
              <w:spacing w:line="250" w:lineRule="atLeast"/>
            </w:pPr>
            <w:r>
              <w:t>New proposal</w:t>
            </w:r>
          </w:p>
        </w:tc>
        <w:tc>
          <w:tcPr>
            <w:tcW w:w="5103" w:type="dxa"/>
          </w:tcPr>
          <w:p w14:paraId="26C22F63" w14:textId="2EA92412" w:rsidR="002975E5" w:rsidRPr="000540E1" w:rsidRDefault="002975E5" w:rsidP="0083427D">
            <w:pPr>
              <w:pStyle w:val="tbltext"/>
              <w:spacing w:line="250" w:lineRule="atLeast"/>
            </w:pPr>
            <w:r w:rsidRPr="00F76596">
              <w:t>Fixed rate</w:t>
            </w:r>
            <w:r>
              <w:t>—Leg 2</w:t>
            </w:r>
            <w:r w:rsidR="00404CA5">
              <w:t>—</w:t>
            </w:r>
            <w:r>
              <w:t>in the draft remade ASIC Rules</w:t>
            </w:r>
          </w:p>
        </w:tc>
      </w:tr>
    </w:tbl>
    <w:p w14:paraId="6767A3AB" w14:textId="0E5D4486" w:rsidR="002975E5" w:rsidRDefault="002975E5" w:rsidP="0083427D">
      <w:pPr>
        <w:pStyle w:val="BodyText"/>
        <w:numPr>
          <w:ilvl w:val="0"/>
          <w:numId w:val="17"/>
        </w:numPr>
        <w:spacing w:before="220" w:line="310" w:lineRule="atLeast"/>
      </w:pPr>
      <w:r>
        <w:t xml:space="preserve">As noted in paragraph </w:t>
      </w:r>
      <w:r>
        <w:fldChar w:fldCharType="begin" w:fldLock="1"/>
      </w:r>
      <w:r>
        <w:instrText xml:space="preserve"> REF _ASICRef561 \w \h </w:instrText>
      </w:r>
      <w:r>
        <w:fldChar w:fldCharType="separate"/>
      </w:r>
      <w:r w:rsidR="00853A2A">
        <w:t>342</w:t>
      </w:r>
      <w:r>
        <w:fldChar w:fldCharType="end"/>
      </w:r>
      <w:r>
        <w:t>, respondents to CP 334 indicated a low incidence of transactions involving price schedules, strike price schedules or first exercise dates and we have decided not to proceed with these proposals.</w:t>
      </w:r>
    </w:p>
    <w:p w14:paraId="0DFEC2F3" w14:textId="77777777" w:rsidR="002975E5" w:rsidRDefault="002975E5" w:rsidP="0083427D">
      <w:pPr>
        <w:pStyle w:val="BodyText"/>
        <w:numPr>
          <w:ilvl w:val="0"/>
          <w:numId w:val="17"/>
        </w:numPr>
        <w:spacing w:before="220" w:line="310" w:lineRule="atLeast"/>
      </w:pPr>
      <w:r>
        <w:t>Otherwise, respondents were generally supportive of, or did not oppose, our proposals regarding the other data elements related to price.</w:t>
      </w:r>
    </w:p>
    <w:p w14:paraId="01899702" w14:textId="1E9DC97D" w:rsidR="002975E5" w:rsidRDefault="002975E5" w:rsidP="0083427D">
      <w:pPr>
        <w:pStyle w:val="BodyText"/>
        <w:numPr>
          <w:ilvl w:val="0"/>
          <w:numId w:val="17"/>
        </w:numPr>
        <w:spacing w:before="220" w:line="310" w:lineRule="atLeast"/>
      </w:pPr>
      <w:r>
        <w:t xml:space="preserve">In Table S1.1(1), the meaning of item </w:t>
      </w:r>
      <w:r w:rsidR="000D4FFF">
        <w:t xml:space="preserve">45 </w:t>
      </w:r>
      <w:r w:rsidR="003A72D1">
        <w:t>‘</w:t>
      </w:r>
      <w:r>
        <w:t>Price</w:t>
      </w:r>
      <w:r w:rsidR="003A72D1">
        <w:t>’</w:t>
      </w:r>
      <w:r>
        <w:t xml:space="preserve"> is substantively the same as the definition of this data element in the CDE Guidance.</w:t>
      </w:r>
    </w:p>
    <w:p w14:paraId="1672DA15" w14:textId="5B536517" w:rsidR="002975E5" w:rsidRDefault="002975E5" w:rsidP="0083427D">
      <w:pPr>
        <w:pStyle w:val="BodyText"/>
        <w:numPr>
          <w:ilvl w:val="0"/>
          <w:numId w:val="17"/>
        </w:numPr>
        <w:spacing w:before="220" w:line="310" w:lineRule="atLeast"/>
      </w:pPr>
      <w:r>
        <w:t xml:space="preserve">The OTC </w:t>
      </w:r>
      <w:r w:rsidR="003A72D1">
        <w:t xml:space="preserve">derivatives </w:t>
      </w:r>
      <w:r>
        <w:t xml:space="preserve">for which this data element is required to be reported closely follow the </w:t>
      </w:r>
      <w:r w:rsidR="003A72D1">
        <w:t>i</w:t>
      </w:r>
      <w:r>
        <w:t xml:space="preserve">nstruments specified in the CDE Guidance as illustrated in </w:t>
      </w:r>
      <w:r w:rsidR="005F1948">
        <w:fldChar w:fldCharType="begin" w:fldLock="1"/>
      </w:r>
      <w:r w:rsidR="005F1948">
        <w:instrText xml:space="preserve"> REF _Ref98490914 \h </w:instrText>
      </w:r>
      <w:r w:rsidR="005F1948">
        <w:fldChar w:fldCharType="separate"/>
      </w:r>
      <w:r w:rsidR="00853A2A">
        <w:t xml:space="preserve">Table </w:t>
      </w:r>
      <w:r w:rsidR="00853A2A">
        <w:rPr>
          <w:noProof/>
        </w:rPr>
        <w:t>32</w:t>
      </w:r>
      <w:r w:rsidR="005F1948">
        <w:fldChar w:fldCharType="end"/>
      </w:r>
      <w:r w:rsidR="005F1948">
        <w:t>.</w:t>
      </w:r>
    </w:p>
    <w:p w14:paraId="4F250D81" w14:textId="754E04FB" w:rsidR="002975E5" w:rsidRDefault="002975E5" w:rsidP="002975E5">
      <w:pPr>
        <w:pStyle w:val="tabletitleindented"/>
      </w:pPr>
      <w:bookmarkStart w:id="206" w:name="_Ref98490914"/>
      <w:r>
        <w:t xml:space="preserve">Table </w:t>
      </w:r>
      <w:fldSimple w:instr=" SEQ Table \* ARABIC ">
        <w:r w:rsidR="006679BA">
          <w:rPr>
            <w:noProof/>
          </w:rPr>
          <w:t>32</w:t>
        </w:r>
      </w:fldSimple>
      <w:bookmarkEnd w:id="206"/>
      <w:r>
        <w:t>:</w:t>
      </w:r>
      <w:r>
        <w:tab/>
        <w:t xml:space="preserve">Instruments/OTC </w:t>
      </w:r>
      <w:r w:rsidR="003A72D1">
        <w:t>d</w:t>
      </w:r>
      <w:r>
        <w:t>erivatives for which price applies</w:t>
      </w:r>
    </w:p>
    <w:tbl>
      <w:tblPr>
        <w:tblW w:w="6804"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402"/>
        <w:gridCol w:w="3402"/>
      </w:tblGrid>
      <w:tr w:rsidR="002975E5" w:rsidRPr="000540E1" w14:paraId="46959FE6" w14:textId="77777777" w:rsidTr="00F86FF1">
        <w:trPr>
          <w:cantSplit/>
          <w:tblHeader/>
        </w:trPr>
        <w:tc>
          <w:tcPr>
            <w:tcW w:w="2500" w:type="pct"/>
            <w:shd w:val="clear" w:color="auto" w:fill="C2E3FA"/>
          </w:tcPr>
          <w:p w14:paraId="5B83E3D8" w14:textId="77777777" w:rsidR="002975E5" w:rsidRDefault="002975E5" w:rsidP="0083427D">
            <w:pPr>
              <w:pStyle w:val="tablehead"/>
              <w:spacing w:line="250" w:lineRule="atLeast"/>
            </w:pPr>
            <w:bookmarkStart w:id="207" w:name="_Hlk101296695"/>
            <w:r>
              <w:t>CDE Guidance</w:t>
            </w:r>
          </w:p>
        </w:tc>
        <w:tc>
          <w:tcPr>
            <w:tcW w:w="2500" w:type="pct"/>
            <w:shd w:val="clear" w:color="auto" w:fill="C2E3FA"/>
            <w:vAlign w:val="center"/>
          </w:tcPr>
          <w:p w14:paraId="6DC8ACAF" w14:textId="77777777" w:rsidR="002975E5" w:rsidRPr="000540E1" w:rsidRDefault="002975E5" w:rsidP="0083427D">
            <w:pPr>
              <w:pStyle w:val="tablehead"/>
              <w:spacing w:line="250" w:lineRule="atLeast"/>
            </w:pPr>
            <w:r>
              <w:t>Draft amended ASIC Rules</w:t>
            </w:r>
          </w:p>
        </w:tc>
      </w:tr>
      <w:tr w:rsidR="002975E5" w:rsidRPr="000540E1" w14:paraId="7F5D2F51" w14:textId="77777777" w:rsidTr="00F86FF1">
        <w:trPr>
          <w:cantSplit/>
        </w:trPr>
        <w:tc>
          <w:tcPr>
            <w:tcW w:w="2500" w:type="pct"/>
          </w:tcPr>
          <w:p w14:paraId="75240ACD" w14:textId="61B521E9" w:rsidR="002975E5" w:rsidRPr="000540E1" w:rsidRDefault="002975E5" w:rsidP="0083427D">
            <w:pPr>
              <w:pStyle w:val="tbltext"/>
              <w:spacing w:line="250" w:lineRule="atLeast"/>
            </w:pPr>
            <w:r w:rsidRPr="00400D69">
              <w:t>Price specified in the OTC derivative transaction. It does not include fees, taxes or commissions</w:t>
            </w:r>
          </w:p>
        </w:tc>
        <w:tc>
          <w:tcPr>
            <w:tcW w:w="2500" w:type="pct"/>
          </w:tcPr>
          <w:p w14:paraId="02BF48EC" w14:textId="7CE2CB72" w:rsidR="002975E5" w:rsidRPr="000540E1" w:rsidRDefault="002975E5" w:rsidP="0083427D">
            <w:pPr>
              <w:pStyle w:val="tbltext"/>
              <w:spacing w:line="250" w:lineRule="atLeast"/>
            </w:pPr>
            <w:r w:rsidRPr="00400D69">
              <w:t>The price taken from the trade confirmation of the Reportable Transaction, not including fees, taxes or commissions</w:t>
            </w:r>
          </w:p>
        </w:tc>
      </w:tr>
      <w:tr w:rsidR="002975E5" w:rsidRPr="000540E1" w14:paraId="30FD1767" w14:textId="77777777" w:rsidTr="00F86FF1">
        <w:trPr>
          <w:cantSplit/>
        </w:trPr>
        <w:tc>
          <w:tcPr>
            <w:tcW w:w="2500" w:type="pct"/>
          </w:tcPr>
          <w:p w14:paraId="34ED2F5D" w14:textId="77777777" w:rsidR="002975E5" w:rsidRPr="000540E1" w:rsidRDefault="002975E5" w:rsidP="0083427D">
            <w:pPr>
              <w:pStyle w:val="tbltext"/>
              <w:spacing w:line="250" w:lineRule="atLeast"/>
            </w:pPr>
            <w:r>
              <w:t>commodity and equity forwards and similar products: price is the forward price</w:t>
            </w:r>
          </w:p>
        </w:tc>
        <w:tc>
          <w:tcPr>
            <w:tcW w:w="2500" w:type="pct"/>
          </w:tcPr>
          <w:p w14:paraId="0A3ED3C9" w14:textId="77777777" w:rsidR="002975E5" w:rsidRDefault="002975E5" w:rsidP="0083427D">
            <w:pPr>
              <w:pStyle w:val="tbltext"/>
              <w:spacing w:line="250" w:lineRule="atLeast"/>
            </w:pPr>
            <w:r>
              <w:t>commodity derivatives or equity derivatives where:</w:t>
            </w:r>
          </w:p>
          <w:p w14:paraId="274F870F" w14:textId="77777777" w:rsidR="002975E5" w:rsidRPr="000540E1" w:rsidRDefault="002975E5" w:rsidP="0083427D">
            <w:pPr>
              <w:pStyle w:val="tbltext"/>
              <w:numPr>
                <w:ilvl w:val="0"/>
                <w:numId w:val="25"/>
              </w:numPr>
              <w:spacing w:line="250" w:lineRule="atLeast"/>
              <w:ind w:left="284" w:hanging="284"/>
            </w:pPr>
            <w:r>
              <w:t>the UPI that is reported is for an instrument type that is a forward</w:t>
            </w:r>
          </w:p>
        </w:tc>
      </w:tr>
      <w:tr w:rsidR="002975E5" w:rsidRPr="000540E1" w14:paraId="5C3A5B7E" w14:textId="77777777" w:rsidTr="00F86FF1">
        <w:trPr>
          <w:cantSplit/>
        </w:trPr>
        <w:tc>
          <w:tcPr>
            <w:tcW w:w="2500" w:type="pct"/>
          </w:tcPr>
          <w:p w14:paraId="787792CC" w14:textId="77777777" w:rsidR="002975E5" w:rsidRDefault="002975E5" w:rsidP="0083427D">
            <w:pPr>
              <w:pStyle w:val="tbltext"/>
              <w:spacing w:line="250" w:lineRule="atLeast"/>
            </w:pPr>
            <w:r>
              <w:t>commodity fixed/float swaps and similar products with periodic payments: price is the fixed price of the fixed leg</w:t>
            </w:r>
          </w:p>
          <w:p w14:paraId="1E4787C9" w14:textId="77777777" w:rsidR="002975E5" w:rsidRPr="000540E1" w:rsidRDefault="002975E5" w:rsidP="0083427D">
            <w:pPr>
              <w:pStyle w:val="tbltext"/>
              <w:spacing w:line="250" w:lineRule="atLeast"/>
            </w:pPr>
            <w:r>
              <w:t>equity swaps, portfolios swaps, and similar products: price is the initial price of the underlier</w:t>
            </w:r>
          </w:p>
        </w:tc>
        <w:tc>
          <w:tcPr>
            <w:tcW w:w="2500" w:type="pct"/>
          </w:tcPr>
          <w:p w14:paraId="3930DE3F" w14:textId="77777777" w:rsidR="002975E5" w:rsidRDefault="002975E5" w:rsidP="0083427D">
            <w:pPr>
              <w:pStyle w:val="tbltext"/>
              <w:spacing w:line="250" w:lineRule="atLeast"/>
            </w:pPr>
            <w:r>
              <w:t>commodity derivatives or equity derivatives where:</w:t>
            </w:r>
          </w:p>
          <w:p w14:paraId="22CAE184" w14:textId="77777777" w:rsidR="002975E5" w:rsidRPr="000540E1" w:rsidRDefault="002975E5" w:rsidP="0083427D">
            <w:pPr>
              <w:pStyle w:val="tbltext"/>
              <w:numPr>
                <w:ilvl w:val="0"/>
                <w:numId w:val="25"/>
              </w:numPr>
              <w:spacing w:line="250" w:lineRule="atLeast"/>
              <w:ind w:left="284" w:hanging="284"/>
            </w:pPr>
            <w:r>
              <w:t xml:space="preserve">the UPI that is reported is for an instrument type that is a swap and the OTC Derivative includes a term that is, or is </w:t>
            </w:r>
            <w:r>
              <w:tab/>
              <w:t>equivalent to, a fixed price or initial price</w:t>
            </w:r>
          </w:p>
        </w:tc>
      </w:tr>
      <w:tr w:rsidR="002975E5" w:rsidRPr="000540E1" w14:paraId="5192E4A4" w14:textId="77777777" w:rsidTr="00F86FF1">
        <w:trPr>
          <w:cantSplit/>
        </w:trPr>
        <w:tc>
          <w:tcPr>
            <w:tcW w:w="2500" w:type="pct"/>
          </w:tcPr>
          <w:p w14:paraId="45D4E91C" w14:textId="77777777" w:rsidR="002975E5" w:rsidRPr="000540E1" w:rsidRDefault="002975E5" w:rsidP="0083427D">
            <w:pPr>
              <w:pStyle w:val="tbltext"/>
              <w:spacing w:line="250" w:lineRule="atLeast"/>
            </w:pPr>
            <w:r>
              <w:t>contracts for difference and similar products: price is the initial price of the underlier</w:t>
            </w:r>
          </w:p>
        </w:tc>
        <w:tc>
          <w:tcPr>
            <w:tcW w:w="2500" w:type="pct"/>
          </w:tcPr>
          <w:p w14:paraId="13FFA613" w14:textId="77777777" w:rsidR="002975E5" w:rsidRPr="000540E1" w:rsidRDefault="002975E5" w:rsidP="0083427D">
            <w:pPr>
              <w:pStyle w:val="tbltext"/>
              <w:spacing w:line="250" w:lineRule="atLeast"/>
            </w:pPr>
            <w:r>
              <w:t>contracts for difference (other than foreign exchange derivatives)</w:t>
            </w:r>
          </w:p>
        </w:tc>
      </w:tr>
      <w:tr w:rsidR="002975E5" w:rsidRPr="000540E1" w14:paraId="23536EE4" w14:textId="77777777" w:rsidTr="00F86FF1">
        <w:trPr>
          <w:cantSplit/>
        </w:trPr>
        <w:tc>
          <w:tcPr>
            <w:tcW w:w="2500" w:type="pct"/>
          </w:tcPr>
          <w:p w14:paraId="0B5A5B32" w14:textId="77777777" w:rsidR="002975E5" w:rsidRDefault="002975E5" w:rsidP="0083427D">
            <w:pPr>
              <w:pStyle w:val="tbltext"/>
              <w:spacing w:line="250" w:lineRule="atLeast"/>
            </w:pPr>
            <w:r>
              <w:t>This data element is not applicable to:</w:t>
            </w:r>
          </w:p>
          <w:p w14:paraId="24694B0F" w14:textId="2A8714CA" w:rsidR="002975E5" w:rsidRDefault="00803DB5" w:rsidP="0083427D">
            <w:pPr>
              <w:pStyle w:val="tbltext"/>
              <w:numPr>
                <w:ilvl w:val="0"/>
                <w:numId w:val="25"/>
              </w:numPr>
              <w:spacing w:line="250" w:lineRule="atLeast"/>
              <w:ind w:left="284" w:hanging="284"/>
            </w:pPr>
            <w:r>
              <w:t>i</w:t>
            </w:r>
            <w:r w:rsidR="002975E5">
              <w:t>nterest rate swaps and forward rate agreements: price is Fixed rate and/or Spread</w:t>
            </w:r>
          </w:p>
          <w:p w14:paraId="76713345" w14:textId="77777777" w:rsidR="002975E5" w:rsidRDefault="002975E5" w:rsidP="0083427D">
            <w:pPr>
              <w:pStyle w:val="tbltext"/>
              <w:numPr>
                <w:ilvl w:val="0"/>
                <w:numId w:val="25"/>
              </w:numPr>
              <w:spacing w:line="250" w:lineRule="atLeast"/>
              <w:ind w:left="284" w:hanging="284"/>
            </w:pPr>
            <w:r>
              <w:t>Interest rate options and interest rate swaptions: price is Strike price and/or Option premium</w:t>
            </w:r>
          </w:p>
          <w:p w14:paraId="6FC8E070" w14:textId="77777777" w:rsidR="002975E5" w:rsidRDefault="002975E5" w:rsidP="0083427D">
            <w:pPr>
              <w:pStyle w:val="tbltext"/>
              <w:numPr>
                <w:ilvl w:val="0"/>
                <w:numId w:val="25"/>
              </w:numPr>
              <w:spacing w:line="250" w:lineRule="atLeast"/>
              <w:ind w:left="284" w:hanging="284"/>
            </w:pPr>
            <w:r>
              <w:t>Commodity basis swaps and the floating leg of commodity fixed/float swaps: price is Spread</w:t>
            </w:r>
          </w:p>
          <w:p w14:paraId="08572AFE" w14:textId="77777777" w:rsidR="002975E5" w:rsidRDefault="002975E5" w:rsidP="0083427D">
            <w:pPr>
              <w:pStyle w:val="tbltext"/>
              <w:numPr>
                <w:ilvl w:val="0"/>
                <w:numId w:val="25"/>
              </w:numPr>
              <w:spacing w:line="250" w:lineRule="atLeast"/>
              <w:ind w:left="284" w:hanging="284"/>
            </w:pPr>
            <w:r>
              <w:t>Foreign exchange swaps, forwards and options: price is Exchange rate, Strike price, and/or Option premium</w:t>
            </w:r>
          </w:p>
          <w:p w14:paraId="131900F5" w14:textId="77777777" w:rsidR="002975E5" w:rsidRDefault="002975E5" w:rsidP="0083427D">
            <w:pPr>
              <w:pStyle w:val="tbltext"/>
              <w:numPr>
                <w:ilvl w:val="0"/>
                <w:numId w:val="25"/>
              </w:numPr>
              <w:spacing w:line="250" w:lineRule="atLeast"/>
              <w:ind w:left="284" w:hanging="284"/>
            </w:pPr>
            <w:r>
              <w:t>Equity options: price is Strike price and/or Option premium</w:t>
            </w:r>
          </w:p>
          <w:p w14:paraId="414670B3" w14:textId="77777777" w:rsidR="002975E5" w:rsidRDefault="002975E5" w:rsidP="0083427D">
            <w:pPr>
              <w:pStyle w:val="tbltext"/>
              <w:numPr>
                <w:ilvl w:val="0"/>
                <w:numId w:val="25"/>
              </w:numPr>
              <w:spacing w:line="250" w:lineRule="atLeast"/>
              <w:ind w:left="284" w:hanging="284"/>
            </w:pPr>
            <w:r>
              <w:t>Credit default swaps and credit total return swaps: price is Fixed rate, Spread and/or Other payment type: Upfront payment</w:t>
            </w:r>
          </w:p>
          <w:p w14:paraId="465E579F" w14:textId="77777777" w:rsidR="002975E5" w:rsidRPr="000540E1" w:rsidRDefault="002975E5" w:rsidP="0083427D">
            <w:pPr>
              <w:pStyle w:val="tbltext"/>
              <w:numPr>
                <w:ilvl w:val="0"/>
                <w:numId w:val="25"/>
              </w:numPr>
              <w:spacing w:line="250" w:lineRule="atLeast"/>
              <w:ind w:left="284" w:hanging="284"/>
            </w:pPr>
            <w:r>
              <w:t>Commodity options: price is Strike price and/or Option premium</w:t>
            </w:r>
          </w:p>
        </w:tc>
        <w:tc>
          <w:tcPr>
            <w:tcW w:w="2500" w:type="pct"/>
          </w:tcPr>
          <w:p w14:paraId="2C544B60" w14:textId="720339E3" w:rsidR="002975E5" w:rsidRDefault="008B64CE" w:rsidP="0083427D">
            <w:pPr>
              <w:pStyle w:val="tbltext"/>
              <w:spacing w:line="250" w:lineRule="atLeast"/>
            </w:pPr>
            <w:r>
              <w:t xml:space="preserve">Derivative transactions for which </w:t>
            </w:r>
            <w:r w:rsidR="002975E5" w:rsidRPr="00025396">
              <w:t>a value is not reported for</w:t>
            </w:r>
            <w:r>
              <w:t xml:space="preserve"> all of:</w:t>
            </w:r>
          </w:p>
          <w:p w14:paraId="38DC68D5" w14:textId="3A627ACA" w:rsidR="002975E5" w:rsidRDefault="002975E5" w:rsidP="008B64CE">
            <w:pPr>
              <w:pStyle w:val="tbltext"/>
              <w:numPr>
                <w:ilvl w:val="0"/>
                <w:numId w:val="25"/>
              </w:numPr>
              <w:spacing w:line="250" w:lineRule="atLeast"/>
              <w:ind w:left="284" w:hanging="284"/>
            </w:pPr>
            <w:r w:rsidRPr="00025396">
              <w:t>Fixed rate—Leg 1, Fixed rate—Leg</w:t>
            </w:r>
            <w:r w:rsidR="00174BFB">
              <w:t> </w:t>
            </w:r>
            <w:r w:rsidRPr="00025396">
              <w:t>2</w:t>
            </w:r>
            <w:r>
              <w:t>,</w:t>
            </w:r>
            <w:r w:rsidR="008B64CE">
              <w:t xml:space="preserve"> </w:t>
            </w:r>
            <w:r w:rsidR="008B64CE" w:rsidRPr="00025396">
              <w:t>Spread—Leg 1, Spread—Leg 2</w:t>
            </w:r>
          </w:p>
          <w:p w14:paraId="5DAA1F0C" w14:textId="3EE42420" w:rsidR="008B64CE" w:rsidRDefault="008B64CE" w:rsidP="008B64CE">
            <w:pPr>
              <w:pStyle w:val="tbltext"/>
              <w:numPr>
                <w:ilvl w:val="0"/>
                <w:numId w:val="25"/>
              </w:numPr>
              <w:spacing w:line="250" w:lineRule="atLeast"/>
              <w:ind w:left="284" w:hanging="284"/>
            </w:pPr>
            <w:r w:rsidRPr="00025396">
              <w:t xml:space="preserve">Strike price, </w:t>
            </w:r>
            <w:r>
              <w:t xml:space="preserve">Option </w:t>
            </w:r>
            <w:r w:rsidRPr="00025396">
              <w:t>premium amount</w:t>
            </w:r>
          </w:p>
          <w:p w14:paraId="4D2A873A" w14:textId="0610E8F8" w:rsidR="008B64CE" w:rsidRDefault="008B64CE" w:rsidP="008B64CE">
            <w:pPr>
              <w:pStyle w:val="tbltext"/>
              <w:numPr>
                <w:ilvl w:val="0"/>
                <w:numId w:val="25"/>
              </w:numPr>
              <w:spacing w:line="250" w:lineRule="atLeast"/>
              <w:ind w:left="284" w:hanging="284"/>
            </w:pPr>
            <w:r w:rsidRPr="00025396">
              <w:t>Exchange rate</w:t>
            </w:r>
            <w:r>
              <w:t xml:space="preserve">, </w:t>
            </w:r>
            <w:r w:rsidR="002975E5" w:rsidRPr="005A19AA">
              <w:t>and</w:t>
            </w:r>
          </w:p>
          <w:p w14:paraId="362ACEFC" w14:textId="010237FD" w:rsidR="002975E5" w:rsidRPr="001553D5" w:rsidRDefault="002975E5" w:rsidP="008B64CE">
            <w:pPr>
              <w:pStyle w:val="tbltext"/>
              <w:numPr>
                <w:ilvl w:val="0"/>
                <w:numId w:val="25"/>
              </w:numPr>
              <w:spacing w:line="250" w:lineRule="atLeast"/>
              <w:ind w:left="284" w:hanging="284"/>
            </w:pPr>
            <w:r w:rsidRPr="005A19AA">
              <w:t>for OTC Derivatives that are credit derivatives, a value of UFRO is not reported for Other payment type</w:t>
            </w:r>
          </w:p>
        </w:tc>
      </w:tr>
    </w:tbl>
    <w:bookmarkEnd w:id="207"/>
    <w:p w14:paraId="52D1F665" w14:textId="6DA06DDC" w:rsidR="002975E5" w:rsidRDefault="002975E5" w:rsidP="00C443A0">
      <w:pPr>
        <w:pStyle w:val="BodyText"/>
        <w:numPr>
          <w:ilvl w:val="0"/>
          <w:numId w:val="17"/>
        </w:numPr>
      </w:pPr>
      <w:r>
        <w:t xml:space="preserve">We think that the relevant scope of OTC </w:t>
      </w:r>
      <w:r w:rsidR="003A72D1">
        <w:t>d</w:t>
      </w:r>
      <w:r>
        <w:t xml:space="preserve">erivatives under the draft amended ASIC Rules for which the price data element applies accurately aligns with the intended scope of </w:t>
      </w:r>
      <w:r w:rsidR="003A72D1">
        <w:t>i</w:t>
      </w:r>
      <w:r>
        <w:t>nstruments in the CDE Guidance, noting that:</w:t>
      </w:r>
    </w:p>
    <w:p w14:paraId="5BE66B2A" w14:textId="3EA376E6" w:rsidR="002975E5" w:rsidRDefault="002975E5" w:rsidP="00C443A0">
      <w:pPr>
        <w:pStyle w:val="subparaa"/>
        <w:numPr>
          <w:ilvl w:val="1"/>
          <w:numId w:val="17"/>
        </w:numPr>
      </w:pPr>
      <w:r>
        <w:t xml:space="preserve">the meaning uses the common phrasing in the draft amended ASIC Rules of ‘taken from the trade confirmation’ rather than the less precise ‘specified </w:t>
      </w:r>
      <w:r w:rsidRPr="00400D69">
        <w:t>in the OTC derivative transaction</w:t>
      </w:r>
      <w:r>
        <w:t>’;</w:t>
      </w:r>
    </w:p>
    <w:p w14:paraId="31AA085E" w14:textId="00020E6C" w:rsidR="002975E5" w:rsidRDefault="002975E5" w:rsidP="00C443A0">
      <w:pPr>
        <w:pStyle w:val="subparaa"/>
        <w:numPr>
          <w:ilvl w:val="1"/>
          <w:numId w:val="17"/>
        </w:numPr>
      </w:pPr>
      <w:r>
        <w:t xml:space="preserve">as with the approach to direction 1 described in paragraph </w:t>
      </w:r>
      <w:r>
        <w:fldChar w:fldCharType="begin" w:fldLock="1"/>
      </w:r>
      <w:r>
        <w:instrText xml:space="preserve"> REF _ASICRef694 \w \h </w:instrText>
      </w:r>
      <w:r>
        <w:fldChar w:fldCharType="separate"/>
      </w:r>
      <w:r w:rsidR="00853A2A">
        <w:t>469</w:t>
      </w:r>
      <w:r>
        <w:fldChar w:fldCharType="end"/>
      </w:r>
      <w:r>
        <w:t>, a forward is identified by the instrument type data element of the UPI that is reported;</w:t>
      </w:r>
    </w:p>
    <w:p w14:paraId="630FDD61" w14:textId="77777777" w:rsidR="002975E5" w:rsidRDefault="002975E5" w:rsidP="00C443A0">
      <w:pPr>
        <w:pStyle w:val="subparaa"/>
        <w:numPr>
          <w:ilvl w:val="1"/>
          <w:numId w:val="17"/>
        </w:numPr>
      </w:pPr>
      <w:r>
        <w:t>the same kind of approach is taken to identify swaps by the instrument type data element of the UPI that is reported;</w:t>
      </w:r>
    </w:p>
    <w:p w14:paraId="72ACCD45" w14:textId="69043923" w:rsidR="002975E5" w:rsidRDefault="002975E5" w:rsidP="00C443A0">
      <w:pPr>
        <w:pStyle w:val="subparaa"/>
        <w:numPr>
          <w:ilvl w:val="1"/>
          <w:numId w:val="17"/>
        </w:numPr>
      </w:pPr>
      <w:r>
        <w:t>the meaning generally avoids stating a particular terminology that identifies the price (e.g. ‘</w:t>
      </w:r>
      <w:r w:rsidRPr="00400D69">
        <w:t>the forward price</w:t>
      </w:r>
      <w:r>
        <w:t xml:space="preserve">’ in the CDE Guidance), except in relation to commodity and equity swaps where the meaning clarifies the in-scope OTC </w:t>
      </w:r>
      <w:r w:rsidR="003A72D1">
        <w:t>d</w:t>
      </w:r>
      <w:r>
        <w:t>erivatives as those including ‘</w:t>
      </w:r>
      <w:r w:rsidRPr="00B67205">
        <w:t>a term that is, or is equivalent to, a fixed price or initial price</w:t>
      </w:r>
      <w:r w:rsidRPr="00400D69">
        <w:t xml:space="preserve"> of the underlying or reference asset</w:t>
      </w:r>
      <w:r>
        <w:t>’;</w:t>
      </w:r>
    </w:p>
    <w:p w14:paraId="6A4BB3A5" w14:textId="6210D425" w:rsidR="002975E5" w:rsidRDefault="002975E5" w:rsidP="00C443A0">
      <w:pPr>
        <w:pStyle w:val="subparaa"/>
        <w:numPr>
          <w:ilvl w:val="1"/>
          <w:numId w:val="17"/>
        </w:numPr>
      </w:pPr>
      <w:r>
        <w:t>it is clarified that the data element only applies to contracts for difference that are not foreign exchange derivatives</w:t>
      </w:r>
      <w:r w:rsidR="00404CA5">
        <w:t>—</w:t>
      </w:r>
      <w:r>
        <w:t>to treat foreign exchange contracts for difference in the same way as other foreign exchange forwards, as is their treatment for the direction data elements; and</w:t>
      </w:r>
    </w:p>
    <w:p w14:paraId="7537AA36" w14:textId="77777777" w:rsidR="002975E5" w:rsidRDefault="002975E5" w:rsidP="00C443A0">
      <w:pPr>
        <w:pStyle w:val="subparaa"/>
        <w:numPr>
          <w:ilvl w:val="1"/>
          <w:numId w:val="17"/>
        </w:numPr>
      </w:pPr>
      <w:r>
        <w:t>the OTC derivatives for which the price data element does not apply are those whose ‘price’ has been reported in one of the other data elements listed, which are the same set of data elements that the CDE Guidance identifies as conveying price information for various products.</w:t>
      </w:r>
    </w:p>
    <w:p w14:paraId="7389E1AF" w14:textId="3A71085D" w:rsidR="002975E5" w:rsidRDefault="002975E5" w:rsidP="00C443A0">
      <w:pPr>
        <w:pStyle w:val="BodyText"/>
        <w:numPr>
          <w:ilvl w:val="0"/>
          <w:numId w:val="17"/>
        </w:numPr>
      </w:pPr>
      <w:r>
        <w:t xml:space="preserve">For the other data elements for ‘price’ in Table S1.1(1), we think that the meanings for these data elements in the draft amended ASIC Rules are straightforward, as set out in </w:t>
      </w:r>
      <w:r>
        <w:fldChar w:fldCharType="begin" w:fldLock="1"/>
      </w:r>
      <w:r>
        <w:instrText xml:space="preserve"> REF _Ref96509227 \h </w:instrText>
      </w:r>
      <w:r>
        <w:fldChar w:fldCharType="separate"/>
      </w:r>
      <w:r w:rsidR="00853A2A">
        <w:t xml:space="preserve">Table </w:t>
      </w:r>
      <w:r w:rsidR="00853A2A">
        <w:rPr>
          <w:noProof/>
        </w:rPr>
        <w:t>33</w:t>
      </w:r>
      <w:r>
        <w:fldChar w:fldCharType="end"/>
      </w:r>
      <w:r>
        <w:t>.</w:t>
      </w:r>
    </w:p>
    <w:p w14:paraId="0BA3F163" w14:textId="4B4990FA" w:rsidR="002975E5" w:rsidRDefault="002975E5" w:rsidP="002975E5">
      <w:pPr>
        <w:pStyle w:val="tabletitleindented"/>
      </w:pPr>
      <w:bookmarkStart w:id="208" w:name="_Ref96509227"/>
      <w:r>
        <w:t xml:space="preserve">Table </w:t>
      </w:r>
      <w:fldSimple w:instr=" SEQ Table \* ARABIC ">
        <w:r w:rsidR="006679BA">
          <w:rPr>
            <w:noProof/>
          </w:rPr>
          <w:t>33</w:t>
        </w:r>
      </w:fldSimple>
      <w:bookmarkEnd w:id="208"/>
      <w:r>
        <w:t>:</w:t>
      </w:r>
      <w:r>
        <w:tab/>
        <w:t>Other data elements for ‘price’ in Table S1.1(1)</w:t>
      </w:r>
    </w:p>
    <w:tbl>
      <w:tblPr>
        <w:tblW w:w="0" w:type="auto"/>
        <w:tblInd w:w="2376" w:type="dxa"/>
        <w:tblBorders>
          <w:top w:val="single" w:sz="4" w:space="0" w:color="999999"/>
          <w:bottom w:val="single" w:sz="4" w:space="0" w:color="999999"/>
          <w:insideH w:val="single" w:sz="4" w:space="0" w:color="999999"/>
        </w:tblBorders>
        <w:tblCellMar>
          <w:bottom w:w="113" w:type="dxa"/>
        </w:tblCellMar>
        <w:tblLook w:val="0020" w:firstRow="1" w:lastRow="0" w:firstColumn="0" w:lastColumn="0" w:noHBand="0" w:noVBand="0"/>
      </w:tblPr>
      <w:tblGrid>
        <w:gridCol w:w="587"/>
        <w:gridCol w:w="1245"/>
        <w:gridCol w:w="4862"/>
      </w:tblGrid>
      <w:tr w:rsidR="002975E5" w:rsidRPr="002F4E61" w14:paraId="23EA95CD" w14:textId="77777777" w:rsidTr="008B7EE6">
        <w:trPr>
          <w:cantSplit/>
          <w:tblHeader/>
        </w:trPr>
        <w:tc>
          <w:tcPr>
            <w:tcW w:w="0" w:type="auto"/>
            <w:shd w:val="clear" w:color="auto" w:fill="C2E3FA"/>
          </w:tcPr>
          <w:p w14:paraId="2B700B5A" w14:textId="77777777" w:rsidR="002975E5" w:rsidRPr="002F4E61" w:rsidRDefault="002975E5" w:rsidP="00F86FF1">
            <w:pPr>
              <w:pStyle w:val="tablehead"/>
            </w:pPr>
            <w:r>
              <w:t>Item</w:t>
            </w:r>
          </w:p>
        </w:tc>
        <w:tc>
          <w:tcPr>
            <w:tcW w:w="0" w:type="auto"/>
            <w:shd w:val="clear" w:color="auto" w:fill="C2E3FA"/>
          </w:tcPr>
          <w:p w14:paraId="047051DE" w14:textId="77777777" w:rsidR="002975E5" w:rsidRPr="002F4E61" w:rsidRDefault="002975E5" w:rsidP="00F86FF1">
            <w:pPr>
              <w:pStyle w:val="tablehead"/>
            </w:pPr>
            <w:r>
              <w:t>Label</w:t>
            </w:r>
          </w:p>
        </w:tc>
        <w:tc>
          <w:tcPr>
            <w:tcW w:w="0" w:type="auto"/>
            <w:shd w:val="clear" w:color="auto" w:fill="C2E3FA"/>
          </w:tcPr>
          <w:p w14:paraId="640160C7" w14:textId="77777777" w:rsidR="002975E5" w:rsidRPr="002F4E61" w:rsidRDefault="002975E5" w:rsidP="00F86FF1">
            <w:pPr>
              <w:pStyle w:val="tablehead"/>
            </w:pPr>
            <w:r>
              <w:t>Derivative Transaction Information</w:t>
            </w:r>
          </w:p>
        </w:tc>
      </w:tr>
      <w:tr w:rsidR="002975E5" w:rsidRPr="002F4E61" w14:paraId="6D84AADF" w14:textId="77777777" w:rsidTr="008B7EE6">
        <w:trPr>
          <w:cantSplit/>
        </w:trPr>
        <w:tc>
          <w:tcPr>
            <w:tcW w:w="0" w:type="auto"/>
          </w:tcPr>
          <w:p w14:paraId="79819556" w14:textId="77777777" w:rsidR="002975E5" w:rsidRPr="002F4E61" w:rsidRDefault="002975E5" w:rsidP="00F86FF1">
            <w:pPr>
              <w:pStyle w:val="tbltext"/>
            </w:pPr>
            <w:r>
              <w:t>48</w:t>
            </w:r>
          </w:p>
        </w:tc>
        <w:tc>
          <w:tcPr>
            <w:tcW w:w="0" w:type="auto"/>
          </w:tcPr>
          <w:p w14:paraId="7B4B0976" w14:textId="77777777" w:rsidR="002975E5" w:rsidRPr="002F4E61" w:rsidRDefault="002975E5" w:rsidP="00F86FF1">
            <w:pPr>
              <w:pStyle w:val="tbltext"/>
            </w:pPr>
            <w:r w:rsidRPr="00F76596">
              <w:t>Fixed rate</w:t>
            </w:r>
            <w:r>
              <w:t>—Leg 1</w:t>
            </w:r>
          </w:p>
        </w:tc>
        <w:tc>
          <w:tcPr>
            <w:tcW w:w="0" w:type="auto"/>
          </w:tcPr>
          <w:p w14:paraId="08B6F293" w14:textId="3AA786E1" w:rsidR="002975E5" w:rsidRPr="002F4E61" w:rsidRDefault="002975E5" w:rsidP="00F86FF1">
            <w:pPr>
              <w:pStyle w:val="tbltext"/>
            </w:pPr>
            <w:r>
              <w:t>The value of the per annum rate of the fixed rate of Leg 1</w:t>
            </w:r>
          </w:p>
        </w:tc>
      </w:tr>
      <w:tr w:rsidR="002975E5" w:rsidRPr="002F4E61" w14:paraId="7B6592B0" w14:textId="77777777" w:rsidTr="008B7EE6">
        <w:trPr>
          <w:cantSplit/>
        </w:trPr>
        <w:tc>
          <w:tcPr>
            <w:tcW w:w="0" w:type="auto"/>
          </w:tcPr>
          <w:p w14:paraId="159C1311" w14:textId="77777777" w:rsidR="002975E5" w:rsidRPr="002F4E61" w:rsidRDefault="002975E5" w:rsidP="00F86FF1">
            <w:pPr>
              <w:pStyle w:val="tbltext"/>
            </w:pPr>
            <w:r>
              <w:t>49</w:t>
            </w:r>
          </w:p>
        </w:tc>
        <w:tc>
          <w:tcPr>
            <w:tcW w:w="0" w:type="auto"/>
          </w:tcPr>
          <w:p w14:paraId="1F9435F0" w14:textId="77777777" w:rsidR="002975E5" w:rsidRPr="002F4E61" w:rsidRDefault="002975E5" w:rsidP="00F86FF1">
            <w:pPr>
              <w:pStyle w:val="tbltext"/>
            </w:pPr>
            <w:r w:rsidRPr="00F76596">
              <w:t>Fixed rate</w:t>
            </w:r>
            <w:r>
              <w:t xml:space="preserve"> —Leg 2</w:t>
            </w:r>
          </w:p>
        </w:tc>
        <w:tc>
          <w:tcPr>
            <w:tcW w:w="0" w:type="auto"/>
          </w:tcPr>
          <w:p w14:paraId="13E60BF6" w14:textId="77777777" w:rsidR="002975E5" w:rsidRPr="002F4E61" w:rsidRDefault="002975E5" w:rsidP="00F86FF1">
            <w:pPr>
              <w:pStyle w:val="tbltext"/>
            </w:pPr>
            <w:r>
              <w:t>The value of the per annum rate of the fixed rate of Leg 2</w:t>
            </w:r>
          </w:p>
        </w:tc>
      </w:tr>
      <w:tr w:rsidR="002975E5" w:rsidRPr="002F4E61" w14:paraId="5DFEB511" w14:textId="77777777" w:rsidTr="008B7EE6">
        <w:trPr>
          <w:cantSplit/>
        </w:trPr>
        <w:tc>
          <w:tcPr>
            <w:tcW w:w="0" w:type="auto"/>
          </w:tcPr>
          <w:p w14:paraId="02B95E3B" w14:textId="77777777" w:rsidR="002975E5" w:rsidRPr="002F4E61" w:rsidRDefault="002975E5" w:rsidP="00F86FF1">
            <w:pPr>
              <w:pStyle w:val="tbltext"/>
            </w:pPr>
            <w:r>
              <w:t>50</w:t>
            </w:r>
          </w:p>
        </w:tc>
        <w:tc>
          <w:tcPr>
            <w:tcW w:w="0" w:type="auto"/>
          </w:tcPr>
          <w:p w14:paraId="1C60AD51" w14:textId="77777777" w:rsidR="002975E5" w:rsidRPr="002F4E61" w:rsidRDefault="002975E5" w:rsidP="00F86FF1">
            <w:pPr>
              <w:pStyle w:val="tbltext"/>
            </w:pPr>
            <w:r>
              <w:t>Spread—Leg 1</w:t>
            </w:r>
          </w:p>
        </w:tc>
        <w:tc>
          <w:tcPr>
            <w:tcW w:w="0" w:type="auto"/>
          </w:tcPr>
          <w:p w14:paraId="43E5B287" w14:textId="47EE2DBF" w:rsidR="002975E5" w:rsidRPr="002F4E61" w:rsidRDefault="002975E5" w:rsidP="00F86FF1">
            <w:pPr>
              <w:pStyle w:val="tbltext"/>
            </w:pPr>
            <w:r>
              <w:t>If applicable, the value of the spread that is added to the reference rate or reference price of the underlier of Leg 1</w:t>
            </w:r>
          </w:p>
        </w:tc>
      </w:tr>
      <w:tr w:rsidR="002975E5" w:rsidRPr="002F4E61" w14:paraId="750CDDDD" w14:textId="77777777" w:rsidTr="008B7EE6">
        <w:trPr>
          <w:cantSplit/>
        </w:trPr>
        <w:tc>
          <w:tcPr>
            <w:tcW w:w="0" w:type="auto"/>
          </w:tcPr>
          <w:p w14:paraId="0F7526B8" w14:textId="77777777" w:rsidR="002975E5" w:rsidRDefault="002975E5" w:rsidP="00F86FF1">
            <w:pPr>
              <w:pStyle w:val="tbltext"/>
            </w:pPr>
            <w:r>
              <w:t>51</w:t>
            </w:r>
          </w:p>
        </w:tc>
        <w:tc>
          <w:tcPr>
            <w:tcW w:w="0" w:type="auto"/>
          </w:tcPr>
          <w:p w14:paraId="1C5B16A5" w14:textId="77777777" w:rsidR="002975E5" w:rsidRDefault="002975E5" w:rsidP="00F86FF1">
            <w:pPr>
              <w:pStyle w:val="tbltext"/>
            </w:pPr>
            <w:r>
              <w:t>Spread—Leg 2</w:t>
            </w:r>
          </w:p>
        </w:tc>
        <w:tc>
          <w:tcPr>
            <w:tcW w:w="0" w:type="auto"/>
          </w:tcPr>
          <w:p w14:paraId="6D807B73" w14:textId="175DC138" w:rsidR="002975E5" w:rsidRDefault="002975E5" w:rsidP="00F86FF1">
            <w:pPr>
              <w:pStyle w:val="tbltext"/>
            </w:pPr>
            <w:r>
              <w:t>If applicable, the value of the spread that is added to the reference rate or reference price of the underlier of Leg 2</w:t>
            </w:r>
          </w:p>
        </w:tc>
      </w:tr>
      <w:tr w:rsidR="002975E5" w:rsidRPr="002F4E61" w14:paraId="2D9E52EF" w14:textId="77777777" w:rsidTr="008B7EE6">
        <w:trPr>
          <w:cantSplit/>
        </w:trPr>
        <w:tc>
          <w:tcPr>
            <w:tcW w:w="0" w:type="auto"/>
          </w:tcPr>
          <w:p w14:paraId="09A8677E" w14:textId="77777777" w:rsidR="002975E5" w:rsidRDefault="002975E5" w:rsidP="00F86FF1">
            <w:pPr>
              <w:pStyle w:val="tbltext"/>
            </w:pPr>
            <w:r>
              <w:t>56</w:t>
            </w:r>
          </w:p>
        </w:tc>
        <w:tc>
          <w:tcPr>
            <w:tcW w:w="0" w:type="auto"/>
          </w:tcPr>
          <w:p w14:paraId="1C96F829" w14:textId="77777777" w:rsidR="002975E5" w:rsidRDefault="002975E5" w:rsidP="00F86FF1">
            <w:pPr>
              <w:pStyle w:val="tbltext"/>
            </w:pPr>
            <w:r>
              <w:t>Strike price</w:t>
            </w:r>
          </w:p>
        </w:tc>
        <w:tc>
          <w:tcPr>
            <w:tcW w:w="0" w:type="auto"/>
          </w:tcPr>
          <w:p w14:paraId="66BAF6E3" w14:textId="77777777" w:rsidR="002975E5" w:rsidRDefault="002975E5" w:rsidP="00F86FF1">
            <w:pPr>
              <w:pStyle w:val="tbltext"/>
            </w:pPr>
            <w:r w:rsidRPr="00F76596">
              <w:t xml:space="preserve">If the </w:t>
            </w:r>
            <w:r>
              <w:t xml:space="preserve">OTC </w:t>
            </w:r>
            <w:r w:rsidRPr="00F76596">
              <w:t>Derivative</w:t>
            </w:r>
            <w:r>
              <w:t xml:space="preserve"> the subject of the Reportable Transaction</w:t>
            </w:r>
            <w:r w:rsidRPr="00F76596">
              <w:t xml:space="preserve"> is an option,</w:t>
            </w:r>
            <w:r>
              <w:t xml:space="preserve"> the value of the strike price of the option</w:t>
            </w:r>
          </w:p>
        </w:tc>
      </w:tr>
      <w:tr w:rsidR="002975E5" w:rsidRPr="002F4E61" w14:paraId="5B44FDD0" w14:textId="77777777" w:rsidTr="008B7EE6">
        <w:trPr>
          <w:cantSplit/>
        </w:trPr>
        <w:tc>
          <w:tcPr>
            <w:tcW w:w="0" w:type="auto"/>
          </w:tcPr>
          <w:p w14:paraId="2DE066F4" w14:textId="77777777" w:rsidR="002975E5" w:rsidRDefault="002975E5" w:rsidP="00F86FF1">
            <w:pPr>
              <w:pStyle w:val="tbltext"/>
            </w:pPr>
            <w:r>
              <w:t>59</w:t>
            </w:r>
          </w:p>
        </w:tc>
        <w:tc>
          <w:tcPr>
            <w:tcW w:w="0" w:type="auto"/>
          </w:tcPr>
          <w:p w14:paraId="14DA6719" w14:textId="77777777" w:rsidR="002975E5" w:rsidRDefault="002975E5" w:rsidP="00F86FF1">
            <w:pPr>
              <w:pStyle w:val="tbltext"/>
            </w:pPr>
            <w:r w:rsidRPr="00F76596">
              <w:t xml:space="preserve">Option premium </w:t>
            </w:r>
            <w:r>
              <w:t>amount</w:t>
            </w:r>
          </w:p>
        </w:tc>
        <w:tc>
          <w:tcPr>
            <w:tcW w:w="0" w:type="auto"/>
          </w:tcPr>
          <w:p w14:paraId="19B1F65D" w14:textId="02CA4A1A" w:rsidR="002975E5" w:rsidRPr="00F76596" w:rsidRDefault="002975E5" w:rsidP="00F86FF1">
            <w:pPr>
              <w:pStyle w:val="tbltext"/>
            </w:pPr>
            <w:r w:rsidRPr="00F76596">
              <w:t xml:space="preserve">If the </w:t>
            </w:r>
            <w:r>
              <w:t xml:space="preserve">OTC </w:t>
            </w:r>
            <w:r w:rsidRPr="00F76596">
              <w:t>Derivative</w:t>
            </w:r>
            <w:r>
              <w:t xml:space="preserve"> the subject of the Reportable Transaction</w:t>
            </w:r>
            <w:r w:rsidRPr="00F76596">
              <w:t xml:space="preserve"> is an option,</w:t>
            </w:r>
            <w:r>
              <w:t xml:space="preserve"> the m</w:t>
            </w:r>
            <w:r w:rsidRPr="00202C30">
              <w:t xml:space="preserve">onetary amount </w:t>
            </w:r>
            <w:r>
              <w:t xml:space="preserve">of the option premium </w:t>
            </w:r>
            <w:r w:rsidRPr="00202C30">
              <w:t>paid</w:t>
            </w:r>
            <w:r>
              <w:t>, or due to be paid,</w:t>
            </w:r>
            <w:r w:rsidRPr="00202C30">
              <w:t xml:space="preserve"> by the option buyer</w:t>
            </w:r>
          </w:p>
        </w:tc>
      </w:tr>
      <w:tr w:rsidR="002975E5" w:rsidRPr="002F4E61" w14:paraId="670D1A8C" w14:textId="77777777" w:rsidTr="008B7EE6">
        <w:trPr>
          <w:cantSplit/>
        </w:trPr>
        <w:tc>
          <w:tcPr>
            <w:tcW w:w="0" w:type="auto"/>
          </w:tcPr>
          <w:p w14:paraId="00C9FEF7" w14:textId="77777777" w:rsidR="002975E5" w:rsidRDefault="002975E5" w:rsidP="00F86FF1">
            <w:pPr>
              <w:pStyle w:val="tbltext"/>
            </w:pPr>
            <w:r>
              <w:t>62</w:t>
            </w:r>
          </w:p>
        </w:tc>
        <w:tc>
          <w:tcPr>
            <w:tcW w:w="0" w:type="auto"/>
          </w:tcPr>
          <w:p w14:paraId="6046FA82" w14:textId="77777777" w:rsidR="002975E5" w:rsidRPr="00F76596" w:rsidRDefault="002975E5" w:rsidP="00F86FF1">
            <w:pPr>
              <w:pStyle w:val="tbltext"/>
            </w:pPr>
            <w:r w:rsidRPr="00D94A5F">
              <w:t>Exchange rate</w:t>
            </w:r>
          </w:p>
        </w:tc>
        <w:tc>
          <w:tcPr>
            <w:tcW w:w="0" w:type="auto"/>
          </w:tcPr>
          <w:p w14:paraId="1E053096" w14:textId="2589893C" w:rsidR="002975E5" w:rsidRDefault="002975E5" w:rsidP="00F86FF1">
            <w:pPr>
              <w:pStyle w:val="tbltext"/>
              <w:rPr>
                <w:color w:val="000000" w:themeColor="text1"/>
              </w:rPr>
            </w:pPr>
            <w:r>
              <w:t>For foreign exchange derivatives that are not options,</w:t>
            </w:r>
            <w:r w:rsidRPr="00CE76A4">
              <w:t xml:space="preserve"> </w:t>
            </w:r>
            <w:r>
              <w:t xml:space="preserve">the </w:t>
            </w:r>
            <w:r w:rsidRPr="00F76596">
              <w:t xml:space="preserve">exchange </w:t>
            </w:r>
            <w:r>
              <w:t xml:space="preserve">rate </w:t>
            </w:r>
            <w:r w:rsidRPr="00CE76A4">
              <w:t xml:space="preserve">between </w:t>
            </w:r>
            <w:r>
              <w:t>Notional currency—Leg 1 (item</w:t>
            </w:r>
            <w:r w:rsidR="00437690">
              <w:t> </w:t>
            </w:r>
            <w:r>
              <w:t xml:space="preserve">32 above) and Notional currency—Leg 2 (item 33 above) taken from the trade confirmation of the Reportable Transaction; </w:t>
            </w:r>
            <w:r w:rsidRPr="007A28FD">
              <w:rPr>
                <w:color w:val="000000" w:themeColor="text1"/>
              </w:rPr>
              <w:t>or</w:t>
            </w:r>
          </w:p>
          <w:p w14:paraId="4825A3E3" w14:textId="286288B6" w:rsidR="002975E5" w:rsidRPr="00F76596" w:rsidRDefault="002975E5" w:rsidP="00F86FF1">
            <w:pPr>
              <w:pStyle w:val="tbltext"/>
            </w:pPr>
            <w:r w:rsidRPr="007A28FD">
              <w:rPr>
                <w:color w:val="000000" w:themeColor="text1"/>
              </w:rPr>
              <w:t xml:space="preserve">if no such </w:t>
            </w:r>
            <w:r>
              <w:rPr>
                <w:color w:val="000000" w:themeColor="text1"/>
              </w:rPr>
              <w:t xml:space="preserve">exchange rate </w:t>
            </w:r>
            <w:r w:rsidRPr="007A28FD">
              <w:rPr>
                <w:color w:val="000000" w:themeColor="text1"/>
              </w:rPr>
              <w:t xml:space="preserve">is specified in the </w:t>
            </w:r>
            <w:r>
              <w:rPr>
                <w:color w:val="000000" w:themeColor="text1"/>
              </w:rPr>
              <w:t>trade confirmation of the Reportable Transaction</w:t>
            </w:r>
            <w:r w:rsidRPr="007A28FD">
              <w:rPr>
                <w:color w:val="000000" w:themeColor="text1"/>
              </w:rPr>
              <w:t xml:space="preserve">, the </w:t>
            </w:r>
            <w:r>
              <w:rPr>
                <w:color w:val="000000" w:themeColor="text1"/>
              </w:rPr>
              <w:t xml:space="preserve">exchange rate </w:t>
            </w:r>
            <w:r w:rsidRPr="007A28FD">
              <w:rPr>
                <w:color w:val="000000" w:themeColor="text1"/>
              </w:rPr>
              <w:t xml:space="preserve">calculated by </w:t>
            </w:r>
            <w:r>
              <w:rPr>
                <w:color w:val="000000" w:themeColor="text1"/>
              </w:rPr>
              <w:t xml:space="preserve">dividing </w:t>
            </w:r>
            <w:r w:rsidRPr="007A28FD">
              <w:rPr>
                <w:color w:val="000000" w:themeColor="text1"/>
              </w:rPr>
              <w:t xml:space="preserve">the amount reported </w:t>
            </w:r>
            <w:r w:rsidRPr="00626670">
              <w:rPr>
                <w:color w:val="000000" w:themeColor="text1"/>
              </w:rPr>
              <w:t xml:space="preserve">as </w:t>
            </w:r>
            <w:r>
              <w:rPr>
                <w:color w:val="000000" w:themeColor="text1"/>
              </w:rPr>
              <w:t>Notional amount</w:t>
            </w:r>
            <w:r w:rsidRPr="00626670">
              <w:t xml:space="preserve">—Leg 1 </w:t>
            </w:r>
            <w:r>
              <w:t xml:space="preserve">by </w:t>
            </w:r>
            <w:r>
              <w:rPr>
                <w:color w:val="000000" w:themeColor="text1"/>
              </w:rPr>
              <w:t>Notional amount</w:t>
            </w:r>
            <w:r w:rsidRPr="00626670">
              <w:t xml:space="preserve">—Leg </w:t>
            </w:r>
            <w:r>
              <w:t>2</w:t>
            </w:r>
          </w:p>
        </w:tc>
      </w:tr>
    </w:tbl>
    <w:p w14:paraId="7CC059F4" w14:textId="49B89D9E" w:rsidR="002975E5" w:rsidRDefault="002975E5" w:rsidP="00C443A0">
      <w:pPr>
        <w:pStyle w:val="BodyText"/>
        <w:numPr>
          <w:ilvl w:val="0"/>
          <w:numId w:val="17"/>
        </w:numPr>
      </w:pPr>
      <w:r>
        <w:t>As applicable, the currency of the ‘price’ data element is reported as an ISO</w:t>
      </w:r>
      <w:r w:rsidR="00437690">
        <w:t> </w:t>
      </w:r>
      <w:r>
        <w:t xml:space="preserve">4217 currency code: see item </w:t>
      </w:r>
      <w:r w:rsidR="000D4FFF">
        <w:t xml:space="preserve">46 </w:t>
      </w:r>
      <w:r w:rsidR="00437690">
        <w:t>‘</w:t>
      </w:r>
      <w:r>
        <w:t>Price currency</w:t>
      </w:r>
      <w:r w:rsidR="00437690">
        <w:t>’</w:t>
      </w:r>
      <w:r>
        <w:t xml:space="preserve">, item </w:t>
      </w:r>
      <w:r w:rsidR="000D4FFF">
        <w:t xml:space="preserve">54 </w:t>
      </w:r>
      <w:r w:rsidR="00437690">
        <w:t>‘</w:t>
      </w:r>
      <w:r>
        <w:t>Spread currency—Leg 1</w:t>
      </w:r>
      <w:r w:rsidR="00437690">
        <w:t>’</w:t>
      </w:r>
      <w:r>
        <w:t xml:space="preserve">, item </w:t>
      </w:r>
      <w:r w:rsidR="000D4FFF">
        <w:t xml:space="preserve">55 </w:t>
      </w:r>
      <w:r w:rsidR="00437690">
        <w:t>‘</w:t>
      </w:r>
      <w:r>
        <w:t>Spread currency—Leg 2</w:t>
      </w:r>
      <w:r w:rsidR="00437690">
        <w:t xml:space="preserve">’and </w:t>
      </w:r>
      <w:r>
        <w:t xml:space="preserve">item 60 </w:t>
      </w:r>
      <w:r w:rsidR="00437690">
        <w:t>‘</w:t>
      </w:r>
      <w:r>
        <w:t>Option premium currency</w:t>
      </w:r>
      <w:r w:rsidR="00437690">
        <w:t>’</w:t>
      </w:r>
      <w:r>
        <w:t>.</w:t>
      </w:r>
    </w:p>
    <w:p w14:paraId="7A47D176" w14:textId="4A83A0A5" w:rsidR="002975E5" w:rsidRDefault="002975E5" w:rsidP="00C443A0">
      <w:pPr>
        <w:pStyle w:val="BodyText"/>
        <w:numPr>
          <w:ilvl w:val="0"/>
          <w:numId w:val="17"/>
        </w:numPr>
      </w:pPr>
      <w:r>
        <w:t xml:space="preserve">For the strike price of an option, the single currency of the strike is reported as an ISO 4217 currency code, or, in the case of a foreign exchange option, as the currency pair of the strike price, with the ISO 4217 currency codes in the same codes order as the strike price is expressed: see item </w:t>
      </w:r>
      <w:r w:rsidR="000D4FFF">
        <w:t xml:space="preserve">58 </w:t>
      </w:r>
      <w:r w:rsidR="00437690">
        <w:t>‘</w:t>
      </w:r>
      <w:r w:rsidRPr="00D36BA6">
        <w:t>Strike price currency/currency pair</w:t>
      </w:r>
      <w:r w:rsidR="00437690">
        <w:t>’</w:t>
      </w:r>
      <w:r>
        <w:t>.</w:t>
      </w:r>
    </w:p>
    <w:p w14:paraId="303B8465" w14:textId="2FC63C66" w:rsidR="002975E5" w:rsidRDefault="002975E5" w:rsidP="00C443A0">
      <w:pPr>
        <w:pStyle w:val="BodyText"/>
        <w:numPr>
          <w:ilvl w:val="0"/>
          <w:numId w:val="17"/>
        </w:numPr>
      </w:pPr>
      <w:r>
        <w:t xml:space="preserve">Similarly, for the exchange rate of a foreign exchange derivative that is not an option, the currency pair of the exchange rate is reported, with the ISO 4217 currency codes in the same codes order as the exchange rate is expressed: see item 63 </w:t>
      </w:r>
      <w:r w:rsidR="00437690">
        <w:t>‘</w:t>
      </w:r>
      <w:r>
        <w:t>Exchange rate basis</w:t>
      </w:r>
      <w:r w:rsidR="00437690">
        <w:t>’</w:t>
      </w:r>
      <w:r>
        <w:t>.</w:t>
      </w:r>
    </w:p>
    <w:p w14:paraId="7652D926" w14:textId="531FEE42" w:rsidR="002975E5" w:rsidRDefault="002975E5" w:rsidP="00C443A0">
      <w:pPr>
        <w:pStyle w:val="BodyText"/>
        <w:numPr>
          <w:ilvl w:val="0"/>
          <w:numId w:val="17"/>
        </w:numPr>
      </w:pPr>
      <w:r>
        <w:t>Finally, a number of the price data elements require an indicator</w:t>
      </w:r>
      <w:r w:rsidR="00404CA5">
        <w:t>—</w:t>
      </w:r>
      <w:r>
        <w:t>a ‘notation’</w:t>
      </w:r>
      <w:r w:rsidR="00437690" w:rsidRPr="00F5385D">
        <w:t>—</w:t>
      </w:r>
      <w:r>
        <w:t xml:space="preserve">of the type of units in which the ‘price’ </w:t>
      </w:r>
      <w:r w:rsidR="00F25AF2">
        <w:t xml:space="preserve">is </w:t>
      </w:r>
      <w:r>
        <w:t>expressed.</w:t>
      </w:r>
    </w:p>
    <w:p w14:paraId="63618B6D" w14:textId="410E66E6" w:rsidR="002975E5" w:rsidRPr="00446F72" w:rsidRDefault="00F5385D" w:rsidP="00C443A0">
      <w:pPr>
        <w:pStyle w:val="BodyText"/>
        <w:numPr>
          <w:ilvl w:val="0"/>
          <w:numId w:val="17"/>
        </w:numPr>
      </w:pPr>
      <w:r>
        <w:t>Respondents</w:t>
      </w:r>
      <w:r w:rsidR="002975E5">
        <w:t xml:space="preserve"> generally </w:t>
      </w:r>
      <w:r>
        <w:t xml:space="preserve">agreed with our proposal to </w:t>
      </w:r>
      <w:r w:rsidR="002975E5">
        <w:t xml:space="preserve">follow the CFTC approach </w:t>
      </w:r>
      <w:r>
        <w:t>requiring</w:t>
      </w:r>
      <w:r w:rsidR="002975E5">
        <w:t xml:space="preserve"> the use of decimals and not allow</w:t>
      </w:r>
      <w:r>
        <w:t>ing</w:t>
      </w:r>
      <w:r w:rsidR="002975E5">
        <w:t xml:space="preserve"> the use of percentages</w:t>
      </w:r>
      <w:r w:rsidR="00404CA5">
        <w:t>—</w:t>
      </w:r>
      <w:r w:rsidR="002975E5">
        <w:t xml:space="preserve">for example, a </w:t>
      </w:r>
      <w:r w:rsidR="002975E5">
        <w:rPr>
          <w:rFonts w:eastAsiaTheme="minorHAnsi"/>
        </w:rPr>
        <w:t>rate of 2.57% is reported as 0.0257 not 2.57.</w:t>
      </w:r>
    </w:p>
    <w:p w14:paraId="302EC1EB" w14:textId="77777777" w:rsidR="002975E5" w:rsidRDefault="002975E5" w:rsidP="00C443A0">
      <w:pPr>
        <w:pStyle w:val="BodyText"/>
        <w:numPr>
          <w:ilvl w:val="0"/>
          <w:numId w:val="17"/>
        </w:numPr>
      </w:pPr>
      <w:r>
        <w:t>Therefore, the notations that apply in the draft amended ASIC Rules are:</w:t>
      </w:r>
    </w:p>
    <w:p w14:paraId="0CD22EBD" w14:textId="608E6E9A" w:rsidR="002975E5" w:rsidRDefault="002975E5" w:rsidP="00C443A0">
      <w:pPr>
        <w:pStyle w:val="subparaa"/>
        <w:numPr>
          <w:ilvl w:val="1"/>
          <w:numId w:val="17"/>
        </w:numPr>
      </w:pPr>
      <w:r>
        <w:t>1</w:t>
      </w:r>
      <w:r w:rsidR="00404CA5">
        <w:t>—</w:t>
      </w:r>
      <w:r>
        <w:t>for a monetary amount</w:t>
      </w:r>
      <w:r w:rsidR="00437690">
        <w:t>;</w:t>
      </w:r>
    </w:p>
    <w:p w14:paraId="7657BE61" w14:textId="5335FD1C" w:rsidR="002975E5" w:rsidRDefault="002975E5" w:rsidP="00C443A0">
      <w:pPr>
        <w:pStyle w:val="subparaa"/>
        <w:numPr>
          <w:ilvl w:val="1"/>
          <w:numId w:val="17"/>
        </w:numPr>
      </w:pPr>
      <w:r>
        <w:t>3</w:t>
      </w:r>
      <w:r w:rsidR="00404CA5">
        <w:t>—</w:t>
      </w:r>
      <w:r>
        <w:t>for a decimal</w:t>
      </w:r>
      <w:r w:rsidR="00437690">
        <w:t>;</w:t>
      </w:r>
    </w:p>
    <w:p w14:paraId="1F2F9882" w14:textId="593BFBFA" w:rsidR="002975E5" w:rsidRDefault="002975E5" w:rsidP="00C443A0">
      <w:pPr>
        <w:pStyle w:val="subparaa"/>
        <w:numPr>
          <w:ilvl w:val="1"/>
          <w:numId w:val="17"/>
        </w:numPr>
      </w:pPr>
      <w:r>
        <w:t>4</w:t>
      </w:r>
      <w:r w:rsidR="00404CA5">
        <w:t>—</w:t>
      </w:r>
      <w:r>
        <w:t>for a number in basis points.</w:t>
      </w:r>
    </w:p>
    <w:p w14:paraId="7FFA8412" w14:textId="1861A822" w:rsidR="002975E5" w:rsidRDefault="002975E5" w:rsidP="00C443A0">
      <w:pPr>
        <w:pStyle w:val="BodyText"/>
        <w:numPr>
          <w:ilvl w:val="0"/>
          <w:numId w:val="17"/>
        </w:numPr>
      </w:pPr>
      <w:r>
        <w:t>In the draft amended ASIC Rules, the allowable notations are generally as 1</w:t>
      </w:r>
      <w:r w:rsidR="00F5385D">
        <w:t> </w:t>
      </w:r>
      <w:r>
        <w:t>or 3, with 4 an addition</w:t>
      </w:r>
      <w:r w:rsidR="00437690">
        <w:t>al</w:t>
      </w:r>
      <w:r>
        <w:t xml:space="preserve"> option for the Spread data elements. There are no separate notation data elements for the Fixed rate data elements as these are required to be always reported as decimals.</w:t>
      </w:r>
    </w:p>
    <w:p w14:paraId="48A9A65E" w14:textId="77777777" w:rsidR="002975E5" w:rsidRDefault="002975E5" w:rsidP="002975E5">
      <w:pPr>
        <w:pStyle w:val="Heading5"/>
      </w:pPr>
      <w:r>
        <w:t>Application to the draft remade ASIC Rules</w:t>
      </w:r>
    </w:p>
    <w:p w14:paraId="2F60397E" w14:textId="159C9B10" w:rsidR="002975E5" w:rsidRDefault="002975E5" w:rsidP="00C443A0">
      <w:pPr>
        <w:pStyle w:val="BodyText"/>
        <w:numPr>
          <w:ilvl w:val="0"/>
          <w:numId w:val="17"/>
        </w:numPr>
      </w:pPr>
      <w:r>
        <w:t xml:space="preserve">The following data elements are not present in the current ASIC Rules and we are not proposing </w:t>
      </w:r>
      <w:r w:rsidR="00BB3843">
        <w:t>to add them</w:t>
      </w:r>
      <w:r>
        <w:t xml:space="preserve"> to the draft remade ASIC Rules:</w:t>
      </w:r>
    </w:p>
    <w:p w14:paraId="198A6C58" w14:textId="77777777" w:rsidR="002975E5" w:rsidRDefault="002975E5" w:rsidP="00C443A0">
      <w:pPr>
        <w:pStyle w:val="subparaa"/>
        <w:numPr>
          <w:ilvl w:val="1"/>
          <w:numId w:val="17"/>
        </w:numPr>
      </w:pPr>
      <w:r w:rsidRPr="00782C8E">
        <w:t>Price, Price currency, Price notation, Price unit of measure</w:t>
      </w:r>
      <w:r>
        <w:t>;</w:t>
      </w:r>
    </w:p>
    <w:p w14:paraId="6E6B3013" w14:textId="77777777" w:rsidR="002975E5" w:rsidRDefault="002975E5" w:rsidP="00C443A0">
      <w:pPr>
        <w:pStyle w:val="subparaa"/>
        <w:numPr>
          <w:ilvl w:val="1"/>
          <w:numId w:val="17"/>
        </w:numPr>
      </w:pPr>
      <w:r>
        <w:t>Spread—Leg 1, Spread—Leg 2, Spread currency—Leg 1, Spread currency—Leg 2, Spread notation—Leg 1, Spread notation—Leg 2; and</w:t>
      </w:r>
    </w:p>
    <w:p w14:paraId="21204D61" w14:textId="77777777" w:rsidR="002975E5" w:rsidRDefault="002975E5" w:rsidP="00C443A0">
      <w:pPr>
        <w:pStyle w:val="subparaa"/>
        <w:numPr>
          <w:ilvl w:val="1"/>
          <w:numId w:val="17"/>
        </w:numPr>
      </w:pPr>
      <w:r w:rsidRPr="00920FF1">
        <w:t>Strike price notation</w:t>
      </w:r>
      <w:r>
        <w:t xml:space="preserve">, </w:t>
      </w:r>
      <w:r w:rsidRPr="00E51A7B">
        <w:t>Option premium payment date</w:t>
      </w:r>
      <w:r>
        <w:t>.</w:t>
      </w:r>
    </w:p>
    <w:p w14:paraId="6F453B1B" w14:textId="6EA460AD" w:rsidR="002975E5" w:rsidRDefault="002975E5" w:rsidP="00C443A0">
      <w:pPr>
        <w:pStyle w:val="BodyText"/>
        <w:numPr>
          <w:ilvl w:val="0"/>
          <w:numId w:val="17"/>
        </w:numPr>
      </w:pPr>
      <w:r>
        <w:t xml:space="preserve">Exchange rate basis and </w:t>
      </w:r>
      <w:r w:rsidRPr="007B4D1C">
        <w:t xml:space="preserve">Strike price currency/currency pair </w:t>
      </w:r>
      <w:r>
        <w:t xml:space="preserve">are data elements present in the current ASIC Rules (in practice, as item 34 </w:t>
      </w:r>
      <w:r w:rsidR="00BB3843">
        <w:t>‘</w:t>
      </w:r>
      <w:r>
        <w:t>Basis</w:t>
      </w:r>
      <w:r w:rsidR="00BB3843">
        <w:t>’</w:t>
      </w:r>
      <w:r>
        <w:t xml:space="preserve"> in Table S1.1(1) </w:t>
      </w:r>
      <w:r w:rsidR="00BB3843">
        <w:t>‘</w:t>
      </w:r>
      <w:r>
        <w:t>Common data</w:t>
      </w:r>
      <w:r w:rsidR="00BB3843">
        <w:t>’</w:t>
      </w:r>
      <w:r>
        <w:t xml:space="preserve"> but without specifying an order of currency codes) and this data element is not proposed to be continued in the draft remade ASIC Rules.</w:t>
      </w:r>
    </w:p>
    <w:p w14:paraId="4DF975D7" w14:textId="77777777" w:rsidR="002975E5" w:rsidRDefault="002975E5" w:rsidP="00C443A0">
      <w:pPr>
        <w:pStyle w:val="BodyText"/>
        <w:numPr>
          <w:ilvl w:val="0"/>
          <w:numId w:val="17"/>
        </w:numPr>
      </w:pPr>
      <w:r>
        <w:t>Otherwise, the following data elements are present in the current ASIC Rules and are continued in the draft remade ASIC Rules using substantively the same meanings, formats and allowable values as in the draft amended ASIC Rules:</w:t>
      </w:r>
    </w:p>
    <w:p w14:paraId="762A9CD5" w14:textId="77777777" w:rsidR="002975E5" w:rsidRDefault="002975E5" w:rsidP="00C443A0">
      <w:pPr>
        <w:pStyle w:val="subparaa"/>
        <w:numPr>
          <w:ilvl w:val="1"/>
          <w:numId w:val="17"/>
        </w:numPr>
      </w:pPr>
      <w:r w:rsidRPr="00F76596">
        <w:t>Fixed rate</w:t>
      </w:r>
      <w:r>
        <w:t>—Leg 1;</w:t>
      </w:r>
    </w:p>
    <w:p w14:paraId="5BCF8E83" w14:textId="77777777" w:rsidR="002975E5" w:rsidRDefault="002975E5" w:rsidP="00C443A0">
      <w:pPr>
        <w:pStyle w:val="subparaa"/>
        <w:numPr>
          <w:ilvl w:val="1"/>
          <w:numId w:val="17"/>
        </w:numPr>
      </w:pPr>
      <w:r w:rsidRPr="007B4D1C">
        <w:t>Option premium amount, Option premium currency</w:t>
      </w:r>
      <w:r>
        <w:t>, Strike price; and</w:t>
      </w:r>
    </w:p>
    <w:p w14:paraId="449B3099" w14:textId="77777777" w:rsidR="002975E5" w:rsidRDefault="002975E5" w:rsidP="00C443A0">
      <w:pPr>
        <w:pStyle w:val="subparaa"/>
        <w:numPr>
          <w:ilvl w:val="1"/>
          <w:numId w:val="17"/>
        </w:numPr>
      </w:pPr>
      <w:r>
        <w:t>Exchange rate.</w:t>
      </w:r>
    </w:p>
    <w:p w14:paraId="10A444D6" w14:textId="33F57FAB" w:rsidR="002975E5" w:rsidRDefault="002975E5" w:rsidP="00C443A0">
      <w:pPr>
        <w:pStyle w:val="BodyText"/>
        <w:numPr>
          <w:ilvl w:val="0"/>
          <w:numId w:val="17"/>
        </w:numPr>
      </w:pPr>
      <w:r>
        <w:t xml:space="preserve">We are also proposing to add the data element </w:t>
      </w:r>
      <w:r w:rsidRPr="00F76596">
        <w:t>Fixed rate</w:t>
      </w:r>
      <w:r>
        <w:t>—Leg 2 to the draft remade ASIC Rules for the following reasons:</w:t>
      </w:r>
    </w:p>
    <w:p w14:paraId="08F184C3" w14:textId="77777777" w:rsidR="002975E5" w:rsidRDefault="002975E5" w:rsidP="00C443A0">
      <w:pPr>
        <w:pStyle w:val="subparaa"/>
        <w:numPr>
          <w:ilvl w:val="1"/>
          <w:numId w:val="17"/>
        </w:numPr>
      </w:pPr>
      <w:r>
        <w:t>this data element is required to fully describe interest rate swaps, particularly cross-currency swaps, that have a fixed rate on both legs of the swap;</w:t>
      </w:r>
    </w:p>
    <w:p w14:paraId="347ED71A" w14:textId="77777777" w:rsidR="002975E5" w:rsidRDefault="002975E5" w:rsidP="00C443A0">
      <w:pPr>
        <w:pStyle w:val="subparaa"/>
        <w:numPr>
          <w:ilvl w:val="1"/>
          <w:numId w:val="17"/>
        </w:numPr>
      </w:pPr>
      <w:r>
        <w:t>it is a data element that is required under the draft amended ASIC Rules;</w:t>
      </w:r>
    </w:p>
    <w:p w14:paraId="010EC502" w14:textId="76891EDC" w:rsidR="002975E5" w:rsidRDefault="002975E5" w:rsidP="00C443A0">
      <w:pPr>
        <w:pStyle w:val="subparaa"/>
        <w:numPr>
          <w:ilvl w:val="1"/>
          <w:numId w:val="17"/>
        </w:numPr>
      </w:pPr>
      <w:r>
        <w:t>it is a data element that is already commonly reported to DDRS and this would not require any system or process changes by the reporting entities that are already reporting this data element; and</w:t>
      </w:r>
    </w:p>
    <w:p w14:paraId="2EA898EC" w14:textId="7AED942E" w:rsidR="002975E5" w:rsidRDefault="002975E5" w:rsidP="00C443A0">
      <w:pPr>
        <w:pStyle w:val="subparaa"/>
        <w:numPr>
          <w:ilvl w:val="1"/>
          <w:numId w:val="17"/>
        </w:numPr>
      </w:pPr>
      <w:r>
        <w:t xml:space="preserve">as indicated by a recent </w:t>
      </w:r>
      <w:r w:rsidR="005A5E1A">
        <w:t>review</w:t>
      </w:r>
      <w:r>
        <w:t xml:space="preserve"> of the data, we think that there are only 10 reporting entities who do not currently report </w:t>
      </w:r>
      <w:r w:rsidRPr="00AB3232">
        <w:t xml:space="preserve">Fixed rate—Leg 2 </w:t>
      </w:r>
      <w:r>
        <w:t xml:space="preserve">and this accounts for just 3% of all transactions for which </w:t>
      </w:r>
      <w:r w:rsidRPr="00AB3232">
        <w:t>Fixed rate—Leg 2</w:t>
      </w:r>
      <w:r>
        <w:t xml:space="preserve"> would be reported.</w:t>
      </w:r>
    </w:p>
    <w:p w14:paraId="14FF5C3F" w14:textId="77777777" w:rsidR="002975E5" w:rsidRDefault="002975E5" w:rsidP="002975E5">
      <w:pPr>
        <w:pStyle w:val="Heading4"/>
      </w:pPr>
      <w:r>
        <w:t>Data elements related to regular payments and settlements</w:t>
      </w:r>
    </w:p>
    <w:p w14:paraId="238298F2" w14:textId="1D5A9B26" w:rsidR="002975E5" w:rsidRDefault="002975E5" w:rsidP="00C443A0">
      <w:pPr>
        <w:pStyle w:val="BodyText"/>
        <w:numPr>
          <w:ilvl w:val="0"/>
          <w:numId w:val="17"/>
        </w:numPr>
        <w:spacing w:after="200" w:line="310" w:lineRule="atLeast"/>
      </w:pPr>
      <w:r>
        <w:t>The draft amended ASIC Rules (</w:t>
      </w:r>
      <w:r w:rsidR="00BB3843">
        <w:t xml:space="preserve">see </w:t>
      </w:r>
      <w:r>
        <w:t xml:space="preserve">Attachment 2) include the following data elements related to regular payments and settlements. We have decided not to proceed with </w:t>
      </w:r>
      <w:r w:rsidR="00BB3843">
        <w:t xml:space="preserve">four </w:t>
      </w:r>
      <w:r>
        <w:t xml:space="preserve">data elements that were discussed in </w:t>
      </w:r>
      <w:hyperlink r:id="rId132" w:history="1">
        <w:r w:rsidRPr="00BB3843">
          <w:rPr>
            <w:rStyle w:val="Hyperlink"/>
          </w:rPr>
          <w:t>CP 334</w:t>
        </w:r>
      </w:hyperlink>
      <w:r>
        <w:t xml:space="preserve"> to be considered for possible proposal in this consultation. However, we are now proposing to bring forward </w:t>
      </w:r>
      <w:r w:rsidR="00BB3843">
        <w:t xml:space="preserve">two </w:t>
      </w:r>
      <w:r>
        <w:t>data elements that would be required in the draft amended ASIC Rules to apply in the earlier draft remade ASIC Rules.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060F9EF3" w14:textId="77777777" w:rsidTr="00F86FF1">
        <w:trPr>
          <w:cantSplit/>
        </w:trPr>
        <w:tc>
          <w:tcPr>
            <w:tcW w:w="1701" w:type="dxa"/>
            <w:shd w:val="clear" w:color="auto" w:fill="C2E3FA"/>
          </w:tcPr>
          <w:p w14:paraId="643232A6" w14:textId="6358F629" w:rsidR="002975E5" w:rsidRPr="000540E1" w:rsidRDefault="002975E5" w:rsidP="00F86FF1">
            <w:pPr>
              <w:pStyle w:val="tablehead"/>
            </w:pPr>
            <w:r>
              <w:t>Proceed per CP</w:t>
            </w:r>
            <w:r w:rsidR="00BB3843">
              <w:t> </w:t>
            </w:r>
            <w:r>
              <w:t>334</w:t>
            </w:r>
          </w:p>
        </w:tc>
        <w:tc>
          <w:tcPr>
            <w:tcW w:w="5103" w:type="dxa"/>
          </w:tcPr>
          <w:p w14:paraId="74CDEB5F" w14:textId="77777777" w:rsidR="002975E5" w:rsidRDefault="002975E5" w:rsidP="00F86FF1">
            <w:pPr>
              <w:pStyle w:val="tbltext"/>
            </w:pPr>
            <w:r w:rsidRPr="000D3B98">
              <w:t>Day count convention—Leg 1</w:t>
            </w:r>
            <w:r>
              <w:t xml:space="preserve">, </w:t>
            </w:r>
            <w:r w:rsidRPr="00584F15">
              <w:t xml:space="preserve">Day count convention—Leg </w:t>
            </w:r>
            <w:r>
              <w:t>2,</w:t>
            </w:r>
          </w:p>
          <w:p w14:paraId="1ACB9499" w14:textId="2353FB93" w:rsidR="002975E5" w:rsidRDefault="002975E5" w:rsidP="00F86FF1">
            <w:pPr>
              <w:pStyle w:val="tbltext"/>
            </w:pPr>
            <w:r w:rsidRPr="000D3B98">
              <w:t>Payment frequency period—Leg 1</w:t>
            </w:r>
            <w:r>
              <w:t>,</w:t>
            </w:r>
            <w:r w:rsidR="005F1948">
              <w:br/>
            </w:r>
            <w:r w:rsidR="005F1948" w:rsidRPr="000D3B98">
              <w:t>Payment frequency period multiplier—Leg 1</w:t>
            </w:r>
            <w:r w:rsidR="005F1948">
              <w:t>,</w:t>
            </w:r>
            <w:r w:rsidR="005F1948">
              <w:br/>
            </w:r>
            <w:r w:rsidRPr="000D3B98">
              <w:t xml:space="preserve">Payment frequency period—Leg </w:t>
            </w:r>
            <w:r>
              <w:t>2,</w:t>
            </w:r>
            <w:r w:rsidR="005F1948">
              <w:br/>
            </w:r>
            <w:r w:rsidRPr="000D3B98">
              <w:t xml:space="preserve">Payment frequency period multiplier—Leg </w:t>
            </w:r>
            <w:r>
              <w:t>2,</w:t>
            </w:r>
          </w:p>
          <w:p w14:paraId="0F107971" w14:textId="77777777" w:rsidR="002975E5" w:rsidRPr="008B4297" w:rsidRDefault="002975E5" w:rsidP="00F86FF1">
            <w:pPr>
              <w:pStyle w:val="tbltext"/>
              <w:rPr>
                <w:color w:val="000000" w:themeColor="text1"/>
              </w:rPr>
            </w:pPr>
            <w:r w:rsidRPr="000D3B98">
              <w:t>Settlement currency—Leg 1</w:t>
            </w:r>
            <w:r>
              <w:t xml:space="preserve">, </w:t>
            </w:r>
            <w:r w:rsidRPr="000D3B98">
              <w:t xml:space="preserve">Settlement currency—Leg </w:t>
            </w:r>
            <w:r>
              <w:t>2</w:t>
            </w:r>
          </w:p>
        </w:tc>
      </w:tr>
      <w:tr w:rsidR="002975E5" w:rsidRPr="000540E1" w14:paraId="21A4AD50" w14:textId="77777777" w:rsidTr="00F86FF1">
        <w:trPr>
          <w:cantSplit/>
        </w:trPr>
        <w:tc>
          <w:tcPr>
            <w:tcW w:w="1701" w:type="dxa"/>
            <w:shd w:val="clear" w:color="auto" w:fill="C2E3FA"/>
          </w:tcPr>
          <w:p w14:paraId="20517AEA" w14:textId="77777777" w:rsidR="002975E5" w:rsidRPr="000540E1" w:rsidRDefault="002975E5" w:rsidP="00F86FF1">
            <w:pPr>
              <w:pStyle w:val="tablehead"/>
            </w:pPr>
            <w:r>
              <w:t>Not proceed</w:t>
            </w:r>
          </w:p>
        </w:tc>
        <w:tc>
          <w:tcPr>
            <w:tcW w:w="5103" w:type="dxa"/>
          </w:tcPr>
          <w:p w14:paraId="70E5240B" w14:textId="29197575" w:rsidR="002975E5" w:rsidRPr="000540E1" w:rsidRDefault="002975E5" w:rsidP="00F86FF1">
            <w:pPr>
              <w:pStyle w:val="tbltext"/>
            </w:pPr>
            <w:r w:rsidRPr="00D202EC">
              <w:t>Floating rate reset frequency period</w:t>
            </w:r>
            <w:r>
              <w:t xml:space="preserve"> </w:t>
            </w:r>
            <w:r>
              <w:rPr>
                <w:rFonts w:ascii="Calibri" w:hAnsi="Calibri"/>
              </w:rPr>
              <w:t>—</w:t>
            </w:r>
            <w:r>
              <w:t>Leg 1,</w:t>
            </w:r>
            <w:r w:rsidR="005F1948">
              <w:br/>
            </w:r>
            <w:r w:rsidRPr="00D202EC">
              <w:t>Floating rate reset frequency period</w:t>
            </w:r>
            <w:r>
              <w:t xml:space="preserve"> </w:t>
            </w:r>
            <w:r>
              <w:rPr>
                <w:rFonts w:ascii="Calibri" w:hAnsi="Calibri"/>
              </w:rPr>
              <w:t>—</w:t>
            </w:r>
            <w:r>
              <w:t>Leg 2,</w:t>
            </w:r>
            <w:r w:rsidR="005F1948">
              <w:br/>
            </w:r>
            <w:r w:rsidRPr="00D202EC">
              <w:t>Floating rate reset frequency period multiplier</w:t>
            </w:r>
            <w:r>
              <w:rPr>
                <w:rFonts w:ascii="Calibri" w:hAnsi="Calibri"/>
              </w:rPr>
              <w:t>—</w:t>
            </w:r>
            <w:r>
              <w:t xml:space="preserve">Leg 1, </w:t>
            </w:r>
            <w:r w:rsidRPr="00D202EC">
              <w:t>Floating rate reset frequency period multiplier</w:t>
            </w:r>
            <w:r>
              <w:rPr>
                <w:rFonts w:ascii="Calibri" w:hAnsi="Calibri"/>
              </w:rPr>
              <w:t>—</w:t>
            </w:r>
            <w:r>
              <w:t>Leg 2</w:t>
            </w:r>
          </w:p>
        </w:tc>
      </w:tr>
      <w:tr w:rsidR="002975E5" w:rsidRPr="000540E1" w14:paraId="42E63D9C" w14:textId="77777777" w:rsidTr="00F86FF1">
        <w:trPr>
          <w:cantSplit/>
        </w:trPr>
        <w:tc>
          <w:tcPr>
            <w:tcW w:w="1701" w:type="dxa"/>
            <w:shd w:val="clear" w:color="auto" w:fill="C2E3FA"/>
          </w:tcPr>
          <w:p w14:paraId="45999E85" w14:textId="77777777" w:rsidR="002975E5" w:rsidRPr="000540E1" w:rsidRDefault="002975E5" w:rsidP="00F86FF1">
            <w:pPr>
              <w:pStyle w:val="tablehead"/>
            </w:pPr>
            <w:r>
              <w:t>New proposal</w:t>
            </w:r>
          </w:p>
        </w:tc>
        <w:tc>
          <w:tcPr>
            <w:tcW w:w="5103" w:type="dxa"/>
          </w:tcPr>
          <w:p w14:paraId="31632098" w14:textId="2F303C7C" w:rsidR="002975E5" w:rsidRPr="000540E1" w:rsidRDefault="002975E5" w:rsidP="00F86FF1">
            <w:pPr>
              <w:pStyle w:val="tbltext"/>
            </w:pPr>
            <w:r w:rsidRPr="00F707FB">
              <w:t xml:space="preserve">Fixed leg payment frequency (leg </w:t>
            </w:r>
            <w:r>
              <w:t>2</w:t>
            </w:r>
            <w:r w:rsidRPr="00F707FB">
              <w:t>)</w:t>
            </w:r>
            <w:r>
              <w:t>,</w:t>
            </w:r>
            <w:r w:rsidR="005F1948">
              <w:t xml:space="preserve"> </w:t>
            </w:r>
            <w:r w:rsidRPr="00F707FB">
              <w:t>F</w:t>
            </w:r>
            <w:r>
              <w:t xml:space="preserve">loating rate </w:t>
            </w:r>
            <w:r w:rsidRPr="00F707FB">
              <w:t xml:space="preserve">payment frequency (leg </w:t>
            </w:r>
            <w:r>
              <w:t>2</w:t>
            </w:r>
            <w:r w:rsidRPr="00F707FB">
              <w:t>)</w:t>
            </w:r>
            <w:r>
              <w:t xml:space="preserve"> in the draft remade ASIC Rules</w:t>
            </w:r>
          </w:p>
        </w:tc>
      </w:tr>
    </w:tbl>
    <w:p w14:paraId="15D67413" w14:textId="43090C4D" w:rsidR="002975E5" w:rsidRDefault="002975E5" w:rsidP="00C443A0">
      <w:pPr>
        <w:pStyle w:val="BodyText"/>
        <w:numPr>
          <w:ilvl w:val="0"/>
          <w:numId w:val="17"/>
        </w:numPr>
        <w:spacing w:line="310" w:lineRule="atLeast"/>
      </w:pPr>
      <w:r>
        <w:t xml:space="preserve">As noted in paragraph </w:t>
      </w:r>
      <w:r>
        <w:fldChar w:fldCharType="begin" w:fldLock="1"/>
      </w:r>
      <w:r>
        <w:instrText xml:space="preserve"> REF _ASICRef913 \w \h </w:instrText>
      </w:r>
      <w:r>
        <w:fldChar w:fldCharType="separate"/>
      </w:r>
      <w:r w:rsidR="00853A2A">
        <w:t>332</w:t>
      </w:r>
      <w:r>
        <w:fldChar w:fldCharType="end"/>
      </w:r>
      <w:r>
        <w:t>, respondents to CP 334 indicated a low incidence of transactions where the reset frequency of a floating rate was different to the reference period of the floating rate</w:t>
      </w:r>
      <w:r w:rsidR="00404CA5">
        <w:t>—</w:t>
      </w:r>
      <w:r>
        <w:t>for example, where the reference rate is 6</w:t>
      </w:r>
      <w:r w:rsidR="00BB3843">
        <w:t>-</w:t>
      </w:r>
      <w:r>
        <w:t>month BBSW but the reset frequency is monthly. We have decided not to proceed to propose additional data elements to describe the reset frequency separate from the reference period.</w:t>
      </w:r>
    </w:p>
    <w:p w14:paraId="5F2FADAE" w14:textId="2CFE1F75" w:rsidR="002975E5" w:rsidRDefault="002975E5" w:rsidP="00C443A0">
      <w:pPr>
        <w:pStyle w:val="BodyText"/>
        <w:numPr>
          <w:ilvl w:val="0"/>
          <w:numId w:val="17"/>
        </w:numPr>
        <w:spacing w:line="310" w:lineRule="atLeast"/>
      </w:pPr>
      <w:r>
        <w:t>For the key data elements related to regular payments</w:t>
      </w:r>
      <w:r w:rsidR="00404CA5">
        <w:t>—</w:t>
      </w:r>
      <w:r>
        <w:t>day count convention, payment frequency and settlement currency data elements</w:t>
      </w:r>
      <w:r w:rsidR="00404CA5">
        <w:t>—</w:t>
      </w:r>
      <w:r>
        <w:t>respondents did not make any significant objections, and we have decided to proceed with these proposals.</w:t>
      </w:r>
    </w:p>
    <w:p w14:paraId="4326CF91" w14:textId="2C098F64" w:rsidR="002975E5" w:rsidRDefault="002975E5" w:rsidP="00C443A0">
      <w:pPr>
        <w:pStyle w:val="BodyText"/>
        <w:numPr>
          <w:ilvl w:val="0"/>
          <w:numId w:val="17"/>
        </w:numPr>
        <w:spacing w:line="310" w:lineRule="atLeast"/>
      </w:pPr>
      <w:r>
        <w:t xml:space="preserve">In Table S1.1(1), the meaning of item 64 </w:t>
      </w:r>
      <w:r w:rsidR="00BB3843">
        <w:t>‘</w:t>
      </w:r>
      <w:r w:rsidRPr="005714F1">
        <w:t>Day count convention—Leg 1</w:t>
      </w:r>
      <w:r w:rsidR="00BB3843">
        <w:t>’</w:t>
      </w:r>
      <w:r>
        <w:t xml:space="preserve"> and </w:t>
      </w:r>
      <w:r w:rsidR="00BB3843">
        <w:t xml:space="preserve">item </w:t>
      </w:r>
      <w:r>
        <w:t xml:space="preserve">65 </w:t>
      </w:r>
      <w:r w:rsidR="00BB3843">
        <w:t>‘</w:t>
      </w:r>
      <w:r w:rsidRPr="005714F1">
        <w:t xml:space="preserve">Day count convention—Leg </w:t>
      </w:r>
      <w:r>
        <w:t>2</w:t>
      </w:r>
      <w:r w:rsidR="00BB3843">
        <w:t>’</w:t>
      </w:r>
      <w:r>
        <w:t xml:space="preserve"> is expressed as a condensed, but consistent, version of the definition in the CDE Guidance by describing the data element as ‘</w:t>
      </w:r>
      <w:r w:rsidRPr="001F16B6">
        <w:t>the indicator of the day count for calculation of periodic payments</w:t>
      </w:r>
      <w:r>
        <w:t xml:space="preserve">’. Although we expect that the vast majority of such periodic payments are periodic </w:t>
      </w:r>
      <w:r>
        <w:rPr>
          <w:i/>
          <w:iCs/>
        </w:rPr>
        <w:t xml:space="preserve">interest </w:t>
      </w:r>
      <w:r>
        <w:t>payments, in keeping with the approach in the draft amended ASIC Rules to be agnostic as to asset class and product type, these data elements would apply to any case of periodic payments being calculated by reference to a day count.</w:t>
      </w:r>
    </w:p>
    <w:p w14:paraId="42F5C1F8" w14:textId="7FF7898B" w:rsidR="002975E5" w:rsidRDefault="002975E5" w:rsidP="00C443A0">
      <w:pPr>
        <w:pStyle w:val="BodyText"/>
        <w:numPr>
          <w:ilvl w:val="0"/>
          <w:numId w:val="17"/>
        </w:numPr>
        <w:spacing w:line="310" w:lineRule="atLeast"/>
      </w:pPr>
      <w:r>
        <w:t>The allowable values reference a specified ISO 20022 code</w:t>
      </w:r>
      <w:r w:rsidR="00A853C5">
        <w:t xml:space="preserve"> </w:t>
      </w:r>
      <w:r>
        <w:t>set of values</w:t>
      </w:r>
      <w:r w:rsidR="00BB3843" w:rsidRPr="00F5385D">
        <w:t>—</w:t>
      </w:r>
      <w:r>
        <w:t>ISO 20022 code set InterestComputationMethod4Code. These are 20 codes from A001 to A020 representing various day count conventions</w:t>
      </w:r>
      <w:r w:rsidR="00404CA5">
        <w:t>—</w:t>
      </w:r>
      <w:r>
        <w:t xml:space="preserve">Table 4 in Annex 1 of the CDE Guidance </w:t>
      </w:r>
      <w:r w:rsidR="00BB3843">
        <w:t>maps</w:t>
      </w:r>
      <w:r w:rsidRPr="00906E49">
        <w:t xml:space="preserve"> </w:t>
      </w:r>
      <w:r>
        <w:t xml:space="preserve">these codes to their equivalent </w:t>
      </w:r>
      <w:r w:rsidRPr="00906E49">
        <w:t xml:space="preserve">FpML and FIX/FIXML </w:t>
      </w:r>
      <w:r>
        <w:t>codes and definitions.</w:t>
      </w:r>
    </w:p>
    <w:p w14:paraId="691F2E31" w14:textId="4BD2DB07" w:rsidR="002975E5" w:rsidRDefault="002975E5" w:rsidP="00C443A0">
      <w:pPr>
        <w:pStyle w:val="BodyText"/>
        <w:numPr>
          <w:ilvl w:val="0"/>
          <w:numId w:val="17"/>
        </w:numPr>
      </w:pPr>
      <w:r>
        <w:t>In Table S1.1(1), for the data elements related to payment frequency periods</w:t>
      </w:r>
      <w:r w:rsidR="00404CA5">
        <w:t>—</w:t>
      </w:r>
      <w:r>
        <w:t>items 66</w:t>
      </w:r>
      <w:r w:rsidR="00BB3843">
        <w:t>–</w:t>
      </w:r>
      <w:r>
        <w:t>69</w:t>
      </w:r>
      <w:r w:rsidR="00404CA5">
        <w:t>—</w:t>
      </w:r>
      <w:r>
        <w:t>their meanings closely follow the definitions in the CDE Guidance and their formats and allowable values are the same as those in the CDE Guidance.</w:t>
      </w:r>
    </w:p>
    <w:p w14:paraId="6C3C0B9A" w14:textId="12B20B13" w:rsidR="002975E5" w:rsidRDefault="002975E5" w:rsidP="00C443A0">
      <w:pPr>
        <w:pStyle w:val="BodyText"/>
        <w:numPr>
          <w:ilvl w:val="0"/>
          <w:numId w:val="17"/>
        </w:numPr>
      </w:pPr>
      <w:r>
        <w:t xml:space="preserve">In Table S1.1(1), the meanings of item 70 </w:t>
      </w:r>
      <w:r w:rsidR="00A73398">
        <w:t>‘</w:t>
      </w:r>
      <w:r w:rsidRPr="00F261A5">
        <w:t>Settlement currency—Leg 1</w:t>
      </w:r>
      <w:r w:rsidR="00A73398">
        <w:t>’</w:t>
      </w:r>
      <w:r>
        <w:t xml:space="preserve"> and </w:t>
      </w:r>
      <w:r w:rsidR="00A73398">
        <w:t xml:space="preserve">item </w:t>
      </w:r>
      <w:r>
        <w:t xml:space="preserve">71 </w:t>
      </w:r>
      <w:r w:rsidR="00A73398">
        <w:t>‘</w:t>
      </w:r>
      <w:r>
        <w:t>Settlement currency</w:t>
      </w:r>
      <w:r w:rsidRPr="004270E6">
        <w:t>—</w:t>
      </w:r>
      <w:r>
        <w:t xml:space="preserve">Leg </w:t>
      </w:r>
      <w:r w:rsidR="008B733A">
        <w:t>2</w:t>
      </w:r>
      <w:r w:rsidR="00A73398">
        <w:t>’</w:t>
      </w:r>
      <w:r w:rsidR="008B733A">
        <w:t xml:space="preserve"> </w:t>
      </w:r>
      <w:r>
        <w:t xml:space="preserve">follow the principles of the definition </w:t>
      </w:r>
      <w:r w:rsidR="008B733A">
        <w:t>i</w:t>
      </w:r>
      <w:r>
        <w:t>n the CDE Guidance, including that the data elements are not applicable to physically</w:t>
      </w:r>
      <w:r w:rsidR="00A73398">
        <w:t xml:space="preserve"> </w:t>
      </w:r>
      <w:r>
        <w:t>settled transaction</w:t>
      </w:r>
      <w:r w:rsidR="00F25AF2">
        <w:t>s</w:t>
      </w:r>
      <w:r>
        <w:t>.</w:t>
      </w:r>
    </w:p>
    <w:p w14:paraId="5696122C" w14:textId="51A69CA6" w:rsidR="002975E5" w:rsidRDefault="002975E5" w:rsidP="00C443A0">
      <w:pPr>
        <w:pStyle w:val="BodyText"/>
        <w:numPr>
          <w:ilvl w:val="0"/>
          <w:numId w:val="17"/>
        </w:numPr>
      </w:pPr>
      <w:r>
        <w:t>We think that ‘physically</w:t>
      </w:r>
      <w:r w:rsidR="00A73398">
        <w:t xml:space="preserve"> </w:t>
      </w:r>
      <w:r>
        <w:t>settled’ should be interpreted as referring to:</w:t>
      </w:r>
    </w:p>
    <w:p w14:paraId="56440C4E" w14:textId="6B825536" w:rsidR="002975E5" w:rsidRDefault="002975E5" w:rsidP="00C443A0">
      <w:pPr>
        <w:pStyle w:val="subparaa"/>
        <w:numPr>
          <w:ilvl w:val="1"/>
          <w:numId w:val="17"/>
        </w:numPr>
      </w:pPr>
      <w:r>
        <w:t>the commonly understood situations where there is ‘delivery’</w:t>
      </w:r>
      <w:r w:rsidR="00404CA5">
        <w:t>—</w:t>
      </w:r>
      <w:r>
        <w:t>for example, of shares for a cash payment or of a swap following the exercise of a swaption;</w:t>
      </w:r>
      <w:r w:rsidR="00612809">
        <w:t xml:space="preserve"> but also</w:t>
      </w:r>
    </w:p>
    <w:p w14:paraId="0B9902E0" w14:textId="3F8C5185" w:rsidR="002975E5" w:rsidRDefault="002975E5" w:rsidP="00C443A0">
      <w:pPr>
        <w:pStyle w:val="subparaa"/>
        <w:numPr>
          <w:ilvl w:val="1"/>
          <w:numId w:val="17"/>
        </w:numPr>
      </w:pPr>
      <w:r>
        <w:t>situations where the normal terms of the transaction provide for the exchange of payments in different currencies (e.g. a foreign exchange forward) or the netting of payments of a transaction denominated in a single currency (e.g. an interest rate swap).</w:t>
      </w:r>
    </w:p>
    <w:p w14:paraId="08100C7E" w14:textId="77777777" w:rsidR="002975E5" w:rsidRDefault="002975E5" w:rsidP="00C443A0">
      <w:pPr>
        <w:pStyle w:val="BodyText"/>
        <w:numPr>
          <w:ilvl w:val="0"/>
          <w:numId w:val="17"/>
        </w:numPr>
      </w:pPr>
      <w:r>
        <w:t>In other words, we think that the opposite concept of ‘cash-settlement’ should apply to situations where there is a payment in lieu of delivery or where there is a payment in a currency that is different from the currency in which the payment is nominally denominated.</w:t>
      </w:r>
    </w:p>
    <w:p w14:paraId="6ABBEB54" w14:textId="77777777" w:rsidR="002975E5" w:rsidRDefault="002975E5" w:rsidP="002975E5">
      <w:pPr>
        <w:pStyle w:val="Heading5"/>
      </w:pPr>
      <w:bookmarkStart w:id="209" w:name="_ASICRef834"/>
      <w:bookmarkEnd w:id="209"/>
      <w:r>
        <w:t>Application to the draft remade ASIC Rules</w:t>
      </w:r>
    </w:p>
    <w:p w14:paraId="463FE023" w14:textId="77777777" w:rsidR="002975E5" w:rsidRDefault="002975E5" w:rsidP="00C443A0">
      <w:pPr>
        <w:pStyle w:val="BodyText"/>
        <w:numPr>
          <w:ilvl w:val="0"/>
          <w:numId w:val="17"/>
        </w:numPr>
      </w:pPr>
      <w:r>
        <w:t>For the related data elements in the current ASIC Rules:</w:t>
      </w:r>
    </w:p>
    <w:p w14:paraId="1B868AC4" w14:textId="141CF712" w:rsidR="002975E5" w:rsidRDefault="002975E5" w:rsidP="00C443A0">
      <w:pPr>
        <w:pStyle w:val="subparaa"/>
        <w:numPr>
          <w:ilvl w:val="1"/>
          <w:numId w:val="17"/>
        </w:numPr>
      </w:pPr>
      <w:r>
        <w:t xml:space="preserve">day convention information is reported as Fixed rate day count fraction in Table S2.1(5) </w:t>
      </w:r>
      <w:r w:rsidR="00A73398">
        <w:t>‘</w:t>
      </w:r>
      <w:r>
        <w:t>Interest rate derivative data</w:t>
      </w:r>
      <w:r w:rsidR="00A73398">
        <w:t>’</w:t>
      </w:r>
      <w:r>
        <w:t xml:space="preserve"> and as Basis in Table</w:t>
      </w:r>
      <w:r w:rsidR="00A73398">
        <w:t> </w:t>
      </w:r>
      <w:r>
        <w:t xml:space="preserve">S2.1(1) </w:t>
      </w:r>
      <w:r w:rsidR="00A73398">
        <w:t>‘</w:t>
      </w:r>
      <w:r>
        <w:t>Common data</w:t>
      </w:r>
      <w:r w:rsidR="00A73398">
        <w:t>’</w:t>
      </w:r>
      <w:r>
        <w:t xml:space="preserve"> (but, in practice, only for equity derivatives);</w:t>
      </w:r>
    </w:p>
    <w:p w14:paraId="138631D6" w14:textId="182DF3E7" w:rsidR="002975E5" w:rsidRDefault="002975E5" w:rsidP="00C443A0">
      <w:pPr>
        <w:pStyle w:val="subparaa"/>
        <w:numPr>
          <w:ilvl w:val="1"/>
          <w:numId w:val="17"/>
        </w:numPr>
      </w:pPr>
      <w:r>
        <w:t>payment frequency information is reported in each of the separate asset class</w:t>
      </w:r>
      <w:r w:rsidR="00F25AF2">
        <w:t>es in</w:t>
      </w:r>
      <w:r>
        <w:t xml:space="preserve"> Tables S2.1(2)</w:t>
      </w:r>
      <w:r w:rsidR="00A73398">
        <w:t>–</w:t>
      </w:r>
      <w:r>
        <w:t>(5);</w:t>
      </w:r>
    </w:p>
    <w:p w14:paraId="1E328DCD" w14:textId="77777777" w:rsidR="002975E5" w:rsidRDefault="002975E5" w:rsidP="00C443A0">
      <w:pPr>
        <w:pStyle w:val="subparaa"/>
        <w:numPr>
          <w:ilvl w:val="1"/>
          <w:numId w:val="17"/>
        </w:numPr>
      </w:pPr>
      <w:r>
        <w:t>for interest rate derivatives, payment frequency information is only specified in the current ASIC Rules for one leg of a transaction, but, in practice, information about both legs is commonly reported to DDRS; and</w:t>
      </w:r>
    </w:p>
    <w:p w14:paraId="1476A7A6" w14:textId="77777777" w:rsidR="002975E5" w:rsidRDefault="002975E5" w:rsidP="00C443A0">
      <w:pPr>
        <w:pStyle w:val="subparaa"/>
        <w:numPr>
          <w:ilvl w:val="1"/>
          <w:numId w:val="17"/>
        </w:numPr>
      </w:pPr>
      <w:r>
        <w:t>settlement currency data elements are not present in the current ASIC Rules.</w:t>
      </w:r>
    </w:p>
    <w:p w14:paraId="270A4B4C" w14:textId="77777777" w:rsidR="002975E5" w:rsidRDefault="002975E5" w:rsidP="00C443A0">
      <w:pPr>
        <w:pStyle w:val="BodyText"/>
        <w:numPr>
          <w:ilvl w:val="0"/>
          <w:numId w:val="17"/>
        </w:numPr>
      </w:pPr>
      <w:r>
        <w:t>For the draft remade ASIC Rules, we are proposing to:</w:t>
      </w:r>
    </w:p>
    <w:p w14:paraId="50F75ABB" w14:textId="77777777" w:rsidR="002975E5" w:rsidRDefault="002975E5" w:rsidP="00C443A0">
      <w:pPr>
        <w:pStyle w:val="subparaa"/>
        <w:numPr>
          <w:ilvl w:val="1"/>
          <w:numId w:val="17"/>
        </w:numPr>
      </w:pPr>
      <w:r>
        <w:t>continue with data elements present in the current ASIC Rules;</w:t>
      </w:r>
    </w:p>
    <w:p w14:paraId="3C6093A5" w14:textId="30D691A0" w:rsidR="002975E5" w:rsidRDefault="002975E5" w:rsidP="00C443A0">
      <w:pPr>
        <w:pStyle w:val="subparaa"/>
        <w:numPr>
          <w:ilvl w:val="1"/>
          <w:numId w:val="17"/>
        </w:numPr>
      </w:pPr>
      <w:r>
        <w:t xml:space="preserve">add </w:t>
      </w:r>
      <w:r w:rsidR="00A73398">
        <w:t>l</w:t>
      </w:r>
      <w:r>
        <w:t>eg 2 payment frequency information for interest rate derivatives, recognising that this information is already commonly reported and would be required to be reported under the draft amended ASIC Rules;</w:t>
      </w:r>
    </w:p>
    <w:p w14:paraId="600D075E" w14:textId="05204319" w:rsidR="002975E5" w:rsidRDefault="002975E5" w:rsidP="00C443A0">
      <w:pPr>
        <w:pStyle w:val="subparaa"/>
        <w:numPr>
          <w:ilvl w:val="1"/>
          <w:numId w:val="17"/>
        </w:numPr>
      </w:pPr>
      <w:r>
        <w:t xml:space="preserve">relocate and rename Basis from Table S2.1(1) </w:t>
      </w:r>
      <w:r w:rsidR="00A73398">
        <w:t>‘</w:t>
      </w:r>
      <w:r>
        <w:t>Common data</w:t>
      </w:r>
      <w:r w:rsidR="00A73398">
        <w:t>’</w:t>
      </w:r>
      <w:r>
        <w:t xml:space="preserve"> to Table</w:t>
      </w:r>
      <w:r w:rsidR="00A73398">
        <w:t> </w:t>
      </w:r>
      <w:r>
        <w:t xml:space="preserve">S1.1(3) </w:t>
      </w:r>
      <w:r w:rsidR="00A73398">
        <w:t>‘</w:t>
      </w:r>
      <w:r w:rsidRPr="00F76596">
        <w:t>Equity derivative and credit derivative data</w:t>
      </w:r>
      <w:r w:rsidR="00A73398">
        <w:t>’</w:t>
      </w:r>
      <w:r>
        <w:t>, recognising that, in practice</w:t>
      </w:r>
      <w:r w:rsidR="00A73398">
        <w:t>,</w:t>
      </w:r>
      <w:r>
        <w:t xml:space="preserve"> </w:t>
      </w:r>
      <w:r w:rsidR="00612809">
        <w:t>it is</w:t>
      </w:r>
      <w:r>
        <w:t xml:space="preserve"> only currently reported for equity derivatives; and</w:t>
      </w:r>
    </w:p>
    <w:p w14:paraId="6EE08699" w14:textId="77777777" w:rsidR="002975E5" w:rsidRDefault="002975E5" w:rsidP="00C443A0">
      <w:pPr>
        <w:pStyle w:val="subparaa"/>
        <w:numPr>
          <w:ilvl w:val="1"/>
          <w:numId w:val="17"/>
        </w:numPr>
      </w:pPr>
      <w:r>
        <w:t>not introduce settlement currency data elements until the draft amended ASIC Rules commence on 1 April 2024.</w:t>
      </w:r>
    </w:p>
    <w:p w14:paraId="3698998A" w14:textId="40B54472" w:rsidR="002975E5" w:rsidRDefault="002975E5" w:rsidP="00C443A0">
      <w:pPr>
        <w:pStyle w:val="BodyText"/>
        <w:numPr>
          <w:ilvl w:val="0"/>
          <w:numId w:val="17"/>
        </w:numPr>
      </w:pPr>
      <w:r>
        <w:t xml:space="preserve">The key points of these changes are set out in </w:t>
      </w:r>
      <w:r>
        <w:fldChar w:fldCharType="begin" w:fldLock="1"/>
      </w:r>
      <w:r>
        <w:instrText xml:space="preserve"> REF _Ref97439645 \h </w:instrText>
      </w:r>
      <w:r>
        <w:fldChar w:fldCharType="separate"/>
      </w:r>
      <w:r w:rsidR="00853A2A">
        <w:t xml:space="preserve">Table </w:t>
      </w:r>
      <w:r w:rsidR="00853A2A">
        <w:rPr>
          <w:noProof/>
        </w:rPr>
        <w:t>34</w:t>
      </w:r>
      <w:r>
        <w:fldChar w:fldCharType="end"/>
      </w:r>
      <w:r>
        <w:t>.</w:t>
      </w:r>
    </w:p>
    <w:p w14:paraId="174703A6" w14:textId="26863A70" w:rsidR="002975E5" w:rsidRDefault="002975E5" w:rsidP="002975E5">
      <w:pPr>
        <w:pStyle w:val="tabletitlefullwidth"/>
      </w:pPr>
      <w:bookmarkStart w:id="210" w:name="_Ref97439645"/>
      <w:r>
        <w:t xml:space="preserve">Table </w:t>
      </w:r>
      <w:fldSimple w:instr=" SEQ Table \* ARABIC ">
        <w:r w:rsidR="006679BA">
          <w:rPr>
            <w:noProof/>
          </w:rPr>
          <w:t>34</w:t>
        </w:r>
      </w:fldSimple>
      <w:bookmarkEnd w:id="210"/>
      <w:r>
        <w:t>:</w:t>
      </w:r>
      <w:r>
        <w:tab/>
        <w:t>Related key changes in the draft remade ASIC Rules</w:t>
      </w:r>
    </w:p>
    <w:tbl>
      <w:tblPr>
        <w:tblW w:w="9174"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3130"/>
        <w:gridCol w:w="3022"/>
        <w:gridCol w:w="3022"/>
      </w:tblGrid>
      <w:tr w:rsidR="002975E5" w:rsidRPr="000540E1" w14:paraId="714ECA69" w14:textId="77777777" w:rsidTr="00F723D0">
        <w:trPr>
          <w:cantSplit/>
          <w:tblHeader/>
        </w:trPr>
        <w:tc>
          <w:tcPr>
            <w:tcW w:w="3130" w:type="dxa"/>
            <w:shd w:val="clear" w:color="auto" w:fill="C2E3FA"/>
          </w:tcPr>
          <w:p w14:paraId="1A63B9D8" w14:textId="77777777" w:rsidR="002975E5" w:rsidRPr="000540E1" w:rsidRDefault="002975E5" w:rsidP="00F86FF1">
            <w:pPr>
              <w:pStyle w:val="tablehead"/>
            </w:pPr>
            <w:r>
              <w:t>Current ASIC Rules</w:t>
            </w:r>
          </w:p>
        </w:tc>
        <w:tc>
          <w:tcPr>
            <w:tcW w:w="3022" w:type="dxa"/>
            <w:shd w:val="clear" w:color="auto" w:fill="C2E3FA"/>
          </w:tcPr>
          <w:p w14:paraId="7EDD5255" w14:textId="77777777" w:rsidR="002975E5" w:rsidRPr="000540E1" w:rsidRDefault="002975E5" w:rsidP="00F86FF1">
            <w:pPr>
              <w:pStyle w:val="tablehead"/>
            </w:pPr>
            <w:r>
              <w:t>Draft remade ASIC Rules</w:t>
            </w:r>
          </w:p>
        </w:tc>
        <w:tc>
          <w:tcPr>
            <w:tcW w:w="3022" w:type="dxa"/>
            <w:shd w:val="clear" w:color="auto" w:fill="C2E3FA"/>
          </w:tcPr>
          <w:p w14:paraId="0BAC6FEF" w14:textId="77777777" w:rsidR="002975E5" w:rsidRPr="000540E1" w:rsidRDefault="002975E5" w:rsidP="00F86FF1">
            <w:pPr>
              <w:pStyle w:val="tablehead"/>
            </w:pPr>
            <w:r>
              <w:t>Notes</w:t>
            </w:r>
          </w:p>
        </w:tc>
      </w:tr>
      <w:tr w:rsidR="002975E5" w:rsidRPr="000540E1" w14:paraId="611842E1" w14:textId="77777777" w:rsidTr="00F723D0">
        <w:trPr>
          <w:cantSplit/>
        </w:trPr>
        <w:tc>
          <w:tcPr>
            <w:tcW w:w="3130" w:type="dxa"/>
          </w:tcPr>
          <w:p w14:paraId="76B80CE3" w14:textId="77777777" w:rsidR="002975E5" w:rsidRPr="000540E1" w:rsidRDefault="002975E5" w:rsidP="00F86FF1">
            <w:pPr>
              <w:pStyle w:val="tbltext"/>
              <w:ind w:left="284" w:hanging="284"/>
            </w:pPr>
            <w:r>
              <w:t>Basis</w:t>
            </w:r>
            <w:r>
              <w:br/>
              <w:t>item 34, Table S2.1(1)</w:t>
            </w:r>
          </w:p>
        </w:tc>
        <w:tc>
          <w:tcPr>
            <w:tcW w:w="3022" w:type="dxa"/>
          </w:tcPr>
          <w:p w14:paraId="0DD34C4A" w14:textId="77777777" w:rsidR="002975E5" w:rsidRPr="000540E1" w:rsidRDefault="002975E5" w:rsidP="00F86FF1">
            <w:pPr>
              <w:pStyle w:val="tbltext"/>
              <w:ind w:left="284" w:hanging="284"/>
            </w:pPr>
            <w:r>
              <w:t>Day count convention</w:t>
            </w:r>
            <w:r w:rsidRPr="005408C6">
              <w:t>—</w:t>
            </w:r>
            <w:r>
              <w:t>Leg 2</w:t>
            </w:r>
            <w:r>
              <w:br/>
              <w:t>item 5, Table S1.1(3)</w:t>
            </w:r>
          </w:p>
        </w:tc>
        <w:tc>
          <w:tcPr>
            <w:tcW w:w="3022" w:type="dxa"/>
          </w:tcPr>
          <w:p w14:paraId="7E22750B" w14:textId="77777777" w:rsidR="002975E5" w:rsidRDefault="002975E5" w:rsidP="00F86FF1">
            <w:pPr>
              <w:pStyle w:val="tbltext"/>
            </w:pPr>
            <w:r>
              <w:t>Relocating from all asset classes to equity and credit derivatives</w:t>
            </w:r>
          </w:p>
          <w:p w14:paraId="0AF10FC0" w14:textId="77777777" w:rsidR="002975E5" w:rsidRDefault="002975E5" w:rsidP="00F86FF1">
            <w:pPr>
              <w:pStyle w:val="tbltext"/>
            </w:pPr>
            <w:r>
              <w:t>Aligning the data element label with its meaning</w:t>
            </w:r>
          </w:p>
          <w:p w14:paraId="5CF5E9D4" w14:textId="77777777" w:rsidR="002975E5" w:rsidRPr="000540E1" w:rsidRDefault="002975E5" w:rsidP="00F86FF1">
            <w:pPr>
              <w:pStyle w:val="tbltext"/>
            </w:pPr>
            <w:r>
              <w:t>Formats and allowable values as per current reporting practices</w:t>
            </w:r>
          </w:p>
        </w:tc>
      </w:tr>
      <w:tr w:rsidR="002975E5" w:rsidRPr="000540E1" w14:paraId="1F5034F8" w14:textId="77777777" w:rsidTr="00F723D0">
        <w:trPr>
          <w:cantSplit/>
        </w:trPr>
        <w:tc>
          <w:tcPr>
            <w:tcW w:w="3130" w:type="dxa"/>
          </w:tcPr>
          <w:p w14:paraId="7ACA9BE9" w14:textId="77777777" w:rsidR="002975E5" w:rsidRPr="000540E1" w:rsidRDefault="002975E5" w:rsidP="00F86FF1">
            <w:pPr>
              <w:pStyle w:val="tbltext"/>
              <w:ind w:left="284" w:hanging="284"/>
            </w:pPr>
            <w:r>
              <w:t>Payment frequency</w:t>
            </w:r>
            <w:r>
              <w:br/>
              <w:t>item 5, Table S2.1(2)</w:t>
            </w:r>
          </w:p>
        </w:tc>
        <w:tc>
          <w:tcPr>
            <w:tcW w:w="3022" w:type="dxa"/>
          </w:tcPr>
          <w:p w14:paraId="49CC223F" w14:textId="77777777" w:rsidR="002975E5" w:rsidRPr="000540E1" w:rsidRDefault="002975E5" w:rsidP="00F86FF1">
            <w:pPr>
              <w:pStyle w:val="tbltext"/>
              <w:ind w:left="284" w:hanging="284"/>
            </w:pPr>
            <w:r>
              <w:t>Payment frequency</w:t>
            </w:r>
            <w:r>
              <w:br/>
              <w:t>item 4, Table S1.1(2)</w:t>
            </w:r>
          </w:p>
        </w:tc>
        <w:tc>
          <w:tcPr>
            <w:tcW w:w="3022" w:type="dxa"/>
          </w:tcPr>
          <w:p w14:paraId="374A943E" w14:textId="77777777" w:rsidR="002975E5" w:rsidRDefault="002975E5" w:rsidP="00F86FF1">
            <w:pPr>
              <w:pStyle w:val="tbltext"/>
            </w:pPr>
            <w:r>
              <w:t>Clarified to only apply to swaps</w:t>
            </w:r>
          </w:p>
          <w:p w14:paraId="4325E1B2" w14:textId="77777777" w:rsidR="002975E5" w:rsidRPr="000540E1" w:rsidRDefault="002975E5" w:rsidP="00F86FF1">
            <w:pPr>
              <w:pStyle w:val="tbltext"/>
            </w:pPr>
            <w:r>
              <w:t>Formats and allowable values as per current reporting practices</w:t>
            </w:r>
          </w:p>
        </w:tc>
      </w:tr>
      <w:tr w:rsidR="002975E5" w:rsidRPr="000540E1" w14:paraId="11723B53" w14:textId="77777777" w:rsidTr="00F723D0">
        <w:trPr>
          <w:cantSplit/>
        </w:trPr>
        <w:tc>
          <w:tcPr>
            <w:tcW w:w="3130" w:type="dxa"/>
          </w:tcPr>
          <w:p w14:paraId="630CD69F" w14:textId="77777777" w:rsidR="002975E5" w:rsidRPr="000540E1" w:rsidRDefault="002975E5" w:rsidP="00F86FF1">
            <w:pPr>
              <w:pStyle w:val="tbltext"/>
              <w:ind w:left="284" w:hanging="284"/>
            </w:pPr>
            <w:r>
              <w:t>Payment frequency</w:t>
            </w:r>
            <w:r>
              <w:br/>
              <w:t>item 12, Table S2.1(3)</w:t>
            </w:r>
          </w:p>
        </w:tc>
        <w:tc>
          <w:tcPr>
            <w:tcW w:w="3022" w:type="dxa"/>
          </w:tcPr>
          <w:p w14:paraId="7E928B5E" w14:textId="77777777" w:rsidR="002975E5" w:rsidRPr="000540E1" w:rsidRDefault="002975E5" w:rsidP="00F86FF1">
            <w:pPr>
              <w:pStyle w:val="tbltext"/>
              <w:ind w:left="284" w:hanging="284"/>
            </w:pPr>
            <w:r>
              <w:t>Payment frequency</w:t>
            </w:r>
            <w:r>
              <w:br/>
              <w:t>item 4, Table S1.1(3)</w:t>
            </w:r>
          </w:p>
        </w:tc>
        <w:tc>
          <w:tcPr>
            <w:tcW w:w="3022" w:type="dxa"/>
          </w:tcPr>
          <w:p w14:paraId="56F98DC8" w14:textId="77777777" w:rsidR="002975E5" w:rsidRDefault="002975E5" w:rsidP="00F86FF1">
            <w:pPr>
              <w:pStyle w:val="tbltext"/>
            </w:pPr>
            <w:r>
              <w:t>Clarified to only apply to swaps</w:t>
            </w:r>
          </w:p>
          <w:p w14:paraId="3EC11C94" w14:textId="77777777" w:rsidR="002975E5" w:rsidRPr="000540E1" w:rsidRDefault="002975E5" w:rsidP="00F86FF1">
            <w:pPr>
              <w:pStyle w:val="tbltext"/>
            </w:pPr>
            <w:r>
              <w:t>Formats and allowable values as per current reporting practices</w:t>
            </w:r>
          </w:p>
        </w:tc>
      </w:tr>
      <w:tr w:rsidR="002975E5" w:rsidRPr="000540E1" w14:paraId="717A7ADD" w14:textId="77777777" w:rsidTr="00F723D0">
        <w:trPr>
          <w:cantSplit/>
        </w:trPr>
        <w:tc>
          <w:tcPr>
            <w:tcW w:w="3130" w:type="dxa"/>
          </w:tcPr>
          <w:p w14:paraId="665AA5A8" w14:textId="77777777" w:rsidR="002975E5" w:rsidRPr="000540E1" w:rsidRDefault="002975E5" w:rsidP="00F86FF1">
            <w:pPr>
              <w:pStyle w:val="tbltext"/>
              <w:ind w:left="284" w:hanging="284"/>
            </w:pPr>
            <w:r w:rsidRPr="00F707FB">
              <w:t>Fixed leg payment frequency</w:t>
            </w:r>
            <w:r>
              <w:br/>
              <w:t>item 15, Table S2.1(5)</w:t>
            </w:r>
          </w:p>
        </w:tc>
        <w:tc>
          <w:tcPr>
            <w:tcW w:w="3022" w:type="dxa"/>
          </w:tcPr>
          <w:p w14:paraId="3E921B50" w14:textId="77777777" w:rsidR="002975E5" w:rsidRPr="000540E1" w:rsidRDefault="002975E5" w:rsidP="00F86FF1">
            <w:pPr>
              <w:pStyle w:val="tbltext"/>
              <w:ind w:left="284" w:hanging="284"/>
            </w:pPr>
            <w:r w:rsidRPr="00F5385D">
              <w:rPr>
                <w:spacing w:val="-2"/>
              </w:rPr>
              <w:t>Fixed leg payment frequency (leg 1)</w:t>
            </w:r>
            <w:r w:rsidRPr="00F5385D">
              <w:rPr>
                <w:spacing w:val="-2"/>
              </w:rPr>
              <w:br/>
            </w:r>
            <w:r>
              <w:t>item 13, Table S1.1(5)</w:t>
            </w:r>
          </w:p>
        </w:tc>
        <w:tc>
          <w:tcPr>
            <w:tcW w:w="3022" w:type="dxa"/>
          </w:tcPr>
          <w:p w14:paraId="062E9A84" w14:textId="77777777" w:rsidR="002975E5" w:rsidRDefault="002975E5" w:rsidP="00F86FF1">
            <w:pPr>
              <w:pStyle w:val="tbltext"/>
            </w:pPr>
            <w:r>
              <w:t>No substantive change to meaning</w:t>
            </w:r>
          </w:p>
          <w:p w14:paraId="44EA743F" w14:textId="77777777" w:rsidR="002975E5" w:rsidRPr="000540E1" w:rsidRDefault="002975E5" w:rsidP="00F86FF1">
            <w:pPr>
              <w:pStyle w:val="tbltext"/>
            </w:pPr>
            <w:r>
              <w:t>Formats and allowable values as per current reporting practices</w:t>
            </w:r>
          </w:p>
        </w:tc>
      </w:tr>
      <w:tr w:rsidR="002975E5" w:rsidRPr="000540E1" w14:paraId="0C964476" w14:textId="77777777" w:rsidTr="00F723D0">
        <w:trPr>
          <w:cantSplit/>
        </w:trPr>
        <w:tc>
          <w:tcPr>
            <w:tcW w:w="3130" w:type="dxa"/>
          </w:tcPr>
          <w:p w14:paraId="02C8524C" w14:textId="5B5E83F5" w:rsidR="002975E5" w:rsidRPr="000540E1" w:rsidRDefault="00A73398" w:rsidP="00F86FF1">
            <w:pPr>
              <w:pStyle w:val="tbltext"/>
              <w:ind w:left="284" w:hanging="284"/>
            </w:pPr>
            <w:r>
              <w:t>Not applicable</w:t>
            </w:r>
          </w:p>
        </w:tc>
        <w:tc>
          <w:tcPr>
            <w:tcW w:w="3022" w:type="dxa"/>
          </w:tcPr>
          <w:p w14:paraId="5A09D133" w14:textId="77777777" w:rsidR="002975E5" w:rsidRPr="000540E1" w:rsidRDefault="002975E5" w:rsidP="00F86FF1">
            <w:pPr>
              <w:pStyle w:val="tbltext"/>
              <w:ind w:left="284" w:hanging="284"/>
            </w:pPr>
            <w:r w:rsidRPr="00F5385D">
              <w:rPr>
                <w:spacing w:val="-2"/>
              </w:rPr>
              <w:t>Fixed leg payment frequency (leg 2)</w:t>
            </w:r>
            <w:r w:rsidRPr="00F5385D">
              <w:rPr>
                <w:spacing w:val="-2"/>
              </w:rPr>
              <w:br/>
            </w:r>
            <w:r>
              <w:t>item 14, Table S1.1(5)</w:t>
            </w:r>
          </w:p>
        </w:tc>
        <w:tc>
          <w:tcPr>
            <w:tcW w:w="3022" w:type="dxa"/>
          </w:tcPr>
          <w:p w14:paraId="45AB7615" w14:textId="77777777" w:rsidR="002975E5" w:rsidRDefault="002975E5" w:rsidP="00F86FF1">
            <w:pPr>
              <w:pStyle w:val="tbltext"/>
            </w:pPr>
            <w:r>
              <w:t>New data element</w:t>
            </w:r>
          </w:p>
          <w:p w14:paraId="5DDDEB54" w14:textId="77777777" w:rsidR="002975E5" w:rsidRDefault="002975E5" w:rsidP="00F86FF1">
            <w:pPr>
              <w:pStyle w:val="tbltext"/>
            </w:pPr>
            <w:r>
              <w:t>To be required under the draft amended ASIC Rules</w:t>
            </w:r>
          </w:p>
          <w:p w14:paraId="2599DE58" w14:textId="53F9412B" w:rsidR="002975E5" w:rsidRDefault="002975E5" w:rsidP="00F86FF1">
            <w:pPr>
              <w:pStyle w:val="tbltext"/>
            </w:pPr>
            <w:r>
              <w:t xml:space="preserve">Comparable meaning to the equivalent </w:t>
            </w:r>
            <w:r w:rsidR="00A73398">
              <w:t>l</w:t>
            </w:r>
            <w:r>
              <w:t>eg 1 data element</w:t>
            </w:r>
          </w:p>
          <w:p w14:paraId="1AF38DDE" w14:textId="77777777" w:rsidR="002975E5" w:rsidRPr="000540E1" w:rsidRDefault="002975E5" w:rsidP="00F86FF1">
            <w:pPr>
              <w:pStyle w:val="tbltext"/>
            </w:pPr>
            <w:r>
              <w:t>Formats and allowable values as per current reporting practices</w:t>
            </w:r>
          </w:p>
        </w:tc>
      </w:tr>
      <w:tr w:rsidR="002975E5" w:rsidRPr="000540E1" w14:paraId="3990C762" w14:textId="77777777" w:rsidTr="00F723D0">
        <w:trPr>
          <w:cantSplit/>
        </w:trPr>
        <w:tc>
          <w:tcPr>
            <w:tcW w:w="3130" w:type="dxa"/>
          </w:tcPr>
          <w:p w14:paraId="7BCD08ED" w14:textId="77777777" w:rsidR="002975E5" w:rsidRPr="000540E1" w:rsidRDefault="002975E5" w:rsidP="00F86FF1">
            <w:pPr>
              <w:pStyle w:val="tbltext"/>
              <w:ind w:left="284" w:hanging="284"/>
            </w:pPr>
            <w:r w:rsidRPr="00F707FB">
              <w:t>F</w:t>
            </w:r>
            <w:r>
              <w:t xml:space="preserve">loating rate </w:t>
            </w:r>
            <w:r w:rsidRPr="00F707FB">
              <w:t>payment frequency</w:t>
            </w:r>
            <w:r>
              <w:br/>
              <w:t>item 16, Table S2.1(5)</w:t>
            </w:r>
          </w:p>
        </w:tc>
        <w:tc>
          <w:tcPr>
            <w:tcW w:w="3022" w:type="dxa"/>
          </w:tcPr>
          <w:p w14:paraId="03DC76CB" w14:textId="77777777" w:rsidR="002975E5" w:rsidRPr="000540E1" w:rsidRDefault="002975E5" w:rsidP="00F86FF1">
            <w:pPr>
              <w:pStyle w:val="tbltext"/>
              <w:ind w:left="284" w:hanging="284"/>
            </w:pPr>
            <w:r w:rsidRPr="00F707FB">
              <w:t>F</w:t>
            </w:r>
            <w:r>
              <w:t>loating rate</w:t>
            </w:r>
            <w:r w:rsidRPr="00F707FB">
              <w:t xml:space="preserve"> payment frequency (leg 1)</w:t>
            </w:r>
            <w:r>
              <w:br/>
              <w:t>item 15, Table S1.1(5)</w:t>
            </w:r>
          </w:p>
        </w:tc>
        <w:tc>
          <w:tcPr>
            <w:tcW w:w="3022" w:type="dxa"/>
          </w:tcPr>
          <w:p w14:paraId="3BC6059D" w14:textId="77777777" w:rsidR="002975E5" w:rsidRDefault="002975E5" w:rsidP="00F86FF1">
            <w:pPr>
              <w:pStyle w:val="tbltext"/>
            </w:pPr>
            <w:r>
              <w:t>No substantive change to meaning</w:t>
            </w:r>
          </w:p>
          <w:p w14:paraId="36D236E5" w14:textId="77777777" w:rsidR="002975E5" w:rsidRPr="000540E1" w:rsidRDefault="002975E5" w:rsidP="00F86FF1">
            <w:pPr>
              <w:pStyle w:val="tbltext"/>
            </w:pPr>
            <w:r>
              <w:t>Formats and allowable values as per current reporting practices</w:t>
            </w:r>
          </w:p>
        </w:tc>
      </w:tr>
      <w:tr w:rsidR="002975E5" w:rsidRPr="000540E1" w14:paraId="0E057528" w14:textId="77777777" w:rsidTr="00F723D0">
        <w:trPr>
          <w:cantSplit/>
        </w:trPr>
        <w:tc>
          <w:tcPr>
            <w:tcW w:w="3130" w:type="dxa"/>
          </w:tcPr>
          <w:p w14:paraId="023DCC6D" w14:textId="41FF1C83" w:rsidR="002975E5" w:rsidRPr="000540E1" w:rsidRDefault="00A73398" w:rsidP="00F5385D">
            <w:pPr>
              <w:pStyle w:val="tbltext"/>
              <w:spacing w:line="230" w:lineRule="atLeast"/>
              <w:ind w:left="284" w:hanging="284"/>
            </w:pPr>
            <w:r>
              <w:t>Not applicable</w:t>
            </w:r>
          </w:p>
        </w:tc>
        <w:tc>
          <w:tcPr>
            <w:tcW w:w="3022" w:type="dxa"/>
          </w:tcPr>
          <w:p w14:paraId="17D83290" w14:textId="0F181E6B" w:rsidR="002975E5" w:rsidRPr="000540E1" w:rsidRDefault="002975E5" w:rsidP="00F5385D">
            <w:pPr>
              <w:pStyle w:val="tbltext"/>
              <w:spacing w:line="230" w:lineRule="atLeast"/>
              <w:ind w:left="284" w:hanging="284"/>
            </w:pPr>
            <w:r w:rsidRPr="00F707FB">
              <w:t>F</w:t>
            </w:r>
            <w:r>
              <w:t>loating rate</w:t>
            </w:r>
            <w:r w:rsidRPr="00F707FB">
              <w:t xml:space="preserve"> payment frequency (leg </w:t>
            </w:r>
            <w:r>
              <w:t>2</w:t>
            </w:r>
            <w:r w:rsidRPr="00F707FB">
              <w:t>)</w:t>
            </w:r>
            <w:r>
              <w:br/>
              <w:t>item 16</w:t>
            </w:r>
            <w:r w:rsidR="00485E51">
              <w:t>,</w:t>
            </w:r>
            <w:r>
              <w:t xml:space="preserve"> Table S1.1(5)</w:t>
            </w:r>
          </w:p>
        </w:tc>
        <w:tc>
          <w:tcPr>
            <w:tcW w:w="3022" w:type="dxa"/>
          </w:tcPr>
          <w:p w14:paraId="5C18844C" w14:textId="77777777" w:rsidR="002975E5" w:rsidRDefault="002975E5" w:rsidP="00F5385D">
            <w:pPr>
              <w:pStyle w:val="tbltext"/>
              <w:spacing w:line="230" w:lineRule="atLeast"/>
            </w:pPr>
            <w:r>
              <w:t>New data element</w:t>
            </w:r>
          </w:p>
          <w:p w14:paraId="33983B1D" w14:textId="77777777" w:rsidR="002975E5" w:rsidRDefault="002975E5" w:rsidP="00F5385D">
            <w:pPr>
              <w:pStyle w:val="tbltext"/>
              <w:spacing w:line="230" w:lineRule="atLeast"/>
            </w:pPr>
            <w:r>
              <w:t>To be required under the draft amended ASIC Rules</w:t>
            </w:r>
          </w:p>
          <w:p w14:paraId="7220A9C3" w14:textId="72F5A75A" w:rsidR="002975E5" w:rsidRDefault="002975E5" w:rsidP="00F5385D">
            <w:pPr>
              <w:pStyle w:val="tbltext"/>
              <w:spacing w:line="230" w:lineRule="atLeast"/>
            </w:pPr>
            <w:r>
              <w:t xml:space="preserve">Comparable meaning to the equivalent </w:t>
            </w:r>
            <w:r w:rsidR="00A73398">
              <w:t>l</w:t>
            </w:r>
            <w:r>
              <w:t>eg 1 data element</w:t>
            </w:r>
          </w:p>
          <w:p w14:paraId="6A1DA30F" w14:textId="77777777" w:rsidR="002975E5" w:rsidRPr="000540E1" w:rsidRDefault="002975E5" w:rsidP="00F5385D">
            <w:pPr>
              <w:pStyle w:val="tbltext"/>
              <w:spacing w:line="230" w:lineRule="atLeast"/>
            </w:pPr>
            <w:r>
              <w:t>Formats and allowable values as per current reporting practices</w:t>
            </w:r>
          </w:p>
        </w:tc>
      </w:tr>
      <w:tr w:rsidR="002975E5" w:rsidRPr="000540E1" w14:paraId="438453C4" w14:textId="77777777" w:rsidTr="00F723D0">
        <w:trPr>
          <w:cantSplit/>
        </w:trPr>
        <w:tc>
          <w:tcPr>
            <w:tcW w:w="3130" w:type="dxa"/>
          </w:tcPr>
          <w:p w14:paraId="026C38EE" w14:textId="77777777" w:rsidR="002975E5" w:rsidRPr="000540E1" w:rsidRDefault="002975E5" w:rsidP="00F5385D">
            <w:pPr>
              <w:pStyle w:val="tbltext"/>
              <w:spacing w:line="230" w:lineRule="atLeast"/>
              <w:ind w:left="284" w:hanging="284"/>
            </w:pPr>
            <w:r w:rsidRPr="00F76596">
              <w:t>Fixed rate day count fraction</w:t>
            </w:r>
            <w:r>
              <w:br/>
              <w:t>item 14, Table S2.1(5)</w:t>
            </w:r>
          </w:p>
        </w:tc>
        <w:tc>
          <w:tcPr>
            <w:tcW w:w="3022" w:type="dxa"/>
          </w:tcPr>
          <w:p w14:paraId="0CD0BB2F" w14:textId="77777777" w:rsidR="002975E5" w:rsidRPr="000540E1" w:rsidRDefault="002975E5" w:rsidP="00F5385D">
            <w:pPr>
              <w:pStyle w:val="tbltext"/>
              <w:spacing w:line="230" w:lineRule="atLeast"/>
              <w:ind w:left="284" w:hanging="284"/>
            </w:pPr>
            <w:r w:rsidRPr="00F76596">
              <w:t>Fixed rate day count fraction</w:t>
            </w:r>
            <w:r>
              <w:br/>
              <w:t>item 12, Table S2.1(5)</w:t>
            </w:r>
          </w:p>
        </w:tc>
        <w:tc>
          <w:tcPr>
            <w:tcW w:w="3022" w:type="dxa"/>
          </w:tcPr>
          <w:p w14:paraId="3EA9C0CF" w14:textId="77777777" w:rsidR="002975E5" w:rsidRDefault="002975E5" w:rsidP="00F5385D">
            <w:pPr>
              <w:pStyle w:val="tbltext"/>
              <w:spacing w:line="230" w:lineRule="atLeast"/>
            </w:pPr>
            <w:r>
              <w:t>Clarifies meaning as an indicator, rather than as a number of days</w:t>
            </w:r>
          </w:p>
          <w:p w14:paraId="1156A1A8" w14:textId="77777777" w:rsidR="002975E5" w:rsidRPr="000540E1" w:rsidRDefault="002975E5" w:rsidP="00F5385D">
            <w:pPr>
              <w:pStyle w:val="tbltext"/>
              <w:spacing w:line="230" w:lineRule="atLeast"/>
            </w:pPr>
            <w:r>
              <w:t>Formats and allowable values as per current reporting practices</w:t>
            </w:r>
          </w:p>
        </w:tc>
      </w:tr>
    </w:tbl>
    <w:p w14:paraId="468E66B6" w14:textId="552218C3" w:rsidR="002975E5" w:rsidRDefault="002975E5" w:rsidP="008E37FF">
      <w:pPr>
        <w:pStyle w:val="BodyText"/>
        <w:numPr>
          <w:ilvl w:val="0"/>
          <w:numId w:val="17"/>
        </w:numPr>
        <w:spacing w:line="310" w:lineRule="atLeast"/>
      </w:pPr>
      <w:r>
        <w:t xml:space="preserve">In relation to the new </w:t>
      </w:r>
      <w:r w:rsidR="00E22DDA">
        <w:t>l</w:t>
      </w:r>
      <w:r>
        <w:t>eg 2 payment frequency data elements for interest rate derivatives, we consider these data elements as ‘already commonly reported’ because, as indicated by a recent review of the reported data:</w:t>
      </w:r>
    </w:p>
    <w:p w14:paraId="60072C28" w14:textId="181CCE6E" w:rsidR="002975E5" w:rsidRDefault="002975E5" w:rsidP="008E37FF">
      <w:pPr>
        <w:pStyle w:val="subparaa"/>
        <w:numPr>
          <w:ilvl w:val="1"/>
          <w:numId w:val="17"/>
        </w:numPr>
        <w:spacing w:line="310" w:lineRule="atLeast"/>
      </w:pPr>
      <w:r>
        <w:t xml:space="preserve">for </w:t>
      </w:r>
      <w:r w:rsidRPr="003D31D5">
        <w:t>Fixed leg payment frequency (leg 2)</w:t>
      </w:r>
      <w:r>
        <w:t>, we only identif</w:t>
      </w:r>
      <w:r w:rsidR="00E22DDA">
        <w:t>ied</w:t>
      </w:r>
      <w:r>
        <w:t xml:space="preserve"> less than 2% of relevant transactions by 11 reporting entities as not including this data element in reporting; and</w:t>
      </w:r>
    </w:p>
    <w:p w14:paraId="0E35E4C8" w14:textId="2428006B" w:rsidR="002975E5" w:rsidRDefault="002975E5" w:rsidP="008E37FF">
      <w:pPr>
        <w:pStyle w:val="subparaa"/>
        <w:numPr>
          <w:ilvl w:val="1"/>
          <w:numId w:val="17"/>
        </w:numPr>
        <w:spacing w:line="310" w:lineRule="atLeast"/>
      </w:pPr>
      <w:r>
        <w:t xml:space="preserve">for </w:t>
      </w:r>
      <w:r w:rsidRPr="00F707FB">
        <w:t>F</w:t>
      </w:r>
      <w:r>
        <w:t>loating rate</w:t>
      </w:r>
      <w:r w:rsidRPr="003D31D5">
        <w:t xml:space="preserve"> payment frequency (leg 2)</w:t>
      </w:r>
      <w:r>
        <w:t>, we only identif</w:t>
      </w:r>
      <w:r w:rsidR="00E22DDA">
        <w:t>ied</w:t>
      </w:r>
      <w:r>
        <w:t xml:space="preserve"> less than 5% of relevant transactions by 19 reporting entities as not including this data element in reporting.</w:t>
      </w:r>
    </w:p>
    <w:p w14:paraId="449695DC" w14:textId="2DCBEDBF" w:rsidR="002975E5" w:rsidRDefault="002975E5" w:rsidP="008E37FF">
      <w:pPr>
        <w:pStyle w:val="BodyText"/>
        <w:numPr>
          <w:ilvl w:val="0"/>
          <w:numId w:val="17"/>
        </w:numPr>
        <w:spacing w:line="310" w:lineRule="atLeast"/>
      </w:pPr>
      <w:r>
        <w:t xml:space="preserve">We also considered extending the Fixed rate day count data element to a similar </w:t>
      </w:r>
      <w:r w:rsidR="00E22DDA">
        <w:t>l</w:t>
      </w:r>
      <w:r>
        <w:t>eg 1/</w:t>
      </w:r>
      <w:r w:rsidR="00E22DDA">
        <w:t>l</w:t>
      </w:r>
      <w:r>
        <w:t>eg 2 and fixed rate/floating rate coverage for interest rate derivatives. However, our data review indicated that the level of ‘already reporting’ of these data elements was only for an average of 63% of interest rate derivative transaction</w:t>
      </w:r>
      <w:r w:rsidR="00E22DDA">
        <w:t>s</w:t>
      </w:r>
      <w:r>
        <w:t>. Consequently, we are not proposing to require this additional information until the later commencement of the draft amended ASIC Rules.</w:t>
      </w:r>
    </w:p>
    <w:p w14:paraId="60000484" w14:textId="77777777" w:rsidR="002975E5" w:rsidRDefault="002975E5" w:rsidP="002975E5">
      <w:pPr>
        <w:pStyle w:val="Heading4"/>
      </w:pPr>
      <w:r>
        <w:t>Data elements related to other payments</w:t>
      </w:r>
    </w:p>
    <w:p w14:paraId="7BBA35DC" w14:textId="036C8B69" w:rsidR="002975E5" w:rsidRDefault="002975E5" w:rsidP="008E37FF">
      <w:pPr>
        <w:pStyle w:val="BodyText"/>
        <w:numPr>
          <w:ilvl w:val="0"/>
          <w:numId w:val="17"/>
        </w:numPr>
        <w:spacing w:after="120" w:line="310" w:lineRule="atLeast"/>
      </w:pPr>
      <w:r>
        <w:t>The draft amended ASIC Rules (</w:t>
      </w:r>
      <w:r w:rsidR="00E22DDA">
        <w:t xml:space="preserve">see </w:t>
      </w:r>
      <w:r>
        <w:t>Attachment 2) include the following data elements related to other payments.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1FC31718" w14:textId="77777777" w:rsidTr="00F86FF1">
        <w:trPr>
          <w:cantSplit/>
        </w:trPr>
        <w:tc>
          <w:tcPr>
            <w:tcW w:w="1701" w:type="dxa"/>
            <w:shd w:val="clear" w:color="auto" w:fill="C2E3FA"/>
          </w:tcPr>
          <w:p w14:paraId="31B12711" w14:textId="762CF882" w:rsidR="002975E5" w:rsidRPr="000540E1" w:rsidRDefault="002975E5" w:rsidP="008E37FF">
            <w:pPr>
              <w:pStyle w:val="tablehead"/>
              <w:keepNext w:val="0"/>
            </w:pPr>
            <w:r>
              <w:t>Proceed per CP</w:t>
            </w:r>
            <w:r w:rsidR="00F67AE2">
              <w:t> </w:t>
            </w:r>
            <w:r>
              <w:t>334</w:t>
            </w:r>
          </w:p>
        </w:tc>
        <w:tc>
          <w:tcPr>
            <w:tcW w:w="5103" w:type="dxa"/>
          </w:tcPr>
          <w:p w14:paraId="2FE4EEB3" w14:textId="77777777" w:rsidR="005F1948" w:rsidRDefault="002975E5" w:rsidP="008E0C33">
            <w:pPr>
              <w:pStyle w:val="tbltext"/>
              <w:rPr>
                <w:color w:val="000000" w:themeColor="text1"/>
              </w:rPr>
            </w:pPr>
            <w:r w:rsidRPr="00FA37D3">
              <w:rPr>
                <w:color w:val="000000" w:themeColor="text1"/>
              </w:rPr>
              <w:t>Other payment amount</w:t>
            </w:r>
            <w:r>
              <w:rPr>
                <w:color w:val="000000" w:themeColor="text1"/>
              </w:rPr>
              <w:t xml:space="preserve">, </w:t>
            </w:r>
            <w:r w:rsidRPr="00085161">
              <w:rPr>
                <w:color w:val="000000" w:themeColor="text1"/>
              </w:rPr>
              <w:t>Other payment type</w:t>
            </w:r>
            <w:r>
              <w:rPr>
                <w:color w:val="000000" w:themeColor="text1"/>
              </w:rPr>
              <w:t>,</w:t>
            </w:r>
            <w:r w:rsidR="005F1948">
              <w:rPr>
                <w:color w:val="000000" w:themeColor="text1"/>
              </w:rPr>
              <w:br/>
            </w:r>
            <w:r w:rsidRPr="00085161">
              <w:rPr>
                <w:color w:val="000000" w:themeColor="text1"/>
              </w:rPr>
              <w:t xml:space="preserve">Other payment </w:t>
            </w:r>
            <w:r>
              <w:rPr>
                <w:color w:val="000000" w:themeColor="text1"/>
              </w:rPr>
              <w:t xml:space="preserve">currency, </w:t>
            </w:r>
            <w:r w:rsidRPr="00FA37D3">
              <w:rPr>
                <w:color w:val="000000" w:themeColor="text1"/>
              </w:rPr>
              <w:t>Other payment date</w:t>
            </w:r>
            <w:r>
              <w:rPr>
                <w:color w:val="000000" w:themeColor="text1"/>
              </w:rPr>
              <w:t>,</w:t>
            </w:r>
          </w:p>
          <w:p w14:paraId="7434919D" w14:textId="7CA61095" w:rsidR="002975E5" w:rsidRPr="008B4297" w:rsidRDefault="002975E5" w:rsidP="008E0C33">
            <w:pPr>
              <w:pStyle w:val="tbltext"/>
              <w:rPr>
                <w:color w:val="000000" w:themeColor="text1"/>
              </w:rPr>
            </w:pPr>
            <w:r w:rsidRPr="00FA37D3">
              <w:t>Other payment payer</w:t>
            </w:r>
            <w:r>
              <w:t xml:space="preserve">, </w:t>
            </w:r>
            <w:r w:rsidRPr="00FA37D3">
              <w:t>Other payment receiver</w:t>
            </w:r>
          </w:p>
        </w:tc>
      </w:tr>
      <w:tr w:rsidR="002975E5" w:rsidRPr="000540E1" w14:paraId="39AADDB3" w14:textId="77777777" w:rsidTr="00F86FF1">
        <w:trPr>
          <w:cantSplit/>
        </w:trPr>
        <w:tc>
          <w:tcPr>
            <w:tcW w:w="1701" w:type="dxa"/>
            <w:shd w:val="clear" w:color="auto" w:fill="C2E3FA"/>
          </w:tcPr>
          <w:p w14:paraId="1A59AC4B" w14:textId="77777777" w:rsidR="002975E5" w:rsidRPr="000540E1" w:rsidRDefault="002975E5" w:rsidP="008E37FF">
            <w:pPr>
              <w:pStyle w:val="tablehead"/>
              <w:keepNext w:val="0"/>
            </w:pPr>
            <w:r>
              <w:t>Not proceed</w:t>
            </w:r>
          </w:p>
        </w:tc>
        <w:tc>
          <w:tcPr>
            <w:tcW w:w="5103" w:type="dxa"/>
          </w:tcPr>
          <w:p w14:paraId="7D33720A" w14:textId="36468A5D" w:rsidR="002975E5" w:rsidRPr="000540E1" w:rsidRDefault="00F67AE2" w:rsidP="008E0C33">
            <w:pPr>
              <w:pStyle w:val="tbltext"/>
            </w:pPr>
            <w:r>
              <w:t>Not applicable</w:t>
            </w:r>
          </w:p>
        </w:tc>
      </w:tr>
      <w:tr w:rsidR="00F67AE2" w:rsidRPr="000540E1" w14:paraId="1890A5D3" w14:textId="77777777" w:rsidTr="00F86FF1">
        <w:trPr>
          <w:cantSplit/>
        </w:trPr>
        <w:tc>
          <w:tcPr>
            <w:tcW w:w="1701" w:type="dxa"/>
            <w:shd w:val="clear" w:color="auto" w:fill="C2E3FA"/>
          </w:tcPr>
          <w:p w14:paraId="6B07DD70" w14:textId="77777777" w:rsidR="00F67AE2" w:rsidRPr="000540E1" w:rsidRDefault="00F67AE2" w:rsidP="008E37FF">
            <w:pPr>
              <w:pStyle w:val="tablehead"/>
              <w:keepNext w:val="0"/>
            </w:pPr>
            <w:r>
              <w:t>New proposal</w:t>
            </w:r>
          </w:p>
        </w:tc>
        <w:tc>
          <w:tcPr>
            <w:tcW w:w="5103" w:type="dxa"/>
          </w:tcPr>
          <w:p w14:paraId="27C7017B" w14:textId="4B36E46E" w:rsidR="00F67AE2" w:rsidRPr="000540E1" w:rsidRDefault="00F67AE2" w:rsidP="008E0C33">
            <w:pPr>
              <w:pStyle w:val="tbltext"/>
            </w:pPr>
            <w:r>
              <w:t>Not applicable</w:t>
            </w:r>
          </w:p>
        </w:tc>
      </w:tr>
    </w:tbl>
    <w:p w14:paraId="003656D7" w14:textId="77777777" w:rsidR="002975E5" w:rsidRDefault="002975E5" w:rsidP="008E37FF">
      <w:pPr>
        <w:pStyle w:val="BodyText"/>
        <w:numPr>
          <w:ilvl w:val="0"/>
          <w:numId w:val="17"/>
        </w:numPr>
        <w:spacing w:line="290" w:lineRule="atLeast"/>
      </w:pPr>
      <w:r>
        <w:t>Respondents did not express any significant concerns about our proposals for the reporting of data elements related to other payments. We have decided to proceed as proposed, with the exception of not including notional amount exchanges as a type of other payment.</w:t>
      </w:r>
    </w:p>
    <w:p w14:paraId="3FAE18A6" w14:textId="6E849673" w:rsidR="002975E5" w:rsidRDefault="002975E5" w:rsidP="008E0C33">
      <w:pPr>
        <w:pStyle w:val="BodyText"/>
        <w:numPr>
          <w:ilvl w:val="0"/>
          <w:numId w:val="17"/>
        </w:numPr>
        <w:spacing w:line="290" w:lineRule="atLeast"/>
      </w:pPr>
      <w:r>
        <w:t xml:space="preserve">In Table S1.1(1), the meaning of item 72 </w:t>
      </w:r>
      <w:r w:rsidR="00D65D18">
        <w:t>‘</w:t>
      </w:r>
      <w:r>
        <w:t>Other payment amount</w:t>
      </w:r>
      <w:r w:rsidR="00D65D18">
        <w:t>’</w:t>
      </w:r>
      <w:r>
        <w:t xml:space="preserve"> </w:t>
      </w:r>
      <w:r w:rsidR="00040B83">
        <w:t>relates to the type</w:t>
      </w:r>
      <w:r w:rsidR="00D65D18">
        <w:t>s</w:t>
      </w:r>
      <w:r w:rsidR="00040B83">
        <w:t xml:space="preserve"> of other payments identified at item 73 </w:t>
      </w:r>
      <w:r w:rsidR="00D65D18">
        <w:t>‘</w:t>
      </w:r>
      <w:r w:rsidR="00040B83">
        <w:t>Other payment type</w:t>
      </w:r>
      <w:r w:rsidR="00D65D18">
        <w:t>’</w:t>
      </w:r>
      <w:r w:rsidR="00040B83">
        <w:t>. These are:</w:t>
      </w:r>
    </w:p>
    <w:p w14:paraId="1D612609" w14:textId="5E3C338E" w:rsidR="00040B83" w:rsidRDefault="00040B83" w:rsidP="008E0C33">
      <w:pPr>
        <w:pStyle w:val="subparaa"/>
        <w:numPr>
          <w:ilvl w:val="1"/>
          <w:numId w:val="17"/>
        </w:numPr>
        <w:spacing w:line="290" w:lineRule="atLeast"/>
      </w:pPr>
      <w:r>
        <w:t>an upfront payment that is not a payment of an option premium</w:t>
      </w:r>
      <w:r w:rsidR="005E5CCE">
        <w:t xml:space="preserve"> or a notional</w:t>
      </w:r>
      <w:r>
        <w:t>; or</w:t>
      </w:r>
    </w:p>
    <w:p w14:paraId="74F46C6D" w14:textId="01E0F800" w:rsidR="005E5CCE" w:rsidRDefault="00040B83" w:rsidP="008E0C33">
      <w:pPr>
        <w:pStyle w:val="subparaa"/>
        <w:numPr>
          <w:ilvl w:val="1"/>
          <w:numId w:val="17"/>
        </w:numPr>
        <w:spacing w:line="290" w:lineRule="atLeast"/>
      </w:pPr>
      <w:r>
        <w:t xml:space="preserve">a payment made on the termination of an OTC </w:t>
      </w:r>
      <w:r w:rsidR="00D65D18">
        <w:t>d</w:t>
      </w:r>
      <w:r>
        <w:t>erivative that is not a payment of an option premium</w:t>
      </w:r>
      <w:r w:rsidR="005E5CCE">
        <w:t xml:space="preserve"> or a</w:t>
      </w:r>
      <w:r>
        <w:t xml:space="preserve"> notional amount</w:t>
      </w:r>
      <w:r w:rsidR="00D65D18">
        <w:t>,</w:t>
      </w:r>
    </w:p>
    <w:p w14:paraId="3FD37FA4" w14:textId="77777777" w:rsidR="005E5CCE" w:rsidRDefault="005E5CCE" w:rsidP="008E0C33">
      <w:pPr>
        <w:pStyle w:val="subparaa"/>
        <w:numPr>
          <w:ilvl w:val="0"/>
          <w:numId w:val="0"/>
        </w:numPr>
        <w:spacing w:line="290" w:lineRule="atLeast"/>
        <w:ind w:left="2268"/>
      </w:pPr>
      <w:r>
        <w:t>and, in both cases, excluding</w:t>
      </w:r>
      <w:r w:rsidR="00040B83">
        <w:t xml:space="preserve"> standard fees, taxes or commissions.</w:t>
      </w:r>
    </w:p>
    <w:p w14:paraId="77492FB9" w14:textId="783C06E8" w:rsidR="002975E5" w:rsidRPr="00F5385D" w:rsidRDefault="002975E5" w:rsidP="008E0C33">
      <w:pPr>
        <w:pStyle w:val="BodyText"/>
        <w:numPr>
          <w:ilvl w:val="0"/>
          <w:numId w:val="17"/>
        </w:numPr>
        <w:spacing w:line="290" w:lineRule="atLeast"/>
        <w:rPr>
          <w:spacing w:val="-2"/>
        </w:rPr>
      </w:pPr>
      <w:r w:rsidRPr="00F5385D">
        <w:rPr>
          <w:spacing w:val="-2"/>
        </w:rPr>
        <w:t xml:space="preserve">We are proposing to exclude notional amount exchanges as a type of other payment as we think this unnecessarily </w:t>
      </w:r>
      <w:r w:rsidR="00F25AF2" w:rsidRPr="00F5385D">
        <w:rPr>
          <w:spacing w:val="-2"/>
        </w:rPr>
        <w:t>duplicat</w:t>
      </w:r>
      <w:r w:rsidR="00F25AF2">
        <w:rPr>
          <w:spacing w:val="-2"/>
        </w:rPr>
        <w:t>es</w:t>
      </w:r>
      <w:r w:rsidR="00F25AF2" w:rsidRPr="00F5385D">
        <w:rPr>
          <w:spacing w:val="-2"/>
        </w:rPr>
        <w:t xml:space="preserve"> </w:t>
      </w:r>
      <w:r w:rsidRPr="00F5385D">
        <w:rPr>
          <w:spacing w:val="-2"/>
        </w:rPr>
        <w:t xml:space="preserve">information that is reported as other data elements. </w:t>
      </w:r>
      <w:r w:rsidR="008E37FF">
        <w:rPr>
          <w:spacing w:val="-2"/>
        </w:rPr>
        <w:t>R</w:t>
      </w:r>
      <w:r w:rsidRPr="00F5385D">
        <w:rPr>
          <w:spacing w:val="-2"/>
        </w:rPr>
        <w:t>eporting notional amount exchanges as other payments would be a positive statement that these cashflows have</w:t>
      </w:r>
      <w:r w:rsidR="00F25AF2">
        <w:rPr>
          <w:spacing w:val="-2"/>
        </w:rPr>
        <w:t xml:space="preserve"> occurred</w:t>
      </w:r>
      <w:r w:rsidRPr="00F5385D">
        <w:rPr>
          <w:spacing w:val="-2"/>
        </w:rPr>
        <w:t>, or will occur, whereas, strictly speaking, the amounts and currencies reported for Notional amount</w:t>
      </w:r>
      <w:r w:rsidR="00D720CA" w:rsidRPr="00F5385D">
        <w:rPr>
          <w:spacing w:val="-2"/>
        </w:rPr>
        <w:t>—</w:t>
      </w:r>
      <w:r w:rsidRPr="00F5385D">
        <w:rPr>
          <w:spacing w:val="-2"/>
        </w:rPr>
        <w:t>Leg 1 and Notional amount</w:t>
      </w:r>
      <w:r w:rsidR="00D720CA" w:rsidRPr="00F5385D">
        <w:rPr>
          <w:spacing w:val="-2"/>
        </w:rPr>
        <w:t>—</w:t>
      </w:r>
      <w:r w:rsidRPr="00F5385D">
        <w:rPr>
          <w:spacing w:val="-2"/>
        </w:rPr>
        <w:t>Leg 2 are merely the amounts from which interest amounts are calculated and are not definitive of being actual notional amount exchanges.</w:t>
      </w:r>
    </w:p>
    <w:p w14:paraId="4DB8C896" w14:textId="77777777" w:rsidR="002975E5" w:rsidRDefault="002975E5" w:rsidP="008E0C33">
      <w:pPr>
        <w:pStyle w:val="BodyText"/>
        <w:numPr>
          <w:ilvl w:val="0"/>
          <w:numId w:val="17"/>
        </w:numPr>
        <w:spacing w:line="290" w:lineRule="atLeast"/>
      </w:pPr>
      <w:r>
        <w:t>However, other than for cross-currency swaps that are indicated as non-deliverable by the UPI that is reported, we think it is very uncommon that there is not ordinarily a notional amounts exchange, at least on the far-dated expiration date of the swap. There may be a higher incidence of notional amounts not being exchanged at the near-dated effective date of the swap, but these are typically near-dated events and of limited regulatory value.</w:t>
      </w:r>
    </w:p>
    <w:p w14:paraId="44F41069" w14:textId="26B327A3" w:rsidR="002975E5" w:rsidRDefault="002975E5" w:rsidP="008E0C33">
      <w:pPr>
        <w:pStyle w:val="BodyText"/>
        <w:numPr>
          <w:ilvl w:val="0"/>
          <w:numId w:val="17"/>
        </w:numPr>
        <w:spacing w:line="290" w:lineRule="atLeast"/>
      </w:pPr>
      <w:r>
        <w:t>Consequently, we think we can rely on assuming that, ordinarily, notional amounts are exchanged without this needing to be confirmed by reporting additional data elements.</w:t>
      </w:r>
    </w:p>
    <w:p w14:paraId="622677E4" w14:textId="2EB1F5B5" w:rsidR="002975E5" w:rsidRDefault="002975E5" w:rsidP="008E0C33">
      <w:pPr>
        <w:pStyle w:val="BodyText"/>
        <w:numPr>
          <w:ilvl w:val="0"/>
          <w:numId w:val="17"/>
        </w:numPr>
        <w:spacing w:line="290" w:lineRule="atLeast"/>
      </w:pPr>
      <w:r>
        <w:t xml:space="preserve">In Table S1.1(1), item 74 </w:t>
      </w:r>
      <w:r w:rsidR="00D720CA">
        <w:t>‘</w:t>
      </w:r>
      <w:r>
        <w:t>Other payment currency</w:t>
      </w:r>
      <w:r w:rsidR="00D720CA">
        <w:t>’</w:t>
      </w:r>
      <w:r>
        <w:t xml:space="preserve"> and </w:t>
      </w:r>
      <w:r w:rsidR="00D720CA">
        <w:t xml:space="preserve">item </w:t>
      </w:r>
      <w:r>
        <w:t xml:space="preserve">75 </w:t>
      </w:r>
      <w:r w:rsidR="00D720CA">
        <w:t>‘</w:t>
      </w:r>
      <w:r>
        <w:t>Other payment date</w:t>
      </w:r>
      <w:r w:rsidR="00D720CA">
        <w:t>’</w:t>
      </w:r>
      <w:r>
        <w:t xml:space="preserve"> have meanings, formats and allowable values expressed in that same manner as currency and date data elements are expressed in other instances in the draft amended ASIC Rules.</w:t>
      </w:r>
    </w:p>
    <w:p w14:paraId="78D2474F" w14:textId="420455E2" w:rsidR="002975E5" w:rsidRPr="00F5385D" w:rsidRDefault="002975E5" w:rsidP="008E0C33">
      <w:pPr>
        <w:pStyle w:val="BodyText"/>
        <w:numPr>
          <w:ilvl w:val="0"/>
          <w:numId w:val="17"/>
        </w:numPr>
        <w:spacing w:line="290" w:lineRule="atLeast"/>
        <w:rPr>
          <w:spacing w:val="-2"/>
        </w:rPr>
      </w:pPr>
      <w:r w:rsidRPr="00F5385D">
        <w:rPr>
          <w:spacing w:val="-2"/>
        </w:rPr>
        <w:t xml:space="preserve">In Table S1.1(1), for item 76 </w:t>
      </w:r>
      <w:r w:rsidR="00D720CA" w:rsidRPr="00F5385D">
        <w:rPr>
          <w:spacing w:val="-2"/>
        </w:rPr>
        <w:t>‘</w:t>
      </w:r>
      <w:r w:rsidRPr="00F5385D">
        <w:rPr>
          <w:spacing w:val="-2"/>
        </w:rPr>
        <w:t>Other payment payer</w:t>
      </w:r>
      <w:r w:rsidR="00D720CA" w:rsidRPr="00F5385D">
        <w:rPr>
          <w:spacing w:val="-2"/>
        </w:rPr>
        <w:t>’</w:t>
      </w:r>
      <w:r w:rsidRPr="00F5385D">
        <w:rPr>
          <w:spacing w:val="-2"/>
        </w:rPr>
        <w:t xml:space="preserve"> and </w:t>
      </w:r>
      <w:r w:rsidR="00D720CA" w:rsidRPr="00F5385D">
        <w:rPr>
          <w:spacing w:val="-2"/>
        </w:rPr>
        <w:t xml:space="preserve">item </w:t>
      </w:r>
      <w:r w:rsidRPr="00F5385D">
        <w:rPr>
          <w:spacing w:val="-2"/>
        </w:rPr>
        <w:t xml:space="preserve">77 </w:t>
      </w:r>
      <w:r w:rsidR="00D720CA" w:rsidRPr="00F5385D">
        <w:rPr>
          <w:spacing w:val="-2"/>
        </w:rPr>
        <w:t>‘</w:t>
      </w:r>
      <w:r w:rsidRPr="00F5385D">
        <w:rPr>
          <w:spacing w:val="-2"/>
        </w:rPr>
        <w:t>Other payment receiver</w:t>
      </w:r>
      <w:r w:rsidR="00D720CA" w:rsidRPr="00F5385D">
        <w:rPr>
          <w:spacing w:val="-2"/>
        </w:rPr>
        <w:t>’</w:t>
      </w:r>
      <w:r w:rsidRPr="00F5385D">
        <w:rPr>
          <w:spacing w:val="-2"/>
        </w:rPr>
        <w:t>, we recognise that the payer or receiver may be a ‘third party’</w:t>
      </w:r>
      <w:r w:rsidR="00404CA5" w:rsidRPr="00F5385D">
        <w:rPr>
          <w:spacing w:val="-2"/>
        </w:rPr>
        <w:t>—</w:t>
      </w:r>
      <w:r w:rsidRPr="00F5385D">
        <w:rPr>
          <w:spacing w:val="-2"/>
        </w:rPr>
        <w:t>for example, where the reporting entity pays an upfront payment to the entity that is stepping-out of the transaction to which the reporting entity is stepping-in. In light of this, whil</w:t>
      </w:r>
      <w:r w:rsidR="00D720CA" w:rsidRPr="00F5385D">
        <w:rPr>
          <w:spacing w:val="-2"/>
        </w:rPr>
        <w:t>e</w:t>
      </w:r>
      <w:r w:rsidRPr="00F5385D">
        <w:rPr>
          <w:spacing w:val="-2"/>
        </w:rPr>
        <w:t xml:space="preserve"> an LEI is still first required if the payer or receiver has an LEI, there is no requirement </w:t>
      </w:r>
      <w:r w:rsidR="00E26BD7">
        <w:rPr>
          <w:spacing w:val="-2"/>
        </w:rPr>
        <w:t>for</w:t>
      </w:r>
      <w:r w:rsidR="00E26BD7" w:rsidRPr="00F5385D">
        <w:rPr>
          <w:spacing w:val="-2"/>
        </w:rPr>
        <w:t xml:space="preserve"> </w:t>
      </w:r>
      <w:r w:rsidRPr="00F5385D">
        <w:rPr>
          <w:spacing w:val="-2"/>
        </w:rPr>
        <w:t xml:space="preserve">it </w:t>
      </w:r>
      <w:r w:rsidR="00E26BD7">
        <w:rPr>
          <w:spacing w:val="-2"/>
        </w:rPr>
        <w:t xml:space="preserve">to </w:t>
      </w:r>
      <w:r w:rsidRPr="00F5385D">
        <w:rPr>
          <w:spacing w:val="-2"/>
        </w:rPr>
        <w:t xml:space="preserve">be a renewed LEI for certain types of entities </w:t>
      </w:r>
      <w:r w:rsidR="005E5CCE" w:rsidRPr="00F5385D">
        <w:rPr>
          <w:spacing w:val="-2"/>
        </w:rPr>
        <w:t xml:space="preserve">and no requirement that an LEI be applied for in accordance with </w:t>
      </w:r>
      <w:r w:rsidR="00D720CA" w:rsidRPr="00F5385D">
        <w:rPr>
          <w:spacing w:val="-2"/>
        </w:rPr>
        <w:t xml:space="preserve">Rule </w:t>
      </w:r>
      <w:r w:rsidR="005E5CCE" w:rsidRPr="00F5385D">
        <w:rPr>
          <w:spacing w:val="-2"/>
        </w:rPr>
        <w:t>S1.3.1(2)</w:t>
      </w:r>
      <w:r w:rsidR="00404CA5" w:rsidRPr="00F5385D">
        <w:rPr>
          <w:spacing w:val="-2"/>
        </w:rPr>
        <w:t>—</w:t>
      </w:r>
      <w:r w:rsidRPr="00F5385D">
        <w:rPr>
          <w:spacing w:val="-2"/>
        </w:rPr>
        <w:t xml:space="preserve">though, if the payer or receiver was, for example, </w:t>
      </w:r>
      <w:r w:rsidR="00D720CA" w:rsidRPr="00F5385D">
        <w:rPr>
          <w:spacing w:val="-2"/>
        </w:rPr>
        <w:t xml:space="preserve">counterparty </w:t>
      </w:r>
      <w:r w:rsidRPr="00F5385D">
        <w:rPr>
          <w:spacing w:val="-2"/>
        </w:rPr>
        <w:t xml:space="preserve">2 then the identifier requirements for the </w:t>
      </w:r>
      <w:r w:rsidR="00D720CA" w:rsidRPr="00F5385D">
        <w:rPr>
          <w:spacing w:val="-2"/>
        </w:rPr>
        <w:t xml:space="preserve">counterparty </w:t>
      </w:r>
      <w:r w:rsidRPr="00F5385D">
        <w:rPr>
          <w:spacing w:val="-2"/>
        </w:rPr>
        <w:t>2 data element would effectively be the identifier requirements for the other payment payer or other payment receiver data elements.</w:t>
      </w:r>
    </w:p>
    <w:p w14:paraId="3606879A" w14:textId="77777777" w:rsidR="002975E5" w:rsidRDefault="002975E5" w:rsidP="008E37FF">
      <w:pPr>
        <w:pStyle w:val="Heading5"/>
        <w:spacing w:line="290" w:lineRule="atLeast"/>
      </w:pPr>
      <w:r>
        <w:t>Application to the draft remade ASIC Rules</w:t>
      </w:r>
    </w:p>
    <w:p w14:paraId="338CF9FC" w14:textId="77777777" w:rsidR="002975E5" w:rsidRDefault="002975E5" w:rsidP="008E37FF">
      <w:pPr>
        <w:pStyle w:val="BodyText"/>
        <w:numPr>
          <w:ilvl w:val="0"/>
          <w:numId w:val="17"/>
        </w:numPr>
        <w:spacing w:line="290" w:lineRule="atLeast"/>
      </w:pPr>
      <w:r>
        <w:t>The current ASIC Rules only require reporting of upfront payments made or received in the asset classes other than foreign exchange. This encapsulates its amount, its type as an upfront payment and whether the reporting entity pays (by reporting a negative amount) or receives (by reporting a positive amount), but the current ASIC Rules do not include the other data elements of the currency and payment date.</w:t>
      </w:r>
    </w:p>
    <w:p w14:paraId="425F069F" w14:textId="36828A9F" w:rsidR="002975E5" w:rsidRDefault="002975E5" w:rsidP="008E37FF">
      <w:pPr>
        <w:pStyle w:val="BodyText"/>
        <w:numPr>
          <w:ilvl w:val="0"/>
          <w:numId w:val="17"/>
        </w:numPr>
        <w:spacing w:line="290" w:lineRule="atLeast"/>
      </w:pPr>
      <w:r>
        <w:t>The draft remade ASIC Rules rename the data element to ‘Other payment amount’ but continue with the substantive meaning of this data element in the current ASIC Rules, and appl</w:t>
      </w:r>
      <w:r w:rsidR="00D720CA">
        <w:t>y</w:t>
      </w:r>
      <w:r>
        <w:t xml:space="preserve"> formats and allowed values for positive and negative numbers.</w:t>
      </w:r>
    </w:p>
    <w:p w14:paraId="528DE5F1" w14:textId="0A31E7E2" w:rsidR="002975E5" w:rsidRDefault="002975E5" w:rsidP="008E37FF">
      <w:pPr>
        <w:pStyle w:val="BodyText"/>
        <w:numPr>
          <w:ilvl w:val="0"/>
          <w:numId w:val="17"/>
        </w:numPr>
        <w:spacing w:line="290" w:lineRule="atLeast"/>
      </w:pPr>
      <w:r>
        <w:t>The other data elements of currency and payment date of the other payment are not introduced into the draft remade ASIC Rules.</w:t>
      </w:r>
    </w:p>
    <w:p w14:paraId="28BB22C6" w14:textId="77777777" w:rsidR="002975E5" w:rsidRDefault="002975E5" w:rsidP="002975E5">
      <w:pPr>
        <w:pStyle w:val="Heading4"/>
      </w:pPr>
      <w:r>
        <w:t>Data elements related to custom baskets and underliers</w:t>
      </w:r>
    </w:p>
    <w:p w14:paraId="2E31BFB3" w14:textId="7862E465" w:rsidR="002975E5" w:rsidRDefault="002975E5" w:rsidP="00C443A0">
      <w:pPr>
        <w:pStyle w:val="BodyText"/>
        <w:numPr>
          <w:ilvl w:val="0"/>
          <w:numId w:val="17"/>
        </w:numPr>
        <w:spacing w:after="200" w:line="310" w:lineRule="atLeast"/>
      </w:pPr>
      <w:r>
        <w:t>The draft amended ASIC Rules (</w:t>
      </w:r>
      <w:r w:rsidR="00D720CA">
        <w:t xml:space="preserve">see </w:t>
      </w:r>
      <w:r>
        <w:t xml:space="preserve">Attachment 2) include the following data elements related to </w:t>
      </w:r>
      <w:r w:rsidRPr="008444C6">
        <w:t>custom baskets and underliers</w:t>
      </w:r>
      <w:r>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264C2F9A" w14:textId="77777777" w:rsidTr="00F86FF1">
        <w:trPr>
          <w:cantSplit/>
        </w:trPr>
        <w:tc>
          <w:tcPr>
            <w:tcW w:w="1701" w:type="dxa"/>
            <w:shd w:val="clear" w:color="auto" w:fill="C2E3FA"/>
          </w:tcPr>
          <w:p w14:paraId="45941197" w14:textId="37996FB1" w:rsidR="002975E5" w:rsidRPr="000540E1" w:rsidRDefault="002975E5" w:rsidP="00F86FF1">
            <w:pPr>
              <w:pStyle w:val="tablehead"/>
            </w:pPr>
            <w:r>
              <w:t>Proceed per CP</w:t>
            </w:r>
            <w:r w:rsidR="002B0E30">
              <w:t> </w:t>
            </w:r>
            <w:r>
              <w:t>334</w:t>
            </w:r>
          </w:p>
        </w:tc>
        <w:tc>
          <w:tcPr>
            <w:tcW w:w="5103" w:type="dxa"/>
          </w:tcPr>
          <w:p w14:paraId="5C73A658" w14:textId="77777777" w:rsidR="002975E5" w:rsidRDefault="002975E5" w:rsidP="00F86FF1">
            <w:pPr>
              <w:pStyle w:val="tbltext"/>
              <w:rPr>
                <w:color w:val="000000" w:themeColor="text1"/>
              </w:rPr>
            </w:pPr>
            <w:r w:rsidRPr="00FA37D3">
              <w:rPr>
                <w:color w:val="000000" w:themeColor="text1"/>
              </w:rPr>
              <w:t>Custom basket code</w:t>
            </w:r>
            <w:r>
              <w:rPr>
                <w:color w:val="000000" w:themeColor="text1"/>
              </w:rPr>
              <w:t xml:space="preserve">, </w:t>
            </w:r>
            <w:r w:rsidRPr="00FA37D3">
              <w:rPr>
                <w:color w:val="000000" w:themeColor="text1"/>
              </w:rPr>
              <w:t>Identifier</w:t>
            </w:r>
            <w:r>
              <w:rPr>
                <w:color w:val="000000" w:themeColor="text1"/>
              </w:rPr>
              <w:t>s</w:t>
            </w:r>
            <w:r w:rsidRPr="00FA37D3">
              <w:rPr>
                <w:color w:val="000000" w:themeColor="text1"/>
              </w:rPr>
              <w:t xml:space="preserve"> of the basket’s constituents</w:t>
            </w:r>
            <w:r>
              <w:rPr>
                <w:color w:val="000000" w:themeColor="text1"/>
              </w:rPr>
              <w:t xml:space="preserve">, </w:t>
            </w:r>
            <w:r w:rsidRPr="00FA37D3">
              <w:rPr>
                <w:color w:val="000000" w:themeColor="text1"/>
              </w:rPr>
              <w:t>Source of the identifier</w:t>
            </w:r>
            <w:r>
              <w:rPr>
                <w:color w:val="000000" w:themeColor="text1"/>
              </w:rPr>
              <w:t>s</w:t>
            </w:r>
            <w:r w:rsidRPr="00FA37D3">
              <w:rPr>
                <w:color w:val="000000" w:themeColor="text1"/>
              </w:rPr>
              <w:t xml:space="preserve"> of the basket constituents</w:t>
            </w:r>
            <w:r>
              <w:rPr>
                <w:color w:val="000000" w:themeColor="text1"/>
              </w:rPr>
              <w:t>,</w:t>
            </w:r>
          </w:p>
          <w:p w14:paraId="5BC16BAA" w14:textId="3B5F8563" w:rsidR="002975E5" w:rsidRPr="008B4297" w:rsidRDefault="002975E5" w:rsidP="00F86FF1">
            <w:pPr>
              <w:pStyle w:val="tbltext"/>
              <w:rPr>
                <w:color w:val="000000" w:themeColor="text1"/>
              </w:rPr>
            </w:pPr>
            <w:r w:rsidRPr="00FA37D3">
              <w:rPr>
                <w:color w:val="000000" w:themeColor="text1"/>
              </w:rPr>
              <w:t>Maturity date of the underl</w:t>
            </w:r>
            <w:r>
              <w:rPr>
                <w:color w:val="000000" w:themeColor="text1"/>
              </w:rPr>
              <w:t>ier</w:t>
            </w:r>
          </w:p>
        </w:tc>
      </w:tr>
      <w:tr w:rsidR="002975E5" w:rsidRPr="000540E1" w14:paraId="79603879" w14:textId="77777777" w:rsidTr="00F86FF1">
        <w:trPr>
          <w:cantSplit/>
        </w:trPr>
        <w:tc>
          <w:tcPr>
            <w:tcW w:w="1701" w:type="dxa"/>
            <w:shd w:val="clear" w:color="auto" w:fill="C2E3FA"/>
          </w:tcPr>
          <w:p w14:paraId="53CAEE6D" w14:textId="77777777" w:rsidR="002975E5" w:rsidRPr="000540E1" w:rsidRDefault="002975E5" w:rsidP="00F86FF1">
            <w:pPr>
              <w:pStyle w:val="tablehead"/>
            </w:pPr>
            <w:r>
              <w:t>Not proceed</w:t>
            </w:r>
          </w:p>
        </w:tc>
        <w:tc>
          <w:tcPr>
            <w:tcW w:w="5103" w:type="dxa"/>
          </w:tcPr>
          <w:p w14:paraId="2B29B061" w14:textId="77777777" w:rsidR="002975E5" w:rsidRPr="00951D3D" w:rsidRDefault="002975E5" w:rsidP="00F86FF1">
            <w:pPr>
              <w:pStyle w:val="tbltext"/>
              <w:rPr>
                <w:b/>
                <w:bCs/>
              </w:rPr>
            </w:pPr>
            <w:r w:rsidRPr="00951D3D">
              <w:t>Basket constituent unit of measure</w:t>
            </w:r>
            <w:r>
              <w:t xml:space="preserve">, </w:t>
            </w:r>
            <w:r w:rsidRPr="00951D3D">
              <w:t>Basket constituent number of units</w:t>
            </w:r>
          </w:p>
        </w:tc>
      </w:tr>
      <w:tr w:rsidR="002975E5" w:rsidRPr="000540E1" w14:paraId="0323CFCC" w14:textId="77777777" w:rsidTr="00F86FF1">
        <w:trPr>
          <w:cantSplit/>
        </w:trPr>
        <w:tc>
          <w:tcPr>
            <w:tcW w:w="1701" w:type="dxa"/>
            <w:shd w:val="clear" w:color="auto" w:fill="C2E3FA"/>
          </w:tcPr>
          <w:p w14:paraId="7B6385D8" w14:textId="77777777" w:rsidR="002975E5" w:rsidRPr="000540E1" w:rsidRDefault="002975E5" w:rsidP="00F86FF1">
            <w:pPr>
              <w:pStyle w:val="tablehead"/>
            </w:pPr>
            <w:r>
              <w:t>New proposal</w:t>
            </w:r>
          </w:p>
        </w:tc>
        <w:tc>
          <w:tcPr>
            <w:tcW w:w="5103" w:type="dxa"/>
          </w:tcPr>
          <w:p w14:paraId="3412B478" w14:textId="0D6D7BE3" w:rsidR="002975E5" w:rsidRDefault="002975E5" w:rsidP="00F86FF1">
            <w:pPr>
              <w:pStyle w:val="tbltext"/>
              <w:rPr>
                <w:color w:val="000000" w:themeColor="text1"/>
              </w:rPr>
            </w:pPr>
            <w:r w:rsidRPr="00DB1C95">
              <w:rPr>
                <w:color w:val="000000" w:themeColor="text1"/>
              </w:rPr>
              <w:t>Underlier ID</w:t>
            </w:r>
            <w:r w:rsidR="002B0E30" w:rsidRPr="00F5385D">
              <w:rPr>
                <w:color w:val="000000" w:themeColor="text1"/>
              </w:rPr>
              <w:t>—</w:t>
            </w:r>
            <w:r w:rsidRPr="00DB1C95">
              <w:rPr>
                <w:color w:val="000000" w:themeColor="text1"/>
              </w:rPr>
              <w:t>non</w:t>
            </w:r>
            <w:r>
              <w:rPr>
                <w:color w:val="000000" w:themeColor="text1"/>
              </w:rPr>
              <w:t>-</w:t>
            </w:r>
            <w:r w:rsidRPr="00DB1C95">
              <w:rPr>
                <w:color w:val="000000" w:themeColor="text1"/>
              </w:rPr>
              <w:t>UPI</w:t>
            </w:r>
            <w:r>
              <w:rPr>
                <w:color w:val="000000" w:themeColor="text1"/>
              </w:rPr>
              <w:t xml:space="preserve">, </w:t>
            </w:r>
            <w:r w:rsidRPr="00FA37D3">
              <w:rPr>
                <w:color w:val="000000" w:themeColor="text1"/>
              </w:rPr>
              <w:t>Underlier ID source</w:t>
            </w:r>
            <w:r w:rsidR="002B0E30" w:rsidRPr="00266B94">
              <w:rPr>
                <w:color w:val="000000" w:themeColor="text1"/>
              </w:rPr>
              <w:t>—</w:t>
            </w:r>
            <w:r w:rsidRPr="00FA37D3">
              <w:rPr>
                <w:color w:val="000000" w:themeColor="text1"/>
              </w:rPr>
              <w:t>non-UPI</w:t>
            </w:r>
            <w:r>
              <w:rPr>
                <w:color w:val="000000" w:themeColor="text1"/>
              </w:rPr>
              <w:t>,</w:t>
            </w:r>
          </w:p>
          <w:p w14:paraId="4CA222F4" w14:textId="29D4061D" w:rsidR="002975E5" w:rsidRPr="00F5385D" w:rsidRDefault="002975E5" w:rsidP="00F86FF1">
            <w:pPr>
              <w:pStyle w:val="tbltext"/>
              <w:rPr>
                <w:spacing w:val="-2"/>
              </w:rPr>
            </w:pPr>
            <w:r w:rsidRPr="00F5385D">
              <w:rPr>
                <w:color w:val="000000" w:themeColor="text1"/>
                <w:spacing w:val="-2"/>
              </w:rPr>
              <w:t>Identifier of the floating rate</w:t>
            </w:r>
            <w:r w:rsidR="002B0E30" w:rsidRPr="00F5385D">
              <w:rPr>
                <w:color w:val="000000" w:themeColor="text1"/>
                <w:spacing w:val="-2"/>
              </w:rPr>
              <w:t>—</w:t>
            </w:r>
            <w:r w:rsidRPr="00F5385D">
              <w:rPr>
                <w:color w:val="000000" w:themeColor="text1"/>
                <w:spacing w:val="-2"/>
              </w:rPr>
              <w:t>Leg 2, Floating rate reference period</w:t>
            </w:r>
            <w:r w:rsidR="002B0E30" w:rsidRPr="00F5385D">
              <w:rPr>
                <w:color w:val="000000" w:themeColor="text1"/>
                <w:spacing w:val="-2"/>
              </w:rPr>
              <w:t>—</w:t>
            </w:r>
            <w:r w:rsidRPr="00F5385D">
              <w:rPr>
                <w:color w:val="000000" w:themeColor="text1"/>
                <w:spacing w:val="-2"/>
              </w:rPr>
              <w:t>Leg 2, Floating rate reference period multiplier</w:t>
            </w:r>
            <w:r w:rsidR="002B0E30" w:rsidRPr="00F5385D">
              <w:rPr>
                <w:color w:val="000000" w:themeColor="text1"/>
                <w:spacing w:val="-2"/>
              </w:rPr>
              <w:t>—</w:t>
            </w:r>
            <w:r w:rsidRPr="00F5385D">
              <w:rPr>
                <w:color w:val="000000" w:themeColor="text1"/>
                <w:spacing w:val="-2"/>
              </w:rPr>
              <w:t>Leg 2</w:t>
            </w:r>
          </w:p>
        </w:tc>
      </w:tr>
    </w:tbl>
    <w:p w14:paraId="0FE780D5" w14:textId="0AC8503E" w:rsidR="002975E5" w:rsidRDefault="002975E5" w:rsidP="00C443A0">
      <w:pPr>
        <w:pStyle w:val="BodyText"/>
        <w:numPr>
          <w:ilvl w:val="0"/>
          <w:numId w:val="17"/>
        </w:numPr>
        <w:spacing w:line="310" w:lineRule="atLeast"/>
      </w:pPr>
      <w:r>
        <w:t>As we note in paragraph</w:t>
      </w:r>
      <w:r w:rsidR="002710B0">
        <w:t>s</w:t>
      </w:r>
      <w:r>
        <w:t xml:space="preserve"> </w:t>
      </w:r>
      <w:r>
        <w:fldChar w:fldCharType="begin" w:fldLock="1"/>
      </w:r>
      <w:r>
        <w:instrText xml:space="preserve"> REF _ASICRef543 \w \h  \* MERGEFORMAT </w:instrText>
      </w:r>
      <w:r>
        <w:fldChar w:fldCharType="separate"/>
      </w:r>
      <w:r w:rsidR="00853A2A">
        <w:t>350</w:t>
      </w:r>
      <w:r>
        <w:fldChar w:fldCharType="end"/>
      </w:r>
      <w:r>
        <w:t>–</w:t>
      </w:r>
      <w:r>
        <w:fldChar w:fldCharType="begin" w:fldLock="1"/>
      </w:r>
      <w:r>
        <w:instrText xml:space="preserve"> REF _ASICRef916 \w \h  \* MERGEFORMAT </w:instrText>
      </w:r>
      <w:r>
        <w:fldChar w:fldCharType="separate"/>
      </w:r>
      <w:r w:rsidR="00853A2A">
        <w:t>354</w:t>
      </w:r>
      <w:r>
        <w:fldChar w:fldCharType="end"/>
      </w:r>
      <w:r>
        <w:t>, respondents to CP 334:</w:t>
      </w:r>
    </w:p>
    <w:p w14:paraId="3F4615F1" w14:textId="754C6A94" w:rsidR="002975E5" w:rsidRDefault="005E5CCE" w:rsidP="00C443A0">
      <w:pPr>
        <w:pStyle w:val="subparaa"/>
        <w:numPr>
          <w:ilvl w:val="1"/>
          <w:numId w:val="17"/>
        </w:numPr>
        <w:spacing w:line="310" w:lineRule="atLeast"/>
      </w:pPr>
      <w:r>
        <w:t xml:space="preserve">were </w:t>
      </w:r>
      <w:r w:rsidR="002975E5">
        <w:t xml:space="preserve">generally </w:t>
      </w:r>
      <w:r>
        <w:t xml:space="preserve">supportive of reporting </w:t>
      </w:r>
      <w:r w:rsidR="002975E5">
        <w:t>an identifier for each constituent of a custom basket;</w:t>
      </w:r>
    </w:p>
    <w:p w14:paraId="7EC48F9F" w14:textId="77777777" w:rsidR="002975E5" w:rsidRDefault="002975E5" w:rsidP="00C443A0">
      <w:pPr>
        <w:pStyle w:val="subparaa"/>
        <w:numPr>
          <w:ilvl w:val="1"/>
          <w:numId w:val="17"/>
        </w:numPr>
        <w:spacing w:line="310" w:lineRule="atLeast"/>
      </w:pPr>
      <w:r>
        <w:t>expressed mixed views as to the allowable identifier types;</w:t>
      </w:r>
    </w:p>
    <w:p w14:paraId="55C6B521" w14:textId="77777777" w:rsidR="002975E5" w:rsidRDefault="002975E5" w:rsidP="00C443A0">
      <w:pPr>
        <w:pStyle w:val="subparaa"/>
        <w:numPr>
          <w:ilvl w:val="1"/>
          <w:numId w:val="17"/>
        </w:numPr>
        <w:spacing w:line="310" w:lineRule="atLeast"/>
      </w:pPr>
      <w:r>
        <w:t>had concerns about the generation and sharing of a structurer’s custom basket code;</w:t>
      </w:r>
    </w:p>
    <w:p w14:paraId="431FA242" w14:textId="77777777" w:rsidR="002975E5" w:rsidRDefault="002975E5" w:rsidP="00C443A0">
      <w:pPr>
        <w:pStyle w:val="subparaa"/>
        <w:numPr>
          <w:ilvl w:val="1"/>
          <w:numId w:val="17"/>
        </w:numPr>
        <w:spacing w:line="310" w:lineRule="atLeast"/>
      </w:pPr>
      <w:r>
        <w:t>contrasted a basket code requirement with the true/false indicator in the final CFTC rules; and</w:t>
      </w:r>
    </w:p>
    <w:p w14:paraId="2FA08DB4" w14:textId="77777777" w:rsidR="002975E5" w:rsidRDefault="002975E5" w:rsidP="00C443A0">
      <w:pPr>
        <w:pStyle w:val="subparaa"/>
        <w:numPr>
          <w:ilvl w:val="1"/>
          <w:numId w:val="17"/>
        </w:numPr>
        <w:spacing w:line="310" w:lineRule="atLeast"/>
      </w:pPr>
      <w:r>
        <w:t>anticipated added complexity to report the number of units of each constituent in a basket.</w:t>
      </w:r>
    </w:p>
    <w:p w14:paraId="795790FF" w14:textId="77777777" w:rsidR="00234216" w:rsidRPr="00234216" w:rsidRDefault="00234216" w:rsidP="00234216">
      <w:pPr>
        <w:pStyle w:val="Bodytextplain"/>
        <w:keepNext/>
        <w:spacing w:before="0" w:line="240" w:lineRule="auto"/>
        <w:rPr>
          <w:sz w:val="4"/>
          <w:szCs w:val="4"/>
        </w:rPr>
      </w:pPr>
    </w:p>
    <w:p w14:paraId="14FB1DB4" w14:textId="18FE92EF" w:rsidR="00654A51" w:rsidRDefault="002975E5" w:rsidP="00234216">
      <w:pPr>
        <w:pStyle w:val="BodyText"/>
        <w:numPr>
          <w:ilvl w:val="0"/>
          <w:numId w:val="17"/>
        </w:numPr>
        <w:spacing w:before="0"/>
      </w:pPr>
      <w:r>
        <w:t xml:space="preserve">Having </w:t>
      </w:r>
      <w:r w:rsidR="002B0E30">
        <w:t>considered</w:t>
      </w:r>
      <w:r>
        <w:t xml:space="preserve"> this feedback, and noting our response to developments in the UPI discussed in Section </w:t>
      </w:r>
      <w:r w:rsidR="002B0E30">
        <w:fldChar w:fldCharType="begin" w:fldLock="1"/>
      </w:r>
      <w:r w:rsidR="002B0E30">
        <w:instrText xml:space="preserve"> REF _ASICRef28 \w \h </w:instrText>
      </w:r>
      <w:r w:rsidR="002B0E30">
        <w:fldChar w:fldCharType="separate"/>
      </w:r>
      <w:r w:rsidR="00853A2A">
        <w:t>C</w:t>
      </w:r>
      <w:r w:rsidR="002B0E30">
        <w:fldChar w:fldCharType="end"/>
      </w:r>
      <w:r>
        <w:t xml:space="preserve"> </w:t>
      </w:r>
      <w:r w:rsidR="002B0E30">
        <w:t>‘</w:t>
      </w:r>
      <w:r>
        <w:t>The unique product identifier (UPI)</w:t>
      </w:r>
      <w:r w:rsidR="002B0E30">
        <w:t>’</w:t>
      </w:r>
      <w:r>
        <w:t xml:space="preserve"> at paragraphs</w:t>
      </w:r>
      <w:r w:rsidR="00EF2FA5">
        <w:t xml:space="preserve"> </w:t>
      </w:r>
      <w:r w:rsidR="00EF2FA5">
        <w:fldChar w:fldCharType="begin" w:fldLock="1"/>
      </w:r>
      <w:r w:rsidR="00EF2FA5">
        <w:instrText xml:space="preserve"> REF _ASICRef704 \w \h </w:instrText>
      </w:r>
      <w:r w:rsidR="00EF2FA5">
        <w:fldChar w:fldCharType="separate"/>
      </w:r>
      <w:r w:rsidR="00853A2A">
        <w:t>235</w:t>
      </w:r>
      <w:r w:rsidR="00EF2FA5">
        <w:fldChar w:fldCharType="end"/>
      </w:r>
      <w:r w:rsidR="00EF2FA5">
        <w:t>–</w:t>
      </w:r>
      <w:r w:rsidR="00EF2FA5">
        <w:fldChar w:fldCharType="begin" w:fldLock="1"/>
      </w:r>
      <w:r w:rsidR="00EF2FA5">
        <w:instrText xml:space="preserve"> REF _ASICRef530 \w \h </w:instrText>
      </w:r>
      <w:r w:rsidR="00EF2FA5">
        <w:fldChar w:fldCharType="separate"/>
      </w:r>
      <w:r w:rsidR="00853A2A">
        <w:t>251</w:t>
      </w:r>
      <w:r w:rsidR="00EF2FA5">
        <w:fldChar w:fldCharType="end"/>
      </w:r>
      <w:r w:rsidR="00EF2FA5">
        <w:t>,</w:t>
      </w:r>
      <w:r>
        <w:t xml:space="preserve"> we are:</w:t>
      </w:r>
    </w:p>
    <w:p w14:paraId="0846DA8C" w14:textId="77777777" w:rsidR="00654A51" w:rsidRDefault="002975E5" w:rsidP="00C443A0">
      <w:pPr>
        <w:pStyle w:val="BodyText"/>
        <w:numPr>
          <w:ilvl w:val="1"/>
          <w:numId w:val="17"/>
        </w:numPr>
      </w:pPr>
      <w:r>
        <w:t>making a revised proposal in relation to the custom basket data elements;</w:t>
      </w:r>
    </w:p>
    <w:p w14:paraId="4D5A6B4B" w14:textId="77777777" w:rsidR="00654A51" w:rsidRDefault="002975E5" w:rsidP="00C443A0">
      <w:pPr>
        <w:pStyle w:val="BodyText"/>
        <w:numPr>
          <w:ilvl w:val="1"/>
          <w:numId w:val="17"/>
        </w:numPr>
      </w:pPr>
      <w:r>
        <w:t>detailing the meanings, formats and allowable values of the ‘non-UPI’ data elements; and</w:t>
      </w:r>
    </w:p>
    <w:p w14:paraId="77A99511" w14:textId="0465B842" w:rsidR="002975E5" w:rsidRDefault="002975E5" w:rsidP="00C443A0">
      <w:pPr>
        <w:pStyle w:val="BodyText"/>
        <w:numPr>
          <w:ilvl w:val="1"/>
          <w:numId w:val="17"/>
        </w:numPr>
      </w:pPr>
      <w:r>
        <w:t>not proceeding to make proposals in relation to the number of units and units of measure of the b</w:t>
      </w:r>
      <w:r w:rsidRPr="00951D3D">
        <w:t>asket constituent</w:t>
      </w:r>
      <w:r>
        <w:t>s.</w:t>
      </w:r>
    </w:p>
    <w:p w14:paraId="3FC8A091" w14:textId="5A53AE9A" w:rsidR="002975E5" w:rsidRDefault="002975E5" w:rsidP="00C443A0">
      <w:pPr>
        <w:pStyle w:val="BodyText"/>
        <w:numPr>
          <w:ilvl w:val="0"/>
          <w:numId w:val="17"/>
        </w:numPr>
      </w:pPr>
      <w:r>
        <w:t xml:space="preserve">In Table S1.1(1), the meaning of item 78 </w:t>
      </w:r>
      <w:r w:rsidR="002B0E30">
        <w:t>‘</w:t>
      </w:r>
      <w:r>
        <w:t>Custom basket code</w:t>
      </w:r>
      <w:r w:rsidR="002B0E30">
        <w:t>’</w:t>
      </w:r>
      <w:r>
        <w:t xml:space="preserve"> responds to the feedback of concerns </w:t>
      </w:r>
      <w:r w:rsidRPr="00A62D41">
        <w:t>about the generation and sharing of a structurer’s custom basket code</w:t>
      </w:r>
      <w:r>
        <w:t xml:space="preserve">. </w:t>
      </w:r>
      <w:r w:rsidR="00F56AF9">
        <w:t xml:space="preserve">The meaning of item 78 </w:t>
      </w:r>
      <w:r>
        <w:t>retains the core requirement</w:t>
      </w:r>
      <w:r w:rsidRPr="00A62D41">
        <w:t xml:space="preserve"> </w:t>
      </w:r>
      <w:r>
        <w:t xml:space="preserve">that the custom basket code </w:t>
      </w:r>
      <w:r w:rsidR="002B0E30">
        <w:t>is</w:t>
      </w:r>
      <w:r>
        <w:t xml:space="preserve"> the unique code assigned by the structurer, but </w:t>
      </w:r>
      <w:r w:rsidR="00F56AF9">
        <w:t>requires</w:t>
      </w:r>
      <w:r w:rsidR="002B0E30">
        <w:t xml:space="preserve"> </w:t>
      </w:r>
      <w:r>
        <w:t xml:space="preserve">the reporting entity </w:t>
      </w:r>
      <w:r w:rsidR="005E3226">
        <w:t xml:space="preserve">to </w:t>
      </w:r>
      <w:r>
        <w:t xml:space="preserve">report its own unique code if it has not received a code from the reporting entity </w:t>
      </w:r>
      <w:r w:rsidRPr="00193F88">
        <w:rPr>
          <w:i/>
          <w:iCs/>
        </w:rPr>
        <w:t>in sufficient time</w:t>
      </w:r>
      <w:r>
        <w:t xml:space="preserve"> for reporting. Further, instead of its own code, the reporting entity may report the value ‘B’ if it has not entered into more than </w:t>
      </w:r>
      <w:r w:rsidR="005E3226">
        <w:t xml:space="preserve">20 </w:t>
      </w:r>
      <w:r>
        <w:t xml:space="preserve">transactions </w:t>
      </w:r>
      <w:r w:rsidR="00F56AF9">
        <w:t>involving</w:t>
      </w:r>
      <w:r>
        <w:t xml:space="preserve"> a custom basket in the </w:t>
      </w:r>
      <w:r w:rsidR="005E3226">
        <w:t xml:space="preserve">12 </w:t>
      </w:r>
      <w:r>
        <w:t>months ending on the preceding quarter day.</w:t>
      </w:r>
    </w:p>
    <w:p w14:paraId="0EC4AA07" w14:textId="6AD299A2" w:rsidR="002975E5" w:rsidRDefault="002975E5" w:rsidP="00C443A0">
      <w:pPr>
        <w:pStyle w:val="BodyText"/>
        <w:numPr>
          <w:ilvl w:val="0"/>
          <w:numId w:val="17"/>
        </w:numPr>
      </w:pPr>
      <w:r>
        <w:t xml:space="preserve">We think that a custom basket code is important to enable the Australian regulators </w:t>
      </w:r>
      <w:r w:rsidR="005F76AA">
        <w:t xml:space="preserve">to readily identify </w:t>
      </w:r>
      <w:r>
        <w:t>custom baskets that are traded on a recurring basis and/or trade</w:t>
      </w:r>
      <w:r w:rsidR="001B5A26">
        <w:t>d</w:t>
      </w:r>
      <w:r>
        <w:t xml:space="preserve"> by structurers with multiple clients.</w:t>
      </w:r>
    </w:p>
    <w:p w14:paraId="29BB8FBB" w14:textId="73A4CF19" w:rsidR="002975E5" w:rsidRDefault="002975E5" w:rsidP="00C443A0">
      <w:pPr>
        <w:pStyle w:val="BodyText"/>
        <w:numPr>
          <w:ilvl w:val="0"/>
          <w:numId w:val="17"/>
        </w:numPr>
      </w:pPr>
      <w:r>
        <w:t xml:space="preserve">However, with the, albeit more cumbersome, fallback that a recurring custom basket can be identified by observing recurring patterns of basket constituent underliers, we think that it is not necessary to require the structurer’s code </w:t>
      </w:r>
      <w:r w:rsidR="005E3226">
        <w:t xml:space="preserve">to </w:t>
      </w:r>
      <w:r>
        <w:t xml:space="preserve">be reported in all circumstances. </w:t>
      </w:r>
      <w:r w:rsidR="005E3226">
        <w:t>So</w:t>
      </w:r>
      <w:r>
        <w:t xml:space="preserve">, as with the UTI, the reporting entity may generate and report its own unique code if it does not receive the structurer’s code in sufficient time for reporting. In managing the situation of </w:t>
      </w:r>
      <w:r w:rsidR="005E3226">
        <w:t xml:space="preserve">waiting for </w:t>
      </w:r>
      <w:r>
        <w:t xml:space="preserve">a code from a structurer, we expect reporting entities to act reasonably and in line with our expectations for the UTI described at paragraph </w:t>
      </w:r>
      <w:r>
        <w:fldChar w:fldCharType="begin" w:fldLock="1"/>
      </w:r>
      <w:r>
        <w:instrText xml:space="preserve"> REF _ASICRef430 \w \h </w:instrText>
      </w:r>
      <w:r>
        <w:fldChar w:fldCharType="separate"/>
      </w:r>
      <w:r w:rsidR="00853A2A">
        <w:t>178</w:t>
      </w:r>
      <w:r>
        <w:fldChar w:fldCharType="end"/>
      </w:r>
      <w:r>
        <w:t xml:space="preserve"> to temporarily divert real-time reporting, await the cut-off time for batch-style processes and take proactive steps to obtain the custom basket code from the structurer.</w:t>
      </w:r>
    </w:p>
    <w:p w14:paraId="1B85D3D3" w14:textId="693758C0" w:rsidR="002975E5" w:rsidRDefault="002975E5" w:rsidP="00C443A0">
      <w:pPr>
        <w:pStyle w:val="BodyText"/>
        <w:numPr>
          <w:ilvl w:val="0"/>
          <w:numId w:val="17"/>
        </w:numPr>
      </w:pPr>
      <w:r>
        <w:t>Further, we think that reporting entities that are not structurers but trade in a material number of derivatives over custom baskets should be capable of having systems and processes for generating their own custom basket code in the required format of their LEI followed by a unique code. Conversely, we think that reporting entities with low and/or irregular levels of trading in such products should not need to have custom basket code generating systems and processes</w:t>
      </w:r>
      <w:r w:rsidR="00750C07">
        <w:t>,</w:t>
      </w:r>
      <w:r>
        <w:t xml:space="preserve"> </w:t>
      </w:r>
      <w:r w:rsidR="00750C07">
        <w:t xml:space="preserve">so </w:t>
      </w:r>
      <w:r>
        <w:t>reporting a value of ‘B’ is sufficient.</w:t>
      </w:r>
    </w:p>
    <w:p w14:paraId="781C05CA" w14:textId="0643C189" w:rsidR="002975E5" w:rsidRDefault="002975E5" w:rsidP="00C443A0">
      <w:pPr>
        <w:pStyle w:val="BodyText"/>
        <w:numPr>
          <w:ilvl w:val="0"/>
          <w:numId w:val="17"/>
        </w:numPr>
      </w:pPr>
      <w:r>
        <w:t xml:space="preserve">From a review of the reported data in February 2022, we think that more than 20 trades per annum </w:t>
      </w:r>
      <w:r w:rsidR="005E5CCE">
        <w:t xml:space="preserve">by a </w:t>
      </w:r>
      <w:r w:rsidR="00460952">
        <w:t xml:space="preserve">reporting entity </w:t>
      </w:r>
      <w:r>
        <w:t>appears to indicate a material level of trading in derivatives over custom baskets. There appears to be less than 10 reporting entities who trade more than 20 derivatives over custom baskets per annum, and these appear to be entities that would be structurers. Hence, a significant majority of reporting entities that trade in derivatives over custom baskets would have the option of reporting the value of ‘B’, rather than generating and reporting their own code, if they do not receive a code from the structurer in sufficient time for reporting.</w:t>
      </w:r>
    </w:p>
    <w:p w14:paraId="661702CD" w14:textId="0DF2984B" w:rsidR="002975E5" w:rsidRDefault="002975E5" w:rsidP="00C443A0">
      <w:pPr>
        <w:pStyle w:val="BodyText"/>
        <w:numPr>
          <w:ilvl w:val="0"/>
          <w:numId w:val="17"/>
        </w:numPr>
      </w:pPr>
      <w:r>
        <w:t xml:space="preserve">In Table S1.1(1), the allowable values for item 79 </w:t>
      </w:r>
      <w:r w:rsidR="00750C07">
        <w:t>‘</w:t>
      </w:r>
      <w:r w:rsidRPr="0028658B">
        <w:t>Identifiers of the basket’s constituents</w:t>
      </w:r>
      <w:r w:rsidR="00750C07">
        <w:t>’</w:t>
      </w:r>
      <w:r w:rsidRPr="0028658B">
        <w:t xml:space="preserve"> </w:t>
      </w:r>
      <w:r>
        <w:t>are any identifier that is of a kind that:</w:t>
      </w:r>
    </w:p>
    <w:p w14:paraId="1BD36C62" w14:textId="77777777" w:rsidR="002975E5" w:rsidRPr="006F2950" w:rsidRDefault="002975E5" w:rsidP="00C443A0">
      <w:pPr>
        <w:pStyle w:val="subparaa"/>
        <w:numPr>
          <w:ilvl w:val="1"/>
          <w:numId w:val="17"/>
        </w:numPr>
      </w:pPr>
      <w:r>
        <w:t>‘</w:t>
      </w:r>
      <w:r w:rsidRPr="002517DD">
        <w:rPr>
          <w:color w:val="000000" w:themeColor="text1"/>
        </w:rPr>
        <w:t>can be a specific identifier in a UPI</w:t>
      </w:r>
      <w:r>
        <w:rPr>
          <w:color w:val="000000" w:themeColor="text1"/>
        </w:rPr>
        <w:t>’; or</w:t>
      </w:r>
    </w:p>
    <w:p w14:paraId="18F1B363" w14:textId="0B043CE3" w:rsidR="002975E5" w:rsidRPr="006F2950" w:rsidRDefault="00082467" w:rsidP="00C443A0">
      <w:pPr>
        <w:pStyle w:val="subparaa"/>
        <w:numPr>
          <w:ilvl w:val="1"/>
          <w:numId w:val="17"/>
        </w:numPr>
      </w:pPr>
      <w:r>
        <w:rPr>
          <w:color w:val="000000" w:themeColor="text1"/>
        </w:rPr>
        <w:t>‘i</w:t>
      </w:r>
      <w:r w:rsidR="004A1B6B">
        <w:rPr>
          <w:color w:val="000000" w:themeColor="text1"/>
        </w:rPr>
        <w:t xml:space="preserve">s </w:t>
      </w:r>
      <w:r w:rsidR="002975E5" w:rsidRPr="002517DD">
        <w:rPr>
          <w:color w:val="000000" w:themeColor="text1"/>
        </w:rPr>
        <w:t xml:space="preserve">an </w:t>
      </w:r>
      <w:r w:rsidR="006D3C90">
        <w:rPr>
          <w:color w:val="000000" w:themeColor="text1"/>
        </w:rPr>
        <w:t xml:space="preserve">item 81 </w:t>
      </w:r>
      <w:r w:rsidR="002975E5" w:rsidRPr="002517DD">
        <w:rPr>
          <w:color w:val="000000" w:themeColor="text1"/>
        </w:rPr>
        <w:t>allowable value</w:t>
      </w:r>
      <w:r w:rsidR="006D3C90">
        <w:rPr>
          <w:color w:val="000000" w:themeColor="text1"/>
        </w:rPr>
        <w:t xml:space="preserve">’ </w:t>
      </w:r>
      <w:r w:rsidR="002975E5" w:rsidRPr="002517DD">
        <w:rPr>
          <w:color w:val="000000" w:themeColor="text1"/>
        </w:rPr>
        <w:t>for the data element Underlier ID—non</w:t>
      </w:r>
      <w:r w:rsidR="002975E5">
        <w:rPr>
          <w:color w:val="000000" w:themeColor="text1"/>
        </w:rPr>
        <w:t>-</w:t>
      </w:r>
      <w:r w:rsidR="002975E5" w:rsidRPr="002517DD">
        <w:rPr>
          <w:color w:val="000000" w:themeColor="text1"/>
        </w:rPr>
        <w:t>UPI</w:t>
      </w:r>
      <w:r w:rsidR="002975E5">
        <w:rPr>
          <w:color w:val="000000" w:themeColor="text1"/>
        </w:rPr>
        <w:t xml:space="preserve"> (item 81).</w:t>
      </w:r>
    </w:p>
    <w:p w14:paraId="0B7B90E5" w14:textId="14A9D4FE" w:rsidR="002975E5" w:rsidRDefault="002975E5" w:rsidP="00C443A0">
      <w:pPr>
        <w:pStyle w:val="BodyText"/>
        <w:numPr>
          <w:ilvl w:val="0"/>
          <w:numId w:val="17"/>
        </w:numPr>
      </w:pPr>
      <w:r>
        <w:t xml:space="preserve">By ‘a specific identifier in a UPI’ we mean an underlier identifier that is recognised by the UPI system in a user request for a UPI. For example, at </w:t>
      </w:r>
      <w:r w:rsidR="005D4F57" w:rsidRPr="005F76AA">
        <w:t>paragraph</w:t>
      </w:r>
      <w:r w:rsidR="005D4F57">
        <w:t xml:space="preserve"> </w:t>
      </w:r>
      <w:r>
        <w:t xml:space="preserve">5.2 in the DSB’s </w:t>
      </w:r>
      <w:hyperlink r:id="rId133" w:history="1">
        <w:r w:rsidRPr="000B3666">
          <w:rPr>
            <w:rStyle w:val="Hyperlink"/>
          </w:rPr>
          <w:t>Underlier Input Method Functional Specification Jul</w:t>
        </w:r>
        <w:r w:rsidR="005D4F57">
          <w:rPr>
            <w:rStyle w:val="Hyperlink"/>
          </w:rPr>
          <w:t>y</w:t>
        </w:r>
        <w:r w:rsidRPr="000B3666">
          <w:rPr>
            <w:rStyle w:val="Hyperlink"/>
          </w:rPr>
          <w:t xml:space="preserve"> 2021</w:t>
        </w:r>
      </w:hyperlink>
      <w:r>
        <w:t>, it is explained that:</w:t>
      </w:r>
    </w:p>
    <w:p w14:paraId="1E724FF3" w14:textId="77777777" w:rsidR="002975E5" w:rsidRPr="000B3666" w:rsidRDefault="002975E5" w:rsidP="00B5248C">
      <w:pPr>
        <w:pStyle w:val="Blockquote"/>
        <w:spacing w:before="160"/>
      </w:pPr>
      <w:bookmarkStart w:id="211" w:name="_Hlk96948848"/>
      <w:r w:rsidRPr="000B3666">
        <w:t>5.2 Multiple Underlier ID Source</w:t>
      </w:r>
    </w:p>
    <w:p w14:paraId="2271DDF1" w14:textId="77777777" w:rsidR="002975E5" w:rsidRPr="000B3666" w:rsidRDefault="002975E5" w:rsidP="00B5248C">
      <w:pPr>
        <w:pStyle w:val="Blockquote"/>
        <w:spacing w:before="160"/>
      </w:pPr>
      <w:r w:rsidRPr="000B3666">
        <w:t>Underlier Type with multiple origins will have a selection of supported sources in the field and underlier ID definition will vary depending on its choice.</w:t>
      </w:r>
    </w:p>
    <w:bookmarkEnd w:id="211"/>
    <w:p w14:paraId="055C3707" w14:textId="77777777" w:rsidR="002975E5" w:rsidRDefault="002975E5" w:rsidP="00B5248C">
      <w:pPr>
        <w:pStyle w:val="Blockquote"/>
        <w:spacing w:before="160"/>
      </w:pPr>
      <w:r w:rsidRPr="000B3666">
        <w:t>Sample 2: If underlier Type is Security, multiple sources are applicable i.e., Primary (ISIN) and Alternate (FIGI, CUSIP, RIC)</w:t>
      </w:r>
    </w:p>
    <w:p w14:paraId="3DB7BE2B" w14:textId="6C52192D" w:rsidR="002975E5" w:rsidRDefault="002975E5" w:rsidP="00C443A0">
      <w:pPr>
        <w:pStyle w:val="BodyText"/>
        <w:numPr>
          <w:ilvl w:val="0"/>
          <w:numId w:val="17"/>
        </w:numPr>
      </w:pPr>
      <w:r>
        <w:t xml:space="preserve">In this example, each of ISIN, FIGI, CUSIP and RIC are kinds of identifiers that may be included in a user request for a UPI, and the specific identifier of one of these types is an allowable value for item 79 </w:t>
      </w:r>
      <w:r w:rsidR="005F76AA">
        <w:t>‘</w:t>
      </w:r>
      <w:r w:rsidRPr="0028658B">
        <w:t>Identifiers of the basket’s constituents</w:t>
      </w:r>
      <w:r w:rsidR="005F76AA">
        <w:t>’</w:t>
      </w:r>
      <w:r>
        <w:t>.</w:t>
      </w:r>
    </w:p>
    <w:p w14:paraId="4D073B0E" w14:textId="4B0EF1F1" w:rsidR="002975E5" w:rsidRDefault="002975E5" w:rsidP="00C443A0">
      <w:pPr>
        <w:pStyle w:val="BodyText"/>
        <w:numPr>
          <w:ilvl w:val="0"/>
          <w:numId w:val="17"/>
        </w:numPr>
      </w:pPr>
      <w:bookmarkStart w:id="212" w:name="_ASICRef677"/>
      <w:r>
        <w:t xml:space="preserve">The Appendix to DSB’s </w:t>
      </w:r>
      <w:hyperlink r:id="rId134" w:history="1">
        <w:r w:rsidRPr="000B3666">
          <w:rPr>
            <w:rStyle w:val="Hyperlink"/>
          </w:rPr>
          <w:t>Underlier Input Method Functional Specification Jul</w:t>
        </w:r>
        <w:r w:rsidR="00A23051">
          <w:rPr>
            <w:rStyle w:val="Hyperlink"/>
          </w:rPr>
          <w:t>y</w:t>
        </w:r>
        <w:r w:rsidRPr="000B3666">
          <w:rPr>
            <w:rStyle w:val="Hyperlink"/>
          </w:rPr>
          <w:t xml:space="preserve"> 2021</w:t>
        </w:r>
      </w:hyperlink>
      <w:r>
        <w:t xml:space="preserve"> sets out DSB’s i</w:t>
      </w:r>
      <w:r w:rsidRPr="00650EEC">
        <w:t>nitial version</w:t>
      </w:r>
      <w:r>
        <w:t xml:space="preserve"> of the kinds of underlier identifiers (a </w:t>
      </w:r>
      <w:r w:rsidRPr="000A4612">
        <w:t>UPI underlier</w:t>
      </w:r>
      <w:r>
        <w:t>) that can be submitted in a user request for a UPI for various products. We understand that DSB has not yet finalised the kinds of underlier identifiers that will be supported by the UPI system</w:t>
      </w:r>
      <w:r w:rsidR="00404CA5">
        <w:t>—</w:t>
      </w:r>
      <w:r>
        <w:t xml:space="preserve">the DSB has stated in its </w:t>
      </w:r>
      <w:hyperlink r:id="rId135" w:history="1">
        <w:r w:rsidRPr="00F25E9A">
          <w:rPr>
            <w:rStyle w:val="Hyperlink"/>
          </w:rPr>
          <w:t>UPI Product Definition Design Principles</w:t>
        </w:r>
      </w:hyperlink>
      <w:r>
        <w:t>:</w:t>
      </w:r>
      <w:bookmarkEnd w:id="212"/>
    </w:p>
    <w:p w14:paraId="037624CA" w14:textId="2C5CBB63" w:rsidR="0062607B" w:rsidRPr="000A4612" w:rsidRDefault="002975E5" w:rsidP="00B5248C">
      <w:pPr>
        <w:pStyle w:val="Blockquote"/>
        <w:spacing w:before="160"/>
      </w:pPr>
      <w:r w:rsidRPr="000A4612">
        <w:t>The following design elements are included in the Product Definitions:</w:t>
      </w:r>
    </w:p>
    <w:p w14:paraId="35D31B75" w14:textId="6DF1761F" w:rsidR="0062607B" w:rsidRDefault="0062607B" w:rsidP="0062607B">
      <w:pPr>
        <w:pStyle w:val="Blockquote"/>
        <w:spacing w:before="160"/>
      </w:pPr>
      <w:r>
        <w:t>…</w:t>
      </w:r>
    </w:p>
    <w:p w14:paraId="0083F338" w14:textId="407191DA" w:rsidR="002975E5" w:rsidRPr="000A4612" w:rsidRDefault="002975E5" w:rsidP="00C95BF7">
      <w:pPr>
        <w:pStyle w:val="Blockquote"/>
        <w:spacing w:before="160"/>
      </w:pPr>
      <w:r w:rsidRPr="00C95BF7">
        <w:rPr>
          <w:b/>
          <w:bCs/>
        </w:rPr>
        <w:t>Primary Underlier IDs:</w:t>
      </w:r>
      <w:r w:rsidRPr="000A4612">
        <w:t xml:space="preserve"> To support the OTC ISIN/UPI hierarchy, only the underlier IDs currently used by the OTC ISIN (eg: ISIN, LEI etc.) are to be included in the product definitions.</w:t>
      </w:r>
    </w:p>
    <w:p w14:paraId="5BAF10EF" w14:textId="25CEB090" w:rsidR="0062607B" w:rsidRDefault="0062607B" w:rsidP="00B5248C">
      <w:pPr>
        <w:pStyle w:val="Blockquote"/>
      </w:pPr>
      <w:r>
        <w:t>…</w:t>
      </w:r>
    </w:p>
    <w:p w14:paraId="61165647" w14:textId="55488F52" w:rsidR="002975E5" w:rsidRPr="000A4612" w:rsidRDefault="002975E5" w:rsidP="00B5248C">
      <w:pPr>
        <w:pStyle w:val="Blockquote"/>
      </w:pPr>
      <w:r w:rsidRPr="000A4612">
        <w:t>The following design elements are not included in the current versions of the Product Definitions</w:t>
      </w:r>
      <w:r w:rsidR="00404CA5" w:rsidRPr="000A4612">
        <w:t>—</w:t>
      </w:r>
      <w:r w:rsidRPr="000A4612">
        <w:t>but are subject to on-going review by the DSB / Product Committee:</w:t>
      </w:r>
    </w:p>
    <w:p w14:paraId="30F8BEB5" w14:textId="74CB91E3" w:rsidR="002975E5" w:rsidRPr="000A4612" w:rsidRDefault="002975E5" w:rsidP="0062607B">
      <w:pPr>
        <w:pStyle w:val="Blockquote"/>
      </w:pPr>
      <w:r w:rsidRPr="00C95BF7">
        <w:rPr>
          <w:b/>
          <w:bCs/>
        </w:rPr>
        <w:t>Alternate Underlier IDs:</w:t>
      </w:r>
      <w:r w:rsidRPr="000A4612">
        <w:t xml:space="preserve"> The provision of reference data is currently subject to an RFI and so alternate IDs (such as CUSIP, FIGI etc.) are not included in the design.</w:t>
      </w:r>
    </w:p>
    <w:p w14:paraId="51B8EDAF" w14:textId="77777777" w:rsidR="002975E5" w:rsidRDefault="002975E5" w:rsidP="00863DA4">
      <w:pPr>
        <w:pStyle w:val="BodyText"/>
        <w:numPr>
          <w:ilvl w:val="0"/>
          <w:numId w:val="17"/>
        </w:numPr>
        <w:spacing w:line="290" w:lineRule="atLeast"/>
      </w:pPr>
      <w:r>
        <w:t>Given the pre-eminence of primary underlier IDs in the UPI system, we intend to clarify in the Schedule 1 Technical Guidance that the identifiers of a basket’s constituents should be reported as all of one type and preferably as the primary identifier type supported by the UPI system for the relevant asset class of the basket.</w:t>
      </w:r>
    </w:p>
    <w:p w14:paraId="3E833ACD" w14:textId="69AB59D7" w:rsidR="002975E5" w:rsidRPr="006F2950" w:rsidRDefault="002975E5" w:rsidP="00863DA4">
      <w:pPr>
        <w:pStyle w:val="BodyText"/>
        <w:numPr>
          <w:ilvl w:val="0"/>
          <w:numId w:val="17"/>
        </w:numPr>
        <w:spacing w:line="290" w:lineRule="atLeast"/>
      </w:pPr>
      <w:r>
        <w:t xml:space="preserve">Where an underlier identifier is not of a kind that is supported by the UPI system, the allowable value for item 79 </w:t>
      </w:r>
      <w:r w:rsidR="00A23051">
        <w:t>‘</w:t>
      </w:r>
      <w:r w:rsidRPr="0028658B">
        <w:t>Identifiers of the basket’s constituents</w:t>
      </w:r>
      <w:r w:rsidR="00A23051">
        <w:t>’</w:t>
      </w:r>
      <w:r w:rsidRPr="0028658B">
        <w:t xml:space="preserve"> </w:t>
      </w:r>
      <w:r>
        <w:t xml:space="preserve">would be an identifier of a kind that </w:t>
      </w:r>
      <w:r w:rsidRPr="00BB4861">
        <w:t xml:space="preserve">‘is an </w:t>
      </w:r>
      <w:r w:rsidR="006D3C90">
        <w:t xml:space="preserve">item 81 </w:t>
      </w:r>
      <w:r w:rsidRPr="00BB4861">
        <w:t>allowable value</w:t>
      </w:r>
      <w:r w:rsidR="006D3C90">
        <w:t>’</w:t>
      </w:r>
      <w:r>
        <w:t xml:space="preserve">: see paragraphs </w:t>
      </w:r>
      <w:r>
        <w:fldChar w:fldCharType="begin" w:fldLock="1"/>
      </w:r>
      <w:r>
        <w:instrText xml:space="preserve"> REF _ASICRef462 \w \h </w:instrText>
      </w:r>
      <w:r>
        <w:fldChar w:fldCharType="separate"/>
      </w:r>
      <w:r w:rsidR="00853A2A">
        <w:t>593</w:t>
      </w:r>
      <w:r>
        <w:fldChar w:fldCharType="end"/>
      </w:r>
      <w:r>
        <w:t>–</w:t>
      </w:r>
      <w:r>
        <w:fldChar w:fldCharType="begin" w:fldLock="1"/>
      </w:r>
      <w:r>
        <w:instrText xml:space="preserve"> REF _ASICRef353 \w \h </w:instrText>
      </w:r>
      <w:r>
        <w:fldChar w:fldCharType="separate"/>
      </w:r>
      <w:r w:rsidR="00853A2A">
        <w:t>595</w:t>
      </w:r>
      <w:r>
        <w:fldChar w:fldCharType="end"/>
      </w:r>
      <w:r>
        <w:t>.</w:t>
      </w:r>
    </w:p>
    <w:p w14:paraId="4B739759" w14:textId="34AF77D8" w:rsidR="002975E5" w:rsidRDefault="002975E5" w:rsidP="00863DA4">
      <w:pPr>
        <w:pStyle w:val="BodyText"/>
        <w:numPr>
          <w:ilvl w:val="0"/>
          <w:numId w:val="17"/>
        </w:numPr>
        <w:spacing w:line="290" w:lineRule="atLeast"/>
      </w:pPr>
      <w:r>
        <w:t xml:space="preserve">For each identifier of a basket constituent, the source of the identifier is reported at item 80 </w:t>
      </w:r>
      <w:r w:rsidR="00A23051">
        <w:t>‘</w:t>
      </w:r>
      <w:r w:rsidRPr="005C7834">
        <w:t>Source of the identifiers of the basket constituents</w:t>
      </w:r>
      <w:r w:rsidR="00A23051">
        <w:t>’</w:t>
      </w:r>
      <w:r>
        <w:t>. Where a UPI underlier is reported, the source of the identifier is the source supported by the UPI system for that UPI underlier</w:t>
      </w:r>
      <w:r w:rsidR="00404CA5">
        <w:t>—</w:t>
      </w:r>
      <w:r>
        <w:t>for example, if a particular ISIN is reported as an underlier at item 79, ‘ISIN’ is reported at this item 80.</w:t>
      </w:r>
    </w:p>
    <w:p w14:paraId="2C82191C" w14:textId="6DA275C7" w:rsidR="002975E5" w:rsidRDefault="002975E5" w:rsidP="00863DA4">
      <w:pPr>
        <w:pStyle w:val="BodyText"/>
        <w:numPr>
          <w:ilvl w:val="0"/>
          <w:numId w:val="17"/>
        </w:numPr>
        <w:spacing w:line="290" w:lineRule="atLeast"/>
      </w:pPr>
      <w:r>
        <w:t>In the Appendix of the DSB</w:t>
      </w:r>
      <w:r w:rsidR="00EE4223">
        <w:t>’s</w:t>
      </w:r>
      <w:r>
        <w:t xml:space="preserve"> </w:t>
      </w:r>
      <w:hyperlink r:id="rId136" w:history="1">
        <w:r w:rsidR="00EE4223" w:rsidRPr="000B3666">
          <w:rPr>
            <w:rStyle w:val="Hyperlink"/>
          </w:rPr>
          <w:t>Underlier Input Method Functional Specification Jul</w:t>
        </w:r>
        <w:r w:rsidR="00EE4223">
          <w:rPr>
            <w:rStyle w:val="Hyperlink"/>
          </w:rPr>
          <w:t>y</w:t>
        </w:r>
        <w:r w:rsidR="00EE4223" w:rsidRPr="000B3666">
          <w:rPr>
            <w:rStyle w:val="Hyperlink"/>
          </w:rPr>
          <w:t xml:space="preserve"> 2021</w:t>
        </w:r>
      </w:hyperlink>
      <w:r>
        <w:t>, the current ‘Underlier ID Sources’ for UPI underliers are coded as:</w:t>
      </w:r>
    </w:p>
    <w:p w14:paraId="160A109B" w14:textId="65B781C1" w:rsidR="002975E5" w:rsidRDefault="002975E5" w:rsidP="00863DA4">
      <w:pPr>
        <w:pStyle w:val="subparaa"/>
        <w:numPr>
          <w:ilvl w:val="1"/>
          <w:numId w:val="17"/>
        </w:numPr>
        <w:spacing w:line="290" w:lineRule="atLeast"/>
      </w:pPr>
      <w:r>
        <w:t>ESMA</w:t>
      </w:r>
      <w:r w:rsidR="00404CA5">
        <w:t>—</w:t>
      </w:r>
      <w:r>
        <w:t xml:space="preserve">equity </w:t>
      </w:r>
      <w:r w:rsidRPr="00064572">
        <w:t xml:space="preserve">indices listed in the </w:t>
      </w:r>
      <w:r>
        <w:t xml:space="preserve">ESMA </w:t>
      </w:r>
      <w:r w:rsidRPr="00064572">
        <w:t>TTC file</w:t>
      </w:r>
      <w:r>
        <w:t>;</w:t>
      </w:r>
    </w:p>
    <w:p w14:paraId="1B2BBE16" w14:textId="46C17036" w:rsidR="002975E5" w:rsidRDefault="002975E5" w:rsidP="00863DA4">
      <w:pPr>
        <w:pStyle w:val="subparaa"/>
        <w:numPr>
          <w:ilvl w:val="1"/>
          <w:numId w:val="17"/>
        </w:numPr>
        <w:spacing w:line="290" w:lineRule="atLeast"/>
      </w:pPr>
      <w:r>
        <w:t>FPML</w:t>
      </w:r>
      <w:r w:rsidR="00EE4223">
        <w:t>—</w:t>
      </w:r>
      <w:r w:rsidRPr="00554BBA">
        <w:t xml:space="preserve">FpML </w:t>
      </w:r>
      <w:r>
        <w:t>c</w:t>
      </w:r>
      <w:r w:rsidRPr="00554BBA">
        <w:t xml:space="preserve">oding </w:t>
      </w:r>
      <w:r>
        <w:t>s</w:t>
      </w:r>
      <w:r w:rsidRPr="00554BBA">
        <w:t>chemes</w:t>
      </w:r>
      <w:r w:rsidRPr="00064572">
        <w:t xml:space="preserve"> </w:t>
      </w:r>
      <w:r>
        <w:t>for interest rates and inflation indices;</w:t>
      </w:r>
    </w:p>
    <w:p w14:paraId="7828192C" w14:textId="05FAAF2C" w:rsidR="002975E5" w:rsidRDefault="002975E5" w:rsidP="00863DA4">
      <w:pPr>
        <w:pStyle w:val="subparaa"/>
        <w:numPr>
          <w:ilvl w:val="1"/>
          <w:numId w:val="17"/>
        </w:numPr>
        <w:spacing w:line="290" w:lineRule="atLeast"/>
      </w:pPr>
      <w:r>
        <w:t>ISIN</w:t>
      </w:r>
      <w:r w:rsidR="00404CA5">
        <w:t>—</w:t>
      </w:r>
      <w:r>
        <w:t>an ISIN code;</w:t>
      </w:r>
    </w:p>
    <w:p w14:paraId="355A9C41" w14:textId="7D1EDF81" w:rsidR="002975E5" w:rsidRDefault="002975E5" w:rsidP="00863DA4">
      <w:pPr>
        <w:pStyle w:val="subparaa"/>
        <w:numPr>
          <w:ilvl w:val="1"/>
          <w:numId w:val="17"/>
        </w:numPr>
        <w:spacing w:line="290" w:lineRule="atLeast"/>
      </w:pPr>
      <w:r>
        <w:t>LEI</w:t>
      </w:r>
      <w:r w:rsidR="00404CA5">
        <w:t>—</w:t>
      </w:r>
      <w:r>
        <w:t>an LEI code;</w:t>
      </w:r>
    </w:p>
    <w:p w14:paraId="70293969" w14:textId="247164BB" w:rsidR="002975E5" w:rsidRDefault="002975E5" w:rsidP="00863DA4">
      <w:pPr>
        <w:pStyle w:val="subparaa"/>
        <w:numPr>
          <w:ilvl w:val="1"/>
          <w:numId w:val="17"/>
        </w:numPr>
        <w:spacing w:line="290" w:lineRule="atLeast"/>
      </w:pPr>
      <w:r>
        <w:t>MRKT</w:t>
      </w:r>
      <w:r w:rsidR="00EE4223">
        <w:t>—</w:t>
      </w:r>
      <w:r w:rsidRPr="00554BBA">
        <w:t>IHS Markit</w:t>
      </w:r>
      <w:r>
        <w:t xml:space="preserve"> indices;</w:t>
      </w:r>
    </w:p>
    <w:p w14:paraId="788C5C24" w14:textId="2D321FFE" w:rsidR="002975E5" w:rsidRDefault="002975E5" w:rsidP="00863DA4">
      <w:pPr>
        <w:pStyle w:val="subparaa"/>
        <w:numPr>
          <w:ilvl w:val="1"/>
          <w:numId w:val="17"/>
        </w:numPr>
        <w:spacing w:line="290" w:lineRule="atLeast"/>
      </w:pPr>
      <w:r>
        <w:t>PROP</w:t>
      </w:r>
      <w:r w:rsidR="00404CA5">
        <w:t>—</w:t>
      </w:r>
      <w:r>
        <w:t xml:space="preserve">DSB proprietary indices submitted by </w:t>
      </w:r>
      <w:r w:rsidRPr="00554BBA">
        <w:t xml:space="preserve">users to </w:t>
      </w:r>
      <w:r>
        <w:t xml:space="preserve">be </w:t>
      </w:r>
      <w:r w:rsidRPr="00554BBA">
        <w:t xml:space="preserve">used as </w:t>
      </w:r>
      <w:r>
        <w:t>underliers; and</w:t>
      </w:r>
    </w:p>
    <w:p w14:paraId="3BB7B99B" w14:textId="770226BE" w:rsidR="002975E5" w:rsidRDefault="002975E5" w:rsidP="00863DA4">
      <w:pPr>
        <w:pStyle w:val="subparaa"/>
        <w:numPr>
          <w:ilvl w:val="1"/>
          <w:numId w:val="17"/>
        </w:numPr>
        <w:spacing w:line="290" w:lineRule="atLeast"/>
      </w:pPr>
      <w:r>
        <w:t>UPI</w:t>
      </w:r>
      <w:r w:rsidR="00404CA5">
        <w:t>—</w:t>
      </w:r>
      <w:r>
        <w:t>a UPI, such as the UPI of a swap underlying a swaption.</w:t>
      </w:r>
    </w:p>
    <w:p w14:paraId="125831C6" w14:textId="235BF13C" w:rsidR="002975E5" w:rsidRPr="006F2950" w:rsidRDefault="002975E5" w:rsidP="00863DA4">
      <w:pPr>
        <w:pStyle w:val="BodyText"/>
        <w:numPr>
          <w:ilvl w:val="0"/>
          <w:numId w:val="17"/>
        </w:numPr>
        <w:spacing w:line="290" w:lineRule="atLeast"/>
      </w:pPr>
      <w:r>
        <w:t xml:space="preserve">Where the underlier is reported as an identifier of a kind that </w:t>
      </w:r>
      <w:r w:rsidRPr="00BB4861">
        <w:t xml:space="preserve">‘is an </w:t>
      </w:r>
      <w:r w:rsidR="006D3C90">
        <w:t xml:space="preserve">item 81 </w:t>
      </w:r>
      <w:r w:rsidRPr="00BB4861">
        <w:t>allowable value</w:t>
      </w:r>
      <w:r w:rsidR="006D3C90">
        <w:t>’</w:t>
      </w:r>
      <w:r>
        <w:t>, the corresponding source of the identifier is reported as ‘</w:t>
      </w:r>
      <w:r w:rsidR="006D3C90">
        <w:t xml:space="preserve">an item 82 </w:t>
      </w:r>
      <w:r w:rsidRPr="0066254C">
        <w:t>allowable value</w:t>
      </w:r>
      <w:r w:rsidR="006D3C90">
        <w:t>’</w:t>
      </w:r>
      <w:r w:rsidRPr="0066254C">
        <w:t xml:space="preserve"> for the data element Underlier ID source—non-UPI (item 82</w:t>
      </w:r>
      <w:r>
        <w:t xml:space="preserve">): see paragraph </w:t>
      </w:r>
      <w:r>
        <w:fldChar w:fldCharType="begin" w:fldLock="1"/>
      </w:r>
      <w:r>
        <w:instrText xml:space="preserve"> REF _ASICRef404 \w \h </w:instrText>
      </w:r>
      <w:r>
        <w:fldChar w:fldCharType="separate"/>
      </w:r>
      <w:r w:rsidR="00853A2A">
        <w:t>596</w:t>
      </w:r>
      <w:r>
        <w:fldChar w:fldCharType="end"/>
      </w:r>
      <w:r w:rsidRPr="00BB4861">
        <w:t>.</w:t>
      </w:r>
    </w:p>
    <w:p w14:paraId="5C7A30D3" w14:textId="2DDD8120" w:rsidR="002975E5" w:rsidRDefault="002975E5" w:rsidP="00863DA4">
      <w:pPr>
        <w:pStyle w:val="BodyText"/>
        <w:numPr>
          <w:ilvl w:val="0"/>
          <w:numId w:val="17"/>
        </w:numPr>
        <w:spacing w:line="290" w:lineRule="atLeast"/>
      </w:pPr>
      <w:bookmarkStart w:id="213" w:name="_ASICRef502"/>
      <w:bookmarkStart w:id="214" w:name="_ASICRef462"/>
      <w:r>
        <w:t>In Table S1.1(1), t</w:t>
      </w:r>
      <w:r w:rsidRPr="00BB4861">
        <w:t xml:space="preserve">he data element </w:t>
      </w:r>
      <w:r>
        <w:t xml:space="preserve">item 81 </w:t>
      </w:r>
      <w:r w:rsidR="00EE4223">
        <w:t>‘</w:t>
      </w:r>
      <w:r w:rsidRPr="00BB4861">
        <w:t>Underlier ID—non-UPI</w:t>
      </w:r>
      <w:r w:rsidR="00EE4223">
        <w:t>’</w:t>
      </w:r>
      <w:r w:rsidRPr="00BB4861">
        <w:t xml:space="preserve"> </w:t>
      </w:r>
      <w:r>
        <w:t>is a proposed new data element that responds to our concerns that the underlier identifier sources currently set out in DSB’s draft product definitions are materially incomplete for commodity and equity index transactions: see paragraphs</w:t>
      </w:r>
      <w:r w:rsidR="00861F85">
        <w:t xml:space="preserve"> </w:t>
      </w:r>
      <w:r w:rsidR="00861F85">
        <w:fldChar w:fldCharType="begin" w:fldLock="1"/>
      </w:r>
      <w:r w:rsidR="00861F85">
        <w:instrText xml:space="preserve"> REF _ASICRef757 \w \h </w:instrText>
      </w:r>
      <w:r w:rsidR="00861F85">
        <w:fldChar w:fldCharType="separate"/>
      </w:r>
      <w:r w:rsidR="00853A2A">
        <w:t>235</w:t>
      </w:r>
      <w:r w:rsidR="00861F85">
        <w:fldChar w:fldCharType="end"/>
      </w:r>
      <w:r w:rsidR="00861F85">
        <w:t>–</w:t>
      </w:r>
      <w:r w:rsidR="00861F85">
        <w:fldChar w:fldCharType="begin" w:fldLock="1"/>
      </w:r>
      <w:r w:rsidR="00861F85">
        <w:instrText xml:space="preserve"> REF _ASICRef345 \w \h </w:instrText>
      </w:r>
      <w:r w:rsidR="00861F85">
        <w:fldChar w:fldCharType="separate"/>
      </w:r>
      <w:r w:rsidR="00853A2A">
        <w:t>251</w:t>
      </w:r>
      <w:r w:rsidR="00861F85">
        <w:fldChar w:fldCharType="end"/>
      </w:r>
      <w:r w:rsidR="00861F85">
        <w:t xml:space="preserve"> </w:t>
      </w:r>
      <w:r>
        <w:t xml:space="preserve">in </w:t>
      </w:r>
      <w:r w:rsidR="00EE4223">
        <w:t xml:space="preserve">Section </w:t>
      </w:r>
      <w:r w:rsidR="00EE4223">
        <w:fldChar w:fldCharType="begin" w:fldLock="1"/>
      </w:r>
      <w:r w:rsidR="00EE4223">
        <w:instrText xml:space="preserve"> REF _ASICRef28 \w \h </w:instrText>
      </w:r>
      <w:r w:rsidR="00EE4223">
        <w:fldChar w:fldCharType="separate"/>
      </w:r>
      <w:r w:rsidR="00853A2A">
        <w:t>C</w:t>
      </w:r>
      <w:r w:rsidR="00EE4223">
        <w:fldChar w:fldCharType="end"/>
      </w:r>
      <w:r>
        <w:t xml:space="preserve"> </w:t>
      </w:r>
      <w:r w:rsidR="00EE4223">
        <w:t>‘</w:t>
      </w:r>
      <w:r>
        <w:t>The unique product identifier</w:t>
      </w:r>
      <w:r w:rsidR="00EE4223">
        <w:t xml:space="preserve"> (UPI)’</w:t>
      </w:r>
      <w:r>
        <w:t>.</w:t>
      </w:r>
      <w:bookmarkEnd w:id="213"/>
      <w:bookmarkEnd w:id="214"/>
    </w:p>
    <w:p w14:paraId="56AFFBD2" w14:textId="43E52CDD" w:rsidR="002975E5" w:rsidRPr="00B54C11" w:rsidRDefault="002975E5" w:rsidP="00C443A0">
      <w:pPr>
        <w:pStyle w:val="BodyText"/>
        <w:numPr>
          <w:ilvl w:val="0"/>
          <w:numId w:val="17"/>
        </w:numPr>
        <w:spacing w:line="310" w:lineRule="atLeast"/>
      </w:pPr>
      <w:r>
        <w:t xml:space="preserve">This data element is required for commodity and equity index transactions, where the UPI that is reported </w:t>
      </w:r>
      <w:r>
        <w:rPr>
          <w:color w:val="000000" w:themeColor="text1"/>
        </w:rPr>
        <w:t xml:space="preserve">is not a </w:t>
      </w:r>
      <w:r w:rsidRPr="00DB1C95">
        <w:rPr>
          <w:color w:val="000000" w:themeColor="text1"/>
        </w:rPr>
        <w:t xml:space="preserve">UPI </w:t>
      </w:r>
      <w:r>
        <w:rPr>
          <w:color w:val="000000" w:themeColor="text1"/>
        </w:rPr>
        <w:t xml:space="preserve">with a </w:t>
      </w:r>
      <w:r w:rsidRPr="00DB1C95">
        <w:rPr>
          <w:color w:val="000000" w:themeColor="text1"/>
        </w:rPr>
        <w:t>specific underlier</w:t>
      </w:r>
      <w:r>
        <w:rPr>
          <w:color w:val="000000" w:themeColor="text1"/>
        </w:rPr>
        <w:t xml:space="preserve"> as a reference data element</w:t>
      </w:r>
      <w:r w:rsidR="00404CA5">
        <w:rPr>
          <w:color w:val="000000" w:themeColor="text1"/>
        </w:rPr>
        <w:t>—</w:t>
      </w:r>
      <w:r w:rsidR="00EE4223">
        <w:rPr>
          <w:color w:val="000000" w:themeColor="text1"/>
        </w:rPr>
        <w:t>that is,</w:t>
      </w:r>
      <w:r>
        <w:rPr>
          <w:color w:val="000000" w:themeColor="text1"/>
        </w:rPr>
        <w:t xml:space="preserve"> the underlier in the reference data of the UPI that is reported would be the non-specific identifier value of ‘Other’.</w:t>
      </w:r>
    </w:p>
    <w:p w14:paraId="3B9E9C04" w14:textId="49F6FD57" w:rsidR="00C03F00" w:rsidRPr="00C03F00" w:rsidRDefault="002975E5" w:rsidP="00C443A0">
      <w:pPr>
        <w:pStyle w:val="BodyText"/>
        <w:numPr>
          <w:ilvl w:val="0"/>
          <w:numId w:val="17"/>
        </w:numPr>
        <w:spacing w:line="310" w:lineRule="atLeast"/>
      </w:pPr>
      <w:bookmarkStart w:id="215" w:name="_ASICRef353"/>
      <w:r>
        <w:rPr>
          <w:color w:val="000000" w:themeColor="text1"/>
        </w:rPr>
        <w:t xml:space="preserve">The underlier identifier could have one or more values taken from a range of different kinds of sources. To provide for a level of standardisation and conformance, we are proposing a waterfall approach to require that the underlier </w:t>
      </w:r>
      <w:r w:rsidR="00EE4223">
        <w:rPr>
          <w:color w:val="000000" w:themeColor="text1"/>
        </w:rPr>
        <w:t xml:space="preserve">is </w:t>
      </w:r>
      <w:r>
        <w:rPr>
          <w:color w:val="000000" w:themeColor="text1"/>
        </w:rPr>
        <w:t>reported as a</w:t>
      </w:r>
      <w:r w:rsidRPr="00674764">
        <w:rPr>
          <w:color w:val="000000" w:themeColor="text1"/>
        </w:rPr>
        <w:t xml:space="preserve">n up to </w:t>
      </w:r>
      <w:r w:rsidR="005A5E1A" w:rsidRPr="00674764">
        <w:rPr>
          <w:color w:val="000000" w:themeColor="text1"/>
        </w:rPr>
        <w:t>72-character</w:t>
      </w:r>
      <w:r w:rsidRPr="00674764">
        <w:rPr>
          <w:color w:val="000000" w:themeColor="text1"/>
        </w:rPr>
        <w:t xml:space="preserve"> alphanumeric string</w:t>
      </w:r>
      <w:r>
        <w:rPr>
          <w:color w:val="000000" w:themeColor="text1"/>
        </w:rPr>
        <w:t>, in order of priority:</w:t>
      </w:r>
      <w:bookmarkEnd w:id="215"/>
    </w:p>
    <w:p w14:paraId="4523F8E3" w14:textId="77777777" w:rsidR="00C03F00" w:rsidRPr="00C03F00" w:rsidRDefault="002975E5" w:rsidP="00C443A0">
      <w:pPr>
        <w:pStyle w:val="BodyText"/>
        <w:numPr>
          <w:ilvl w:val="1"/>
          <w:numId w:val="17"/>
        </w:numPr>
        <w:spacing w:line="310" w:lineRule="atLeast"/>
      </w:pPr>
      <w:r w:rsidRPr="00C03F00">
        <w:rPr>
          <w:color w:val="000000" w:themeColor="text1"/>
        </w:rPr>
        <w:t>an ISIN or RIC;</w:t>
      </w:r>
    </w:p>
    <w:p w14:paraId="2F49F2F2" w14:textId="6B92B43B" w:rsidR="00C03F00" w:rsidRPr="00C03F00" w:rsidRDefault="002975E5" w:rsidP="00C443A0">
      <w:pPr>
        <w:pStyle w:val="BodyText"/>
        <w:numPr>
          <w:ilvl w:val="1"/>
          <w:numId w:val="17"/>
        </w:numPr>
        <w:spacing w:line="310" w:lineRule="atLeast"/>
      </w:pPr>
      <w:r w:rsidRPr="00C03F00">
        <w:rPr>
          <w:color w:val="000000" w:themeColor="text1"/>
        </w:rPr>
        <w:t>the code assigned by the operator of the facility on which the underlier is traded</w:t>
      </w:r>
      <w:r w:rsidR="00404CA5">
        <w:rPr>
          <w:color w:val="000000" w:themeColor="text1"/>
        </w:rPr>
        <w:t>—</w:t>
      </w:r>
      <w:r w:rsidRPr="00C03F00">
        <w:rPr>
          <w:color w:val="000000" w:themeColor="text1"/>
        </w:rPr>
        <w:t>for example, if the underlier is a futures contract;</w:t>
      </w:r>
    </w:p>
    <w:p w14:paraId="3329947B" w14:textId="3F8ABF8D" w:rsidR="00C03F00" w:rsidRPr="00C03F00" w:rsidRDefault="002975E5" w:rsidP="00C443A0">
      <w:pPr>
        <w:pStyle w:val="BodyText"/>
        <w:numPr>
          <w:ilvl w:val="1"/>
          <w:numId w:val="17"/>
        </w:numPr>
        <w:spacing w:line="310" w:lineRule="atLeast"/>
      </w:pPr>
      <w:r w:rsidRPr="00C03F00">
        <w:rPr>
          <w:color w:val="000000" w:themeColor="text1"/>
        </w:rPr>
        <w:t>the code assigned by the operator of the facility on which the things that determine the value of the underlier are traded</w:t>
      </w:r>
      <w:r w:rsidR="00404CA5">
        <w:rPr>
          <w:color w:val="000000" w:themeColor="text1"/>
        </w:rPr>
        <w:t>—</w:t>
      </w:r>
      <w:r w:rsidRPr="00C03F00">
        <w:rPr>
          <w:color w:val="000000" w:themeColor="text1"/>
        </w:rPr>
        <w:t>for example, an equity index which is not itself traded but whose constituents are traded on the facility;</w:t>
      </w:r>
    </w:p>
    <w:p w14:paraId="12B03993" w14:textId="77777777" w:rsidR="00C03F00" w:rsidRPr="00C03F00" w:rsidRDefault="002975E5" w:rsidP="00C443A0">
      <w:pPr>
        <w:pStyle w:val="BodyText"/>
        <w:numPr>
          <w:ilvl w:val="1"/>
          <w:numId w:val="17"/>
        </w:numPr>
        <w:spacing w:line="310" w:lineRule="atLeast"/>
      </w:pPr>
      <w:r w:rsidRPr="00C03F00">
        <w:rPr>
          <w:color w:val="000000" w:themeColor="text1"/>
        </w:rPr>
        <w:t xml:space="preserve">the code assigned by the publisher of the rate, price or measure of the underlier; </w:t>
      </w:r>
    </w:p>
    <w:p w14:paraId="19EB4DB2" w14:textId="77777777" w:rsidR="00C03F00" w:rsidRPr="00C03F00" w:rsidRDefault="002975E5" w:rsidP="00C443A0">
      <w:pPr>
        <w:pStyle w:val="BodyText"/>
        <w:numPr>
          <w:ilvl w:val="1"/>
          <w:numId w:val="17"/>
        </w:numPr>
        <w:spacing w:line="310" w:lineRule="atLeast"/>
      </w:pPr>
      <w:r w:rsidRPr="00C03F00">
        <w:rPr>
          <w:color w:val="000000" w:themeColor="text1"/>
        </w:rPr>
        <w:t>the short name of the underlier assigned by the publisher;</w:t>
      </w:r>
    </w:p>
    <w:p w14:paraId="252EC0D2" w14:textId="77777777" w:rsidR="00C03F00" w:rsidRPr="00C03F00" w:rsidRDefault="002975E5" w:rsidP="00C443A0">
      <w:pPr>
        <w:pStyle w:val="BodyText"/>
        <w:numPr>
          <w:ilvl w:val="1"/>
          <w:numId w:val="17"/>
        </w:numPr>
        <w:spacing w:line="310" w:lineRule="atLeast"/>
      </w:pPr>
      <w:r w:rsidRPr="00C03F00">
        <w:rPr>
          <w:color w:val="000000" w:themeColor="text1"/>
        </w:rPr>
        <w:t>the (long) name of the underlier assigned by the publisher; or</w:t>
      </w:r>
    </w:p>
    <w:p w14:paraId="0243E383" w14:textId="786065CF" w:rsidR="002975E5" w:rsidRDefault="002975E5" w:rsidP="00C443A0">
      <w:pPr>
        <w:pStyle w:val="BodyText"/>
        <w:numPr>
          <w:ilvl w:val="1"/>
          <w:numId w:val="17"/>
        </w:numPr>
        <w:spacing w:line="310" w:lineRule="atLeast"/>
      </w:pPr>
      <w:r w:rsidRPr="00C03F00">
        <w:rPr>
          <w:color w:val="000000" w:themeColor="text1"/>
        </w:rPr>
        <w:t>otherwise, any alphanumeric value.</w:t>
      </w:r>
    </w:p>
    <w:p w14:paraId="017BBCDC" w14:textId="4E208573" w:rsidR="002975E5" w:rsidRDefault="002975E5" w:rsidP="00C443A0">
      <w:pPr>
        <w:pStyle w:val="BodyText"/>
        <w:numPr>
          <w:ilvl w:val="0"/>
          <w:numId w:val="17"/>
        </w:numPr>
        <w:spacing w:line="310" w:lineRule="atLeast"/>
      </w:pPr>
      <w:bookmarkStart w:id="216" w:name="_ASICRef404"/>
      <w:r>
        <w:t xml:space="preserve">As with item 80 </w:t>
      </w:r>
      <w:r w:rsidR="003F79EC">
        <w:t>‘</w:t>
      </w:r>
      <w:r w:rsidRPr="005C7834">
        <w:t>Source of the identifiers of the basket constituents</w:t>
      </w:r>
      <w:r w:rsidR="003F79EC">
        <w:t>’</w:t>
      </w:r>
      <w:r>
        <w:t xml:space="preserve">, there is a corresponding item 82 </w:t>
      </w:r>
      <w:r w:rsidR="003F79EC">
        <w:t>‘</w:t>
      </w:r>
      <w:r w:rsidRPr="00FA37D3">
        <w:rPr>
          <w:color w:val="000000" w:themeColor="text1"/>
        </w:rPr>
        <w:t>Underlier ID source–non-UPI</w:t>
      </w:r>
      <w:r w:rsidR="003F79EC">
        <w:rPr>
          <w:color w:val="000000" w:themeColor="text1"/>
        </w:rPr>
        <w:t>’</w:t>
      </w:r>
      <w:r>
        <w:rPr>
          <w:color w:val="000000" w:themeColor="text1"/>
        </w:rPr>
        <w:t xml:space="preserve"> reporting the source of the item 81 </w:t>
      </w:r>
      <w:r w:rsidR="003F79EC">
        <w:rPr>
          <w:color w:val="000000" w:themeColor="text1"/>
        </w:rPr>
        <w:t>‘</w:t>
      </w:r>
      <w:r w:rsidRPr="00BB4861">
        <w:t>Underlier ID—non-UPI</w:t>
      </w:r>
      <w:r w:rsidR="003F79EC">
        <w:t>’</w:t>
      </w:r>
      <w:r>
        <w:t>. For each of the possible identifiers in item 81, the corresponding source is set out as:</w:t>
      </w:r>
      <w:bookmarkEnd w:id="216"/>
    </w:p>
    <w:p w14:paraId="0308F41B" w14:textId="44032690" w:rsidR="002975E5" w:rsidRDefault="002975E5" w:rsidP="00C443A0">
      <w:pPr>
        <w:pStyle w:val="subparaa"/>
        <w:numPr>
          <w:ilvl w:val="1"/>
          <w:numId w:val="17"/>
        </w:numPr>
        <w:spacing w:line="310" w:lineRule="atLeast"/>
      </w:pPr>
      <w:r>
        <w:t>ISIN</w:t>
      </w:r>
      <w:r w:rsidR="00404CA5">
        <w:t>—</w:t>
      </w:r>
      <w:r>
        <w:t>if item 81 is reported as an ISIN;</w:t>
      </w:r>
    </w:p>
    <w:p w14:paraId="0989726B" w14:textId="47EB2945" w:rsidR="002975E5" w:rsidRDefault="002975E5" w:rsidP="00C443A0">
      <w:pPr>
        <w:pStyle w:val="subparaa"/>
        <w:numPr>
          <w:ilvl w:val="1"/>
          <w:numId w:val="17"/>
        </w:numPr>
        <w:spacing w:line="310" w:lineRule="atLeast"/>
      </w:pPr>
      <w:r>
        <w:t>RIC</w:t>
      </w:r>
      <w:r w:rsidR="00404CA5">
        <w:t>—</w:t>
      </w:r>
      <w:r>
        <w:t>if item 81 is reported as a RIC;</w:t>
      </w:r>
    </w:p>
    <w:p w14:paraId="78F72594" w14:textId="239B166F" w:rsidR="002975E5" w:rsidRDefault="002975E5" w:rsidP="00C443A0">
      <w:pPr>
        <w:pStyle w:val="subparaa"/>
        <w:numPr>
          <w:ilvl w:val="1"/>
          <w:numId w:val="17"/>
        </w:numPr>
        <w:spacing w:line="310" w:lineRule="atLeast"/>
      </w:pPr>
      <w:r>
        <w:t>the MIC of the facility</w:t>
      </w:r>
      <w:r w:rsidR="00404CA5">
        <w:t>—</w:t>
      </w:r>
      <w:r>
        <w:t>if item 81 is reported as a code assigned by the operator of the facility;</w:t>
      </w:r>
    </w:p>
    <w:p w14:paraId="3C699653" w14:textId="0FB8560D" w:rsidR="002975E5" w:rsidRDefault="002975E5" w:rsidP="00C443A0">
      <w:pPr>
        <w:pStyle w:val="subparaa"/>
        <w:numPr>
          <w:ilvl w:val="1"/>
          <w:numId w:val="17"/>
        </w:numPr>
        <w:spacing w:line="310" w:lineRule="atLeast"/>
      </w:pPr>
      <w:r>
        <w:t>the commonly understood abbreviation or short name of the publisher</w:t>
      </w:r>
      <w:r w:rsidR="00404CA5">
        <w:t>—</w:t>
      </w:r>
      <w:r>
        <w:t>if item 81 is reported as a code, short name or name assigned by the publisher;</w:t>
      </w:r>
    </w:p>
    <w:p w14:paraId="39B8BCC1" w14:textId="2DC9ED44" w:rsidR="002975E5" w:rsidRDefault="002975E5" w:rsidP="00C443A0">
      <w:pPr>
        <w:pStyle w:val="subparaa"/>
        <w:numPr>
          <w:ilvl w:val="1"/>
          <w:numId w:val="17"/>
        </w:numPr>
        <w:spacing w:line="310" w:lineRule="atLeast"/>
      </w:pPr>
      <w:r>
        <w:t>the name of the publisher</w:t>
      </w:r>
      <w:r w:rsidR="00404CA5">
        <w:t>—</w:t>
      </w:r>
      <w:r>
        <w:t>if the publisher does not have a commonly understood abbreviation or short name;</w:t>
      </w:r>
    </w:p>
    <w:p w14:paraId="7F2E0057" w14:textId="77777777" w:rsidR="002975E5" w:rsidRDefault="002975E5" w:rsidP="00C443A0">
      <w:pPr>
        <w:pStyle w:val="subparaa"/>
        <w:numPr>
          <w:ilvl w:val="1"/>
          <w:numId w:val="17"/>
        </w:numPr>
        <w:spacing w:line="310" w:lineRule="atLeast"/>
      </w:pPr>
      <w:r>
        <w:t>otherwise, any alphanumeric value.</w:t>
      </w:r>
    </w:p>
    <w:p w14:paraId="6DF66A0E" w14:textId="77777777" w:rsidR="00AC202E" w:rsidRPr="00AC202E" w:rsidRDefault="00AC202E" w:rsidP="00AC202E">
      <w:pPr>
        <w:pStyle w:val="Bodytextplain"/>
        <w:keepNext/>
        <w:spacing w:before="0" w:line="240" w:lineRule="auto"/>
        <w:rPr>
          <w:sz w:val="4"/>
          <w:szCs w:val="4"/>
        </w:rPr>
      </w:pPr>
      <w:bookmarkStart w:id="217" w:name="_ASICRef513"/>
    </w:p>
    <w:p w14:paraId="22D00DB5" w14:textId="3A085D77" w:rsidR="002975E5" w:rsidRDefault="002975E5" w:rsidP="00AC202E">
      <w:pPr>
        <w:pStyle w:val="BodyText"/>
        <w:numPr>
          <w:ilvl w:val="0"/>
          <w:numId w:val="17"/>
        </w:numPr>
        <w:spacing w:before="0" w:line="310" w:lineRule="atLeast"/>
      </w:pPr>
      <w:r>
        <w:t xml:space="preserve">For item 81 </w:t>
      </w:r>
      <w:r w:rsidR="003F79EC">
        <w:t>‘</w:t>
      </w:r>
      <w:r w:rsidRPr="00BB4861">
        <w:t>Underlier ID—non-UPI</w:t>
      </w:r>
      <w:r w:rsidR="003F79EC">
        <w:t>’</w:t>
      </w:r>
      <w:r>
        <w:t xml:space="preserve"> and </w:t>
      </w:r>
      <w:r w:rsidR="003F79EC">
        <w:t xml:space="preserve">item </w:t>
      </w:r>
      <w:r>
        <w:t xml:space="preserve">82 </w:t>
      </w:r>
      <w:r w:rsidR="003F79EC">
        <w:t>‘</w:t>
      </w:r>
      <w:r w:rsidRPr="00FA37D3">
        <w:rPr>
          <w:color w:val="000000" w:themeColor="text1"/>
        </w:rPr>
        <w:t>Underlier ID source–non-UPI</w:t>
      </w:r>
      <w:r w:rsidR="003F79EC">
        <w:rPr>
          <w:color w:val="000000" w:themeColor="text1"/>
        </w:rPr>
        <w:t>’</w:t>
      </w:r>
      <w:r>
        <w:rPr>
          <w:color w:val="000000" w:themeColor="text1"/>
        </w:rPr>
        <w:t>, w</w:t>
      </w:r>
      <w:r>
        <w:t>e think that the descriptions of the allowable values for these data element</w:t>
      </w:r>
      <w:r w:rsidR="003F79EC">
        <w:t>s</w:t>
      </w:r>
      <w:r>
        <w:t xml:space="preserve"> have a workable level of precision but we recognise that they are not wholly unambiguous, particularly for the names of underliers and abbreviations or names of publishers. We anticipate providing guidance on determining an allowable value in a range of circumstances, such as by way of a range of examples.</w:t>
      </w:r>
      <w:bookmarkEnd w:id="217"/>
    </w:p>
    <w:p w14:paraId="22AA9539" w14:textId="1942567A" w:rsidR="002975E5" w:rsidRDefault="002975E5" w:rsidP="00C443A0">
      <w:pPr>
        <w:pStyle w:val="BodyText"/>
        <w:numPr>
          <w:ilvl w:val="0"/>
          <w:numId w:val="17"/>
        </w:numPr>
        <w:spacing w:line="310" w:lineRule="atLeast"/>
      </w:pPr>
      <w:r>
        <w:t xml:space="preserve">In Table S1.1(1), item 83 </w:t>
      </w:r>
      <w:r w:rsidR="003F79EC">
        <w:t>‘</w:t>
      </w:r>
      <w:r w:rsidRPr="00056961">
        <w:rPr>
          <w:color w:val="000000" w:themeColor="text1"/>
        </w:rPr>
        <w:t>Maturity date of the underlier</w:t>
      </w:r>
      <w:r w:rsidR="003F79EC">
        <w:rPr>
          <w:color w:val="000000" w:themeColor="text1"/>
        </w:rPr>
        <w:t>’</w:t>
      </w:r>
      <w:r w:rsidR="00404CA5">
        <w:rPr>
          <w:color w:val="000000" w:themeColor="text1"/>
        </w:rPr>
        <w:t>—</w:t>
      </w:r>
      <w:r>
        <w:rPr>
          <w:color w:val="000000" w:themeColor="text1"/>
        </w:rPr>
        <w:t>of the interest rate swap underlying a swaption</w:t>
      </w:r>
      <w:r w:rsidR="00404CA5">
        <w:rPr>
          <w:color w:val="000000" w:themeColor="text1"/>
        </w:rPr>
        <w:t>—</w:t>
      </w:r>
      <w:r>
        <w:t xml:space="preserve">is a data element that we foreshadowed in </w:t>
      </w:r>
      <w:hyperlink r:id="rId137" w:history="1">
        <w:r w:rsidRPr="004A59E1">
          <w:rPr>
            <w:rStyle w:val="Hyperlink"/>
          </w:rPr>
          <w:t>CP 334</w:t>
        </w:r>
      </w:hyperlink>
      <w:r>
        <w:t xml:space="preserve"> may need to </w:t>
      </w:r>
      <w:r w:rsidRPr="00056961">
        <w:t xml:space="preserve">be continued to be reported as a separate data element if </w:t>
      </w:r>
      <w:r>
        <w:t xml:space="preserve">it is </w:t>
      </w:r>
      <w:r w:rsidRPr="00056961">
        <w:t>not embedded as a reference data element in the UPI</w:t>
      </w:r>
      <w:r>
        <w:t>, and we are now making this proposal.</w:t>
      </w:r>
    </w:p>
    <w:p w14:paraId="052B7597" w14:textId="55B68E50" w:rsidR="002975E5" w:rsidRDefault="002975E5" w:rsidP="00C443A0">
      <w:pPr>
        <w:pStyle w:val="BodyText"/>
        <w:numPr>
          <w:ilvl w:val="0"/>
          <w:numId w:val="17"/>
        </w:numPr>
        <w:spacing w:line="310" w:lineRule="atLeast"/>
      </w:pPr>
      <w:r>
        <w:t xml:space="preserve">This data element is only applicable to </w:t>
      </w:r>
      <w:r w:rsidRPr="0000528D">
        <w:t xml:space="preserve">an option over an interest rate swap, </w:t>
      </w:r>
      <w:r>
        <w:t xml:space="preserve">and is </w:t>
      </w:r>
      <w:r w:rsidRPr="0000528D">
        <w:t>the unadjusted date of the expiration date of the interest rate swap that is the underlier to the option.</w:t>
      </w:r>
      <w:r>
        <w:t xml:space="preserve"> The format and allowable values are as standard for date data elements.</w:t>
      </w:r>
    </w:p>
    <w:p w14:paraId="6F4AD913" w14:textId="63706EF8" w:rsidR="002975E5" w:rsidRDefault="002975E5" w:rsidP="00C443A0">
      <w:pPr>
        <w:pStyle w:val="BodyText"/>
        <w:numPr>
          <w:ilvl w:val="0"/>
          <w:numId w:val="17"/>
        </w:numPr>
        <w:spacing w:line="310" w:lineRule="atLeast"/>
      </w:pPr>
      <w:r>
        <w:t>Finally, as identified at paragraphs</w:t>
      </w:r>
      <w:r w:rsidR="00B73B21">
        <w:t xml:space="preserve"> </w:t>
      </w:r>
      <w:r w:rsidR="00B73B21">
        <w:fldChar w:fldCharType="begin" w:fldLock="1"/>
      </w:r>
      <w:r w:rsidR="00B73B21">
        <w:instrText xml:space="preserve"> REF _ASICRef461 \w \h </w:instrText>
      </w:r>
      <w:r w:rsidR="00B73B21">
        <w:fldChar w:fldCharType="separate"/>
      </w:r>
      <w:r w:rsidR="00853A2A">
        <w:t>217</w:t>
      </w:r>
      <w:r w:rsidR="00B73B21">
        <w:fldChar w:fldCharType="end"/>
      </w:r>
      <w:r w:rsidR="00B73B21">
        <w:t>–</w:t>
      </w:r>
      <w:r w:rsidR="00B73B21">
        <w:fldChar w:fldCharType="begin" w:fldLock="1"/>
      </w:r>
      <w:r w:rsidR="00B73B21">
        <w:instrText xml:space="preserve"> REF _ASICRef492 \w \h </w:instrText>
      </w:r>
      <w:r w:rsidR="00B73B21">
        <w:fldChar w:fldCharType="separate"/>
      </w:r>
      <w:r w:rsidR="00853A2A">
        <w:t>218</w:t>
      </w:r>
      <w:r w:rsidR="00B73B21">
        <w:fldChar w:fldCharType="end"/>
      </w:r>
      <w:r>
        <w:t xml:space="preserve"> in </w:t>
      </w:r>
      <w:r w:rsidR="0012112F">
        <w:t xml:space="preserve">Section </w:t>
      </w:r>
      <w:r w:rsidR="0012112F">
        <w:fldChar w:fldCharType="begin" w:fldLock="1"/>
      </w:r>
      <w:r w:rsidR="0012112F">
        <w:instrText xml:space="preserve"> REF _ASICRef28 \w \h </w:instrText>
      </w:r>
      <w:r w:rsidR="0012112F">
        <w:fldChar w:fldCharType="separate"/>
      </w:r>
      <w:r w:rsidR="00853A2A">
        <w:t>C</w:t>
      </w:r>
      <w:r w:rsidR="0012112F">
        <w:fldChar w:fldCharType="end"/>
      </w:r>
      <w:r>
        <w:t xml:space="preserve"> </w:t>
      </w:r>
      <w:r w:rsidR="0012112F">
        <w:t>‘</w:t>
      </w:r>
      <w:r>
        <w:t>The unique product identifier</w:t>
      </w:r>
      <w:r w:rsidR="00C95BF7">
        <w:t xml:space="preserve"> (UPI)</w:t>
      </w:r>
      <w:r w:rsidR="0012112F">
        <w:t>’</w:t>
      </w:r>
      <w:r>
        <w:t>, information about the applicable interest rate floating rate reference rate that underlies one of the legs in, for example, an equity swap will not be included as reference data elements in the UPI system.</w:t>
      </w:r>
    </w:p>
    <w:p w14:paraId="2576A916" w14:textId="77777777" w:rsidR="002975E5" w:rsidRDefault="002975E5" w:rsidP="00C443A0">
      <w:pPr>
        <w:pStyle w:val="BodyText"/>
        <w:numPr>
          <w:ilvl w:val="0"/>
          <w:numId w:val="17"/>
        </w:numPr>
        <w:spacing w:line="310" w:lineRule="atLeast"/>
      </w:pPr>
      <w:r>
        <w:t>Consequently, we are proposing the addition of three related data elements in Table S1.1(1):</w:t>
      </w:r>
    </w:p>
    <w:p w14:paraId="54417C25" w14:textId="7126A383" w:rsidR="002975E5" w:rsidRDefault="002975E5" w:rsidP="00C443A0">
      <w:pPr>
        <w:pStyle w:val="subparaa"/>
        <w:numPr>
          <w:ilvl w:val="1"/>
          <w:numId w:val="17"/>
        </w:numPr>
        <w:spacing w:line="310" w:lineRule="atLeast"/>
      </w:pPr>
      <w:r>
        <w:t xml:space="preserve">item 84 </w:t>
      </w:r>
      <w:r w:rsidR="0012112F">
        <w:t>‘</w:t>
      </w:r>
      <w:r w:rsidRPr="00FA60D0">
        <w:t>Identifier of the floating rate</w:t>
      </w:r>
      <w:r w:rsidR="0012112F" w:rsidRPr="00B5248C">
        <w:t>—</w:t>
      </w:r>
      <w:r w:rsidRPr="00FA60D0">
        <w:t>Leg 2</w:t>
      </w:r>
      <w:r w:rsidR="0012112F">
        <w:t>’</w:t>
      </w:r>
      <w:r>
        <w:t>;</w:t>
      </w:r>
    </w:p>
    <w:p w14:paraId="6F447865" w14:textId="725BBE6A" w:rsidR="002975E5" w:rsidRDefault="002975E5" w:rsidP="00C443A0">
      <w:pPr>
        <w:pStyle w:val="subparaa"/>
        <w:numPr>
          <w:ilvl w:val="1"/>
          <w:numId w:val="17"/>
        </w:numPr>
        <w:spacing w:line="310" w:lineRule="atLeast"/>
      </w:pPr>
      <w:r>
        <w:t xml:space="preserve">item 85 </w:t>
      </w:r>
      <w:r w:rsidR="0012112F">
        <w:t>‘</w:t>
      </w:r>
      <w:r w:rsidRPr="00FA60D0">
        <w:t>Floating rate reference period</w:t>
      </w:r>
      <w:r w:rsidR="0012112F" w:rsidRPr="00266B94">
        <w:t>—</w:t>
      </w:r>
      <w:r w:rsidRPr="00FA60D0">
        <w:t>Leg 2</w:t>
      </w:r>
      <w:r w:rsidR="0012112F">
        <w:t>’</w:t>
      </w:r>
      <w:r>
        <w:t>; and</w:t>
      </w:r>
    </w:p>
    <w:p w14:paraId="30CBBC8B" w14:textId="44A4E304" w:rsidR="002975E5" w:rsidRPr="00056961" w:rsidRDefault="002975E5" w:rsidP="00C443A0">
      <w:pPr>
        <w:pStyle w:val="subparaa"/>
        <w:numPr>
          <w:ilvl w:val="1"/>
          <w:numId w:val="17"/>
        </w:numPr>
        <w:spacing w:line="310" w:lineRule="atLeast"/>
      </w:pPr>
      <w:r>
        <w:t xml:space="preserve">item 86 </w:t>
      </w:r>
      <w:r w:rsidR="0012112F">
        <w:t>‘</w:t>
      </w:r>
      <w:r w:rsidRPr="00DB1C95">
        <w:rPr>
          <w:color w:val="000000" w:themeColor="text1"/>
        </w:rPr>
        <w:t>Floating rate re</w:t>
      </w:r>
      <w:r>
        <w:rPr>
          <w:color w:val="000000" w:themeColor="text1"/>
        </w:rPr>
        <w:t xml:space="preserve">ference </w:t>
      </w:r>
      <w:r w:rsidRPr="00DB1C95">
        <w:rPr>
          <w:color w:val="000000" w:themeColor="text1"/>
        </w:rPr>
        <w:t>period multiplier</w:t>
      </w:r>
      <w:r w:rsidR="0012112F" w:rsidRPr="00266B94">
        <w:t>—</w:t>
      </w:r>
      <w:r w:rsidRPr="00DB1C95">
        <w:rPr>
          <w:color w:val="000000" w:themeColor="text1"/>
        </w:rPr>
        <w:t>Leg 2</w:t>
      </w:r>
      <w:r w:rsidR="0012112F">
        <w:rPr>
          <w:color w:val="000000" w:themeColor="text1"/>
        </w:rPr>
        <w:t>’</w:t>
      </w:r>
      <w:r>
        <w:rPr>
          <w:color w:val="000000" w:themeColor="text1"/>
        </w:rPr>
        <w:t>.</w:t>
      </w:r>
    </w:p>
    <w:p w14:paraId="130CF219" w14:textId="77777777" w:rsidR="002975E5" w:rsidRDefault="002975E5" w:rsidP="00C443A0">
      <w:pPr>
        <w:pStyle w:val="BodyText"/>
        <w:numPr>
          <w:ilvl w:val="0"/>
          <w:numId w:val="17"/>
        </w:numPr>
        <w:spacing w:line="310" w:lineRule="atLeast"/>
      </w:pPr>
      <w:r>
        <w:t>These data elements are not applicable to interest rate derivatives, as information about the interest rate floating rate reference rate(s) is included as reference data elements for interest rate derivatives in the UPI system. We think that these data elements are most often, in practice, applicable to equity derivatives, but may be applicable to commodity, credit and possibly foreign exchange derivatives and, as such, these asset classes are not explicitly excluded.</w:t>
      </w:r>
    </w:p>
    <w:p w14:paraId="72B05523" w14:textId="1994067C" w:rsidR="002975E5" w:rsidRDefault="002975E5" w:rsidP="00C443A0">
      <w:pPr>
        <w:pStyle w:val="BodyText"/>
        <w:numPr>
          <w:ilvl w:val="0"/>
          <w:numId w:val="17"/>
        </w:numPr>
        <w:spacing w:line="310" w:lineRule="atLeast"/>
      </w:pPr>
      <w:r>
        <w:t>We have also characterised these data elements as ‘</w:t>
      </w:r>
      <w:r w:rsidR="0012112F">
        <w:t>l</w:t>
      </w:r>
      <w:r>
        <w:t xml:space="preserve">eg 2’ data elements. This is consistent with the high-level guidance that we set out in </w:t>
      </w:r>
      <w:r>
        <w:fldChar w:fldCharType="begin" w:fldLock="1"/>
      </w:r>
      <w:r>
        <w:instrText xml:space="preserve"> REF _Ref96430957 \h </w:instrText>
      </w:r>
      <w:r>
        <w:fldChar w:fldCharType="separate"/>
      </w:r>
      <w:r w:rsidR="00853A2A">
        <w:t xml:space="preserve">Table </w:t>
      </w:r>
      <w:r w:rsidR="00853A2A">
        <w:rPr>
          <w:noProof/>
        </w:rPr>
        <w:t>31</w:t>
      </w:r>
      <w:r>
        <w:fldChar w:fldCharType="end"/>
      </w:r>
      <w:r>
        <w:t xml:space="preserve"> that ‘</w:t>
      </w:r>
      <w:r w:rsidRPr="00AD22A3">
        <w:t xml:space="preserve">For credit, commodity and equity derivatives, </w:t>
      </w:r>
      <w:r w:rsidR="0012112F">
        <w:t>l</w:t>
      </w:r>
      <w:r w:rsidR="0012112F" w:rsidRPr="00AD22A3">
        <w:t xml:space="preserve">eg </w:t>
      </w:r>
      <w:r w:rsidRPr="00AD22A3">
        <w:t>1 should describe the credit, commodity or equity price or parameter returns</w:t>
      </w:r>
      <w:r>
        <w:t>’</w:t>
      </w:r>
      <w:r w:rsidR="00404CA5">
        <w:t>—</w:t>
      </w:r>
      <w:r>
        <w:t xml:space="preserve">meaning that </w:t>
      </w:r>
      <w:r w:rsidR="0012112F">
        <w:t>l</w:t>
      </w:r>
      <w:r>
        <w:t>eg 2 should describe the interest rate returns, if applicable.</w:t>
      </w:r>
    </w:p>
    <w:p w14:paraId="71BF186C" w14:textId="7C8D8F37" w:rsidR="002975E5" w:rsidRDefault="002975E5" w:rsidP="00C443A0">
      <w:pPr>
        <w:pStyle w:val="BodyText"/>
        <w:numPr>
          <w:ilvl w:val="0"/>
          <w:numId w:val="17"/>
        </w:numPr>
        <w:spacing w:line="310" w:lineRule="atLeast"/>
      </w:pPr>
      <w:r>
        <w:t xml:space="preserve">For item 84 </w:t>
      </w:r>
      <w:r w:rsidR="0012112F">
        <w:t>‘</w:t>
      </w:r>
      <w:r>
        <w:t>I</w:t>
      </w:r>
      <w:r w:rsidRPr="00FA60D0">
        <w:t>dentifier of the floating rate</w:t>
      </w:r>
      <w:r w:rsidR="0084117D" w:rsidRPr="00266B94">
        <w:t>—</w:t>
      </w:r>
      <w:r w:rsidRPr="00FA60D0">
        <w:t>Leg 2</w:t>
      </w:r>
      <w:r w:rsidR="0012112F">
        <w:t>’</w:t>
      </w:r>
      <w:r>
        <w:t>, similar to the allowable values for basket constituent identifiers and ‘non-UPI’ underlier identifiers, the allowable values for this data element are values allowed for interest rate reference rate identifiers in the UPI system.</w:t>
      </w:r>
    </w:p>
    <w:p w14:paraId="4B18D90D" w14:textId="17C04983" w:rsidR="002975E5" w:rsidRPr="00AF7297" w:rsidRDefault="002975E5" w:rsidP="00C443A0">
      <w:pPr>
        <w:pStyle w:val="BodyText"/>
        <w:numPr>
          <w:ilvl w:val="0"/>
          <w:numId w:val="17"/>
        </w:numPr>
        <w:spacing w:line="310" w:lineRule="atLeast"/>
      </w:pPr>
      <w:r>
        <w:t xml:space="preserve">Item 85 </w:t>
      </w:r>
      <w:r w:rsidR="0012112F">
        <w:t>‘</w:t>
      </w:r>
      <w:r w:rsidRPr="009302F6">
        <w:t>Floating rate reference period</w:t>
      </w:r>
      <w:r w:rsidR="0084117D" w:rsidRPr="00266B94">
        <w:t>—</w:t>
      </w:r>
      <w:r w:rsidRPr="009302F6">
        <w:t>Leg 2</w:t>
      </w:r>
      <w:r w:rsidR="0012112F">
        <w:t>’</w:t>
      </w:r>
      <w:r>
        <w:t xml:space="preserve"> and item 86 </w:t>
      </w:r>
      <w:bookmarkStart w:id="218" w:name="_Hlk96965448"/>
      <w:r w:rsidR="0012112F">
        <w:t>‘</w:t>
      </w:r>
      <w:r w:rsidRPr="00DB1C95">
        <w:rPr>
          <w:color w:val="000000" w:themeColor="text1"/>
        </w:rPr>
        <w:t>Floating rate re</w:t>
      </w:r>
      <w:r>
        <w:rPr>
          <w:color w:val="000000" w:themeColor="text1"/>
        </w:rPr>
        <w:t xml:space="preserve">ference </w:t>
      </w:r>
      <w:r w:rsidRPr="00DB1C95">
        <w:rPr>
          <w:color w:val="000000" w:themeColor="text1"/>
        </w:rPr>
        <w:t>period multiplier</w:t>
      </w:r>
      <w:r w:rsidR="0084117D" w:rsidRPr="00266B94">
        <w:t>—</w:t>
      </w:r>
      <w:r w:rsidRPr="00DB1C95">
        <w:rPr>
          <w:color w:val="000000" w:themeColor="text1"/>
        </w:rPr>
        <w:t>Leg 2</w:t>
      </w:r>
      <w:bookmarkEnd w:id="218"/>
      <w:r w:rsidR="0012112F">
        <w:rPr>
          <w:color w:val="000000" w:themeColor="text1"/>
        </w:rPr>
        <w:t>’</w:t>
      </w:r>
      <w:r>
        <w:rPr>
          <w:color w:val="000000" w:themeColor="text1"/>
        </w:rPr>
        <w:t xml:space="preserve"> are the familiar period and period multiplier data elements required to identify the term of the floating rate reference rate, in the same manner as identifying the frequency of payments</w:t>
      </w:r>
      <w:r w:rsidR="00404CA5">
        <w:rPr>
          <w:color w:val="000000" w:themeColor="text1"/>
        </w:rPr>
        <w:t>—</w:t>
      </w:r>
      <w:r>
        <w:rPr>
          <w:color w:val="000000" w:themeColor="text1"/>
        </w:rPr>
        <w:t>for example</w:t>
      </w:r>
      <w:r w:rsidR="0012112F">
        <w:rPr>
          <w:color w:val="000000" w:themeColor="text1"/>
        </w:rPr>
        <w:t>,</w:t>
      </w:r>
      <w:r>
        <w:rPr>
          <w:color w:val="000000" w:themeColor="text1"/>
        </w:rPr>
        <w:t xml:space="preserve"> items 66 and 67.</w:t>
      </w:r>
    </w:p>
    <w:p w14:paraId="134B9E45" w14:textId="77777777" w:rsidR="002975E5" w:rsidRDefault="002975E5" w:rsidP="002975E5">
      <w:pPr>
        <w:pStyle w:val="Heading5"/>
      </w:pPr>
      <w:r>
        <w:t>Application to the draft remade ASIC Rules</w:t>
      </w:r>
    </w:p>
    <w:p w14:paraId="570368AC" w14:textId="77777777" w:rsidR="002975E5" w:rsidRDefault="002975E5" w:rsidP="00C443A0">
      <w:pPr>
        <w:pStyle w:val="BodyText"/>
        <w:numPr>
          <w:ilvl w:val="0"/>
          <w:numId w:val="17"/>
        </w:numPr>
        <w:spacing w:line="310" w:lineRule="atLeast"/>
      </w:pPr>
      <w:r>
        <w:t>The current ASIC Rules do not require reporting of custom basket codes, identifiers of basket constituents or sources of identifiers, and data elements of these kinds are not introduced into the draft remade ASIC Rules.</w:t>
      </w:r>
    </w:p>
    <w:p w14:paraId="38D383BF" w14:textId="2797D776" w:rsidR="002975E5" w:rsidRDefault="002975E5" w:rsidP="00C443A0">
      <w:pPr>
        <w:pStyle w:val="BodyText"/>
        <w:numPr>
          <w:ilvl w:val="0"/>
          <w:numId w:val="17"/>
        </w:numPr>
        <w:spacing w:line="310" w:lineRule="atLeast"/>
      </w:pPr>
      <w:r>
        <w:t xml:space="preserve">The data element ‘Underlying’ of the current ASIC Rules is retained in the draft remade ASIC Rules (as item 3 </w:t>
      </w:r>
      <w:r w:rsidR="00B979BF">
        <w:t>‘</w:t>
      </w:r>
      <w:r>
        <w:t>Underlying</w:t>
      </w:r>
      <w:r w:rsidR="00B979BF">
        <w:t>’</w:t>
      </w:r>
      <w:r>
        <w:t xml:space="preserve"> in Table S1.1(1) </w:t>
      </w:r>
      <w:r w:rsidR="00B979BF">
        <w:t>‘</w:t>
      </w:r>
      <w:r>
        <w:t>Common data</w:t>
      </w:r>
      <w:r w:rsidR="00B979BF">
        <w:t>’</w:t>
      </w:r>
      <w:r>
        <w:t>)</w:t>
      </w:r>
      <w:r w:rsidR="00404CA5">
        <w:t>—</w:t>
      </w:r>
      <w:r>
        <w:t>this includes that a basket underlier may be indicated with a notation and that the allowable values are ‘</w:t>
      </w:r>
      <w:r w:rsidRPr="00C67A98">
        <w:t>Any values accepted by the Derivative Trade Repository that is receiving the report</w:t>
      </w:r>
      <w:r>
        <w:t>’. In practice, current reporting practices are that underlier(s) o</w:t>
      </w:r>
      <w:r w:rsidR="00B979BF">
        <w:t>f</w:t>
      </w:r>
      <w:r>
        <w:t xml:space="preserve"> baskets are indicated by ‘B’ or ‘Basket’ or by a string of, for example</w:t>
      </w:r>
      <w:r w:rsidR="00B979BF">
        <w:t>,</w:t>
      </w:r>
      <w:r>
        <w:t xml:space="preserve"> ISINs, that identify each constituent of the basket.</w:t>
      </w:r>
    </w:p>
    <w:p w14:paraId="25721A7E" w14:textId="01AD21E3" w:rsidR="002975E5" w:rsidRDefault="002975E5" w:rsidP="00C443A0">
      <w:pPr>
        <w:pStyle w:val="BodyText"/>
        <w:numPr>
          <w:ilvl w:val="0"/>
          <w:numId w:val="17"/>
        </w:numPr>
        <w:spacing w:line="310" w:lineRule="atLeast"/>
      </w:pPr>
      <w:r>
        <w:t xml:space="preserve">The draft remade ASIC Rules also do not introduce a separate data element for ‘Maturity date of the underlier’. In practice, current reporting practice is that, for swaptions, this would be reported as ‘Expiration date’ (item 14 in Table S1.1(1) </w:t>
      </w:r>
      <w:r w:rsidR="00B979BF">
        <w:t>‘</w:t>
      </w:r>
      <w:r>
        <w:t>Common data</w:t>
      </w:r>
      <w:r w:rsidR="00B979BF">
        <w:t>’</w:t>
      </w:r>
      <w:r>
        <w:t>) with the expiry date of the swaption reported as ‘Option expiration date’</w:t>
      </w:r>
      <w:r w:rsidRPr="00C14BDD">
        <w:t xml:space="preserve"> </w:t>
      </w:r>
      <w:r>
        <w:t xml:space="preserve">(item 28 in Table S1.1(1) </w:t>
      </w:r>
      <w:r w:rsidR="00B979BF">
        <w:t>‘</w:t>
      </w:r>
      <w:r>
        <w:t>Common data</w:t>
      </w:r>
      <w:r w:rsidR="00B979BF">
        <w:t>’</w:t>
      </w:r>
      <w:r>
        <w:t>).</w:t>
      </w:r>
    </w:p>
    <w:p w14:paraId="256F2107" w14:textId="18ECD4A0" w:rsidR="002975E5" w:rsidRDefault="002975E5" w:rsidP="00C443A0">
      <w:pPr>
        <w:pStyle w:val="BodyText"/>
        <w:numPr>
          <w:ilvl w:val="0"/>
          <w:numId w:val="17"/>
        </w:numPr>
        <w:spacing w:line="310" w:lineRule="atLeast"/>
      </w:pPr>
      <w:r>
        <w:t xml:space="preserve">As noted at paragraph </w:t>
      </w:r>
      <w:r w:rsidR="00B73B21">
        <w:fldChar w:fldCharType="begin" w:fldLock="1"/>
      </w:r>
      <w:r w:rsidR="00B73B21">
        <w:instrText xml:space="preserve"> REF _ASICRef329 \w \h </w:instrText>
      </w:r>
      <w:r w:rsidR="00B73B21">
        <w:fldChar w:fldCharType="separate"/>
      </w:r>
      <w:r w:rsidR="00853A2A">
        <w:t>245</w:t>
      </w:r>
      <w:r w:rsidR="00B73B21">
        <w:fldChar w:fldCharType="end"/>
      </w:r>
      <w:r>
        <w:t xml:space="preserve"> in </w:t>
      </w:r>
      <w:r w:rsidR="00B979BF">
        <w:t xml:space="preserve">Section </w:t>
      </w:r>
      <w:r w:rsidR="00B979BF">
        <w:fldChar w:fldCharType="begin" w:fldLock="1"/>
      </w:r>
      <w:r w:rsidR="00B979BF">
        <w:instrText xml:space="preserve"> REF _ASICRef28 \w \h </w:instrText>
      </w:r>
      <w:r w:rsidR="00B979BF">
        <w:fldChar w:fldCharType="separate"/>
      </w:r>
      <w:r w:rsidR="00853A2A">
        <w:t>C</w:t>
      </w:r>
      <w:r w:rsidR="00B979BF">
        <w:fldChar w:fldCharType="end"/>
      </w:r>
      <w:r>
        <w:t xml:space="preserve"> </w:t>
      </w:r>
      <w:r w:rsidR="00B979BF">
        <w:t>‘</w:t>
      </w:r>
      <w:r>
        <w:t>The unique product identifier (UPI)</w:t>
      </w:r>
      <w:r w:rsidR="00B979BF">
        <w:t>’</w:t>
      </w:r>
      <w:r>
        <w:t>, i</w:t>
      </w:r>
      <w:r w:rsidRPr="00A25F37">
        <w:t xml:space="preserve">nformation about the interest rate floating rate reference rate for equity swaps is commonly reported under the current ASIC Rules in the data element ‘Settlement rate or index’. </w:t>
      </w:r>
      <w:r>
        <w:t xml:space="preserve">Recognising this current reporting practice, in the draft remade ASIC Rules, this data element is relocated to Table S1.1(3) </w:t>
      </w:r>
      <w:r w:rsidR="00B979BF">
        <w:t>‘</w:t>
      </w:r>
      <w:r>
        <w:t>Equity derivative and credit derivative data</w:t>
      </w:r>
      <w:r w:rsidR="00B979BF">
        <w:t>’</w:t>
      </w:r>
      <w:r>
        <w:t xml:space="preserve"> and renamed as </w:t>
      </w:r>
      <w:r w:rsidR="00B979BF">
        <w:t>‘</w:t>
      </w:r>
      <w:r>
        <w:t>I</w:t>
      </w:r>
      <w:r w:rsidRPr="00FA60D0">
        <w:t>dentifier of the floating rate</w:t>
      </w:r>
      <w:r w:rsidR="007D0AC8">
        <w:t>—</w:t>
      </w:r>
      <w:r w:rsidRPr="00FA60D0">
        <w:t>Leg 2</w:t>
      </w:r>
      <w:r w:rsidR="00B979BF">
        <w:t>’</w:t>
      </w:r>
      <w:r>
        <w:t xml:space="preserve"> (item 6 in Table S1.1(3)</w:t>
      </w:r>
      <w:r w:rsidR="00B979BF">
        <w:t>)</w:t>
      </w:r>
      <w:r>
        <w:t>.</w:t>
      </w:r>
    </w:p>
    <w:p w14:paraId="3352C76F" w14:textId="739995BD" w:rsidR="002975E5" w:rsidRDefault="002975E5" w:rsidP="00C443A0">
      <w:pPr>
        <w:pStyle w:val="BodyText"/>
        <w:numPr>
          <w:ilvl w:val="0"/>
          <w:numId w:val="17"/>
        </w:numPr>
        <w:spacing w:line="310" w:lineRule="atLeast"/>
      </w:pPr>
      <w:r>
        <w:t xml:space="preserve">As with the data element ‘Underlying’, the allowable values in the draft remade ASIC Rules for item 6 </w:t>
      </w:r>
      <w:r w:rsidR="00B979BF">
        <w:t>‘</w:t>
      </w:r>
      <w:r w:rsidRPr="00AD237E">
        <w:t>Identifier of the floating rate</w:t>
      </w:r>
      <w:r w:rsidR="00893A02">
        <w:t>—</w:t>
      </w:r>
      <w:r w:rsidRPr="00AD237E">
        <w:t>Leg 2</w:t>
      </w:r>
      <w:r w:rsidR="00B979BF">
        <w:t xml:space="preserve">’ </w:t>
      </w:r>
      <w:r>
        <w:t xml:space="preserve">and item 7 </w:t>
      </w:r>
      <w:r w:rsidR="00B979BF">
        <w:t>‘</w:t>
      </w:r>
      <w:r>
        <w:t>Rate reset frequency</w:t>
      </w:r>
      <w:r w:rsidR="00B979BF">
        <w:t>’</w:t>
      </w:r>
      <w:r>
        <w:t xml:space="preserve"> do not change the current reporting practices and allow ‘</w:t>
      </w:r>
      <w:r w:rsidRPr="00C67A98">
        <w:t>Any values accepted by the Derivative Trade Repository that is receiving the report</w:t>
      </w:r>
      <w:r>
        <w:t>’.</w:t>
      </w:r>
    </w:p>
    <w:p w14:paraId="09B9C884" w14:textId="77777777" w:rsidR="002975E5" w:rsidRDefault="002975E5" w:rsidP="002975E5">
      <w:pPr>
        <w:pStyle w:val="Heading4"/>
      </w:pPr>
      <w:r>
        <w:t>Data elements related to CDS index transactions</w:t>
      </w:r>
    </w:p>
    <w:p w14:paraId="374E259A" w14:textId="01F4FBF7" w:rsidR="002975E5" w:rsidRDefault="002975E5" w:rsidP="00C443A0">
      <w:pPr>
        <w:pStyle w:val="BodyText"/>
        <w:numPr>
          <w:ilvl w:val="0"/>
          <w:numId w:val="17"/>
        </w:numPr>
        <w:spacing w:before="180" w:after="160" w:line="290" w:lineRule="atLeast"/>
      </w:pPr>
      <w:r>
        <w:t>The draft amended ASIC Rules (</w:t>
      </w:r>
      <w:r w:rsidR="009E0E3D">
        <w:t xml:space="preserve">see </w:t>
      </w:r>
      <w:r>
        <w:t xml:space="preserve">Attachment 2) include the following data elements related to </w:t>
      </w:r>
      <w:r w:rsidRPr="008444C6">
        <w:t>custom baskets and underliers</w:t>
      </w:r>
      <w:r>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31B0F2A1" w14:textId="77777777" w:rsidTr="00F86FF1">
        <w:trPr>
          <w:cantSplit/>
        </w:trPr>
        <w:tc>
          <w:tcPr>
            <w:tcW w:w="1701" w:type="dxa"/>
            <w:shd w:val="clear" w:color="auto" w:fill="C2E3FA"/>
          </w:tcPr>
          <w:p w14:paraId="4C0560E2" w14:textId="1EF16605" w:rsidR="002975E5" w:rsidRPr="000540E1" w:rsidRDefault="002975E5" w:rsidP="00B5248C">
            <w:pPr>
              <w:pStyle w:val="tablehead"/>
              <w:spacing w:before="100" w:line="230" w:lineRule="atLeast"/>
            </w:pPr>
            <w:r>
              <w:t>Proceed per CP</w:t>
            </w:r>
            <w:r w:rsidR="009E0E3D">
              <w:t> </w:t>
            </w:r>
            <w:r>
              <w:t>334</w:t>
            </w:r>
          </w:p>
        </w:tc>
        <w:tc>
          <w:tcPr>
            <w:tcW w:w="5103" w:type="dxa"/>
          </w:tcPr>
          <w:p w14:paraId="05629313" w14:textId="77777777" w:rsidR="002975E5" w:rsidRPr="008B4297" w:rsidRDefault="002975E5" w:rsidP="00B5248C">
            <w:pPr>
              <w:pStyle w:val="tbltext"/>
              <w:spacing w:before="100" w:line="230" w:lineRule="atLeast"/>
              <w:rPr>
                <w:color w:val="000000" w:themeColor="text1"/>
              </w:rPr>
            </w:pPr>
            <w:r w:rsidRPr="00BF26A8">
              <w:rPr>
                <w:color w:val="000000" w:themeColor="text1"/>
              </w:rPr>
              <w:t>CDS index attachment point</w:t>
            </w:r>
            <w:r>
              <w:rPr>
                <w:color w:val="000000" w:themeColor="text1"/>
              </w:rPr>
              <w:t xml:space="preserve">, </w:t>
            </w:r>
            <w:r w:rsidRPr="00BF26A8">
              <w:rPr>
                <w:color w:val="000000" w:themeColor="text1"/>
              </w:rPr>
              <w:t>CDS index detachment point</w:t>
            </w:r>
            <w:r>
              <w:rPr>
                <w:color w:val="000000" w:themeColor="text1"/>
              </w:rPr>
              <w:t xml:space="preserve">, </w:t>
            </w:r>
            <w:r w:rsidRPr="002D4630">
              <w:rPr>
                <w:color w:val="000000" w:themeColor="text1"/>
              </w:rPr>
              <w:t>Index factor</w:t>
            </w:r>
          </w:p>
        </w:tc>
      </w:tr>
      <w:tr w:rsidR="002975E5" w:rsidRPr="000540E1" w14:paraId="10BDA28C" w14:textId="77777777" w:rsidTr="00F86FF1">
        <w:trPr>
          <w:cantSplit/>
        </w:trPr>
        <w:tc>
          <w:tcPr>
            <w:tcW w:w="1701" w:type="dxa"/>
            <w:shd w:val="clear" w:color="auto" w:fill="C2E3FA"/>
          </w:tcPr>
          <w:p w14:paraId="6C58E333" w14:textId="77777777" w:rsidR="002975E5" w:rsidRPr="000540E1" w:rsidRDefault="002975E5" w:rsidP="00B5248C">
            <w:pPr>
              <w:pStyle w:val="tablehead"/>
              <w:spacing w:before="100" w:line="230" w:lineRule="atLeast"/>
            </w:pPr>
            <w:r>
              <w:t>Not proceed</w:t>
            </w:r>
          </w:p>
        </w:tc>
        <w:tc>
          <w:tcPr>
            <w:tcW w:w="5103" w:type="dxa"/>
          </w:tcPr>
          <w:p w14:paraId="29111E21" w14:textId="2DE37EBF" w:rsidR="002975E5" w:rsidRPr="00951D3D" w:rsidRDefault="009E0E3D" w:rsidP="00B5248C">
            <w:pPr>
              <w:pStyle w:val="tbltext"/>
              <w:spacing w:before="100" w:line="230" w:lineRule="atLeast"/>
              <w:rPr>
                <w:b/>
                <w:bCs/>
              </w:rPr>
            </w:pPr>
            <w:r>
              <w:t>Not applicable</w:t>
            </w:r>
          </w:p>
        </w:tc>
      </w:tr>
      <w:tr w:rsidR="002975E5" w:rsidRPr="000540E1" w14:paraId="3DBB6B60" w14:textId="77777777" w:rsidTr="00F86FF1">
        <w:trPr>
          <w:cantSplit/>
        </w:trPr>
        <w:tc>
          <w:tcPr>
            <w:tcW w:w="1701" w:type="dxa"/>
            <w:shd w:val="clear" w:color="auto" w:fill="C2E3FA"/>
          </w:tcPr>
          <w:p w14:paraId="56117E12" w14:textId="77777777" w:rsidR="002975E5" w:rsidRPr="000540E1" w:rsidRDefault="002975E5" w:rsidP="00B5248C">
            <w:pPr>
              <w:pStyle w:val="tablehead"/>
              <w:spacing w:before="100" w:line="230" w:lineRule="atLeast"/>
            </w:pPr>
            <w:r>
              <w:t>New proposal</w:t>
            </w:r>
          </w:p>
        </w:tc>
        <w:tc>
          <w:tcPr>
            <w:tcW w:w="5103" w:type="dxa"/>
          </w:tcPr>
          <w:p w14:paraId="781E4EA1" w14:textId="0B823052" w:rsidR="002975E5" w:rsidRPr="000540E1" w:rsidRDefault="009E0E3D" w:rsidP="00B5248C">
            <w:pPr>
              <w:pStyle w:val="tbltext"/>
              <w:spacing w:before="100" w:line="230" w:lineRule="atLeast"/>
            </w:pPr>
            <w:r>
              <w:t>Not applicable</w:t>
            </w:r>
          </w:p>
        </w:tc>
      </w:tr>
    </w:tbl>
    <w:p w14:paraId="5A132980" w14:textId="0432DDBA" w:rsidR="002975E5" w:rsidRDefault="002975E5" w:rsidP="00C443A0">
      <w:pPr>
        <w:pStyle w:val="BodyText"/>
        <w:numPr>
          <w:ilvl w:val="0"/>
          <w:numId w:val="17"/>
        </w:numPr>
        <w:spacing w:before="180" w:line="290" w:lineRule="atLeast"/>
      </w:pPr>
      <w:r>
        <w:t xml:space="preserve">As we note in paragraph </w:t>
      </w:r>
      <w:r>
        <w:fldChar w:fldCharType="begin" w:fldLock="1"/>
      </w:r>
      <w:r>
        <w:instrText xml:space="preserve"> REF _ASICRef269 \w \h  \* MERGEFORMAT </w:instrText>
      </w:r>
      <w:r>
        <w:fldChar w:fldCharType="separate"/>
      </w:r>
      <w:r w:rsidR="00853A2A">
        <w:t>346</w:t>
      </w:r>
      <w:r>
        <w:fldChar w:fldCharType="end"/>
      </w:r>
      <w:r>
        <w:t xml:space="preserve">, respondents to CP 334 did not express any significant concerns about our proposals for reporting CDS index attachment, detachment and index factor information, and we have decided to proceed with our proposals. One respondent advocated that index factor </w:t>
      </w:r>
      <w:r w:rsidR="009E0E3D">
        <w:t xml:space="preserve">should </w:t>
      </w:r>
      <w:r>
        <w:t>not be required to be reported as this is publicly available information, but we have decided to follow the CFTC and ESMA and include this data element.</w:t>
      </w:r>
    </w:p>
    <w:p w14:paraId="2C2BF55C" w14:textId="3A52D89F" w:rsidR="002975E5" w:rsidRDefault="002975E5" w:rsidP="00C443A0">
      <w:pPr>
        <w:pStyle w:val="BodyText"/>
        <w:numPr>
          <w:ilvl w:val="0"/>
          <w:numId w:val="17"/>
        </w:numPr>
        <w:spacing w:before="180" w:line="290" w:lineRule="atLeast"/>
      </w:pPr>
      <w:r>
        <w:t xml:space="preserve">In Table S1.1(1), the meanings, formats and allowable values for item 87 </w:t>
      </w:r>
      <w:r w:rsidR="009E0E3D">
        <w:t>‘</w:t>
      </w:r>
      <w:r w:rsidRPr="00BF26A8">
        <w:rPr>
          <w:color w:val="000000" w:themeColor="text1"/>
        </w:rPr>
        <w:t>CDS index attachment point</w:t>
      </w:r>
      <w:r w:rsidR="009E0E3D">
        <w:rPr>
          <w:color w:val="000000" w:themeColor="text1"/>
        </w:rPr>
        <w:t>’</w:t>
      </w:r>
      <w:r>
        <w:t xml:space="preserve"> and </w:t>
      </w:r>
      <w:r w:rsidR="009E0E3D">
        <w:t xml:space="preserve">item </w:t>
      </w:r>
      <w:r>
        <w:t xml:space="preserve">88 </w:t>
      </w:r>
      <w:r w:rsidR="009E0E3D">
        <w:t>‘</w:t>
      </w:r>
      <w:r w:rsidRPr="00BF26A8">
        <w:rPr>
          <w:color w:val="000000" w:themeColor="text1"/>
        </w:rPr>
        <w:t xml:space="preserve">CDS index </w:t>
      </w:r>
      <w:r>
        <w:rPr>
          <w:color w:val="000000" w:themeColor="text1"/>
        </w:rPr>
        <w:t>de</w:t>
      </w:r>
      <w:r w:rsidRPr="00BF26A8">
        <w:rPr>
          <w:color w:val="000000" w:themeColor="text1"/>
        </w:rPr>
        <w:t>tachment point</w:t>
      </w:r>
      <w:r w:rsidR="009E0E3D">
        <w:rPr>
          <w:color w:val="000000" w:themeColor="text1"/>
        </w:rPr>
        <w:t>’</w:t>
      </w:r>
      <w:r>
        <w:t xml:space="preserve"> closely follow their definitions, formats and allowable values of the CDE Guidance.</w:t>
      </w:r>
    </w:p>
    <w:p w14:paraId="2D708671" w14:textId="174D1352" w:rsidR="002975E5" w:rsidRDefault="002975E5" w:rsidP="00C443A0">
      <w:pPr>
        <w:pStyle w:val="BodyText"/>
        <w:numPr>
          <w:ilvl w:val="0"/>
          <w:numId w:val="17"/>
        </w:numPr>
        <w:spacing w:before="180" w:line="290" w:lineRule="atLeast"/>
      </w:pPr>
      <w:r>
        <w:t xml:space="preserve">In Table S1.1(1), the meanings, formats and allowable values for item 89 </w:t>
      </w:r>
      <w:r w:rsidR="009E0E3D">
        <w:t>‘</w:t>
      </w:r>
      <w:r>
        <w:t>Index factor</w:t>
      </w:r>
      <w:r w:rsidR="009E0E3D">
        <w:t>’</w:t>
      </w:r>
      <w:r>
        <w:t xml:space="preserve"> closely follow the definition, format and allowable values of the final CFTC rules.</w:t>
      </w:r>
    </w:p>
    <w:p w14:paraId="50E2637C" w14:textId="77777777" w:rsidR="002975E5" w:rsidRDefault="002975E5" w:rsidP="002975E5">
      <w:pPr>
        <w:pStyle w:val="Heading5"/>
      </w:pPr>
      <w:r>
        <w:t>Application to the draft remade ASIC Rules</w:t>
      </w:r>
    </w:p>
    <w:p w14:paraId="180F5C00" w14:textId="77777777" w:rsidR="002975E5" w:rsidRDefault="002975E5" w:rsidP="00C443A0">
      <w:pPr>
        <w:pStyle w:val="BodyText"/>
        <w:numPr>
          <w:ilvl w:val="0"/>
          <w:numId w:val="17"/>
        </w:numPr>
        <w:spacing w:before="180" w:line="290" w:lineRule="atLeast"/>
      </w:pPr>
      <w:r>
        <w:t>The current ASIC Rules do not require reporting of these CDS-related data elements, and they are not introduced into the draft remade ASIC Rules.</w:t>
      </w:r>
    </w:p>
    <w:p w14:paraId="20491836" w14:textId="77777777" w:rsidR="002975E5" w:rsidRDefault="002975E5" w:rsidP="002975E5">
      <w:pPr>
        <w:pStyle w:val="Heading4"/>
      </w:pPr>
      <w:r>
        <w:t>Data elements related to packages and links</w:t>
      </w:r>
    </w:p>
    <w:p w14:paraId="2F32898A" w14:textId="77777777" w:rsidR="002975E5" w:rsidRDefault="002975E5" w:rsidP="00C443A0">
      <w:pPr>
        <w:pStyle w:val="BodyText"/>
        <w:numPr>
          <w:ilvl w:val="0"/>
          <w:numId w:val="17"/>
        </w:numPr>
        <w:spacing w:before="180" w:after="160" w:line="290" w:lineRule="atLeast"/>
      </w:pPr>
      <w:r>
        <w:t xml:space="preserve">The draft amended ASIC Rules (Attachment 2) include the following data elements related to </w:t>
      </w:r>
      <w:r w:rsidRPr="008444C6">
        <w:t>custom baskets and underliers</w:t>
      </w:r>
      <w:r>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6A2821B3" w14:textId="77777777" w:rsidTr="00F86FF1">
        <w:trPr>
          <w:cantSplit/>
        </w:trPr>
        <w:tc>
          <w:tcPr>
            <w:tcW w:w="1701" w:type="dxa"/>
            <w:shd w:val="clear" w:color="auto" w:fill="C2E3FA"/>
          </w:tcPr>
          <w:p w14:paraId="40D33645" w14:textId="77777777" w:rsidR="002975E5" w:rsidRPr="000540E1" w:rsidRDefault="002975E5" w:rsidP="00B5248C">
            <w:pPr>
              <w:pStyle w:val="tablehead"/>
              <w:keepNext w:val="0"/>
              <w:widowControl w:val="0"/>
              <w:spacing w:before="100" w:line="230" w:lineRule="atLeast"/>
            </w:pPr>
            <w:r>
              <w:t>Proceed per CP 334</w:t>
            </w:r>
          </w:p>
        </w:tc>
        <w:tc>
          <w:tcPr>
            <w:tcW w:w="5103" w:type="dxa"/>
          </w:tcPr>
          <w:p w14:paraId="01D5C552" w14:textId="77777777" w:rsidR="002975E5" w:rsidRDefault="002975E5" w:rsidP="00B5248C">
            <w:pPr>
              <w:pStyle w:val="tbltext"/>
              <w:spacing w:before="100" w:line="230" w:lineRule="atLeast"/>
              <w:rPr>
                <w:color w:val="000000" w:themeColor="text1"/>
              </w:rPr>
            </w:pPr>
            <w:r w:rsidRPr="001D67D2">
              <w:rPr>
                <w:color w:val="000000" w:themeColor="text1"/>
              </w:rPr>
              <w:t>Package identifier</w:t>
            </w:r>
            <w:r>
              <w:rPr>
                <w:color w:val="000000" w:themeColor="text1"/>
              </w:rPr>
              <w:t>,</w:t>
            </w:r>
          </w:p>
          <w:p w14:paraId="00FF7C83" w14:textId="77777777" w:rsidR="002975E5" w:rsidRDefault="002975E5" w:rsidP="00B5248C">
            <w:pPr>
              <w:pStyle w:val="tbltext"/>
              <w:spacing w:before="100" w:line="230" w:lineRule="atLeast"/>
              <w:rPr>
                <w:color w:val="000000" w:themeColor="text1"/>
              </w:rPr>
            </w:pPr>
            <w:r w:rsidRPr="00FA37D3">
              <w:rPr>
                <w:color w:val="000000" w:themeColor="text1"/>
              </w:rPr>
              <w:t>Package transaction price</w:t>
            </w:r>
            <w:r>
              <w:rPr>
                <w:color w:val="000000" w:themeColor="text1"/>
              </w:rPr>
              <w:t xml:space="preserve">, </w:t>
            </w:r>
            <w:r w:rsidRPr="003D6665">
              <w:rPr>
                <w:color w:val="000000" w:themeColor="text1"/>
              </w:rPr>
              <w:t>Package transaction price currency</w:t>
            </w:r>
            <w:r>
              <w:rPr>
                <w:color w:val="000000" w:themeColor="text1"/>
              </w:rPr>
              <w:t xml:space="preserve">, </w:t>
            </w:r>
            <w:r w:rsidRPr="003D6665">
              <w:rPr>
                <w:color w:val="000000" w:themeColor="text1"/>
              </w:rPr>
              <w:t>Package transaction price notation</w:t>
            </w:r>
            <w:r>
              <w:rPr>
                <w:color w:val="000000" w:themeColor="text1"/>
              </w:rPr>
              <w:t>,</w:t>
            </w:r>
          </w:p>
          <w:p w14:paraId="64585707" w14:textId="77777777" w:rsidR="002975E5" w:rsidRDefault="002975E5" w:rsidP="00B5248C">
            <w:pPr>
              <w:pStyle w:val="tbltext"/>
              <w:spacing w:before="100" w:line="230" w:lineRule="atLeast"/>
              <w:rPr>
                <w:color w:val="000000" w:themeColor="text1"/>
              </w:rPr>
            </w:pPr>
            <w:r w:rsidRPr="00FA37D3">
              <w:rPr>
                <w:color w:val="000000" w:themeColor="text1"/>
              </w:rPr>
              <w:t>Package transaction spread</w:t>
            </w:r>
            <w:r>
              <w:rPr>
                <w:color w:val="000000" w:themeColor="text1"/>
              </w:rPr>
              <w:t xml:space="preserve">, </w:t>
            </w:r>
            <w:r w:rsidRPr="003D6665">
              <w:rPr>
                <w:color w:val="000000" w:themeColor="text1"/>
              </w:rPr>
              <w:t>Package transaction spread currency</w:t>
            </w:r>
            <w:r>
              <w:rPr>
                <w:color w:val="000000" w:themeColor="text1"/>
              </w:rPr>
              <w:t xml:space="preserve">, </w:t>
            </w:r>
            <w:r w:rsidRPr="003D6665">
              <w:rPr>
                <w:color w:val="000000" w:themeColor="text1"/>
              </w:rPr>
              <w:t>Package transaction spread notation</w:t>
            </w:r>
            <w:r>
              <w:rPr>
                <w:color w:val="000000" w:themeColor="text1"/>
              </w:rPr>
              <w:t>,</w:t>
            </w:r>
          </w:p>
          <w:p w14:paraId="2C0F832D" w14:textId="77777777" w:rsidR="002975E5" w:rsidRPr="008B4297" w:rsidRDefault="002975E5" w:rsidP="00B5248C">
            <w:pPr>
              <w:pStyle w:val="tbltext"/>
              <w:spacing w:before="100" w:line="230" w:lineRule="atLeast"/>
              <w:rPr>
                <w:color w:val="000000" w:themeColor="text1"/>
              </w:rPr>
            </w:pPr>
            <w:r>
              <w:t xml:space="preserve">Prior UTI, </w:t>
            </w:r>
            <w:r w:rsidRPr="00F92BCC">
              <w:rPr>
                <w:color w:val="000000" w:themeColor="text1"/>
              </w:rPr>
              <w:t>Event identifier</w:t>
            </w:r>
          </w:p>
        </w:tc>
      </w:tr>
      <w:tr w:rsidR="002975E5" w:rsidRPr="000540E1" w14:paraId="20BB430B" w14:textId="77777777" w:rsidTr="00F86FF1">
        <w:trPr>
          <w:cantSplit/>
        </w:trPr>
        <w:tc>
          <w:tcPr>
            <w:tcW w:w="1701" w:type="dxa"/>
            <w:shd w:val="clear" w:color="auto" w:fill="C2E3FA"/>
          </w:tcPr>
          <w:p w14:paraId="20A1AD64" w14:textId="77777777" w:rsidR="002975E5" w:rsidRPr="000540E1" w:rsidRDefault="002975E5" w:rsidP="00B5248C">
            <w:pPr>
              <w:pStyle w:val="tablehead"/>
              <w:keepNext w:val="0"/>
              <w:widowControl w:val="0"/>
              <w:spacing w:before="100" w:line="230" w:lineRule="atLeast"/>
            </w:pPr>
            <w:r>
              <w:t>Not proceed</w:t>
            </w:r>
          </w:p>
        </w:tc>
        <w:tc>
          <w:tcPr>
            <w:tcW w:w="5103" w:type="dxa"/>
          </w:tcPr>
          <w:p w14:paraId="7585953D" w14:textId="02EAF62D" w:rsidR="002975E5" w:rsidRPr="00951D3D" w:rsidRDefault="009E0E3D" w:rsidP="00B5248C">
            <w:pPr>
              <w:pStyle w:val="tbltext"/>
              <w:spacing w:before="100" w:line="230" w:lineRule="atLeast"/>
              <w:rPr>
                <w:b/>
                <w:bCs/>
              </w:rPr>
            </w:pPr>
            <w:r>
              <w:t>Not applicable</w:t>
            </w:r>
          </w:p>
        </w:tc>
      </w:tr>
      <w:tr w:rsidR="002975E5" w:rsidRPr="000540E1" w14:paraId="696F8821" w14:textId="77777777" w:rsidTr="00F86FF1">
        <w:trPr>
          <w:cantSplit/>
        </w:trPr>
        <w:tc>
          <w:tcPr>
            <w:tcW w:w="1701" w:type="dxa"/>
            <w:shd w:val="clear" w:color="auto" w:fill="C2E3FA"/>
          </w:tcPr>
          <w:p w14:paraId="4B07B677" w14:textId="77777777" w:rsidR="002975E5" w:rsidRPr="000540E1" w:rsidRDefault="002975E5" w:rsidP="00B5248C">
            <w:pPr>
              <w:pStyle w:val="tablehead"/>
              <w:keepNext w:val="0"/>
              <w:widowControl w:val="0"/>
              <w:spacing w:before="100" w:line="230" w:lineRule="atLeast"/>
            </w:pPr>
            <w:r>
              <w:t>New proposal</w:t>
            </w:r>
          </w:p>
        </w:tc>
        <w:tc>
          <w:tcPr>
            <w:tcW w:w="5103" w:type="dxa"/>
          </w:tcPr>
          <w:p w14:paraId="01EFD949" w14:textId="0AF2D778" w:rsidR="002975E5" w:rsidRPr="000540E1" w:rsidRDefault="009E0E3D" w:rsidP="00B5248C">
            <w:pPr>
              <w:pStyle w:val="tbltext"/>
              <w:spacing w:before="100" w:line="230" w:lineRule="atLeast"/>
            </w:pPr>
            <w:r>
              <w:t>Not applicable</w:t>
            </w:r>
          </w:p>
        </w:tc>
      </w:tr>
    </w:tbl>
    <w:p w14:paraId="76C6462F" w14:textId="3B04268A" w:rsidR="002975E5" w:rsidRDefault="002975E5" w:rsidP="00C443A0">
      <w:pPr>
        <w:pStyle w:val="BodyText"/>
        <w:numPr>
          <w:ilvl w:val="0"/>
          <w:numId w:val="17"/>
        </w:numPr>
      </w:pPr>
      <w:r>
        <w:t xml:space="preserve">As we note in paragraph </w:t>
      </w:r>
      <w:r>
        <w:fldChar w:fldCharType="begin" w:fldLock="1"/>
      </w:r>
      <w:r>
        <w:instrText xml:space="preserve"> REF _ASICRef55 \w \h </w:instrText>
      </w:r>
      <w:r>
        <w:fldChar w:fldCharType="separate"/>
      </w:r>
      <w:r w:rsidR="00853A2A">
        <w:t>349</w:t>
      </w:r>
      <w:r>
        <w:fldChar w:fldCharType="end"/>
      </w:r>
      <w:r>
        <w:t xml:space="preserve">, respondents did not </w:t>
      </w:r>
      <w:r w:rsidR="00CA00A7">
        <w:t xml:space="preserve">generally </w:t>
      </w:r>
      <w:r>
        <w:t>express support or opposition to our proposals but commonly requested more explanation and guidance about reporting information related to packages and links.</w:t>
      </w:r>
    </w:p>
    <w:p w14:paraId="2F7F7502" w14:textId="11EEE21C" w:rsidR="002975E5" w:rsidRDefault="002975E5" w:rsidP="00C443A0">
      <w:pPr>
        <w:pStyle w:val="BodyText"/>
        <w:numPr>
          <w:ilvl w:val="0"/>
          <w:numId w:val="17"/>
        </w:numPr>
      </w:pPr>
      <w:r>
        <w:t xml:space="preserve">We have decided to proceed as proposed. We have set out the meanings, formats and allowable values of these data elements in the draft </w:t>
      </w:r>
      <w:r w:rsidR="004B1659">
        <w:t xml:space="preserve">amended ASIC </w:t>
      </w:r>
      <w:r w:rsidR="004E40E5">
        <w:t>R</w:t>
      </w:r>
      <w:r>
        <w:t>ules and intend to provide additional explanation and guidance in a future Schedule 1 Technical Guidance document.</w:t>
      </w:r>
    </w:p>
    <w:p w14:paraId="47B891FC" w14:textId="606ED961" w:rsidR="002975E5" w:rsidRDefault="002975E5" w:rsidP="00C443A0">
      <w:pPr>
        <w:pStyle w:val="BodyText"/>
        <w:numPr>
          <w:ilvl w:val="0"/>
          <w:numId w:val="17"/>
        </w:numPr>
      </w:pPr>
      <w:r>
        <w:t xml:space="preserve">In Table S1.1(1), the meaning of item 90 </w:t>
      </w:r>
      <w:r w:rsidR="00CA00A7">
        <w:t>‘</w:t>
      </w:r>
      <w:r>
        <w:t>Package identifier</w:t>
      </w:r>
      <w:r w:rsidR="00CA00A7">
        <w:t>’</w:t>
      </w:r>
      <w:r>
        <w:t xml:space="preserve"> follows the definition in the CDE Guidance as an up to 35-character alphanumeric identifier, determined by the reporting entity, to connect two or more separately reported transactions.</w:t>
      </w:r>
    </w:p>
    <w:p w14:paraId="682E45AE" w14:textId="77777777" w:rsidR="00C03F00" w:rsidRDefault="002975E5" w:rsidP="00C443A0">
      <w:pPr>
        <w:pStyle w:val="BodyText"/>
        <w:numPr>
          <w:ilvl w:val="0"/>
          <w:numId w:val="17"/>
        </w:numPr>
      </w:pPr>
      <w:bookmarkStart w:id="219" w:name="_ASICRef60"/>
      <w:r>
        <w:t>However, the proposed applicability of the data element has similarities and differences to the applicability described in the CDE Guidance, and is required for each of two or more transactions that:</w:t>
      </w:r>
      <w:bookmarkEnd w:id="219"/>
    </w:p>
    <w:p w14:paraId="080AB59E" w14:textId="77777777" w:rsidR="00C03F00" w:rsidRDefault="002975E5" w:rsidP="00C443A0">
      <w:pPr>
        <w:pStyle w:val="BodyText"/>
        <w:numPr>
          <w:ilvl w:val="1"/>
          <w:numId w:val="17"/>
        </w:numPr>
      </w:pPr>
      <w:r w:rsidRPr="001710E5">
        <w:t xml:space="preserve">are reported separately but entered into together as the product of a single </w:t>
      </w:r>
      <w:r>
        <w:t>economic arrangement;</w:t>
      </w:r>
    </w:p>
    <w:p w14:paraId="24A15E09" w14:textId="77777777" w:rsidR="00C03F00" w:rsidRDefault="002975E5" w:rsidP="00C443A0">
      <w:pPr>
        <w:pStyle w:val="BodyText"/>
        <w:numPr>
          <w:ilvl w:val="1"/>
          <w:numId w:val="17"/>
        </w:numPr>
      </w:pPr>
      <w:r w:rsidRPr="001710E5">
        <w:t>are reported separately because they are not able to be reported as a single report</w:t>
      </w:r>
      <w:r>
        <w:t>; or</w:t>
      </w:r>
    </w:p>
    <w:p w14:paraId="572E28CE" w14:textId="330628D2" w:rsidR="002975E5" w:rsidRPr="004E58CF" w:rsidRDefault="0037125F" w:rsidP="00C443A0">
      <w:pPr>
        <w:pStyle w:val="BodyText"/>
        <w:numPr>
          <w:ilvl w:val="1"/>
          <w:numId w:val="17"/>
        </w:numPr>
      </w:pPr>
      <w:r>
        <w:rPr>
          <w:color w:val="000000" w:themeColor="text1"/>
        </w:rPr>
        <w:t>are</w:t>
      </w:r>
      <w:r w:rsidRPr="00C03F00">
        <w:rPr>
          <w:color w:val="000000" w:themeColor="text1"/>
        </w:rPr>
        <w:t xml:space="preserve"> </w:t>
      </w:r>
      <w:r w:rsidR="002975E5" w:rsidRPr="00C03F00">
        <w:rPr>
          <w:color w:val="000000" w:themeColor="text1"/>
        </w:rPr>
        <w:t xml:space="preserve">the reporting representation of a </w:t>
      </w:r>
      <w:r>
        <w:rPr>
          <w:color w:val="000000" w:themeColor="text1"/>
        </w:rPr>
        <w:t xml:space="preserve">single </w:t>
      </w:r>
      <w:r w:rsidR="002975E5" w:rsidRPr="00C03F00">
        <w:rPr>
          <w:color w:val="000000" w:themeColor="text1"/>
        </w:rPr>
        <w:t xml:space="preserve">foreign exchange swap derivative transaction entered into as a single economic arrangement but </w:t>
      </w:r>
      <w:r>
        <w:rPr>
          <w:color w:val="000000" w:themeColor="text1"/>
        </w:rPr>
        <w:t xml:space="preserve">represented in </w:t>
      </w:r>
      <w:r w:rsidRPr="00C03F00">
        <w:rPr>
          <w:color w:val="000000" w:themeColor="text1"/>
        </w:rPr>
        <w:t>report</w:t>
      </w:r>
      <w:r>
        <w:rPr>
          <w:color w:val="000000" w:themeColor="text1"/>
        </w:rPr>
        <w:t>ing</w:t>
      </w:r>
      <w:r w:rsidRPr="00C03F00">
        <w:rPr>
          <w:color w:val="000000" w:themeColor="text1"/>
        </w:rPr>
        <w:t xml:space="preserve"> </w:t>
      </w:r>
      <w:r w:rsidR="002975E5" w:rsidRPr="00C03F00">
        <w:rPr>
          <w:color w:val="000000" w:themeColor="text1"/>
        </w:rPr>
        <w:t xml:space="preserve">as two foreign exchange contracts with different </w:t>
      </w:r>
      <w:r w:rsidR="00CA00A7">
        <w:rPr>
          <w:color w:val="000000" w:themeColor="text1"/>
        </w:rPr>
        <w:t>e</w:t>
      </w:r>
      <w:r w:rsidR="002975E5" w:rsidRPr="00C03F00">
        <w:rPr>
          <w:color w:val="000000" w:themeColor="text1"/>
        </w:rPr>
        <w:t>xpiration dates.</w:t>
      </w:r>
    </w:p>
    <w:p w14:paraId="20E04D31" w14:textId="313B5D4F" w:rsidR="002975E5" w:rsidRDefault="002975E5" w:rsidP="00C443A0">
      <w:pPr>
        <w:pStyle w:val="BodyText"/>
        <w:numPr>
          <w:ilvl w:val="0"/>
          <w:numId w:val="17"/>
        </w:numPr>
      </w:pPr>
      <w:bookmarkStart w:id="220" w:name="_ASICRef390"/>
      <w:r>
        <w:t xml:space="preserve">The applicability of (a) in paragraph </w:t>
      </w:r>
      <w:r>
        <w:fldChar w:fldCharType="begin" w:fldLock="1"/>
      </w:r>
      <w:r>
        <w:instrText xml:space="preserve"> REF _ASICRef60 \w \h </w:instrText>
      </w:r>
      <w:r>
        <w:fldChar w:fldCharType="separate"/>
      </w:r>
      <w:r w:rsidR="00853A2A">
        <w:t>620</w:t>
      </w:r>
      <w:r>
        <w:fldChar w:fldCharType="end"/>
      </w:r>
      <w:r>
        <w:t xml:space="preserve"> is substantively the same as in the CDE Guidance. This could apply to, for example:</w:t>
      </w:r>
      <w:bookmarkEnd w:id="220"/>
    </w:p>
    <w:p w14:paraId="57FE08EC" w14:textId="77777777" w:rsidR="002975E5" w:rsidRDefault="002975E5" w:rsidP="00C443A0">
      <w:pPr>
        <w:pStyle w:val="subparaa"/>
        <w:numPr>
          <w:ilvl w:val="1"/>
          <w:numId w:val="17"/>
        </w:numPr>
      </w:pPr>
      <w:r>
        <w:t>a ‘participating FX forward’ which combines an FX forward contract and an FX option contract in a single economic arrangement; or</w:t>
      </w:r>
    </w:p>
    <w:p w14:paraId="47A92172" w14:textId="77777777" w:rsidR="002975E5" w:rsidRDefault="002975E5" w:rsidP="00C443A0">
      <w:pPr>
        <w:pStyle w:val="subparaa"/>
        <w:numPr>
          <w:ilvl w:val="1"/>
          <w:numId w:val="17"/>
        </w:numPr>
      </w:pPr>
      <w:r>
        <w:t>an interest rate swap where, because of an associated interest rate option, the floating rate cannot be set below 0%.</w:t>
      </w:r>
    </w:p>
    <w:p w14:paraId="3E74F8D7" w14:textId="7C618A96" w:rsidR="002975E5" w:rsidRDefault="002975E5" w:rsidP="00C443A0">
      <w:pPr>
        <w:pStyle w:val="BodyText"/>
        <w:numPr>
          <w:ilvl w:val="0"/>
          <w:numId w:val="17"/>
        </w:numPr>
      </w:pPr>
      <w:r>
        <w:t xml:space="preserve">The applicability of (b) in paragraph </w:t>
      </w:r>
      <w:r>
        <w:fldChar w:fldCharType="begin" w:fldLock="1"/>
      </w:r>
      <w:r>
        <w:instrText xml:space="preserve"> REF _ASICRef60 \w \h </w:instrText>
      </w:r>
      <w:r>
        <w:fldChar w:fldCharType="separate"/>
      </w:r>
      <w:r w:rsidR="00853A2A">
        <w:t>620</w:t>
      </w:r>
      <w:r>
        <w:fldChar w:fldCharType="end"/>
      </w:r>
      <w:r>
        <w:t xml:space="preserve"> generalises the similar applicability in the CDE Guidance to ‘not able to be reported’ without specifying any particular circumstances, rather than solely because a jurisdictional requirement does not allow reporting with a single report. This could apply to:</w:t>
      </w:r>
    </w:p>
    <w:p w14:paraId="287B358F" w14:textId="17E211E3" w:rsidR="002975E5" w:rsidRDefault="002975E5" w:rsidP="00C443A0">
      <w:pPr>
        <w:pStyle w:val="subparaa"/>
        <w:numPr>
          <w:ilvl w:val="1"/>
          <w:numId w:val="17"/>
        </w:numPr>
      </w:pPr>
      <w:r>
        <w:t>a ‘collar’ option which must be reported as its separate call &amp;</w:t>
      </w:r>
      <w:r w:rsidR="005F1948">
        <w:t xml:space="preserve"> </w:t>
      </w:r>
      <w:r>
        <w:t>put/cap &amp; floor elements because the UPI system does not support a collar option as a stand-alone type of option (though a collar option could also fall under (a) as a single economic arrangement); or</w:t>
      </w:r>
    </w:p>
    <w:p w14:paraId="19C2868B" w14:textId="56D4FDF7" w:rsidR="002975E5" w:rsidRDefault="002975E5" w:rsidP="00DB5636">
      <w:pPr>
        <w:pStyle w:val="subparaa"/>
        <w:numPr>
          <w:ilvl w:val="1"/>
          <w:numId w:val="17"/>
        </w:numPr>
        <w:spacing w:line="310" w:lineRule="atLeast"/>
      </w:pPr>
      <w:r>
        <w:t xml:space="preserve">a cross-jurisdictional transaction where, for example, </w:t>
      </w:r>
      <w:r w:rsidR="006D3C90">
        <w:t xml:space="preserve">either another jurisdiction’s requirements do not allow, or a counterparty’s trade repository does </w:t>
      </w:r>
      <w:r w:rsidR="00270B30">
        <w:t xml:space="preserve">not </w:t>
      </w:r>
      <w:r w:rsidR="006D3C90">
        <w:t>facilitate, a single transaction report.</w:t>
      </w:r>
    </w:p>
    <w:p w14:paraId="56B042EF" w14:textId="59C12B50" w:rsidR="002975E5" w:rsidRDefault="002975E5" w:rsidP="00DB5636">
      <w:pPr>
        <w:pStyle w:val="BodyText"/>
        <w:numPr>
          <w:ilvl w:val="0"/>
          <w:numId w:val="17"/>
        </w:numPr>
        <w:spacing w:line="310" w:lineRule="atLeast"/>
      </w:pPr>
      <w:bookmarkStart w:id="221" w:name="_ASICRef489"/>
      <w:r>
        <w:t xml:space="preserve">The applicability of (c) in paragraph </w:t>
      </w:r>
      <w:r>
        <w:fldChar w:fldCharType="begin" w:fldLock="1"/>
      </w:r>
      <w:r>
        <w:instrText xml:space="preserve"> REF _ASICRef60 \w \h </w:instrText>
      </w:r>
      <w:r>
        <w:fldChar w:fldCharType="separate"/>
      </w:r>
      <w:r w:rsidR="00853A2A">
        <w:t>620</w:t>
      </w:r>
      <w:r>
        <w:fldChar w:fldCharType="end"/>
      </w:r>
      <w:r>
        <w:t xml:space="preserve"> sets out a proposed jurisdictional reporting requirement in this jurisdiction to not allow the reporting of foreign exchange swap derivative transactions (</w:t>
      </w:r>
      <w:r w:rsidRPr="000A4612">
        <w:t>FX swaps</w:t>
      </w:r>
      <w:r w:rsidRPr="00A91947">
        <w:t>)</w:t>
      </w:r>
      <w:r>
        <w:t xml:space="preserve"> within a single report. We are proposing this because:</w:t>
      </w:r>
      <w:bookmarkEnd w:id="221"/>
    </w:p>
    <w:p w14:paraId="25645177" w14:textId="11110436" w:rsidR="002975E5" w:rsidRDefault="002975E5" w:rsidP="00DB5636">
      <w:pPr>
        <w:pStyle w:val="subparaa"/>
        <w:numPr>
          <w:ilvl w:val="1"/>
          <w:numId w:val="17"/>
        </w:numPr>
        <w:spacing w:line="310" w:lineRule="atLeast"/>
      </w:pPr>
      <w:r>
        <w:t>we understand that the current and globally most common reporting practices are that FX swaps are reported as two ‘transactions’ that represent a spot/near-dated ‘leg’ and the opposite forward/far-dated ‘leg’ respectively</w:t>
      </w:r>
      <w:r w:rsidR="00075F1B" w:rsidRPr="00B5248C">
        <w:t>—</w:t>
      </w:r>
      <w:r w:rsidR="00075F1B">
        <w:t>so</w:t>
      </w:r>
      <w:r>
        <w:t xml:space="preserve"> we do not wish to require FX swaps </w:t>
      </w:r>
      <w:r w:rsidR="00075F1B">
        <w:t xml:space="preserve">to be </w:t>
      </w:r>
      <w:r>
        <w:t>reported in a single report;</w:t>
      </w:r>
    </w:p>
    <w:p w14:paraId="1496048C" w14:textId="7A74E8DC" w:rsidR="002975E5" w:rsidRDefault="002975E5" w:rsidP="00DB5636">
      <w:pPr>
        <w:pStyle w:val="subparaa"/>
        <w:numPr>
          <w:ilvl w:val="1"/>
          <w:numId w:val="17"/>
        </w:numPr>
        <w:spacing w:line="310" w:lineRule="atLeast"/>
      </w:pPr>
      <w:r>
        <w:t>we have considered that, particularly for cross-jurisdictional transactions, FX swaps could be allowed to be reported either in a single report o</w:t>
      </w:r>
      <w:r w:rsidR="00CA00A7">
        <w:t>r</w:t>
      </w:r>
      <w:r>
        <w:t xml:space="preserve"> in two reports, but we think it is important to have conformity to one approach for FX swaps reporting</w:t>
      </w:r>
      <w:r w:rsidR="00075F1B" w:rsidRPr="00B5248C">
        <w:t>—</w:t>
      </w:r>
      <w:r w:rsidR="00075F1B">
        <w:t xml:space="preserve">so </w:t>
      </w:r>
      <w:r>
        <w:t>we are proposing to require the globally most common approach of two reports.</w:t>
      </w:r>
    </w:p>
    <w:p w14:paraId="5A3918D1" w14:textId="1D08043C" w:rsidR="002975E5" w:rsidRDefault="002975E5" w:rsidP="00DB5636">
      <w:pPr>
        <w:pStyle w:val="BodyText"/>
        <w:numPr>
          <w:ilvl w:val="0"/>
          <w:numId w:val="17"/>
        </w:numPr>
        <w:spacing w:line="310" w:lineRule="atLeast"/>
      </w:pPr>
      <w:r>
        <w:t>Note that, f</w:t>
      </w:r>
      <w:r w:rsidRPr="00462AA0">
        <w:t>or s761D(1)(b)</w:t>
      </w:r>
      <w:r>
        <w:t xml:space="preserve"> of the </w:t>
      </w:r>
      <w:r w:rsidR="00075F1B">
        <w:t xml:space="preserve">Corporations </w:t>
      </w:r>
      <w:r>
        <w:t>Act</w:t>
      </w:r>
      <w:r w:rsidRPr="00462AA0">
        <w:t xml:space="preserve">, reg 7.1.04(1) of the Corporations Regulations excludes foreign exchange contracts for less than T+3 settlement </w:t>
      </w:r>
      <w:r>
        <w:t>from the meaning of a derivative. We consider that whether an FX swap is a derivative is determined by whether the forward/far-dated leg is for less than T+3 settlement and, as a single arrangement, the spot/near-dated leg would have the same characterisation. For example:</w:t>
      </w:r>
    </w:p>
    <w:p w14:paraId="5B79FF56" w14:textId="77777777" w:rsidR="002975E5" w:rsidRDefault="002975E5" w:rsidP="00DB5636">
      <w:pPr>
        <w:pStyle w:val="subparaa"/>
        <w:numPr>
          <w:ilvl w:val="1"/>
          <w:numId w:val="17"/>
        </w:numPr>
        <w:spacing w:line="310" w:lineRule="atLeast"/>
      </w:pPr>
      <w:r>
        <w:t>an ‘overnight’ FX swap (whose legs are for settlement today T+0 versus tomorrow T+1) or a ‘tom/next’ FX swap (whose legs are for settlement tomorrow T+1 versus the day after tomorrow T+2) would not be derivatives as the forward/far-dated leg is for less than T+3 settlement; whereas</w:t>
      </w:r>
    </w:p>
    <w:p w14:paraId="72457848" w14:textId="721648E3" w:rsidR="002975E5" w:rsidRDefault="002975E5" w:rsidP="00DB5636">
      <w:pPr>
        <w:pStyle w:val="subparaa"/>
        <w:numPr>
          <w:ilvl w:val="1"/>
          <w:numId w:val="17"/>
        </w:numPr>
        <w:spacing w:line="310" w:lineRule="atLeast"/>
      </w:pPr>
      <w:r>
        <w:t xml:space="preserve">a ‘spot/week’ FX swap (whose legs are for settlement ‘spot’ T+2 versus one week after spot T+9) would be a derivative as the forward/far-dated leg is for greater than T+3 settlement, and both the spot/near-dated leg and forward/far-dated leg are reported as separate transactions with the same </w:t>
      </w:r>
      <w:r w:rsidR="00075F1B">
        <w:t>p</w:t>
      </w:r>
      <w:r>
        <w:t>ackage identifier reported in each report.</w:t>
      </w:r>
    </w:p>
    <w:p w14:paraId="6E244D87" w14:textId="22D5B6E3" w:rsidR="002975E5" w:rsidRDefault="002975E5" w:rsidP="00DB5636">
      <w:pPr>
        <w:pStyle w:val="BodyText"/>
        <w:numPr>
          <w:ilvl w:val="0"/>
          <w:numId w:val="17"/>
        </w:numPr>
        <w:spacing w:line="310" w:lineRule="atLeast"/>
      </w:pPr>
      <w:r>
        <w:t xml:space="preserve">Where both counterparties will make derivative transaction reports under </w:t>
      </w:r>
      <w:r w:rsidR="00075F1B">
        <w:t xml:space="preserve">Rule </w:t>
      </w:r>
      <w:r>
        <w:t>2.2.1(1)</w:t>
      </w:r>
      <w:r w:rsidR="00404CA5">
        <w:t>—</w:t>
      </w:r>
      <w:r>
        <w:t>that is, to a licensed repository</w:t>
      </w:r>
      <w:r w:rsidR="00404CA5">
        <w:t>—</w:t>
      </w:r>
      <w:r>
        <w:t>we would expect that the counterparties agree on the number and product nature of the transactions they will each report and, accordingly, report the same Rule 2.2.9 UTI for each transaction.</w:t>
      </w:r>
    </w:p>
    <w:p w14:paraId="01BF1920" w14:textId="146515FB" w:rsidR="002975E5" w:rsidRDefault="002975E5" w:rsidP="00DB5636">
      <w:pPr>
        <w:pStyle w:val="BodyText"/>
        <w:numPr>
          <w:ilvl w:val="0"/>
          <w:numId w:val="17"/>
        </w:numPr>
        <w:spacing w:line="310" w:lineRule="atLeast"/>
      </w:pPr>
      <w:r>
        <w:t xml:space="preserve">Where only one counterparty will make derivative transaction reports under </w:t>
      </w:r>
      <w:r w:rsidR="00075F1B">
        <w:t xml:space="preserve">Rule </w:t>
      </w:r>
      <w:r>
        <w:t xml:space="preserve">2.2.1(1) and the other counterparty will not make reports under </w:t>
      </w:r>
      <w:r w:rsidR="00075F1B">
        <w:t>Rule </w:t>
      </w:r>
      <w:r>
        <w:t xml:space="preserve">2.2.1(1), we would not </w:t>
      </w:r>
      <w:r w:rsidR="002B3351">
        <w:t xml:space="preserve">necessarily </w:t>
      </w:r>
      <w:r>
        <w:t>expect the counterparties</w:t>
      </w:r>
      <w:r w:rsidR="002B3351">
        <w:t xml:space="preserve"> to</w:t>
      </w:r>
      <w:r>
        <w:t xml:space="preserve"> agree, in every circumstance, on the number and product nature of the transactions they will each report.</w:t>
      </w:r>
    </w:p>
    <w:p w14:paraId="1B339574" w14:textId="6F06EB4E" w:rsidR="002975E5" w:rsidRDefault="002975E5" w:rsidP="00DB5636">
      <w:pPr>
        <w:pStyle w:val="BodyText"/>
        <w:numPr>
          <w:ilvl w:val="0"/>
          <w:numId w:val="17"/>
        </w:numPr>
        <w:spacing w:line="310" w:lineRule="atLeast"/>
      </w:pPr>
      <w:r>
        <w:t>For example, where the other counterparty</w:t>
      </w:r>
      <w:r w:rsidR="002B3351">
        <w:t xml:space="preserve"> </w:t>
      </w:r>
      <w:r>
        <w:t>report</w:t>
      </w:r>
      <w:r w:rsidR="002B3351">
        <w:t>s</w:t>
      </w:r>
      <w:r>
        <w:t xml:space="preserve"> an FX swap in a single report in another jurisdiction this only require</w:t>
      </w:r>
      <w:r w:rsidR="002B3351">
        <w:t>s</w:t>
      </w:r>
      <w:r>
        <w:t xml:space="preserve"> one UTI, but two UTIs will be required to report the FX swap in two reports in this jurisdiction.</w:t>
      </w:r>
    </w:p>
    <w:p w14:paraId="24F938CB" w14:textId="77777777" w:rsidR="002975E5" w:rsidRDefault="002975E5" w:rsidP="00DB5636">
      <w:pPr>
        <w:pStyle w:val="BodyText"/>
        <w:numPr>
          <w:ilvl w:val="0"/>
          <w:numId w:val="17"/>
        </w:numPr>
        <w:spacing w:line="310" w:lineRule="atLeast"/>
      </w:pPr>
      <w:r>
        <w:t>In this situation, under Rule 2.2.9:</w:t>
      </w:r>
    </w:p>
    <w:p w14:paraId="08049054" w14:textId="6F4D621C" w:rsidR="002975E5" w:rsidRDefault="002975E5" w:rsidP="00DB5636">
      <w:pPr>
        <w:pStyle w:val="subparaa"/>
        <w:numPr>
          <w:ilvl w:val="1"/>
          <w:numId w:val="17"/>
        </w:numPr>
        <w:spacing w:line="310" w:lineRule="atLeast"/>
      </w:pPr>
      <w:r>
        <w:t xml:space="preserve">if the ASIC reporting entity is the </w:t>
      </w:r>
      <w:r w:rsidR="002B1D22">
        <w:t>UTI generating</w:t>
      </w:r>
      <w:r>
        <w:t xml:space="preserve"> entity, the ASIC reporting entity would generate and provide two UTIs </w:t>
      </w:r>
      <w:r w:rsidR="002B3351">
        <w:t xml:space="preserve">even though </w:t>
      </w:r>
      <w:r>
        <w:t>one of those UTIs will not be reported by the other counterparty; or</w:t>
      </w:r>
    </w:p>
    <w:p w14:paraId="32218C0E" w14:textId="022A875B" w:rsidR="002975E5" w:rsidRDefault="002975E5" w:rsidP="00DB5636">
      <w:pPr>
        <w:pStyle w:val="subparaa"/>
        <w:numPr>
          <w:ilvl w:val="1"/>
          <w:numId w:val="17"/>
        </w:numPr>
        <w:spacing w:line="310" w:lineRule="atLeast"/>
      </w:pPr>
      <w:r>
        <w:t xml:space="preserve">if the other counterparty (or the operator of the facility on which the FX swap is traded) is the </w:t>
      </w:r>
      <w:r w:rsidR="002B1D22">
        <w:t>UTI generating</w:t>
      </w:r>
      <w:r>
        <w:t xml:space="preserve"> entity but only provides one UTI, the ASIC reporting entity should use that UTI in reporting the forward/far-dated leg and, under </w:t>
      </w:r>
      <w:r w:rsidR="002B3351">
        <w:t>R</w:t>
      </w:r>
      <w:r>
        <w:t>ule 2.2.9(6)</w:t>
      </w:r>
      <w:r w:rsidR="002B3351">
        <w:t>,</w:t>
      </w:r>
      <w:r>
        <w:t xml:space="preserve"> generate and report its own UTI in reporting</w:t>
      </w:r>
      <w:r w:rsidR="002B3351">
        <w:t xml:space="preserve"> </w:t>
      </w:r>
      <w:r>
        <w:t>the spot/near-dated leg.</w:t>
      </w:r>
    </w:p>
    <w:p w14:paraId="4C06CF00" w14:textId="34974E81" w:rsidR="002975E5" w:rsidRDefault="002975E5" w:rsidP="00DB5636">
      <w:pPr>
        <w:pStyle w:val="BodyText"/>
        <w:numPr>
          <w:ilvl w:val="0"/>
          <w:numId w:val="17"/>
        </w:numPr>
        <w:spacing w:line="310" w:lineRule="atLeast"/>
      </w:pPr>
      <w:r>
        <w:t xml:space="preserve">In </w:t>
      </w:r>
      <w:r w:rsidR="002B3351">
        <w:t>T</w:t>
      </w:r>
      <w:r>
        <w:t>able S1.1(1), the other data elements related to packages are the package price or package spread, and the associated currencies and notations of the price or spread.</w:t>
      </w:r>
    </w:p>
    <w:p w14:paraId="3C400BA4" w14:textId="13CC39E2" w:rsidR="002975E5" w:rsidRDefault="002975E5" w:rsidP="00DB5636">
      <w:pPr>
        <w:pStyle w:val="BodyText"/>
        <w:numPr>
          <w:ilvl w:val="0"/>
          <w:numId w:val="17"/>
        </w:numPr>
        <w:spacing w:line="310" w:lineRule="atLeast"/>
      </w:pPr>
      <w:r>
        <w:t xml:space="preserve">A package is either reported with a price at item </w:t>
      </w:r>
      <w:r w:rsidR="00E96429">
        <w:t xml:space="preserve">92 </w:t>
      </w:r>
      <w:r w:rsidR="002B3351">
        <w:t>‘</w:t>
      </w:r>
      <w:r>
        <w:t>Package transaction price</w:t>
      </w:r>
      <w:r w:rsidR="002B3351">
        <w:t>’</w:t>
      </w:r>
      <w:r>
        <w:t xml:space="preserve"> or with a spread at item </w:t>
      </w:r>
      <w:r w:rsidR="00E96429">
        <w:t xml:space="preserve">95 </w:t>
      </w:r>
      <w:r w:rsidR="002B3351">
        <w:t>‘</w:t>
      </w:r>
      <w:r>
        <w:t>Package transaction spread</w:t>
      </w:r>
      <w:r w:rsidR="002B3351">
        <w:t>’</w:t>
      </w:r>
      <w:r>
        <w:t>.</w:t>
      </w:r>
    </w:p>
    <w:p w14:paraId="000B67DA" w14:textId="4ADE3BF2" w:rsidR="002975E5" w:rsidRDefault="001C7A0C" w:rsidP="00DB5636">
      <w:pPr>
        <w:pStyle w:val="BodyText"/>
        <w:numPr>
          <w:ilvl w:val="0"/>
          <w:numId w:val="17"/>
        </w:numPr>
        <w:spacing w:line="310" w:lineRule="atLeast"/>
      </w:pPr>
      <w:r>
        <w:t xml:space="preserve">Each </w:t>
      </w:r>
      <w:r w:rsidR="002975E5">
        <w:t>of the other data elements related to prices, spreads, rates or premia</w:t>
      </w:r>
      <w:r w:rsidR="002B3351">
        <w:t>,</w:t>
      </w:r>
      <w:r w:rsidR="002975E5">
        <w:t xml:space="preserve"> etc</w:t>
      </w:r>
      <w:r w:rsidR="002B3351">
        <w:t>.,</w:t>
      </w:r>
      <w:r w:rsidR="002975E5">
        <w:t xml:space="preserve"> in Table S1.1(1) are required to be reported if a package price or spread is reported</w:t>
      </w:r>
      <w:r>
        <w:t>.</w:t>
      </w:r>
      <w:r w:rsidR="002975E5">
        <w:t xml:space="preserve"> For the examples described in paragraphs </w:t>
      </w:r>
      <w:r w:rsidR="002975E5">
        <w:fldChar w:fldCharType="begin" w:fldLock="1"/>
      </w:r>
      <w:r w:rsidR="002975E5">
        <w:instrText xml:space="preserve"> REF _ASICRef390 \w \h </w:instrText>
      </w:r>
      <w:r w:rsidR="002975E5">
        <w:fldChar w:fldCharType="separate"/>
      </w:r>
      <w:r w:rsidR="00853A2A">
        <w:t>621</w:t>
      </w:r>
      <w:r w:rsidR="002975E5">
        <w:fldChar w:fldCharType="end"/>
      </w:r>
      <w:r w:rsidR="002975E5">
        <w:t>–</w:t>
      </w:r>
      <w:r w:rsidR="002975E5">
        <w:fldChar w:fldCharType="begin" w:fldLock="1"/>
      </w:r>
      <w:r w:rsidR="002975E5">
        <w:instrText xml:space="preserve"> REF _ASICRef489 \w \h </w:instrText>
      </w:r>
      <w:r w:rsidR="002975E5">
        <w:fldChar w:fldCharType="separate"/>
      </w:r>
      <w:r w:rsidR="00853A2A">
        <w:t>623</w:t>
      </w:r>
      <w:r w:rsidR="002975E5">
        <w:fldChar w:fldCharType="end"/>
      </w:r>
      <w:r w:rsidR="002975E5">
        <w:t xml:space="preserve">, some of the key other data elements that are required to be reported would be as listed in </w:t>
      </w:r>
      <w:r w:rsidR="002975E5">
        <w:fldChar w:fldCharType="begin" w:fldLock="1"/>
      </w:r>
      <w:r w:rsidR="002975E5">
        <w:instrText xml:space="preserve"> REF _Ref97042422 \h </w:instrText>
      </w:r>
      <w:r w:rsidR="002975E5">
        <w:fldChar w:fldCharType="separate"/>
      </w:r>
      <w:r w:rsidR="00853A2A">
        <w:t xml:space="preserve">Table </w:t>
      </w:r>
      <w:r w:rsidR="00853A2A">
        <w:rPr>
          <w:noProof/>
        </w:rPr>
        <w:t>35</w:t>
      </w:r>
      <w:r w:rsidR="002975E5">
        <w:fldChar w:fldCharType="end"/>
      </w:r>
      <w:r w:rsidR="002975E5">
        <w:t>.</w:t>
      </w:r>
    </w:p>
    <w:p w14:paraId="509BBE6E" w14:textId="1B9800F2" w:rsidR="002975E5" w:rsidRDefault="002975E5" w:rsidP="002975E5">
      <w:pPr>
        <w:pStyle w:val="tabletitlefullwidth"/>
      </w:pPr>
      <w:bookmarkStart w:id="222" w:name="_Ref97042422"/>
      <w:r>
        <w:t xml:space="preserve">Table </w:t>
      </w:r>
      <w:fldSimple w:instr=" SEQ Table \* ARABIC ">
        <w:r w:rsidR="006679BA">
          <w:rPr>
            <w:noProof/>
          </w:rPr>
          <w:t>35</w:t>
        </w:r>
      </w:fldSimple>
      <w:bookmarkEnd w:id="222"/>
      <w:r>
        <w:t>:</w:t>
      </w:r>
      <w:r>
        <w:tab/>
        <w:t>Key other data elements reportable for package transactions</w:t>
      </w:r>
    </w:p>
    <w:tbl>
      <w:tblPr>
        <w:tblW w:w="9180"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42"/>
        <w:gridCol w:w="1134"/>
        <w:gridCol w:w="1134"/>
        <w:gridCol w:w="1134"/>
        <w:gridCol w:w="1134"/>
        <w:gridCol w:w="1134"/>
        <w:gridCol w:w="1134"/>
        <w:gridCol w:w="1134"/>
      </w:tblGrid>
      <w:tr w:rsidR="002975E5" w:rsidRPr="000540E1" w14:paraId="146042A0" w14:textId="77777777" w:rsidTr="00B5248C">
        <w:trPr>
          <w:cantSplit/>
          <w:tblHeader/>
        </w:trPr>
        <w:tc>
          <w:tcPr>
            <w:tcW w:w="2376" w:type="dxa"/>
            <w:gridSpan w:val="2"/>
            <w:shd w:val="clear" w:color="auto" w:fill="C2E3FA"/>
          </w:tcPr>
          <w:p w14:paraId="01E57090" w14:textId="77777777" w:rsidR="002975E5" w:rsidRPr="000540E1" w:rsidRDefault="002975E5" w:rsidP="00F86FF1">
            <w:pPr>
              <w:pStyle w:val="tablehead"/>
            </w:pPr>
            <w:r>
              <w:t>Participating forward</w:t>
            </w:r>
          </w:p>
        </w:tc>
        <w:tc>
          <w:tcPr>
            <w:tcW w:w="2268" w:type="dxa"/>
            <w:gridSpan w:val="2"/>
            <w:shd w:val="clear" w:color="auto" w:fill="C2E3FA"/>
          </w:tcPr>
          <w:p w14:paraId="5A1BE2F5" w14:textId="77777777" w:rsidR="002975E5" w:rsidRPr="000540E1" w:rsidRDefault="002975E5" w:rsidP="00F86FF1">
            <w:pPr>
              <w:pStyle w:val="tablehead"/>
            </w:pPr>
            <w:r>
              <w:t>‘Floored’ interest rate swap</w:t>
            </w:r>
          </w:p>
        </w:tc>
        <w:tc>
          <w:tcPr>
            <w:tcW w:w="2268" w:type="dxa"/>
            <w:gridSpan w:val="2"/>
            <w:shd w:val="clear" w:color="auto" w:fill="C2E3FA"/>
          </w:tcPr>
          <w:p w14:paraId="7ADEB602" w14:textId="77777777" w:rsidR="002975E5" w:rsidRPr="000540E1" w:rsidRDefault="002975E5" w:rsidP="00F86FF1">
            <w:pPr>
              <w:pStyle w:val="tablehead"/>
            </w:pPr>
            <w:r>
              <w:t>Collar option</w:t>
            </w:r>
          </w:p>
        </w:tc>
        <w:tc>
          <w:tcPr>
            <w:tcW w:w="2268" w:type="dxa"/>
            <w:gridSpan w:val="2"/>
            <w:shd w:val="clear" w:color="auto" w:fill="C2E3FA"/>
          </w:tcPr>
          <w:p w14:paraId="4CF955E0" w14:textId="77777777" w:rsidR="002975E5" w:rsidRPr="000540E1" w:rsidRDefault="002975E5" w:rsidP="00F86FF1">
            <w:pPr>
              <w:pStyle w:val="tablehead"/>
            </w:pPr>
            <w:r>
              <w:t>FX swap</w:t>
            </w:r>
          </w:p>
        </w:tc>
      </w:tr>
      <w:tr w:rsidR="002975E5" w:rsidRPr="000540E1" w14:paraId="6275B879" w14:textId="77777777" w:rsidTr="00B5248C">
        <w:trPr>
          <w:cantSplit/>
        </w:trPr>
        <w:tc>
          <w:tcPr>
            <w:tcW w:w="1242" w:type="dxa"/>
          </w:tcPr>
          <w:p w14:paraId="4BE8BC35" w14:textId="77777777" w:rsidR="002975E5" w:rsidRPr="000540E1" w:rsidRDefault="002975E5" w:rsidP="00F86FF1">
            <w:pPr>
              <w:pStyle w:val="tbltext"/>
            </w:pPr>
            <w:r>
              <w:t>Forward element</w:t>
            </w:r>
          </w:p>
        </w:tc>
        <w:tc>
          <w:tcPr>
            <w:tcW w:w="1134" w:type="dxa"/>
          </w:tcPr>
          <w:p w14:paraId="3A890D0E" w14:textId="70A45B54" w:rsidR="002975E5" w:rsidRDefault="002975E5" w:rsidP="00F86FF1">
            <w:pPr>
              <w:pStyle w:val="tbltext"/>
            </w:pPr>
            <w:r>
              <w:t>Notional amount</w:t>
            </w:r>
            <w:r w:rsidR="00352FCC" w:rsidRPr="007A28FD">
              <w:rPr>
                <w:color w:val="000000" w:themeColor="text1"/>
              </w:rPr>
              <w:t>—</w:t>
            </w:r>
            <w:r>
              <w:t>Leg 1/2</w:t>
            </w:r>
          </w:p>
          <w:p w14:paraId="36C696B9" w14:textId="77777777" w:rsidR="002975E5" w:rsidRDefault="002975E5" w:rsidP="00F86FF1">
            <w:pPr>
              <w:pStyle w:val="tbltext"/>
              <w:rPr>
                <w:color w:val="000000" w:themeColor="text1"/>
              </w:rPr>
            </w:pPr>
            <w:r w:rsidRPr="007A28FD">
              <w:rPr>
                <w:color w:val="000000" w:themeColor="text1"/>
              </w:rPr>
              <w:t>Notional currency—Leg 1</w:t>
            </w:r>
            <w:r>
              <w:rPr>
                <w:color w:val="000000" w:themeColor="text1"/>
              </w:rPr>
              <w:t>/2</w:t>
            </w:r>
          </w:p>
          <w:p w14:paraId="7B90F95E" w14:textId="77777777" w:rsidR="002975E5" w:rsidRDefault="002975E5" w:rsidP="00F86FF1">
            <w:pPr>
              <w:pStyle w:val="tbltext"/>
            </w:pPr>
            <w:r>
              <w:t>Exchange rate</w:t>
            </w:r>
          </w:p>
          <w:p w14:paraId="03BB73E7" w14:textId="77777777" w:rsidR="002975E5" w:rsidRDefault="002975E5" w:rsidP="00F86FF1">
            <w:pPr>
              <w:pStyle w:val="tbltext"/>
            </w:pPr>
            <w:r>
              <w:t>Direction</w:t>
            </w:r>
          </w:p>
          <w:p w14:paraId="495A15FF" w14:textId="77777777" w:rsidR="002975E5" w:rsidRPr="000540E1" w:rsidRDefault="002975E5" w:rsidP="00F86FF1">
            <w:pPr>
              <w:pStyle w:val="tbltext"/>
            </w:pPr>
            <w:r>
              <w:t>Other payment</w:t>
            </w:r>
          </w:p>
        </w:tc>
        <w:tc>
          <w:tcPr>
            <w:tcW w:w="1134" w:type="dxa"/>
          </w:tcPr>
          <w:p w14:paraId="200AB081" w14:textId="77777777" w:rsidR="002975E5" w:rsidRPr="000540E1" w:rsidRDefault="002975E5" w:rsidP="00F86FF1">
            <w:pPr>
              <w:pStyle w:val="tbltext"/>
            </w:pPr>
            <w:r>
              <w:t>Swap element</w:t>
            </w:r>
          </w:p>
        </w:tc>
        <w:tc>
          <w:tcPr>
            <w:tcW w:w="1134" w:type="dxa"/>
          </w:tcPr>
          <w:p w14:paraId="552208AC" w14:textId="6C5088B8" w:rsidR="002975E5" w:rsidRDefault="002975E5" w:rsidP="00F86FF1">
            <w:pPr>
              <w:pStyle w:val="tbltext"/>
            </w:pPr>
            <w:r>
              <w:t>Notional amount</w:t>
            </w:r>
            <w:r w:rsidR="00352FCC" w:rsidRPr="007A28FD">
              <w:rPr>
                <w:color w:val="000000" w:themeColor="text1"/>
              </w:rPr>
              <w:t>—</w:t>
            </w:r>
            <w:r>
              <w:t>Leg 1/2</w:t>
            </w:r>
          </w:p>
          <w:p w14:paraId="15B39716" w14:textId="77777777" w:rsidR="002975E5" w:rsidRDefault="002975E5" w:rsidP="00F86FF1">
            <w:pPr>
              <w:pStyle w:val="tbltext"/>
            </w:pPr>
            <w:r>
              <w:t>Fixed rate</w:t>
            </w:r>
          </w:p>
          <w:p w14:paraId="25B7F059" w14:textId="77777777" w:rsidR="002975E5" w:rsidRDefault="002975E5" w:rsidP="00F86FF1">
            <w:pPr>
              <w:pStyle w:val="tbltext"/>
            </w:pPr>
            <w:r>
              <w:t>Direction</w:t>
            </w:r>
          </w:p>
          <w:p w14:paraId="1C8C5981" w14:textId="77777777" w:rsidR="002975E5" w:rsidRPr="000540E1" w:rsidRDefault="002975E5" w:rsidP="00F86FF1">
            <w:pPr>
              <w:pStyle w:val="tbltext"/>
            </w:pPr>
            <w:r>
              <w:t>Other payment</w:t>
            </w:r>
          </w:p>
        </w:tc>
        <w:tc>
          <w:tcPr>
            <w:tcW w:w="1134" w:type="dxa"/>
          </w:tcPr>
          <w:p w14:paraId="4F52752A" w14:textId="77777777" w:rsidR="002975E5" w:rsidRPr="000540E1" w:rsidRDefault="002975E5" w:rsidP="00F86FF1">
            <w:pPr>
              <w:pStyle w:val="tbltext"/>
            </w:pPr>
            <w:r>
              <w:t>Call element</w:t>
            </w:r>
          </w:p>
        </w:tc>
        <w:tc>
          <w:tcPr>
            <w:tcW w:w="1134" w:type="dxa"/>
          </w:tcPr>
          <w:p w14:paraId="2965BB27" w14:textId="6899E790" w:rsidR="002975E5" w:rsidRDefault="002975E5" w:rsidP="00F86FF1">
            <w:pPr>
              <w:pStyle w:val="tbltext"/>
            </w:pPr>
            <w:r>
              <w:t>Notional amount</w:t>
            </w:r>
            <w:r w:rsidR="00352FCC" w:rsidRPr="007A28FD">
              <w:rPr>
                <w:color w:val="000000" w:themeColor="text1"/>
              </w:rPr>
              <w:t>—</w:t>
            </w:r>
            <w:r>
              <w:t>Leg 1/2</w:t>
            </w:r>
          </w:p>
          <w:p w14:paraId="3EC99A6A" w14:textId="77777777" w:rsidR="002975E5" w:rsidRDefault="002975E5" w:rsidP="00F86FF1">
            <w:pPr>
              <w:pStyle w:val="tbltext"/>
            </w:pPr>
            <w:r>
              <w:t>Strike price</w:t>
            </w:r>
          </w:p>
          <w:p w14:paraId="5735A6C7" w14:textId="77777777" w:rsidR="002975E5" w:rsidRDefault="002975E5" w:rsidP="00F86FF1">
            <w:pPr>
              <w:pStyle w:val="tbltext"/>
            </w:pPr>
            <w:r>
              <w:t>Option premium amount</w:t>
            </w:r>
          </w:p>
          <w:p w14:paraId="404C0B11" w14:textId="77777777" w:rsidR="002975E5" w:rsidRPr="000540E1" w:rsidRDefault="002975E5" w:rsidP="00F86FF1">
            <w:pPr>
              <w:pStyle w:val="tbltext"/>
            </w:pPr>
            <w:r>
              <w:t>Direction</w:t>
            </w:r>
          </w:p>
        </w:tc>
        <w:tc>
          <w:tcPr>
            <w:tcW w:w="1134" w:type="dxa"/>
          </w:tcPr>
          <w:p w14:paraId="40515ECC" w14:textId="77777777" w:rsidR="002975E5" w:rsidRPr="000540E1" w:rsidRDefault="002975E5" w:rsidP="00F86FF1">
            <w:pPr>
              <w:pStyle w:val="tbltext"/>
            </w:pPr>
            <w:r>
              <w:t>Near-dated element</w:t>
            </w:r>
          </w:p>
        </w:tc>
        <w:tc>
          <w:tcPr>
            <w:tcW w:w="1134" w:type="dxa"/>
          </w:tcPr>
          <w:p w14:paraId="0CAE86DD" w14:textId="66126F37" w:rsidR="002975E5" w:rsidRDefault="002975E5" w:rsidP="00F86FF1">
            <w:pPr>
              <w:pStyle w:val="tbltext"/>
            </w:pPr>
            <w:r>
              <w:t>Notional amount</w:t>
            </w:r>
            <w:r w:rsidR="00DA43D0" w:rsidRPr="007A28FD">
              <w:rPr>
                <w:color w:val="000000" w:themeColor="text1"/>
              </w:rPr>
              <w:t>—</w:t>
            </w:r>
            <w:r>
              <w:t>Leg 1/2</w:t>
            </w:r>
          </w:p>
          <w:p w14:paraId="1E787C17" w14:textId="77777777" w:rsidR="002975E5" w:rsidRDefault="002975E5" w:rsidP="00F86FF1">
            <w:pPr>
              <w:pStyle w:val="tbltext"/>
              <w:rPr>
                <w:color w:val="000000" w:themeColor="text1"/>
              </w:rPr>
            </w:pPr>
            <w:r w:rsidRPr="007A28FD">
              <w:rPr>
                <w:color w:val="000000" w:themeColor="text1"/>
              </w:rPr>
              <w:t>Notional currency—Leg 1</w:t>
            </w:r>
            <w:r>
              <w:rPr>
                <w:color w:val="000000" w:themeColor="text1"/>
              </w:rPr>
              <w:t>/2</w:t>
            </w:r>
          </w:p>
          <w:p w14:paraId="0F3D53DA" w14:textId="77777777" w:rsidR="002975E5" w:rsidRDefault="002975E5" w:rsidP="00F86FF1">
            <w:pPr>
              <w:pStyle w:val="tbltext"/>
            </w:pPr>
            <w:r>
              <w:t>Exchange rate</w:t>
            </w:r>
          </w:p>
          <w:p w14:paraId="3EC68F56" w14:textId="77777777" w:rsidR="002975E5" w:rsidRPr="000540E1" w:rsidRDefault="002975E5" w:rsidP="00F86FF1">
            <w:pPr>
              <w:pStyle w:val="tbltext"/>
            </w:pPr>
            <w:r>
              <w:t>Direction</w:t>
            </w:r>
          </w:p>
        </w:tc>
      </w:tr>
      <w:tr w:rsidR="002975E5" w:rsidRPr="000540E1" w14:paraId="587F3FE2" w14:textId="77777777" w:rsidTr="00B5248C">
        <w:trPr>
          <w:cantSplit/>
        </w:trPr>
        <w:tc>
          <w:tcPr>
            <w:tcW w:w="1242" w:type="dxa"/>
          </w:tcPr>
          <w:p w14:paraId="5932D8D1" w14:textId="77777777" w:rsidR="002975E5" w:rsidRPr="000540E1" w:rsidRDefault="002975E5" w:rsidP="00F86FF1">
            <w:pPr>
              <w:pStyle w:val="tbltext"/>
            </w:pPr>
            <w:r>
              <w:t>Option element</w:t>
            </w:r>
          </w:p>
        </w:tc>
        <w:tc>
          <w:tcPr>
            <w:tcW w:w="1134" w:type="dxa"/>
          </w:tcPr>
          <w:p w14:paraId="0EB4A21F" w14:textId="77777777" w:rsidR="002975E5" w:rsidRDefault="002975E5" w:rsidP="00F86FF1">
            <w:pPr>
              <w:pStyle w:val="tbltext"/>
            </w:pPr>
            <w:r>
              <w:t>Call/Put amount</w:t>
            </w:r>
          </w:p>
          <w:p w14:paraId="42BC2AB8" w14:textId="77777777" w:rsidR="002975E5" w:rsidRDefault="002975E5" w:rsidP="00F86FF1">
            <w:pPr>
              <w:pStyle w:val="tbltext"/>
            </w:pPr>
            <w:r>
              <w:t>Call/Put currency</w:t>
            </w:r>
          </w:p>
          <w:p w14:paraId="47BFBC2B" w14:textId="77777777" w:rsidR="002975E5" w:rsidRDefault="002975E5" w:rsidP="00F86FF1">
            <w:pPr>
              <w:pStyle w:val="tbltext"/>
            </w:pPr>
            <w:r>
              <w:t>Strike price</w:t>
            </w:r>
          </w:p>
          <w:p w14:paraId="21A2A9F8" w14:textId="77777777" w:rsidR="002975E5" w:rsidRDefault="002975E5" w:rsidP="00F86FF1">
            <w:pPr>
              <w:pStyle w:val="tbltext"/>
            </w:pPr>
            <w:r>
              <w:t>Option premium amount</w:t>
            </w:r>
          </w:p>
          <w:p w14:paraId="785F5B98" w14:textId="77777777" w:rsidR="002975E5" w:rsidRPr="000540E1" w:rsidRDefault="002975E5" w:rsidP="00F86FF1">
            <w:pPr>
              <w:pStyle w:val="tbltext"/>
            </w:pPr>
            <w:r>
              <w:t>Direction</w:t>
            </w:r>
          </w:p>
        </w:tc>
        <w:tc>
          <w:tcPr>
            <w:tcW w:w="1134" w:type="dxa"/>
          </w:tcPr>
          <w:p w14:paraId="7D49C183" w14:textId="77777777" w:rsidR="002975E5" w:rsidRPr="000540E1" w:rsidRDefault="002975E5" w:rsidP="00F86FF1">
            <w:pPr>
              <w:pStyle w:val="tbltext"/>
            </w:pPr>
            <w:r>
              <w:t>Option element</w:t>
            </w:r>
          </w:p>
        </w:tc>
        <w:tc>
          <w:tcPr>
            <w:tcW w:w="1134" w:type="dxa"/>
          </w:tcPr>
          <w:p w14:paraId="1191C2FE" w14:textId="73556EBA" w:rsidR="002975E5" w:rsidRDefault="002975E5" w:rsidP="00F86FF1">
            <w:pPr>
              <w:pStyle w:val="tbltext"/>
            </w:pPr>
            <w:r>
              <w:t>Notional amount</w:t>
            </w:r>
            <w:r w:rsidR="00352FCC" w:rsidRPr="007A28FD">
              <w:rPr>
                <w:color w:val="000000" w:themeColor="text1"/>
              </w:rPr>
              <w:t>—</w:t>
            </w:r>
            <w:r>
              <w:t>Leg 1/2</w:t>
            </w:r>
          </w:p>
          <w:p w14:paraId="1FF23C41" w14:textId="77777777" w:rsidR="002975E5" w:rsidRDefault="002975E5" w:rsidP="00F86FF1">
            <w:pPr>
              <w:pStyle w:val="tbltext"/>
            </w:pPr>
            <w:r>
              <w:t>Strike price</w:t>
            </w:r>
          </w:p>
          <w:p w14:paraId="2AFE4303" w14:textId="77777777" w:rsidR="002975E5" w:rsidRDefault="002975E5" w:rsidP="00F86FF1">
            <w:pPr>
              <w:pStyle w:val="tbltext"/>
            </w:pPr>
            <w:r>
              <w:t>Option premium amount</w:t>
            </w:r>
          </w:p>
          <w:p w14:paraId="775D82CF" w14:textId="77777777" w:rsidR="002975E5" w:rsidRPr="000540E1" w:rsidRDefault="002975E5" w:rsidP="00F86FF1">
            <w:pPr>
              <w:pStyle w:val="tbltext"/>
            </w:pPr>
            <w:r>
              <w:t>Direction</w:t>
            </w:r>
          </w:p>
        </w:tc>
        <w:tc>
          <w:tcPr>
            <w:tcW w:w="1134" w:type="dxa"/>
          </w:tcPr>
          <w:p w14:paraId="59702C4B" w14:textId="77777777" w:rsidR="002975E5" w:rsidRPr="000540E1" w:rsidRDefault="002975E5" w:rsidP="00F86FF1">
            <w:pPr>
              <w:pStyle w:val="tbltext"/>
            </w:pPr>
            <w:r>
              <w:t>Put element</w:t>
            </w:r>
          </w:p>
        </w:tc>
        <w:tc>
          <w:tcPr>
            <w:tcW w:w="1134" w:type="dxa"/>
          </w:tcPr>
          <w:p w14:paraId="3F602511" w14:textId="2F85D998" w:rsidR="002975E5" w:rsidRDefault="002975E5" w:rsidP="00F86FF1">
            <w:pPr>
              <w:pStyle w:val="tbltext"/>
            </w:pPr>
            <w:r>
              <w:t>Notional amount</w:t>
            </w:r>
            <w:r w:rsidR="00352FCC" w:rsidRPr="007A28FD">
              <w:rPr>
                <w:color w:val="000000" w:themeColor="text1"/>
              </w:rPr>
              <w:t>—</w:t>
            </w:r>
            <w:r>
              <w:t>Leg 1/2</w:t>
            </w:r>
          </w:p>
          <w:p w14:paraId="667AE5A0" w14:textId="77777777" w:rsidR="002975E5" w:rsidRDefault="002975E5" w:rsidP="00F86FF1">
            <w:pPr>
              <w:pStyle w:val="tbltext"/>
            </w:pPr>
            <w:r>
              <w:t>Strike price</w:t>
            </w:r>
          </w:p>
          <w:p w14:paraId="13C80CE9" w14:textId="77777777" w:rsidR="002975E5" w:rsidRDefault="002975E5" w:rsidP="00F86FF1">
            <w:pPr>
              <w:pStyle w:val="tbltext"/>
            </w:pPr>
            <w:r>
              <w:t>Option premium amount</w:t>
            </w:r>
          </w:p>
          <w:p w14:paraId="7CA3FBB1" w14:textId="77777777" w:rsidR="002975E5" w:rsidRPr="000540E1" w:rsidRDefault="002975E5" w:rsidP="00F86FF1">
            <w:pPr>
              <w:pStyle w:val="tbltext"/>
            </w:pPr>
            <w:r>
              <w:t>Direction</w:t>
            </w:r>
          </w:p>
        </w:tc>
        <w:tc>
          <w:tcPr>
            <w:tcW w:w="1134" w:type="dxa"/>
          </w:tcPr>
          <w:p w14:paraId="39FBA638" w14:textId="77777777" w:rsidR="002975E5" w:rsidRPr="000540E1" w:rsidRDefault="002975E5" w:rsidP="00F86FF1">
            <w:pPr>
              <w:pStyle w:val="tbltext"/>
            </w:pPr>
            <w:r>
              <w:t>Far-dated element</w:t>
            </w:r>
          </w:p>
        </w:tc>
        <w:tc>
          <w:tcPr>
            <w:tcW w:w="1134" w:type="dxa"/>
          </w:tcPr>
          <w:p w14:paraId="062481FF" w14:textId="3CF97828" w:rsidR="002975E5" w:rsidRDefault="002975E5" w:rsidP="00F86FF1">
            <w:pPr>
              <w:pStyle w:val="tbltext"/>
            </w:pPr>
            <w:r>
              <w:t>Notional amount</w:t>
            </w:r>
            <w:r w:rsidR="00352FCC" w:rsidRPr="007A28FD">
              <w:rPr>
                <w:color w:val="000000" w:themeColor="text1"/>
              </w:rPr>
              <w:t>—</w:t>
            </w:r>
            <w:r>
              <w:t>Leg 1/2</w:t>
            </w:r>
          </w:p>
          <w:p w14:paraId="419BCA56" w14:textId="77777777" w:rsidR="002975E5" w:rsidRDefault="002975E5" w:rsidP="00F86FF1">
            <w:pPr>
              <w:pStyle w:val="tbltext"/>
              <w:rPr>
                <w:color w:val="000000" w:themeColor="text1"/>
              </w:rPr>
            </w:pPr>
            <w:r w:rsidRPr="007A28FD">
              <w:rPr>
                <w:color w:val="000000" w:themeColor="text1"/>
              </w:rPr>
              <w:t>Notional currency—Leg 1</w:t>
            </w:r>
            <w:r>
              <w:rPr>
                <w:color w:val="000000" w:themeColor="text1"/>
              </w:rPr>
              <w:t>/2</w:t>
            </w:r>
          </w:p>
          <w:p w14:paraId="10AE0FA6" w14:textId="77777777" w:rsidR="002975E5" w:rsidRDefault="002975E5" w:rsidP="00F86FF1">
            <w:pPr>
              <w:pStyle w:val="tbltext"/>
            </w:pPr>
            <w:r>
              <w:t>Exchange rate</w:t>
            </w:r>
          </w:p>
          <w:p w14:paraId="009B14F2" w14:textId="77777777" w:rsidR="002975E5" w:rsidRPr="000540E1" w:rsidRDefault="002975E5" w:rsidP="00F86FF1">
            <w:pPr>
              <w:pStyle w:val="tbltext"/>
            </w:pPr>
            <w:r>
              <w:t>Direction</w:t>
            </w:r>
          </w:p>
        </w:tc>
      </w:tr>
    </w:tbl>
    <w:p w14:paraId="24C2B53E" w14:textId="77777777" w:rsidR="002975E5" w:rsidRDefault="002975E5" w:rsidP="00C443A0">
      <w:pPr>
        <w:pStyle w:val="BodyText"/>
        <w:numPr>
          <w:ilvl w:val="0"/>
          <w:numId w:val="17"/>
        </w:numPr>
      </w:pPr>
      <w:r>
        <w:t>The price of a package may be reported as a net value amount which may be zero or near-zero, where there are inherent equal and offsetting values in the elements of the package. Nonetheless, we expect that the price-maker of the package would report the ‘value’ information in the reports of the individual elements of the package. For example:</w:t>
      </w:r>
    </w:p>
    <w:p w14:paraId="5CAFDF4B" w14:textId="77777777" w:rsidR="002975E5" w:rsidRDefault="002975E5" w:rsidP="00C443A0">
      <w:pPr>
        <w:pStyle w:val="subparaa"/>
        <w:numPr>
          <w:ilvl w:val="1"/>
          <w:numId w:val="17"/>
        </w:numPr>
      </w:pPr>
      <w:r>
        <w:t>a notional option premium (not actually received) offset by a notional upfront payment (not actually paid) for an immediately in-the-money forward or swap element; or</w:t>
      </w:r>
    </w:p>
    <w:p w14:paraId="62161CEE" w14:textId="77777777" w:rsidR="002975E5" w:rsidRDefault="002975E5" w:rsidP="00C443A0">
      <w:pPr>
        <w:pStyle w:val="subparaa"/>
        <w:numPr>
          <w:ilvl w:val="1"/>
          <w:numId w:val="17"/>
        </w:numPr>
      </w:pPr>
      <w:r>
        <w:t>a notional option premium (not actually received) on a sold option offset by a notional option premium (not actually paid) on a bought option.</w:t>
      </w:r>
    </w:p>
    <w:p w14:paraId="0560CAC1" w14:textId="3FB7298C" w:rsidR="002975E5" w:rsidRDefault="002975E5" w:rsidP="00C443A0">
      <w:pPr>
        <w:pStyle w:val="BodyText"/>
        <w:numPr>
          <w:ilvl w:val="0"/>
          <w:numId w:val="17"/>
        </w:numPr>
      </w:pPr>
      <w:r>
        <w:t>However, where the price-taker is also an ASIC reporting entity, we would not expect that they would necessarily report this kind of ‘value’ information. If they receive the information from their price-making counterparty, we expect that they would report the information. They may also ascribe their own reasonable ‘values’ for the information</w:t>
      </w:r>
      <w:r w:rsidR="005F1948">
        <w:t>.</w:t>
      </w:r>
    </w:p>
    <w:p w14:paraId="6D4EFDFD" w14:textId="51BFE697" w:rsidR="002975E5" w:rsidRDefault="002975E5" w:rsidP="00C443A0">
      <w:pPr>
        <w:pStyle w:val="BodyText"/>
        <w:numPr>
          <w:ilvl w:val="0"/>
          <w:numId w:val="17"/>
        </w:numPr>
      </w:pPr>
      <w:r>
        <w:t>The particular package of an FX swap is one where the package spread</w:t>
      </w:r>
      <w:r w:rsidR="00404CA5">
        <w:t>—</w:t>
      </w:r>
      <w:r>
        <w:t>that is, the difference between the exchange rates for the spot/near-dated leg and forward/far-dated leg</w:t>
      </w:r>
      <w:r w:rsidR="00404CA5">
        <w:t>—</w:t>
      </w:r>
      <w:r>
        <w:t>is a contract term of the transaction or is determinable from the exchange rates that are terms of the transaction(s). In this case, we would expect that both counterparties would report the same values for the package spread and the exchange rates.</w:t>
      </w:r>
    </w:p>
    <w:p w14:paraId="0A72D5BD" w14:textId="49FE0792" w:rsidR="002975E5" w:rsidRDefault="002975E5" w:rsidP="00C443A0">
      <w:pPr>
        <w:pStyle w:val="BodyText"/>
        <w:numPr>
          <w:ilvl w:val="0"/>
          <w:numId w:val="17"/>
        </w:numPr>
      </w:pPr>
      <w:r>
        <w:t xml:space="preserve">In </w:t>
      </w:r>
      <w:r w:rsidR="00352FCC">
        <w:t>T</w:t>
      </w:r>
      <w:r>
        <w:t>able S1.1(1), the other data elements related to package price and package spread are the associated:</w:t>
      </w:r>
    </w:p>
    <w:p w14:paraId="727E6CD4" w14:textId="70BBACDC" w:rsidR="002975E5" w:rsidRDefault="002975E5" w:rsidP="00C443A0">
      <w:pPr>
        <w:pStyle w:val="subparaa"/>
        <w:numPr>
          <w:ilvl w:val="1"/>
          <w:numId w:val="17"/>
        </w:numPr>
      </w:pPr>
      <w:r>
        <w:t>currencies</w:t>
      </w:r>
      <w:r w:rsidR="00404CA5">
        <w:t>—</w:t>
      </w:r>
      <w:r>
        <w:t xml:space="preserve">item </w:t>
      </w:r>
      <w:r w:rsidR="00E96429">
        <w:t xml:space="preserve">93 </w:t>
      </w:r>
      <w:r w:rsidR="00352FCC">
        <w:t>‘</w:t>
      </w:r>
      <w:r w:rsidRPr="003D6665">
        <w:rPr>
          <w:color w:val="000000" w:themeColor="text1"/>
        </w:rPr>
        <w:t>Package transaction price currency</w:t>
      </w:r>
      <w:r w:rsidR="00352FCC">
        <w:rPr>
          <w:color w:val="000000" w:themeColor="text1"/>
        </w:rPr>
        <w:t>’</w:t>
      </w:r>
      <w:r>
        <w:t xml:space="preserve"> and item </w:t>
      </w:r>
      <w:r w:rsidR="00E96429">
        <w:t xml:space="preserve">96 </w:t>
      </w:r>
      <w:r w:rsidR="00352FCC">
        <w:t>‘</w:t>
      </w:r>
      <w:r w:rsidRPr="003D6665">
        <w:rPr>
          <w:color w:val="000000" w:themeColor="text1"/>
        </w:rPr>
        <w:t>Package transaction spread currency</w:t>
      </w:r>
      <w:r w:rsidR="00352FCC">
        <w:rPr>
          <w:color w:val="000000" w:themeColor="text1"/>
        </w:rPr>
        <w:t>’</w:t>
      </w:r>
      <w:r>
        <w:t>; and</w:t>
      </w:r>
    </w:p>
    <w:p w14:paraId="7721F18E" w14:textId="322FE9DB" w:rsidR="002975E5" w:rsidRDefault="002975E5" w:rsidP="00C443A0">
      <w:pPr>
        <w:pStyle w:val="subparaa"/>
        <w:numPr>
          <w:ilvl w:val="1"/>
          <w:numId w:val="17"/>
        </w:numPr>
      </w:pPr>
      <w:r>
        <w:t>notations</w:t>
      </w:r>
      <w:r w:rsidR="00404CA5">
        <w:t>—</w:t>
      </w:r>
      <w:r>
        <w:t xml:space="preserve">item </w:t>
      </w:r>
      <w:r w:rsidR="00E96429">
        <w:t xml:space="preserve">91 </w:t>
      </w:r>
      <w:r w:rsidR="00352FCC">
        <w:t>‘</w:t>
      </w:r>
      <w:r w:rsidRPr="003D6665">
        <w:rPr>
          <w:color w:val="000000" w:themeColor="text1"/>
        </w:rPr>
        <w:t>Package transaction price notation</w:t>
      </w:r>
      <w:r w:rsidR="00352FCC">
        <w:rPr>
          <w:color w:val="000000" w:themeColor="text1"/>
        </w:rPr>
        <w:t>’</w:t>
      </w:r>
      <w:r>
        <w:t xml:space="preserve"> and item </w:t>
      </w:r>
      <w:r w:rsidR="00E96429">
        <w:t xml:space="preserve">94 </w:t>
      </w:r>
      <w:r w:rsidR="00352FCC">
        <w:t>‘</w:t>
      </w:r>
      <w:r w:rsidRPr="003D6665">
        <w:rPr>
          <w:color w:val="000000" w:themeColor="text1"/>
        </w:rPr>
        <w:t>Package transaction spread notation</w:t>
      </w:r>
      <w:r w:rsidR="00352FCC">
        <w:rPr>
          <w:color w:val="000000" w:themeColor="text1"/>
        </w:rPr>
        <w:t>’</w:t>
      </w:r>
      <w:r>
        <w:t>.</w:t>
      </w:r>
    </w:p>
    <w:p w14:paraId="6C3CCE31" w14:textId="77777777" w:rsidR="002975E5" w:rsidRDefault="002975E5" w:rsidP="009C6F38">
      <w:pPr>
        <w:pStyle w:val="BodyText"/>
        <w:numPr>
          <w:ilvl w:val="0"/>
          <w:numId w:val="17"/>
        </w:numPr>
        <w:spacing w:line="310" w:lineRule="atLeast"/>
      </w:pPr>
      <w:r>
        <w:t>These items have meanings, formats and allowable values that are expressed in the same way that these are expressed for these kinds of data elements through the draft remade ASIC Rules.</w:t>
      </w:r>
    </w:p>
    <w:p w14:paraId="73BF2682" w14:textId="102BC40A" w:rsidR="002975E5" w:rsidRDefault="002975E5" w:rsidP="009C6F38">
      <w:pPr>
        <w:pStyle w:val="BodyText"/>
        <w:numPr>
          <w:ilvl w:val="0"/>
          <w:numId w:val="17"/>
        </w:numPr>
        <w:spacing w:line="310" w:lineRule="atLeast"/>
      </w:pPr>
      <w:r>
        <w:t xml:space="preserve">The final two data elements related to links are item 97 </w:t>
      </w:r>
      <w:r w:rsidR="00352FCC">
        <w:t>‘</w:t>
      </w:r>
      <w:r>
        <w:t>Prior UTI</w:t>
      </w:r>
      <w:r w:rsidR="00352FCC">
        <w:t>’</w:t>
      </w:r>
      <w:r>
        <w:t xml:space="preserve"> and item</w:t>
      </w:r>
      <w:r w:rsidR="00352FCC">
        <w:t> </w:t>
      </w:r>
      <w:r>
        <w:t xml:space="preserve">98 </w:t>
      </w:r>
      <w:r w:rsidR="00352FCC">
        <w:t>‘</w:t>
      </w:r>
      <w:r>
        <w:t>Event identifier</w:t>
      </w:r>
      <w:r w:rsidR="00352FCC">
        <w:t>’</w:t>
      </w:r>
      <w:r>
        <w:t>.</w:t>
      </w:r>
    </w:p>
    <w:p w14:paraId="07353B0C" w14:textId="35E63C83" w:rsidR="002975E5" w:rsidRDefault="002975E5" w:rsidP="009C6F38">
      <w:pPr>
        <w:pStyle w:val="BodyText"/>
        <w:numPr>
          <w:ilvl w:val="0"/>
          <w:numId w:val="17"/>
        </w:numPr>
        <w:spacing w:line="310" w:lineRule="atLeast"/>
      </w:pPr>
      <w:r>
        <w:t xml:space="preserve">In Table S1.1(1), the meaning of item 97 </w:t>
      </w:r>
      <w:r w:rsidR="00352FCC">
        <w:t>‘</w:t>
      </w:r>
      <w:r>
        <w:t>Prior UTI</w:t>
      </w:r>
      <w:r w:rsidR="00352FCC">
        <w:t>’</w:t>
      </w:r>
      <w:r>
        <w:t xml:space="preserve"> substantively follows the definition in the CDE Guidance but in a more concise way that focuses on the ‘single predecessor OTC Derivative’ that need not elaborate on the one-to-one or one-to-many relationship as it applies to a reportable transaction which may be the one successor or one of many successors. We think that this, and the nature of the lifecycle events that give rise to the successor reportable transaction can be elaborated in the Schedule 1 Technical Guidance.</w:t>
      </w:r>
    </w:p>
    <w:p w14:paraId="2026EB8A" w14:textId="77777777" w:rsidR="002975E5" w:rsidRDefault="002975E5" w:rsidP="009C6F38">
      <w:pPr>
        <w:pStyle w:val="BodyText"/>
        <w:numPr>
          <w:ilvl w:val="0"/>
          <w:numId w:val="17"/>
        </w:numPr>
        <w:spacing w:line="310" w:lineRule="atLeast"/>
      </w:pPr>
      <w:r>
        <w:t>The meaning also refers to the ‘transaction identifier’, rather than a UTI, which follows, along with the format and allowable values, the September 2021 revision to the CDE Guidance that recognises that the prior transaction identifier need not be an ISO 23897 UTI.</w:t>
      </w:r>
    </w:p>
    <w:p w14:paraId="1026DF1C" w14:textId="27B3E90B" w:rsidR="002975E5" w:rsidRDefault="002975E5" w:rsidP="009C6F38">
      <w:pPr>
        <w:pStyle w:val="BodyText"/>
        <w:numPr>
          <w:ilvl w:val="0"/>
          <w:numId w:val="17"/>
        </w:numPr>
        <w:spacing w:line="310" w:lineRule="atLeast"/>
      </w:pPr>
      <w:r>
        <w:t xml:space="preserve">In Table S1.1(1), the meaning of item 98 </w:t>
      </w:r>
      <w:r w:rsidR="00715D09">
        <w:t>‘</w:t>
      </w:r>
      <w:r>
        <w:t>Event identifier</w:t>
      </w:r>
      <w:r w:rsidR="00715D09">
        <w:t>’</w:t>
      </w:r>
      <w:r>
        <w:t xml:space="preserve">, and its format and allowable values, closely follows the definitions in the final CFTC rules. We recognise that there is </w:t>
      </w:r>
      <w:r w:rsidR="00715D09">
        <w:t xml:space="preserve">a </w:t>
      </w:r>
      <w:r>
        <w:t xml:space="preserve">case to provide guidance on this data element, such as given by the CFTC in the </w:t>
      </w:r>
      <w:r w:rsidR="009A10ED">
        <w:t xml:space="preserve">appendices </w:t>
      </w:r>
      <w:r>
        <w:t xml:space="preserve">for </w:t>
      </w:r>
      <w:r w:rsidR="00DD36D7">
        <w:t>P</w:t>
      </w:r>
      <w:r>
        <w:t>art</w:t>
      </w:r>
      <w:r w:rsidR="00715D09">
        <w:t>s</w:t>
      </w:r>
      <w:r>
        <w:t xml:space="preserve"> 43 and 45 Technical Specification.</w:t>
      </w:r>
    </w:p>
    <w:p w14:paraId="3E49DDB5" w14:textId="77777777" w:rsidR="002975E5" w:rsidRDefault="002975E5" w:rsidP="002975E5">
      <w:pPr>
        <w:pStyle w:val="Heading5"/>
      </w:pPr>
      <w:r>
        <w:t>Application to the draft remade ASIC Rules</w:t>
      </w:r>
    </w:p>
    <w:p w14:paraId="32CB4CDC" w14:textId="48EDAE11" w:rsidR="002975E5" w:rsidRDefault="002975E5" w:rsidP="009C6F38">
      <w:pPr>
        <w:pStyle w:val="BodyText"/>
        <w:numPr>
          <w:ilvl w:val="0"/>
          <w:numId w:val="17"/>
        </w:numPr>
        <w:spacing w:line="310" w:lineRule="atLeast"/>
      </w:pPr>
      <w:r>
        <w:t>The current ASIC Rules do not require these package and links data elements</w:t>
      </w:r>
      <w:r w:rsidR="00715D09">
        <w:t xml:space="preserve"> to be reported</w:t>
      </w:r>
      <w:r>
        <w:t>, and they are not introduced into the draft remade ASIC Rules.</w:t>
      </w:r>
    </w:p>
    <w:p w14:paraId="3C50612C" w14:textId="77777777" w:rsidR="002975E5" w:rsidRDefault="002975E5" w:rsidP="002975E5">
      <w:pPr>
        <w:pStyle w:val="Heading4"/>
      </w:pPr>
      <w:r>
        <w:t>Data elements that are other transaction reporting data elements</w:t>
      </w:r>
    </w:p>
    <w:p w14:paraId="72ACB93C" w14:textId="16D833A6" w:rsidR="002975E5" w:rsidRDefault="002975E5" w:rsidP="009C6F38">
      <w:pPr>
        <w:pStyle w:val="BodyText"/>
        <w:numPr>
          <w:ilvl w:val="0"/>
          <w:numId w:val="17"/>
        </w:numPr>
        <w:spacing w:after="200" w:line="310" w:lineRule="atLeast"/>
      </w:pPr>
      <w:r>
        <w:t>The draft amended ASIC Rules (</w:t>
      </w:r>
      <w:r w:rsidR="00715D09">
        <w:t xml:space="preserve">see </w:t>
      </w:r>
      <w:r>
        <w:t>Attachment 2) include the following other transaction reporting data elements</w:t>
      </w:r>
      <w:r w:rsidR="00572907">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4D214824" w14:textId="77777777" w:rsidTr="00F86FF1">
        <w:trPr>
          <w:cantSplit/>
        </w:trPr>
        <w:tc>
          <w:tcPr>
            <w:tcW w:w="1701" w:type="dxa"/>
            <w:shd w:val="clear" w:color="auto" w:fill="C2E3FA"/>
          </w:tcPr>
          <w:p w14:paraId="674B3459" w14:textId="613BA933" w:rsidR="002975E5" w:rsidRPr="000540E1" w:rsidRDefault="002975E5" w:rsidP="009C6F38">
            <w:pPr>
              <w:pStyle w:val="tablehead"/>
              <w:keepNext w:val="0"/>
            </w:pPr>
            <w:r>
              <w:t>Proceed per CP</w:t>
            </w:r>
            <w:r w:rsidR="00715D09">
              <w:t> </w:t>
            </w:r>
            <w:r>
              <w:t>334</w:t>
            </w:r>
          </w:p>
        </w:tc>
        <w:tc>
          <w:tcPr>
            <w:tcW w:w="5103" w:type="dxa"/>
          </w:tcPr>
          <w:p w14:paraId="4B24166B" w14:textId="77777777" w:rsidR="002975E5" w:rsidRDefault="002975E5" w:rsidP="00572907">
            <w:pPr>
              <w:pStyle w:val="tbltext"/>
              <w:rPr>
                <w:color w:val="000000" w:themeColor="text1"/>
              </w:rPr>
            </w:pPr>
            <w:r>
              <w:rPr>
                <w:color w:val="000000" w:themeColor="text1"/>
              </w:rPr>
              <w:t>Action type, Event type</w:t>
            </w:r>
          </w:p>
          <w:p w14:paraId="427CE9C7" w14:textId="77777777" w:rsidR="002975E5" w:rsidRPr="008B4297" w:rsidRDefault="002975E5" w:rsidP="00572907">
            <w:pPr>
              <w:pStyle w:val="tbltext"/>
              <w:rPr>
                <w:color w:val="000000" w:themeColor="text1"/>
              </w:rPr>
            </w:pPr>
            <w:r>
              <w:rPr>
                <w:color w:val="000000" w:themeColor="text1"/>
              </w:rPr>
              <w:t>Reporting timestamp, Report submitting entity</w:t>
            </w:r>
          </w:p>
        </w:tc>
      </w:tr>
      <w:tr w:rsidR="002975E5" w:rsidRPr="000540E1" w14:paraId="4A07452D" w14:textId="77777777" w:rsidTr="00F86FF1">
        <w:trPr>
          <w:cantSplit/>
        </w:trPr>
        <w:tc>
          <w:tcPr>
            <w:tcW w:w="1701" w:type="dxa"/>
            <w:shd w:val="clear" w:color="auto" w:fill="C2E3FA"/>
          </w:tcPr>
          <w:p w14:paraId="10D9668C" w14:textId="77777777" w:rsidR="002975E5" w:rsidRPr="000540E1" w:rsidRDefault="002975E5" w:rsidP="009C6F38">
            <w:pPr>
              <w:pStyle w:val="tablehead"/>
              <w:keepNext w:val="0"/>
            </w:pPr>
            <w:r>
              <w:t>Not proceed</w:t>
            </w:r>
          </w:p>
        </w:tc>
        <w:tc>
          <w:tcPr>
            <w:tcW w:w="5103" w:type="dxa"/>
          </w:tcPr>
          <w:p w14:paraId="7F3FB7B0" w14:textId="77777777" w:rsidR="002975E5" w:rsidRDefault="002975E5" w:rsidP="00572907">
            <w:pPr>
              <w:pStyle w:val="tbltext"/>
            </w:pPr>
            <w:r>
              <w:t>Jurisdiction,</w:t>
            </w:r>
          </w:p>
          <w:p w14:paraId="4A76C8EF" w14:textId="77777777" w:rsidR="002975E5" w:rsidRPr="00951D3D" w:rsidRDefault="002975E5" w:rsidP="00572907">
            <w:pPr>
              <w:pStyle w:val="tbltext"/>
              <w:rPr>
                <w:b/>
                <w:bCs/>
              </w:rPr>
            </w:pPr>
            <w:r>
              <w:t>Embedded option type, Non-reported term indicator</w:t>
            </w:r>
          </w:p>
        </w:tc>
      </w:tr>
      <w:tr w:rsidR="002975E5" w:rsidRPr="000540E1" w14:paraId="495C446C" w14:textId="77777777" w:rsidTr="00F86FF1">
        <w:trPr>
          <w:cantSplit/>
        </w:trPr>
        <w:tc>
          <w:tcPr>
            <w:tcW w:w="1701" w:type="dxa"/>
            <w:shd w:val="clear" w:color="auto" w:fill="C2E3FA"/>
          </w:tcPr>
          <w:p w14:paraId="13F5ACB6" w14:textId="77777777" w:rsidR="002975E5" w:rsidRPr="000540E1" w:rsidRDefault="002975E5" w:rsidP="009C6F38">
            <w:pPr>
              <w:pStyle w:val="tablehead"/>
              <w:keepNext w:val="0"/>
            </w:pPr>
            <w:r>
              <w:t>New proposal</w:t>
            </w:r>
          </w:p>
        </w:tc>
        <w:tc>
          <w:tcPr>
            <w:tcW w:w="5103" w:type="dxa"/>
          </w:tcPr>
          <w:p w14:paraId="52EF8208" w14:textId="48D7005D" w:rsidR="002975E5" w:rsidRPr="000540E1" w:rsidRDefault="00715D09" w:rsidP="00572907">
            <w:pPr>
              <w:pStyle w:val="tbltext"/>
            </w:pPr>
            <w:r>
              <w:rPr>
                <w:color w:val="000000" w:themeColor="text1"/>
              </w:rPr>
              <w:t>Not applicable</w:t>
            </w:r>
          </w:p>
        </w:tc>
      </w:tr>
    </w:tbl>
    <w:p w14:paraId="73B9C311" w14:textId="23C82BE5" w:rsidR="002975E5" w:rsidRDefault="002975E5" w:rsidP="00572907">
      <w:pPr>
        <w:pStyle w:val="BodyText"/>
        <w:numPr>
          <w:ilvl w:val="0"/>
          <w:numId w:val="17"/>
        </w:numPr>
      </w:pPr>
      <w:r>
        <w:t xml:space="preserve">As we note in paragraph </w:t>
      </w:r>
      <w:r w:rsidR="00794549">
        <w:fldChar w:fldCharType="begin" w:fldLock="1"/>
      </w:r>
      <w:r w:rsidR="00794549">
        <w:instrText xml:space="preserve"> REF _ASICRef95 \w \h </w:instrText>
      </w:r>
      <w:r w:rsidR="00794549">
        <w:fldChar w:fldCharType="separate"/>
      </w:r>
      <w:r w:rsidR="00853A2A">
        <w:t>357</w:t>
      </w:r>
      <w:r w:rsidR="00794549">
        <w:fldChar w:fldCharType="end"/>
      </w:r>
      <w:r>
        <w:t xml:space="preserve">, for action type and event type, several respondents were mainly concerned that ASIC would provide comprehensive and clear guidance about the circumstances </w:t>
      </w:r>
      <w:r w:rsidR="00715D09">
        <w:t xml:space="preserve">in which </w:t>
      </w:r>
      <w:r>
        <w:t xml:space="preserve">each kind of action type value or event type value is required to be reported. </w:t>
      </w:r>
    </w:p>
    <w:p w14:paraId="387D493B" w14:textId="35FCF316" w:rsidR="002975E5" w:rsidRDefault="002975E5" w:rsidP="00C443A0">
      <w:pPr>
        <w:pStyle w:val="BodyText"/>
        <w:numPr>
          <w:ilvl w:val="0"/>
          <w:numId w:val="17"/>
        </w:numPr>
      </w:pPr>
      <w:bookmarkStart w:id="223" w:name="_ASICRef257"/>
      <w:r>
        <w:t xml:space="preserve">We have decided to proceed with our proposals and recognise that it will be important to provide guidance on reporting these data elements in the Schedule 1 Technical Guidance document. We note that both the CFTC and ESMA have published guidance in terms of matrices of </w:t>
      </w:r>
      <w:r w:rsidR="00715D09">
        <w:t xml:space="preserve">action </w:t>
      </w:r>
      <w:r>
        <w:t xml:space="preserve">type and </w:t>
      </w:r>
      <w:r w:rsidR="00715D09">
        <w:t xml:space="preserve">event </w:t>
      </w:r>
      <w:r>
        <w:t>type combinations and diagrams illustrating allowable action type sequences. At this time, we have not identified any parts of these guidance documents where future ASIC guidance would materially differ.</w:t>
      </w:r>
      <w:bookmarkEnd w:id="223"/>
    </w:p>
    <w:p w14:paraId="396F1F32" w14:textId="6ECD358A" w:rsidR="002975E5" w:rsidRDefault="002975E5" w:rsidP="00C443A0">
      <w:pPr>
        <w:pStyle w:val="BodyText"/>
        <w:numPr>
          <w:ilvl w:val="0"/>
          <w:numId w:val="17"/>
        </w:numPr>
      </w:pPr>
      <w:r>
        <w:t>In relation to the data elements of jurisdiction, embedded option type and non-reported term indicator, several respondents opposed our proposals for reasons of misalignment with other jurisdictions</w:t>
      </w:r>
      <w:r w:rsidR="00715D09">
        <w:t>’</w:t>
      </w:r>
      <w:r>
        <w:t xml:space="preserve"> requirements, complexities in sourcing the information for reporting and unclear meanings. We have decided not to proceed with these proposals, particularly as they would be relatively bespoke ASIC data elements that may be more costly and complex to report than their regulatory information value.</w:t>
      </w:r>
    </w:p>
    <w:p w14:paraId="770C94EE" w14:textId="6039E6ED" w:rsidR="002975E5" w:rsidRDefault="002975E5" w:rsidP="00C443A0">
      <w:pPr>
        <w:pStyle w:val="BodyText"/>
        <w:numPr>
          <w:ilvl w:val="0"/>
          <w:numId w:val="17"/>
        </w:numPr>
      </w:pPr>
      <w:r>
        <w:t>In Table S1.1(1), our proposed approach to item 99</w:t>
      </w:r>
      <w:r w:rsidR="00715D09">
        <w:t xml:space="preserve"> ‘</w:t>
      </w:r>
      <w:r>
        <w:t>Action type</w:t>
      </w:r>
      <w:r w:rsidR="00715D09">
        <w:t>’</w:t>
      </w:r>
      <w:r>
        <w:t xml:space="preserve"> and </w:t>
      </w:r>
      <w:r w:rsidR="00715D09">
        <w:t>item </w:t>
      </w:r>
      <w:r>
        <w:t xml:space="preserve">100 </w:t>
      </w:r>
      <w:r w:rsidR="00715D09">
        <w:t>‘</w:t>
      </w:r>
      <w:r>
        <w:t>Event type</w:t>
      </w:r>
      <w:r w:rsidR="00715D09">
        <w:t>’</w:t>
      </w:r>
      <w:r>
        <w:t xml:space="preserve"> is to set out the meanings of these items as functional actions and events and to specify, as the allowable values, the </w:t>
      </w:r>
      <w:r w:rsidR="00715D09">
        <w:t>four</w:t>
      </w:r>
      <w:r>
        <w:t>-character codes applicable to the functional actions and events.</w:t>
      </w:r>
    </w:p>
    <w:p w14:paraId="38BA7183" w14:textId="77777777" w:rsidR="002975E5" w:rsidRDefault="002975E5" w:rsidP="002975E5">
      <w:pPr>
        <w:pStyle w:val="Note"/>
      </w:pPr>
      <w:r>
        <w:t>Note: In Table S1.1(1), the action types and event types are as relevant to ‘Derivative Transaction Information’. The action types relevant to ‘Derivative Valuation Information’ and ‘Derivative Collateral Information’ are set out in Table S1.1(2) and Table S1.1(3) respectively.</w:t>
      </w:r>
    </w:p>
    <w:p w14:paraId="63A17C97" w14:textId="11891434" w:rsidR="002975E5" w:rsidRDefault="002975E5" w:rsidP="00C443A0">
      <w:pPr>
        <w:pStyle w:val="BodyText"/>
        <w:numPr>
          <w:ilvl w:val="0"/>
          <w:numId w:val="17"/>
        </w:numPr>
      </w:pPr>
      <w:r>
        <w:t>We are proposing to include all the action types and event types that are in one or both of the final CFTC rules and the final ESMA rules. We think that each of these action types and event types would be relevant, even if only occasionally or irregularly, to the lifecycle or reporting events applicable to one or more reportable transactions over the term of the transaction.</w:t>
      </w:r>
    </w:p>
    <w:p w14:paraId="45358A11" w14:textId="6AE3E6FB" w:rsidR="002975E5" w:rsidRDefault="002975E5" w:rsidP="00C443A0">
      <w:pPr>
        <w:pStyle w:val="BodyText"/>
        <w:numPr>
          <w:ilvl w:val="0"/>
          <w:numId w:val="17"/>
        </w:numPr>
        <w:spacing w:line="290" w:lineRule="atLeast"/>
      </w:pPr>
      <w:r>
        <w:t>We are also proposing, as with the final CFTC rules and the final ESMA rules, to not specify within the draft remade ASIC Rules the allowable action type</w:t>
      </w:r>
      <w:r w:rsidR="0042276D">
        <w:t>–</w:t>
      </w:r>
      <w:r>
        <w:t>event type combination</w:t>
      </w:r>
      <w:r w:rsidR="00BC12B7">
        <w:t>s</w:t>
      </w:r>
      <w:r>
        <w:t xml:space="preserve"> and allowable action type sequences</w:t>
      </w:r>
      <w:r w:rsidR="00404CA5">
        <w:t>—</w:t>
      </w:r>
      <w:r>
        <w:t xml:space="preserve">as we note at paragraph </w:t>
      </w:r>
      <w:r>
        <w:fldChar w:fldCharType="begin" w:fldLock="1"/>
      </w:r>
      <w:r>
        <w:instrText xml:space="preserve"> REF _ASICRef257 \w \h </w:instrText>
      </w:r>
      <w:r>
        <w:fldChar w:fldCharType="separate"/>
      </w:r>
      <w:r w:rsidR="00853A2A">
        <w:t>644</w:t>
      </w:r>
      <w:r>
        <w:fldChar w:fldCharType="end"/>
      </w:r>
      <w:r>
        <w:t>, we intend to provide guidance on reporting these data elements in the Schedule 1 Technical Guidance document.</w:t>
      </w:r>
    </w:p>
    <w:p w14:paraId="31FE8684" w14:textId="0BB1B936" w:rsidR="002975E5" w:rsidRDefault="002975E5" w:rsidP="00C443A0">
      <w:pPr>
        <w:pStyle w:val="BodyText"/>
        <w:numPr>
          <w:ilvl w:val="0"/>
          <w:numId w:val="17"/>
        </w:numPr>
        <w:spacing w:line="290" w:lineRule="atLeast"/>
      </w:pPr>
      <w:bookmarkStart w:id="224" w:name="_ASICRef628"/>
      <w:r>
        <w:t>The final two data elements that are other transaction reporting data elements</w:t>
      </w:r>
      <w:r w:rsidR="00404CA5">
        <w:t>—</w:t>
      </w:r>
      <w:r>
        <w:t xml:space="preserve">item 101 </w:t>
      </w:r>
      <w:r w:rsidR="0042276D">
        <w:t>‘</w:t>
      </w:r>
      <w:r>
        <w:t>Reporting timestamp</w:t>
      </w:r>
      <w:r w:rsidR="0042276D">
        <w:t>’</w:t>
      </w:r>
      <w:r>
        <w:t xml:space="preserve"> and item 10</w:t>
      </w:r>
      <w:r w:rsidR="00270B30">
        <w:t>2</w:t>
      </w:r>
      <w:r>
        <w:t xml:space="preserve"> </w:t>
      </w:r>
      <w:r w:rsidR="0042276D">
        <w:t>‘</w:t>
      </w:r>
      <w:r>
        <w:t>Report submitting entity</w:t>
      </w:r>
      <w:r w:rsidR="0042276D">
        <w:t>’</w:t>
      </w:r>
      <w:r w:rsidR="00404CA5">
        <w:t>—</w:t>
      </w:r>
      <w:r>
        <w:t>are data elements that are present in the current ASIC Rules and whose meanings, formats and allowable values are not substantively changed from the current ASIC Rules or current reporting practices.</w:t>
      </w:r>
      <w:bookmarkEnd w:id="224"/>
    </w:p>
    <w:p w14:paraId="0C7B55B7" w14:textId="77777777" w:rsidR="002975E5" w:rsidRDefault="002975E5" w:rsidP="002975E5">
      <w:pPr>
        <w:pStyle w:val="Heading5"/>
      </w:pPr>
      <w:r>
        <w:t>Application to the draft remade ASIC Rules</w:t>
      </w:r>
    </w:p>
    <w:p w14:paraId="72940633" w14:textId="77777777" w:rsidR="002975E5" w:rsidRDefault="002975E5" w:rsidP="00C443A0">
      <w:pPr>
        <w:pStyle w:val="BodyText"/>
        <w:numPr>
          <w:ilvl w:val="0"/>
          <w:numId w:val="17"/>
        </w:numPr>
        <w:spacing w:line="290" w:lineRule="atLeast"/>
      </w:pPr>
      <w:r>
        <w:t>The current ASIC Rules do not require reporting of event type, and this data element is not introduced into the draft remade ASIC Rules.</w:t>
      </w:r>
    </w:p>
    <w:p w14:paraId="33BEBFA0" w14:textId="7E95990F" w:rsidR="002975E5" w:rsidRDefault="002975E5" w:rsidP="00C443A0">
      <w:pPr>
        <w:pStyle w:val="BodyText"/>
        <w:numPr>
          <w:ilvl w:val="0"/>
          <w:numId w:val="17"/>
        </w:numPr>
        <w:spacing w:line="290" w:lineRule="atLeast"/>
      </w:pPr>
      <w:r>
        <w:t xml:space="preserve">The current ASIC Rules include the data element action type. In the draft remade ASIC </w:t>
      </w:r>
      <w:r w:rsidR="005A5E1A">
        <w:t>Rules,</w:t>
      </w:r>
      <w:r>
        <w:t xml:space="preserve"> we are proposing two minor changes to better align the functional action types with current reporting practices to DDRS and to reflect the </w:t>
      </w:r>
      <w:r w:rsidR="005A5E1A">
        <w:t>allowable</w:t>
      </w:r>
      <w:r>
        <w:t xml:space="preserve"> values in the data files sent by DDRS to the Australian regulators.</w:t>
      </w:r>
    </w:p>
    <w:p w14:paraId="37CA2296" w14:textId="77777777" w:rsidR="002975E5" w:rsidRDefault="002975E5" w:rsidP="00C443A0">
      <w:pPr>
        <w:pStyle w:val="BodyText"/>
        <w:numPr>
          <w:ilvl w:val="0"/>
          <w:numId w:val="17"/>
        </w:numPr>
        <w:spacing w:line="290" w:lineRule="atLeast"/>
      </w:pPr>
      <w:r>
        <w:t>These changes are to:</w:t>
      </w:r>
    </w:p>
    <w:p w14:paraId="609D9694" w14:textId="77777777" w:rsidR="002975E5" w:rsidRDefault="002975E5" w:rsidP="00C443A0">
      <w:pPr>
        <w:pStyle w:val="subparaa"/>
        <w:numPr>
          <w:ilvl w:val="1"/>
          <w:numId w:val="17"/>
        </w:numPr>
        <w:spacing w:line="290" w:lineRule="atLeast"/>
      </w:pPr>
      <w:r>
        <w:t>remove reference to a ‘correction’ as this is not represented in the allowable values sent by DDRS to the Australian regulators;</w:t>
      </w:r>
    </w:p>
    <w:p w14:paraId="18A68D8D" w14:textId="77777777" w:rsidR="002975E5" w:rsidRDefault="002975E5" w:rsidP="00C443A0">
      <w:pPr>
        <w:pStyle w:val="subparaa"/>
        <w:numPr>
          <w:ilvl w:val="1"/>
          <w:numId w:val="17"/>
        </w:numPr>
        <w:spacing w:line="290" w:lineRule="atLeast"/>
      </w:pPr>
      <w:r>
        <w:t>clarify that a termination report is for a ‘full termination’ as a partial termination is currently represented as a ‘Modify’ action type; and</w:t>
      </w:r>
    </w:p>
    <w:p w14:paraId="48910F46" w14:textId="77777777" w:rsidR="002975E5" w:rsidRDefault="002975E5" w:rsidP="00C443A0">
      <w:pPr>
        <w:pStyle w:val="subparaa"/>
        <w:numPr>
          <w:ilvl w:val="1"/>
          <w:numId w:val="17"/>
        </w:numPr>
        <w:spacing w:line="290" w:lineRule="atLeast"/>
      </w:pPr>
      <w:r>
        <w:t>reflect that the actual values of action types in the data files sent by DDRS to the Australian regulators are New, Modify, Cancel, Compression, Error and ValuationUpdate.</w:t>
      </w:r>
    </w:p>
    <w:p w14:paraId="0003BAFD" w14:textId="449368DB" w:rsidR="002975E5" w:rsidRDefault="002975E5" w:rsidP="00C443A0">
      <w:pPr>
        <w:pStyle w:val="BodyText"/>
        <w:numPr>
          <w:ilvl w:val="0"/>
          <w:numId w:val="17"/>
        </w:numPr>
        <w:spacing w:line="290" w:lineRule="atLeast"/>
      </w:pPr>
      <w:r>
        <w:t xml:space="preserve">Finally, as noted at paragraph </w:t>
      </w:r>
      <w:r>
        <w:fldChar w:fldCharType="begin" w:fldLock="1"/>
      </w:r>
      <w:r>
        <w:instrText xml:space="preserve"> REF _ASICRef628 \w \h </w:instrText>
      </w:r>
      <w:r>
        <w:fldChar w:fldCharType="separate"/>
      </w:r>
      <w:r w:rsidR="00853A2A">
        <w:t>649</w:t>
      </w:r>
      <w:r>
        <w:fldChar w:fldCharType="end"/>
      </w:r>
      <w:r>
        <w:t>, the data elements of repor</w:t>
      </w:r>
      <w:r w:rsidRPr="00415A8E">
        <w:t xml:space="preserve">ting timestamp and </w:t>
      </w:r>
      <w:r>
        <w:t>r</w:t>
      </w:r>
      <w:r w:rsidRPr="00415A8E">
        <w:t>eport submitting entity</w:t>
      </w:r>
      <w:r>
        <w:t xml:space="preserve"> </w:t>
      </w:r>
      <w:r w:rsidRPr="00415A8E">
        <w:t>are present in the current ASIC Rules and</w:t>
      </w:r>
      <w:r>
        <w:t xml:space="preserve">, in the draft remade ASIC </w:t>
      </w:r>
      <w:r w:rsidR="004E40E5">
        <w:t>R</w:t>
      </w:r>
      <w:r>
        <w:t>ules,</w:t>
      </w:r>
      <w:r w:rsidRPr="00415A8E">
        <w:t xml:space="preserve"> </w:t>
      </w:r>
      <w:r>
        <w:t xml:space="preserve">their </w:t>
      </w:r>
      <w:r w:rsidRPr="00415A8E">
        <w:t>meanings, formats and allowable values are not substantively changed from the current ASIC Rules or current reporting</w:t>
      </w:r>
      <w:r>
        <w:t>.</w:t>
      </w:r>
    </w:p>
    <w:p w14:paraId="2A29251F" w14:textId="77777777" w:rsidR="002975E5" w:rsidRDefault="002975E5" w:rsidP="002975E5">
      <w:pPr>
        <w:pStyle w:val="Heading4"/>
      </w:pPr>
      <w:r>
        <w:t>Other data elements only continued in the draft remade ASIC Rules</w:t>
      </w:r>
    </w:p>
    <w:p w14:paraId="0781EC5C" w14:textId="77777777" w:rsidR="002975E5" w:rsidRDefault="002975E5" w:rsidP="00C443A0">
      <w:pPr>
        <w:pStyle w:val="BodyText"/>
        <w:numPr>
          <w:ilvl w:val="0"/>
          <w:numId w:val="17"/>
        </w:numPr>
        <w:spacing w:line="290" w:lineRule="atLeast"/>
      </w:pPr>
      <w:r>
        <w:t>Some data elements of the current ASIC Rules are continued in the draft remade ASIC Rules, but cease in the draft amended ASIC Rules because the information of the data elements is then embedded in a UPI from the UPI system:</w:t>
      </w:r>
    </w:p>
    <w:p w14:paraId="1E553B69" w14:textId="2EAAA578" w:rsidR="002975E5" w:rsidRDefault="0042276D" w:rsidP="00C443A0">
      <w:pPr>
        <w:pStyle w:val="subparaa"/>
        <w:numPr>
          <w:ilvl w:val="1"/>
          <w:numId w:val="17"/>
        </w:numPr>
        <w:spacing w:line="290" w:lineRule="atLeast"/>
      </w:pPr>
      <w:r>
        <w:t xml:space="preserve">option </w:t>
      </w:r>
      <w:r w:rsidR="002975E5">
        <w:t>type and option style; and</w:t>
      </w:r>
    </w:p>
    <w:p w14:paraId="46D4ECE5" w14:textId="42B017A1" w:rsidR="002975E5" w:rsidRDefault="002975E5" w:rsidP="00C443A0">
      <w:pPr>
        <w:pStyle w:val="subparaa"/>
        <w:numPr>
          <w:ilvl w:val="1"/>
          <w:numId w:val="17"/>
        </w:numPr>
        <w:spacing w:line="290" w:lineRule="atLeast"/>
      </w:pPr>
      <w:r>
        <w:t xml:space="preserve">in Table S2.1(5) </w:t>
      </w:r>
      <w:r w:rsidR="0042276D">
        <w:t>‘</w:t>
      </w:r>
      <w:r>
        <w:t>Interest rate derivative data</w:t>
      </w:r>
      <w:r w:rsidR="0042276D">
        <w:t>’</w:t>
      </w:r>
      <w:r>
        <w:t>, f</w:t>
      </w:r>
      <w:r w:rsidRPr="00F76596">
        <w:t xml:space="preserve">loating rate index </w:t>
      </w:r>
      <w:r>
        <w:t>identifier</w:t>
      </w:r>
      <w:r w:rsidRPr="00F76596">
        <w:t xml:space="preserve"> (leg 1)</w:t>
      </w:r>
      <w:r>
        <w:t>, f</w:t>
      </w:r>
      <w:r w:rsidRPr="00F76596">
        <w:t xml:space="preserve">loating rate index </w:t>
      </w:r>
      <w:r>
        <w:t>identifier</w:t>
      </w:r>
      <w:r w:rsidRPr="00F76596">
        <w:t xml:space="preserve"> (leg </w:t>
      </w:r>
      <w:r>
        <w:t>2</w:t>
      </w:r>
      <w:r w:rsidRPr="00F76596">
        <w:t>)</w:t>
      </w:r>
      <w:r>
        <w:t xml:space="preserve">, </w:t>
      </w:r>
      <w:bookmarkStart w:id="225" w:name="_Hlk96579845"/>
      <w:r>
        <w:t>f</w:t>
      </w:r>
      <w:r w:rsidRPr="00F76596">
        <w:t>loating rate reset frequency</w:t>
      </w:r>
      <w:r w:rsidR="00FE55C8">
        <w:t xml:space="preserve"> (</w:t>
      </w:r>
      <w:r>
        <w:t>leg 1</w:t>
      </w:r>
      <w:bookmarkEnd w:id="225"/>
      <w:r w:rsidR="00FE55C8">
        <w:t>)</w:t>
      </w:r>
      <w:r>
        <w:t xml:space="preserve"> and </w:t>
      </w:r>
      <w:r w:rsidR="001539C8">
        <w:t>f</w:t>
      </w:r>
      <w:r w:rsidR="001539C8" w:rsidRPr="00F76596">
        <w:t xml:space="preserve">loating </w:t>
      </w:r>
      <w:r w:rsidRPr="00F76596">
        <w:t>rate reset frequency</w:t>
      </w:r>
      <w:r w:rsidR="001539C8">
        <w:t xml:space="preserve"> </w:t>
      </w:r>
      <w:r w:rsidR="00FE55C8">
        <w:t>(</w:t>
      </w:r>
      <w:r>
        <w:t>leg 2</w:t>
      </w:r>
      <w:r w:rsidR="00FE55C8">
        <w:t>)</w:t>
      </w:r>
      <w:r>
        <w:t>.</w:t>
      </w:r>
    </w:p>
    <w:p w14:paraId="2E7CCD35" w14:textId="77777777" w:rsidR="008D3B68" w:rsidRPr="008D3B68" w:rsidRDefault="008D3B68" w:rsidP="008D3B68">
      <w:pPr>
        <w:pStyle w:val="Bodytextplain"/>
        <w:keepNext/>
        <w:spacing w:before="0" w:line="240" w:lineRule="auto"/>
        <w:rPr>
          <w:sz w:val="4"/>
          <w:szCs w:val="4"/>
        </w:rPr>
      </w:pPr>
    </w:p>
    <w:p w14:paraId="7190E2CB" w14:textId="4AB21FDA" w:rsidR="002975E5" w:rsidRDefault="002975E5" w:rsidP="008D3B68">
      <w:pPr>
        <w:pStyle w:val="BodyText"/>
        <w:numPr>
          <w:ilvl w:val="0"/>
          <w:numId w:val="17"/>
        </w:numPr>
        <w:spacing w:before="0" w:line="308" w:lineRule="atLeast"/>
      </w:pPr>
      <w:r>
        <w:t>As noted at paragraph</w:t>
      </w:r>
      <w:r w:rsidR="001648BB">
        <w:t xml:space="preserve"> </w:t>
      </w:r>
      <w:r w:rsidR="001648BB">
        <w:fldChar w:fldCharType="begin" w:fldLock="1"/>
      </w:r>
      <w:r w:rsidR="001648BB">
        <w:instrText xml:space="preserve"> REF _ASICRef169 \w \h </w:instrText>
      </w:r>
      <w:r w:rsidR="001648BB">
        <w:fldChar w:fldCharType="separate"/>
      </w:r>
      <w:r w:rsidR="00853A2A">
        <w:t>245</w:t>
      </w:r>
      <w:r w:rsidR="001648BB">
        <w:fldChar w:fldCharType="end"/>
      </w:r>
      <w:r>
        <w:t xml:space="preserve"> in </w:t>
      </w:r>
      <w:r w:rsidR="00F1763E">
        <w:t xml:space="preserve">Section </w:t>
      </w:r>
      <w:r w:rsidR="00F1763E">
        <w:fldChar w:fldCharType="begin" w:fldLock="1"/>
      </w:r>
      <w:r w:rsidR="00F1763E">
        <w:instrText xml:space="preserve"> REF _ASICRef28 \w \h </w:instrText>
      </w:r>
      <w:r w:rsidR="00F1763E">
        <w:fldChar w:fldCharType="separate"/>
      </w:r>
      <w:r w:rsidR="00853A2A">
        <w:t>C</w:t>
      </w:r>
      <w:r w:rsidR="00F1763E">
        <w:fldChar w:fldCharType="end"/>
      </w:r>
      <w:r>
        <w:t xml:space="preserve"> </w:t>
      </w:r>
      <w:r w:rsidR="00F1763E">
        <w:t>‘</w:t>
      </w:r>
      <w:r>
        <w:t>The unique product identifier (UPI)</w:t>
      </w:r>
      <w:r w:rsidR="00F1763E">
        <w:t>’</w:t>
      </w:r>
      <w:r>
        <w:t>, i</w:t>
      </w:r>
      <w:r w:rsidRPr="00A25F37">
        <w:t xml:space="preserve">nformation about the interest rate floating rate reference rate for equity swaps is commonly reported under the current ASIC Rules in the data element ‘Settlement rate or index’. </w:t>
      </w:r>
      <w:r>
        <w:t xml:space="preserve">Recognising this current reporting practice, in the draft remade ASIC Rules, this data element is relocated to Table S1.1(3) </w:t>
      </w:r>
      <w:r w:rsidR="00F1763E">
        <w:t>‘</w:t>
      </w:r>
      <w:r>
        <w:t>Equity derivative and credit derivative data</w:t>
      </w:r>
      <w:r w:rsidR="00F1763E">
        <w:t>’</w:t>
      </w:r>
      <w:r>
        <w:t xml:space="preserve"> and renamed as </w:t>
      </w:r>
      <w:r w:rsidR="00F1763E">
        <w:t>‘</w:t>
      </w:r>
      <w:r>
        <w:t>I</w:t>
      </w:r>
      <w:r w:rsidRPr="00FA60D0">
        <w:t>dentifier of the floating rate</w:t>
      </w:r>
      <w:r w:rsidR="00534DD9" w:rsidRPr="00534DD9">
        <w:t>—</w:t>
      </w:r>
      <w:r w:rsidRPr="00FA60D0">
        <w:t>Leg 2</w:t>
      </w:r>
      <w:r w:rsidR="00F1763E">
        <w:t>’</w:t>
      </w:r>
      <w:r>
        <w:t xml:space="preserve"> (item 6 in Table S1.1(3)</w:t>
      </w:r>
      <w:r w:rsidR="00F1763E">
        <w:t>)</w:t>
      </w:r>
      <w:r>
        <w:t>.</w:t>
      </w:r>
    </w:p>
    <w:p w14:paraId="5E5986EC" w14:textId="261CA011" w:rsidR="002975E5" w:rsidRDefault="002975E5" w:rsidP="00C443A0">
      <w:pPr>
        <w:pStyle w:val="BodyText"/>
        <w:numPr>
          <w:ilvl w:val="0"/>
          <w:numId w:val="17"/>
        </w:numPr>
        <w:spacing w:line="308" w:lineRule="atLeast"/>
      </w:pPr>
      <w:r>
        <w:t xml:space="preserve">In the current ASIC Rules, for the data element </w:t>
      </w:r>
      <w:r w:rsidRPr="00A25F37">
        <w:t>‘Settlement rate or index’</w:t>
      </w:r>
      <w:r>
        <w:t xml:space="preserve">, several reporting entities currently report values for this data element for commodity derivatives that indicate additional identifying detail about the underlier, whereas other reporting entities report such identifying detail directly in the data element ‘Underlying’. Recognising this current reporting practice, in the draft remade ASIC Rules this data element is relocated to Table S1.1(2) </w:t>
      </w:r>
      <w:r w:rsidR="00F1763E">
        <w:t>‘</w:t>
      </w:r>
      <w:r>
        <w:t>Commodity derivative data</w:t>
      </w:r>
      <w:r w:rsidR="00F1763E">
        <w:t>’</w:t>
      </w:r>
      <w:r>
        <w:t xml:space="preserve"> as item 8, but qualified as </w:t>
      </w:r>
      <w:r w:rsidR="00E96429">
        <w:t>may be reported, but is not required to be reported,</w:t>
      </w:r>
      <w:r>
        <w:t xml:space="preserve"> as other reporting entities already report sufficient identifying detail in the data element ‘Underlying’.</w:t>
      </w:r>
    </w:p>
    <w:p w14:paraId="2B99EB45" w14:textId="68510387" w:rsidR="002975E5" w:rsidRDefault="002975E5" w:rsidP="00C443A0">
      <w:pPr>
        <w:pStyle w:val="BodyText"/>
        <w:numPr>
          <w:ilvl w:val="0"/>
          <w:numId w:val="17"/>
        </w:numPr>
        <w:spacing w:line="308" w:lineRule="atLeast"/>
      </w:pPr>
      <w:r>
        <w:t>Finally, in the current ASIC Rules, i</w:t>
      </w:r>
      <w:r w:rsidRPr="00A25F37">
        <w:t xml:space="preserve">nformation about the </w:t>
      </w:r>
      <w:r>
        <w:t xml:space="preserve">reset period of the </w:t>
      </w:r>
      <w:r w:rsidRPr="00A25F37">
        <w:t>interest rate floating rate reference rate for equity swaps is commonly reported in the data element</w:t>
      </w:r>
      <w:r>
        <w:t xml:space="preserve"> </w:t>
      </w:r>
      <w:r w:rsidRPr="00A25F37">
        <w:t>‘</w:t>
      </w:r>
      <w:r>
        <w:t>Rate reset frequency</w:t>
      </w:r>
      <w:r w:rsidRPr="00A25F37">
        <w:t>’</w:t>
      </w:r>
      <w:r>
        <w:t xml:space="preserve">. Recognising this current reporting practice, in the draft remade ASIC Rules this data element is relocated to Table S1.1(3) </w:t>
      </w:r>
      <w:r w:rsidR="00F1763E">
        <w:t>‘</w:t>
      </w:r>
      <w:r>
        <w:t>Equity derivative and credit derivative data</w:t>
      </w:r>
      <w:r w:rsidR="00F1763E">
        <w:t>’</w:t>
      </w:r>
      <w:r>
        <w:t xml:space="preserve"> as item 7.</w:t>
      </w:r>
    </w:p>
    <w:p w14:paraId="4AE3803F" w14:textId="070134A7" w:rsidR="002975E5" w:rsidRDefault="002975E5" w:rsidP="002975E5">
      <w:pPr>
        <w:pStyle w:val="Heading4"/>
      </w:pPr>
      <w:r>
        <w:t>Data elements related to valuation information</w:t>
      </w:r>
      <w:r w:rsidR="00404CA5">
        <w:t>—</w:t>
      </w:r>
      <w:r>
        <w:t>Table S1.1(2)</w:t>
      </w:r>
    </w:p>
    <w:p w14:paraId="14BBC3FC" w14:textId="78874643" w:rsidR="002975E5" w:rsidRDefault="002975E5" w:rsidP="00C443A0">
      <w:pPr>
        <w:pStyle w:val="BodyText"/>
        <w:numPr>
          <w:ilvl w:val="0"/>
          <w:numId w:val="17"/>
        </w:numPr>
        <w:spacing w:after="200" w:line="308" w:lineRule="atLeast"/>
      </w:pPr>
      <w:r>
        <w:t>The draft amended ASIC Rules (</w:t>
      </w:r>
      <w:r w:rsidR="00F1763E">
        <w:t xml:space="preserve">see </w:t>
      </w:r>
      <w:r>
        <w:t>Attachment 2) include the following data elements related to valuation</w:t>
      </w:r>
      <w:r w:rsidR="00572907">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0C022DEC" w14:textId="77777777" w:rsidTr="00F86FF1">
        <w:trPr>
          <w:cantSplit/>
        </w:trPr>
        <w:tc>
          <w:tcPr>
            <w:tcW w:w="1701" w:type="dxa"/>
            <w:shd w:val="clear" w:color="auto" w:fill="C2E3FA"/>
          </w:tcPr>
          <w:p w14:paraId="025A5EE3" w14:textId="544D9FA4" w:rsidR="002975E5" w:rsidRPr="000540E1" w:rsidRDefault="002975E5" w:rsidP="00BF0E51">
            <w:pPr>
              <w:pStyle w:val="tablehead"/>
              <w:keepNext w:val="0"/>
              <w:widowControl w:val="0"/>
              <w:spacing w:line="250" w:lineRule="atLeast"/>
            </w:pPr>
            <w:r>
              <w:t>Proceed per CP</w:t>
            </w:r>
            <w:r w:rsidR="00F1763E">
              <w:t> </w:t>
            </w:r>
            <w:r>
              <w:t>334</w:t>
            </w:r>
          </w:p>
        </w:tc>
        <w:tc>
          <w:tcPr>
            <w:tcW w:w="5103" w:type="dxa"/>
          </w:tcPr>
          <w:p w14:paraId="5FF6D0C0" w14:textId="77777777" w:rsidR="002975E5" w:rsidRDefault="002975E5" w:rsidP="00BF0E51">
            <w:pPr>
              <w:pStyle w:val="tbltext"/>
              <w:spacing w:line="250" w:lineRule="atLeast"/>
              <w:rPr>
                <w:color w:val="000000" w:themeColor="text1"/>
              </w:rPr>
            </w:pPr>
            <w:r>
              <w:rPr>
                <w:color w:val="000000" w:themeColor="text1"/>
              </w:rPr>
              <w:t>Valuation amount, Valuation currency,</w:t>
            </w:r>
          </w:p>
          <w:p w14:paraId="1AB34EFD" w14:textId="77777777" w:rsidR="002975E5" w:rsidRDefault="002975E5" w:rsidP="00BF0E51">
            <w:pPr>
              <w:pStyle w:val="tbltext"/>
              <w:spacing w:line="250" w:lineRule="atLeast"/>
              <w:rPr>
                <w:color w:val="000000" w:themeColor="text1"/>
              </w:rPr>
            </w:pPr>
            <w:r>
              <w:rPr>
                <w:color w:val="000000" w:themeColor="text1"/>
              </w:rPr>
              <w:t>Valuation timestamp, Valuation method</w:t>
            </w:r>
          </w:p>
          <w:p w14:paraId="6BEA0657" w14:textId="77777777" w:rsidR="002975E5" w:rsidRPr="008B4297" w:rsidRDefault="002975E5" w:rsidP="00BF0E51">
            <w:pPr>
              <w:pStyle w:val="tbltext"/>
              <w:spacing w:line="250" w:lineRule="atLeast"/>
              <w:rPr>
                <w:color w:val="000000" w:themeColor="text1"/>
              </w:rPr>
            </w:pPr>
            <w:r>
              <w:rPr>
                <w:color w:val="000000" w:themeColor="text1"/>
              </w:rPr>
              <w:t>Delta</w:t>
            </w:r>
          </w:p>
        </w:tc>
      </w:tr>
      <w:tr w:rsidR="002975E5" w:rsidRPr="000540E1" w14:paraId="3C5C19C5" w14:textId="77777777" w:rsidTr="00F86FF1">
        <w:trPr>
          <w:cantSplit/>
        </w:trPr>
        <w:tc>
          <w:tcPr>
            <w:tcW w:w="1701" w:type="dxa"/>
            <w:shd w:val="clear" w:color="auto" w:fill="C2E3FA"/>
          </w:tcPr>
          <w:p w14:paraId="4AA86304" w14:textId="77777777" w:rsidR="002975E5" w:rsidRPr="000540E1" w:rsidRDefault="002975E5" w:rsidP="00BF0E51">
            <w:pPr>
              <w:pStyle w:val="tablehead"/>
              <w:keepNext w:val="0"/>
              <w:widowControl w:val="0"/>
              <w:spacing w:line="250" w:lineRule="atLeast"/>
            </w:pPr>
            <w:r>
              <w:t>Not proceed</w:t>
            </w:r>
          </w:p>
        </w:tc>
        <w:tc>
          <w:tcPr>
            <w:tcW w:w="5103" w:type="dxa"/>
          </w:tcPr>
          <w:p w14:paraId="38EB77B4" w14:textId="40F24087" w:rsidR="002975E5" w:rsidRPr="001F0C8B" w:rsidRDefault="00F1763E" w:rsidP="00BF0E51">
            <w:pPr>
              <w:pStyle w:val="tbltext"/>
              <w:spacing w:line="250" w:lineRule="atLeast"/>
            </w:pPr>
            <w:r>
              <w:t>Not applicable</w:t>
            </w:r>
          </w:p>
        </w:tc>
      </w:tr>
      <w:tr w:rsidR="002975E5" w:rsidRPr="000540E1" w14:paraId="4F56BC65" w14:textId="77777777" w:rsidTr="00F86FF1">
        <w:trPr>
          <w:cantSplit/>
        </w:trPr>
        <w:tc>
          <w:tcPr>
            <w:tcW w:w="1701" w:type="dxa"/>
            <w:shd w:val="clear" w:color="auto" w:fill="C2E3FA"/>
          </w:tcPr>
          <w:p w14:paraId="34556B31" w14:textId="77777777" w:rsidR="002975E5" w:rsidRPr="000540E1" w:rsidRDefault="002975E5" w:rsidP="00BF0E51">
            <w:pPr>
              <w:pStyle w:val="tablehead"/>
              <w:keepNext w:val="0"/>
              <w:widowControl w:val="0"/>
              <w:spacing w:line="250" w:lineRule="atLeast"/>
            </w:pPr>
            <w:r>
              <w:t>New proposal</w:t>
            </w:r>
          </w:p>
        </w:tc>
        <w:tc>
          <w:tcPr>
            <w:tcW w:w="5103" w:type="dxa"/>
          </w:tcPr>
          <w:p w14:paraId="4BFDFB5C" w14:textId="77777777" w:rsidR="002975E5" w:rsidRDefault="002975E5" w:rsidP="00BF0E51">
            <w:pPr>
              <w:pStyle w:val="tbltext"/>
              <w:spacing w:line="250" w:lineRule="atLeast"/>
              <w:rPr>
                <w:color w:val="000000" w:themeColor="text1"/>
              </w:rPr>
            </w:pPr>
            <w:r w:rsidRPr="00C06D33">
              <w:rPr>
                <w:color w:val="000000" w:themeColor="text1"/>
              </w:rPr>
              <w:t>Next floating reference reset date–Leg 1</w:t>
            </w:r>
            <w:r>
              <w:rPr>
                <w:color w:val="000000" w:themeColor="text1"/>
              </w:rPr>
              <w:t xml:space="preserve">, </w:t>
            </w:r>
            <w:r>
              <w:rPr>
                <w:color w:val="000000" w:themeColor="text1"/>
              </w:rPr>
              <w:br/>
            </w:r>
            <w:r w:rsidRPr="00C06D33">
              <w:rPr>
                <w:color w:val="000000" w:themeColor="text1"/>
              </w:rPr>
              <w:t xml:space="preserve">Next floating reference reset date–Leg </w:t>
            </w:r>
            <w:r>
              <w:rPr>
                <w:color w:val="000000" w:themeColor="text1"/>
              </w:rPr>
              <w:t>2</w:t>
            </w:r>
          </w:p>
          <w:p w14:paraId="69A0D9FA" w14:textId="77777777" w:rsidR="002975E5" w:rsidRDefault="002975E5" w:rsidP="00BF0E51">
            <w:pPr>
              <w:pStyle w:val="tbltext"/>
              <w:spacing w:line="250" w:lineRule="atLeast"/>
              <w:rPr>
                <w:color w:val="000000" w:themeColor="text1"/>
              </w:rPr>
            </w:pPr>
            <w:r>
              <w:rPr>
                <w:color w:val="000000" w:themeColor="text1"/>
              </w:rPr>
              <w:t>Minimum data elements in a valuation report to also include:</w:t>
            </w:r>
          </w:p>
          <w:p w14:paraId="5AD738B1" w14:textId="77777777" w:rsidR="002975E5" w:rsidRDefault="002975E5" w:rsidP="00BF0E51">
            <w:pPr>
              <w:pStyle w:val="tbltext"/>
              <w:spacing w:line="250" w:lineRule="atLeast"/>
              <w:ind w:left="284"/>
              <w:rPr>
                <w:color w:val="000000" w:themeColor="text1"/>
              </w:rPr>
            </w:pPr>
            <w:r>
              <w:rPr>
                <w:color w:val="000000" w:themeColor="text1"/>
              </w:rPr>
              <w:t>Unique transaction identifier,</w:t>
            </w:r>
          </w:p>
          <w:p w14:paraId="0DA6B539" w14:textId="77777777" w:rsidR="002975E5" w:rsidRDefault="002975E5" w:rsidP="00BF0E51">
            <w:pPr>
              <w:pStyle w:val="tbltext"/>
              <w:spacing w:line="250" w:lineRule="atLeast"/>
              <w:ind w:left="284"/>
            </w:pPr>
            <w:r w:rsidRPr="00322C67">
              <w:t>Reporting Entity</w:t>
            </w:r>
            <w:r>
              <w:rPr>
                <w:color w:val="000000" w:themeColor="text1"/>
              </w:rPr>
              <w:t xml:space="preserve">, Counterparty 1, </w:t>
            </w:r>
            <w:r>
              <w:t>Counterparty 2,</w:t>
            </w:r>
          </w:p>
          <w:p w14:paraId="4F82F3CB" w14:textId="77777777" w:rsidR="002975E5" w:rsidRDefault="002975E5" w:rsidP="00BF0E51">
            <w:pPr>
              <w:pStyle w:val="tbltext"/>
              <w:spacing w:line="250" w:lineRule="atLeast"/>
              <w:ind w:left="284"/>
              <w:rPr>
                <w:color w:val="000000" w:themeColor="text1"/>
              </w:rPr>
            </w:pPr>
            <w:r w:rsidRPr="00B03981">
              <w:t>Reporting timestamp</w:t>
            </w:r>
            <w:r>
              <w:rPr>
                <w:color w:val="000000" w:themeColor="text1"/>
              </w:rPr>
              <w:t xml:space="preserve">, </w:t>
            </w:r>
            <w:r w:rsidRPr="00B46519">
              <w:rPr>
                <w:color w:val="000000" w:themeColor="text1"/>
              </w:rPr>
              <w:t>Report submitting entity</w:t>
            </w:r>
            <w:r>
              <w:rPr>
                <w:color w:val="000000" w:themeColor="text1"/>
              </w:rPr>
              <w:t>,</w:t>
            </w:r>
          </w:p>
          <w:p w14:paraId="6DCF9367" w14:textId="77777777" w:rsidR="002975E5" w:rsidRPr="000540E1" w:rsidRDefault="002975E5" w:rsidP="00BF0E51">
            <w:pPr>
              <w:pStyle w:val="tbltext"/>
              <w:spacing w:line="250" w:lineRule="atLeast"/>
              <w:ind w:left="284"/>
            </w:pPr>
            <w:r>
              <w:rPr>
                <w:color w:val="000000" w:themeColor="text1"/>
              </w:rPr>
              <w:t>Action type</w:t>
            </w:r>
          </w:p>
        </w:tc>
      </w:tr>
    </w:tbl>
    <w:p w14:paraId="4D8650C6" w14:textId="3B1A4506" w:rsidR="002975E5" w:rsidRDefault="002975E5" w:rsidP="00C443A0">
      <w:pPr>
        <w:pStyle w:val="BodyText"/>
        <w:numPr>
          <w:ilvl w:val="0"/>
          <w:numId w:val="17"/>
        </w:numPr>
        <w:spacing w:line="310" w:lineRule="atLeast"/>
      </w:pPr>
      <w:r>
        <w:t xml:space="preserve">As we note in paragraphs </w:t>
      </w:r>
      <w:r>
        <w:fldChar w:fldCharType="begin" w:fldLock="1"/>
      </w:r>
      <w:r>
        <w:instrText xml:space="preserve"> REF _ASICRef542 \w \h </w:instrText>
      </w:r>
      <w:r>
        <w:fldChar w:fldCharType="separate"/>
      </w:r>
      <w:r w:rsidR="00853A2A">
        <w:t>333</w:t>
      </w:r>
      <w:r>
        <w:fldChar w:fldCharType="end"/>
      </w:r>
      <w:r>
        <w:t>–</w:t>
      </w:r>
      <w:r>
        <w:fldChar w:fldCharType="begin" w:fldLock="1"/>
      </w:r>
      <w:r>
        <w:instrText xml:space="preserve"> REF _ASICRef156 \w \h </w:instrText>
      </w:r>
      <w:r>
        <w:fldChar w:fldCharType="separate"/>
      </w:r>
      <w:r w:rsidR="00853A2A">
        <w:t>334</w:t>
      </w:r>
      <w:r>
        <w:fldChar w:fldCharType="end"/>
      </w:r>
      <w:r>
        <w:t>, for the proposed data elements related to valuation</w:t>
      </w:r>
      <w:r w:rsidR="00404CA5">
        <w:t>—</w:t>
      </w:r>
      <w:r>
        <w:t>valuation amount, currency, timestamp and method</w:t>
      </w:r>
      <w:r w:rsidR="00404CA5">
        <w:t>—</w:t>
      </w:r>
      <w:r>
        <w:t>respondents did not make any significant objections, and we have decided to proceed with our proposals</w:t>
      </w:r>
      <w:r w:rsidR="00404CA5">
        <w:t>—</w:t>
      </w:r>
      <w:r>
        <w:t xml:space="preserve">noting requests for clarification of the valuation amount as the ‘unadjusted’ amount and timestamps as the calculation time and not the as-at time of the valuation inputs: see paragraphs </w:t>
      </w:r>
      <w:r>
        <w:fldChar w:fldCharType="begin" w:fldLock="1"/>
      </w:r>
      <w:r>
        <w:instrText xml:space="preserve"> REF _ASICRef938 \w \h </w:instrText>
      </w:r>
      <w:r>
        <w:fldChar w:fldCharType="separate"/>
      </w:r>
      <w:r w:rsidR="00853A2A">
        <w:t>668</w:t>
      </w:r>
      <w:r>
        <w:fldChar w:fldCharType="end"/>
      </w:r>
      <w:r>
        <w:t>–</w:t>
      </w:r>
      <w:r>
        <w:fldChar w:fldCharType="begin" w:fldLock="1"/>
      </w:r>
      <w:r>
        <w:instrText xml:space="preserve"> REF _ASICRef654 \w \h </w:instrText>
      </w:r>
      <w:r>
        <w:fldChar w:fldCharType="separate"/>
      </w:r>
      <w:r w:rsidR="00853A2A">
        <w:t>673</w:t>
      </w:r>
      <w:r>
        <w:fldChar w:fldCharType="end"/>
      </w:r>
      <w:r>
        <w:t>.</w:t>
      </w:r>
    </w:p>
    <w:p w14:paraId="34D58CDA" w14:textId="46C8137F" w:rsidR="002975E5" w:rsidRDefault="002975E5" w:rsidP="00C443A0">
      <w:pPr>
        <w:pStyle w:val="BodyText"/>
        <w:numPr>
          <w:ilvl w:val="0"/>
          <w:numId w:val="17"/>
        </w:numPr>
        <w:spacing w:line="310" w:lineRule="atLeast"/>
      </w:pPr>
      <w:r>
        <w:t>In relation to the reporting of delta, several respondents expressed concerns about complexities and costs in calculation and implementation. It was also noted that reporting as an end</w:t>
      </w:r>
      <w:r w:rsidR="00E6510E">
        <w:t>-</w:t>
      </w:r>
      <w:r>
        <w:t>of</w:t>
      </w:r>
      <w:r w:rsidR="00E6510E">
        <w:t>-</w:t>
      </w:r>
      <w:r>
        <w:t>day field included in a valuation report would be the most effective reporting workflow.</w:t>
      </w:r>
    </w:p>
    <w:p w14:paraId="7F8967A0" w14:textId="77777777" w:rsidR="002975E5" w:rsidRDefault="002975E5" w:rsidP="00C443A0">
      <w:pPr>
        <w:pStyle w:val="BodyText"/>
        <w:numPr>
          <w:ilvl w:val="0"/>
          <w:numId w:val="17"/>
        </w:numPr>
        <w:spacing w:line="310" w:lineRule="atLeast"/>
      </w:pPr>
      <w:r>
        <w:t>The Australian regulators continue to believe that it is important for contemporary assessments of exposures and related updated valuation and collateral information that updated deltas are reported.</w:t>
      </w:r>
    </w:p>
    <w:p w14:paraId="55595C8F" w14:textId="5A45A545" w:rsidR="002975E5" w:rsidRDefault="002975E5" w:rsidP="00C443A0">
      <w:pPr>
        <w:pStyle w:val="BodyText"/>
        <w:numPr>
          <w:ilvl w:val="0"/>
          <w:numId w:val="17"/>
        </w:numPr>
        <w:spacing w:line="310" w:lineRule="atLeast"/>
      </w:pPr>
      <w:r>
        <w:t xml:space="preserve">However, noting their significantly lower exposures, we are responding to the feedback by proposing </w:t>
      </w:r>
      <w:r w:rsidRPr="004C5C35">
        <w:t>that ‘small-scale buy-side entities’ are not required to report delta. We also set out in the proposed rules text that delta</w:t>
      </w:r>
      <w:r>
        <w:t xml:space="preserve"> is only required to be reported for single-period options and the current period of multi-period options: see paragraphs </w:t>
      </w:r>
      <w:r>
        <w:fldChar w:fldCharType="begin" w:fldLock="1"/>
      </w:r>
      <w:r>
        <w:instrText xml:space="preserve"> REF _ASICRef107 \w \h </w:instrText>
      </w:r>
      <w:r>
        <w:fldChar w:fldCharType="separate"/>
      </w:r>
      <w:r w:rsidR="00853A2A">
        <w:t>674</w:t>
      </w:r>
      <w:r>
        <w:fldChar w:fldCharType="end"/>
      </w:r>
      <w:r>
        <w:t>–</w:t>
      </w:r>
      <w:r>
        <w:fldChar w:fldCharType="begin" w:fldLock="1"/>
      </w:r>
      <w:r>
        <w:instrText xml:space="preserve"> REF _ASICRef783 \w \h </w:instrText>
      </w:r>
      <w:r>
        <w:fldChar w:fldCharType="separate"/>
      </w:r>
      <w:r w:rsidR="00853A2A">
        <w:t>678</w:t>
      </w:r>
      <w:r>
        <w:fldChar w:fldCharType="end"/>
      </w:r>
      <w:r>
        <w:t>.</w:t>
      </w:r>
    </w:p>
    <w:p w14:paraId="6040C878" w14:textId="49E556D5" w:rsidR="002975E5" w:rsidRDefault="002975E5" w:rsidP="00C443A0">
      <w:pPr>
        <w:pStyle w:val="BodyText"/>
        <w:numPr>
          <w:ilvl w:val="0"/>
          <w:numId w:val="17"/>
        </w:numPr>
        <w:spacing w:line="310" w:lineRule="atLeast"/>
      </w:pPr>
      <w:r>
        <w:t>We are also making a new proposal to include data elements that identify the next floating reference reset dates</w:t>
      </w:r>
      <w:r w:rsidR="00E6510E" w:rsidRPr="00AC4956">
        <w:t>—</w:t>
      </w:r>
      <w:r>
        <w:t xml:space="preserve">these are data elements in the final CFTC rules as item 106 in </w:t>
      </w:r>
      <w:r w:rsidRPr="00AC4956">
        <w:t>Appendix 1 to Part 45—Swap Data Elements of the final CFTC rules</w:t>
      </w:r>
      <w:r>
        <w:t>. As with the CFTC’s approach, we are proposing to include these data elements as Derivative Valuation Information in Table</w:t>
      </w:r>
      <w:r w:rsidR="00E6510E">
        <w:t> </w:t>
      </w:r>
      <w:r>
        <w:t>S1.1(2), rather than as Derivative Transaction Information in Table</w:t>
      </w:r>
      <w:r w:rsidR="00E6510E">
        <w:t> </w:t>
      </w:r>
      <w:r>
        <w:t xml:space="preserve">S1.1(1): see paragraph </w:t>
      </w:r>
      <w:r>
        <w:fldChar w:fldCharType="begin" w:fldLock="1"/>
      </w:r>
      <w:r>
        <w:instrText xml:space="preserve"> REF _ASICRef506 \w \h </w:instrText>
      </w:r>
      <w:r>
        <w:fldChar w:fldCharType="separate"/>
      </w:r>
      <w:r w:rsidR="00853A2A">
        <w:t>679</w:t>
      </w:r>
      <w:r>
        <w:fldChar w:fldCharType="end"/>
      </w:r>
      <w:r>
        <w:t>.</w:t>
      </w:r>
    </w:p>
    <w:p w14:paraId="30577A5D" w14:textId="77777777" w:rsidR="002975E5" w:rsidRDefault="002975E5" w:rsidP="00C443A0">
      <w:pPr>
        <w:pStyle w:val="BodyText"/>
        <w:numPr>
          <w:ilvl w:val="0"/>
          <w:numId w:val="17"/>
        </w:numPr>
        <w:spacing w:line="310" w:lineRule="atLeast"/>
      </w:pPr>
      <w:r>
        <w:t>For our surveillance needs in relation to monitoring the setting of benchmark floating rates, we are currently capable of estimating the notional amounts of derivative transactions that are subject to floating rate resetting on particular future dates, assuming a pattern of rate resetting dates. Inaccuracies in our assumptions impair the precision of our analysis, and we think that it is important to minimise this impairment by requiring reporting of the actual next floating reference rate reset date(s) for each transaction.</w:t>
      </w:r>
    </w:p>
    <w:p w14:paraId="26FE024D" w14:textId="1DBD53C1" w:rsidR="002975E5" w:rsidRPr="00A56632" w:rsidRDefault="002975E5" w:rsidP="00C443A0">
      <w:pPr>
        <w:pStyle w:val="BodyText"/>
        <w:numPr>
          <w:ilvl w:val="0"/>
          <w:numId w:val="17"/>
        </w:numPr>
        <w:spacing w:line="310" w:lineRule="atLeast"/>
      </w:pPr>
      <w:r>
        <w:t>In Table S1.1(2), the m</w:t>
      </w:r>
      <w:r w:rsidRPr="00361137">
        <w:t xml:space="preserve">inimum data elements in a valuation report include </w:t>
      </w:r>
      <w:r>
        <w:t xml:space="preserve">item 1 </w:t>
      </w:r>
      <w:r w:rsidR="00E6510E">
        <w:t>‘</w:t>
      </w:r>
      <w:r>
        <w:rPr>
          <w:color w:val="000000" w:themeColor="text1"/>
        </w:rPr>
        <w:t>Unique transaction identifier</w:t>
      </w:r>
      <w:r w:rsidR="00E6510E">
        <w:rPr>
          <w:color w:val="000000" w:themeColor="text1"/>
        </w:rPr>
        <w:t>’</w:t>
      </w:r>
      <w:r>
        <w:rPr>
          <w:color w:val="000000" w:themeColor="text1"/>
        </w:rPr>
        <w:t xml:space="preserve">, </w:t>
      </w:r>
      <w:r w:rsidR="00E6510E">
        <w:rPr>
          <w:color w:val="000000" w:themeColor="text1"/>
        </w:rPr>
        <w:t xml:space="preserve">item </w:t>
      </w:r>
      <w:r>
        <w:rPr>
          <w:color w:val="000000" w:themeColor="text1"/>
        </w:rPr>
        <w:t xml:space="preserve">2 </w:t>
      </w:r>
      <w:r w:rsidR="00E6510E">
        <w:rPr>
          <w:color w:val="000000" w:themeColor="text1"/>
        </w:rPr>
        <w:t>‘</w:t>
      </w:r>
      <w:r>
        <w:rPr>
          <w:color w:val="000000" w:themeColor="text1"/>
        </w:rPr>
        <w:t>Reporting entity</w:t>
      </w:r>
      <w:r w:rsidR="00E6510E">
        <w:rPr>
          <w:color w:val="000000" w:themeColor="text1"/>
        </w:rPr>
        <w:t>’</w:t>
      </w:r>
      <w:r>
        <w:rPr>
          <w:color w:val="000000" w:themeColor="text1"/>
        </w:rPr>
        <w:t xml:space="preserve">, </w:t>
      </w:r>
      <w:r w:rsidR="00E6510E">
        <w:rPr>
          <w:color w:val="000000" w:themeColor="text1"/>
        </w:rPr>
        <w:t xml:space="preserve">item </w:t>
      </w:r>
      <w:r>
        <w:rPr>
          <w:color w:val="000000" w:themeColor="text1"/>
        </w:rPr>
        <w:t xml:space="preserve">3 </w:t>
      </w:r>
      <w:r w:rsidR="00E6510E">
        <w:rPr>
          <w:color w:val="000000" w:themeColor="text1"/>
        </w:rPr>
        <w:t>‘</w:t>
      </w:r>
      <w:r>
        <w:rPr>
          <w:color w:val="000000" w:themeColor="text1"/>
        </w:rPr>
        <w:t>Counterparty 1</w:t>
      </w:r>
      <w:r w:rsidR="00E6510E">
        <w:rPr>
          <w:color w:val="000000" w:themeColor="text1"/>
        </w:rPr>
        <w:t>’</w:t>
      </w:r>
      <w:r>
        <w:rPr>
          <w:color w:val="000000" w:themeColor="text1"/>
        </w:rPr>
        <w:t xml:space="preserve"> and </w:t>
      </w:r>
      <w:r w:rsidR="00E6510E">
        <w:rPr>
          <w:color w:val="000000" w:themeColor="text1"/>
        </w:rPr>
        <w:t xml:space="preserve">item </w:t>
      </w:r>
      <w:r>
        <w:rPr>
          <w:color w:val="000000" w:themeColor="text1"/>
        </w:rPr>
        <w:t xml:space="preserve">4 </w:t>
      </w:r>
      <w:r w:rsidR="00E6510E">
        <w:rPr>
          <w:color w:val="000000" w:themeColor="text1"/>
        </w:rPr>
        <w:t>‘</w:t>
      </w:r>
      <w:r>
        <w:rPr>
          <w:color w:val="000000" w:themeColor="text1"/>
        </w:rPr>
        <w:t>Counterparty 2</w:t>
      </w:r>
      <w:r w:rsidR="00E6510E">
        <w:rPr>
          <w:color w:val="000000" w:themeColor="text1"/>
        </w:rPr>
        <w:t>’</w:t>
      </w:r>
      <w:r>
        <w:rPr>
          <w:color w:val="000000" w:themeColor="text1"/>
        </w:rPr>
        <w:t xml:space="preserve"> as items that we think are necessary to identify the OTC </w:t>
      </w:r>
      <w:r w:rsidR="00E6510E">
        <w:rPr>
          <w:color w:val="000000" w:themeColor="text1"/>
        </w:rPr>
        <w:t>d</w:t>
      </w:r>
      <w:r>
        <w:rPr>
          <w:color w:val="000000" w:themeColor="text1"/>
        </w:rPr>
        <w:t>erivative that is the subject of the valuation information report.</w:t>
      </w:r>
    </w:p>
    <w:p w14:paraId="31258E75" w14:textId="18B7E0EE" w:rsidR="002975E5" w:rsidRPr="00A935EA" w:rsidRDefault="002975E5" w:rsidP="00C443A0">
      <w:pPr>
        <w:pStyle w:val="BodyText"/>
        <w:numPr>
          <w:ilvl w:val="0"/>
          <w:numId w:val="17"/>
        </w:numPr>
        <w:spacing w:line="310" w:lineRule="atLeast"/>
      </w:pPr>
      <w:r>
        <w:rPr>
          <w:color w:val="000000" w:themeColor="text1"/>
        </w:rPr>
        <w:t xml:space="preserve">The meanings, formats and allowable values for these data elements </w:t>
      </w:r>
      <w:r w:rsidR="00E6510E">
        <w:rPr>
          <w:color w:val="000000" w:themeColor="text1"/>
        </w:rPr>
        <w:t xml:space="preserve">are </w:t>
      </w:r>
      <w:r>
        <w:rPr>
          <w:color w:val="000000" w:themeColor="text1"/>
        </w:rPr>
        <w:t xml:space="preserve">the same as for those items in Table S1.1(1) </w:t>
      </w:r>
      <w:r w:rsidR="00E6510E">
        <w:rPr>
          <w:color w:val="000000" w:themeColor="text1"/>
        </w:rPr>
        <w:t>‘</w:t>
      </w:r>
      <w:r>
        <w:rPr>
          <w:color w:val="000000" w:themeColor="text1"/>
        </w:rPr>
        <w:t>Transaction information</w:t>
      </w:r>
      <w:r w:rsidR="00E6510E">
        <w:rPr>
          <w:color w:val="000000" w:themeColor="text1"/>
        </w:rPr>
        <w:t>’</w:t>
      </w:r>
      <w:r>
        <w:rPr>
          <w:color w:val="000000" w:themeColor="text1"/>
        </w:rPr>
        <w:t>, except that</w:t>
      </w:r>
      <w:r w:rsidR="00E6510E">
        <w:rPr>
          <w:color w:val="000000" w:themeColor="text1"/>
        </w:rPr>
        <w:t xml:space="preserve">, </w:t>
      </w:r>
      <w:r>
        <w:t xml:space="preserve">for item 1 </w:t>
      </w:r>
      <w:r w:rsidR="00E6510E">
        <w:t>‘</w:t>
      </w:r>
      <w:r w:rsidRPr="00BF0E51">
        <w:rPr>
          <w:color w:val="000000" w:themeColor="text1"/>
        </w:rPr>
        <w:t>Unique transaction identifier</w:t>
      </w:r>
      <w:r w:rsidR="00E6510E" w:rsidRPr="00BF0E51">
        <w:rPr>
          <w:color w:val="000000" w:themeColor="text1"/>
        </w:rPr>
        <w:t>’</w:t>
      </w:r>
      <w:r w:rsidRPr="00BF0E51">
        <w:rPr>
          <w:color w:val="000000" w:themeColor="text1"/>
        </w:rPr>
        <w:t>, the identifier is the identifier of the reportable transaction about which the report is made</w:t>
      </w:r>
      <w:r w:rsidR="00404CA5" w:rsidRPr="00BF0E51">
        <w:rPr>
          <w:color w:val="000000" w:themeColor="text1"/>
        </w:rPr>
        <w:t>—</w:t>
      </w:r>
      <w:r w:rsidR="00E6510E" w:rsidRPr="00BF0E51">
        <w:rPr>
          <w:color w:val="000000" w:themeColor="text1"/>
        </w:rPr>
        <w:t>that is,</w:t>
      </w:r>
      <w:r w:rsidRPr="00BF0E51">
        <w:rPr>
          <w:color w:val="000000" w:themeColor="text1"/>
        </w:rPr>
        <w:t xml:space="preserve"> it may be a Rule 2.2.9 UTI or it may be the transaction identifier that was originally reported </w:t>
      </w:r>
      <w:r w:rsidR="00E6510E" w:rsidRPr="00BF0E51">
        <w:rPr>
          <w:color w:val="000000" w:themeColor="text1"/>
        </w:rPr>
        <w:t>before</w:t>
      </w:r>
      <w:r w:rsidRPr="00BF0E51">
        <w:rPr>
          <w:color w:val="000000" w:themeColor="text1"/>
        </w:rPr>
        <w:t xml:space="preserve"> the requirement to report a Rule 2.2.9 UTI.</w:t>
      </w:r>
    </w:p>
    <w:p w14:paraId="08D6E145" w14:textId="613CD370" w:rsidR="002975E5" w:rsidRDefault="002975E5" w:rsidP="00C443A0">
      <w:pPr>
        <w:pStyle w:val="BodyText"/>
        <w:numPr>
          <w:ilvl w:val="0"/>
          <w:numId w:val="17"/>
        </w:numPr>
      </w:pPr>
      <w:r>
        <w:t xml:space="preserve">In Table S1.1(2), the minimum data elements also include item 13 </w:t>
      </w:r>
      <w:r w:rsidR="00E6510E">
        <w:t>‘</w:t>
      </w:r>
      <w:r>
        <w:t>Reporting timestamp</w:t>
      </w:r>
      <w:r w:rsidR="00E6510E">
        <w:t>’</w:t>
      </w:r>
      <w:r>
        <w:t xml:space="preserve"> and </w:t>
      </w:r>
      <w:r w:rsidR="00E6510E">
        <w:t xml:space="preserve">item </w:t>
      </w:r>
      <w:r>
        <w:t xml:space="preserve">14 </w:t>
      </w:r>
      <w:r w:rsidR="00E6510E">
        <w:t>‘</w:t>
      </w:r>
      <w:r>
        <w:t>Report submitting entity</w:t>
      </w:r>
      <w:r w:rsidR="00E6510E">
        <w:t>’</w:t>
      </w:r>
      <w:r>
        <w:t xml:space="preserve"> as ‘standard’ items in any kind of report. In addition, action type is reported at item 12 </w:t>
      </w:r>
      <w:r w:rsidR="00E6510E">
        <w:t>‘</w:t>
      </w:r>
      <w:r>
        <w:t>Action type</w:t>
      </w:r>
      <w:r w:rsidR="00E6510E">
        <w:t>’</w:t>
      </w:r>
      <w:r>
        <w:t xml:space="preserve"> but always with the value VALU.</w:t>
      </w:r>
    </w:p>
    <w:p w14:paraId="368CC179" w14:textId="0DC094EF" w:rsidR="002975E5" w:rsidRDefault="002975E5" w:rsidP="00C443A0">
      <w:pPr>
        <w:pStyle w:val="BodyText"/>
        <w:numPr>
          <w:ilvl w:val="0"/>
          <w:numId w:val="17"/>
        </w:numPr>
      </w:pPr>
      <w:bookmarkStart w:id="226" w:name="_ASICRef938"/>
      <w:r>
        <w:t xml:space="preserve">In Table S1.1(2), the meaning of item 5 </w:t>
      </w:r>
      <w:r w:rsidR="00E6510E">
        <w:t>‘</w:t>
      </w:r>
      <w:r>
        <w:t>Valuation timestamp</w:t>
      </w:r>
      <w:r w:rsidR="00E6510E">
        <w:t>’</w:t>
      </w:r>
      <w:r>
        <w:t xml:space="preserve"> is the date, or date and time, that the reported valuation amount was determined. We think that date alone is sufficiently precise for our regulatory purposes, but if date and time is reported, it would be the date and time that the valuation amount is determined</w:t>
      </w:r>
      <w:r w:rsidR="00404CA5">
        <w:t>—</w:t>
      </w:r>
      <w:r w:rsidR="00E6510E">
        <w:t>that is,</w:t>
      </w:r>
      <w:r>
        <w:t xml:space="preserve"> the calculation time and not the as-at time of the reference data inputs to the calculation.</w:t>
      </w:r>
      <w:bookmarkEnd w:id="226"/>
    </w:p>
    <w:p w14:paraId="50E71BA5" w14:textId="1E7C7F16" w:rsidR="002975E5" w:rsidRDefault="002975E5" w:rsidP="00C443A0">
      <w:pPr>
        <w:pStyle w:val="BodyText"/>
        <w:numPr>
          <w:ilvl w:val="0"/>
          <w:numId w:val="17"/>
        </w:numPr>
      </w:pPr>
      <w:r>
        <w:t>If a reporting entity also report</w:t>
      </w:r>
      <w:r w:rsidR="00E6510E">
        <w:t>s</w:t>
      </w:r>
      <w:r>
        <w:t xml:space="preserve"> the same valuation amount in another jurisdiction where the valuation timestamp is required to reference the as-at time of the reference data inputs to the calculation, the reporting entity could report, under the draft amended ASIC Rules, just the date element of the date and time value reported in the other jurisdiction.</w:t>
      </w:r>
    </w:p>
    <w:p w14:paraId="4D1C56DE" w14:textId="7E11EE16" w:rsidR="002975E5" w:rsidRDefault="002975E5" w:rsidP="00C443A0">
      <w:pPr>
        <w:pStyle w:val="BodyText"/>
        <w:numPr>
          <w:ilvl w:val="0"/>
          <w:numId w:val="17"/>
        </w:numPr>
      </w:pPr>
      <w:r>
        <w:t xml:space="preserve">In Table S1.1(2), the meaning of item 6 </w:t>
      </w:r>
      <w:r w:rsidR="00FA2CF5">
        <w:t>‘</w:t>
      </w:r>
      <w:r>
        <w:t>Valuation amount</w:t>
      </w:r>
      <w:r w:rsidR="00FA2CF5">
        <w:t>’</w:t>
      </w:r>
      <w:r>
        <w:t xml:space="preserve"> follows the definition in the CDE Guidance, anchored on a termination value in an orderly market, but with explicit reference to this as the ‘unadjusted’ amount.</w:t>
      </w:r>
    </w:p>
    <w:p w14:paraId="533D58E4" w14:textId="789F832E" w:rsidR="002975E5" w:rsidRDefault="002975E5" w:rsidP="00C443A0">
      <w:pPr>
        <w:pStyle w:val="BodyText"/>
        <w:numPr>
          <w:ilvl w:val="0"/>
          <w:numId w:val="17"/>
        </w:numPr>
      </w:pPr>
      <w:r>
        <w:t xml:space="preserve">In Table S1.1(2), item 7 </w:t>
      </w:r>
      <w:r w:rsidR="00173EF3">
        <w:t>‘</w:t>
      </w:r>
      <w:r>
        <w:t>Valuation currency</w:t>
      </w:r>
      <w:r w:rsidR="00173EF3">
        <w:t>’</w:t>
      </w:r>
      <w:r>
        <w:t xml:space="preserve"> has a meaning, format and allowable values expressed in </w:t>
      </w:r>
      <w:r w:rsidR="00732B26">
        <w:t xml:space="preserve">the </w:t>
      </w:r>
      <w:r>
        <w:t>same manner as currency data elements are expressed in other instances in the draft amended ASIC Rules.</w:t>
      </w:r>
    </w:p>
    <w:p w14:paraId="7387FF49" w14:textId="61CF583D" w:rsidR="002975E5" w:rsidRDefault="002975E5" w:rsidP="00C443A0">
      <w:pPr>
        <w:pStyle w:val="BodyText"/>
        <w:numPr>
          <w:ilvl w:val="0"/>
          <w:numId w:val="17"/>
        </w:numPr>
      </w:pPr>
      <w:r>
        <w:t xml:space="preserve">In Table S1.1(2), the meaning, formats and allowable values for item 8 </w:t>
      </w:r>
      <w:r w:rsidR="00173EF3">
        <w:t>‘</w:t>
      </w:r>
      <w:r>
        <w:t>Valuation method</w:t>
      </w:r>
      <w:r w:rsidR="00173EF3">
        <w:t>’</w:t>
      </w:r>
      <w:r>
        <w:t xml:space="preserve"> are substantively </w:t>
      </w:r>
      <w:r w:rsidR="00173EF3">
        <w:t xml:space="preserve">the same </w:t>
      </w:r>
      <w:r>
        <w:t>as in the CDE Guidance, except that it would not allow for a central counterparty’s valuation (‘CCPV’ in the CDE Guidance). We think that a reporting entity should report its own valuation amount as we think this conveys relevant information about the capability of a reporting entity to perform a core risk management function of determining accurate valuations on a timely basis.</w:t>
      </w:r>
    </w:p>
    <w:p w14:paraId="43599944" w14:textId="27F99691" w:rsidR="002975E5" w:rsidRDefault="002975E5" w:rsidP="00C443A0">
      <w:pPr>
        <w:pStyle w:val="BodyText"/>
        <w:numPr>
          <w:ilvl w:val="0"/>
          <w:numId w:val="17"/>
        </w:numPr>
      </w:pPr>
      <w:bookmarkStart w:id="227" w:name="_ASICRef654"/>
      <w:r>
        <w:t xml:space="preserve">The CDE Guidance </w:t>
      </w:r>
      <w:r w:rsidR="00173EF3">
        <w:t>maps</w:t>
      </w:r>
      <w:r>
        <w:t xml:space="preserve"> various IFRS descriptions of valuation inputs to the valuation method reportable under the CDE Guidance. We think this is </w:t>
      </w:r>
      <w:r w:rsidR="00173EF3">
        <w:t xml:space="preserve">a </w:t>
      </w:r>
      <w:r>
        <w:t>relevant explanation of the applicability of the CDE Guidance valuation methods that we can point to, or replicate, in our Schedule 1 Technical Guidance.</w:t>
      </w:r>
      <w:bookmarkEnd w:id="227"/>
    </w:p>
    <w:p w14:paraId="5F59A862" w14:textId="48576237" w:rsidR="002975E5" w:rsidRDefault="002975E5" w:rsidP="00C443A0">
      <w:pPr>
        <w:pStyle w:val="BodyText"/>
        <w:numPr>
          <w:ilvl w:val="0"/>
          <w:numId w:val="17"/>
        </w:numPr>
        <w:spacing w:before="180" w:line="290" w:lineRule="atLeast"/>
      </w:pPr>
      <w:bookmarkStart w:id="228" w:name="_ASICRef107"/>
      <w:r>
        <w:t xml:space="preserve">In Table S1.1(2), the meaning of item 9 </w:t>
      </w:r>
      <w:r w:rsidR="00FA2CF5">
        <w:t>‘</w:t>
      </w:r>
      <w:r>
        <w:t>Delta</w:t>
      </w:r>
      <w:r w:rsidR="00FA2CF5">
        <w:t>’</w:t>
      </w:r>
      <w:r>
        <w:t xml:space="preserve"> follows the definition in the CDE Guidance, but with the qualification that it references ‘</w:t>
      </w:r>
      <w:r w:rsidRPr="00C06D33">
        <w:t>the change in the price of the underlier that is the underlier applicable to the next time that the option may be exercised</w:t>
      </w:r>
      <w:r>
        <w:t>’.</w:t>
      </w:r>
      <w:bookmarkEnd w:id="228"/>
    </w:p>
    <w:p w14:paraId="0D9D99E9" w14:textId="14D8DAB8" w:rsidR="002975E5" w:rsidRDefault="002975E5" w:rsidP="00C443A0">
      <w:pPr>
        <w:pStyle w:val="BodyText"/>
        <w:numPr>
          <w:ilvl w:val="0"/>
          <w:numId w:val="17"/>
        </w:numPr>
        <w:spacing w:before="180" w:line="290" w:lineRule="atLeast"/>
      </w:pPr>
      <w:r>
        <w:t>Whil</w:t>
      </w:r>
      <w:r w:rsidR="00FA2CF5">
        <w:t>e</w:t>
      </w:r>
      <w:r>
        <w:t xml:space="preserve"> this qualification can be left unsaid for a single-period option, it recognises that in the case of a multi-period option</w:t>
      </w:r>
      <w:r w:rsidR="00404CA5">
        <w:t>—</w:t>
      </w:r>
      <w:r>
        <w:t>such as an interest rate cap</w:t>
      </w:r>
      <w:r w:rsidR="00404CA5">
        <w:t>—</w:t>
      </w:r>
      <w:r>
        <w:t>there is a delta for each period of the option. For these cases, we considered that the required delta reporting could be:</w:t>
      </w:r>
    </w:p>
    <w:p w14:paraId="72263F1B" w14:textId="77777777" w:rsidR="002975E5" w:rsidRDefault="002975E5" w:rsidP="00C443A0">
      <w:pPr>
        <w:pStyle w:val="subparaa"/>
        <w:numPr>
          <w:ilvl w:val="1"/>
          <w:numId w:val="17"/>
        </w:numPr>
        <w:spacing w:before="80" w:line="290" w:lineRule="atLeast"/>
      </w:pPr>
      <w:r>
        <w:t>all of the individual period deltas as a string of values;</w:t>
      </w:r>
    </w:p>
    <w:p w14:paraId="404FE93E" w14:textId="77777777" w:rsidR="002975E5" w:rsidRDefault="002975E5" w:rsidP="00C443A0">
      <w:pPr>
        <w:pStyle w:val="subparaa"/>
        <w:numPr>
          <w:ilvl w:val="1"/>
          <w:numId w:val="17"/>
        </w:numPr>
        <w:spacing w:before="80" w:line="290" w:lineRule="atLeast"/>
      </w:pPr>
      <w:r>
        <w:t>a simple average of all of the individual period deltas;</w:t>
      </w:r>
    </w:p>
    <w:p w14:paraId="54B3C1DE" w14:textId="10119670" w:rsidR="002975E5" w:rsidRDefault="002975E5" w:rsidP="00C443A0">
      <w:pPr>
        <w:pStyle w:val="subparaa"/>
        <w:numPr>
          <w:ilvl w:val="1"/>
          <w:numId w:val="17"/>
        </w:numPr>
        <w:spacing w:before="80" w:line="290" w:lineRule="atLeast"/>
      </w:pPr>
      <w:r>
        <w:t>a single delta but calculated on a swap-equivalent basis</w:t>
      </w:r>
      <w:r w:rsidR="00404CA5">
        <w:t>—</w:t>
      </w:r>
      <w:r w:rsidR="00FA2CF5">
        <w:t>that is,</w:t>
      </w:r>
      <w:r>
        <w:t xml:space="preserve"> </w:t>
      </w:r>
      <w:r w:rsidR="00BC12B7">
        <w:t>related to the notional amount of the theoretical swap with the same tenor and period frequencies, whose value change is the same as the option value change</w:t>
      </w:r>
      <w:r>
        <w:t>; or</w:t>
      </w:r>
    </w:p>
    <w:p w14:paraId="0F215365" w14:textId="197FA361" w:rsidR="002975E5" w:rsidRDefault="002975E5" w:rsidP="00C443A0">
      <w:pPr>
        <w:pStyle w:val="subparaa"/>
        <w:numPr>
          <w:ilvl w:val="1"/>
          <w:numId w:val="17"/>
        </w:numPr>
        <w:spacing w:before="80" w:line="290" w:lineRule="atLeast"/>
      </w:pPr>
      <w:r>
        <w:t xml:space="preserve">just the delta for the period relating to the next exercise date, noting that this kind of delta can be materially different to an average delta or swap-equivalent delta depending </w:t>
      </w:r>
      <w:r w:rsidR="00B15035">
        <w:t>on</w:t>
      </w:r>
      <w:r>
        <w:t xml:space="preserve"> the shape of the forward price or rates curve of the underlier.</w:t>
      </w:r>
    </w:p>
    <w:p w14:paraId="0C88F2D5" w14:textId="1A786BE2" w:rsidR="002975E5" w:rsidRDefault="002975E5" w:rsidP="00C443A0">
      <w:pPr>
        <w:pStyle w:val="BodyText"/>
        <w:numPr>
          <w:ilvl w:val="0"/>
          <w:numId w:val="17"/>
        </w:numPr>
        <w:spacing w:line="290" w:lineRule="atLeast"/>
      </w:pPr>
      <w:r>
        <w:t xml:space="preserve">We also noted from a review of the data that about 84% by notional value of all options were single-period options and 16% were multi-period options (of which 15% </w:t>
      </w:r>
      <w:r w:rsidR="00FA2CF5">
        <w:t xml:space="preserve">were </w:t>
      </w:r>
      <w:r>
        <w:t>in the interest rate class and 1% in the commodity asset class).</w:t>
      </w:r>
    </w:p>
    <w:p w14:paraId="7CD87E23" w14:textId="5B617089" w:rsidR="002975E5" w:rsidRDefault="002975E5" w:rsidP="00C443A0">
      <w:pPr>
        <w:pStyle w:val="BodyText"/>
        <w:numPr>
          <w:ilvl w:val="0"/>
          <w:numId w:val="17"/>
        </w:numPr>
        <w:spacing w:line="290" w:lineRule="atLeast"/>
      </w:pPr>
      <w:r>
        <w:t>Whil</w:t>
      </w:r>
      <w:r w:rsidR="00FA2CF5">
        <w:t>e</w:t>
      </w:r>
      <w:r>
        <w:t xml:space="preserve"> an </w:t>
      </w:r>
      <w:r w:rsidRPr="00F95E5E">
        <w:t>average delta or swap-equivalent delta</w:t>
      </w:r>
      <w:r>
        <w:t xml:space="preserve"> may be a better measure for aggregate delta-adjusted notionals, the delta for the period relating to the next exercise date would be more informative about near-term price volatility exposures of a reporting entity. On balance, considering that multi-period options appear to be less than 20% of all options and the latter form of delta appears simpler to report, we are proposing that the reportable delta is the delta for the period relating to the next exercise date.</w:t>
      </w:r>
    </w:p>
    <w:p w14:paraId="186BFDBA" w14:textId="44272E28" w:rsidR="002975E5" w:rsidRDefault="002975E5" w:rsidP="00C443A0">
      <w:pPr>
        <w:pStyle w:val="BodyText"/>
        <w:numPr>
          <w:ilvl w:val="0"/>
          <w:numId w:val="17"/>
        </w:numPr>
        <w:spacing w:line="290" w:lineRule="atLeast"/>
      </w:pPr>
      <w:bookmarkStart w:id="229" w:name="_ASICRef783"/>
      <w:r>
        <w:t>In addition, although the delta for all ‘vanilla’ options is bounded by negative 1 to positive 1, we understand that there can be circumstances where deltas can be outside these bounds</w:t>
      </w:r>
      <w:r w:rsidR="00404CA5">
        <w:t>—</w:t>
      </w:r>
      <w:r>
        <w:t>such as for a near-expiry, in-the-money barrier option with a nearby knock-out barrier strike. Therefore, we propose that the allowable values be any value.</w:t>
      </w:r>
      <w:bookmarkEnd w:id="229"/>
    </w:p>
    <w:p w14:paraId="01F1898A" w14:textId="51330CC9" w:rsidR="002975E5" w:rsidRDefault="002975E5" w:rsidP="00C443A0">
      <w:pPr>
        <w:pStyle w:val="BodyText"/>
        <w:numPr>
          <w:ilvl w:val="0"/>
          <w:numId w:val="17"/>
        </w:numPr>
        <w:spacing w:line="290" w:lineRule="atLeast"/>
      </w:pPr>
      <w:bookmarkStart w:id="230" w:name="_ASICRef506"/>
      <w:r>
        <w:t xml:space="preserve">In Table S1.1(2), the meanings of proposed item 10 </w:t>
      </w:r>
      <w:r w:rsidR="00FA2CF5">
        <w:t>‘</w:t>
      </w:r>
      <w:r w:rsidRPr="003D35E7">
        <w:t>Next floating reference reset date–Leg 1</w:t>
      </w:r>
      <w:r w:rsidR="00FA2CF5">
        <w:t>’</w:t>
      </w:r>
      <w:r>
        <w:t xml:space="preserve"> and </w:t>
      </w:r>
      <w:r w:rsidR="00FA2CF5">
        <w:t xml:space="preserve">item </w:t>
      </w:r>
      <w:r>
        <w:t xml:space="preserve">11 </w:t>
      </w:r>
      <w:r w:rsidR="00FA2CF5">
        <w:t>‘</w:t>
      </w:r>
      <w:r w:rsidRPr="003D35E7">
        <w:t xml:space="preserve">Next floating reference reset date–Leg </w:t>
      </w:r>
      <w:r>
        <w:t>2</w:t>
      </w:r>
      <w:r w:rsidR="00FA2CF5">
        <w:t>’</w:t>
      </w:r>
      <w:r>
        <w:t xml:space="preserve"> closely follow their definition in the final CFTC rules, except that we propose not to require reporting of the next reset dates for floating reference rates that reset on a daily frequency. The UPI reported for an OTC </w:t>
      </w:r>
      <w:r w:rsidR="00FA2CF5">
        <w:t>d</w:t>
      </w:r>
      <w:r>
        <w:t>erivative identifies the underlier floating reference rate(s), and where this is a reference rate set on a daily basis, there is no additional information value to the Australian regulators in also reporting, in these data elements, in effect ‘tomorrow’s date’ on a daily basis.</w:t>
      </w:r>
      <w:bookmarkEnd w:id="230"/>
    </w:p>
    <w:p w14:paraId="2A3612C1" w14:textId="77777777" w:rsidR="002975E5" w:rsidRDefault="002975E5" w:rsidP="002975E5">
      <w:pPr>
        <w:pStyle w:val="Heading5"/>
      </w:pPr>
      <w:r>
        <w:t>Application to the draft remade ASIC Rules</w:t>
      </w:r>
    </w:p>
    <w:p w14:paraId="777A429D" w14:textId="77777777" w:rsidR="002975E5" w:rsidRDefault="002975E5" w:rsidP="00C443A0">
      <w:pPr>
        <w:pStyle w:val="BodyText"/>
        <w:numPr>
          <w:ilvl w:val="0"/>
          <w:numId w:val="17"/>
        </w:numPr>
        <w:spacing w:line="290" w:lineRule="atLeast"/>
      </w:pPr>
      <w:r>
        <w:t>The current ASIC Rules do not require reporting of valuation timestamp, delta or next floating rate reference reset dates, and these data elements are not introduced into the draft remade ASIC Rules.</w:t>
      </w:r>
    </w:p>
    <w:p w14:paraId="285A8356" w14:textId="77777777" w:rsidR="002975E5" w:rsidRDefault="002975E5" w:rsidP="00C443A0">
      <w:pPr>
        <w:pStyle w:val="BodyText"/>
        <w:numPr>
          <w:ilvl w:val="0"/>
          <w:numId w:val="17"/>
        </w:numPr>
        <w:spacing w:line="290" w:lineRule="atLeast"/>
      </w:pPr>
      <w:r>
        <w:t>Valuation amount and valuation currency are data elements that are present in the current ASIC Rules and the draft remade ASIC Rules and have the same meanings, formats and allowable values as in the draft amended ASIC Rules.</w:t>
      </w:r>
    </w:p>
    <w:p w14:paraId="336D4F49" w14:textId="77777777" w:rsidR="002975E5" w:rsidRDefault="002975E5" w:rsidP="00C443A0">
      <w:pPr>
        <w:pStyle w:val="BodyText"/>
        <w:numPr>
          <w:ilvl w:val="0"/>
          <w:numId w:val="17"/>
        </w:numPr>
        <w:spacing w:line="290" w:lineRule="atLeast"/>
      </w:pPr>
      <w:r>
        <w:t>Valuation method is also present in the current ASIC Rules and the draft remade ASIC Rules with the same meaning as in the draft amended ASIC Rules, but the allowable values retain the current reporting practice of the values accepted by the trade repository.</w:t>
      </w:r>
    </w:p>
    <w:p w14:paraId="03878395" w14:textId="31A1E5B6" w:rsidR="002975E5" w:rsidRDefault="002975E5" w:rsidP="002975E5">
      <w:pPr>
        <w:pStyle w:val="Heading4"/>
      </w:pPr>
      <w:r>
        <w:t>Data elements related to collateral information</w:t>
      </w:r>
      <w:r w:rsidR="00404CA5">
        <w:t>—</w:t>
      </w:r>
      <w:r>
        <w:t>Table S1.1(3)</w:t>
      </w:r>
    </w:p>
    <w:p w14:paraId="00CF995D" w14:textId="18CF6D6F" w:rsidR="002975E5" w:rsidRDefault="002975E5" w:rsidP="00C443A0">
      <w:pPr>
        <w:pStyle w:val="BodyText"/>
        <w:numPr>
          <w:ilvl w:val="0"/>
          <w:numId w:val="17"/>
        </w:numPr>
        <w:spacing w:after="200" w:line="290" w:lineRule="atLeast"/>
      </w:pPr>
      <w:r>
        <w:t>The draft amended ASIC Rules (</w:t>
      </w:r>
      <w:r w:rsidR="00056B44">
        <w:t xml:space="preserve">see </w:t>
      </w:r>
      <w:r>
        <w:t>Attachment 2) include the following data elements related to collateral</w:t>
      </w:r>
      <w:r w:rsidR="00732B26">
        <w:t>.</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2975E5" w:rsidRPr="000540E1" w14:paraId="29AB4A1D" w14:textId="77777777" w:rsidTr="00F86FF1">
        <w:trPr>
          <w:cantSplit/>
        </w:trPr>
        <w:tc>
          <w:tcPr>
            <w:tcW w:w="1701" w:type="dxa"/>
            <w:shd w:val="clear" w:color="auto" w:fill="C2E3FA"/>
          </w:tcPr>
          <w:p w14:paraId="373B3B09" w14:textId="2AF64066" w:rsidR="002975E5" w:rsidRPr="000540E1" w:rsidRDefault="002975E5" w:rsidP="00BF0E51">
            <w:pPr>
              <w:pStyle w:val="tablehead"/>
              <w:spacing w:line="230" w:lineRule="atLeast"/>
            </w:pPr>
            <w:r>
              <w:t>Proceed per CP</w:t>
            </w:r>
            <w:r w:rsidR="00056B44">
              <w:t> </w:t>
            </w:r>
            <w:r>
              <w:t>334</w:t>
            </w:r>
          </w:p>
        </w:tc>
        <w:tc>
          <w:tcPr>
            <w:tcW w:w="5103" w:type="dxa"/>
          </w:tcPr>
          <w:p w14:paraId="76548F3A" w14:textId="77777777" w:rsidR="002975E5" w:rsidRDefault="002975E5" w:rsidP="00BF0E51">
            <w:pPr>
              <w:pStyle w:val="tbltext"/>
              <w:spacing w:line="230" w:lineRule="atLeast"/>
            </w:pPr>
            <w:r w:rsidRPr="00F76596">
              <w:t xml:space="preserve">Collateralisation </w:t>
            </w:r>
            <w:r>
              <w:t xml:space="preserve">category, </w:t>
            </w:r>
            <w:r w:rsidRPr="00F76596">
              <w:t xml:space="preserve">Collateral portfolio </w:t>
            </w:r>
            <w:r>
              <w:t xml:space="preserve">indicator, </w:t>
            </w:r>
            <w:r w:rsidRPr="00730E4B">
              <w:t>Portfolio containing non-report</w:t>
            </w:r>
            <w:r>
              <w:t>ed</w:t>
            </w:r>
            <w:r w:rsidRPr="00730E4B">
              <w:t xml:space="preserve"> component indicator</w:t>
            </w:r>
            <w:r>
              <w:t>,</w:t>
            </w:r>
          </w:p>
          <w:p w14:paraId="250789E6" w14:textId="77777777" w:rsidR="002975E5" w:rsidRDefault="002975E5" w:rsidP="00BF0E51">
            <w:pPr>
              <w:pStyle w:val="tbltext"/>
              <w:spacing w:line="230" w:lineRule="atLeast"/>
              <w:rPr>
                <w:color w:val="000000" w:themeColor="text1"/>
              </w:rPr>
            </w:pPr>
            <w:r w:rsidRPr="00730E4B">
              <w:rPr>
                <w:color w:val="000000" w:themeColor="text1"/>
              </w:rPr>
              <w:t>Collateral portfolio code (initial margin)</w:t>
            </w:r>
            <w:r>
              <w:rPr>
                <w:color w:val="000000" w:themeColor="text1"/>
              </w:rPr>
              <w:t xml:space="preserve">, </w:t>
            </w:r>
            <w:r>
              <w:rPr>
                <w:color w:val="000000" w:themeColor="text1"/>
              </w:rPr>
              <w:br/>
            </w:r>
            <w:r w:rsidRPr="00730E4B">
              <w:rPr>
                <w:color w:val="000000" w:themeColor="text1"/>
              </w:rPr>
              <w:t>Collateral portfolio code (</w:t>
            </w:r>
            <w:r>
              <w:rPr>
                <w:color w:val="000000" w:themeColor="text1"/>
              </w:rPr>
              <w:t>variation</w:t>
            </w:r>
            <w:r w:rsidRPr="00730E4B">
              <w:rPr>
                <w:color w:val="000000" w:themeColor="text1"/>
              </w:rPr>
              <w:t xml:space="preserve"> margin)</w:t>
            </w:r>
            <w:r>
              <w:rPr>
                <w:color w:val="000000" w:themeColor="text1"/>
              </w:rPr>
              <w:t>,</w:t>
            </w:r>
          </w:p>
          <w:p w14:paraId="2D4210B3" w14:textId="77777777" w:rsidR="002975E5" w:rsidRDefault="002975E5" w:rsidP="00BF0E51">
            <w:pPr>
              <w:pStyle w:val="tbltext"/>
              <w:spacing w:line="230" w:lineRule="atLeast"/>
            </w:pPr>
            <w:r w:rsidRPr="00730E4B">
              <w:t xml:space="preserve">Initial margin posted by the </w:t>
            </w:r>
            <w:r>
              <w:t>Reporting Entity</w:t>
            </w:r>
            <w:r w:rsidRPr="00730E4B">
              <w:t xml:space="preserve"> (pre-haircut)</w:t>
            </w:r>
            <w:r>
              <w:t xml:space="preserve">, </w:t>
            </w:r>
            <w:r w:rsidRPr="00730E4B">
              <w:t xml:space="preserve">Initial margin posted by the </w:t>
            </w:r>
            <w:r>
              <w:t>Reporting Entity</w:t>
            </w:r>
            <w:r w:rsidRPr="00730E4B">
              <w:t xml:space="preserve"> (post-haircut)</w:t>
            </w:r>
            <w:r>
              <w:t xml:space="preserve">, </w:t>
            </w:r>
            <w:r w:rsidRPr="00730E4B">
              <w:t>Currency of initial margin posted</w:t>
            </w:r>
            <w:r>
              <w:t>,</w:t>
            </w:r>
          </w:p>
          <w:p w14:paraId="5A877C31" w14:textId="77777777" w:rsidR="002975E5" w:rsidRDefault="002975E5" w:rsidP="00BF0E51">
            <w:pPr>
              <w:pStyle w:val="tbltext"/>
              <w:spacing w:line="230" w:lineRule="atLeast"/>
            </w:pPr>
            <w:r w:rsidRPr="00730E4B">
              <w:t xml:space="preserve">Initial margin collected by the </w:t>
            </w:r>
            <w:r>
              <w:t>Reporting Entity</w:t>
            </w:r>
            <w:r w:rsidRPr="00730E4B">
              <w:t xml:space="preserve"> (pre-haircut)</w:t>
            </w:r>
            <w:r>
              <w:t xml:space="preserve">, </w:t>
            </w:r>
            <w:r w:rsidRPr="00730E4B">
              <w:t xml:space="preserve">Initial margin </w:t>
            </w:r>
            <w:r>
              <w:t>collected</w:t>
            </w:r>
            <w:r w:rsidRPr="00730E4B">
              <w:t xml:space="preserve"> by the </w:t>
            </w:r>
            <w:r>
              <w:t>R</w:t>
            </w:r>
            <w:r w:rsidRPr="00730E4B">
              <w:t>eporting</w:t>
            </w:r>
            <w:r>
              <w:t xml:space="preserve"> Entity</w:t>
            </w:r>
            <w:r w:rsidRPr="00730E4B">
              <w:t xml:space="preserve"> (post-haircut)</w:t>
            </w:r>
            <w:r>
              <w:t xml:space="preserve">, </w:t>
            </w:r>
            <w:r w:rsidRPr="00730E4B">
              <w:t xml:space="preserve">Currency of initial margin </w:t>
            </w:r>
            <w:r>
              <w:t>collected,</w:t>
            </w:r>
          </w:p>
          <w:p w14:paraId="1AB4437D" w14:textId="77777777" w:rsidR="002975E5" w:rsidRDefault="002975E5" w:rsidP="00BF0E51">
            <w:pPr>
              <w:pStyle w:val="tbltext"/>
              <w:spacing w:line="230" w:lineRule="atLeast"/>
            </w:pPr>
            <w:r w:rsidRPr="00730E4B">
              <w:t xml:space="preserve">Variation margin posted by the </w:t>
            </w:r>
            <w:r>
              <w:t>R</w:t>
            </w:r>
            <w:r w:rsidRPr="00730E4B">
              <w:t>eporting</w:t>
            </w:r>
            <w:r>
              <w:t xml:space="preserve"> Entity</w:t>
            </w:r>
            <w:r w:rsidRPr="00730E4B">
              <w:t xml:space="preserve"> (pre-haircut)</w:t>
            </w:r>
            <w:r>
              <w:t xml:space="preserve">, </w:t>
            </w:r>
            <w:r w:rsidRPr="00730E4B">
              <w:t xml:space="preserve">Currency of </w:t>
            </w:r>
            <w:r>
              <w:t>variation</w:t>
            </w:r>
            <w:r w:rsidRPr="00730E4B">
              <w:t xml:space="preserve"> margin </w:t>
            </w:r>
            <w:r>
              <w:t>posted,</w:t>
            </w:r>
          </w:p>
          <w:p w14:paraId="108DC42A" w14:textId="68A5F4DE" w:rsidR="002975E5" w:rsidRPr="00E77520" w:rsidRDefault="002975E5" w:rsidP="00BF0E51">
            <w:pPr>
              <w:pStyle w:val="tbltext"/>
              <w:spacing w:line="230" w:lineRule="atLeast"/>
            </w:pPr>
            <w:r w:rsidRPr="00730E4B">
              <w:t xml:space="preserve">Variation margin </w:t>
            </w:r>
            <w:r>
              <w:t>collected</w:t>
            </w:r>
            <w:r w:rsidRPr="00730E4B">
              <w:t xml:space="preserve"> by the </w:t>
            </w:r>
            <w:r>
              <w:t>R</w:t>
            </w:r>
            <w:r w:rsidRPr="00730E4B">
              <w:t>eporting</w:t>
            </w:r>
            <w:r>
              <w:t xml:space="preserve"> Entity</w:t>
            </w:r>
            <w:r w:rsidRPr="00730E4B">
              <w:t xml:space="preserve"> (pre-haircut)</w:t>
            </w:r>
            <w:r w:rsidR="00270EFA">
              <w:t>,</w:t>
            </w:r>
            <w:r>
              <w:t xml:space="preserve"> </w:t>
            </w:r>
            <w:r w:rsidRPr="00730E4B">
              <w:t xml:space="preserve">Currency of </w:t>
            </w:r>
            <w:r>
              <w:t>variation</w:t>
            </w:r>
            <w:r w:rsidRPr="00730E4B">
              <w:t xml:space="preserve"> margin </w:t>
            </w:r>
            <w:r>
              <w:t>collected</w:t>
            </w:r>
          </w:p>
        </w:tc>
      </w:tr>
      <w:tr w:rsidR="002975E5" w:rsidRPr="000540E1" w14:paraId="0C1DD88A" w14:textId="77777777" w:rsidTr="00F86FF1">
        <w:trPr>
          <w:cantSplit/>
        </w:trPr>
        <w:tc>
          <w:tcPr>
            <w:tcW w:w="1701" w:type="dxa"/>
            <w:shd w:val="clear" w:color="auto" w:fill="C2E3FA"/>
          </w:tcPr>
          <w:p w14:paraId="2B46FF9F" w14:textId="77777777" w:rsidR="002975E5" w:rsidRPr="000540E1" w:rsidRDefault="002975E5" w:rsidP="00BF0E51">
            <w:pPr>
              <w:pStyle w:val="tablehead"/>
              <w:spacing w:line="230" w:lineRule="atLeast"/>
            </w:pPr>
            <w:r>
              <w:t>Not proceed</w:t>
            </w:r>
          </w:p>
        </w:tc>
        <w:tc>
          <w:tcPr>
            <w:tcW w:w="5103" w:type="dxa"/>
          </w:tcPr>
          <w:p w14:paraId="5DC93C5E" w14:textId="44115542" w:rsidR="002975E5" w:rsidRPr="00951D3D" w:rsidRDefault="00056B44" w:rsidP="00BF0E51">
            <w:pPr>
              <w:pStyle w:val="tbltext"/>
              <w:spacing w:line="230" w:lineRule="atLeast"/>
              <w:rPr>
                <w:b/>
                <w:bCs/>
              </w:rPr>
            </w:pPr>
            <w:r>
              <w:rPr>
                <w:color w:val="000000" w:themeColor="text1"/>
              </w:rPr>
              <w:t>Not applicable</w:t>
            </w:r>
          </w:p>
        </w:tc>
      </w:tr>
      <w:tr w:rsidR="002975E5" w:rsidRPr="000540E1" w14:paraId="745EFD65" w14:textId="77777777" w:rsidTr="00F86FF1">
        <w:trPr>
          <w:cantSplit/>
        </w:trPr>
        <w:tc>
          <w:tcPr>
            <w:tcW w:w="1701" w:type="dxa"/>
            <w:shd w:val="clear" w:color="auto" w:fill="C2E3FA"/>
          </w:tcPr>
          <w:p w14:paraId="7008D94E" w14:textId="77777777" w:rsidR="002975E5" w:rsidRPr="000540E1" w:rsidRDefault="002975E5" w:rsidP="00BF0E51">
            <w:pPr>
              <w:pStyle w:val="tablehead"/>
              <w:spacing w:line="230" w:lineRule="atLeast"/>
            </w:pPr>
            <w:r>
              <w:t>New proposal</w:t>
            </w:r>
          </w:p>
        </w:tc>
        <w:tc>
          <w:tcPr>
            <w:tcW w:w="5103" w:type="dxa"/>
          </w:tcPr>
          <w:p w14:paraId="1E8587DD" w14:textId="77777777" w:rsidR="002975E5" w:rsidRDefault="002975E5" w:rsidP="00BF0E51">
            <w:pPr>
              <w:pStyle w:val="tbltext"/>
              <w:spacing w:line="230" w:lineRule="atLeast"/>
              <w:rPr>
                <w:color w:val="000000" w:themeColor="text1"/>
              </w:rPr>
            </w:pPr>
            <w:r w:rsidRPr="00E77520">
              <w:rPr>
                <w:color w:val="000000" w:themeColor="text1"/>
              </w:rPr>
              <w:t>Collateral timestamp</w:t>
            </w:r>
          </w:p>
          <w:p w14:paraId="03B9ECF3" w14:textId="77777777" w:rsidR="002975E5" w:rsidRDefault="002975E5" w:rsidP="00BF0E51">
            <w:pPr>
              <w:pStyle w:val="tbltext"/>
              <w:spacing w:line="230" w:lineRule="atLeast"/>
              <w:rPr>
                <w:color w:val="000000" w:themeColor="text1"/>
              </w:rPr>
            </w:pPr>
            <w:r>
              <w:rPr>
                <w:color w:val="000000" w:themeColor="text1"/>
              </w:rPr>
              <w:t>Minimum data elements in a valuation report to also include:</w:t>
            </w:r>
          </w:p>
          <w:p w14:paraId="0EC3DA95" w14:textId="77777777" w:rsidR="002975E5" w:rsidRDefault="002975E5" w:rsidP="00BF0E51">
            <w:pPr>
              <w:pStyle w:val="tbltext"/>
              <w:spacing w:line="230" w:lineRule="atLeast"/>
              <w:ind w:left="284"/>
              <w:rPr>
                <w:color w:val="000000" w:themeColor="text1"/>
              </w:rPr>
            </w:pPr>
            <w:r>
              <w:rPr>
                <w:color w:val="000000" w:themeColor="text1"/>
              </w:rPr>
              <w:t>Unique transaction identifier,</w:t>
            </w:r>
          </w:p>
          <w:p w14:paraId="0AA5315E" w14:textId="77777777" w:rsidR="002975E5" w:rsidRDefault="002975E5" w:rsidP="00BF0E51">
            <w:pPr>
              <w:pStyle w:val="tbltext"/>
              <w:spacing w:line="230" w:lineRule="atLeast"/>
              <w:ind w:left="284"/>
            </w:pPr>
            <w:r w:rsidRPr="00322C67">
              <w:t>Reporting Entity</w:t>
            </w:r>
            <w:r>
              <w:rPr>
                <w:color w:val="000000" w:themeColor="text1"/>
              </w:rPr>
              <w:t xml:space="preserve">, Counterparty 1, </w:t>
            </w:r>
            <w:r>
              <w:t>Counterparty 2,</w:t>
            </w:r>
          </w:p>
          <w:p w14:paraId="7E638F34" w14:textId="77777777" w:rsidR="002975E5" w:rsidRDefault="002975E5" w:rsidP="00BF0E51">
            <w:pPr>
              <w:pStyle w:val="tbltext"/>
              <w:spacing w:line="230" w:lineRule="atLeast"/>
              <w:ind w:left="284"/>
              <w:rPr>
                <w:color w:val="000000" w:themeColor="text1"/>
              </w:rPr>
            </w:pPr>
            <w:r w:rsidRPr="00B03981">
              <w:t>Reporting timestamp</w:t>
            </w:r>
            <w:r>
              <w:rPr>
                <w:color w:val="000000" w:themeColor="text1"/>
              </w:rPr>
              <w:t xml:space="preserve">, </w:t>
            </w:r>
            <w:r w:rsidRPr="00B46519">
              <w:rPr>
                <w:color w:val="000000" w:themeColor="text1"/>
              </w:rPr>
              <w:t>Report submitting entity</w:t>
            </w:r>
          </w:p>
          <w:p w14:paraId="4C79B69A" w14:textId="77777777" w:rsidR="002975E5" w:rsidRPr="000540E1" w:rsidRDefault="002975E5" w:rsidP="00BF0E51">
            <w:pPr>
              <w:pStyle w:val="tbltext"/>
              <w:spacing w:line="230" w:lineRule="atLeast"/>
              <w:ind w:left="284"/>
            </w:pPr>
            <w:r>
              <w:rPr>
                <w:color w:val="000000" w:themeColor="text1"/>
              </w:rPr>
              <w:t>Action type</w:t>
            </w:r>
          </w:p>
        </w:tc>
      </w:tr>
    </w:tbl>
    <w:p w14:paraId="7B2C0885" w14:textId="4355A156" w:rsidR="002975E5" w:rsidRDefault="002975E5" w:rsidP="00C443A0">
      <w:pPr>
        <w:pStyle w:val="BodyText"/>
        <w:numPr>
          <w:ilvl w:val="0"/>
          <w:numId w:val="17"/>
        </w:numPr>
        <w:spacing w:line="290" w:lineRule="atLeast"/>
      </w:pPr>
      <w:r>
        <w:t xml:space="preserve">As we note in paragraphs </w:t>
      </w:r>
      <w:r>
        <w:fldChar w:fldCharType="begin" w:fldLock="1"/>
      </w:r>
      <w:r>
        <w:instrText xml:space="preserve"> REF _ASICRef459 \w \h </w:instrText>
      </w:r>
      <w:r>
        <w:fldChar w:fldCharType="separate"/>
      </w:r>
      <w:r w:rsidR="00853A2A">
        <w:t>335</w:t>
      </w:r>
      <w:r>
        <w:fldChar w:fldCharType="end"/>
      </w:r>
      <w:r>
        <w:t>–</w:t>
      </w:r>
      <w:r>
        <w:fldChar w:fldCharType="begin" w:fldLock="1"/>
      </w:r>
      <w:r>
        <w:instrText xml:space="preserve"> REF _ASICRef753 \w \h </w:instrText>
      </w:r>
      <w:r>
        <w:fldChar w:fldCharType="separate"/>
      </w:r>
      <w:r w:rsidR="00853A2A">
        <w:t>337</w:t>
      </w:r>
      <w:r>
        <w:fldChar w:fldCharType="end"/>
      </w:r>
      <w:r>
        <w:t xml:space="preserve">, respondents expressed concerns </w:t>
      </w:r>
      <w:r w:rsidR="00056B44">
        <w:t xml:space="preserve">about </w:t>
      </w:r>
      <w:r>
        <w:t>our proposals for collateral data elements, including significant concerns with the complexities of, and the significant systems changes required for, the proposed collateral reporting.</w:t>
      </w:r>
    </w:p>
    <w:p w14:paraId="634FC7D5" w14:textId="77777777" w:rsidR="002975E5" w:rsidRDefault="002975E5" w:rsidP="00C443A0">
      <w:pPr>
        <w:pStyle w:val="BodyText"/>
        <w:numPr>
          <w:ilvl w:val="0"/>
          <w:numId w:val="17"/>
        </w:numPr>
        <w:spacing w:line="290" w:lineRule="atLeast"/>
      </w:pPr>
      <w:r>
        <w:t>The buy-side particularly noted challenges in the granularity of the data, complexities with sourcing information from third parties and potential differences arising across time zones. There were some mixed views from the sell-side about challenges and benefits of separating initial margin amounts from variation margin amounts, and of allowing for up to two portfolio codes.</w:t>
      </w:r>
    </w:p>
    <w:p w14:paraId="06B2176A" w14:textId="471B2733" w:rsidR="002975E5" w:rsidRDefault="002975E5" w:rsidP="00C443A0">
      <w:pPr>
        <w:pStyle w:val="BodyText"/>
        <w:numPr>
          <w:ilvl w:val="0"/>
          <w:numId w:val="17"/>
        </w:numPr>
        <w:spacing w:line="290" w:lineRule="atLeast"/>
      </w:pPr>
      <w:r>
        <w:t xml:space="preserve">Despite the concerns, the Australian regulators consider that these are data elements of important regulatory value and superior to the current collateral reporting requirements. As highlighted in </w:t>
      </w:r>
      <w:hyperlink r:id="rId138" w:history="1">
        <w:r w:rsidRPr="00056B44">
          <w:rPr>
            <w:rStyle w:val="Hyperlink"/>
          </w:rPr>
          <w:t>CP 334</w:t>
        </w:r>
      </w:hyperlink>
      <w:r>
        <w:t xml:space="preserve">, the data elements are common to each of the CDE, the final CFTC rules and the </w:t>
      </w:r>
      <w:r w:rsidR="0053742A">
        <w:t>(</w:t>
      </w:r>
      <w:r>
        <w:t>then proposed but now final</w:t>
      </w:r>
      <w:r w:rsidR="0053742A">
        <w:t>)</w:t>
      </w:r>
      <w:r>
        <w:t xml:space="preserve"> ESMA rules. Consequently, we have decided to proceed with our CP 334 proposals.</w:t>
      </w:r>
    </w:p>
    <w:p w14:paraId="7938F999" w14:textId="60BC0BCD" w:rsidR="002975E5" w:rsidRPr="004C5C35" w:rsidRDefault="002975E5" w:rsidP="00C443A0">
      <w:pPr>
        <w:pStyle w:val="BodyText"/>
        <w:numPr>
          <w:ilvl w:val="0"/>
          <w:numId w:val="17"/>
        </w:numPr>
        <w:spacing w:line="290" w:lineRule="atLeast"/>
      </w:pPr>
      <w:r>
        <w:t xml:space="preserve">However, we are responding to the feedback by proposing </w:t>
      </w:r>
      <w:r w:rsidRPr="004C5C35">
        <w:t>that ‘</w:t>
      </w:r>
      <w:r w:rsidR="00056B44" w:rsidRPr="004C5C35">
        <w:t>s</w:t>
      </w:r>
      <w:r w:rsidRPr="004C5C35">
        <w:t xml:space="preserve">mall-scale </w:t>
      </w:r>
      <w:r w:rsidR="00056B44" w:rsidRPr="004C5C35">
        <w:t>b</w:t>
      </w:r>
      <w:r w:rsidRPr="004C5C35">
        <w:t xml:space="preserve">uy-side </w:t>
      </w:r>
      <w:r w:rsidR="00056B44" w:rsidRPr="004C5C35">
        <w:t>e</w:t>
      </w:r>
      <w:r w:rsidRPr="004C5C35">
        <w:t xml:space="preserve">ntities’ are not required to report all collateral data elements in the extended collateral dataset: see paragraphs </w:t>
      </w:r>
      <w:r w:rsidRPr="004C5C35">
        <w:fldChar w:fldCharType="begin" w:fldLock="1"/>
      </w:r>
      <w:r w:rsidRPr="004C5C35">
        <w:instrText xml:space="preserve"> REF _ASICRef105 \w \h </w:instrText>
      </w:r>
      <w:r w:rsidR="004C5C35">
        <w:instrText xml:space="preserve"> \* MERGEFORMAT </w:instrText>
      </w:r>
      <w:r w:rsidRPr="004C5C35">
        <w:fldChar w:fldCharType="separate"/>
      </w:r>
      <w:r w:rsidR="00853A2A">
        <w:t>397</w:t>
      </w:r>
      <w:r w:rsidRPr="004C5C35">
        <w:fldChar w:fldCharType="end"/>
      </w:r>
      <w:r w:rsidRPr="004C5C35">
        <w:t>–</w:t>
      </w:r>
      <w:r w:rsidRPr="004C5C35">
        <w:fldChar w:fldCharType="begin" w:fldLock="1"/>
      </w:r>
      <w:r w:rsidRPr="004C5C35">
        <w:instrText xml:space="preserve"> REF _ASICRef331 \w \h </w:instrText>
      </w:r>
      <w:r w:rsidR="004C5C35">
        <w:instrText xml:space="preserve"> \* MERGEFORMAT </w:instrText>
      </w:r>
      <w:r w:rsidRPr="004C5C35">
        <w:fldChar w:fldCharType="separate"/>
      </w:r>
      <w:r w:rsidR="00853A2A">
        <w:t>400</w:t>
      </w:r>
      <w:r w:rsidRPr="004C5C35">
        <w:fldChar w:fldCharType="end"/>
      </w:r>
      <w:r w:rsidRPr="004C5C35">
        <w:t>.</w:t>
      </w:r>
    </w:p>
    <w:p w14:paraId="19CC5659" w14:textId="2F0DE901" w:rsidR="002975E5" w:rsidRDefault="002975E5" w:rsidP="00C443A0">
      <w:pPr>
        <w:pStyle w:val="BodyText"/>
        <w:numPr>
          <w:ilvl w:val="0"/>
          <w:numId w:val="17"/>
        </w:numPr>
        <w:spacing w:line="290" w:lineRule="atLeast"/>
      </w:pPr>
      <w:r>
        <w:t xml:space="preserve">We are also making a new proposal in this second consultation to add ‘Collateral value timestamp’ as a new data element. This is a similar data element to </w:t>
      </w:r>
      <w:r w:rsidR="00820BE2">
        <w:t>v</w:t>
      </w:r>
      <w:r>
        <w:t xml:space="preserve">aluation timestamp but was omitted in error from the first consultation: see paragraphs </w:t>
      </w:r>
      <w:r>
        <w:fldChar w:fldCharType="begin" w:fldLock="1"/>
      </w:r>
      <w:r>
        <w:instrText xml:space="preserve"> REF _ASICRef128 \w \h </w:instrText>
      </w:r>
      <w:r>
        <w:fldChar w:fldCharType="separate"/>
      </w:r>
      <w:r w:rsidR="00853A2A">
        <w:t>692</w:t>
      </w:r>
      <w:r>
        <w:fldChar w:fldCharType="end"/>
      </w:r>
      <w:r>
        <w:t>–</w:t>
      </w:r>
      <w:r>
        <w:fldChar w:fldCharType="begin" w:fldLock="1"/>
      </w:r>
      <w:r>
        <w:instrText xml:space="preserve"> REF _ASICRef0 \w \h </w:instrText>
      </w:r>
      <w:r>
        <w:fldChar w:fldCharType="separate"/>
      </w:r>
      <w:r w:rsidR="00853A2A">
        <w:t>693</w:t>
      </w:r>
      <w:r>
        <w:fldChar w:fldCharType="end"/>
      </w:r>
      <w:r>
        <w:t>.</w:t>
      </w:r>
    </w:p>
    <w:p w14:paraId="4F19603C" w14:textId="483BCDBF" w:rsidR="002975E5" w:rsidRPr="00A56632" w:rsidRDefault="002975E5" w:rsidP="00C443A0">
      <w:pPr>
        <w:pStyle w:val="BodyText"/>
        <w:numPr>
          <w:ilvl w:val="0"/>
          <w:numId w:val="17"/>
        </w:numPr>
        <w:spacing w:line="290" w:lineRule="atLeast"/>
      </w:pPr>
      <w:r>
        <w:t>In Table S1.1(3), the m</w:t>
      </w:r>
      <w:r w:rsidRPr="00361137">
        <w:t xml:space="preserve">inimum data elements in a </w:t>
      </w:r>
      <w:r>
        <w:t>collateral</w:t>
      </w:r>
      <w:r w:rsidRPr="00361137">
        <w:t xml:space="preserve"> report include </w:t>
      </w:r>
      <w:r>
        <w:t xml:space="preserve">item 1 </w:t>
      </w:r>
      <w:r w:rsidR="001E4C7E">
        <w:t>‘</w:t>
      </w:r>
      <w:r>
        <w:rPr>
          <w:color w:val="000000" w:themeColor="text1"/>
        </w:rPr>
        <w:t>Unique transaction identifier</w:t>
      </w:r>
      <w:r w:rsidR="001E4C7E">
        <w:rPr>
          <w:color w:val="000000" w:themeColor="text1"/>
        </w:rPr>
        <w:t>’</w:t>
      </w:r>
      <w:r>
        <w:rPr>
          <w:color w:val="000000" w:themeColor="text1"/>
        </w:rPr>
        <w:t xml:space="preserve">, </w:t>
      </w:r>
      <w:r w:rsidR="001E4C7E">
        <w:rPr>
          <w:color w:val="000000" w:themeColor="text1"/>
        </w:rPr>
        <w:t xml:space="preserve">item </w:t>
      </w:r>
      <w:r>
        <w:rPr>
          <w:color w:val="000000" w:themeColor="text1"/>
        </w:rPr>
        <w:t xml:space="preserve">2 </w:t>
      </w:r>
      <w:r w:rsidR="001E4C7E">
        <w:rPr>
          <w:color w:val="000000" w:themeColor="text1"/>
        </w:rPr>
        <w:t>‘</w:t>
      </w:r>
      <w:r>
        <w:rPr>
          <w:color w:val="000000" w:themeColor="text1"/>
        </w:rPr>
        <w:t>Reporting entity</w:t>
      </w:r>
      <w:r w:rsidR="001E4C7E">
        <w:rPr>
          <w:color w:val="000000" w:themeColor="text1"/>
        </w:rPr>
        <w:t>’</w:t>
      </w:r>
      <w:r>
        <w:rPr>
          <w:color w:val="000000" w:themeColor="text1"/>
        </w:rPr>
        <w:t xml:space="preserve">, </w:t>
      </w:r>
      <w:r w:rsidR="001E4C7E">
        <w:rPr>
          <w:color w:val="000000" w:themeColor="text1"/>
        </w:rPr>
        <w:t xml:space="preserve">item </w:t>
      </w:r>
      <w:r>
        <w:rPr>
          <w:color w:val="000000" w:themeColor="text1"/>
        </w:rPr>
        <w:t xml:space="preserve">3 </w:t>
      </w:r>
      <w:r w:rsidR="001E4C7E">
        <w:rPr>
          <w:color w:val="000000" w:themeColor="text1"/>
        </w:rPr>
        <w:t>‘</w:t>
      </w:r>
      <w:r>
        <w:rPr>
          <w:color w:val="000000" w:themeColor="text1"/>
        </w:rPr>
        <w:t>Counterparty 1</w:t>
      </w:r>
      <w:r w:rsidR="001E4C7E">
        <w:rPr>
          <w:color w:val="000000" w:themeColor="text1"/>
        </w:rPr>
        <w:t>’</w:t>
      </w:r>
      <w:r>
        <w:rPr>
          <w:color w:val="000000" w:themeColor="text1"/>
        </w:rPr>
        <w:t xml:space="preserve"> and </w:t>
      </w:r>
      <w:r w:rsidR="001E4C7E">
        <w:rPr>
          <w:color w:val="000000" w:themeColor="text1"/>
        </w:rPr>
        <w:t xml:space="preserve">item </w:t>
      </w:r>
      <w:r>
        <w:rPr>
          <w:color w:val="000000" w:themeColor="text1"/>
        </w:rPr>
        <w:t xml:space="preserve">4 </w:t>
      </w:r>
      <w:r w:rsidR="001E4C7E">
        <w:rPr>
          <w:color w:val="000000" w:themeColor="text1"/>
        </w:rPr>
        <w:t>‘</w:t>
      </w:r>
      <w:r>
        <w:rPr>
          <w:color w:val="000000" w:themeColor="text1"/>
        </w:rPr>
        <w:t>Counterparty 2</w:t>
      </w:r>
      <w:r w:rsidR="001E4C7E">
        <w:rPr>
          <w:color w:val="000000" w:themeColor="text1"/>
        </w:rPr>
        <w:t>’</w:t>
      </w:r>
      <w:r>
        <w:rPr>
          <w:color w:val="000000" w:themeColor="text1"/>
        </w:rPr>
        <w:t xml:space="preserve"> as items that we think are necessary to identify the OTC </w:t>
      </w:r>
      <w:r w:rsidR="001E4C7E">
        <w:rPr>
          <w:color w:val="000000" w:themeColor="text1"/>
        </w:rPr>
        <w:t>d</w:t>
      </w:r>
      <w:r>
        <w:rPr>
          <w:color w:val="000000" w:themeColor="text1"/>
        </w:rPr>
        <w:t>erivative that is the subject of the collateral information report.</w:t>
      </w:r>
    </w:p>
    <w:p w14:paraId="1B8DB7B7" w14:textId="3950F227" w:rsidR="002975E5" w:rsidRPr="00A935EA" w:rsidRDefault="002975E5" w:rsidP="00C443A0">
      <w:pPr>
        <w:pStyle w:val="BodyText"/>
        <w:numPr>
          <w:ilvl w:val="0"/>
          <w:numId w:val="17"/>
        </w:numPr>
        <w:spacing w:line="290" w:lineRule="atLeast"/>
      </w:pPr>
      <w:r>
        <w:rPr>
          <w:color w:val="000000" w:themeColor="text1"/>
        </w:rPr>
        <w:t xml:space="preserve">The meanings, formats and allowable values for these data elements </w:t>
      </w:r>
      <w:r w:rsidR="001E4C7E">
        <w:rPr>
          <w:color w:val="000000" w:themeColor="text1"/>
        </w:rPr>
        <w:t xml:space="preserve">are </w:t>
      </w:r>
      <w:r>
        <w:rPr>
          <w:color w:val="000000" w:themeColor="text1"/>
        </w:rPr>
        <w:t xml:space="preserve">the same as for those items in Table S1.1(2) </w:t>
      </w:r>
      <w:r w:rsidR="001E4C7E">
        <w:rPr>
          <w:color w:val="000000" w:themeColor="text1"/>
        </w:rPr>
        <w:t>‘</w:t>
      </w:r>
      <w:r>
        <w:rPr>
          <w:color w:val="000000" w:themeColor="text1"/>
        </w:rPr>
        <w:t>Valuation information</w:t>
      </w:r>
      <w:r w:rsidR="001E4C7E">
        <w:rPr>
          <w:color w:val="000000" w:themeColor="text1"/>
        </w:rPr>
        <w:t>’</w:t>
      </w:r>
      <w:r>
        <w:rPr>
          <w:color w:val="000000" w:themeColor="text1"/>
        </w:rPr>
        <w:t>.</w:t>
      </w:r>
    </w:p>
    <w:p w14:paraId="26CD99C2" w14:textId="71668CDE" w:rsidR="002975E5" w:rsidRDefault="002975E5" w:rsidP="00C443A0">
      <w:pPr>
        <w:pStyle w:val="BodyText"/>
        <w:numPr>
          <w:ilvl w:val="0"/>
          <w:numId w:val="17"/>
        </w:numPr>
        <w:spacing w:line="290" w:lineRule="atLeast"/>
      </w:pPr>
      <w:r>
        <w:t xml:space="preserve">In Table S1.1(3), the minimum data elements also include item 22 </w:t>
      </w:r>
      <w:r w:rsidR="001E4C7E">
        <w:t>‘</w:t>
      </w:r>
      <w:r>
        <w:t>Reporting timestamp</w:t>
      </w:r>
      <w:r w:rsidR="001E4C7E">
        <w:t>’</w:t>
      </w:r>
      <w:r>
        <w:t xml:space="preserve"> and </w:t>
      </w:r>
      <w:r w:rsidR="001E4C7E">
        <w:t xml:space="preserve">item </w:t>
      </w:r>
      <w:r>
        <w:t xml:space="preserve">23 </w:t>
      </w:r>
      <w:r w:rsidR="001E4C7E">
        <w:t>‘</w:t>
      </w:r>
      <w:r>
        <w:t>Report submitting entity</w:t>
      </w:r>
      <w:r w:rsidR="001E4C7E">
        <w:t>’</w:t>
      </w:r>
      <w:r>
        <w:t xml:space="preserve"> as ‘standard’ items in any kind of report. In addition, action type is reported at item 21 </w:t>
      </w:r>
      <w:r w:rsidR="001E4C7E">
        <w:t>‘</w:t>
      </w:r>
      <w:r>
        <w:t>Action type</w:t>
      </w:r>
      <w:r w:rsidR="001E4C7E">
        <w:t>’</w:t>
      </w:r>
      <w:r>
        <w:t xml:space="preserve"> but always with the value MARU.</w:t>
      </w:r>
    </w:p>
    <w:p w14:paraId="38907CBF" w14:textId="24F5A727" w:rsidR="002975E5" w:rsidRPr="00E97EEF" w:rsidRDefault="002975E5" w:rsidP="00C443A0">
      <w:pPr>
        <w:pStyle w:val="BodyText"/>
        <w:numPr>
          <w:ilvl w:val="0"/>
          <w:numId w:val="17"/>
        </w:numPr>
        <w:spacing w:line="290" w:lineRule="atLeast"/>
      </w:pPr>
      <w:bookmarkStart w:id="231" w:name="_ASICRef128"/>
      <w:r>
        <w:t xml:space="preserve">We are proposing to introduce item 5 </w:t>
      </w:r>
      <w:r w:rsidR="001E4C7E">
        <w:t>‘</w:t>
      </w:r>
      <w:r>
        <w:t>Collateral timestamp</w:t>
      </w:r>
      <w:r w:rsidR="001E4C7E">
        <w:t>’</w:t>
      </w:r>
      <w:r>
        <w:t xml:space="preserve"> because, as with valuation timestamp in Table S1.1(2), this is an important data element </w:t>
      </w:r>
      <w:r w:rsidRPr="00E97EEF">
        <w:t>(particularly in evaluating entity exposures) to confirm that the collateral amounts reported are current.</w:t>
      </w:r>
      <w:r>
        <w:t xml:space="preserve"> This data element is not included in the CDE Guidance but is included in the final ESMA rules.</w:t>
      </w:r>
      <w:bookmarkEnd w:id="231"/>
    </w:p>
    <w:p w14:paraId="1A0E79FD" w14:textId="7181AB29" w:rsidR="002975E5" w:rsidRDefault="002975E5" w:rsidP="00C443A0">
      <w:pPr>
        <w:pStyle w:val="BodyText"/>
        <w:numPr>
          <w:ilvl w:val="0"/>
          <w:numId w:val="17"/>
        </w:numPr>
        <w:spacing w:line="290" w:lineRule="atLeast"/>
      </w:pPr>
      <w:bookmarkStart w:id="232" w:name="_ASICRef0"/>
      <w:r>
        <w:t>There are six collateral amount data elements and these are not necessarily updated contemporaneously</w:t>
      </w:r>
      <w:r w:rsidR="00404CA5">
        <w:t>—</w:t>
      </w:r>
      <w:r>
        <w:t xml:space="preserve">for example, variation margin may be updated on a day whereas initial margin remains unchanged. With only one collateral timestamp data element, the meaning of item 5 </w:t>
      </w:r>
      <w:r w:rsidR="001E4C7E">
        <w:t>‘</w:t>
      </w:r>
      <w:r>
        <w:t>Collateral timestamp</w:t>
      </w:r>
      <w:r w:rsidR="001E4C7E">
        <w:t>’</w:t>
      </w:r>
      <w:r>
        <w:t xml:space="preserve"> is the </w:t>
      </w:r>
      <w:r>
        <w:rPr>
          <w:i/>
          <w:iCs/>
        </w:rPr>
        <w:t xml:space="preserve">latest </w:t>
      </w:r>
      <w:r>
        <w:t>date, or date and time, that one of the reported collateral amounts was determined.</w:t>
      </w:r>
      <w:bookmarkEnd w:id="232"/>
    </w:p>
    <w:p w14:paraId="386AA724" w14:textId="6C46D7AE" w:rsidR="002975E5" w:rsidRDefault="002975E5" w:rsidP="00C443A0">
      <w:pPr>
        <w:pStyle w:val="BodyText"/>
        <w:numPr>
          <w:ilvl w:val="0"/>
          <w:numId w:val="17"/>
        </w:numPr>
        <w:spacing w:line="310" w:lineRule="atLeast"/>
      </w:pPr>
      <w:r>
        <w:t xml:space="preserve">In Table S1.1(3), the meaning of item 6 </w:t>
      </w:r>
      <w:r w:rsidR="001E4C7E">
        <w:t>‘</w:t>
      </w:r>
      <w:r>
        <w:t>Collateralisation category</w:t>
      </w:r>
      <w:r w:rsidR="001E4C7E">
        <w:t>’</w:t>
      </w:r>
      <w:r>
        <w:t xml:space="preserve"> follows the definition in the CDE Guidance, with the elaboration that the indicator not only indicates the existence of a collateral arrangement but also the kind of collateral arrangements. The formats and allowable values closely follow the formats and allowable values in the CDE Guidance.</w:t>
      </w:r>
    </w:p>
    <w:p w14:paraId="6E9AEDD0" w14:textId="72F525D8" w:rsidR="002975E5" w:rsidRDefault="002975E5" w:rsidP="00C443A0">
      <w:pPr>
        <w:pStyle w:val="BodyText"/>
        <w:numPr>
          <w:ilvl w:val="0"/>
          <w:numId w:val="17"/>
        </w:numPr>
        <w:spacing w:line="310" w:lineRule="atLeast"/>
      </w:pPr>
      <w:r>
        <w:t xml:space="preserve">In Table S1.1(3), the meaning, format and allowable values for item 7 </w:t>
      </w:r>
      <w:r w:rsidR="001E4C7E">
        <w:t>‘</w:t>
      </w:r>
      <w:r>
        <w:t>Collateral portfolio indicator</w:t>
      </w:r>
      <w:r w:rsidR="001E4C7E">
        <w:t>’</w:t>
      </w:r>
      <w:r>
        <w:t xml:space="preserve"> substantively follow the CDE Guidance for this data element.</w:t>
      </w:r>
    </w:p>
    <w:p w14:paraId="48A22751" w14:textId="41B9CFD2" w:rsidR="002975E5" w:rsidRDefault="002975E5" w:rsidP="00C443A0">
      <w:pPr>
        <w:pStyle w:val="BodyText"/>
        <w:numPr>
          <w:ilvl w:val="0"/>
          <w:numId w:val="17"/>
        </w:numPr>
        <w:spacing w:line="310" w:lineRule="atLeast"/>
      </w:pPr>
      <w:r>
        <w:t xml:space="preserve">In Table S1.1(3), the meaning, format and allowable values for item 8 </w:t>
      </w:r>
      <w:r w:rsidR="001E4C7E">
        <w:t>‘</w:t>
      </w:r>
      <w:r>
        <w:t>P</w:t>
      </w:r>
      <w:r w:rsidRPr="00730E4B">
        <w:t>ortfolio containing non-report</w:t>
      </w:r>
      <w:r>
        <w:t>ed</w:t>
      </w:r>
      <w:r w:rsidRPr="00730E4B">
        <w:t xml:space="preserve"> component indicator</w:t>
      </w:r>
      <w:r w:rsidR="001E4C7E">
        <w:t>’</w:t>
      </w:r>
      <w:r>
        <w:t xml:space="preserve"> substantively follow the final CFTC rules for this data element.</w:t>
      </w:r>
    </w:p>
    <w:p w14:paraId="0FCB37DA" w14:textId="43B0A3EE" w:rsidR="002975E5" w:rsidRDefault="002975E5" w:rsidP="00C443A0">
      <w:pPr>
        <w:pStyle w:val="BodyText"/>
        <w:numPr>
          <w:ilvl w:val="0"/>
          <w:numId w:val="17"/>
        </w:numPr>
        <w:spacing w:line="310" w:lineRule="atLeast"/>
      </w:pPr>
      <w:r>
        <w:t xml:space="preserve">As we noted in paragraph 252 </w:t>
      </w:r>
      <w:r w:rsidR="00321661">
        <w:t xml:space="preserve">of </w:t>
      </w:r>
      <w:hyperlink r:id="rId139" w:history="1">
        <w:r w:rsidRPr="00321661">
          <w:rPr>
            <w:rStyle w:val="Hyperlink"/>
          </w:rPr>
          <w:t>CP 334</w:t>
        </w:r>
      </w:hyperlink>
      <w:r>
        <w:t>, this data element indicates that the collateral amounts cannot be directly related to the sum of the valuation amounts of the reportable transactions of that collateral portfolio because the collateral portfolio includes other transactions, for example:</w:t>
      </w:r>
    </w:p>
    <w:p w14:paraId="08F3E10E" w14:textId="77777777" w:rsidR="00637DC9" w:rsidRDefault="002975E5" w:rsidP="00C443A0">
      <w:pPr>
        <w:pStyle w:val="subparaa"/>
        <w:numPr>
          <w:ilvl w:val="1"/>
          <w:numId w:val="17"/>
        </w:numPr>
        <w:spacing w:line="310" w:lineRule="atLeast"/>
      </w:pPr>
      <w:r>
        <w:t>where cleared interest rate derivative transactions are cross-collateralised with interest rate futures; or</w:t>
      </w:r>
    </w:p>
    <w:p w14:paraId="31036786" w14:textId="36B2EB26" w:rsidR="002975E5" w:rsidRDefault="002975E5" w:rsidP="00C443A0">
      <w:pPr>
        <w:pStyle w:val="subparaa"/>
        <w:numPr>
          <w:ilvl w:val="1"/>
          <w:numId w:val="17"/>
        </w:numPr>
        <w:spacing w:line="310" w:lineRule="atLeast"/>
      </w:pPr>
      <w:r>
        <w:t>where the collateral portfolio is a global portfolio comprised of global transactions that are not all ASIC reportable transactions.</w:t>
      </w:r>
    </w:p>
    <w:p w14:paraId="6AA74F1B" w14:textId="07A30D10" w:rsidR="002975E5" w:rsidRPr="0089062C" w:rsidRDefault="002975E5" w:rsidP="00C443A0">
      <w:pPr>
        <w:pStyle w:val="BodyText"/>
        <w:numPr>
          <w:ilvl w:val="0"/>
          <w:numId w:val="17"/>
        </w:numPr>
        <w:spacing w:line="310" w:lineRule="atLeast"/>
      </w:pPr>
      <w:r>
        <w:t xml:space="preserve">In Table S1.1(3), the meanings of item 9 </w:t>
      </w:r>
      <w:r w:rsidR="00321661">
        <w:t>‘</w:t>
      </w:r>
      <w:r w:rsidRPr="0089062C">
        <w:t>Collateral portfolio code (initial margin)</w:t>
      </w:r>
      <w:r w:rsidR="00321661">
        <w:t>’</w:t>
      </w:r>
      <w:r>
        <w:t xml:space="preserve"> and </w:t>
      </w:r>
      <w:r w:rsidR="00321661">
        <w:t xml:space="preserve">item </w:t>
      </w:r>
      <w:r>
        <w:t xml:space="preserve">10 </w:t>
      </w:r>
      <w:r w:rsidR="00321661">
        <w:t>‘</w:t>
      </w:r>
      <w:r w:rsidRPr="00730E4B">
        <w:rPr>
          <w:color w:val="000000" w:themeColor="text1"/>
        </w:rPr>
        <w:t>Collateral portfolio code (</w:t>
      </w:r>
      <w:r>
        <w:rPr>
          <w:color w:val="000000" w:themeColor="text1"/>
        </w:rPr>
        <w:t>variation</w:t>
      </w:r>
      <w:r w:rsidRPr="00730E4B">
        <w:rPr>
          <w:color w:val="000000" w:themeColor="text1"/>
        </w:rPr>
        <w:t xml:space="preserve"> margin)</w:t>
      </w:r>
      <w:r w:rsidR="00321661">
        <w:rPr>
          <w:color w:val="000000" w:themeColor="text1"/>
        </w:rPr>
        <w:t>’</w:t>
      </w:r>
      <w:r>
        <w:rPr>
          <w:color w:val="000000" w:themeColor="text1"/>
        </w:rPr>
        <w:t xml:space="preserve"> follow the CDE Guidance, adapted to allow for two collateral portfolio codes.</w:t>
      </w:r>
    </w:p>
    <w:p w14:paraId="2F929DF8" w14:textId="1538E493" w:rsidR="002975E5" w:rsidRDefault="002975E5" w:rsidP="00C443A0">
      <w:pPr>
        <w:pStyle w:val="BodyText"/>
        <w:numPr>
          <w:ilvl w:val="0"/>
          <w:numId w:val="17"/>
        </w:numPr>
        <w:spacing w:line="310" w:lineRule="atLeast"/>
      </w:pPr>
      <w:r>
        <w:t xml:space="preserve">The meanings of these items allow that there may be only one collateral portfolio that includes both initial margin and variation margin, or just margin that </w:t>
      </w:r>
      <w:r w:rsidR="00321661">
        <w:t xml:space="preserve">is not </w:t>
      </w:r>
      <w:r>
        <w:t xml:space="preserve">characterised as initial margin or variation margin. In this situation, the single collateral portfolio code is reported at item 9 </w:t>
      </w:r>
      <w:r w:rsidR="00321661">
        <w:t>‘</w:t>
      </w:r>
      <w:r w:rsidRPr="0089062C">
        <w:t>Collateral portfolio code (initial margin)</w:t>
      </w:r>
      <w:r w:rsidR="00321661">
        <w:t>’</w:t>
      </w:r>
      <w:r>
        <w:t>.</w:t>
      </w:r>
    </w:p>
    <w:p w14:paraId="26C300CC" w14:textId="42A59300" w:rsidR="002975E5" w:rsidRDefault="002975E5" w:rsidP="00C443A0">
      <w:pPr>
        <w:pStyle w:val="BodyText"/>
        <w:numPr>
          <w:ilvl w:val="0"/>
          <w:numId w:val="17"/>
        </w:numPr>
        <w:spacing w:line="310" w:lineRule="atLeast"/>
      </w:pPr>
      <w:r>
        <w:t>This provision is also used in the collateral amount data elements in relation to distinguishing amounts of initial margin and variation amount</w:t>
      </w:r>
      <w:r w:rsidR="00404CA5">
        <w:t>—</w:t>
      </w:r>
      <w:r>
        <w:t>that is, if amounts of margin are not so distinguished, the single margin amounts are reported as the relevant initial margin data elements.</w:t>
      </w:r>
    </w:p>
    <w:p w14:paraId="22025373" w14:textId="77777777" w:rsidR="002975E5" w:rsidRDefault="002975E5" w:rsidP="00C443A0">
      <w:pPr>
        <w:pStyle w:val="BodyText"/>
        <w:numPr>
          <w:ilvl w:val="0"/>
          <w:numId w:val="17"/>
        </w:numPr>
        <w:spacing w:line="310" w:lineRule="atLeast"/>
      </w:pPr>
      <w:r>
        <w:t>In the items related to pre-haircut amounts of initial margin and variation margin, posted and collected, the meanings essentially carry forward the plain expression of ‘the value of the collateral posted’ in the current ASIC Rules as we do not think that this gives rise to any material uncertainty in current reporting practices. However, we have added the clarification that an amount reported is its total current value rather than its daily change.</w:t>
      </w:r>
    </w:p>
    <w:p w14:paraId="4E48253D" w14:textId="52C9E545" w:rsidR="002975E5" w:rsidRDefault="002975E5" w:rsidP="00C443A0">
      <w:pPr>
        <w:pStyle w:val="BodyText"/>
        <w:numPr>
          <w:ilvl w:val="0"/>
          <w:numId w:val="17"/>
        </w:numPr>
      </w:pPr>
      <w:r>
        <w:t>In the amounts related to post-haircut amounts of initial margin, ‘the haircut’ is not defined in the CDE Guidance. We think that ‘the haircut’ may be a commonly understood term, particularly in relation to margining practices, but we have described this as meaning ‘</w:t>
      </w:r>
      <w:r w:rsidRPr="00730E4B">
        <w:t>the amount</w:t>
      </w:r>
      <w:r w:rsidR="00FE55C8">
        <w:t xml:space="preserve"> (the haircut)</w:t>
      </w:r>
      <w:r w:rsidRPr="00730E4B">
        <w:t>, if any</w:t>
      </w:r>
      <w:r w:rsidR="00FE55C8">
        <w:t>,</w:t>
      </w:r>
      <w:r w:rsidR="00051A93">
        <w:t xml:space="preserve"> </w:t>
      </w:r>
      <w:r w:rsidRPr="00730E4B">
        <w:t xml:space="preserve">that is not counted as satisfying a term of margin posting of </w:t>
      </w:r>
      <w:r>
        <w:t>the</w:t>
      </w:r>
      <w:r w:rsidRPr="00730E4B">
        <w:t xml:space="preserve"> collateralisation arrangement</w:t>
      </w:r>
      <w:r>
        <w:t>’</w:t>
      </w:r>
      <w:r w:rsidRPr="00730E4B">
        <w:t>.</w:t>
      </w:r>
    </w:p>
    <w:p w14:paraId="40C9736C" w14:textId="144D9886" w:rsidR="002975E5" w:rsidRDefault="002975E5" w:rsidP="00C443A0">
      <w:pPr>
        <w:pStyle w:val="BodyText"/>
        <w:numPr>
          <w:ilvl w:val="0"/>
          <w:numId w:val="17"/>
        </w:numPr>
      </w:pPr>
      <w:r>
        <w:t xml:space="preserve">Finally, in </w:t>
      </w:r>
      <w:r w:rsidR="00321661">
        <w:t>T</w:t>
      </w:r>
      <w:r>
        <w:t>able S1.1(3), the other data elements are four items identifying the currencies of margin amounts reported and these have meanings, formats and allowable values that are expressed in the same way as for this kind of data element throughout the draft remade ASIC Rules.</w:t>
      </w:r>
    </w:p>
    <w:p w14:paraId="0B5DBD0C" w14:textId="77777777" w:rsidR="002975E5" w:rsidRDefault="002975E5" w:rsidP="002975E5">
      <w:pPr>
        <w:pStyle w:val="Heading5"/>
      </w:pPr>
      <w:r>
        <w:t>Application to the draft remade ASIC Rules</w:t>
      </w:r>
    </w:p>
    <w:p w14:paraId="262A1B6D" w14:textId="77777777" w:rsidR="002975E5" w:rsidRDefault="002975E5" w:rsidP="00C443A0">
      <w:pPr>
        <w:pStyle w:val="BodyText"/>
        <w:numPr>
          <w:ilvl w:val="0"/>
          <w:numId w:val="17"/>
        </w:numPr>
      </w:pPr>
      <w:r>
        <w:t>The current ASIC Rules do not require reporting of collateral timestamp and p</w:t>
      </w:r>
      <w:r w:rsidRPr="00730E4B">
        <w:t>ortfolio containing non-report</w:t>
      </w:r>
      <w:r>
        <w:t>ed</w:t>
      </w:r>
      <w:r w:rsidRPr="00730E4B">
        <w:t xml:space="preserve"> component indicator</w:t>
      </w:r>
      <w:r>
        <w:t xml:space="preserve"> delta, and these data elements are not introduced into the draft remade ASIC Rules.</w:t>
      </w:r>
    </w:p>
    <w:p w14:paraId="386AE290" w14:textId="77777777" w:rsidR="002975E5" w:rsidRDefault="002975E5" w:rsidP="00C443A0">
      <w:pPr>
        <w:pStyle w:val="BodyText"/>
        <w:numPr>
          <w:ilvl w:val="0"/>
          <w:numId w:val="17"/>
        </w:numPr>
      </w:pPr>
      <w:r w:rsidRPr="00F76596">
        <w:t xml:space="preserve">Collateralisation </w:t>
      </w:r>
      <w:r>
        <w:t>category and collateral portfolio indicator are present in the current ASIC Rules and are continued in the draft remade ASIC Rules, including with the formats and allowable values as are currently reported.</w:t>
      </w:r>
    </w:p>
    <w:p w14:paraId="77829077" w14:textId="4B5533A0" w:rsidR="002975E5" w:rsidRDefault="002975E5" w:rsidP="00C443A0">
      <w:pPr>
        <w:pStyle w:val="BodyText"/>
        <w:numPr>
          <w:ilvl w:val="0"/>
          <w:numId w:val="17"/>
        </w:numPr>
      </w:pPr>
      <w:r>
        <w:t>The reporting of a single collateral portfolio code and a single amount of collateral posted and its currency are continued in the draft remade ASIC Rules, and the extended requirements of up to two c</w:t>
      </w:r>
      <w:r w:rsidRPr="00F76596">
        <w:t>ollateral portfolio</w:t>
      </w:r>
      <w:r>
        <w:t xml:space="preserve"> codes and margin amounts separated as initial margin </w:t>
      </w:r>
      <w:r w:rsidR="00321661">
        <w:t xml:space="preserve">and </w:t>
      </w:r>
      <w:r>
        <w:t xml:space="preserve">variation margin, post </w:t>
      </w:r>
      <w:r w:rsidR="00321661">
        <w:t xml:space="preserve">and </w:t>
      </w:r>
      <w:r>
        <w:t>collected and pre-</w:t>
      </w:r>
      <w:r w:rsidR="00DE1E2D">
        <w:t xml:space="preserve"> </w:t>
      </w:r>
      <w:r>
        <w:t>and post-haircut are not introduced until the commencement of the draft amended ASIC Rules.</w:t>
      </w:r>
    </w:p>
    <w:p w14:paraId="6685FE7C" w14:textId="55A91FD5" w:rsidR="00472A0E" w:rsidRDefault="00472A0E" w:rsidP="00472A0E">
      <w:pPr>
        <w:pStyle w:val="Heading1"/>
      </w:pPr>
      <w:bookmarkStart w:id="233" w:name="_Toc103174640"/>
      <w:r>
        <w:t xml:space="preserve">ISO 20022 </w:t>
      </w:r>
      <w:r w:rsidR="009069D3">
        <w:t>messaging standard</w:t>
      </w:r>
      <w:bookmarkEnd w:id="233"/>
    </w:p>
    <w:p w14:paraId="62426FF9" w14:textId="77777777" w:rsidR="00E16296" w:rsidRDefault="00E16296">
      <w:pPr>
        <w:pStyle w:val="KPhead"/>
      </w:pPr>
      <w:r>
        <w:t>Key points</w:t>
      </w:r>
    </w:p>
    <w:p w14:paraId="449E9706" w14:textId="77777777" w:rsidR="00C73BDA" w:rsidRDefault="00C73BDA" w:rsidP="00BF0E51">
      <w:pPr>
        <w:pStyle w:val="KPtext"/>
        <w:spacing w:before="140" w:line="250" w:lineRule="atLeast"/>
      </w:pPr>
      <w:r>
        <w:t>ISO 20022 is an agreed framework and methodology used by the global financial industry to create consistent message standards across business processes. It can further assist in the standardisation of derivatives transaction reporting internationally.</w:t>
      </w:r>
    </w:p>
    <w:p w14:paraId="13148F1C" w14:textId="77777777" w:rsidR="00C73BDA" w:rsidRDefault="00C73BDA" w:rsidP="00BF0E51">
      <w:pPr>
        <w:pStyle w:val="KPtext"/>
        <w:spacing w:before="140" w:line="250" w:lineRule="atLeast"/>
      </w:pPr>
      <w:r>
        <w:t>The ISO 20022 Derivatives Trade Report message definition version was recently updated to incorporate the CDE data elements, as submitted by ESMA. ASIC is currently collaborating with a number of our international peer regulators to develop an updated version that would cater to the supplementary data requirements of each jurisdiction including ASIC-only data elements.</w:t>
      </w:r>
    </w:p>
    <w:p w14:paraId="16C2D50E" w14:textId="77777777" w:rsidR="00C73BDA" w:rsidRDefault="00C73BDA" w:rsidP="00BF0E51">
      <w:pPr>
        <w:pStyle w:val="KPtext"/>
        <w:spacing w:before="140" w:line="250" w:lineRule="atLeast"/>
      </w:pPr>
      <w:r>
        <w:t>Consistent with our international peer regulators, we are proposing to require the use of the ISO 20022 XML message format for OTC derivative transaction reporting to trade repositories.</w:t>
      </w:r>
      <w:r w:rsidRPr="000F58A3">
        <w:t xml:space="preserve"> </w:t>
      </w:r>
    </w:p>
    <w:p w14:paraId="4B74302F" w14:textId="77777777" w:rsidR="00C73BDA" w:rsidRDefault="00C73BDA" w:rsidP="00BF0E51">
      <w:pPr>
        <w:pStyle w:val="KPtext"/>
        <w:spacing w:before="140" w:line="250" w:lineRule="atLeast"/>
      </w:pPr>
      <w:r>
        <w:t>We recognise the benefits that an internationally common data standard and technical format can deliver including for reporting entities with multi-jurisdictional reporting requirements.</w:t>
      </w:r>
    </w:p>
    <w:p w14:paraId="2CE3E536" w14:textId="77777777" w:rsidR="00C73BDA" w:rsidRDefault="00C73BDA" w:rsidP="00C73BDA">
      <w:pPr>
        <w:pStyle w:val="Heading2"/>
      </w:pPr>
      <w:bookmarkStart w:id="234" w:name="_Toc95402009"/>
      <w:bookmarkStart w:id="235" w:name="_Toc103174641"/>
      <w:r>
        <w:t>Background</w:t>
      </w:r>
      <w:bookmarkEnd w:id="234"/>
      <w:bookmarkEnd w:id="235"/>
    </w:p>
    <w:p w14:paraId="3DDD1798" w14:textId="6A8DAFC2" w:rsidR="00C73BDA" w:rsidRDefault="00C73BDA" w:rsidP="00C443A0">
      <w:pPr>
        <w:pStyle w:val="BodyText"/>
        <w:numPr>
          <w:ilvl w:val="0"/>
          <w:numId w:val="17"/>
        </w:numPr>
        <w:spacing w:before="180" w:line="290" w:lineRule="atLeast"/>
      </w:pPr>
      <w:r>
        <w:t xml:space="preserve">In CPMI IOSCO, </w:t>
      </w:r>
      <w:hyperlink r:id="rId140" w:history="1">
        <w:r w:rsidRPr="004174DC">
          <w:rPr>
            <w:rStyle w:val="Hyperlink"/>
            <w:i/>
            <w:iCs/>
          </w:rPr>
          <w:t>Governance Arrangements for critical OTC derivatives data elements (other than UTI and UPI)</w:t>
        </w:r>
        <w:r>
          <w:rPr>
            <w:rStyle w:val="Hyperlink"/>
          </w:rPr>
          <w:t>,</w:t>
        </w:r>
      </w:hyperlink>
      <w:r>
        <w:t xml:space="preserve"> (PDF </w:t>
      </w:r>
      <w:r w:rsidR="00955305">
        <w:t>403 KB</w:t>
      </w:r>
      <w:r>
        <w:t>), October 2019 (</w:t>
      </w:r>
      <w:r w:rsidRPr="000A4612">
        <w:t>CDE Governance Arrangements</w:t>
      </w:r>
      <w:r>
        <w:t>), CPMI and IOSCO concluded that:</w:t>
      </w:r>
    </w:p>
    <w:p w14:paraId="65DEE6ED" w14:textId="77777777" w:rsidR="00C73BDA" w:rsidRDefault="00C73BDA" w:rsidP="00C443A0">
      <w:pPr>
        <w:pStyle w:val="subparaa"/>
        <w:numPr>
          <w:ilvl w:val="1"/>
          <w:numId w:val="17"/>
        </w:numPr>
        <w:spacing w:before="80" w:line="290" w:lineRule="atLeast"/>
      </w:pPr>
      <w:r w:rsidRPr="004174DC">
        <w:t>CDE should be included in the ISO 20022 data dictionary rather than adopting each of the CDE data elements as a separate ISO standard</w:t>
      </w:r>
      <w:r>
        <w:t>;</w:t>
      </w:r>
      <w:r w:rsidRPr="004174DC">
        <w:t xml:space="preserve"> and</w:t>
      </w:r>
    </w:p>
    <w:p w14:paraId="334E0198" w14:textId="77777777" w:rsidR="00C73BDA" w:rsidRDefault="00C73BDA" w:rsidP="00C443A0">
      <w:pPr>
        <w:pStyle w:val="subparaa"/>
        <w:numPr>
          <w:ilvl w:val="1"/>
          <w:numId w:val="17"/>
        </w:numPr>
        <w:spacing w:before="80" w:line="290" w:lineRule="atLeast"/>
      </w:pPr>
      <w:r w:rsidRPr="004174DC">
        <w:t>ISO 20022-compliant message(s) for CDE should be developed</w:t>
      </w:r>
      <w:r>
        <w:t>.</w:t>
      </w:r>
    </w:p>
    <w:p w14:paraId="529FE27C" w14:textId="3E8F007F" w:rsidR="00C73BDA" w:rsidRPr="00DE1E2D" w:rsidRDefault="00C73BDA" w:rsidP="00C443A0">
      <w:pPr>
        <w:pStyle w:val="BodyText"/>
        <w:numPr>
          <w:ilvl w:val="0"/>
          <w:numId w:val="17"/>
        </w:numPr>
        <w:spacing w:before="180" w:line="290" w:lineRule="atLeast"/>
        <w:rPr>
          <w:spacing w:val="-2"/>
        </w:rPr>
      </w:pPr>
      <w:r w:rsidRPr="00DE1E2D">
        <w:rPr>
          <w:spacing w:val="-2"/>
        </w:rPr>
        <w:t>In March 2021, the message definition ‘auth.030.001.02 DerivativesTradeReportV02’ was approved under the ISO governance processes. This was submitted by ESMA and builds on the existing version</w:t>
      </w:r>
      <w:r w:rsidR="00DE1E2D">
        <w:rPr>
          <w:spacing w:val="-2"/>
        </w:rPr>
        <w:t xml:space="preserve"> </w:t>
      </w:r>
      <w:r w:rsidRPr="00DE1E2D">
        <w:rPr>
          <w:spacing w:val="-2"/>
        </w:rPr>
        <w:t>01 by incorporating the CDE data elements.</w:t>
      </w:r>
    </w:p>
    <w:p w14:paraId="5AC086B6" w14:textId="589C9E8F" w:rsidR="00C73BDA" w:rsidRDefault="00C73BDA" w:rsidP="00C443A0">
      <w:pPr>
        <w:pStyle w:val="BodyText"/>
        <w:numPr>
          <w:ilvl w:val="0"/>
          <w:numId w:val="17"/>
        </w:numPr>
        <w:spacing w:before="180" w:line="290" w:lineRule="atLeast"/>
      </w:pPr>
      <w:r>
        <w:t xml:space="preserve">The documentation of the message definition is published in the ISO 20022 catalogue of messages at </w:t>
      </w:r>
      <w:hyperlink r:id="rId141" w:history="1">
        <w:r w:rsidRPr="00186F15">
          <w:rPr>
            <w:rStyle w:val="Hyperlink"/>
          </w:rPr>
          <w:t>ISO 20022 Message Definitions</w:t>
        </w:r>
      </w:hyperlink>
      <w:r>
        <w:t>.</w:t>
      </w:r>
    </w:p>
    <w:p w14:paraId="26FCE1E4" w14:textId="3AFF4422" w:rsidR="00C73BDA" w:rsidRPr="00D53AAF" w:rsidRDefault="00C73BDA" w:rsidP="00C443A0">
      <w:pPr>
        <w:pStyle w:val="BodyText"/>
        <w:numPr>
          <w:ilvl w:val="0"/>
          <w:numId w:val="17"/>
        </w:numPr>
        <w:spacing w:before="180" w:line="290" w:lineRule="atLeast"/>
      </w:pPr>
      <w:bookmarkStart w:id="236" w:name="_ASICRef45"/>
      <w:r>
        <w:t xml:space="preserve">In the final CFTC rules, published in September 2020 and having regard to the feedback received to its rules proposals, the CFTC stated that </w:t>
      </w:r>
      <w:r w:rsidR="00955305">
        <w:t>‘</w:t>
      </w:r>
      <w:r w:rsidRPr="00BF0E51">
        <w:t>the Commission will mandate ISO 20022 for reporting to SDRs according to §</w:t>
      </w:r>
      <w:r w:rsidR="00955305">
        <w:t> </w:t>
      </w:r>
      <w:r w:rsidRPr="00BF0E51">
        <w:t>45.15(b)(2) when the standard is developed</w:t>
      </w:r>
      <w:r w:rsidR="00955305" w:rsidRPr="00BF0E51">
        <w:t>’</w:t>
      </w:r>
      <w:r w:rsidR="004830D1">
        <w:t xml:space="preserve"> (p. 131)</w:t>
      </w:r>
      <w:r w:rsidRPr="00BF0E51">
        <w:t>.</w:t>
      </w:r>
      <w:bookmarkEnd w:id="236"/>
    </w:p>
    <w:p w14:paraId="4E729F46" w14:textId="6D184E65" w:rsidR="00C73BDA" w:rsidRDefault="00C73BDA" w:rsidP="00BF0E51">
      <w:pPr>
        <w:pStyle w:val="Note"/>
        <w:spacing w:before="180" w:line="230" w:lineRule="atLeast"/>
      </w:pPr>
      <w:r>
        <w:t xml:space="preserve">Note: </w:t>
      </w:r>
      <w:r w:rsidRPr="00D53AAF">
        <w:t>§ 45.15(b)(2)</w:t>
      </w:r>
      <w:r>
        <w:t xml:space="preserve"> </w:t>
      </w:r>
      <w:r w:rsidRPr="00D53AAF">
        <w:t xml:space="preserve">delegates to the Commission’s </w:t>
      </w:r>
      <w:r>
        <w:t xml:space="preserve">DMO Director </w:t>
      </w:r>
      <w:r w:rsidRPr="00D53AAF">
        <w:t>the authority to determine whether the Commission may permit or require use by reporting entities or counterparties, or by SDRs, of one or more particular data standards</w:t>
      </w:r>
      <w:r>
        <w:t>.</w:t>
      </w:r>
    </w:p>
    <w:p w14:paraId="1E552A28" w14:textId="588458D3" w:rsidR="00C73BDA" w:rsidRDefault="00C73BDA" w:rsidP="00C443A0">
      <w:pPr>
        <w:pStyle w:val="BodyText"/>
        <w:numPr>
          <w:ilvl w:val="0"/>
          <w:numId w:val="17"/>
        </w:numPr>
        <w:spacing w:line="290" w:lineRule="atLeast"/>
      </w:pPr>
      <w:r>
        <w:t>The ESMA proposals, published in March 2020, noted the existing use of ISO 20022 XML messaging in reporting:</w:t>
      </w:r>
    </w:p>
    <w:p w14:paraId="443EFF52" w14:textId="77777777" w:rsidR="00C73BDA" w:rsidRDefault="00C73BDA" w:rsidP="00C443A0">
      <w:pPr>
        <w:pStyle w:val="subparaa"/>
        <w:numPr>
          <w:ilvl w:val="1"/>
          <w:numId w:val="17"/>
        </w:numPr>
        <w:spacing w:line="290" w:lineRule="atLeast"/>
      </w:pPr>
      <w:r>
        <w:t>derivatives transaction d</w:t>
      </w:r>
      <w:r w:rsidRPr="00A353B9">
        <w:t xml:space="preserve">ata from </w:t>
      </w:r>
      <w:r>
        <w:t xml:space="preserve">trade repositories </w:t>
      </w:r>
      <w:r w:rsidRPr="00A353B9">
        <w:t xml:space="preserve">to </w:t>
      </w:r>
      <w:r>
        <w:t>national competent authorities;</w:t>
      </w:r>
    </w:p>
    <w:p w14:paraId="3FD5CEDF" w14:textId="0B7BC22C" w:rsidR="00C73BDA" w:rsidRDefault="00C73BDA" w:rsidP="00C443A0">
      <w:pPr>
        <w:pStyle w:val="subparaa"/>
        <w:numPr>
          <w:ilvl w:val="1"/>
          <w:numId w:val="17"/>
        </w:numPr>
        <w:spacing w:line="290" w:lineRule="atLeast"/>
      </w:pPr>
      <w:r w:rsidRPr="009E4685">
        <w:t xml:space="preserve">financial instruments reference data </w:t>
      </w:r>
      <w:r>
        <w:t xml:space="preserve">and transaction data </w:t>
      </w:r>
      <w:r w:rsidRPr="009E4685">
        <w:t xml:space="preserve">under </w:t>
      </w:r>
      <w:r w:rsidR="00344F5E">
        <w:t xml:space="preserve">the </w:t>
      </w:r>
      <w:hyperlink r:id="rId142" w:history="1">
        <w:r w:rsidR="00344F5E" w:rsidRPr="00F473E5">
          <w:rPr>
            <w:rStyle w:val="Hyperlink"/>
            <w:i/>
            <w:iCs/>
          </w:rPr>
          <w:t>Markets in Financial Instrument (</w:t>
        </w:r>
        <w:r w:rsidRPr="00F473E5">
          <w:rPr>
            <w:rStyle w:val="Hyperlink"/>
            <w:i/>
            <w:iCs/>
          </w:rPr>
          <w:t>MiFIR</w:t>
        </w:r>
        <w:r w:rsidR="00344F5E" w:rsidRPr="00F473E5">
          <w:rPr>
            <w:rStyle w:val="Hyperlink"/>
            <w:i/>
            <w:iCs/>
          </w:rPr>
          <w:t>)</w:t>
        </w:r>
        <w:r w:rsidR="004830D1" w:rsidRPr="00F473E5">
          <w:rPr>
            <w:rStyle w:val="Hyperlink"/>
            <w:i/>
            <w:iCs/>
          </w:rPr>
          <w:t>—</w:t>
        </w:r>
        <w:r w:rsidR="00344F5E" w:rsidRPr="00F473E5">
          <w:rPr>
            <w:rStyle w:val="Hyperlink"/>
            <w:i/>
            <w:iCs/>
          </w:rPr>
          <w:t>Regulation 600/2014</w:t>
        </w:r>
      </w:hyperlink>
      <w:r>
        <w:t>; and</w:t>
      </w:r>
    </w:p>
    <w:p w14:paraId="086E11F0" w14:textId="77777777" w:rsidR="00C73BDA" w:rsidRDefault="00C73BDA" w:rsidP="00C443A0">
      <w:pPr>
        <w:pStyle w:val="subparaa"/>
        <w:numPr>
          <w:ilvl w:val="1"/>
          <w:numId w:val="17"/>
        </w:numPr>
        <w:spacing w:line="290" w:lineRule="atLeast"/>
      </w:pPr>
      <w:r>
        <w:t>securities financing transactions.</w:t>
      </w:r>
    </w:p>
    <w:p w14:paraId="3AAE8ADF" w14:textId="25D4CCE1" w:rsidR="00262A4C" w:rsidRDefault="00C73BDA" w:rsidP="00C443A0">
      <w:pPr>
        <w:pStyle w:val="BodyText"/>
        <w:numPr>
          <w:ilvl w:val="0"/>
          <w:numId w:val="17"/>
        </w:numPr>
        <w:spacing w:line="290" w:lineRule="atLeast"/>
      </w:pPr>
      <w:r>
        <w:t xml:space="preserve">ESMA proposed </w:t>
      </w:r>
      <w:r w:rsidR="00955305">
        <w:t>‘</w:t>
      </w:r>
      <w:r w:rsidRPr="009E4685">
        <w:t>to establish an ISO 20022 technical format for the reporting to TRs. To ensure full standardisation of the reporting to be submitted to the TRs, the proposal is to use a harmonised XML schema</w:t>
      </w:r>
      <w:r w:rsidR="00955305">
        <w:t>’</w:t>
      </w:r>
      <w:r w:rsidR="004830D1">
        <w:t xml:space="preserve"> (</w:t>
      </w:r>
      <w:hyperlink r:id="rId143" w:history="1">
        <w:r w:rsidR="004830D1" w:rsidRPr="00DF5D7A">
          <w:rPr>
            <w:rStyle w:val="Hyperlink"/>
          </w:rPr>
          <w:t>ESMA proposals</w:t>
        </w:r>
      </w:hyperlink>
      <w:r w:rsidR="004830D1">
        <w:t>, p. 23)</w:t>
      </w:r>
      <w:r w:rsidRPr="009E4685">
        <w:t>.</w:t>
      </w:r>
    </w:p>
    <w:p w14:paraId="2B15A0F2" w14:textId="77777777" w:rsidR="00C73BDA" w:rsidRPr="00001ED8" w:rsidRDefault="00C73BDA" w:rsidP="00C73BDA">
      <w:pPr>
        <w:pStyle w:val="Heading2"/>
        <w:rPr>
          <w:color w:val="000000" w:themeColor="text1"/>
        </w:rPr>
      </w:pPr>
      <w:bookmarkStart w:id="237" w:name="_Toc95402010"/>
      <w:bookmarkStart w:id="238" w:name="_Toc103174642"/>
      <w:r w:rsidRPr="00001ED8">
        <w:rPr>
          <w:color w:val="000000" w:themeColor="text1"/>
        </w:rPr>
        <w:t>Developments since the release of CP 334</w:t>
      </w:r>
      <w:bookmarkEnd w:id="237"/>
      <w:bookmarkEnd w:id="238"/>
    </w:p>
    <w:p w14:paraId="77CC3D73" w14:textId="26A36301" w:rsidR="00C73BDA" w:rsidRDefault="00C73BDA" w:rsidP="00C443A0">
      <w:pPr>
        <w:pStyle w:val="BodyText"/>
        <w:numPr>
          <w:ilvl w:val="0"/>
          <w:numId w:val="17"/>
        </w:numPr>
        <w:spacing w:line="290" w:lineRule="atLeast"/>
      </w:pPr>
      <w:r>
        <w:t>In the final ESMA rules, published in December 2020, and having regard to the feedback received to its rules proposals, ESMA mandate</w:t>
      </w:r>
      <w:r w:rsidR="00500614">
        <w:t>d</w:t>
      </w:r>
      <w:r>
        <w:t xml:space="preserve"> the use of ISO</w:t>
      </w:r>
      <w:r w:rsidR="00500614">
        <w:t> </w:t>
      </w:r>
      <w:r>
        <w:t>20022 XML for reporting to trade repositories.</w:t>
      </w:r>
    </w:p>
    <w:p w14:paraId="715E674D" w14:textId="6FC4A4BC" w:rsidR="00C73BDA" w:rsidRDefault="00C73BDA" w:rsidP="00C443A0">
      <w:pPr>
        <w:pStyle w:val="BodyText"/>
        <w:numPr>
          <w:ilvl w:val="0"/>
          <w:numId w:val="17"/>
        </w:numPr>
        <w:spacing w:line="290" w:lineRule="atLeast"/>
      </w:pPr>
      <w:r>
        <w:t xml:space="preserve">In July 2021, MAS published a consultation paper </w:t>
      </w:r>
      <w:hyperlink r:id="rId144" w:history="1">
        <w:r w:rsidRPr="00F473E5">
          <w:rPr>
            <w:rStyle w:val="Hyperlink"/>
            <w:i/>
            <w:iCs/>
          </w:rPr>
          <w:t>Proposed Amendments to the Securities &amp; Futures (Reporting of Derivatives Contracts</w:t>
        </w:r>
        <w:r w:rsidRPr="006C05BB">
          <w:rPr>
            <w:rStyle w:val="Hyperlink"/>
          </w:rPr>
          <w:t xml:space="preserve">) </w:t>
        </w:r>
        <w:r w:rsidRPr="00A72C41">
          <w:rPr>
            <w:rStyle w:val="Hyperlink"/>
            <w:i/>
            <w:iCs/>
          </w:rPr>
          <w:t>Regulations</w:t>
        </w:r>
      </w:hyperlink>
      <w:r>
        <w:t xml:space="preserve"> (PDF 463</w:t>
      </w:r>
      <w:r w:rsidR="00500614">
        <w:t xml:space="preserve"> </w:t>
      </w:r>
      <w:r>
        <w:t xml:space="preserve">KB). In this paper, MAS stated </w:t>
      </w:r>
      <w:r w:rsidR="00500614">
        <w:t>‘</w:t>
      </w:r>
      <w:r w:rsidRPr="006C05BB">
        <w:t>MAS recognises the benefits of a single standard for OTC derivatives reporting, and we intend to adopt the ISO 20022 XML message format for OTC derivatives reporting to the trade repository</w:t>
      </w:r>
      <w:r w:rsidR="00500614">
        <w:t>’ (p. 23). They</w:t>
      </w:r>
      <w:r>
        <w:t xml:space="preserve"> sought feedback on </w:t>
      </w:r>
      <w:r w:rsidRPr="00721100">
        <w:t>the potential adoption of the ISO 20022 XML message format</w:t>
      </w:r>
      <w:r w:rsidRPr="006C05BB">
        <w:t>.</w:t>
      </w:r>
    </w:p>
    <w:p w14:paraId="4DADDEFF" w14:textId="65F0A7B2" w:rsidR="00C73BDA" w:rsidRDefault="00C73BDA" w:rsidP="00C443A0">
      <w:pPr>
        <w:pStyle w:val="BodyText"/>
        <w:numPr>
          <w:ilvl w:val="0"/>
          <w:numId w:val="17"/>
        </w:numPr>
        <w:spacing w:line="290" w:lineRule="atLeast"/>
      </w:pPr>
      <w:bookmarkStart w:id="239" w:name="_ASICRef862"/>
      <w:r>
        <w:t xml:space="preserve">In November 2021, the Bank of England and the Financial Conduct Authority jointly published a consultation paper </w:t>
      </w:r>
      <w:hyperlink r:id="rId145" w:history="1">
        <w:r w:rsidRPr="00F473E5">
          <w:rPr>
            <w:rStyle w:val="Hyperlink"/>
            <w:i/>
            <w:iCs/>
          </w:rPr>
          <w:t>Changes to reporting requirements, procedures for data quality and registration of Trade Repositories</w:t>
        </w:r>
      </w:hyperlink>
      <w:r>
        <w:t xml:space="preserve">. In this paper, the authorities stated </w:t>
      </w:r>
      <w:r w:rsidR="0027732D">
        <w:t>‘</w:t>
      </w:r>
      <w:r>
        <w:t>We are proposing that counterparties should use standardised XML schemas when submitting details of their derivatives trades to a TR. To ensure consistency of reporting, the XML schemas will be based on the end-to-end reporting solutions in the ISO 20022 standards</w:t>
      </w:r>
      <w:r w:rsidR="0027732D">
        <w:t>’ (p. 4)</w:t>
      </w:r>
      <w:r>
        <w:t>.</w:t>
      </w:r>
      <w:bookmarkEnd w:id="239"/>
    </w:p>
    <w:p w14:paraId="2250B761" w14:textId="5C5E4AFA" w:rsidR="00C73BDA" w:rsidRDefault="00C73BDA" w:rsidP="00C443A0">
      <w:pPr>
        <w:pStyle w:val="BodyText"/>
        <w:numPr>
          <w:ilvl w:val="0"/>
          <w:numId w:val="17"/>
        </w:numPr>
        <w:spacing w:line="290" w:lineRule="atLeast"/>
      </w:pPr>
      <w:r>
        <w:t xml:space="preserve">Since the release of </w:t>
      </w:r>
      <w:hyperlink r:id="rId146" w:history="1">
        <w:r w:rsidRPr="0027732D">
          <w:rPr>
            <w:rStyle w:val="Hyperlink"/>
          </w:rPr>
          <w:t>CP 334</w:t>
        </w:r>
      </w:hyperlink>
      <w:r>
        <w:t>, we have received comments from a few reporting entities that indicate they have a preference to use ISO 20022 messages as a common approach in their multi-jurisdictional reporting.</w:t>
      </w:r>
    </w:p>
    <w:p w14:paraId="0D97B672" w14:textId="77777777" w:rsidR="00C73BDA" w:rsidRDefault="00C73BDA" w:rsidP="00C443A0">
      <w:pPr>
        <w:pStyle w:val="BodyText"/>
        <w:numPr>
          <w:ilvl w:val="0"/>
          <w:numId w:val="17"/>
        </w:numPr>
        <w:spacing w:line="290" w:lineRule="atLeast"/>
      </w:pPr>
      <w:r>
        <w:t>ASIC is currently collaborating with a number of our international peer regulators to develop a version 03 of the ISO message definition ‘auth.030.001.02 DerivativesTradeReportV02’. Together we have collated the data elements required, proposed or intended to be proposed or adopted in each of our jurisdictions with a view to determining a single ISO 20022 message definition version that is comprehensive enough to be used in each jurisdiction.</w:t>
      </w:r>
    </w:p>
    <w:p w14:paraId="103EDB5B" w14:textId="0E700B55" w:rsidR="00C73BDA" w:rsidRDefault="00C73BDA" w:rsidP="00C443A0">
      <w:pPr>
        <w:pStyle w:val="BodyText"/>
        <w:numPr>
          <w:ilvl w:val="0"/>
          <w:numId w:val="17"/>
        </w:numPr>
        <w:spacing w:before="180" w:line="290" w:lineRule="atLeast"/>
      </w:pPr>
      <w:r>
        <w:t xml:space="preserve">We also note that in various public </w:t>
      </w:r>
      <w:r w:rsidR="0027732D">
        <w:t xml:space="preserve">forums </w:t>
      </w:r>
      <w:r>
        <w:t xml:space="preserve">about future regulatory reporting requirements in different jurisdictions and in publications of reporting services providers, there have been recurring references to </w:t>
      </w:r>
      <w:r w:rsidRPr="005E449D">
        <w:t>‘conversion’ services</w:t>
      </w:r>
      <w:r>
        <w:t>. This would be where reporting entities send their reportable information to their reporting services providers in the same manner and formats as they do now, and those service</w:t>
      </w:r>
      <w:r w:rsidR="0027732D">
        <w:t>s</w:t>
      </w:r>
      <w:r>
        <w:t xml:space="preserve"> providers ‘convert’ that information to an ISO 20022 message and on-send to the trade repository.</w:t>
      </w:r>
    </w:p>
    <w:p w14:paraId="376426E0" w14:textId="77777777" w:rsidR="00C73BDA" w:rsidRDefault="00C73BDA" w:rsidP="00C73BDA">
      <w:pPr>
        <w:pStyle w:val="Heading2"/>
      </w:pPr>
      <w:bookmarkStart w:id="240" w:name="_Toc95402011"/>
      <w:bookmarkStart w:id="241" w:name="_Toc103174643"/>
      <w:r w:rsidRPr="00471A4C">
        <w:t>ASIC’s proposed approach in CP 334</w:t>
      </w:r>
      <w:bookmarkEnd w:id="240"/>
      <w:bookmarkEnd w:id="241"/>
    </w:p>
    <w:p w14:paraId="18342C1B" w14:textId="286F4791" w:rsidR="00C73BDA" w:rsidRDefault="00C73BDA" w:rsidP="00C443A0">
      <w:pPr>
        <w:pStyle w:val="BodyText"/>
        <w:numPr>
          <w:ilvl w:val="0"/>
          <w:numId w:val="26"/>
        </w:numPr>
        <w:spacing w:before="180" w:line="290" w:lineRule="atLeast"/>
      </w:pPr>
      <w:r>
        <w:t xml:space="preserve">In </w:t>
      </w:r>
      <w:hyperlink r:id="rId147" w:history="1">
        <w:r w:rsidRPr="003D32AA">
          <w:rPr>
            <w:rStyle w:val="Hyperlink"/>
          </w:rPr>
          <w:t>CP 334</w:t>
        </w:r>
      </w:hyperlink>
      <w:r>
        <w:t>, we neither discussed nor made any proposals about ISO 20022. However, we noted ‘Data messaging standard’ as an outstanding matter for the second round of consultation as an issue of ‘</w:t>
      </w:r>
      <w:r w:rsidR="003D32AA">
        <w:t xml:space="preserve">[w]hether </w:t>
      </w:r>
      <w:r>
        <w:t>to specify a common data messaging standard such as ISO 20022’.</w:t>
      </w:r>
    </w:p>
    <w:p w14:paraId="0517472D" w14:textId="77777777" w:rsidR="00C73BDA" w:rsidRDefault="00C73BDA" w:rsidP="00C73BDA">
      <w:pPr>
        <w:pStyle w:val="Heading2"/>
      </w:pPr>
      <w:bookmarkStart w:id="242" w:name="_Toc95402012"/>
      <w:bookmarkStart w:id="243" w:name="_Toc103174644"/>
      <w:r>
        <w:t>Feedback on ISO 20022 in CP 334</w:t>
      </w:r>
      <w:bookmarkEnd w:id="242"/>
      <w:bookmarkEnd w:id="243"/>
    </w:p>
    <w:p w14:paraId="69124703" w14:textId="77777777" w:rsidR="00C73BDA" w:rsidRDefault="00C73BDA" w:rsidP="00C443A0">
      <w:pPr>
        <w:pStyle w:val="BodyText"/>
        <w:numPr>
          <w:ilvl w:val="0"/>
          <w:numId w:val="27"/>
        </w:numPr>
        <w:spacing w:before="180" w:line="290" w:lineRule="atLeast"/>
      </w:pPr>
      <w:r>
        <w:t>Only one respondent mentioned ISO 20022 in their feedback. This was in terms of noting its selection or contemplation in other jurisdictions and support for regulators’ moves to adopt a common data standard for reporting.</w:t>
      </w:r>
    </w:p>
    <w:p w14:paraId="7D3B2ABC" w14:textId="77777777" w:rsidR="00C73BDA" w:rsidRDefault="00C73BDA" w:rsidP="00C443A0">
      <w:pPr>
        <w:pStyle w:val="BodyText"/>
        <w:numPr>
          <w:ilvl w:val="0"/>
          <w:numId w:val="17"/>
        </w:numPr>
        <w:spacing w:before="180" w:line="290" w:lineRule="atLeast"/>
      </w:pPr>
      <w:r>
        <w:t>The respondent also noted that time is necessary to permit a rigorous fit-for-purpose evaluation of the message model, to increase the opportunity for coordinated, cross-jurisdictional adoption and to provide a meaningful implementation period. They encouraged ASIC to continue to work closely with the industry and regulators to adopt a common messaging methodology, with aligned implementation targets.</w:t>
      </w:r>
    </w:p>
    <w:p w14:paraId="5E2B7F2F" w14:textId="77777777" w:rsidR="00C73BDA" w:rsidRDefault="00C73BDA" w:rsidP="00C73BDA">
      <w:pPr>
        <w:pStyle w:val="Heading2"/>
      </w:pPr>
      <w:bookmarkStart w:id="244" w:name="_Toc95402013"/>
      <w:bookmarkStart w:id="245" w:name="_Toc103174645"/>
      <w:r>
        <w:t>ASIC’s proposals</w:t>
      </w:r>
      <w:bookmarkEnd w:id="244"/>
      <w:bookmarkEnd w:id="245"/>
    </w:p>
    <w:p w14:paraId="45BB27FC" w14:textId="16B83E06" w:rsidR="00C73BDA" w:rsidRDefault="00C73BDA" w:rsidP="00C443A0">
      <w:pPr>
        <w:pStyle w:val="BodyText"/>
        <w:numPr>
          <w:ilvl w:val="0"/>
          <w:numId w:val="17"/>
        </w:numPr>
      </w:pPr>
      <w:r>
        <w:t xml:space="preserve">Our proposals are summarised in </w:t>
      </w:r>
      <w:r>
        <w:fldChar w:fldCharType="begin" w:fldLock="1"/>
      </w:r>
      <w:r>
        <w:instrText xml:space="preserve"> REF _Ref97539080 \h </w:instrText>
      </w:r>
      <w:r>
        <w:fldChar w:fldCharType="separate"/>
      </w:r>
      <w:r w:rsidR="00853A2A">
        <w:t xml:space="preserve">Table </w:t>
      </w:r>
      <w:r w:rsidR="00853A2A">
        <w:rPr>
          <w:noProof/>
        </w:rPr>
        <w:t>36</w:t>
      </w:r>
      <w:r>
        <w:fldChar w:fldCharType="end"/>
      </w:r>
      <w:r>
        <w:t>.</w:t>
      </w:r>
    </w:p>
    <w:p w14:paraId="37F9B654" w14:textId="7ED4EEB7" w:rsidR="00C73BDA" w:rsidRDefault="00C73BDA" w:rsidP="00BF0E51">
      <w:pPr>
        <w:pStyle w:val="tabletitleindented"/>
        <w:keepNext w:val="0"/>
        <w:widowControl w:val="0"/>
      </w:pPr>
      <w:bookmarkStart w:id="246" w:name="_Ref97539080"/>
      <w:r>
        <w:t xml:space="preserve">Table </w:t>
      </w:r>
      <w:fldSimple w:instr=" SEQ Table \* ARABIC ">
        <w:r w:rsidR="006679BA">
          <w:rPr>
            <w:noProof/>
          </w:rPr>
          <w:t>36</w:t>
        </w:r>
      </w:fldSimple>
      <w:bookmarkEnd w:id="246"/>
      <w:r>
        <w:t>:</w:t>
      </w:r>
      <w:r>
        <w:tab/>
        <w:t>Summary of ASIC proposals</w:t>
      </w:r>
    </w:p>
    <w:tbl>
      <w:tblPr>
        <w:tblW w:w="6910"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2409"/>
        <w:gridCol w:w="4501"/>
      </w:tblGrid>
      <w:tr w:rsidR="00024DD4" w:rsidRPr="000540E1" w14:paraId="21E229F9" w14:textId="77777777" w:rsidTr="00E776CD">
        <w:trPr>
          <w:cantSplit/>
        </w:trPr>
        <w:tc>
          <w:tcPr>
            <w:tcW w:w="2409" w:type="dxa"/>
            <w:shd w:val="clear" w:color="auto" w:fill="C2E3FA"/>
          </w:tcPr>
          <w:p w14:paraId="504C6158" w14:textId="3908D334" w:rsidR="00024DD4" w:rsidRPr="00110AA0" w:rsidRDefault="00024DD4" w:rsidP="00BF0E51">
            <w:pPr>
              <w:pStyle w:val="tablehead"/>
              <w:keepNext w:val="0"/>
              <w:widowControl w:val="0"/>
              <w:spacing w:before="100" w:line="230" w:lineRule="atLeast"/>
            </w:pPr>
            <w:r w:rsidRPr="00110AA0">
              <w:t>Decisions for the draft remade ASIC Rules</w:t>
            </w:r>
          </w:p>
        </w:tc>
        <w:tc>
          <w:tcPr>
            <w:tcW w:w="4501" w:type="dxa"/>
          </w:tcPr>
          <w:p w14:paraId="1D3F5665" w14:textId="7DEA3DE6" w:rsidR="00024DD4" w:rsidRPr="000540E1" w:rsidRDefault="003D32AA" w:rsidP="00BF0E51">
            <w:pPr>
              <w:pStyle w:val="tbltext"/>
              <w:spacing w:before="100" w:line="230" w:lineRule="atLeast"/>
            </w:pPr>
            <w:r>
              <w:t>Not applicable</w:t>
            </w:r>
          </w:p>
        </w:tc>
      </w:tr>
      <w:tr w:rsidR="00024DD4" w:rsidRPr="000540E1" w14:paraId="3EFAC214" w14:textId="77777777" w:rsidTr="00E776CD">
        <w:trPr>
          <w:cantSplit/>
        </w:trPr>
        <w:tc>
          <w:tcPr>
            <w:tcW w:w="2409" w:type="dxa"/>
            <w:shd w:val="clear" w:color="auto" w:fill="C2E3FA"/>
          </w:tcPr>
          <w:p w14:paraId="66379235" w14:textId="77777777" w:rsidR="00024DD4" w:rsidRPr="00110AA0" w:rsidRDefault="00024DD4" w:rsidP="00BF0E51">
            <w:pPr>
              <w:pStyle w:val="tablehead"/>
              <w:keepNext w:val="0"/>
              <w:widowControl w:val="0"/>
              <w:spacing w:before="100" w:line="230" w:lineRule="atLeast"/>
            </w:pPr>
            <w:r w:rsidRPr="00110AA0">
              <w:t>Proposals for the draft remade ASIC Rules</w:t>
            </w:r>
          </w:p>
        </w:tc>
        <w:tc>
          <w:tcPr>
            <w:tcW w:w="4501" w:type="dxa"/>
          </w:tcPr>
          <w:p w14:paraId="7CF0DA7C" w14:textId="1E559A2A" w:rsidR="00024DD4" w:rsidRPr="000540E1" w:rsidRDefault="003D32AA" w:rsidP="00BF0E51">
            <w:pPr>
              <w:pStyle w:val="tbltext"/>
              <w:spacing w:before="100" w:line="230" w:lineRule="atLeast"/>
            </w:pPr>
            <w:r>
              <w:t>Not applicable</w:t>
            </w:r>
          </w:p>
        </w:tc>
      </w:tr>
      <w:tr w:rsidR="00C73BDA" w:rsidRPr="000540E1" w14:paraId="455CFCAB" w14:textId="77777777" w:rsidTr="00E776CD">
        <w:trPr>
          <w:cantSplit/>
        </w:trPr>
        <w:tc>
          <w:tcPr>
            <w:tcW w:w="2409" w:type="dxa"/>
            <w:shd w:val="clear" w:color="auto" w:fill="C2E3FA"/>
          </w:tcPr>
          <w:p w14:paraId="01D48ECF" w14:textId="7D2D1789" w:rsidR="00C73BDA" w:rsidRPr="00110AA0" w:rsidRDefault="00024DD4" w:rsidP="00BF0E51">
            <w:pPr>
              <w:pStyle w:val="tablehead"/>
              <w:keepNext w:val="0"/>
              <w:widowControl w:val="0"/>
              <w:spacing w:before="100" w:line="230" w:lineRule="atLeast"/>
            </w:pPr>
            <w:r w:rsidRPr="00110AA0">
              <w:t xml:space="preserve">Decisions for </w:t>
            </w:r>
            <w:r w:rsidR="00C73BDA" w:rsidRPr="00110AA0">
              <w:t xml:space="preserve">the </w:t>
            </w:r>
            <w:r w:rsidRPr="00110AA0">
              <w:t>draft amended</w:t>
            </w:r>
            <w:r w:rsidR="00C73BDA" w:rsidRPr="00110AA0">
              <w:t xml:space="preserve"> ASIC Rules</w:t>
            </w:r>
          </w:p>
        </w:tc>
        <w:tc>
          <w:tcPr>
            <w:tcW w:w="4501" w:type="dxa"/>
          </w:tcPr>
          <w:p w14:paraId="527749F4" w14:textId="55080F9A" w:rsidR="00C73BDA" w:rsidRPr="000540E1" w:rsidRDefault="003D32AA" w:rsidP="00BF0E51">
            <w:pPr>
              <w:pStyle w:val="tbltext"/>
              <w:spacing w:before="100" w:line="230" w:lineRule="atLeast"/>
            </w:pPr>
            <w:r>
              <w:t>Not applicable</w:t>
            </w:r>
          </w:p>
        </w:tc>
      </w:tr>
      <w:tr w:rsidR="00C73BDA" w:rsidRPr="000540E1" w14:paraId="755F211F" w14:textId="77777777" w:rsidTr="00E776CD">
        <w:trPr>
          <w:cantSplit/>
        </w:trPr>
        <w:tc>
          <w:tcPr>
            <w:tcW w:w="2409" w:type="dxa"/>
            <w:shd w:val="clear" w:color="auto" w:fill="C2E3FA"/>
          </w:tcPr>
          <w:p w14:paraId="1B56139A" w14:textId="014A0C19" w:rsidR="00C73BDA" w:rsidRPr="00110AA0" w:rsidRDefault="00C73BDA" w:rsidP="00BF0E51">
            <w:pPr>
              <w:pStyle w:val="tablehead"/>
              <w:keepNext w:val="0"/>
              <w:widowControl w:val="0"/>
              <w:spacing w:before="100" w:line="230" w:lineRule="atLeast"/>
            </w:pPr>
            <w:r w:rsidRPr="00110AA0">
              <w:t xml:space="preserve">Proposals for </w:t>
            </w:r>
            <w:r w:rsidR="00024DD4" w:rsidRPr="00110AA0">
              <w:t>the draft amended ASIC Rules</w:t>
            </w:r>
          </w:p>
        </w:tc>
        <w:tc>
          <w:tcPr>
            <w:tcW w:w="4501" w:type="dxa"/>
          </w:tcPr>
          <w:p w14:paraId="503AA880" w14:textId="314B78B0" w:rsidR="00C73BDA" w:rsidRPr="000540E1" w:rsidRDefault="00C73BDA" w:rsidP="00BF0E51">
            <w:pPr>
              <w:pStyle w:val="tbltext"/>
              <w:spacing w:before="100" w:line="230" w:lineRule="atLeast"/>
            </w:pPr>
            <w:r>
              <w:t xml:space="preserve">Require that </w:t>
            </w:r>
            <w:r w:rsidRPr="00430AB0">
              <w:t>reporting entities report information in a</w:t>
            </w:r>
            <w:r>
              <w:t xml:space="preserve"> common XML template in accordance with the </w:t>
            </w:r>
            <w:r w:rsidRPr="00430AB0">
              <w:t>ISO</w:t>
            </w:r>
            <w:r w:rsidR="003D32AA">
              <w:t> </w:t>
            </w:r>
            <w:r w:rsidRPr="00430AB0">
              <w:t xml:space="preserve">20022 </w:t>
            </w:r>
            <w:r>
              <w:t>methodology</w:t>
            </w:r>
          </w:p>
        </w:tc>
      </w:tr>
      <w:tr w:rsidR="00024DD4" w:rsidRPr="000540E1" w14:paraId="5001A9B7" w14:textId="77777777" w:rsidTr="00E776CD">
        <w:trPr>
          <w:cantSplit/>
        </w:trPr>
        <w:tc>
          <w:tcPr>
            <w:tcW w:w="2409" w:type="dxa"/>
            <w:shd w:val="clear" w:color="auto" w:fill="C2E3FA"/>
          </w:tcPr>
          <w:p w14:paraId="20874BB7" w14:textId="0529CFE7" w:rsidR="00024DD4" w:rsidRPr="00110AA0" w:rsidRDefault="00024DD4" w:rsidP="00BF0E51">
            <w:pPr>
              <w:pStyle w:val="tablehead"/>
              <w:keepNext w:val="0"/>
              <w:widowControl w:val="0"/>
              <w:spacing w:before="100" w:line="230" w:lineRule="atLeast"/>
            </w:pPr>
            <w:r w:rsidRPr="00110AA0">
              <w:t>Matters deferred to the third consultation</w:t>
            </w:r>
          </w:p>
        </w:tc>
        <w:tc>
          <w:tcPr>
            <w:tcW w:w="4501" w:type="dxa"/>
          </w:tcPr>
          <w:p w14:paraId="017065E5" w14:textId="3761C770" w:rsidR="00024DD4" w:rsidRDefault="003D32AA" w:rsidP="00BF0E51">
            <w:pPr>
              <w:pStyle w:val="tbltext"/>
              <w:spacing w:before="100" w:line="230" w:lineRule="atLeast"/>
            </w:pPr>
            <w:r>
              <w:t>Not applicable</w:t>
            </w:r>
          </w:p>
        </w:tc>
      </w:tr>
    </w:tbl>
    <w:p w14:paraId="5D868E4F" w14:textId="77777777" w:rsidR="00C73BDA" w:rsidRDefault="00C73BDA" w:rsidP="00BF0E51">
      <w:pPr>
        <w:pStyle w:val="Proposalhead"/>
        <w:keepNext w:val="0"/>
        <w:widowControl w:val="0"/>
        <w:spacing w:before="360"/>
      </w:pPr>
      <w:r>
        <w:t>Proposal</w:t>
      </w:r>
    </w:p>
    <w:p w14:paraId="0E0E43D8" w14:textId="3D2CE2D0" w:rsidR="00C73BDA" w:rsidRDefault="00C73BDA" w:rsidP="00BF0E51">
      <w:pPr>
        <w:pStyle w:val="Proposaltext"/>
        <w:widowControl w:val="0"/>
        <w:tabs>
          <w:tab w:val="clear" w:pos="2693"/>
          <w:tab w:val="num" w:pos="425"/>
        </w:tabs>
      </w:pPr>
      <w:r>
        <w:t xml:space="preserve">We propose to amend </w:t>
      </w:r>
      <w:r w:rsidR="003D32AA">
        <w:t>R</w:t>
      </w:r>
      <w:r>
        <w:t xml:space="preserve">ule 2.2.4 </w:t>
      </w:r>
      <w:r w:rsidR="00866410">
        <w:t xml:space="preserve">in the draft amended ASIC Rules </w:t>
      </w:r>
      <w:r>
        <w:t>to insert a requirement, with effect from 1 April 2024, that reporting entities report information in an ISO 20022 XML message.</w:t>
      </w:r>
    </w:p>
    <w:p w14:paraId="544D7276" w14:textId="77777777" w:rsidR="00C73BDA" w:rsidRDefault="00C73BDA" w:rsidP="00C73BDA">
      <w:pPr>
        <w:pStyle w:val="Feedbackhead"/>
      </w:pPr>
      <w:r>
        <w:t>Your feedback</w:t>
      </w:r>
    </w:p>
    <w:p w14:paraId="3A2CED2A" w14:textId="77777777" w:rsidR="00C73BDA" w:rsidRDefault="00C73BDA" w:rsidP="00C73BDA">
      <w:pPr>
        <w:pStyle w:val="Feedbackquestion"/>
        <w:pBdr>
          <w:left w:val="single" w:sz="6" w:space="2" w:color="117DC7"/>
        </w:pBdr>
      </w:pPr>
      <w:r>
        <w:t>Do you agree with this proposal? In your response, please give detailed reasons for your answer.</w:t>
      </w:r>
    </w:p>
    <w:p w14:paraId="689324FE" w14:textId="77777777" w:rsidR="00C73BDA" w:rsidRDefault="00C73BDA" w:rsidP="00C73BDA">
      <w:pPr>
        <w:pStyle w:val="Heading3"/>
      </w:pPr>
      <w:r>
        <w:t>Rationale</w:t>
      </w:r>
    </w:p>
    <w:p w14:paraId="6FFF2213" w14:textId="77777777" w:rsidR="00C73BDA" w:rsidRDefault="00C73BDA" w:rsidP="00C443A0">
      <w:pPr>
        <w:pStyle w:val="BodyText"/>
        <w:numPr>
          <w:ilvl w:val="0"/>
          <w:numId w:val="17"/>
        </w:numPr>
      </w:pPr>
      <w:r>
        <w:t>A common international concern of industry has been about the complexities, and associated costs, of the lack of harmonisation in the reporting requirements between different jurisdictions.</w:t>
      </w:r>
    </w:p>
    <w:p w14:paraId="29CB3222" w14:textId="77777777" w:rsidR="00C73BDA" w:rsidRDefault="00C73BDA" w:rsidP="00C443A0">
      <w:pPr>
        <w:pStyle w:val="BodyText"/>
        <w:numPr>
          <w:ilvl w:val="0"/>
          <w:numId w:val="17"/>
        </w:numPr>
      </w:pPr>
      <w:r>
        <w:t>In our work on simplifying the ASIC Rules, we are seeking to harmonise, to the extent practicable, with other jurisdictions in relation to the UTI, UPI, LEI and the data elements of the ASIC Rules. To adopt ISO 20022 XML messaging would be another harmonisation step.</w:t>
      </w:r>
    </w:p>
    <w:p w14:paraId="734F064F" w14:textId="4545CE95" w:rsidR="00C73BDA" w:rsidRDefault="0038111B" w:rsidP="00C443A0">
      <w:pPr>
        <w:pStyle w:val="BodyText"/>
        <w:numPr>
          <w:ilvl w:val="0"/>
          <w:numId w:val="17"/>
        </w:numPr>
      </w:pPr>
      <w:r>
        <w:t>In</w:t>
      </w:r>
      <w:r w:rsidR="00C73BDA">
        <w:t xml:space="preserve"> paragraphs </w:t>
      </w:r>
      <w:r w:rsidR="00C73BDA">
        <w:fldChar w:fldCharType="begin" w:fldLock="1"/>
      </w:r>
      <w:r w:rsidR="00C73BDA">
        <w:instrText xml:space="preserve"> REF _ASICRef45 \w \h </w:instrText>
      </w:r>
      <w:r w:rsidR="00C73BDA">
        <w:fldChar w:fldCharType="separate"/>
      </w:r>
      <w:r w:rsidR="00853A2A">
        <w:t>710</w:t>
      </w:r>
      <w:r w:rsidR="00C73BDA">
        <w:fldChar w:fldCharType="end"/>
      </w:r>
      <w:r w:rsidR="00C73BDA">
        <w:t>–</w:t>
      </w:r>
      <w:r w:rsidR="00C73BDA">
        <w:fldChar w:fldCharType="begin" w:fldLock="1"/>
      </w:r>
      <w:r w:rsidR="00C73BDA">
        <w:instrText xml:space="preserve"> REF _ASICRef862 \w \h </w:instrText>
      </w:r>
      <w:r w:rsidR="00C73BDA">
        <w:fldChar w:fldCharType="separate"/>
      </w:r>
      <w:r w:rsidR="00853A2A">
        <w:t>715</w:t>
      </w:r>
      <w:r w:rsidR="00C73BDA">
        <w:fldChar w:fldCharType="end"/>
      </w:r>
      <w:r w:rsidR="00C73BDA">
        <w:t xml:space="preserve">, we identify four major jurisdictions </w:t>
      </w:r>
      <w:r>
        <w:t xml:space="preserve">that </w:t>
      </w:r>
      <w:r w:rsidR="00C73BDA">
        <w:t>have decided or proposed to require reporting entities to report information to trade repositories in an ISO 20022 XML message.</w:t>
      </w:r>
    </w:p>
    <w:p w14:paraId="39B1FB3D" w14:textId="77777777" w:rsidR="00C73BDA" w:rsidRDefault="00C73BDA" w:rsidP="00C443A0">
      <w:pPr>
        <w:pStyle w:val="BodyText"/>
        <w:numPr>
          <w:ilvl w:val="0"/>
          <w:numId w:val="17"/>
        </w:numPr>
      </w:pPr>
      <w:r>
        <w:t>For reporting entities with multi-jurisdictional reporting requirements, and trade repositories and reporting services providers operating in multiple jurisdictions, we think there would be clear benefit in forming, transmitting and receiving derivative transaction information based on a common form of message.</w:t>
      </w:r>
    </w:p>
    <w:p w14:paraId="7C00146B" w14:textId="77777777" w:rsidR="00C73BDA" w:rsidRDefault="00C73BDA" w:rsidP="00C443A0">
      <w:pPr>
        <w:pStyle w:val="BodyText"/>
        <w:numPr>
          <w:ilvl w:val="0"/>
          <w:numId w:val="17"/>
        </w:numPr>
      </w:pPr>
      <w:r>
        <w:t>We think the benefits should be reflected in lower costs, at least in the medium-to-long term, from the reduction or removal of the associated costs of maintaining more than one technical approach to reporting information to trade repositories.</w:t>
      </w:r>
    </w:p>
    <w:p w14:paraId="2A1C5518" w14:textId="60064143" w:rsidR="00C73BDA" w:rsidRDefault="00C73BDA" w:rsidP="00C443A0">
      <w:pPr>
        <w:pStyle w:val="BodyText"/>
        <w:numPr>
          <w:ilvl w:val="0"/>
          <w:numId w:val="17"/>
        </w:numPr>
      </w:pPr>
      <w:r>
        <w:t xml:space="preserve">We </w:t>
      </w:r>
      <w:r w:rsidR="0038111B">
        <w:t xml:space="preserve">identified </w:t>
      </w:r>
      <w:r>
        <w:t xml:space="preserve">a range of relationships between kinds of ASIC reporting entities and their report submitting entities. We </w:t>
      </w:r>
      <w:r w:rsidR="00462EB7">
        <w:t xml:space="preserve">found </w:t>
      </w:r>
      <w:r>
        <w:t>that 18% of ASIC reporting entities do their own ‘</w:t>
      </w:r>
      <w:r w:rsidR="005A5E1A">
        <w:t>self-reporting</w:t>
      </w:r>
      <w:r>
        <w:t>’ and 82% use some form of ‘outsourced reporting’</w:t>
      </w:r>
      <w:r w:rsidR="00462EB7">
        <w:t xml:space="preserve">: see </w:t>
      </w:r>
      <w:r>
        <w:fldChar w:fldCharType="begin" w:fldLock="1"/>
      </w:r>
      <w:r>
        <w:instrText xml:space="preserve"> REF _Ref97539121 \h </w:instrText>
      </w:r>
      <w:r>
        <w:fldChar w:fldCharType="separate"/>
      </w:r>
      <w:r w:rsidR="00853A2A">
        <w:t xml:space="preserve">Table </w:t>
      </w:r>
      <w:r w:rsidR="00853A2A">
        <w:rPr>
          <w:noProof/>
        </w:rPr>
        <w:t>37</w:t>
      </w:r>
      <w:r>
        <w:fldChar w:fldCharType="end"/>
      </w:r>
      <w:r>
        <w:t>.</w:t>
      </w:r>
    </w:p>
    <w:p w14:paraId="1BF935E4" w14:textId="4A3A0FA2" w:rsidR="00C73BDA" w:rsidRDefault="00C73BDA" w:rsidP="00C73BDA">
      <w:pPr>
        <w:pStyle w:val="tabletitleindented"/>
      </w:pPr>
      <w:bookmarkStart w:id="247" w:name="_Ref97539121"/>
      <w:r>
        <w:t xml:space="preserve">Table </w:t>
      </w:r>
      <w:fldSimple w:instr=" SEQ Table \* ARABIC ">
        <w:r w:rsidR="006679BA">
          <w:rPr>
            <w:noProof/>
          </w:rPr>
          <w:t>37</w:t>
        </w:r>
      </w:fldSimple>
      <w:bookmarkEnd w:id="247"/>
      <w:r>
        <w:t>:</w:t>
      </w:r>
      <w:r>
        <w:tab/>
        <w:t>Percentages of relationships between kinds of ASIC reporting entities and their report submitting entities</w:t>
      </w:r>
    </w:p>
    <w:tbl>
      <w:tblPr>
        <w:tblW w:w="6804" w:type="dxa"/>
        <w:tblInd w:w="2376"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2268"/>
        <w:gridCol w:w="2268"/>
        <w:gridCol w:w="2268"/>
      </w:tblGrid>
      <w:tr w:rsidR="00C73BDA" w:rsidRPr="002F4E61" w14:paraId="2812E953" w14:textId="77777777" w:rsidTr="00E776CD">
        <w:trPr>
          <w:cantSplit/>
          <w:tblHeader/>
        </w:trPr>
        <w:tc>
          <w:tcPr>
            <w:tcW w:w="2268" w:type="dxa"/>
            <w:shd w:val="clear" w:color="auto" w:fill="C2E3FA"/>
          </w:tcPr>
          <w:p w14:paraId="429519D6" w14:textId="77777777" w:rsidR="00C73BDA" w:rsidRPr="002F4E61" w:rsidRDefault="00C73BDA" w:rsidP="00BF0E51">
            <w:pPr>
              <w:pStyle w:val="tablehead"/>
              <w:spacing w:line="250" w:lineRule="atLeast"/>
            </w:pPr>
            <w:r>
              <w:t>Kind of ASIC reporting entity</w:t>
            </w:r>
          </w:p>
        </w:tc>
        <w:tc>
          <w:tcPr>
            <w:tcW w:w="2268" w:type="dxa"/>
            <w:shd w:val="clear" w:color="auto" w:fill="C2E3FA"/>
          </w:tcPr>
          <w:p w14:paraId="6D0CEE72" w14:textId="77777777" w:rsidR="00C73BDA" w:rsidRPr="002F4E61" w:rsidRDefault="00C73BDA" w:rsidP="00BF0E51">
            <w:pPr>
              <w:pStyle w:val="tablehead"/>
              <w:spacing w:line="250" w:lineRule="atLeast"/>
            </w:pPr>
            <w:r>
              <w:t>Kind of report submitting entity</w:t>
            </w:r>
          </w:p>
        </w:tc>
        <w:tc>
          <w:tcPr>
            <w:tcW w:w="2268" w:type="dxa"/>
            <w:shd w:val="clear" w:color="auto" w:fill="C2E3FA"/>
          </w:tcPr>
          <w:p w14:paraId="2424851A" w14:textId="77777777" w:rsidR="00C73BDA" w:rsidRPr="002F4E61" w:rsidRDefault="00C73BDA" w:rsidP="00BF0E51">
            <w:pPr>
              <w:pStyle w:val="tablehead"/>
              <w:spacing w:line="250" w:lineRule="atLeast"/>
            </w:pPr>
            <w:r>
              <w:t>Percentage of all relationships</w:t>
            </w:r>
          </w:p>
        </w:tc>
      </w:tr>
      <w:tr w:rsidR="00C73BDA" w:rsidRPr="002F4E61" w14:paraId="125F615E" w14:textId="77777777" w:rsidTr="00E776CD">
        <w:trPr>
          <w:cantSplit/>
        </w:trPr>
        <w:tc>
          <w:tcPr>
            <w:tcW w:w="2268" w:type="dxa"/>
          </w:tcPr>
          <w:p w14:paraId="788DD570" w14:textId="77777777" w:rsidR="00C73BDA" w:rsidRPr="002F4E61" w:rsidRDefault="00C73BDA" w:rsidP="00BF0E51">
            <w:pPr>
              <w:pStyle w:val="tbltext"/>
              <w:spacing w:line="250" w:lineRule="atLeast"/>
            </w:pPr>
            <w:r>
              <w:t>Any kind</w:t>
            </w:r>
          </w:p>
        </w:tc>
        <w:tc>
          <w:tcPr>
            <w:tcW w:w="2268" w:type="dxa"/>
          </w:tcPr>
          <w:p w14:paraId="7442240B" w14:textId="57C15B9F" w:rsidR="00C73BDA" w:rsidRPr="002F4E61" w:rsidRDefault="00C73BDA" w:rsidP="00BF0E51">
            <w:pPr>
              <w:pStyle w:val="tbltext"/>
              <w:spacing w:line="250" w:lineRule="atLeast"/>
            </w:pPr>
            <w:r>
              <w:t>ASIC reporting entity</w:t>
            </w:r>
          </w:p>
        </w:tc>
        <w:tc>
          <w:tcPr>
            <w:tcW w:w="2268" w:type="dxa"/>
          </w:tcPr>
          <w:p w14:paraId="286DABAA" w14:textId="77777777" w:rsidR="00C73BDA" w:rsidRPr="002F4E61" w:rsidRDefault="00C73BDA" w:rsidP="00BF0E51">
            <w:pPr>
              <w:pStyle w:val="tbltext"/>
              <w:spacing w:line="250" w:lineRule="atLeast"/>
            </w:pPr>
            <w:r>
              <w:t>8.3%</w:t>
            </w:r>
          </w:p>
        </w:tc>
      </w:tr>
      <w:tr w:rsidR="00C73BDA" w:rsidRPr="002F4E61" w14:paraId="0A7DCD9D" w14:textId="77777777" w:rsidTr="00E776CD">
        <w:trPr>
          <w:cantSplit/>
        </w:trPr>
        <w:tc>
          <w:tcPr>
            <w:tcW w:w="2268" w:type="dxa"/>
          </w:tcPr>
          <w:p w14:paraId="702706FF" w14:textId="77777777" w:rsidR="00C73BDA" w:rsidRPr="002F4E61" w:rsidRDefault="00C73BDA" w:rsidP="00BF0E51">
            <w:pPr>
              <w:pStyle w:val="tbltext"/>
              <w:spacing w:line="250" w:lineRule="atLeast"/>
            </w:pPr>
            <w:r>
              <w:t>Any kind</w:t>
            </w:r>
          </w:p>
        </w:tc>
        <w:tc>
          <w:tcPr>
            <w:tcW w:w="2268" w:type="dxa"/>
          </w:tcPr>
          <w:p w14:paraId="24445927" w14:textId="77777777" w:rsidR="00C73BDA" w:rsidRPr="002F4E61" w:rsidRDefault="00C73BDA" w:rsidP="00BF0E51">
            <w:pPr>
              <w:pStyle w:val="tbltext"/>
              <w:spacing w:line="250" w:lineRule="atLeast"/>
            </w:pPr>
            <w:r>
              <w:t>Another entity of the ASIC reporting entity’s group</w:t>
            </w:r>
          </w:p>
        </w:tc>
        <w:tc>
          <w:tcPr>
            <w:tcW w:w="2268" w:type="dxa"/>
          </w:tcPr>
          <w:p w14:paraId="6D1CF206" w14:textId="77777777" w:rsidR="00C73BDA" w:rsidRPr="002F4E61" w:rsidRDefault="00C73BDA" w:rsidP="00BF0E51">
            <w:pPr>
              <w:pStyle w:val="tbltext"/>
              <w:spacing w:line="250" w:lineRule="atLeast"/>
            </w:pPr>
            <w:r>
              <w:t>1.7%</w:t>
            </w:r>
          </w:p>
        </w:tc>
      </w:tr>
      <w:tr w:rsidR="00C73BDA" w:rsidRPr="002F4E61" w14:paraId="4E7C5C75" w14:textId="77777777" w:rsidTr="00E776CD">
        <w:trPr>
          <w:cantSplit/>
          <w:trHeight w:val="871"/>
        </w:trPr>
        <w:tc>
          <w:tcPr>
            <w:tcW w:w="2268" w:type="dxa"/>
          </w:tcPr>
          <w:p w14:paraId="1745B636" w14:textId="77777777" w:rsidR="00C73BDA" w:rsidRPr="002F4E61" w:rsidRDefault="00C73BDA" w:rsidP="00BF0E51">
            <w:pPr>
              <w:pStyle w:val="tbltext"/>
              <w:spacing w:line="250" w:lineRule="atLeast"/>
            </w:pPr>
            <w:r>
              <w:t>An investment trust or fund</w:t>
            </w:r>
          </w:p>
        </w:tc>
        <w:tc>
          <w:tcPr>
            <w:tcW w:w="2268" w:type="dxa"/>
          </w:tcPr>
          <w:p w14:paraId="686BF59B" w14:textId="77777777" w:rsidR="00C73BDA" w:rsidRPr="002F4E61" w:rsidRDefault="00C73BDA" w:rsidP="00BF0E51">
            <w:pPr>
              <w:pStyle w:val="tbltext"/>
              <w:spacing w:line="250" w:lineRule="atLeast"/>
            </w:pPr>
            <w:r>
              <w:t>The RE or ‘in-house’ manager of the trust or fund</w:t>
            </w:r>
          </w:p>
        </w:tc>
        <w:tc>
          <w:tcPr>
            <w:tcW w:w="2268" w:type="dxa"/>
          </w:tcPr>
          <w:p w14:paraId="10BA19CC" w14:textId="77777777" w:rsidR="00C73BDA" w:rsidRPr="002F4E61" w:rsidRDefault="00C73BDA" w:rsidP="00BF0E51">
            <w:pPr>
              <w:pStyle w:val="tbltext"/>
              <w:spacing w:line="250" w:lineRule="atLeast"/>
            </w:pPr>
            <w:r>
              <w:t>8.1%</w:t>
            </w:r>
          </w:p>
        </w:tc>
      </w:tr>
      <w:tr w:rsidR="00C73BDA" w:rsidRPr="002F4E61" w14:paraId="0FC1A563" w14:textId="77777777" w:rsidTr="00E776CD">
        <w:trPr>
          <w:cantSplit/>
        </w:trPr>
        <w:tc>
          <w:tcPr>
            <w:tcW w:w="2268" w:type="dxa"/>
          </w:tcPr>
          <w:p w14:paraId="13F3DAEF" w14:textId="3A81AF78" w:rsidR="00C73BDA" w:rsidRDefault="00462EB7" w:rsidP="00BF0E51">
            <w:pPr>
              <w:pStyle w:val="tbltext"/>
              <w:spacing w:line="250" w:lineRule="atLeast"/>
            </w:pPr>
            <w:r w:rsidRPr="00BF0E51">
              <w:rPr>
                <w:color w:val="FFFFFF" w:themeColor="background1"/>
              </w:rPr>
              <w:t>Blank cell</w:t>
            </w:r>
          </w:p>
        </w:tc>
        <w:tc>
          <w:tcPr>
            <w:tcW w:w="2268" w:type="dxa"/>
          </w:tcPr>
          <w:p w14:paraId="0D22C1EB" w14:textId="3137409B" w:rsidR="00C73BDA" w:rsidRPr="00EF7073" w:rsidRDefault="00462EB7" w:rsidP="00BF0E51">
            <w:pPr>
              <w:pStyle w:val="tbltext"/>
              <w:spacing w:line="250" w:lineRule="atLeast"/>
              <w:rPr>
                <w:b/>
                <w:bCs/>
              </w:rPr>
            </w:pPr>
            <w:r w:rsidRPr="00EF7073">
              <w:rPr>
                <w:b/>
                <w:bCs/>
              </w:rPr>
              <w:t>Total self-reporting</w:t>
            </w:r>
          </w:p>
        </w:tc>
        <w:tc>
          <w:tcPr>
            <w:tcW w:w="2268" w:type="dxa"/>
          </w:tcPr>
          <w:p w14:paraId="0976059A" w14:textId="77777777" w:rsidR="00C73BDA" w:rsidRDefault="00C73BDA" w:rsidP="00BF0E51">
            <w:pPr>
              <w:pStyle w:val="tbltext"/>
              <w:spacing w:line="250" w:lineRule="atLeast"/>
            </w:pPr>
            <w:r>
              <w:t>18.1%</w:t>
            </w:r>
          </w:p>
        </w:tc>
      </w:tr>
      <w:tr w:rsidR="00C73BDA" w:rsidRPr="002F4E61" w14:paraId="3FE6BDC8" w14:textId="77777777" w:rsidTr="00E776CD">
        <w:trPr>
          <w:cantSplit/>
        </w:trPr>
        <w:tc>
          <w:tcPr>
            <w:tcW w:w="2268" w:type="dxa"/>
          </w:tcPr>
          <w:p w14:paraId="12F28289" w14:textId="77777777" w:rsidR="00C73BDA" w:rsidRPr="002F4E61" w:rsidRDefault="00C73BDA" w:rsidP="00BF0E51">
            <w:pPr>
              <w:pStyle w:val="tbltext"/>
              <w:spacing w:line="250" w:lineRule="atLeast"/>
            </w:pPr>
            <w:r>
              <w:t>An investment trust or fund</w:t>
            </w:r>
          </w:p>
        </w:tc>
        <w:tc>
          <w:tcPr>
            <w:tcW w:w="2268" w:type="dxa"/>
          </w:tcPr>
          <w:p w14:paraId="7C8684C1" w14:textId="77777777" w:rsidR="00C73BDA" w:rsidRPr="002F4E61" w:rsidRDefault="00C73BDA" w:rsidP="00BF0E51">
            <w:pPr>
              <w:pStyle w:val="tbltext"/>
              <w:spacing w:line="250" w:lineRule="atLeast"/>
            </w:pPr>
            <w:r>
              <w:t>A third-party manager of the trust or fund</w:t>
            </w:r>
          </w:p>
        </w:tc>
        <w:tc>
          <w:tcPr>
            <w:tcW w:w="2268" w:type="dxa"/>
          </w:tcPr>
          <w:p w14:paraId="4F9FC8CA" w14:textId="77777777" w:rsidR="00C73BDA" w:rsidRPr="002F4E61" w:rsidRDefault="00C73BDA" w:rsidP="00BF0E51">
            <w:pPr>
              <w:pStyle w:val="tbltext"/>
              <w:spacing w:line="250" w:lineRule="atLeast"/>
            </w:pPr>
            <w:r>
              <w:t>12.2%</w:t>
            </w:r>
          </w:p>
        </w:tc>
      </w:tr>
      <w:tr w:rsidR="00C73BDA" w:rsidRPr="002F4E61" w14:paraId="3E5AE2BD" w14:textId="77777777" w:rsidTr="00E776CD">
        <w:trPr>
          <w:cantSplit/>
        </w:trPr>
        <w:tc>
          <w:tcPr>
            <w:tcW w:w="2268" w:type="dxa"/>
          </w:tcPr>
          <w:p w14:paraId="120B77AD" w14:textId="77777777" w:rsidR="00C73BDA" w:rsidRPr="002F4E61" w:rsidRDefault="00C73BDA" w:rsidP="00BF0E51">
            <w:pPr>
              <w:pStyle w:val="tbltext"/>
              <w:spacing w:line="250" w:lineRule="atLeast"/>
            </w:pPr>
            <w:r>
              <w:t>An investment trust or fund</w:t>
            </w:r>
          </w:p>
        </w:tc>
        <w:tc>
          <w:tcPr>
            <w:tcW w:w="2268" w:type="dxa"/>
          </w:tcPr>
          <w:p w14:paraId="5CFAEF67" w14:textId="77777777" w:rsidR="00C73BDA" w:rsidRPr="002F4E61" w:rsidRDefault="00C73BDA" w:rsidP="00BF0E51">
            <w:pPr>
              <w:pStyle w:val="tbltext"/>
              <w:spacing w:line="250" w:lineRule="atLeast"/>
            </w:pPr>
            <w:r>
              <w:t>The transaction counterparty of the trust or fund</w:t>
            </w:r>
          </w:p>
        </w:tc>
        <w:tc>
          <w:tcPr>
            <w:tcW w:w="2268" w:type="dxa"/>
          </w:tcPr>
          <w:p w14:paraId="21BF2E2B" w14:textId="77777777" w:rsidR="00C73BDA" w:rsidRPr="002F4E61" w:rsidRDefault="00C73BDA" w:rsidP="00BF0E51">
            <w:pPr>
              <w:pStyle w:val="tbltext"/>
              <w:spacing w:line="250" w:lineRule="atLeast"/>
            </w:pPr>
            <w:r>
              <w:t>10.0%</w:t>
            </w:r>
          </w:p>
        </w:tc>
      </w:tr>
      <w:tr w:rsidR="00C73BDA" w:rsidRPr="002F4E61" w14:paraId="025E0CC0" w14:textId="77777777" w:rsidTr="00E776CD">
        <w:trPr>
          <w:cantSplit/>
        </w:trPr>
        <w:tc>
          <w:tcPr>
            <w:tcW w:w="2268" w:type="dxa"/>
          </w:tcPr>
          <w:p w14:paraId="3FB95290" w14:textId="77777777" w:rsidR="00C73BDA" w:rsidRPr="002F4E61" w:rsidRDefault="00C73BDA" w:rsidP="00BF0E51">
            <w:pPr>
              <w:pStyle w:val="tbltext"/>
              <w:spacing w:line="250" w:lineRule="atLeast"/>
            </w:pPr>
            <w:r>
              <w:t>An investment trust or fund</w:t>
            </w:r>
          </w:p>
        </w:tc>
        <w:tc>
          <w:tcPr>
            <w:tcW w:w="2268" w:type="dxa"/>
          </w:tcPr>
          <w:p w14:paraId="43A1395A" w14:textId="7793F58D" w:rsidR="00C73BDA" w:rsidRPr="002F4E61" w:rsidRDefault="00C73BDA" w:rsidP="00BF0E51">
            <w:pPr>
              <w:pStyle w:val="tbltext"/>
              <w:spacing w:line="250" w:lineRule="atLeast"/>
            </w:pPr>
            <w:r>
              <w:t>An entity providing ‘fund services’</w:t>
            </w:r>
            <w:r w:rsidR="00404CA5">
              <w:t>—</w:t>
            </w:r>
            <w:r>
              <w:t>e.g. valuation, unit pricing, custodial services</w:t>
            </w:r>
            <w:r w:rsidR="00404CA5">
              <w:t>—</w:t>
            </w:r>
            <w:r>
              <w:t>to the trust or fund</w:t>
            </w:r>
          </w:p>
        </w:tc>
        <w:tc>
          <w:tcPr>
            <w:tcW w:w="2268" w:type="dxa"/>
          </w:tcPr>
          <w:p w14:paraId="1B21FFC6" w14:textId="77777777" w:rsidR="00C73BDA" w:rsidRPr="002F4E61" w:rsidRDefault="00C73BDA" w:rsidP="00BF0E51">
            <w:pPr>
              <w:pStyle w:val="tbltext"/>
              <w:spacing w:line="250" w:lineRule="atLeast"/>
            </w:pPr>
            <w:r>
              <w:t>12.4%</w:t>
            </w:r>
          </w:p>
        </w:tc>
      </w:tr>
      <w:tr w:rsidR="00C73BDA" w:rsidRPr="002F4E61" w14:paraId="3932AED3" w14:textId="77777777" w:rsidTr="00E776CD">
        <w:trPr>
          <w:cantSplit/>
        </w:trPr>
        <w:tc>
          <w:tcPr>
            <w:tcW w:w="2268" w:type="dxa"/>
          </w:tcPr>
          <w:p w14:paraId="6D1BCF9B" w14:textId="77777777" w:rsidR="00C73BDA" w:rsidRPr="002F4E61" w:rsidRDefault="00C73BDA" w:rsidP="00BF0E51">
            <w:pPr>
              <w:pStyle w:val="tbltext"/>
              <w:spacing w:line="250" w:lineRule="atLeast"/>
            </w:pPr>
            <w:r>
              <w:t>Any kind</w:t>
            </w:r>
          </w:p>
        </w:tc>
        <w:tc>
          <w:tcPr>
            <w:tcW w:w="2268" w:type="dxa"/>
          </w:tcPr>
          <w:p w14:paraId="5EF84D71" w14:textId="02401611" w:rsidR="00C73BDA" w:rsidRPr="002F4E61" w:rsidRDefault="00C73BDA" w:rsidP="00BF0E51">
            <w:pPr>
              <w:pStyle w:val="tbltext"/>
              <w:spacing w:line="250" w:lineRule="atLeast"/>
            </w:pPr>
            <w:r>
              <w:t>A reporting service provider</w:t>
            </w:r>
          </w:p>
        </w:tc>
        <w:tc>
          <w:tcPr>
            <w:tcW w:w="2268" w:type="dxa"/>
          </w:tcPr>
          <w:p w14:paraId="76BFDA9D" w14:textId="77777777" w:rsidR="00C73BDA" w:rsidRPr="002F4E61" w:rsidRDefault="00C73BDA" w:rsidP="00BF0E51">
            <w:pPr>
              <w:pStyle w:val="tbltext"/>
              <w:spacing w:line="250" w:lineRule="atLeast"/>
            </w:pPr>
            <w:r>
              <w:t>47.3%</w:t>
            </w:r>
          </w:p>
        </w:tc>
      </w:tr>
      <w:tr w:rsidR="00C73BDA" w:rsidRPr="002F4E61" w14:paraId="20102436" w14:textId="77777777" w:rsidTr="00E776CD">
        <w:trPr>
          <w:cantSplit/>
        </w:trPr>
        <w:tc>
          <w:tcPr>
            <w:tcW w:w="2268" w:type="dxa"/>
            <w:shd w:val="clear" w:color="auto" w:fill="auto"/>
          </w:tcPr>
          <w:p w14:paraId="68699CCE" w14:textId="00A952AA" w:rsidR="00C73BDA" w:rsidRDefault="00462EB7" w:rsidP="00BF0E51">
            <w:pPr>
              <w:pStyle w:val="tbltext"/>
              <w:spacing w:line="250" w:lineRule="atLeast"/>
            </w:pPr>
            <w:r w:rsidRPr="00BF0E51">
              <w:rPr>
                <w:color w:val="FFFFFF" w:themeColor="background1"/>
              </w:rPr>
              <w:t>Blank cell</w:t>
            </w:r>
          </w:p>
        </w:tc>
        <w:tc>
          <w:tcPr>
            <w:tcW w:w="2268" w:type="dxa"/>
          </w:tcPr>
          <w:p w14:paraId="36B187F8" w14:textId="796B5662" w:rsidR="00C73BDA" w:rsidRDefault="00462EB7" w:rsidP="00BF0E51">
            <w:pPr>
              <w:pStyle w:val="tbltext"/>
              <w:spacing w:line="250" w:lineRule="atLeast"/>
            </w:pPr>
            <w:r w:rsidRPr="00EF7073">
              <w:rPr>
                <w:b/>
                <w:bCs/>
              </w:rPr>
              <w:t xml:space="preserve">Total </w:t>
            </w:r>
            <w:r>
              <w:rPr>
                <w:b/>
                <w:bCs/>
              </w:rPr>
              <w:t xml:space="preserve">outsourced </w:t>
            </w:r>
            <w:r w:rsidRPr="00EF7073">
              <w:rPr>
                <w:b/>
                <w:bCs/>
              </w:rPr>
              <w:t>reporting</w:t>
            </w:r>
          </w:p>
        </w:tc>
        <w:tc>
          <w:tcPr>
            <w:tcW w:w="2268" w:type="dxa"/>
          </w:tcPr>
          <w:p w14:paraId="53B9F59B" w14:textId="77777777" w:rsidR="00C73BDA" w:rsidRDefault="00C73BDA" w:rsidP="00BF0E51">
            <w:pPr>
              <w:pStyle w:val="tbltext"/>
              <w:spacing w:line="250" w:lineRule="atLeast"/>
            </w:pPr>
            <w:r>
              <w:t>81.9%</w:t>
            </w:r>
          </w:p>
        </w:tc>
      </w:tr>
    </w:tbl>
    <w:p w14:paraId="2649EA7C" w14:textId="450D6D60" w:rsidR="00C73BDA" w:rsidRDefault="00C73BDA" w:rsidP="00C443A0">
      <w:pPr>
        <w:pStyle w:val="BodyText"/>
        <w:numPr>
          <w:ilvl w:val="0"/>
          <w:numId w:val="17"/>
        </w:numPr>
        <w:spacing w:before="220" w:line="310" w:lineRule="atLeast"/>
      </w:pPr>
      <w:bookmarkStart w:id="248" w:name="_ASICRef547"/>
      <w:r>
        <w:t>We acknowledge that there are some Australian entities who only report under the ASIC Rules. However, when we consider the international connections of those Australian entities</w:t>
      </w:r>
      <w:r w:rsidR="00404CA5">
        <w:t>—</w:t>
      </w:r>
      <w:r>
        <w:t>such as being related to an international group whose other group entities report in other jurisdictions, or who use multi-jurisdictional reporting service</w:t>
      </w:r>
      <w:r w:rsidR="00462EB7">
        <w:t>s</w:t>
      </w:r>
      <w:r>
        <w:t xml:space="preserve"> providers</w:t>
      </w:r>
      <w:r w:rsidR="00404CA5">
        <w:t>—</w:t>
      </w:r>
      <w:r>
        <w:t xml:space="preserve">we </w:t>
      </w:r>
      <w:r w:rsidR="00462EB7">
        <w:t xml:space="preserve">consider </w:t>
      </w:r>
      <w:r>
        <w:t>that the connections to reporting requirements in other jurisdictions is strong.</w:t>
      </w:r>
      <w:bookmarkEnd w:id="248"/>
    </w:p>
    <w:p w14:paraId="7CB559BB" w14:textId="53B62CA3" w:rsidR="00C73BDA" w:rsidRDefault="00C73BDA" w:rsidP="00C443A0">
      <w:pPr>
        <w:pStyle w:val="BodyText"/>
        <w:numPr>
          <w:ilvl w:val="0"/>
          <w:numId w:val="17"/>
        </w:numPr>
        <w:spacing w:before="220" w:line="310" w:lineRule="atLeast"/>
      </w:pPr>
      <w:bookmarkStart w:id="249" w:name="_ASICRef922"/>
      <w:r>
        <w:t xml:space="preserve">Overall, we </w:t>
      </w:r>
      <w:r w:rsidR="00C52C22">
        <w:t>found</w:t>
      </w:r>
      <w:r>
        <w:t xml:space="preserve"> that 97% of ASIC reporting entities have an international derivatives transaction reporting connection</w:t>
      </w:r>
      <w:r w:rsidR="00404CA5">
        <w:t>—</w:t>
      </w:r>
      <w:r>
        <w:t xml:space="preserve">either because the entity </w:t>
      </w:r>
      <w:r w:rsidR="00462EB7">
        <w:t xml:space="preserve">itself </w:t>
      </w:r>
      <w:r>
        <w:t xml:space="preserve">or </w:t>
      </w:r>
      <w:r w:rsidR="00462EB7">
        <w:t xml:space="preserve">its </w:t>
      </w:r>
      <w:r>
        <w:t xml:space="preserve">report submitting entity has such a connection: see </w:t>
      </w:r>
      <w:r>
        <w:fldChar w:fldCharType="begin" w:fldLock="1"/>
      </w:r>
      <w:r>
        <w:instrText xml:space="preserve"> REF _Ref93733067 \h </w:instrText>
      </w:r>
      <w:r>
        <w:fldChar w:fldCharType="separate"/>
      </w:r>
      <w:r w:rsidR="00853A2A">
        <w:t xml:space="preserve">Table </w:t>
      </w:r>
      <w:r w:rsidR="00853A2A">
        <w:rPr>
          <w:noProof/>
        </w:rPr>
        <w:t>38</w:t>
      </w:r>
      <w:r>
        <w:fldChar w:fldCharType="end"/>
      </w:r>
      <w:r>
        <w:t>.</w:t>
      </w:r>
      <w:bookmarkEnd w:id="249"/>
    </w:p>
    <w:p w14:paraId="54404E19" w14:textId="233EC270" w:rsidR="00C73BDA" w:rsidRDefault="00C73BDA" w:rsidP="00C73BDA">
      <w:pPr>
        <w:pStyle w:val="tabletitleindented"/>
      </w:pPr>
      <w:bookmarkStart w:id="250" w:name="_Ref93733067"/>
      <w:bookmarkStart w:id="251" w:name="_Hlk94802915"/>
      <w:r>
        <w:t xml:space="preserve">Table </w:t>
      </w:r>
      <w:fldSimple w:instr=" SEQ Table \* ARABIC ">
        <w:r w:rsidR="006679BA">
          <w:rPr>
            <w:noProof/>
          </w:rPr>
          <w:t>38</w:t>
        </w:r>
      </w:fldSimple>
      <w:bookmarkEnd w:id="250"/>
      <w:r>
        <w:t>:</w:t>
      </w:r>
      <w:r>
        <w:tab/>
        <w:t>Percentages of ASIC reporting entities with an international derivatives transaction reporting connection</w:t>
      </w:r>
    </w:p>
    <w:tbl>
      <w:tblPr>
        <w:tblW w:w="6741"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3963"/>
        <w:gridCol w:w="2778"/>
      </w:tblGrid>
      <w:tr w:rsidR="00C73BDA" w:rsidRPr="000540E1" w14:paraId="34E341E5" w14:textId="77777777" w:rsidTr="00E776CD">
        <w:trPr>
          <w:cantSplit/>
        </w:trPr>
        <w:tc>
          <w:tcPr>
            <w:tcW w:w="3963" w:type="dxa"/>
            <w:shd w:val="clear" w:color="auto" w:fill="C2E3FA"/>
            <w:vAlign w:val="center"/>
          </w:tcPr>
          <w:p w14:paraId="4200F5F7" w14:textId="77777777" w:rsidR="00C73BDA" w:rsidRPr="000540E1" w:rsidRDefault="00C73BDA" w:rsidP="00F86FF1">
            <w:pPr>
              <w:pStyle w:val="tablehead"/>
            </w:pPr>
            <w:r>
              <w:t>Where the entity, or entities in its related group, is a multi-jurisdictional reporter</w:t>
            </w:r>
          </w:p>
        </w:tc>
        <w:tc>
          <w:tcPr>
            <w:tcW w:w="2778" w:type="dxa"/>
            <w:vAlign w:val="center"/>
          </w:tcPr>
          <w:p w14:paraId="39E8D940" w14:textId="77777777" w:rsidR="00C73BDA" w:rsidRPr="000540E1" w:rsidRDefault="00C73BDA" w:rsidP="00F86FF1">
            <w:pPr>
              <w:pStyle w:val="tbltext"/>
            </w:pPr>
            <w:r>
              <w:t>41%</w:t>
            </w:r>
          </w:p>
        </w:tc>
      </w:tr>
      <w:tr w:rsidR="00C73BDA" w:rsidRPr="000540E1" w14:paraId="0DA306B3" w14:textId="77777777" w:rsidTr="00E776CD">
        <w:trPr>
          <w:cantSplit/>
        </w:trPr>
        <w:tc>
          <w:tcPr>
            <w:tcW w:w="3963" w:type="dxa"/>
            <w:shd w:val="clear" w:color="auto" w:fill="C2E3FA"/>
            <w:vAlign w:val="center"/>
          </w:tcPr>
          <w:p w14:paraId="0D63B946" w14:textId="77777777" w:rsidR="00C73BDA" w:rsidRPr="000540E1" w:rsidRDefault="00C73BDA" w:rsidP="00F86FF1">
            <w:pPr>
              <w:pStyle w:val="tablehead"/>
            </w:pPr>
            <w:r>
              <w:t>Where the entity uses ‘outsourced reporting’ by an international report submitting entity</w:t>
            </w:r>
          </w:p>
        </w:tc>
        <w:tc>
          <w:tcPr>
            <w:tcW w:w="2778" w:type="dxa"/>
            <w:vAlign w:val="center"/>
          </w:tcPr>
          <w:p w14:paraId="45C7660E" w14:textId="77777777" w:rsidR="00C73BDA" w:rsidRPr="000540E1" w:rsidRDefault="00C73BDA" w:rsidP="00F86FF1">
            <w:pPr>
              <w:pStyle w:val="tbltext"/>
            </w:pPr>
            <w:r>
              <w:t>80%</w:t>
            </w:r>
          </w:p>
        </w:tc>
      </w:tr>
      <w:tr w:rsidR="00C73BDA" w:rsidRPr="000540E1" w14:paraId="506087D7" w14:textId="77777777" w:rsidTr="00E776CD">
        <w:trPr>
          <w:cantSplit/>
        </w:trPr>
        <w:tc>
          <w:tcPr>
            <w:tcW w:w="3963" w:type="dxa"/>
            <w:shd w:val="clear" w:color="auto" w:fill="C2E3FA"/>
            <w:vAlign w:val="center"/>
          </w:tcPr>
          <w:p w14:paraId="4244ABD0" w14:textId="7EB9584B" w:rsidR="00C73BDA" w:rsidRPr="000540E1" w:rsidRDefault="00C73BDA" w:rsidP="00F86FF1">
            <w:pPr>
              <w:pStyle w:val="tablehead"/>
            </w:pPr>
            <w:r>
              <w:t>Where either the entity or its report submitting entity has an international connection (i.e. one or both of the above situation</w:t>
            </w:r>
            <w:r w:rsidR="00110AA0">
              <w:t>)</w:t>
            </w:r>
          </w:p>
        </w:tc>
        <w:tc>
          <w:tcPr>
            <w:tcW w:w="2778" w:type="dxa"/>
            <w:vAlign w:val="center"/>
          </w:tcPr>
          <w:p w14:paraId="5F801989" w14:textId="77777777" w:rsidR="00C73BDA" w:rsidRPr="000540E1" w:rsidRDefault="00C73BDA" w:rsidP="00F86FF1">
            <w:pPr>
              <w:pStyle w:val="tbltext"/>
            </w:pPr>
            <w:r>
              <w:t>97%</w:t>
            </w:r>
          </w:p>
        </w:tc>
      </w:tr>
    </w:tbl>
    <w:bookmarkEnd w:id="251"/>
    <w:p w14:paraId="2248329A" w14:textId="634C2358" w:rsidR="00C73BDA" w:rsidRDefault="00110AA0" w:rsidP="00C443A0">
      <w:pPr>
        <w:pStyle w:val="BodyText"/>
        <w:numPr>
          <w:ilvl w:val="0"/>
          <w:numId w:val="17"/>
        </w:numPr>
      </w:pPr>
      <w:r>
        <w:t>We therefore</w:t>
      </w:r>
      <w:r w:rsidR="00C73BDA">
        <w:t xml:space="preserve"> </w:t>
      </w:r>
      <w:r>
        <w:t xml:space="preserve">consider </w:t>
      </w:r>
      <w:r w:rsidR="00C73BDA">
        <w:t xml:space="preserve">there is </w:t>
      </w:r>
      <w:r w:rsidR="00175B5F">
        <w:t xml:space="preserve">a </w:t>
      </w:r>
      <w:r w:rsidR="00C73BDA">
        <w:t>very high percentage of ASIC reporting entities whose medium-to-long term technical approaches to reporting will be affected, or influenced, by the technical approaches required in other jurisdictions.</w:t>
      </w:r>
    </w:p>
    <w:p w14:paraId="129BABA6" w14:textId="6924BD2A" w:rsidR="00C73BDA" w:rsidRDefault="00C73BDA" w:rsidP="00C443A0">
      <w:pPr>
        <w:pStyle w:val="BodyText"/>
        <w:numPr>
          <w:ilvl w:val="0"/>
          <w:numId w:val="17"/>
        </w:numPr>
      </w:pPr>
      <w:r>
        <w:t xml:space="preserve">If ASIC does not harmonise its technical approach to reporting with other jurisdictions, we anticipate that there will </w:t>
      </w:r>
      <w:r w:rsidR="00175B5F">
        <w:t xml:space="preserve">be </w:t>
      </w:r>
      <w:r>
        <w:t>cost implications</w:t>
      </w:r>
      <w:r w:rsidR="00404CA5">
        <w:t>—</w:t>
      </w:r>
      <w:r>
        <w:t>at least in terms of excluding opportunities for cost reductions or containment</w:t>
      </w:r>
      <w:r w:rsidR="00404CA5">
        <w:t>—</w:t>
      </w:r>
      <w:r>
        <w:t xml:space="preserve">for ASIC reporting entities, either directly for </w:t>
      </w:r>
      <w:r w:rsidR="005A5E1A">
        <w:t>self-reporting</w:t>
      </w:r>
      <w:r>
        <w:t xml:space="preserve"> or indirectly through outsourced reporting, in maintaining more than one technical approach to reporting.</w:t>
      </w:r>
    </w:p>
    <w:p w14:paraId="7B06BA88" w14:textId="4C2EEEE3" w:rsidR="004E1CBF" w:rsidRDefault="004E1CBF" w:rsidP="004E1CBF">
      <w:pPr>
        <w:pStyle w:val="Heading1"/>
      </w:pPr>
      <w:bookmarkStart w:id="252" w:name="_Regulatory_and_financial_impact"/>
      <w:bookmarkStart w:id="253" w:name="_Regulatory_and_financial"/>
      <w:bookmarkStart w:id="254" w:name="_ASICRef373"/>
      <w:bookmarkStart w:id="255" w:name="_ASICRef56"/>
      <w:bookmarkStart w:id="256" w:name="_Toc51080722"/>
      <w:bookmarkStart w:id="257" w:name="_ASICRef871"/>
      <w:bookmarkStart w:id="258" w:name="_Toc57146508"/>
      <w:bookmarkStart w:id="259" w:name="_Toc103174646"/>
      <w:bookmarkStart w:id="260" w:name="_Toc152037858"/>
      <w:bookmarkStart w:id="261" w:name="_Ref157863730"/>
      <w:bookmarkStart w:id="262" w:name="_Toc158520482"/>
      <w:bookmarkStart w:id="263" w:name="_Ref164325814"/>
      <w:bookmarkStart w:id="264" w:name="_Ref164325851"/>
      <w:bookmarkStart w:id="265" w:name="_Ref164326448"/>
      <w:bookmarkStart w:id="266" w:name="_Toc164436800"/>
      <w:bookmarkStart w:id="267" w:name="_Ref306270861"/>
      <w:bookmarkEnd w:id="252"/>
      <w:bookmarkEnd w:id="253"/>
      <w:r>
        <w:t xml:space="preserve">Scope of reportable transactions and reporting </w:t>
      </w:r>
      <w:bookmarkEnd w:id="254"/>
      <w:bookmarkEnd w:id="255"/>
      <w:bookmarkEnd w:id="256"/>
      <w:bookmarkEnd w:id="257"/>
      <w:r>
        <w:t>entities</w:t>
      </w:r>
      <w:bookmarkEnd w:id="258"/>
      <w:bookmarkEnd w:id="259"/>
    </w:p>
    <w:p w14:paraId="7A9BEF3E" w14:textId="77777777" w:rsidR="004E1CBF" w:rsidRDefault="004E1CBF">
      <w:pPr>
        <w:pStyle w:val="KPhead"/>
      </w:pPr>
      <w:r>
        <w:t>Key points</w:t>
      </w:r>
    </w:p>
    <w:p w14:paraId="21DCEB95" w14:textId="39741B8F" w:rsidR="00A63E2D" w:rsidRDefault="00A63E2D" w:rsidP="00BF0E51">
      <w:pPr>
        <w:pStyle w:val="KPtext"/>
        <w:spacing w:before="180" w:line="270" w:lineRule="atLeast"/>
      </w:pPr>
      <w:r>
        <w:t xml:space="preserve">We have decided to proceed with our proposals in CP 334 </w:t>
      </w:r>
      <w:r w:rsidR="007D7B7F">
        <w:t xml:space="preserve">in relation to transactions for spot settlement, FX securities conversion transactions, transactions with retail clients and transactions by </w:t>
      </w:r>
      <w:r w:rsidR="007D7B7F" w:rsidRPr="007D7B7F">
        <w:t>foreign subsidiaries of</w:t>
      </w:r>
      <w:r w:rsidR="009E74EF">
        <w:t> </w:t>
      </w:r>
      <w:r w:rsidR="007D7B7F" w:rsidRPr="007D7B7F">
        <w:t xml:space="preserve">Australian entities </w:t>
      </w:r>
      <w:r w:rsidR="009E74EF">
        <w:t xml:space="preserve">that </w:t>
      </w:r>
      <w:r w:rsidR="007D7B7F" w:rsidRPr="007D7B7F">
        <w:t>are not reporting entities</w:t>
      </w:r>
      <w:r w:rsidR="007D7B7F">
        <w:t xml:space="preserve"> by inserting new</w:t>
      </w:r>
      <w:r w:rsidR="009E74EF">
        <w:t xml:space="preserve"> Rules </w:t>
      </w:r>
      <w:r w:rsidR="007D7B7F">
        <w:t>1.2.4(6), 1.2.4(7) and 1.2.5(4)</w:t>
      </w:r>
      <w:r w:rsidR="009E74EF">
        <w:t>,</w:t>
      </w:r>
      <w:r w:rsidR="007D7B7F">
        <w:t xml:space="preserve"> and amending Table 1 of </w:t>
      </w:r>
      <w:r w:rsidR="009E74EF">
        <w:t>R</w:t>
      </w:r>
      <w:r w:rsidR="007D7B7F">
        <w:t>ule 1.2.5.</w:t>
      </w:r>
    </w:p>
    <w:p w14:paraId="226727BD" w14:textId="43275C93" w:rsidR="00A63E2D" w:rsidRDefault="00A63E2D" w:rsidP="00BF0E51">
      <w:pPr>
        <w:pStyle w:val="KPtext"/>
        <w:spacing w:before="180" w:line="270" w:lineRule="atLeast"/>
      </w:pPr>
      <w:r>
        <w:t xml:space="preserve">We are also proposing </w:t>
      </w:r>
      <w:r w:rsidR="009E74EF">
        <w:t xml:space="preserve">to </w:t>
      </w:r>
      <w:r>
        <w:t>include new and amended rules to:</w:t>
      </w:r>
    </w:p>
    <w:p w14:paraId="214A8415" w14:textId="6189A03C" w:rsidR="00A63E2D" w:rsidRDefault="00A63E2D" w:rsidP="00C443A0">
      <w:pPr>
        <w:pStyle w:val="KPtext"/>
        <w:keepNext/>
        <w:numPr>
          <w:ilvl w:val="0"/>
          <w:numId w:val="16"/>
        </w:numPr>
        <w:pBdr>
          <w:left w:val="single" w:sz="6" w:space="4" w:color="117DC7"/>
        </w:pBdr>
        <w:spacing w:before="180" w:line="270" w:lineRule="atLeast"/>
        <w:ind w:left="2738" w:hanging="357"/>
      </w:pPr>
      <w:r>
        <w:t>clarify the meaning of a Part 7.2A Market</w:t>
      </w:r>
      <w:r w:rsidR="009E74EF">
        <w:t>;</w:t>
      </w:r>
    </w:p>
    <w:p w14:paraId="42B9CB75" w14:textId="080180E2" w:rsidR="00A63E2D" w:rsidRDefault="00A63E2D" w:rsidP="00C443A0">
      <w:pPr>
        <w:pStyle w:val="KPtext"/>
        <w:keepNext/>
        <w:numPr>
          <w:ilvl w:val="0"/>
          <w:numId w:val="16"/>
        </w:numPr>
        <w:pBdr>
          <w:left w:val="single" w:sz="6" w:space="4" w:color="117DC7"/>
        </w:pBdr>
        <w:spacing w:before="180" w:line="270" w:lineRule="atLeast"/>
        <w:ind w:left="2738" w:hanging="357"/>
      </w:pPr>
      <w:r>
        <w:t>exclude from scope AFS licensees without relevant derivatives authorisations, consistent with reg 7.5A.50</w:t>
      </w:r>
      <w:r w:rsidR="009E74EF">
        <w:t xml:space="preserve"> of the Corporations Regulations; and</w:t>
      </w:r>
    </w:p>
    <w:p w14:paraId="6CBF1953" w14:textId="18ADE784" w:rsidR="00A63E2D" w:rsidRDefault="00A63E2D" w:rsidP="00C443A0">
      <w:pPr>
        <w:pStyle w:val="KPtext"/>
        <w:keepNext/>
        <w:numPr>
          <w:ilvl w:val="0"/>
          <w:numId w:val="16"/>
        </w:numPr>
        <w:pBdr>
          <w:left w:val="single" w:sz="6" w:space="4" w:color="117DC7"/>
        </w:pBdr>
        <w:spacing w:before="180" w:line="270" w:lineRule="atLeast"/>
        <w:ind w:left="2738" w:hanging="357"/>
      </w:pPr>
      <w:r>
        <w:t>incorporate the exemption for clearing members in certain circumstances of an agency clearing model into the rules</w:t>
      </w:r>
      <w:r w:rsidR="009E74EF">
        <w:t>.</w:t>
      </w:r>
    </w:p>
    <w:p w14:paraId="3A4D2CF4" w14:textId="28841B5C" w:rsidR="009B394B" w:rsidRDefault="009B394B" w:rsidP="009B394B">
      <w:pPr>
        <w:pStyle w:val="Heading2"/>
      </w:pPr>
      <w:bookmarkStart w:id="268" w:name="_Toc95402016"/>
      <w:bookmarkStart w:id="269" w:name="_Toc103174647"/>
      <w:bookmarkStart w:id="270" w:name="_Toc51080725"/>
      <w:bookmarkStart w:id="271" w:name="_ASICRef767"/>
      <w:bookmarkStart w:id="272" w:name="_Toc57146512"/>
      <w:r>
        <w:t>Background</w:t>
      </w:r>
      <w:bookmarkEnd w:id="268"/>
      <w:bookmarkEnd w:id="269"/>
    </w:p>
    <w:p w14:paraId="3DC268E1" w14:textId="5C6D3E85" w:rsidR="009B394B" w:rsidRPr="00A829C7" w:rsidRDefault="009B394B" w:rsidP="00C443A0">
      <w:pPr>
        <w:pStyle w:val="BodyText"/>
        <w:numPr>
          <w:ilvl w:val="0"/>
          <w:numId w:val="17"/>
        </w:numPr>
        <w:spacing w:before="220" w:line="310" w:lineRule="atLeast"/>
        <w:rPr>
          <w:spacing w:val="-2"/>
        </w:rPr>
      </w:pPr>
      <w:r w:rsidRPr="00516653">
        <w:rPr>
          <w:spacing w:val="-2"/>
        </w:rPr>
        <w:t xml:space="preserve">The </w:t>
      </w:r>
      <w:r w:rsidR="005A5E1A" w:rsidRPr="00516653">
        <w:rPr>
          <w:spacing w:val="-2"/>
        </w:rPr>
        <w:t>c</w:t>
      </w:r>
      <w:r w:rsidRPr="00516653">
        <w:rPr>
          <w:spacing w:val="-2"/>
        </w:rPr>
        <w:t>urrent</w:t>
      </w:r>
      <w:r>
        <w:rPr>
          <w:spacing w:val="-2"/>
        </w:rPr>
        <w:t xml:space="preserve"> </w:t>
      </w:r>
      <w:r w:rsidRPr="00A829C7">
        <w:rPr>
          <w:spacing w:val="-2"/>
        </w:rPr>
        <w:t>ASIC Rules set out the types of transactions that must be reported and the types of entities that must report those transactions.</w:t>
      </w:r>
    </w:p>
    <w:p w14:paraId="663E4A37" w14:textId="0EDB5138" w:rsidR="009B394B" w:rsidRDefault="009B394B" w:rsidP="00C443A0">
      <w:pPr>
        <w:pStyle w:val="BodyText"/>
        <w:numPr>
          <w:ilvl w:val="0"/>
          <w:numId w:val="17"/>
        </w:numPr>
        <w:spacing w:before="220" w:line="310" w:lineRule="atLeast"/>
      </w:pPr>
      <w:r w:rsidRPr="00516653">
        <w:t>The</w:t>
      </w:r>
      <w:r>
        <w:t xml:space="preserve"> </w:t>
      </w:r>
      <w:hyperlink r:id="rId148" w:history="1">
        <w:r w:rsidRPr="00516653">
          <w:rPr>
            <w:rStyle w:val="Hyperlink"/>
          </w:rPr>
          <w:t>Minister’s determination</w:t>
        </w:r>
      </w:hyperlink>
      <w:r>
        <w:t xml:space="preserve"> sets out the classes of derivatives in relation to which reporting requirements may be imposed as:</w:t>
      </w:r>
    </w:p>
    <w:p w14:paraId="7EB20EF2" w14:textId="77777777" w:rsidR="009B394B" w:rsidRDefault="009B394B" w:rsidP="00C443A0">
      <w:pPr>
        <w:pStyle w:val="subparaa"/>
        <w:numPr>
          <w:ilvl w:val="1"/>
          <w:numId w:val="17"/>
        </w:numPr>
        <w:spacing w:before="120" w:line="310" w:lineRule="atLeast"/>
      </w:pPr>
      <w:r>
        <w:t>commodity derivatives that are not electricity derivatives;</w:t>
      </w:r>
    </w:p>
    <w:p w14:paraId="0FF45A7F" w14:textId="77777777" w:rsidR="009B394B" w:rsidRDefault="009B394B" w:rsidP="00C443A0">
      <w:pPr>
        <w:pStyle w:val="subparaa"/>
        <w:numPr>
          <w:ilvl w:val="1"/>
          <w:numId w:val="17"/>
        </w:numPr>
        <w:spacing w:before="120" w:line="310" w:lineRule="atLeast"/>
      </w:pPr>
      <w:r>
        <w:t>credit derivatives;</w:t>
      </w:r>
    </w:p>
    <w:p w14:paraId="2C4061ED" w14:textId="77777777" w:rsidR="009B394B" w:rsidRDefault="009B394B" w:rsidP="00C443A0">
      <w:pPr>
        <w:pStyle w:val="subparaa"/>
        <w:numPr>
          <w:ilvl w:val="1"/>
          <w:numId w:val="17"/>
        </w:numPr>
        <w:spacing w:before="120" w:line="310" w:lineRule="atLeast"/>
      </w:pPr>
      <w:r>
        <w:t>equity derivatives;</w:t>
      </w:r>
    </w:p>
    <w:p w14:paraId="3CF985E2" w14:textId="77777777" w:rsidR="009B394B" w:rsidRDefault="009B394B" w:rsidP="00C443A0">
      <w:pPr>
        <w:pStyle w:val="subparaa"/>
        <w:numPr>
          <w:ilvl w:val="1"/>
          <w:numId w:val="17"/>
        </w:numPr>
        <w:spacing w:before="120" w:line="310" w:lineRule="atLeast"/>
      </w:pPr>
      <w:r>
        <w:t>foreign exchange derivatives;</w:t>
      </w:r>
    </w:p>
    <w:p w14:paraId="4B91FF33" w14:textId="77777777" w:rsidR="009B394B" w:rsidRDefault="009B394B" w:rsidP="00C443A0">
      <w:pPr>
        <w:pStyle w:val="subparaa"/>
        <w:numPr>
          <w:ilvl w:val="1"/>
          <w:numId w:val="17"/>
        </w:numPr>
        <w:spacing w:before="120" w:line="310" w:lineRule="atLeast"/>
      </w:pPr>
      <w:r>
        <w:t>interest rate derivatives.</w:t>
      </w:r>
    </w:p>
    <w:p w14:paraId="3AF82809" w14:textId="77777777" w:rsidR="009B394B" w:rsidRDefault="009B394B" w:rsidP="00C443A0">
      <w:pPr>
        <w:pStyle w:val="BodyText"/>
        <w:numPr>
          <w:ilvl w:val="0"/>
          <w:numId w:val="17"/>
        </w:numPr>
        <w:spacing w:before="220" w:line="310" w:lineRule="atLeast"/>
      </w:pPr>
      <w:r w:rsidRPr="00516653">
        <w:t>Rule</w:t>
      </w:r>
      <w:r>
        <w:t xml:space="preserve"> 1.2.4 sets out the meaning of an OTC derivative and Rule 1.2.5 sets out the meaning of a reporting entity and a reportable transaction.</w:t>
      </w:r>
    </w:p>
    <w:p w14:paraId="5D24B94F" w14:textId="0EC78952" w:rsidR="009B394B" w:rsidRDefault="009B394B" w:rsidP="00C443A0">
      <w:pPr>
        <w:pStyle w:val="BodyText"/>
        <w:numPr>
          <w:ilvl w:val="0"/>
          <w:numId w:val="17"/>
        </w:numPr>
        <w:spacing w:before="220" w:line="310" w:lineRule="atLeast"/>
      </w:pPr>
      <w:r>
        <w:t xml:space="preserve">In </w:t>
      </w:r>
      <w:r w:rsidR="00A0738D">
        <w:t>Section</w:t>
      </w:r>
      <w:r>
        <w:t xml:space="preserve"> G of </w:t>
      </w:r>
      <w:hyperlink r:id="rId149" w:history="1">
        <w:r w:rsidRPr="009E74EF">
          <w:rPr>
            <w:rStyle w:val="Hyperlink"/>
          </w:rPr>
          <w:t>CP 334</w:t>
        </w:r>
      </w:hyperlink>
      <w:r>
        <w:t>, we explained the scope of the meaning of an OTC derivative, including that:</w:t>
      </w:r>
    </w:p>
    <w:p w14:paraId="64E5F5F2" w14:textId="77777777" w:rsidR="009B394B" w:rsidRDefault="009B394B" w:rsidP="00C443A0">
      <w:pPr>
        <w:pStyle w:val="subparaa"/>
        <w:numPr>
          <w:ilvl w:val="1"/>
          <w:numId w:val="17"/>
        </w:numPr>
        <w:spacing w:before="120" w:line="310" w:lineRule="atLeast"/>
      </w:pPr>
      <w:r>
        <w:t>though key products for which ‘spot’ settlement are common transaction types—such as foreign exchange, securities and commodities—are already excluded from the meaning of an OTC derivative, there is a small number of other products—such as for Australian carbon credits or other environmental units—for which market practice for spot settlement is, for example, T+2 or T+3;</w:t>
      </w:r>
    </w:p>
    <w:p w14:paraId="6519347B" w14:textId="3CBA1A6B" w:rsidR="009B394B" w:rsidRDefault="009B394B" w:rsidP="00C443A0">
      <w:pPr>
        <w:pStyle w:val="subparaa"/>
        <w:numPr>
          <w:ilvl w:val="1"/>
          <w:numId w:val="17"/>
        </w:numPr>
        <w:spacing w:line="310" w:lineRule="atLeast"/>
      </w:pPr>
      <w:r>
        <w:t>an ‘FX securities conversion transaction’ is currently exempted until 30</w:t>
      </w:r>
      <w:r w:rsidR="009E74EF">
        <w:t> </w:t>
      </w:r>
      <w:r>
        <w:t>September 2022 from reporting requirements under the ASIC Rules and is a type of contract that is commonly exempted from reporting in overseas jurisdictions; and</w:t>
      </w:r>
    </w:p>
    <w:p w14:paraId="12FF3E49" w14:textId="77777777" w:rsidR="009B394B" w:rsidRDefault="009B394B" w:rsidP="00C443A0">
      <w:pPr>
        <w:pStyle w:val="subparaa"/>
        <w:numPr>
          <w:ilvl w:val="1"/>
          <w:numId w:val="17"/>
        </w:numPr>
        <w:spacing w:line="310" w:lineRule="atLeast"/>
      </w:pPr>
      <w:r>
        <w:t>the current manner of exclusion of exchange-traded derivatives is a combination of exclusions for derivatives:</w:t>
      </w:r>
    </w:p>
    <w:p w14:paraId="650523B3" w14:textId="77777777" w:rsidR="009B394B" w:rsidRDefault="009B394B" w:rsidP="00C443A0">
      <w:pPr>
        <w:pStyle w:val="subsubparai"/>
        <w:numPr>
          <w:ilvl w:val="2"/>
          <w:numId w:val="17"/>
        </w:numPr>
        <w:spacing w:line="310" w:lineRule="atLeast"/>
      </w:pPr>
      <w:r>
        <w:t>traded on particular classes of financial markets set out in the ASIC Rules;</w:t>
      </w:r>
    </w:p>
    <w:p w14:paraId="1137782D" w14:textId="17EBB634" w:rsidR="009B394B" w:rsidRDefault="009B394B" w:rsidP="00C443A0">
      <w:pPr>
        <w:pStyle w:val="subsubparai"/>
        <w:numPr>
          <w:ilvl w:val="2"/>
          <w:numId w:val="17"/>
        </w:numPr>
        <w:spacing w:line="310" w:lineRule="atLeast"/>
      </w:pPr>
      <w:r>
        <w:t xml:space="preserve">traded on particular financial markets and particular classes of financial markets set out in the </w:t>
      </w:r>
      <w:hyperlink r:id="rId150" w:history="1">
        <w:r w:rsidRPr="00F473E5">
          <w:rPr>
            <w:rStyle w:val="Hyperlink"/>
            <w:i/>
            <w:iCs/>
          </w:rPr>
          <w:t>ASIC Regulated Foreign Market</w:t>
        </w:r>
        <w:r w:rsidR="009E74EF" w:rsidRPr="00F473E5">
          <w:rPr>
            <w:rStyle w:val="Hyperlink"/>
            <w:i/>
            <w:iCs/>
          </w:rPr>
          <w:t>s</w:t>
        </w:r>
        <w:r w:rsidRPr="00F473E5">
          <w:rPr>
            <w:rStyle w:val="Hyperlink"/>
            <w:i/>
            <w:iCs/>
          </w:rPr>
          <w:t xml:space="preserve"> Determination [OTC DET 13/1145]</w:t>
        </w:r>
      </w:hyperlink>
      <w:r>
        <w:t>; and</w:t>
      </w:r>
    </w:p>
    <w:p w14:paraId="180A0A47" w14:textId="48B9B132" w:rsidR="009B394B" w:rsidRPr="00F473E5" w:rsidRDefault="009B394B" w:rsidP="00C443A0">
      <w:pPr>
        <w:pStyle w:val="subsubparai"/>
        <w:numPr>
          <w:ilvl w:val="2"/>
          <w:numId w:val="17"/>
        </w:numPr>
        <w:spacing w:line="310" w:lineRule="atLeast"/>
        <w:rPr>
          <w:i/>
          <w:iCs/>
        </w:rPr>
      </w:pPr>
      <w:r>
        <w:t xml:space="preserve">with characteristics and a method of dealing that meets a generic definition of an exchange-traded derivative and whose financial market is notified to ASIC as set out in </w:t>
      </w:r>
      <w:hyperlink r:id="rId151" w:history="1">
        <w:r w:rsidRPr="00EC10FA">
          <w:rPr>
            <w:rStyle w:val="Hyperlink"/>
            <w:i/>
            <w:iCs/>
          </w:rPr>
          <w:t>ASIC Corporations (Derivative Transaction Reporting Exemption) Instrument 2015/844</w:t>
        </w:r>
      </w:hyperlink>
      <w:r w:rsidRPr="00F473E5">
        <w:rPr>
          <w:i/>
          <w:iCs/>
        </w:rPr>
        <w:t>.</w:t>
      </w:r>
    </w:p>
    <w:p w14:paraId="5438F48C" w14:textId="16CFAFDF" w:rsidR="009B394B" w:rsidRDefault="009B394B" w:rsidP="00C443A0">
      <w:pPr>
        <w:pStyle w:val="BodyText"/>
        <w:numPr>
          <w:ilvl w:val="0"/>
          <w:numId w:val="17"/>
        </w:numPr>
        <w:spacing w:line="310" w:lineRule="atLeast"/>
      </w:pPr>
      <w:bookmarkStart w:id="273" w:name="_ASICRef927"/>
      <w:r>
        <w:t xml:space="preserve">In </w:t>
      </w:r>
      <w:r w:rsidR="00A0738D">
        <w:t>Section</w:t>
      </w:r>
      <w:r>
        <w:t xml:space="preserve"> G of </w:t>
      </w:r>
      <w:hyperlink r:id="rId152" w:history="1">
        <w:r w:rsidRPr="009E74EF">
          <w:rPr>
            <w:rStyle w:val="Hyperlink"/>
          </w:rPr>
          <w:t>CP 334</w:t>
        </w:r>
      </w:hyperlink>
      <w:r>
        <w:t>, we also explained the scope of the meaning of a reporting entity and a reportable transaction, including that:</w:t>
      </w:r>
      <w:bookmarkEnd w:id="273"/>
    </w:p>
    <w:p w14:paraId="280A85E3" w14:textId="5189FFEC" w:rsidR="009B394B" w:rsidRDefault="009B394B" w:rsidP="00C443A0">
      <w:pPr>
        <w:pStyle w:val="subparaa"/>
        <w:numPr>
          <w:ilvl w:val="1"/>
          <w:numId w:val="17"/>
        </w:numPr>
        <w:spacing w:line="310" w:lineRule="atLeast"/>
      </w:pPr>
      <w:bookmarkStart w:id="274" w:name="_ASICRef999"/>
      <w:r>
        <w:t xml:space="preserve">Table 1 of Rule 1.2.5 of the </w:t>
      </w:r>
      <w:r w:rsidR="005A5E1A">
        <w:t>c</w:t>
      </w:r>
      <w:r>
        <w:t>urrent ASIC Rules sets out the types of entities that are reporting entities and the scope of OTC derivatives that are reportable transactions for each type of reporting entity;</w:t>
      </w:r>
      <w:bookmarkEnd w:id="274"/>
    </w:p>
    <w:p w14:paraId="36BF25F0" w14:textId="77777777" w:rsidR="009B394B" w:rsidRDefault="009B394B" w:rsidP="00C443A0">
      <w:pPr>
        <w:pStyle w:val="subparaa"/>
        <w:numPr>
          <w:ilvl w:val="1"/>
          <w:numId w:val="17"/>
        </w:numPr>
        <w:spacing w:line="310" w:lineRule="atLeast"/>
      </w:pPr>
      <w:r>
        <w:t>Table S1.1 of Part S1.1 of Schedule 1 dealt with the phased implementation of the transaction reporting requirements by setting out progressive dates over 2013 and 2014 on which a transaction reporting requirement would commence for kinds of entities within the types of reporting entities;</w:t>
      </w:r>
    </w:p>
    <w:p w14:paraId="5E1F452C" w14:textId="38C76D2D" w:rsidR="009B394B" w:rsidRDefault="009E74EF" w:rsidP="00C443A0">
      <w:pPr>
        <w:pStyle w:val="subparaa"/>
        <w:numPr>
          <w:ilvl w:val="1"/>
          <w:numId w:val="17"/>
        </w:numPr>
        <w:spacing w:line="310" w:lineRule="atLeast"/>
      </w:pPr>
      <w:r>
        <w:t xml:space="preserve">the </w:t>
      </w:r>
      <w:r w:rsidR="009B394B">
        <w:t>types of reporting entities in Table 1 of Rule 1.2.5 of the ASIC Rules are broader than the kinds of entities within these types for which a transaction reporting requirement is set out in Table S1.1 of Part S1.1 of Schedule 1 because:</w:t>
      </w:r>
    </w:p>
    <w:p w14:paraId="70AD92C8" w14:textId="77777777" w:rsidR="009B394B" w:rsidRDefault="009B394B" w:rsidP="00C443A0">
      <w:pPr>
        <w:pStyle w:val="subsubparai"/>
        <w:numPr>
          <w:ilvl w:val="2"/>
          <w:numId w:val="17"/>
        </w:numPr>
        <w:spacing w:line="310" w:lineRule="atLeast"/>
      </w:pPr>
      <w:r>
        <w:t>reg 7.5A.50 of the Corporations Regulations provides that derivative transaction rules cannot impose requirements on end users; and</w:t>
      </w:r>
    </w:p>
    <w:p w14:paraId="4DE4EEC7" w14:textId="55B42B6B" w:rsidR="009B394B" w:rsidRDefault="009B394B" w:rsidP="00C443A0">
      <w:pPr>
        <w:pStyle w:val="subsubparai"/>
        <w:numPr>
          <w:ilvl w:val="2"/>
          <w:numId w:val="17"/>
        </w:numPr>
        <w:spacing w:line="310" w:lineRule="atLeast"/>
      </w:pPr>
      <w:r>
        <w:t>a transaction reporting requirement is not specified for the foreign subsidiaries of Australian entities who are ADIs or AFS licensees</w:t>
      </w:r>
      <w:r w:rsidR="00BC0951">
        <w:t>;</w:t>
      </w:r>
    </w:p>
    <w:p w14:paraId="76C1B1B0" w14:textId="77777777" w:rsidR="00982024" w:rsidRPr="00982024" w:rsidRDefault="00982024" w:rsidP="00982024">
      <w:pPr>
        <w:pStyle w:val="Bodytextplain"/>
        <w:keepNext/>
        <w:spacing w:before="0" w:line="240" w:lineRule="auto"/>
        <w:ind w:left="2835"/>
        <w:rPr>
          <w:sz w:val="4"/>
          <w:szCs w:val="4"/>
        </w:rPr>
      </w:pPr>
    </w:p>
    <w:p w14:paraId="62A92654" w14:textId="2ACF88D9" w:rsidR="009B394B" w:rsidRDefault="00BC0951" w:rsidP="00982024">
      <w:pPr>
        <w:pStyle w:val="subparaa"/>
        <w:numPr>
          <w:ilvl w:val="1"/>
          <w:numId w:val="17"/>
        </w:numPr>
        <w:spacing w:before="0" w:line="310" w:lineRule="atLeast"/>
      </w:pPr>
      <w:r>
        <w:t xml:space="preserve">regs </w:t>
      </w:r>
      <w:r w:rsidR="009B394B">
        <w:t>7.5A.71–7.5A.74 of the Corporations Regulations provide an exemption—the ‘single-sided’ exemption—from the reporting provisions of the ASIC Rules for reporting entities with total gross notional outstanding positions that are sustained below A$5 billion and where the other party to the transaction is a reporting entity</w:t>
      </w:r>
      <w:r>
        <w:t>; and</w:t>
      </w:r>
    </w:p>
    <w:p w14:paraId="0E303CC9" w14:textId="77777777" w:rsidR="009B394B" w:rsidRDefault="009B394B" w:rsidP="006F4D31">
      <w:pPr>
        <w:pStyle w:val="Note"/>
        <w:spacing w:line="250" w:lineRule="atLeast"/>
      </w:pPr>
      <w:r>
        <w:t>Note: The Corporations Regulations set out the details for the tests that determine when the exemption commences, continues or ceases to apply to a reporting entity and the conditions on a reporting entity in terms of reporting representations from the other party to the transaction and regular testing of the correctness of those representations by the reporting entity.</w:t>
      </w:r>
    </w:p>
    <w:p w14:paraId="6B989D72" w14:textId="389AB649" w:rsidR="009B394B" w:rsidRDefault="00BC0951" w:rsidP="00C443A0">
      <w:pPr>
        <w:pStyle w:val="subparaa"/>
        <w:numPr>
          <w:ilvl w:val="1"/>
          <w:numId w:val="17"/>
        </w:numPr>
        <w:spacing w:line="310" w:lineRule="atLeast"/>
      </w:pPr>
      <w:bookmarkStart w:id="275" w:name="_ASICRef676"/>
      <w:r>
        <w:t xml:space="preserve">for </w:t>
      </w:r>
      <w:r w:rsidR="009B394B">
        <w:t xml:space="preserve">foreign entities (other than foreign subsidiaries of Australian reporting entities), </w:t>
      </w:r>
      <w:hyperlink r:id="rId153" w:history="1">
        <w:r w:rsidR="009B394B" w:rsidRPr="00F473E5">
          <w:rPr>
            <w:rStyle w:val="Hyperlink"/>
            <w:i/>
            <w:iCs/>
          </w:rPr>
          <w:t>ASIC Derivative Transaction Rules (Nexus Derivatives) Class Exemption 2015</w:t>
        </w:r>
      </w:hyperlink>
      <w:r w:rsidR="009B394B">
        <w:t xml:space="preserve"> allows those entities to instead report derivative transaction information about, broadly, OTC derivatives for which sales, trading or financial risk management functions are performed on behalf of the reporting entity by a person ordinarily resident or employed in this jurisdiction or acting as part of a desk, office or branch in this jurisdiction—a ‘nexus’ transaction.</w:t>
      </w:r>
      <w:bookmarkEnd w:id="275"/>
    </w:p>
    <w:p w14:paraId="58DD019E" w14:textId="48C17415" w:rsidR="009B394B" w:rsidRDefault="009B394B" w:rsidP="00C443A0">
      <w:pPr>
        <w:pStyle w:val="BodyText"/>
        <w:numPr>
          <w:ilvl w:val="0"/>
          <w:numId w:val="17"/>
        </w:numPr>
        <w:spacing w:line="310" w:lineRule="atLeast"/>
      </w:pPr>
      <w:bookmarkStart w:id="276" w:name="_ASICRef15"/>
      <w:r>
        <w:t>The combined effect of the provisions described in paragraph</w:t>
      </w:r>
      <w:r w:rsidR="00855F61">
        <w:t xml:space="preserve"> </w:t>
      </w:r>
      <w:r w:rsidR="00855F61">
        <w:fldChar w:fldCharType="begin" w:fldLock="1"/>
      </w:r>
      <w:r w:rsidR="00855F61">
        <w:instrText xml:space="preserve"> REF _ASICRef927 \w \h </w:instrText>
      </w:r>
      <w:r w:rsidR="00855F61">
        <w:fldChar w:fldCharType="separate"/>
      </w:r>
      <w:r w:rsidR="00853A2A">
        <w:t>737</w:t>
      </w:r>
      <w:r w:rsidR="00855F61">
        <w:fldChar w:fldCharType="end"/>
      </w:r>
      <w:r>
        <w:t xml:space="preserve"> is that the ASIC Rules reporting entities and their reportable transactions can be summarised in high-level terms as set out in </w:t>
      </w:r>
      <w:r>
        <w:fldChar w:fldCharType="begin" w:fldLock="1"/>
      </w:r>
      <w:r>
        <w:instrText xml:space="preserve"> REF _Ref56080303 \h </w:instrText>
      </w:r>
      <w:r>
        <w:fldChar w:fldCharType="separate"/>
      </w:r>
      <w:r w:rsidR="00853A2A">
        <w:t xml:space="preserve">Table </w:t>
      </w:r>
      <w:r w:rsidR="00853A2A">
        <w:rPr>
          <w:noProof/>
        </w:rPr>
        <w:t>39</w:t>
      </w:r>
      <w:r>
        <w:fldChar w:fldCharType="end"/>
      </w:r>
      <w:r>
        <w:t>.</w:t>
      </w:r>
      <w:bookmarkEnd w:id="276"/>
    </w:p>
    <w:p w14:paraId="3193F71F" w14:textId="106D0AD5" w:rsidR="009B394B" w:rsidRDefault="009B394B" w:rsidP="009B394B">
      <w:pPr>
        <w:pStyle w:val="tabletitlefullwidth"/>
      </w:pPr>
      <w:bookmarkStart w:id="277" w:name="_Ref56080303"/>
      <w:r>
        <w:t xml:space="preserve">Table </w:t>
      </w:r>
      <w:fldSimple w:instr=" SEQ Table \* ARABIC ">
        <w:r w:rsidR="006679BA">
          <w:rPr>
            <w:noProof/>
          </w:rPr>
          <w:t>39</w:t>
        </w:r>
      </w:fldSimple>
      <w:bookmarkEnd w:id="277"/>
      <w:r>
        <w:t>:</w:t>
      </w:r>
      <w:r>
        <w:tab/>
        <w:t>High-level summary of reporting entities and reportable transactions</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545"/>
        <w:gridCol w:w="5525"/>
      </w:tblGrid>
      <w:tr w:rsidR="009B394B" w:rsidRPr="000540E1" w14:paraId="11C64BE4" w14:textId="77777777" w:rsidTr="00F86FF1">
        <w:trPr>
          <w:cantSplit/>
          <w:tblHeader/>
        </w:trPr>
        <w:tc>
          <w:tcPr>
            <w:tcW w:w="1954" w:type="pct"/>
            <w:shd w:val="clear" w:color="auto" w:fill="C2E3FA"/>
          </w:tcPr>
          <w:p w14:paraId="147C293F" w14:textId="77777777" w:rsidR="009B394B" w:rsidRPr="000540E1" w:rsidRDefault="009B394B" w:rsidP="00F86FF1">
            <w:pPr>
              <w:pStyle w:val="tablehead"/>
            </w:pPr>
            <w:r>
              <w:t>Reporting entity</w:t>
            </w:r>
          </w:p>
        </w:tc>
        <w:tc>
          <w:tcPr>
            <w:tcW w:w="3046" w:type="pct"/>
            <w:shd w:val="clear" w:color="auto" w:fill="C2E3FA"/>
          </w:tcPr>
          <w:p w14:paraId="7A470636" w14:textId="77777777" w:rsidR="009B394B" w:rsidRPr="000540E1" w:rsidRDefault="009B394B" w:rsidP="00F86FF1">
            <w:pPr>
              <w:pStyle w:val="tablehead"/>
            </w:pPr>
            <w:r>
              <w:t>Reportable transactions</w:t>
            </w:r>
          </w:p>
        </w:tc>
      </w:tr>
      <w:tr w:rsidR="009B394B" w:rsidRPr="0089576D" w14:paraId="039E4F09" w14:textId="77777777" w:rsidTr="00F86FF1">
        <w:trPr>
          <w:cantSplit/>
        </w:trPr>
        <w:tc>
          <w:tcPr>
            <w:tcW w:w="1954" w:type="pct"/>
          </w:tcPr>
          <w:p w14:paraId="7F5A307B" w14:textId="77777777" w:rsidR="009B394B" w:rsidRPr="0089576D" w:rsidRDefault="009B394B" w:rsidP="00F86FF1">
            <w:pPr>
              <w:spacing w:before="60" w:after="60"/>
              <w:rPr>
                <w:rFonts w:ascii="Arial" w:hAnsi="Arial" w:cs="Arial"/>
                <w:color w:val="000000" w:themeColor="text1"/>
                <w:sz w:val="18"/>
                <w:szCs w:val="18"/>
              </w:rPr>
            </w:pPr>
            <w:r w:rsidRPr="0089576D">
              <w:rPr>
                <w:rFonts w:ascii="Arial" w:hAnsi="Arial" w:cs="Arial"/>
                <w:color w:val="000000" w:themeColor="text1"/>
                <w:sz w:val="18"/>
                <w:szCs w:val="18"/>
              </w:rPr>
              <w:t>An Australian entity that is:</w:t>
            </w:r>
          </w:p>
          <w:p w14:paraId="4202E9E7" w14:textId="3B150A0A" w:rsidR="009B394B" w:rsidRPr="0089576D" w:rsidRDefault="009B394B" w:rsidP="00C443A0">
            <w:pPr>
              <w:pStyle w:val="ListParagraph"/>
              <w:numPr>
                <w:ilvl w:val="0"/>
                <w:numId w:val="11"/>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 xml:space="preserve">an </w:t>
            </w:r>
            <w:r w:rsidRPr="0089576D">
              <w:rPr>
                <w:rFonts w:ascii="Arial" w:hAnsi="Arial" w:cs="Arial"/>
                <w:color w:val="000000" w:themeColor="text1"/>
                <w:sz w:val="18"/>
                <w:szCs w:val="18"/>
              </w:rPr>
              <w:t>Australian ADI</w:t>
            </w:r>
          </w:p>
          <w:p w14:paraId="04D40948" w14:textId="312F0344" w:rsidR="009B394B" w:rsidRPr="0089576D" w:rsidRDefault="009B394B" w:rsidP="00C443A0">
            <w:pPr>
              <w:pStyle w:val="ListParagraph"/>
              <w:numPr>
                <w:ilvl w:val="0"/>
                <w:numId w:val="11"/>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 xml:space="preserve">an </w:t>
            </w:r>
            <w:r w:rsidRPr="0089576D">
              <w:rPr>
                <w:rFonts w:ascii="Arial" w:hAnsi="Arial" w:cs="Arial"/>
                <w:color w:val="000000" w:themeColor="text1"/>
                <w:sz w:val="18"/>
                <w:szCs w:val="18"/>
              </w:rPr>
              <w:t xml:space="preserve">AFS </w:t>
            </w:r>
            <w:r>
              <w:rPr>
                <w:rFonts w:ascii="Arial" w:hAnsi="Arial" w:cs="Arial"/>
                <w:color w:val="000000" w:themeColor="text1"/>
                <w:sz w:val="18"/>
                <w:szCs w:val="18"/>
              </w:rPr>
              <w:t>licen</w:t>
            </w:r>
            <w:r w:rsidRPr="0089576D">
              <w:rPr>
                <w:rFonts w:ascii="Arial" w:hAnsi="Arial" w:cs="Arial"/>
                <w:color w:val="000000" w:themeColor="text1"/>
                <w:sz w:val="18"/>
                <w:szCs w:val="18"/>
              </w:rPr>
              <w:t>see</w:t>
            </w:r>
            <w:r w:rsidR="00BC0951">
              <w:rPr>
                <w:rFonts w:ascii="Arial" w:hAnsi="Arial" w:cs="Arial"/>
                <w:color w:val="000000" w:themeColor="text1"/>
                <w:sz w:val="18"/>
                <w:szCs w:val="18"/>
              </w:rPr>
              <w:t>,</w:t>
            </w:r>
            <w:r>
              <w:rPr>
                <w:rFonts w:ascii="Arial" w:hAnsi="Arial" w:cs="Arial"/>
                <w:color w:val="000000" w:themeColor="text1"/>
                <w:sz w:val="18"/>
                <w:szCs w:val="18"/>
              </w:rPr>
              <w:t xml:space="preserve"> or</w:t>
            </w:r>
          </w:p>
          <w:p w14:paraId="5574B1C6" w14:textId="77777777" w:rsidR="009B394B" w:rsidRPr="0089576D" w:rsidRDefault="009B394B" w:rsidP="00C443A0">
            <w:pPr>
              <w:pStyle w:val="ListParagraph"/>
              <w:numPr>
                <w:ilvl w:val="0"/>
                <w:numId w:val="11"/>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 xml:space="preserve">a </w:t>
            </w:r>
            <w:r w:rsidRPr="0089576D">
              <w:rPr>
                <w:rFonts w:ascii="Arial" w:hAnsi="Arial" w:cs="Arial"/>
                <w:color w:val="000000" w:themeColor="text1"/>
                <w:sz w:val="18"/>
                <w:szCs w:val="18"/>
              </w:rPr>
              <w:t xml:space="preserve">CS </w:t>
            </w:r>
            <w:r>
              <w:rPr>
                <w:rFonts w:ascii="Arial" w:hAnsi="Arial" w:cs="Arial"/>
                <w:color w:val="000000" w:themeColor="text1"/>
                <w:sz w:val="18"/>
                <w:szCs w:val="18"/>
              </w:rPr>
              <w:t>f</w:t>
            </w:r>
            <w:r w:rsidRPr="0089576D">
              <w:rPr>
                <w:rFonts w:ascii="Arial" w:hAnsi="Arial" w:cs="Arial"/>
                <w:color w:val="000000" w:themeColor="text1"/>
                <w:sz w:val="18"/>
                <w:szCs w:val="18"/>
              </w:rPr>
              <w:t xml:space="preserve">acility </w:t>
            </w:r>
            <w:r>
              <w:rPr>
                <w:rFonts w:ascii="Arial" w:hAnsi="Arial" w:cs="Arial"/>
                <w:color w:val="000000" w:themeColor="text1"/>
                <w:sz w:val="18"/>
                <w:szCs w:val="18"/>
              </w:rPr>
              <w:t>licen</w:t>
            </w:r>
            <w:r w:rsidRPr="0089576D">
              <w:rPr>
                <w:rFonts w:ascii="Arial" w:hAnsi="Arial" w:cs="Arial"/>
                <w:color w:val="000000" w:themeColor="text1"/>
                <w:sz w:val="18"/>
                <w:szCs w:val="18"/>
              </w:rPr>
              <w:t>see</w:t>
            </w:r>
          </w:p>
        </w:tc>
        <w:tc>
          <w:tcPr>
            <w:tcW w:w="3046" w:type="pct"/>
          </w:tcPr>
          <w:p w14:paraId="172DE6AC" w14:textId="739D152D" w:rsidR="009B394B" w:rsidRPr="006D5241" w:rsidRDefault="009B394B" w:rsidP="00F86FF1">
            <w:pPr>
              <w:spacing w:before="60" w:after="60"/>
              <w:rPr>
                <w:rFonts w:ascii="Arial" w:hAnsi="Arial" w:cs="Arial"/>
                <w:color w:val="000000" w:themeColor="text1"/>
                <w:sz w:val="18"/>
                <w:szCs w:val="18"/>
              </w:rPr>
            </w:pPr>
            <w:r w:rsidRPr="006D5241">
              <w:rPr>
                <w:rFonts w:ascii="Arial" w:hAnsi="Arial" w:cs="Arial"/>
                <w:color w:val="000000" w:themeColor="text1"/>
                <w:sz w:val="18"/>
                <w:szCs w:val="18"/>
              </w:rPr>
              <w:t xml:space="preserve">All </w:t>
            </w:r>
            <w:r>
              <w:rPr>
                <w:rFonts w:ascii="Arial" w:hAnsi="Arial" w:cs="Arial"/>
                <w:color w:val="000000" w:themeColor="text1"/>
                <w:sz w:val="18"/>
                <w:szCs w:val="18"/>
              </w:rPr>
              <w:t>OTC derivative</w:t>
            </w:r>
            <w:r w:rsidRPr="006D5241">
              <w:rPr>
                <w:rFonts w:ascii="Arial" w:hAnsi="Arial" w:cs="Arial"/>
                <w:color w:val="000000" w:themeColor="text1"/>
                <w:sz w:val="18"/>
                <w:szCs w:val="18"/>
              </w:rPr>
              <w:t xml:space="preserve">s to which the </w:t>
            </w:r>
            <w:r>
              <w:rPr>
                <w:rFonts w:ascii="Arial" w:hAnsi="Arial" w:cs="Arial"/>
                <w:color w:val="000000" w:themeColor="text1"/>
                <w:sz w:val="18"/>
                <w:szCs w:val="18"/>
              </w:rPr>
              <w:t>reporting entity</w:t>
            </w:r>
            <w:r w:rsidRPr="006D5241">
              <w:rPr>
                <w:rFonts w:ascii="Arial" w:hAnsi="Arial" w:cs="Arial"/>
                <w:color w:val="000000" w:themeColor="text1"/>
                <w:sz w:val="18"/>
                <w:szCs w:val="18"/>
              </w:rPr>
              <w:t xml:space="preserve"> is a counterparty, regardless of where the </w:t>
            </w:r>
            <w:r>
              <w:rPr>
                <w:rFonts w:ascii="Arial" w:hAnsi="Arial" w:cs="Arial"/>
                <w:color w:val="000000" w:themeColor="text1"/>
                <w:sz w:val="18"/>
                <w:szCs w:val="18"/>
              </w:rPr>
              <w:t>OTC derivative</w:t>
            </w:r>
            <w:r w:rsidRPr="006D5241">
              <w:rPr>
                <w:rFonts w:ascii="Arial" w:hAnsi="Arial" w:cs="Arial"/>
                <w:color w:val="000000" w:themeColor="text1"/>
                <w:sz w:val="18"/>
                <w:szCs w:val="18"/>
              </w:rPr>
              <w:t xml:space="preserve"> is entered into, but not transactions that are:</w:t>
            </w:r>
          </w:p>
          <w:p w14:paraId="56F71B24" w14:textId="6C425881" w:rsidR="009B394B" w:rsidRPr="006D5241" w:rsidRDefault="009B394B" w:rsidP="00C443A0">
            <w:pPr>
              <w:pStyle w:val="ListParagraph"/>
              <w:numPr>
                <w:ilvl w:val="0"/>
                <w:numId w:val="12"/>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s</w:t>
            </w:r>
            <w:r w:rsidRPr="006D5241">
              <w:rPr>
                <w:rFonts w:ascii="Arial" w:hAnsi="Arial" w:cs="Arial"/>
                <w:color w:val="000000" w:themeColor="text1"/>
                <w:sz w:val="18"/>
                <w:szCs w:val="18"/>
              </w:rPr>
              <w:t>ingle-sided exempt</w:t>
            </w:r>
            <w:r w:rsidR="00BC0951">
              <w:rPr>
                <w:rFonts w:ascii="Arial" w:hAnsi="Arial" w:cs="Arial"/>
                <w:color w:val="000000" w:themeColor="text1"/>
                <w:sz w:val="18"/>
                <w:szCs w:val="18"/>
              </w:rPr>
              <w:t>,</w:t>
            </w:r>
            <w:r>
              <w:rPr>
                <w:rFonts w:ascii="Arial" w:hAnsi="Arial" w:cs="Arial"/>
                <w:color w:val="000000" w:themeColor="text1"/>
                <w:sz w:val="18"/>
                <w:szCs w:val="18"/>
              </w:rPr>
              <w:t xml:space="preserve"> or</w:t>
            </w:r>
          </w:p>
          <w:p w14:paraId="60D918EE" w14:textId="77777777" w:rsidR="009B394B" w:rsidRPr="006D5241" w:rsidRDefault="009B394B" w:rsidP="00C443A0">
            <w:pPr>
              <w:pStyle w:val="ListParagraph"/>
              <w:numPr>
                <w:ilvl w:val="0"/>
                <w:numId w:val="12"/>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for an AFS licensee, in a class of derivatives for which they are n</w:t>
            </w:r>
            <w:r w:rsidRPr="006D5241">
              <w:rPr>
                <w:rFonts w:ascii="Arial" w:hAnsi="Arial" w:cs="Arial"/>
                <w:color w:val="000000" w:themeColor="text1"/>
                <w:sz w:val="18"/>
                <w:szCs w:val="18"/>
              </w:rPr>
              <w:t>ot authorise</w:t>
            </w:r>
            <w:r>
              <w:rPr>
                <w:rFonts w:ascii="Arial" w:hAnsi="Arial" w:cs="Arial"/>
                <w:color w:val="000000" w:themeColor="text1"/>
                <w:sz w:val="18"/>
                <w:szCs w:val="18"/>
              </w:rPr>
              <w:t>d by their licence to provide financial services—that is,</w:t>
            </w:r>
            <w:r w:rsidRPr="006D5241">
              <w:rPr>
                <w:rFonts w:ascii="Arial" w:hAnsi="Arial" w:cs="Arial"/>
                <w:color w:val="000000" w:themeColor="text1"/>
                <w:sz w:val="18"/>
                <w:szCs w:val="18"/>
              </w:rPr>
              <w:t xml:space="preserve"> they are an </w:t>
            </w:r>
            <w:r>
              <w:rPr>
                <w:rFonts w:ascii="Arial" w:hAnsi="Arial" w:cs="Arial"/>
                <w:color w:val="000000" w:themeColor="text1"/>
                <w:sz w:val="18"/>
                <w:szCs w:val="18"/>
              </w:rPr>
              <w:t>‘</w:t>
            </w:r>
            <w:r w:rsidRPr="006D5241">
              <w:rPr>
                <w:rFonts w:ascii="Arial" w:hAnsi="Arial" w:cs="Arial"/>
                <w:color w:val="000000" w:themeColor="text1"/>
                <w:sz w:val="18"/>
                <w:szCs w:val="18"/>
              </w:rPr>
              <w:t>end user</w:t>
            </w:r>
            <w:r>
              <w:rPr>
                <w:rFonts w:ascii="Arial" w:hAnsi="Arial" w:cs="Arial"/>
                <w:color w:val="000000" w:themeColor="text1"/>
                <w:sz w:val="18"/>
                <w:szCs w:val="18"/>
              </w:rPr>
              <w:t>’</w:t>
            </w:r>
            <w:r w:rsidRPr="006D5241">
              <w:rPr>
                <w:rFonts w:ascii="Arial" w:hAnsi="Arial" w:cs="Arial"/>
                <w:color w:val="000000" w:themeColor="text1"/>
                <w:sz w:val="18"/>
                <w:szCs w:val="18"/>
              </w:rPr>
              <w:t xml:space="preserve"> for those transactions</w:t>
            </w:r>
          </w:p>
        </w:tc>
      </w:tr>
      <w:tr w:rsidR="009B394B" w:rsidRPr="000540E1" w14:paraId="6198A439" w14:textId="77777777" w:rsidTr="00F86FF1">
        <w:trPr>
          <w:cantSplit/>
        </w:trPr>
        <w:tc>
          <w:tcPr>
            <w:tcW w:w="1954" w:type="pct"/>
          </w:tcPr>
          <w:p w14:paraId="6B4AC750" w14:textId="77777777" w:rsidR="009B394B" w:rsidRPr="006D5241" w:rsidRDefault="009B394B" w:rsidP="00F86FF1">
            <w:pPr>
              <w:spacing w:before="60" w:after="60"/>
              <w:rPr>
                <w:rFonts w:ascii="Arial" w:hAnsi="Arial" w:cs="Arial"/>
                <w:color w:val="000000" w:themeColor="text1"/>
                <w:sz w:val="18"/>
                <w:szCs w:val="18"/>
              </w:rPr>
            </w:pPr>
            <w:r w:rsidRPr="006D5241">
              <w:rPr>
                <w:rFonts w:ascii="Arial" w:hAnsi="Arial" w:cs="Arial"/>
                <w:color w:val="000000" w:themeColor="text1"/>
                <w:sz w:val="18"/>
                <w:szCs w:val="18"/>
              </w:rPr>
              <w:t>A foreign entity that is:</w:t>
            </w:r>
          </w:p>
          <w:p w14:paraId="2ECD26FF" w14:textId="484A4220" w:rsidR="009B394B" w:rsidRPr="006D5241" w:rsidRDefault="009B394B" w:rsidP="00C443A0">
            <w:pPr>
              <w:pStyle w:val="ListParagraph"/>
              <w:numPr>
                <w:ilvl w:val="0"/>
                <w:numId w:val="13"/>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a f</w:t>
            </w:r>
            <w:r w:rsidRPr="006D5241">
              <w:rPr>
                <w:rFonts w:ascii="Arial" w:hAnsi="Arial" w:cs="Arial"/>
                <w:color w:val="000000" w:themeColor="text1"/>
                <w:sz w:val="18"/>
                <w:szCs w:val="18"/>
              </w:rPr>
              <w:t>oreign ADI</w:t>
            </w:r>
          </w:p>
          <w:p w14:paraId="0F5DE3E0" w14:textId="63D7A9CD" w:rsidR="009B394B" w:rsidRPr="006D5241" w:rsidRDefault="009B394B" w:rsidP="00C443A0">
            <w:pPr>
              <w:pStyle w:val="ListParagraph"/>
              <w:numPr>
                <w:ilvl w:val="0"/>
                <w:numId w:val="13"/>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 xml:space="preserve">an </w:t>
            </w:r>
            <w:r w:rsidRPr="006D5241">
              <w:rPr>
                <w:rFonts w:ascii="Arial" w:hAnsi="Arial" w:cs="Arial"/>
                <w:color w:val="000000" w:themeColor="text1"/>
                <w:sz w:val="18"/>
                <w:szCs w:val="18"/>
              </w:rPr>
              <w:t xml:space="preserve">AFS </w:t>
            </w:r>
            <w:r>
              <w:rPr>
                <w:rFonts w:ascii="Arial" w:hAnsi="Arial" w:cs="Arial"/>
                <w:color w:val="000000" w:themeColor="text1"/>
                <w:sz w:val="18"/>
                <w:szCs w:val="18"/>
              </w:rPr>
              <w:t>licen</w:t>
            </w:r>
            <w:r w:rsidRPr="006D5241">
              <w:rPr>
                <w:rFonts w:ascii="Arial" w:hAnsi="Arial" w:cs="Arial"/>
                <w:color w:val="000000" w:themeColor="text1"/>
                <w:sz w:val="18"/>
                <w:szCs w:val="18"/>
              </w:rPr>
              <w:t>see</w:t>
            </w:r>
          </w:p>
          <w:p w14:paraId="1FFBB6AF" w14:textId="639A180E" w:rsidR="009B394B" w:rsidRPr="006D5241" w:rsidRDefault="009B394B" w:rsidP="00C443A0">
            <w:pPr>
              <w:pStyle w:val="ListParagraph"/>
              <w:numPr>
                <w:ilvl w:val="0"/>
                <w:numId w:val="13"/>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 xml:space="preserve">a </w:t>
            </w:r>
            <w:r w:rsidRPr="006D5241">
              <w:rPr>
                <w:rFonts w:ascii="Arial" w:hAnsi="Arial" w:cs="Arial"/>
                <w:color w:val="000000" w:themeColor="text1"/>
                <w:sz w:val="18"/>
                <w:szCs w:val="18"/>
              </w:rPr>
              <w:t xml:space="preserve">CS </w:t>
            </w:r>
            <w:r>
              <w:rPr>
                <w:rFonts w:ascii="Arial" w:hAnsi="Arial" w:cs="Arial"/>
                <w:color w:val="000000" w:themeColor="text1"/>
                <w:sz w:val="18"/>
                <w:szCs w:val="18"/>
              </w:rPr>
              <w:t>f</w:t>
            </w:r>
            <w:r w:rsidRPr="006D5241">
              <w:rPr>
                <w:rFonts w:ascii="Arial" w:hAnsi="Arial" w:cs="Arial"/>
                <w:color w:val="000000" w:themeColor="text1"/>
                <w:sz w:val="18"/>
                <w:szCs w:val="18"/>
              </w:rPr>
              <w:t xml:space="preserve">acility </w:t>
            </w:r>
            <w:r>
              <w:rPr>
                <w:rFonts w:ascii="Arial" w:hAnsi="Arial" w:cs="Arial"/>
                <w:color w:val="000000" w:themeColor="text1"/>
                <w:sz w:val="18"/>
                <w:szCs w:val="18"/>
              </w:rPr>
              <w:t>licen</w:t>
            </w:r>
            <w:r w:rsidRPr="006D5241">
              <w:rPr>
                <w:rFonts w:ascii="Arial" w:hAnsi="Arial" w:cs="Arial"/>
                <w:color w:val="000000" w:themeColor="text1"/>
                <w:sz w:val="18"/>
                <w:szCs w:val="18"/>
              </w:rPr>
              <w:t>see</w:t>
            </w:r>
            <w:r w:rsidR="00BC0951">
              <w:rPr>
                <w:rFonts w:ascii="Arial" w:hAnsi="Arial" w:cs="Arial"/>
                <w:color w:val="000000" w:themeColor="text1"/>
                <w:sz w:val="18"/>
                <w:szCs w:val="18"/>
              </w:rPr>
              <w:t>,</w:t>
            </w:r>
            <w:r w:rsidRPr="006D5241">
              <w:rPr>
                <w:rFonts w:ascii="Arial" w:hAnsi="Arial" w:cs="Arial"/>
                <w:color w:val="000000" w:themeColor="text1"/>
                <w:sz w:val="18"/>
                <w:szCs w:val="18"/>
              </w:rPr>
              <w:t xml:space="preserve"> or</w:t>
            </w:r>
          </w:p>
          <w:p w14:paraId="169C14CB" w14:textId="77777777" w:rsidR="009B394B" w:rsidRPr="006D5241" w:rsidRDefault="009B394B" w:rsidP="00C443A0">
            <w:pPr>
              <w:pStyle w:val="ListParagraph"/>
              <w:numPr>
                <w:ilvl w:val="0"/>
                <w:numId w:val="13"/>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an e</w:t>
            </w:r>
            <w:r w:rsidRPr="006D5241">
              <w:rPr>
                <w:rFonts w:ascii="Arial" w:hAnsi="Arial" w:cs="Arial"/>
                <w:color w:val="000000" w:themeColor="text1"/>
                <w:sz w:val="18"/>
                <w:szCs w:val="18"/>
              </w:rPr>
              <w:t xml:space="preserve">xempt </w:t>
            </w:r>
            <w:r>
              <w:rPr>
                <w:rFonts w:ascii="Arial" w:hAnsi="Arial" w:cs="Arial"/>
                <w:color w:val="000000" w:themeColor="text1"/>
                <w:sz w:val="18"/>
                <w:szCs w:val="18"/>
              </w:rPr>
              <w:t>f</w:t>
            </w:r>
            <w:r w:rsidRPr="006D5241">
              <w:rPr>
                <w:rFonts w:ascii="Arial" w:hAnsi="Arial" w:cs="Arial"/>
                <w:color w:val="000000" w:themeColor="text1"/>
                <w:sz w:val="18"/>
                <w:szCs w:val="18"/>
              </w:rPr>
              <w:t xml:space="preserve">oreign </w:t>
            </w:r>
            <w:r>
              <w:rPr>
                <w:rFonts w:ascii="Arial" w:hAnsi="Arial" w:cs="Arial"/>
                <w:color w:val="000000" w:themeColor="text1"/>
                <w:sz w:val="18"/>
                <w:szCs w:val="18"/>
              </w:rPr>
              <w:t>licen</w:t>
            </w:r>
            <w:r w:rsidRPr="006D5241">
              <w:rPr>
                <w:rFonts w:ascii="Arial" w:hAnsi="Arial" w:cs="Arial"/>
                <w:color w:val="000000" w:themeColor="text1"/>
                <w:sz w:val="18"/>
                <w:szCs w:val="18"/>
              </w:rPr>
              <w:t>see</w:t>
            </w:r>
            <w:r w:rsidRPr="00A829C7">
              <w:rPr>
                <w:rFonts w:ascii="Arial" w:hAnsi="Arial" w:cs="Arial"/>
                <w:color w:val="000000" w:themeColor="text1"/>
                <w:sz w:val="18"/>
                <w:szCs w:val="18"/>
              </w:rPr>
              <w:t>—</w:t>
            </w:r>
            <w:r>
              <w:rPr>
                <w:rFonts w:ascii="Arial" w:hAnsi="Arial" w:cs="Arial"/>
                <w:color w:val="000000" w:themeColor="text1"/>
                <w:sz w:val="18"/>
                <w:szCs w:val="18"/>
              </w:rPr>
              <w:t>that is, broadly, a foreign-regulated financial services provider</w:t>
            </w:r>
          </w:p>
        </w:tc>
        <w:tc>
          <w:tcPr>
            <w:tcW w:w="3046" w:type="pct"/>
          </w:tcPr>
          <w:p w14:paraId="7CD67294" w14:textId="77777777" w:rsidR="009B394B" w:rsidRPr="00945F64" w:rsidRDefault="009B394B" w:rsidP="00F86FF1">
            <w:pPr>
              <w:spacing w:before="60" w:after="60"/>
              <w:rPr>
                <w:rFonts w:ascii="Arial" w:hAnsi="Arial" w:cs="Arial"/>
                <w:color w:val="000000" w:themeColor="text1"/>
                <w:sz w:val="18"/>
                <w:szCs w:val="18"/>
              </w:rPr>
            </w:pPr>
            <w:r w:rsidRPr="00945F64">
              <w:rPr>
                <w:rFonts w:ascii="Arial" w:hAnsi="Arial" w:cs="Arial"/>
                <w:color w:val="000000" w:themeColor="text1"/>
                <w:sz w:val="18"/>
                <w:szCs w:val="18"/>
              </w:rPr>
              <w:t xml:space="preserve">All </w:t>
            </w:r>
            <w:r>
              <w:rPr>
                <w:rFonts w:ascii="Arial" w:hAnsi="Arial" w:cs="Arial"/>
                <w:color w:val="000000" w:themeColor="text1"/>
                <w:sz w:val="18"/>
                <w:szCs w:val="18"/>
              </w:rPr>
              <w:t>OTC derivative</w:t>
            </w:r>
            <w:r w:rsidRPr="00945F64">
              <w:rPr>
                <w:rFonts w:ascii="Arial" w:hAnsi="Arial" w:cs="Arial"/>
                <w:color w:val="000000" w:themeColor="text1"/>
                <w:sz w:val="18"/>
                <w:szCs w:val="18"/>
              </w:rPr>
              <w:t>s:</w:t>
            </w:r>
          </w:p>
          <w:p w14:paraId="49F698DE" w14:textId="2999B138" w:rsidR="009B394B" w:rsidRPr="006A3DC6" w:rsidRDefault="009B394B" w:rsidP="00940A24">
            <w:pPr>
              <w:pStyle w:val="ListParagraph"/>
              <w:numPr>
                <w:ilvl w:val="0"/>
                <w:numId w:val="2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sidRPr="000328F8">
              <w:rPr>
                <w:rFonts w:ascii="Arial" w:hAnsi="Arial" w:cs="Arial"/>
                <w:color w:val="000000" w:themeColor="text1"/>
                <w:sz w:val="18"/>
                <w:szCs w:val="18"/>
              </w:rPr>
              <w:t xml:space="preserve">booked to the profit or loss account of a branch of the </w:t>
            </w:r>
            <w:r w:rsidRPr="006A3DC6">
              <w:rPr>
                <w:rFonts w:ascii="Arial" w:hAnsi="Arial" w:cs="Arial"/>
                <w:color w:val="000000" w:themeColor="text1"/>
                <w:sz w:val="18"/>
                <w:szCs w:val="18"/>
              </w:rPr>
              <w:t>reporting entity located in this jurisdiction</w:t>
            </w:r>
          </w:p>
          <w:p w14:paraId="1453554B" w14:textId="08308CE9" w:rsidR="009B394B" w:rsidRPr="00945F64" w:rsidRDefault="009B394B" w:rsidP="00940A24">
            <w:pPr>
              <w:pStyle w:val="ListParagraph"/>
              <w:numPr>
                <w:ilvl w:val="0"/>
                <w:numId w:val="2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sidRPr="00945F64">
              <w:rPr>
                <w:rFonts w:ascii="Arial" w:hAnsi="Arial" w:cs="Arial"/>
                <w:color w:val="000000" w:themeColor="text1"/>
                <w:sz w:val="18"/>
                <w:szCs w:val="18"/>
              </w:rPr>
              <w:t xml:space="preserve">entered into by the </w:t>
            </w:r>
            <w:r>
              <w:rPr>
                <w:rFonts w:ascii="Arial" w:hAnsi="Arial" w:cs="Arial"/>
                <w:color w:val="000000" w:themeColor="text1"/>
                <w:sz w:val="18"/>
                <w:szCs w:val="18"/>
              </w:rPr>
              <w:t>reporting entity</w:t>
            </w:r>
            <w:r w:rsidRPr="00945F64">
              <w:rPr>
                <w:rFonts w:ascii="Arial" w:hAnsi="Arial" w:cs="Arial"/>
                <w:color w:val="000000" w:themeColor="text1"/>
                <w:sz w:val="18"/>
                <w:szCs w:val="18"/>
              </w:rPr>
              <w:t xml:space="preserve"> in this jurisdiction</w:t>
            </w:r>
            <w:r w:rsidR="00BC0951">
              <w:rPr>
                <w:rFonts w:ascii="Arial" w:hAnsi="Arial" w:cs="Arial"/>
                <w:color w:val="000000" w:themeColor="text1"/>
                <w:sz w:val="18"/>
                <w:szCs w:val="18"/>
              </w:rPr>
              <w:t>,</w:t>
            </w:r>
            <w:r w:rsidRPr="00945F64">
              <w:rPr>
                <w:rFonts w:ascii="Arial" w:hAnsi="Arial" w:cs="Arial"/>
                <w:color w:val="000000" w:themeColor="text1"/>
                <w:sz w:val="18"/>
                <w:szCs w:val="18"/>
              </w:rPr>
              <w:t xml:space="preserve"> or</w:t>
            </w:r>
          </w:p>
          <w:p w14:paraId="5BFBCD26" w14:textId="77777777" w:rsidR="009B394B" w:rsidRPr="00945F64" w:rsidRDefault="009B394B" w:rsidP="00940A24">
            <w:pPr>
              <w:pStyle w:val="ListParagraph"/>
              <w:numPr>
                <w:ilvl w:val="0"/>
                <w:numId w:val="2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sidRPr="00945F64">
              <w:rPr>
                <w:rFonts w:ascii="Arial" w:hAnsi="Arial" w:cs="Arial"/>
                <w:color w:val="000000" w:themeColor="text1"/>
                <w:sz w:val="18"/>
                <w:szCs w:val="18"/>
              </w:rPr>
              <w:t>if opted-in instead of (b), that are ‘nexus’ transactions</w:t>
            </w:r>
            <w:r>
              <w:rPr>
                <w:rFonts w:ascii="Arial" w:hAnsi="Arial" w:cs="Arial"/>
                <w:color w:val="000000" w:themeColor="text1"/>
                <w:sz w:val="18"/>
                <w:szCs w:val="18"/>
              </w:rPr>
              <w:t>,</w:t>
            </w:r>
          </w:p>
          <w:p w14:paraId="65FA1FC4" w14:textId="77777777" w:rsidR="009B394B" w:rsidRPr="00945F64" w:rsidRDefault="009B394B" w:rsidP="00F86FF1">
            <w:pPr>
              <w:spacing w:before="60" w:after="60"/>
              <w:rPr>
                <w:rFonts w:ascii="Arial" w:hAnsi="Arial" w:cs="Arial"/>
                <w:color w:val="000000" w:themeColor="text1"/>
                <w:sz w:val="18"/>
                <w:szCs w:val="18"/>
              </w:rPr>
            </w:pPr>
            <w:r w:rsidRPr="00945F64">
              <w:rPr>
                <w:rFonts w:ascii="Arial" w:hAnsi="Arial" w:cs="Arial"/>
                <w:color w:val="000000" w:themeColor="text1"/>
                <w:sz w:val="18"/>
                <w:szCs w:val="18"/>
              </w:rPr>
              <w:t>but not transactions that are:</w:t>
            </w:r>
          </w:p>
          <w:p w14:paraId="47A190CC" w14:textId="499A78C5" w:rsidR="009B394B" w:rsidRPr="006D5241" w:rsidRDefault="009B394B" w:rsidP="00940A24">
            <w:pPr>
              <w:pStyle w:val="ListParagraph"/>
              <w:numPr>
                <w:ilvl w:val="0"/>
                <w:numId w:val="2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si</w:t>
            </w:r>
            <w:r w:rsidRPr="00945F64">
              <w:rPr>
                <w:rFonts w:ascii="Arial" w:hAnsi="Arial" w:cs="Arial"/>
                <w:color w:val="000000" w:themeColor="text1"/>
                <w:sz w:val="18"/>
                <w:szCs w:val="18"/>
              </w:rPr>
              <w:t>ngle-sided exempt</w:t>
            </w:r>
            <w:r w:rsidR="00BC0951">
              <w:rPr>
                <w:rFonts w:ascii="Arial" w:hAnsi="Arial" w:cs="Arial"/>
                <w:color w:val="000000" w:themeColor="text1"/>
                <w:sz w:val="18"/>
                <w:szCs w:val="18"/>
              </w:rPr>
              <w:t>,</w:t>
            </w:r>
            <w:r>
              <w:rPr>
                <w:rFonts w:ascii="Arial" w:hAnsi="Arial" w:cs="Arial"/>
                <w:color w:val="000000" w:themeColor="text1"/>
                <w:sz w:val="18"/>
                <w:szCs w:val="18"/>
              </w:rPr>
              <w:t xml:space="preserve"> or</w:t>
            </w:r>
          </w:p>
          <w:p w14:paraId="1C3CBFD9" w14:textId="77777777" w:rsidR="009B394B" w:rsidRPr="00945F64" w:rsidRDefault="009B394B" w:rsidP="00940A24">
            <w:pPr>
              <w:pStyle w:val="ListParagraph"/>
              <w:numPr>
                <w:ilvl w:val="0"/>
                <w:numId w:val="28"/>
              </w:numPr>
              <w:autoSpaceDE w:val="0"/>
              <w:autoSpaceDN w:val="0"/>
              <w:adjustRightInd w:val="0"/>
              <w:spacing w:before="60" w:after="60" w:line="240" w:lineRule="auto"/>
              <w:ind w:left="340" w:hanging="340"/>
              <w:contextualSpacing w:val="0"/>
              <w:rPr>
                <w:rFonts w:ascii="Arial" w:hAnsi="Arial" w:cs="Arial"/>
                <w:sz w:val="18"/>
                <w:szCs w:val="18"/>
              </w:rPr>
            </w:pPr>
            <w:r>
              <w:rPr>
                <w:rFonts w:ascii="Arial" w:hAnsi="Arial" w:cs="Arial"/>
                <w:color w:val="000000" w:themeColor="text1"/>
                <w:sz w:val="18"/>
                <w:szCs w:val="18"/>
              </w:rPr>
              <w:t>for an AFS licensee, in a class of derivatives for which they are n</w:t>
            </w:r>
            <w:r w:rsidRPr="006D5241">
              <w:rPr>
                <w:rFonts w:ascii="Arial" w:hAnsi="Arial" w:cs="Arial"/>
                <w:color w:val="000000" w:themeColor="text1"/>
                <w:sz w:val="18"/>
                <w:szCs w:val="18"/>
              </w:rPr>
              <w:t>ot authorise</w:t>
            </w:r>
            <w:r>
              <w:rPr>
                <w:rFonts w:ascii="Arial" w:hAnsi="Arial" w:cs="Arial"/>
                <w:color w:val="000000" w:themeColor="text1"/>
                <w:sz w:val="18"/>
                <w:szCs w:val="18"/>
              </w:rPr>
              <w:t>d by their licence to provide financial services—that is,</w:t>
            </w:r>
            <w:r w:rsidRPr="006D5241">
              <w:rPr>
                <w:rFonts w:ascii="Arial" w:hAnsi="Arial" w:cs="Arial"/>
                <w:color w:val="000000" w:themeColor="text1"/>
                <w:sz w:val="18"/>
                <w:szCs w:val="18"/>
              </w:rPr>
              <w:t xml:space="preserve"> they are an </w:t>
            </w:r>
            <w:r>
              <w:rPr>
                <w:rFonts w:ascii="Arial" w:hAnsi="Arial" w:cs="Arial"/>
                <w:color w:val="000000" w:themeColor="text1"/>
                <w:sz w:val="18"/>
                <w:szCs w:val="18"/>
              </w:rPr>
              <w:t>‘</w:t>
            </w:r>
            <w:r w:rsidRPr="006D5241">
              <w:rPr>
                <w:rFonts w:ascii="Arial" w:hAnsi="Arial" w:cs="Arial"/>
                <w:color w:val="000000" w:themeColor="text1"/>
                <w:sz w:val="18"/>
                <w:szCs w:val="18"/>
              </w:rPr>
              <w:t>end user</w:t>
            </w:r>
            <w:r>
              <w:rPr>
                <w:rFonts w:ascii="Arial" w:hAnsi="Arial" w:cs="Arial"/>
                <w:color w:val="000000" w:themeColor="text1"/>
                <w:sz w:val="18"/>
                <w:szCs w:val="18"/>
              </w:rPr>
              <w:t>’</w:t>
            </w:r>
            <w:r w:rsidRPr="006D5241">
              <w:rPr>
                <w:rFonts w:ascii="Arial" w:hAnsi="Arial" w:cs="Arial"/>
                <w:color w:val="000000" w:themeColor="text1"/>
                <w:sz w:val="18"/>
                <w:szCs w:val="18"/>
              </w:rPr>
              <w:t xml:space="preserve"> for those transactions</w:t>
            </w:r>
          </w:p>
        </w:tc>
      </w:tr>
    </w:tbl>
    <w:p w14:paraId="37E107FB" w14:textId="77777777" w:rsidR="009B394B" w:rsidRDefault="009B394B" w:rsidP="009B394B">
      <w:pPr>
        <w:pStyle w:val="Heading2"/>
      </w:pPr>
      <w:bookmarkStart w:id="278" w:name="_Toc95402017"/>
      <w:bookmarkStart w:id="279" w:name="_Toc103174648"/>
      <w:bookmarkStart w:id="280" w:name="_Toc57146510"/>
      <w:r>
        <w:t>ASIC’s proposed approach to the scope of reportable transactions and reporting entities in CP 334</w:t>
      </w:r>
      <w:bookmarkEnd w:id="278"/>
      <w:bookmarkEnd w:id="279"/>
    </w:p>
    <w:p w14:paraId="4EFC09E4" w14:textId="408F18FA" w:rsidR="009B394B" w:rsidRPr="004E1CBF" w:rsidRDefault="009B394B" w:rsidP="00C443A0">
      <w:pPr>
        <w:pStyle w:val="BodyText"/>
        <w:numPr>
          <w:ilvl w:val="0"/>
          <w:numId w:val="17"/>
        </w:numPr>
        <w:spacing w:before="180" w:line="290" w:lineRule="atLeast"/>
        <w:rPr>
          <w:rFonts w:eastAsiaTheme="minorHAnsi"/>
        </w:rPr>
      </w:pPr>
      <w:bookmarkStart w:id="281" w:name="_ASICRef480"/>
      <w:r w:rsidRPr="004E1CBF">
        <w:rPr>
          <w:rFonts w:eastAsiaTheme="minorHAnsi"/>
        </w:rPr>
        <w:t xml:space="preserve">In </w:t>
      </w:r>
      <w:hyperlink r:id="rId154" w:history="1">
        <w:r w:rsidRPr="00BC0951">
          <w:rPr>
            <w:rStyle w:val="Hyperlink"/>
            <w:rFonts w:eastAsiaTheme="minorHAnsi"/>
          </w:rPr>
          <w:t>CP</w:t>
        </w:r>
        <w:r w:rsidR="00BC0951" w:rsidRPr="00BC0951">
          <w:rPr>
            <w:rStyle w:val="Hyperlink"/>
            <w:rFonts w:eastAsiaTheme="minorHAnsi"/>
          </w:rPr>
          <w:t xml:space="preserve"> </w:t>
        </w:r>
        <w:r w:rsidRPr="00BC0951">
          <w:rPr>
            <w:rStyle w:val="Hyperlink"/>
            <w:rFonts w:eastAsiaTheme="minorHAnsi"/>
          </w:rPr>
          <w:t>334</w:t>
        </w:r>
      </w:hyperlink>
      <w:r w:rsidRPr="004E1CBF">
        <w:rPr>
          <w:rFonts w:eastAsiaTheme="minorHAnsi"/>
        </w:rPr>
        <w:t>, we made proposals to:</w:t>
      </w:r>
      <w:bookmarkEnd w:id="281"/>
    </w:p>
    <w:p w14:paraId="36144446" w14:textId="77777777" w:rsidR="009B394B" w:rsidRDefault="009B394B" w:rsidP="00C443A0">
      <w:pPr>
        <w:pStyle w:val="subparaa"/>
        <w:numPr>
          <w:ilvl w:val="1"/>
          <w:numId w:val="17"/>
        </w:numPr>
        <w:spacing w:before="80" w:line="290" w:lineRule="atLeast"/>
      </w:pPr>
      <w:r>
        <w:t>exclude from the meaning of a reportable transaction a transaction for spot settlement, with specific rules text to be proposed in the second round of consultation;</w:t>
      </w:r>
    </w:p>
    <w:p w14:paraId="428C001B" w14:textId="77777777" w:rsidR="009B394B" w:rsidRPr="003C5FD3" w:rsidRDefault="009B394B" w:rsidP="00C443A0">
      <w:pPr>
        <w:pStyle w:val="subparaa"/>
        <w:numPr>
          <w:ilvl w:val="1"/>
          <w:numId w:val="17"/>
        </w:numPr>
        <w:spacing w:before="80" w:line="290" w:lineRule="atLeast"/>
      </w:pPr>
      <w:r>
        <w:t>exclude from the meaning of an OTC derivative those derivatives that fall within a generic definition of an exchange-traded derivative, with specific rules text to be proposed in the second round of consultation;</w:t>
      </w:r>
    </w:p>
    <w:p w14:paraId="0FECDB03" w14:textId="77777777" w:rsidR="009B394B" w:rsidRDefault="009B394B" w:rsidP="00C443A0">
      <w:pPr>
        <w:pStyle w:val="subparaa"/>
        <w:numPr>
          <w:ilvl w:val="1"/>
          <w:numId w:val="17"/>
        </w:numPr>
        <w:spacing w:before="80" w:line="290" w:lineRule="atLeast"/>
      </w:pPr>
      <w:r>
        <w:t>amend the ASIC Rules to ensure that transactions with Australian retail clients are reportable transactions with specific rules text to be proposed in the second round of consultation; and</w:t>
      </w:r>
    </w:p>
    <w:p w14:paraId="0C9AB558" w14:textId="311C95A0" w:rsidR="009B394B" w:rsidRDefault="009B394B" w:rsidP="00C443A0">
      <w:pPr>
        <w:pStyle w:val="subparaa"/>
        <w:numPr>
          <w:ilvl w:val="1"/>
          <w:numId w:val="17"/>
        </w:numPr>
        <w:spacing w:before="80" w:line="290" w:lineRule="atLeast"/>
      </w:pPr>
      <w:r>
        <w:t>to clarify the scope of reporting for foreign subsidiaries of Australian entities with specific rules text to be proposed in the second round of consultation</w:t>
      </w:r>
      <w:r w:rsidR="00FF6CE4">
        <w:t>.</w:t>
      </w:r>
    </w:p>
    <w:p w14:paraId="262BADBD" w14:textId="77777777" w:rsidR="009B394B" w:rsidRDefault="009B394B" w:rsidP="00C443A0">
      <w:pPr>
        <w:pStyle w:val="BodyText"/>
        <w:numPr>
          <w:ilvl w:val="0"/>
          <w:numId w:val="17"/>
        </w:numPr>
        <w:spacing w:before="180" w:line="290" w:lineRule="atLeast"/>
      </w:pPr>
      <w:bookmarkStart w:id="282" w:name="_ASICRef482"/>
      <w:r>
        <w:rPr>
          <w:rFonts w:eastAsiaTheme="minorHAnsi"/>
        </w:rPr>
        <w:t xml:space="preserve">In CP 334, we also noted that </w:t>
      </w:r>
      <w:r>
        <w:t xml:space="preserve">less than 1% of non-CFD transactions are reported with a foreign financial services provider as the non-reporting counterparty but the foreign financial services provider never appears as a reporting counterparty in the trade reports from </w:t>
      </w:r>
      <w:r>
        <w:rPr>
          <w:rFonts w:eastAsiaTheme="minorHAnsi"/>
        </w:rPr>
        <w:t>trade repositories</w:t>
      </w:r>
      <w:r>
        <w:t xml:space="preserve"> from whom ASIC currently receives trade reports.</w:t>
      </w:r>
      <w:bookmarkEnd w:id="282"/>
    </w:p>
    <w:p w14:paraId="74B4EB0C" w14:textId="2374E02F" w:rsidR="009B394B" w:rsidRPr="003C5FD3" w:rsidRDefault="009B394B" w:rsidP="00C443A0">
      <w:pPr>
        <w:pStyle w:val="BodyText"/>
        <w:numPr>
          <w:ilvl w:val="0"/>
          <w:numId w:val="17"/>
        </w:numPr>
        <w:spacing w:before="180" w:line="290" w:lineRule="atLeast"/>
        <w:rPr>
          <w:spacing w:val="-2"/>
        </w:rPr>
      </w:pPr>
      <w:r w:rsidRPr="003C5FD3">
        <w:rPr>
          <w:rFonts w:eastAsiaTheme="minorHAnsi"/>
          <w:spacing w:val="-2"/>
        </w:rPr>
        <w:t xml:space="preserve">We said that </w:t>
      </w:r>
      <w:bookmarkEnd w:id="280"/>
      <w:r w:rsidRPr="003C5FD3">
        <w:rPr>
          <w:rFonts w:eastAsiaTheme="minorHAnsi"/>
          <w:spacing w:val="-2"/>
        </w:rPr>
        <w:t xml:space="preserve">we </w:t>
      </w:r>
      <w:r w:rsidRPr="003C5FD3">
        <w:rPr>
          <w:spacing w:val="-2"/>
        </w:rPr>
        <w:t xml:space="preserve">considered there are potential explanations for this related to </w:t>
      </w:r>
      <w:r w:rsidRPr="003C5FD3">
        <w:rPr>
          <w:rFonts w:eastAsiaTheme="minorHAnsi"/>
          <w:spacing w:val="-2"/>
        </w:rPr>
        <w:t>the foreign financial services provider’s interpretation of reporting entity and reportable transaction as may apply to its transactions or that it is reporting to a trade repository under the alternative reporting provisions of the ASIC Rules.</w:t>
      </w:r>
    </w:p>
    <w:p w14:paraId="5BAA1ED3" w14:textId="55C9328E" w:rsidR="009B394B" w:rsidRPr="00761BEC" w:rsidRDefault="009B394B" w:rsidP="00C443A0">
      <w:pPr>
        <w:pStyle w:val="BodyText"/>
        <w:numPr>
          <w:ilvl w:val="0"/>
          <w:numId w:val="17"/>
        </w:numPr>
        <w:spacing w:before="180" w:line="290" w:lineRule="atLeast"/>
      </w:pPr>
      <w:bookmarkStart w:id="283" w:name="_ASICRef206"/>
      <w:r>
        <w:t>We also said that g</w:t>
      </w:r>
      <w:r w:rsidRPr="00761BEC">
        <w:rPr>
          <w:spacing w:val="-2"/>
        </w:rPr>
        <w:t>iven the use of alternative reporting may be a significant factor in explaining any apparent non-reporting by foreign entities of transactions with Australian wholesale clients, we ha</w:t>
      </w:r>
      <w:r>
        <w:rPr>
          <w:spacing w:val="-2"/>
        </w:rPr>
        <w:t>d</w:t>
      </w:r>
      <w:r w:rsidRPr="00761BEC">
        <w:rPr>
          <w:spacing w:val="-2"/>
        </w:rPr>
        <w:t xml:space="preserve"> not </w:t>
      </w:r>
      <w:r>
        <w:rPr>
          <w:spacing w:val="-2"/>
        </w:rPr>
        <w:t xml:space="preserve">yet </w:t>
      </w:r>
      <w:r w:rsidRPr="00761BEC">
        <w:rPr>
          <w:spacing w:val="-2"/>
        </w:rPr>
        <w:t xml:space="preserve">determined that there is a reporting problem that needs to be addressed. </w:t>
      </w:r>
      <w:r>
        <w:rPr>
          <w:spacing w:val="-2"/>
        </w:rPr>
        <w:t>O</w:t>
      </w:r>
      <w:r w:rsidRPr="00761BEC">
        <w:rPr>
          <w:spacing w:val="-2"/>
        </w:rPr>
        <w:t>ur approach to reviewing alternative reporting w</w:t>
      </w:r>
      <w:r>
        <w:rPr>
          <w:spacing w:val="-2"/>
        </w:rPr>
        <w:t xml:space="preserve">ould </w:t>
      </w:r>
      <w:r w:rsidRPr="00761BEC">
        <w:rPr>
          <w:spacing w:val="-2"/>
        </w:rPr>
        <w:t>inform our further analysis</w:t>
      </w:r>
      <w:r>
        <w:rPr>
          <w:spacing w:val="-2"/>
        </w:rPr>
        <w:t xml:space="preserve"> and we did not make any specific proposal on this matter in CP 334.</w:t>
      </w:r>
      <w:bookmarkEnd w:id="283"/>
    </w:p>
    <w:p w14:paraId="286D5B0C" w14:textId="77777777" w:rsidR="009B394B" w:rsidRDefault="009B394B" w:rsidP="009B394B">
      <w:pPr>
        <w:pStyle w:val="Heading2"/>
      </w:pPr>
      <w:bookmarkStart w:id="284" w:name="_Toc95402018"/>
      <w:bookmarkStart w:id="285" w:name="_Toc103174649"/>
      <w:r>
        <w:t>Feedback on our proposed approach in CP 334</w:t>
      </w:r>
      <w:bookmarkEnd w:id="284"/>
      <w:bookmarkEnd w:id="285"/>
    </w:p>
    <w:p w14:paraId="064A9F66" w14:textId="25B9805B" w:rsidR="009B394B" w:rsidRDefault="009B394B" w:rsidP="00C443A0">
      <w:pPr>
        <w:pStyle w:val="BodyText"/>
        <w:numPr>
          <w:ilvl w:val="0"/>
          <w:numId w:val="17"/>
        </w:numPr>
        <w:spacing w:before="180" w:line="290" w:lineRule="atLeast"/>
      </w:pPr>
      <w:r>
        <w:t xml:space="preserve">All respondents supported our proposal to exclude from the meaning of a reportable transaction a transaction for spot settlement. Respondents who expressed a preference said they </w:t>
      </w:r>
      <w:r w:rsidR="00B742C0">
        <w:t xml:space="preserve">would </w:t>
      </w:r>
      <w:r w:rsidR="00B21D48">
        <w:t xml:space="preserve">prefer </w:t>
      </w:r>
      <w:r>
        <w:t xml:space="preserve">our rules text </w:t>
      </w:r>
      <w:r w:rsidR="00B742C0">
        <w:t xml:space="preserve">to be based </w:t>
      </w:r>
      <w:r>
        <w:t>on the definition used in the Singaporean reporting rules.</w:t>
      </w:r>
    </w:p>
    <w:p w14:paraId="77D1BCD4" w14:textId="587DFACC" w:rsidR="009B394B" w:rsidRDefault="009B394B" w:rsidP="00C443A0">
      <w:pPr>
        <w:pStyle w:val="BodyText"/>
        <w:numPr>
          <w:ilvl w:val="0"/>
          <w:numId w:val="17"/>
        </w:numPr>
        <w:spacing w:before="180" w:line="290" w:lineRule="atLeast"/>
      </w:pPr>
      <w:r>
        <w:t xml:space="preserve">Some respondents pointed to European definitions in relation to foreign exchange contracts, but the definition of a foreign exchange contract that is not a derivative is already given in </w:t>
      </w:r>
      <w:r w:rsidRPr="00927736">
        <w:t>reg 7.1.04(1) of the Corporations Regulations</w:t>
      </w:r>
      <w:r>
        <w:t>.</w:t>
      </w:r>
    </w:p>
    <w:p w14:paraId="44461ABC" w14:textId="3BEF1363" w:rsidR="009B394B" w:rsidRDefault="009B394B" w:rsidP="00C443A0">
      <w:pPr>
        <w:pStyle w:val="BodyText"/>
        <w:numPr>
          <w:ilvl w:val="0"/>
          <w:numId w:val="17"/>
        </w:numPr>
        <w:spacing w:line="290" w:lineRule="atLeast"/>
      </w:pPr>
      <w:r>
        <w:t xml:space="preserve">Respondents also </w:t>
      </w:r>
      <w:r w:rsidR="00B21D48">
        <w:t xml:space="preserve">supported </w:t>
      </w:r>
      <w:r>
        <w:t>incorporating the existing exemption for FX securities conversion transactions in the ASIC Rules. One respondent suggested removing the ‘settling not more than seven business days forward’ condition and providing only that the kind of transaction is ‘</w:t>
      </w:r>
      <w:r w:rsidRPr="00E57A03">
        <w:t>solely to facilitate the settlement of a foreign currency denominated security</w:t>
      </w:r>
      <w:r>
        <w:t xml:space="preserve"> transaction’.</w:t>
      </w:r>
    </w:p>
    <w:p w14:paraId="507C72BE" w14:textId="4CBE165F" w:rsidR="009B394B" w:rsidRDefault="009B394B" w:rsidP="009B394B">
      <w:pPr>
        <w:pStyle w:val="Note"/>
      </w:pPr>
      <w:r>
        <w:t>Note: See section 13 ‘Exemption 9 (</w:t>
      </w:r>
      <w:bookmarkStart w:id="286" w:name="_Toc53392977"/>
      <w:r w:rsidRPr="00A829C7">
        <w:t>FX Securities Conversion Transactions</w:t>
      </w:r>
      <w:bookmarkEnd w:id="286"/>
      <w:r w:rsidRPr="00A829C7">
        <w:t>)</w:t>
      </w:r>
      <w:r>
        <w:t>’</w:t>
      </w:r>
      <w:r w:rsidRPr="00A829C7">
        <w:t xml:space="preserve"> </w:t>
      </w:r>
      <w:r>
        <w:t xml:space="preserve">of </w:t>
      </w:r>
      <w:hyperlink r:id="rId155" w:history="1">
        <w:r w:rsidRPr="00F473E5">
          <w:rPr>
            <w:rStyle w:val="Hyperlink"/>
            <w:i/>
            <w:iCs/>
          </w:rPr>
          <w:t>ASIC Corporations (Derivative Transaction Reporting Exemption) Instrument 2015/844</w:t>
        </w:r>
      </w:hyperlink>
      <w:r>
        <w:t>.</w:t>
      </w:r>
    </w:p>
    <w:p w14:paraId="514AB1B3" w14:textId="5DC7A27E" w:rsidR="009B394B" w:rsidRPr="007F7E67" w:rsidRDefault="009B394B" w:rsidP="00C443A0">
      <w:pPr>
        <w:pStyle w:val="BodyText"/>
        <w:numPr>
          <w:ilvl w:val="0"/>
          <w:numId w:val="17"/>
        </w:numPr>
        <w:rPr>
          <w:rFonts w:eastAsiaTheme="minorHAnsi"/>
        </w:rPr>
      </w:pPr>
      <w:bookmarkStart w:id="287" w:name="_ASICRef254"/>
      <w:r>
        <w:t>All respondents supported in</w:t>
      </w:r>
      <w:r w:rsidR="00B21D48">
        <w:t xml:space="preserve"> </w:t>
      </w:r>
      <w:r>
        <w:t>principle our proposal to exclude from the meaning of an OTC derivative those derivatives that fall within a generic definition of an exchange-traded derivative.</w:t>
      </w:r>
      <w:bookmarkEnd w:id="287"/>
    </w:p>
    <w:p w14:paraId="398FEF3A" w14:textId="0F2EFD42" w:rsidR="009B394B" w:rsidRDefault="00B21D48" w:rsidP="00C443A0">
      <w:pPr>
        <w:pStyle w:val="BodyText"/>
        <w:numPr>
          <w:ilvl w:val="0"/>
          <w:numId w:val="17"/>
        </w:numPr>
        <w:spacing w:line="290" w:lineRule="atLeast"/>
      </w:pPr>
      <w:r>
        <w:t xml:space="preserve">Respondents </w:t>
      </w:r>
      <w:r w:rsidR="009B394B">
        <w:t xml:space="preserve">did not object to ‘avoidance of doubt’ provisions that exclude specified classes of financial markets in the manner of the </w:t>
      </w:r>
      <w:r w:rsidR="005A5E1A">
        <w:t>c</w:t>
      </w:r>
      <w:r w:rsidR="009B394B">
        <w:t xml:space="preserve">urrent ASIC Rules. </w:t>
      </w:r>
      <w:r>
        <w:t>Generally</w:t>
      </w:r>
      <w:r w:rsidR="00670778">
        <w:t xml:space="preserve">, </w:t>
      </w:r>
      <w:r w:rsidR="003C5FD3">
        <w:t>respondents</w:t>
      </w:r>
      <w:r w:rsidR="00670778">
        <w:t xml:space="preserve"> supported</w:t>
      </w:r>
      <w:r w:rsidR="009B394B">
        <w:t xml:space="preserve"> a </w:t>
      </w:r>
      <w:r w:rsidR="009B394B" w:rsidRPr="00E22DAA">
        <w:t>form of ‘disallowance’ determination that empowers ASIC to determine that some or all of the derivatives of a financial market are not exchange-traded derivatives,</w:t>
      </w:r>
      <w:r w:rsidR="009B394B">
        <w:t xml:space="preserve"> although concern was expressed about the processes of such a notification and whether it would provide a period of time for an entity to commence reporting those derivatives.</w:t>
      </w:r>
    </w:p>
    <w:p w14:paraId="61D95DAF" w14:textId="4767ECE4" w:rsidR="009B394B" w:rsidRDefault="009B394B" w:rsidP="00C443A0">
      <w:pPr>
        <w:pStyle w:val="BodyText"/>
        <w:numPr>
          <w:ilvl w:val="0"/>
          <w:numId w:val="17"/>
        </w:numPr>
        <w:spacing w:line="290" w:lineRule="atLeast"/>
      </w:pPr>
      <w:r>
        <w:t xml:space="preserve">However, </w:t>
      </w:r>
      <w:r w:rsidR="00670778">
        <w:t>respondents objected</w:t>
      </w:r>
      <w:r>
        <w:t xml:space="preserve"> to a requirement to notify ASIC of those financial markets that a reporting entity considers trade derivatives that meet the definition of exchange-trade derivatives, as is the current case in the exemption. Respondents believed that drafting a generic definition of an exchange-traded derivative should minimise uncertainty, obviating the need for a notification requirement.</w:t>
      </w:r>
    </w:p>
    <w:p w14:paraId="6AEBE5B4" w14:textId="740B58D8" w:rsidR="009B394B" w:rsidRDefault="009B394B" w:rsidP="00C443A0">
      <w:pPr>
        <w:pStyle w:val="BodyText"/>
        <w:numPr>
          <w:ilvl w:val="0"/>
          <w:numId w:val="17"/>
        </w:numPr>
        <w:spacing w:line="290" w:lineRule="atLeast"/>
      </w:pPr>
      <w:r>
        <w:t>One respondent suggested that each of the exclusions of transactions for s</w:t>
      </w:r>
      <w:r w:rsidRPr="00927736">
        <w:t xml:space="preserve">pot </w:t>
      </w:r>
      <w:r>
        <w:t xml:space="preserve">settlement </w:t>
      </w:r>
      <w:r w:rsidRPr="00927736">
        <w:t>contract, FX securities conversion transaction</w:t>
      </w:r>
      <w:r w:rsidR="00085F93">
        <w:t>s</w:t>
      </w:r>
      <w:r w:rsidRPr="00927736">
        <w:t xml:space="preserve"> and </w:t>
      </w:r>
      <w:r>
        <w:t xml:space="preserve">exchange-traded derivatives should be provided in the </w:t>
      </w:r>
      <w:r w:rsidRPr="00927736">
        <w:t>definition of ‘OTC Derivative’ rather than ‘Reportable Transact</w:t>
      </w:r>
      <w:r>
        <w:t>i</w:t>
      </w:r>
      <w:r w:rsidRPr="00927736">
        <w:t>on</w:t>
      </w:r>
      <w:r w:rsidR="00085F93">
        <w:t>’</w:t>
      </w:r>
      <w:r>
        <w:t>.</w:t>
      </w:r>
    </w:p>
    <w:p w14:paraId="76D81024" w14:textId="336D1567" w:rsidR="009B394B" w:rsidRDefault="009B394B" w:rsidP="00C443A0">
      <w:pPr>
        <w:pStyle w:val="BodyText"/>
        <w:numPr>
          <w:ilvl w:val="0"/>
          <w:numId w:val="17"/>
        </w:numPr>
        <w:spacing w:line="290" w:lineRule="atLeast"/>
      </w:pPr>
      <w:bookmarkStart w:id="288" w:name="_ASICRef340"/>
      <w:r>
        <w:t xml:space="preserve">Respondents also noted </w:t>
      </w:r>
      <w:r>
        <w:rPr>
          <w:spacing w:val="-2"/>
        </w:rPr>
        <w:t xml:space="preserve">in feedback, or in subsequent discussions, that their practical interpretation of an in-scope OTC </w:t>
      </w:r>
      <w:r w:rsidR="00670778">
        <w:rPr>
          <w:spacing w:val="-2"/>
        </w:rPr>
        <w:t>d</w:t>
      </w:r>
      <w:r>
        <w:rPr>
          <w:spacing w:val="-2"/>
        </w:rPr>
        <w:t>erivative was also informed by the list of derivative asset classes and products to which the</w:t>
      </w:r>
      <w:r w:rsidR="00C52C22">
        <w:rPr>
          <w:spacing w:val="-2"/>
        </w:rPr>
        <w:t xml:space="preserve"> current ASIC Rules</w:t>
      </w:r>
      <w:r>
        <w:rPr>
          <w:spacing w:val="-2"/>
        </w:rPr>
        <w:t xml:space="preserve"> apply in Table 2 of the Appendix to </w:t>
      </w:r>
      <w:hyperlink r:id="rId156" w:history="1">
        <w:r w:rsidRPr="006A4528">
          <w:rPr>
            <w:rStyle w:val="Hyperlink"/>
            <w:spacing w:val="-2"/>
          </w:rPr>
          <w:t>RG 251</w:t>
        </w:r>
      </w:hyperlink>
      <w:r>
        <w:rPr>
          <w:spacing w:val="-2"/>
        </w:rPr>
        <w:t>, and by the lists of derivatives covered by the ISDA Taxonomy.</w:t>
      </w:r>
      <w:bookmarkEnd w:id="288"/>
    </w:p>
    <w:p w14:paraId="59F028B1" w14:textId="77777777" w:rsidR="009B394B" w:rsidRDefault="009B394B" w:rsidP="00C443A0">
      <w:pPr>
        <w:pStyle w:val="BodyText"/>
        <w:numPr>
          <w:ilvl w:val="0"/>
          <w:numId w:val="17"/>
        </w:numPr>
        <w:spacing w:line="290" w:lineRule="atLeast"/>
      </w:pPr>
      <w:r>
        <w:t xml:space="preserve">In relation to the proposal to </w:t>
      </w:r>
      <w:r w:rsidRPr="00E22DAA">
        <w:t>ensure that transactions with Australian retail clients are reportable transactions</w:t>
      </w:r>
      <w:r>
        <w:t>, respondents without any material derivative transactions with Australian retail clients or who would already be reporting such transactions, either did not comment or were supportive.</w:t>
      </w:r>
    </w:p>
    <w:p w14:paraId="6D55F2A1" w14:textId="77777777" w:rsidR="009B394B" w:rsidRDefault="009B394B" w:rsidP="00C443A0">
      <w:pPr>
        <w:pStyle w:val="BodyText"/>
        <w:numPr>
          <w:ilvl w:val="0"/>
          <w:numId w:val="17"/>
        </w:numPr>
      </w:pPr>
      <w:r>
        <w:t>Some foreign respondents asked for clarification on how the proposal would apply to transactions entered into directly between foreign entities without any Australian presence and Australian retail clients. There was concern about the apparent extra-territorial nature of the proposal.</w:t>
      </w:r>
    </w:p>
    <w:p w14:paraId="1549ECA6" w14:textId="5B70167D" w:rsidR="009B394B" w:rsidRPr="00896ED4" w:rsidRDefault="009B394B" w:rsidP="00C443A0">
      <w:pPr>
        <w:pStyle w:val="BodyText"/>
        <w:numPr>
          <w:ilvl w:val="0"/>
          <w:numId w:val="17"/>
        </w:numPr>
        <w:spacing w:before="180" w:line="290" w:lineRule="atLeast"/>
      </w:pPr>
      <w:bookmarkStart w:id="289" w:name="_ASICRef864"/>
      <w:r>
        <w:t xml:space="preserve">Australian respondents with foreign subsidiaries welcomed our proposal to clarify the scope of reporting for those subsidiaries. More generally, however, concern was expressed about our discussion of reviewing the </w:t>
      </w:r>
      <w:r w:rsidRPr="00A829C7">
        <w:rPr>
          <w:spacing w:val="-2"/>
        </w:rPr>
        <w:t>apparent non-reporting by foreign entities of transactions with Australian wholesale clients</w:t>
      </w:r>
      <w:r>
        <w:rPr>
          <w:spacing w:val="-2"/>
        </w:rPr>
        <w:t xml:space="preserve"> if that </w:t>
      </w:r>
      <w:r w:rsidR="00085F93">
        <w:rPr>
          <w:spacing w:val="-2"/>
        </w:rPr>
        <w:t>led</w:t>
      </w:r>
      <w:r>
        <w:rPr>
          <w:spacing w:val="-2"/>
        </w:rPr>
        <w:t xml:space="preserve"> to reporting requirements that are inconsistent with the treatment of ‘nexus’ transactions under the </w:t>
      </w:r>
      <w:r w:rsidR="005A5E1A">
        <w:rPr>
          <w:spacing w:val="-2"/>
        </w:rPr>
        <w:t>c</w:t>
      </w:r>
      <w:r>
        <w:rPr>
          <w:spacing w:val="-2"/>
        </w:rPr>
        <w:t>urrent ASIC Rules.</w:t>
      </w:r>
      <w:bookmarkEnd w:id="289"/>
    </w:p>
    <w:p w14:paraId="23CED88C" w14:textId="77777777" w:rsidR="002A6CED" w:rsidRDefault="002A6CED" w:rsidP="000A4612">
      <w:pPr>
        <w:pStyle w:val="Heading3"/>
      </w:pPr>
      <w:r>
        <w:t>Our response</w:t>
      </w:r>
    </w:p>
    <w:p w14:paraId="217B8975" w14:textId="1FC81DFA" w:rsidR="00120922" w:rsidRDefault="006A4528" w:rsidP="00C443A0">
      <w:pPr>
        <w:pStyle w:val="BodyText"/>
        <w:numPr>
          <w:ilvl w:val="0"/>
          <w:numId w:val="17"/>
        </w:numPr>
        <w:spacing w:before="180" w:line="290" w:lineRule="atLeast"/>
      </w:pPr>
      <w:r>
        <w:t xml:space="preserve">After considering </w:t>
      </w:r>
      <w:r w:rsidR="002A6CED">
        <w:t>the feedback to CP 334, we have decided to proceed with our proposals to:</w:t>
      </w:r>
    </w:p>
    <w:p w14:paraId="4B463763" w14:textId="77777777" w:rsidR="00120922" w:rsidRDefault="00F83FB8" w:rsidP="00C443A0">
      <w:pPr>
        <w:pStyle w:val="subparaa"/>
        <w:numPr>
          <w:ilvl w:val="1"/>
          <w:numId w:val="17"/>
        </w:numPr>
        <w:spacing w:before="80" w:line="290" w:lineRule="atLeast"/>
      </w:pPr>
      <w:r>
        <w:t>exclude from the reporting scope, transactions for spot settlement in addition to the already excluded FX spot transactions;</w:t>
      </w:r>
    </w:p>
    <w:p w14:paraId="729CE270" w14:textId="77777777" w:rsidR="00120922" w:rsidRDefault="0051783D" w:rsidP="00C443A0">
      <w:pPr>
        <w:pStyle w:val="subparaa"/>
        <w:numPr>
          <w:ilvl w:val="1"/>
          <w:numId w:val="17"/>
        </w:numPr>
        <w:spacing w:before="80" w:line="290" w:lineRule="atLeast"/>
      </w:pPr>
      <w:r>
        <w:t>i</w:t>
      </w:r>
      <w:r w:rsidRPr="002A6CED">
        <w:t>ncorporate the exemption for FX securities conversion transactions</w:t>
      </w:r>
      <w:r>
        <w:t xml:space="preserve"> in the rules;</w:t>
      </w:r>
    </w:p>
    <w:p w14:paraId="5FB589B1" w14:textId="77777777" w:rsidR="00120922" w:rsidRDefault="002A6CED" w:rsidP="00C443A0">
      <w:pPr>
        <w:pStyle w:val="subparaa"/>
        <w:numPr>
          <w:ilvl w:val="1"/>
          <w:numId w:val="17"/>
        </w:numPr>
        <w:spacing w:before="80" w:line="290" w:lineRule="atLeast"/>
      </w:pPr>
      <w:r>
        <w:t>e</w:t>
      </w:r>
      <w:r w:rsidRPr="002A6CED">
        <w:t>nsure that transactions with Australian retail clients are required to be reported</w:t>
      </w:r>
      <w:r>
        <w:t>; and</w:t>
      </w:r>
    </w:p>
    <w:p w14:paraId="7900944D" w14:textId="77777777" w:rsidR="00120922" w:rsidRDefault="002A6CED" w:rsidP="00C443A0">
      <w:pPr>
        <w:pStyle w:val="subparaa"/>
        <w:numPr>
          <w:ilvl w:val="1"/>
          <w:numId w:val="17"/>
        </w:numPr>
        <w:spacing w:before="80" w:line="290" w:lineRule="atLeast"/>
      </w:pPr>
      <w:r>
        <w:t>c</w:t>
      </w:r>
      <w:r w:rsidRPr="002A6CED">
        <w:t xml:space="preserve">larify that foreign subsidiaries of Australian entities are not </w:t>
      </w:r>
      <w:r>
        <w:t xml:space="preserve">reporting </w:t>
      </w:r>
      <w:r w:rsidRPr="002A6CED">
        <w:t>entities</w:t>
      </w:r>
      <w:r>
        <w:t>.</w:t>
      </w:r>
    </w:p>
    <w:p w14:paraId="198AABEF" w14:textId="1A09CB40" w:rsidR="00120922" w:rsidRDefault="0051783D" w:rsidP="00C443A0">
      <w:pPr>
        <w:pStyle w:val="BodyText"/>
        <w:numPr>
          <w:ilvl w:val="0"/>
          <w:numId w:val="17"/>
        </w:numPr>
        <w:spacing w:before="180" w:line="290" w:lineRule="atLeast"/>
      </w:pPr>
      <w:r>
        <w:t xml:space="preserve">New </w:t>
      </w:r>
      <w:r w:rsidR="00E950A1">
        <w:t xml:space="preserve">Rule </w:t>
      </w:r>
      <w:r w:rsidRPr="002A6CED">
        <w:t>1.2.4(7)</w:t>
      </w:r>
      <w:r>
        <w:t xml:space="preserve"> in the draft remade ASIC Rules excludes from </w:t>
      </w:r>
      <w:r w:rsidR="00C04FC2">
        <w:t xml:space="preserve">the </w:t>
      </w:r>
      <w:r>
        <w:t xml:space="preserve">meaning of an OTC </w:t>
      </w:r>
      <w:r w:rsidR="00E950A1">
        <w:t xml:space="preserve">derivative </w:t>
      </w:r>
      <w:r w:rsidR="00C52C22">
        <w:t xml:space="preserve">a transaction </w:t>
      </w:r>
      <w:r>
        <w:t>for spot settlement</w:t>
      </w:r>
      <w:r w:rsidR="00C52C22">
        <w:t>.</w:t>
      </w:r>
      <w:r>
        <w:t xml:space="preserve"> </w:t>
      </w:r>
      <w:r w:rsidR="00C52C22">
        <w:t>The new rule is</w:t>
      </w:r>
      <w:r>
        <w:t xml:space="preserve"> based on the definition used in the Singaporean reporting rules, as was favoured in the feedback to CP 334.</w:t>
      </w:r>
    </w:p>
    <w:p w14:paraId="3C619023" w14:textId="7ADAD08E" w:rsidR="00120922" w:rsidRDefault="00617067" w:rsidP="00C443A0">
      <w:pPr>
        <w:pStyle w:val="subparaa"/>
        <w:numPr>
          <w:ilvl w:val="1"/>
          <w:numId w:val="17"/>
        </w:numPr>
        <w:spacing w:before="80" w:line="290" w:lineRule="atLeast"/>
      </w:pPr>
      <w:r>
        <w:t xml:space="preserve">Paragraph </w:t>
      </w:r>
      <w:r w:rsidR="0051783D">
        <w:t xml:space="preserve">(a) of draft </w:t>
      </w:r>
      <w:r>
        <w:t>R</w:t>
      </w:r>
      <w:r w:rsidR="0051783D">
        <w:t>ule 1.2.</w:t>
      </w:r>
      <w:r w:rsidR="00F83FB8">
        <w:t>4</w:t>
      </w:r>
      <w:r w:rsidR="0051783D">
        <w:t xml:space="preserve">(7) closely follows the text of the Singaporean reporting rules by referring to an intention to take delivery within the market convention period for delivery of </w:t>
      </w:r>
      <w:r w:rsidR="003E6980">
        <w:t xml:space="preserve">a </w:t>
      </w:r>
      <w:r w:rsidR="0051783D">
        <w:t>thing</w:t>
      </w:r>
      <w:r>
        <w:t>. R</w:t>
      </w:r>
      <w:r w:rsidR="0051783D">
        <w:t xml:space="preserve">eporting entities will need to determine what market convention is applicable to a transaction but we intend to provide guidance in an update to </w:t>
      </w:r>
      <w:hyperlink r:id="rId157" w:history="1">
        <w:r w:rsidR="006316B2" w:rsidRPr="006316B2">
          <w:rPr>
            <w:rStyle w:val="Hyperlink"/>
          </w:rPr>
          <w:t>RG 251</w:t>
        </w:r>
      </w:hyperlink>
      <w:r w:rsidR="006316B2">
        <w:t xml:space="preserve"> that</w:t>
      </w:r>
      <w:r w:rsidR="0051783D">
        <w:t xml:space="preserve"> will take a pragmatic stance in our own evaluations of market conventions that may be applicable to a transaction</w:t>
      </w:r>
      <w:r>
        <w:t>.</w:t>
      </w:r>
    </w:p>
    <w:p w14:paraId="64D40D26" w14:textId="58A501A0" w:rsidR="00120922" w:rsidRDefault="00617067" w:rsidP="00C443A0">
      <w:pPr>
        <w:pStyle w:val="subparaa"/>
        <w:numPr>
          <w:ilvl w:val="1"/>
          <w:numId w:val="17"/>
        </w:numPr>
        <w:spacing w:before="80" w:line="290" w:lineRule="atLeast"/>
      </w:pPr>
      <w:r>
        <w:t>P</w:t>
      </w:r>
      <w:r w:rsidR="0051783D">
        <w:t xml:space="preserve">aragraph (b) of draft </w:t>
      </w:r>
      <w:r>
        <w:t>R</w:t>
      </w:r>
      <w:r w:rsidR="0051783D">
        <w:t>ule 1.2.</w:t>
      </w:r>
      <w:r w:rsidR="00F83FB8">
        <w:t>4</w:t>
      </w:r>
      <w:r w:rsidR="0051783D">
        <w:t xml:space="preserve">(7) </w:t>
      </w:r>
      <w:r w:rsidR="00E015AA">
        <w:t>is based on s761D(3)(a)(ii)</w:t>
      </w:r>
      <w:r w:rsidR="0051783D">
        <w:t xml:space="preserve"> of the </w:t>
      </w:r>
      <w:r w:rsidR="003E6980">
        <w:t xml:space="preserve">Corporations </w:t>
      </w:r>
      <w:r w:rsidR="0051783D">
        <w:t>Act that exclude</w:t>
      </w:r>
      <w:r w:rsidR="00B23492">
        <w:t>s</w:t>
      </w:r>
      <w:r w:rsidR="0051783D">
        <w:t xml:space="preserve"> from the meaning of a derivative arrangements that provide for cash</w:t>
      </w:r>
      <w:r w:rsidR="003E6980">
        <w:t xml:space="preserve"> </w:t>
      </w:r>
      <w:r w:rsidR="0051783D">
        <w:t>settlement or set-off rather than delivery</w:t>
      </w:r>
      <w:r w:rsidR="003E6980">
        <w:t>.</w:t>
      </w:r>
    </w:p>
    <w:p w14:paraId="13CEBAB8" w14:textId="0E4A5A02" w:rsidR="002A6CED" w:rsidRPr="002A6CED" w:rsidRDefault="003E6980" w:rsidP="00C443A0">
      <w:pPr>
        <w:pStyle w:val="subparaa"/>
        <w:numPr>
          <w:ilvl w:val="1"/>
          <w:numId w:val="17"/>
        </w:numPr>
        <w:spacing w:before="80" w:line="290" w:lineRule="atLeast"/>
      </w:pPr>
      <w:r>
        <w:t>F</w:t>
      </w:r>
      <w:r w:rsidR="00F83FB8">
        <w:t>or completeness and avoidance of doubt, paragraph (c) of</w:t>
      </w:r>
      <w:r w:rsidR="0051783D">
        <w:t xml:space="preserve"> draft </w:t>
      </w:r>
      <w:r>
        <w:t>R</w:t>
      </w:r>
      <w:r w:rsidR="0051783D">
        <w:t>ule</w:t>
      </w:r>
      <w:r>
        <w:t> </w:t>
      </w:r>
      <w:r w:rsidR="0051783D">
        <w:t>1.2.</w:t>
      </w:r>
      <w:r w:rsidR="00F83FB8">
        <w:t>4</w:t>
      </w:r>
      <w:r w:rsidR="0051783D">
        <w:t xml:space="preserve">(7) excludes foreign exchange contracts </w:t>
      </w:r>
      <w:r w:rsidR="00F83FB8">
        <w:t>and options from the provisions of this subrule.</w:t>
      </w:r>
    </w:p>
    <w:p w14:paraId="00A991E4" w14:textId="377FC402" w:rsidR="00AA18F1" w:rsidRDefault="00F83FB8" w:rsidP="00C443A0">
      <w:pPr>
        <w:pStyle w:val="BodyText"/>
        <w:numPr>
          <w:ilvl w:val="0"/>
          <w:numId w:val="17"/>
        </w:numPr>
        <w:spacing w:line="290" w:lineRule="atLeast"/>
      </w:pPr>
      <w:r>
        <w:t xml:space="preserve">New </w:t>
      </w:r>
      <w:r w:rsidR="003E6980">
        <w:t xml:space="preserve">Rule </w:t>
      </w:r>
      <w:r>
        <w:t>1.2.4(6) brings the section 13 ‘Exemption 9 (</w:t>
      </w:r>
      <w:r w:rsidRPr="00A829C7">
        <w:t>FX Securities Conversion Transactions)</w:t>
      </w:r>
      <w:r>
        <w:t>’</w:t>
      </w:r>
      <w:r w:rsidRPr="00A829C7">
        <w:t xml:space="preserve"> </w:t>
      </w:r>
      <w:r>
        <w:t xml:space="preserve">of </w:t>
      </w:r>
      <w:hyperlink r:id="rId158" w:history="1">
        <w:r w:rsidRPr="00F473E5">
          <w:rPr>
            <w:rStyle w:val="Hyperlink"/>
            <w:i/>
            <w:iCs/>
          </w:rPr>
          <w:t>ASIC Corporations (Derivative Transaction Reporting Exemption) Instrument 2015/844</w:t>
        </w:r>
      </w:hyperlink>
      <w:r>
        <w:t xml:space="preserve"> (</w:t>
      </w:r>
      <w:r w:rsidRPr="000A4612">
        <w:t>Exemption 9</w:t>
      </w:r>
      <w:r w:rsidRPr="008418F5">
        <w:t>)</w:t>
      </w:r>
      <w:r>
        <w:t xml:space="preserve"> into the rules</w:t>
      </w:r>
      <w:r w:rsidR="00545067">
        <w:t>.</w:t>
      </w:r>
    </w:p>
    <w:p w14:paraId="46BD7643" w14:textId="0E7EFF3C" w:rsidR="00AA18F1" w:rsidRDefault="00D130B0" w:rsidP="00C443A0">
      <w:pPr>
        <w:pStyle w:val="subparaa"/>
        <w:numPr>
          <w:ilvl w:val="1"/>
          <w:numId w:val="17"/>
        </w:numPr>
        <w:spacing w:before="80" w:line="310" w:lineRule="atLeast"/>
      </w:pPr>
      <w:r>
        <w:t>P</w:t>
      </w:r>
      <w:r w:rsidR="00F83FB8">
        <w:t xml:space="preserve">aragraph (a) of draft </w:t>
      </w:r>
      <w:r>
        <w:t xml:space="preserve">Rule </w:t>
      </w:r>
      <w:r w:rsidR="00F83FB8">
        <w:t>1.2</w:t>
      </w:r>
      <w:r>
        <w:t>.</w:t>
      </w:r>
      <w:r w:rsidR="00F83FB8">
        <w:t>4.(</w:t>
      </w:r>
      <w:r>
        <w:t>6</w:t>
      </w:r>
      <w:r w:rsidR="00F83FB8">
        <w:t xml:space="preserve">) follows the ‘Exemption 9’ </w:t>
      </w:r>
      <w:r w:rsidR="00506CAA">
        <w:t xml:space="preserve">text </w:t>
      </w:r>
      <w:r w:rsidR="00F83FB8">
        <w:t xml:space="preserve">but narrows the </w:t>
      </w:r>
      <w:r w:rsidR="00506CAA">
        <w:t>meaning of the exempt transaction to that between th</w:t>
      </w:r>
      <w:r w:rsidR="00AA18F1">
        <w:t xml:space="preserve">e </w:t>
      </w:r>
      <w:r w:rsidR="00506CAA">
        <w:t>counterparties where one of those counterparties is purchasing or selling the foreign currency security</w:t>
      </w:r>
      <w:r>
        <w:t>. We</w:t>
      </w:r>
      <w:r w:rsidR="00506CAA">
        <w:t xml:space="preserve"> think this would:</w:t>
      </w:r>
    </w:p>
    <w:p w14:paraId="402C55A9" w14:textId="39126AC0" w:rsidR="00AA18F1" w:rsidRDefault="00506CAA" w:rsidP="00C443A0">
      <w:pPr>
        <w:pStyle w:val="subsubparai"/>
        <w:numPr>
          <w:ilvl w:val="2"/>
          <w:numId w:val="17"/>
        </w:numPr>
        <w:spacing w:before="80" w:line="310" w:lineRule="atLeast"/>
        <w:ind w:left="3118" w:hanging="425"/>
      </w:pPr>
      <w:r>
        <w:t xml:space="preserve">not include a transaction that ‘hedges’ or ‘covers’ the exempt transaction; </w:t>
      </w:r>
      <w:r w:rsidR="00D130B0">
        <w:t>and</w:t>
      </w:r>
    </w:p>
    <w:p w14:paraId="50915762" w14:textId="262E7D09" w:rsidR="00AA18F1" w:rsidRDefault="00506CAA" w:rsidP="00C443A0">
      <w:pPr>
        <w:pStyle w:val="subsubparai"/>
        <w:numPr>
          <w:ilvl w:val="2"/>
          <w:numId w:val="17"/>
        </w:numPr>
        <w:spacing w:before="80" w:line="310" w:lineRule="atLeast"/>
        <w:ind w:left="3118" w:hanging="425"/>
      </w:pPr>
      <w:r>
        <w:t xml:space="preserve">not </w:t>
      </w:r>
      <w:r w:rsidRPr="00506CAA">
        <w:t xml:space="preserve">disrupt the ordinary operation of the ASIC UTI rule and of UTI rules in other jurisdictions </w:t>
      </w:r>
      <w:r>
        <w:t xml:space="preserve">for </w:t>
      </w:r>
      <w:r w:rsidR="00D130B0">
        <w:t xml:space="preserve">the </w:t>
      </w:r>
      <w:r>
        <w:t>‘hedge’ or ‘covering’ transactions if one of the counterparties would otherwise consider the transaction as not reportable in their jurisdiction</w:t>
      </w:r>
      <w:r w:rsidR="00D130B0">
        <w:t>.</w:t>
      </w:r>
    </w:p>
    <w:p w14:paraId="56F162F4" w14:textId="1CE01FCC" w:rsidR="00506CAA" w:rsidRDefault="00D130B0" w:rsidP="00C443A0">
      <w:pPr>
        <w:pStyle w:val="subparaa"/>
        <w:numPr>
          <w:ilvl w:val="1"/>
          <w:numId w:val="17"/>
        </w:numPr>
        <w:spacing w:before="80" w:line="310" w:lineRule="atLeast"/>
      </w:pPr>
      <w:r>
        <w:t>P</w:t>
      </w:r>
      <w:r w:rsidR="00506CAA">
        <w:t xml:space="preserve">aragraph (b) </w:t>
      </w:r>
      <w:r w:rsidR="00545067">
        <w:t>of draft</w:t>
      </w:r>
      <w:r>
        <w:t xml:space="preserve"> R</w:t>
      </w:r>
      <w:r w:rsidR="00545067">
        <w:t>ule 1.2</w:t>
      </w:r>
      <w:r>
        <w:t>.</w:t>
      </w:r>
      <w:r w:rsidR="00545067">
        <w:t>4.(</w:t>
      </w:r>
      <w:r>
        <w:t>6</w:t>
      </w:r>
      <w:r w:rsidR="00545067">
        <w:t xml:space="preserve">) retains the </w:t>
      </w:r>
      <w:r>
        <w:t>seven</w:t>
      </w:r>
      <w:r w:rsidR="00545067">
        <w:t>-business</w:t>
      </w:r>
      <w:r>
        <w:t>-</w:t>
      </w:r>
      <w:r w:rsidR="00545067">
        <w:t xml:space="preserve">day temporal condition to continue to align with the jurisdictions </w:t>
      </w:r>
      <w:r>
        <w:t xml:space="preserve">that </w:t>
      </w:r>
      <w:r w:rsidR="00545067">
        <w:t>have this temporal condition</w:t>
      </w:r>
      <w:r w:rsidR="00506CAA">
        <w:t>.</w:t>
      </w:r>
    </w:p>
    <w:p w14:paraId="06E8AD17" w14:textId="77777777" w:rsidR="00AA18F1" w:rsidRDefault="00545067" w:rsidP="00C443A0">
      <w:pPr>
        <w:pStyle w:val="BodyText"/>
        <w:numPr>
          <w:ilvl w:val="0"/>
          <w:numId w:val="17"/>
        </w:numPr>
        <w:spacing w:before="180" w:line="310" w:lineRule="atLeast"/>
      </w:pPr>
      <w:r>
        <w:t xml:space="preserve">In the draft remade ASIC Rules, Table 1 </w:t>
      </w:r>
      <w:r w:rsidR="0087771F">
        <w:t>in</w:t>
      </w:r>
      <w:r>
        <w:t xml:space="preserve"> Rule 1.2.5 is amended to ensure that transactions with retail clients are reportable transactions.</w:t>
      </w:r>
    </w:p>
    <w:p w14:paraId="126B9389" w14:textId="34B6888A" w:rsidR="00AA18F1" w:rsidRDefault="00D130B0" w:rsidP="00C443A0">
      <w:pPr>
        <w:pStyle w:val="subparaa"/>
        <w:numPr>
          <w:ilvl w:val="1"/>
          <w:numId w:val="17"/>
        </w:numPr>
        <w:spacing w:before="80" w:line="310" w:lineRule="atLeast"/>
      </w:pPr>
      <w:r>
        <w:t>U</w:t>
      </w:r>
      <w:r w:rsidR="00545067">
        <w:t xml:space="preserve">nder item 1, transactions with retail clients by Australian reporting entities are already within the column 3 scope of OTC </w:t>
      </w:r>
      <w:r>
        <w:t xml:space="preserve">derivatives </w:t>
      </w:r>
      <w:r w:rsidR="00545067">
        <w:t>that are reportable transactions</w:t>
      </w:r>
      <w:r>
        <w:t>.</w:t>
      </w:r>
    </w:p>
    <w:p w14:paraId="1BE6B344" w14:textId="0E1A5585" w:rsidR="00545067" w:rsidRDefault="00D130B0" w:rsidP="00C443A0">
      <w:pPr>
        <w:pStyle w:val="subparaa"/>
        <w:numPr>
          <w:ilvl w:val="1"/>
          <w:numId w:val="17"/>
        </w:numPr>
        <w:spacing w:before="80" w:line="310" w:lineRule="atLeast"/>
      </w:pPr>
      <w:r>
        <w:t xml:space="preserve">Under </w:t>
      </w:r>
      <w:r w:rsidR="00545067">
        <w:t xml:space="preserve">item 2, applicable to foreign reporting entities, </w:t>
      </w:r>
      <w:r w:rsidR="00041ACD">
        <w:t xml:space="preserve">OTC </w:t>
      </w:r>
      <w:r>
        <w:t xml:space="preserve">derivatives </w:t>
      </w:r>
      <w:r w:rsidR="00041ACD">
        <w:t xml:space="preserve">that are ‘(a) entered into with a </w:t>
      </w:r>
      <w:r w:rsidR="00041ACD" w:rsidRPr="00AA18F1">
        <w:t>Retail Client located in this jurisdiction’ are reportable transactions, regardless of whether they are</w:t>
      </w:r>
      <w:r w:rsidR="00041ACD">
        <w:t xml:space="preserve"> booked to the profit or loss account of an Australian branch of the reporting entity or entered into in this jurisdiction.</w:t>
      </w:r>
    </w:p>
    <w:p w14:paraId="6F9D1050" w14:textId="271E0462" w:rsidR="00545067" w:rsidRDefault="00041ACD" w:rsidP="00C443A0">
      <w:pPr>
        <w:pStyle w:val="BodyText"/>
        <w:numPr>
          <w:ilvl w:val="0"/>
          <w:numId w:val="17"/>
        </w:numPr>
        <w:spacing w:before="180" w:line="310" w:lineRule="atLeast"/>
      </w:pPr>
      <w:r>
        <w:t>Note that</w:t>
      </w:r>
      <w:r w:rsidR="00545067">
        <w:t xml:space="preserve"> a foreign entity that carries on a financial services business in this jurisdiction providing financial services </w:t>
      </w:r>
      <w:r w:rsidR="0087771F">
        <w:t xml:space="preserve">in derivatives </w:t>
      </w:r>
      <w:r w:rsidR="00545067">
        <w:t>to retail clients is required to hold an AFS licence and would be a</w:t>
      </w:r>
      <w:r>
        <w:t xml:space="preserve"> </w:t>
      </w:r>
      <w:r w:rsidR="00545067">
        <w:t xml:space="preserve">reporting entity as an AFS </w:t>
      </w:r>
      <w:r w:rsidR="00825AF5">
        <w:t xml:space="preserve">licensee </w:t>
      </w:r>
      <w:r>
        <w:t xml:space="preserve">(and would not be an </w:t>
      </w:r>
      <w:r w:rsidR="00825AF5">
        <w:t>exempt foreign licensee</w:t>
      </w:r>
      <w:r w:rsidR="0087771F">
        <w:t>, who only provides financial services in derivatives to wholesale clients)</w:t>
      </w:r>
      <w:r w:rsidR="00545067">
        <w:t>.</w:t>
      </w:r>
      <w:r w:rsidR="0087771F">
        <w:t xml:space="preserve"> The amendment to Table 1 of Rule 1.2.5 would not impose reporting requirements on foreign entities who are not already AFS </w:t>
      </w:r>
      <w:r w:rsidR="00825AF5">
        <w:t>licensees</w:t>
      </w:r>
      <w:r w:rsidR="0087771F">
        <w:t>.</w:t>
      </w:r>
    </w:p>
    <w:p w14:paraId="1BEA4E4B" w14:textId="62B52F5B" w:rsidR="0087771F" w:rsidRDefault="0087771F" w:rsidP="00C443A0">
      <w:pPr>
        <w:pStyle w:val="BodyText"/>
        <w:numPr>
          <w:ilvl w:val="0"/>
          <w:numId w:val="17"/>
        </w:numPr>
        <w:spacing w:before="180" w:line="310" w:lineRule="atLeast"/>
      </w:pPr>
      <w:r>
        <w:t>In addition, Table 1 in Rule 1.2.5 would not refer to foreign subsidiaries of Australian entities as reporting entities</w:t>
      </w:r>
      <w:r w:rsidR="00825AF5">
        <w:t>,</w:t>
      </w:r>
      <w:r>
        <w:t xml:space="preserve"> as is the case in the current ASIC Rules</w:t>
      </w:r>
      <w:r w:rsidR="00825AF5" w:rsidRPr="00100641">
        <w:t>—</w:t>
      </w:r>
      <w:r>
        <w:t>such foreign subsidiaries would no longer be identified as reporting entities.</w:t>
      </w:r>
    </w:p>
    <w:p w14:paraId="78EC08C1" w14:textId="01BF0D51" w:rsidR="00C72FB7" w:rsidRDefault="00C72FB7" w:rsidP="00C443A0">
      <w:pPr>
        <w:pStyle w:val="BodyText"/>
        <w:numPr>
          <w:ilvl w:val="0"/>
          <w:numId w:val="17"/>
        </w:numPr>
        <w:spacing w:before="180" w:line="310" w:lineRule="atLeast"/>
      </w:pPr>
      <w:r>
        <w:t>We are also now making new proposals to:</w:t>
      </w:r>
    </w:p>
    <w:p w14:paraId="103E8B29" w14:textId="5BE6996A" w:rsidR="00C72FB7" w:rsidRDefault="00C72FB7" w:rsidP="00C443A0">
      <w:pPr>
        <w:pStyle w:val="subparaa"/>
        <w:numPr>
          <w:ilvl w:val="1"/>
          <w:numId w:val="17"/>
        </w:numPr>
        <w:spacing w:before="80" w:line="310" w:lineRule="atLeast"/>
      </w:pPr>
      <w:r>
        <w:t xml:space="preserve">clarify the meaning of a Part 7.2A Market as being </w:t>
      </w:r>
      <w:r w:rsidR="00825AF5">
        <w:t xml:space="preserve">a </w:t>
      </w:r>
      <w:r>
        <w:t>financial market for which market integrity rules apply;</w:t>
      </w:r>
    </w:p>
    <w:p w14:paraId="4A6D58B8" w14:textId="38984BCE" w:rsidR="00C72FB7" w:rsidRDefault="00C72FB7" w:rsidP="00C443A0">
      <w:pPr>
        <w:pStyle w:val="subparaa"/>
        <w:numPr>
          <w:ilvl w:val="1"/>
          <w:numId w:val="17"/>
        </w:numPr>
        <w:spacing w:before="80" w:line="310" w:lineRule="atLeast"/>
      </w:pPr>
      <w:r>
        <w:t xml:space="preserve">exclude </w:t>
      </w:r>
      <w:r w:rsidR="00EA7F2F">
        <w:t>as reporting entities</w:t>
      </w:r>
      <w:r>
        <w:t xml:space="preserve"> AFS licensees without relevant derivatives authorisations, consist</w:t>
      </w:r>
      <w:r w:rsidR="00EA7F2F">
        <w:t>ent</w:t>
      </w:r>
      <w:r>
        <w:t xml:space="preserve"> with reg 7.5A.50</w:t>
      </w:r>
      <w:r w:rsidR="00825AF5">
        <w:t xml:space="preserve"> of the Corporations Regulations;</w:t>
      </w:r>
    </w:p>
    <w:p w14:paraId="49E1CB69" w14:textId="3DBF7322" w:rsidR="00EA7F2F" w:rsidRDefault="00C72FB7" w:rsidP="00C443A0">
      <w:pPr>
        <w:pStyle w:val="subparaa"/>
        <w:numPr>
          <w:ilvl w:val="1"/>
          <w:numId w:val="17"/>
        </w:numPr>
        <w:spacing w:before="80"/>
      </w:pPr>
      <w:r>
        <w:t xml:space="preserve">exclude </w:t>
      </w:r>
      <w:r w:rsidR="00EA7F2F">
        <w:t xml:space="preserve">as reporting entities </w:t>
      </w:r>
      <w:r>
        <w:t>scope clearing members in certain circumstances of an agency clearing model</w:t>
      </w:r>
      <w:r w:rsidR="00EA7F2F">
        <w:t>, generalising the existing exemption for OTC clearing participants of ASX Clear (Futures)</w:t>
      </w:r>
      <w:r w:rsidR="00CE6D8F">
        <w:t>;</w:t>
      </w:r>
    </w:p>
    <w:p w14:paraId="196E808B" w14:textId="3B8F5446" w:rsidR="00C72FB7" w:rsidRDefault="00EA7F2F" w:rsidP="00C443A0">
      <w:pPr>
        <w:pStyle w:val="subparaa"/>
        <w:numPr>
          <w:ilvl w:val="1"/>
          <w:numId w:val="17"/>
        </w:numPr>
        <w:spacing w:before="80"/>
      </w:pPr>
      <w:r>
        <w:t xml:space="preserve">insert new </w:t>
      </w:r>
      <w:r w:rsidR="00BD7538">
        <w:t xml:space="preserve">Rule </w:t>
      </w:r>
      <w:r>
        <w:t>1.2.</w:t>
      </w:r>
      <w:r w:rsidR="00E015AA">
        <w:t>5</w:t>
      </w:r>
      <w:r>
        <w:t xml:space="preserve">(4) to give effect to </w:t>
      </w:r>
      <w:hyperlink r:id="rId159" w:history="1">
        <w:r w:rsidR="00E015AA" w:rsidRPr="00BA10DC">
          <w:rPr>
            <w:rStyle w:val="Hyperlink"/>
            <w:i/>
            <w:iCs/>
          </w:rPr>
          <w:t>ASIC Corporations (Derivative Transaction Reporting Exemption) Instrument 2016/0688</w:t>
        </w:r>
      </w:hyperlink>
      <w:r>
        <w:t xml:space="preserve"> within the ASIC Rules and to do so in a </w:t>
      </w:r>
      <w:r w:rsidR="00E015AA">
        <w:t xml:space="preserve">way that </w:t>
      </w:r>
      <w:r>
        <w:t>generalise</w:t>
      </w:r>
      <w:r w:rsidR="00E015AA">
        <w:t>s to the agency clearing model of any authorised clearing facility</w:t>
      </w:r>
      <w:r w:rsidR="00B73F56">
        <w:t>; and</w:t>
      </w:r>
    </w:p>
    <w:p w14:paraId="246241BD" w14:textId="7833DF1A" w:rsidR="00B73F56" w:rsidRDefault="00B73F56" w:rsidP="00C443A0">
      <w:pPr>
        <w:pStyle w:val="subparaa"/>
        <w:numPr>
          <w:ilvl w:val="1"/>
          <w:numId w:val="17"/>
        </w:numPr>
        <w:spacing w:before="80"/>
      </w:pPr>
      <w:r>
        <w:t>clarify that the OTC derivative transactions of a corporate collective investment vehicle (CCIV) are reportable transactions.</w:t>
      </w:r>
    </w:p>
    <w:p w14:paraId="3F6E8CE0" w14:textId="690059F7" w:rsidR="00D52FE0" w:rsidRDefault="00D52FE0" w:rsidP="00C443A0">
      <w:pPr>
        <w:pStyle w:val="BodyText"/>
        <w:numPr>
          <w:ilvl w:val="0"/>
          <w:numId w:val="17"/>
        </w:numPr>
      </w:pPr>
      <w:bookmarkStart w:id="290" w:name="_ASICRef243"/>
      <w:bookmarkStart w:id="291" w:name="_ASICRef443"/>
      <w:bookmarkStart w:id="292" w:name="_ASICRef44"/>
      <w:r>
        <w:t>In relation to the exclusion of exchange-trade</w:t>
      </w:r>
      <w:r w:rsidR="00BD7538">
        <w:t>d</w:t>
      </w:r>
      <w:r>
        <w:t xml:space="preserve"> derivatives from the meaning of an OTC derivative, we have not concluded our review and analysis about improvements that could be made in the ASIC Rules.</w:t>
      </w:r>
      <w:bookmarkEnd w:id="290"/>
      <w:bookmarkEnd w:id="291"/>
      <w:bookmarkEnd w:id="292"/>
    </w:p>
    <w:p w14:paraId="0F1F3A2E" w14:textId="77777777" w:rsidR="00D52FE0" w:rsidRDefault="00D52FE0" w:rsidP="00C443A0">
      <w:pPr>
        <w:pStyle w:val="BodyText"/>
        <w:numPr>
          <w:ilvl w:val="0"/>
          <w:numId w:val="17"/>
        </w:numPr>
      </w:pPr>
      <w:bookmarkStart w:id="293" w:name="_ASICRef588"/>
      <w:r>
        <w:t>In relation to the reporting of foreign entities’ trading with Australian wholesale clients, we have also not concluded our review and analysis about improvements that could be made in the ASIC Rules.</w:t>
      </w:r>
      <w:bookmarkEnd w:id="293"/>
    </w:p>
    <w:p w14:paraId="1266803A" w14:textId="6D34C567" w:rsidR="00D52FE0" w:rsidRDefault="00D52FE0" w:rsidP="00C443A0">
      <w:pPr>
        <w:pStyle w:val="BodyText"/>
        <w:numPr>
          <w:ilvl w:val="0"/>
          <w:numId w:val="17"/>
        </w:numPr>
      </w:pPr>
      <w:r>
        <w:t>We are deferring consideration of these matters to the third consultation.</w:t>
      </w:r>
    </w:p>
    <w:p w14:paraId="69A4806E" w14:textId="7AE78D87" w:rsidR="009B394B" w:rsidRDefault="0087771F" w:rsidP="00C443A0">
      <w:pPr>
        <w:pStyle w:val="BodyText"/>
        <w:numPr>
          <w:ilvl w:val="0"/>
          <w:numId w:val="17"/>
        </w:numPr>
      </w:pPr>
      <w:r>
        <w:t>O</w:t>
      </w:r>
      <w:r w:rsidR="009B394B">
        <w:t xml:space="preserve">ur response and further proposals are summarised in </w:t>
      </w:r>
      <w:r w:rsidR="009B394B">
        <w:fldChar w:fldCharType="begin" w:fldLock="1"/>
      </w:r>
      <w:r w:rsidR="009B394B">
        <w:instrText xml:space="preserve"> REF _Ref93748756 \h </w:instrText>
      </w:r>
      <w:r w:rsidR="009B394B">
        <w:fldChar w:fldCharType="separate"/>
      </w:r>
      <w:r w:rsidR="00853A2A">
        <w:t xml:space="preserve">Table </w:t>
      </w:r>
      <w:r w:rsidR="00853A2A">
        <w:rPr>
          <w:noProof/>
        </w:rPr>
        <w:t>40</w:t>
      </w:r>
      <w:r w:rsidR="009B394B">
        <w:fldChar w:fldCharType="end"/>
      </w:r>
      <w:r w:rsidR="00FB0374">
        <w:t>.</w:t>
      </w:r>
    </w:p>
    <w:p w14:paraId="66DFEB87" w14:textId="5819FD34" w:rsidR="009B394B" w:rsidRDefault="009B394B" w:rsidP="009B394B">
      <w:pPr>
        <w:pStyle w:val="tabletitleindented"/>
      </w:pPr>
      <w:bookmarkStart w:id="294" w:name="_Ref93748756"/>
      <w:r>
        <w:t xml:space="preserve">Table </w:t>
      </w:r>
      <w:fldSimple w:instr=" SEQ Table \* ARABIC ">
        <w:r w:rsidR="006679BA">
          <w:rPr>
            <w:noProof/>
          </w:rPr>
          <w:t>40</w:t>
        </w:r>
      </w:fldSimple>
      <w:bookmarkEnd w:id="294"/>
      <w:r>
        <w:t>:</w:t>
      </w:r>
      <w:r>
        <w:tab/>
        <w:t>Summary of ASIC response and further proposals</w:t>
      </w:r>
    </w:p>
    <w:tbl>
      <w:tblPr>
        <w:tblW w:w="6912"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1809"/>
        <w:gridCol w:w="5103"/>
      </w:tblGrid>
      <w:tr w:rsidR="009B394B" w:rsidRPr="000540E1" w14:paraId="7268260E" w14:textId="77777777" w:rsidTr="00E776CD">
        <w:trPr>
          <w:cantSplit/>
        </w:trPr>
        <w:tc>
          <w:tcPr>
            <w:tcW w:w="1809" w:type="dxa"/>
            <w:shd w:val="clear" w:color="auto" w:fill="C2E3FA"/>
          </w:tcPr>
          <w:p w14:paraId="375B85A4" w14:textId="7FE9D89B" w:rsidR="009B394B" w:rsidRPr="000540E1" w:rsidRDefault="009B394B" w:rsidP="00100641">
            <w:pPr>
              <w:pStyle w:val="tablehead"/>
              <w:keepNext w:val="0"/>
              <w:spacing w:line="246" w:lineRule="atLeast"/>
            </w:pPr>
            <w:r>
              <w:t xml:space="preserve">Decisions for the </w:t>
            </w:r>
            <w:r w:rsidR="00935991">
              <w:t>draft r</w:t>
            </w:r>
            <w:r>
              <w:t>emade ASIC Rules</w:t>
            </w:r>
          </w:p>
        </w:tc>
        <w:tc>
          <w:tcPr>
            <w:tcW w:w="5103" w:type="dxa"/>
          </w:tcPr>
          <w:p w14:paraId="4D22B81F" w14:textId="77777777" w:rsidR="009B394B" w:rsidRDefault="009B394B" w:rsidP="00100641">
            <w:pPr>
              <w:pStyle w:val="tbltext"/>
              <w:widowControl/>
              <w:spacing w:line="246" w:lineRule="atLeast"/>
            </w:pPr>
            <w:r>
              <w:t>Exclude from scope transactions for spot settlement</w:t>
            </w:r>
          </w:p>
          <w:p w14:paraId="47FE6B68" w14:textId="77777777" w:rsidR="009B394B" w:rsidRDefault="009B394B" w:rsidP="00100641">
            <w:pPr>
              <w:pStyle w:val="tbltext"/>
              <w:widowControl/>
              <w:spacing w:line="246" w:lineRule="atLeast"/>
            </w:pPr>
            <w:r>
              <w:t>Incorporate the exemption for FX securities conversion transactions</w:t>
            </w:r>
          </w:p>
          <w:p w14:paraId="066B4F13" w14:textId="77777777" w:rsidR="009B394B" w:rsidRDefault="009B394B" w:rsidP="00100641">
            <w:pPr>
              <w:pStyle w:val="tbltext"/>
              <w:widowControl/>
              <w:spacing w:line="246" w:lineRule="atLeast"/>
            </w:pPr>
            <w:r>
              <w:t>Ensure that transactions with Australian retail clients are required to be reported</w:t>
            </w:r>
          </w:p>
          <w:p w14:paraId="5DC53AA8" w14:textId="77777777" w:rsidR="009B394B" w:rsidRPr="000540E1" w:rsidRDefault="009B394B" w:rsidP="00100641">
            <w:pPr>
              <w:pStyle w:val="tbltext"/>
              <w:widowControl/>
              <w:spacing w:line="246" w:lineRule="atLeast"/>
            </w:pPr>
            <w:r>
              <w:t>Clarify that foreign subsidiaries of Australian entities are not ASIC reporting entities</w:t>
            </w:r>
          </w:p>
        </w:tc>
      </w:tr>
      <w:tr w:rsidR="009B394B" w:rsidRPr="000540E1" w14:paraId="2E3A70FB" w14:textId="77777777" w:rsidTr="00E776CD">
        <w:trPr>
          <w:cantSplit/>
        </w:trPr>
        <w:tc>
          <w:tcPr>
            <w:tcW w:w="1809" w:type="dxa"/>
            <w:shd w:val="clear" w:color="auto" w:fill="C2E3FA"/>
          </w:tcPr>
          <w:p w14:paraId="2088DDED" w14:textId="77DB3A96" w:rsidR="009B394B" w:rsidRPr="000540E1" w:rsidRDefault="009B394B" w:rsidP="00100641">
            <w:pPr>
              <w:pStyle w:val="tablehead"/>
              <w:keepNext w:val="0"/>
              <w:spacing w:line="246" w:lineRule="atLeast"/>
            </w:pPr>
            <w:r>
              <w:t xml:space="preserve">Proposals for the </w:t>
            </w:r>
            <w:r w:rsidR="00935991">
              <w:t>draft r</w:t>
            </w:r>
            <w:r>
              <w:t>emade ASIC Rules</w:t>
            </w:r>
          </w:p>
        </w:tc>
        <w:tc>
          <w:tcPr>
            <w:tcW w:w="5103" w:type="dxa"/>
          </w:tcPr>
          <w:p w14:paraId="47D33A7B" w14:textId="7ABAD5EA" w:rsidR="009B394B" w:rsidRDefault="00DD18CC" w:rsidP="00100641">
            <w:pPr>
              <w:pStyle w:val="tbltext"/>
              <w:widowControl/>
              <w:spacing w:line="246" w:lineRule="atLeast"/>
            </w:pPr>
            <w:r>
              <w:t>C</w:t>
            </w:r>
            <w:r w:rsidR="009B394B" w:rsidRPr="0073569B">
              <w:t>lari</w:t>
            </w:r>
            <w:r w:rsidR="009B394B">
              <w:t>fy the meaning of a Part 7.2A Market</w:t>
            </w:r>
          </w:p>
          <w:p w14:paraId="0D775F65" w14:textId="761BA215" w:rsidR="009B394B" w:rsidRDefault="00DD18CC" w:rsidP="00100641">
            <w:pPr>
              <w:pStyle w:val="tbltext"/>
              <w:widowControl/>
              <w:spacing w:line="246" w:lineRule="atLeast"/>
            </w:pPr>
            <w:bookmarkStart w:id="295" w:name="_Hlk93908124"/>
            <w:r>
              <w:t>E</w:t>
            </w:r>
            <w:r w:rsidR="009B394B">
              <w:t>xclude from scope AFS licensees without relevant derivatives authorisations, consist</w:t>
            </w:r>
            <w:r w:rsidR="00EA7F2F">
              <w:t>ent</w:t>
            </w:r>
            <w:r w:rsidR="009B394B">
              <w:t xml:space="preserve"> with reg 7.5A.50</w:t>
            </w:r>
            <w:r w:rsidR="001D14E7">
              <w:t xml:space="preserve"> of the Corporations </w:t>
            </w:r>
            <w:r w:rsidR="00B23492">
              <w:t>R</w:t>
            </w:r>
            <w:r w:rsidR="001D14E7">
              <w:t>egulations</w:t>
            </w:r>
          </w:p>
          <w:p w14:paraId="7F565D77" w14:textId="77777777" w:rsidR="009B394B" w:rsidRDefault="00DD18CC" w:rsidP="00100641">
            <w:pPr>
              <w:pStyle w:val="tbltext"/>
              <w:widowControl/>
              <w:spacing w:line="246" w:lineRule="atLeast"/>
            </w:pPr>
            <w:r>
              <w:t>E</w:t>
            </w:r>
            <w:r w:rsidR="009B394B">
              <w:t>xclude from scope clearing members in certain circumstances of an agency clearing model</w:t>
            </w:r>
            <w:bookmarkEnd w:id="295"/>
          </w:p>
          <w:p w14:paraId="37936FF2" w14:textId="0B18295A" w:rsidR="00B73F56" w:rsidRPr="008F4463" w:rsidRDefault="00B73F56" w:rsidP="00100641">
            <w:pPr>
              <w:pStyle w:val="tbltext"/>
              <w:widowControl/>
              <w:spacing w:line="246" w:lineRule="atLeast"/>
            </w:pPr>
            <w:r>
              <w:t>Clarify as in-scope the OTC derivative transactions of a CCIV</w:t>
            </w:r>
          </w:p>
        </w:tc>
      </w:tr>
      <w:tr w:rsidR="00935991" w:rsidRPr="000540E1" w14:paraId="42772B9D" w14:textId="77777777" w:rsidTr="00E776CD">
        <w:trPr>
          <w:cantSplit/>
        </w:trPr>
        <w:tc>
          <w:tcPr>
            <w:tcW w:w="1809" w:type="dxa"/>
            <w:shd w:val="clear" w:color="auto" w:fill="C2E3FA"/>
          </w:tcPr>
          <w:p w14:paraId="10AC49BA" w14:textId="77777777" w:rsidR="00935991" w:rsidRPr="000540E1" w:rsidRDefault="00935991" w:rsidP="00100641">
            <w:pPr>
              <w:pStyle w:val="tablehead"/>
              <w:keepNext w:val="0"/>
              <w:spacing w:line="246" w:lineRule="atLeast"/>
            </w:pPr>
            <w:r>
              <w:t>Decisions for the draft amended ASIC Rules</w:t>
            </w:r>
          </w:p>
        </w:tc>
        <w:tc>
          <w:tcPr>
            <w:tcW w:w="5103" w:type="dxa"/>
          </w:tcPr>
          <w:p w14:paraId="3C9530A0" w14:textId="35D4C9F4" w:rsidR="00935991" w:rsidRPr="000540E1" w:rsidRDefault="001D14E7" w:rsidP="00100641">
            <w:pPr>
              <w:pStyle w:val="tbltext"/>
              <w:widowControl/>
              <w:spacing w:line="246" w:lineRule="atLeast"/>
            </w:pPr>
            <w:r>
              <w:t>Not applicable</w:t>
            </w:r>
          </w:p>
        </w:tc>
      </w:tr>
      <w:tr w:rsidR="009B394B" w:rsidRPr="000540E1" w14:paraId="6A6027FA" w14:textId="77777777" w:rsidTr="00E776CD">
        <w:trPr>
          <w:cantSplit/>
        </w:trPr>
        <w:tc>
          <w:tcPr>
            <w:tcW w:w="1809" w:type="dxa"/>
            <w:shd w:val="clear" w:color="auto" w:fill="C2E3FA"/>
          </w:tcPr>
          <w:p w14:paraId="130D0D66" w14:textId="1A14F0E0" w:rsidR="009B394B" w:rsidRPr="000540E1" w:rsidRDefault="00935991" w:rsidP="00100641">
            <w:pPr>
              <w:pStyle w:val="tablehead"/>
              <w:keepNext w:val="0"/>
              <w:spacing w:line="246" w:lineRule="atLeast"/>
            </w:pPr>
            <w:r>
              <w:t>Proposals for the draft amended ASIC Rules</w:t>
            </w:r>
          </w:p>
        </w:tc>
        <w:tc>
          <w:tcPr>
            <w:tcW w:w="5103" w:type="dxa"/>
          </w:tcPr>
          <w:p w14:paraId="76C7CF14" w14:textId="3F5468E3" w:rsidR="009B394B" w:rsidRPr="000540E1" w:rsidRDefault="001D14E7" w:rsidP="00100641">
            <w:pPr>
              <w:pStyle w:val="tbltext"/>
              <w:widowControl/>
              <w:spacing w:line="246" w:lineRule="atLeast"/>
            </w:pPr>
            <w:r>
              <w:t>Not applicable</w:t>
            </w:r>
          </w:p>
        </w:tc>
      </w:tr>
      <w:tr w:rsidR="009B394B" w:rsidRPr="000540E1" w14:paraId="5B825335" w14:textId="77777777" w:rsidTr="00E776CD">
        <w:trPr>
          <w:cantSplit/>
        </w:trPr>
        <w:tc>
          <w:tcPr>
            <w:tcW w:w="1809" w:type="dxa"/>
            <w:shd w:val="clear" w:color="auto" w:fill="C2E3FA"/>
          </w:tcPr>
          <w:p w14:paraId="05EA8973" w14:textId="77777777" w:rsidR="009B394B" w:rsidRDefault="009B394B" w:rsidP="00100641">
            <w:pPr>
              <w:pStyle w:val="tablehead"/>
              <w:keepNext w:val="0"/>
              <w:spacing w:line="246" w:lineRule="atLeast"/>
            </w:pPr>
            <w:r>
              <w:t>Matters deferred to the third consultation</w:t>
            </w:r>
          </w:p>
        </w:tc>
        <w:tc>
          <w:tcPr>
            <w:tcW w:w="5103" w:type="dxa"/>
          </w:tcPr>
          <w:p w14:paraId="11A7BC46" w14:textId="41856E74" w:rsidR="009B394B" w:rsidRPr="00E63FD2" w:rsidRDefault="00DD18CC" w:rsidP="00100641">
            <w:pPr>
              <w:pStyle w:val="tbltext"/>
              <w:widowControl/>
              <w:spacing w:line="246" w:lineRule="atLeast"/>
            </w:pPr>
            <w:r>
              <w:t>T</w:t>
            </w:r>
            <w:r w:rsidR="009B394B">
              <w:t>he definition of an exchange-traded derivative and ‘avoidance of doubt’, ‘notification’ and ‘disallowance determinations’ provisions</w:t>
            </w:r>
          </w:p>
          <w:p w14:paraId="6AEE8572" w14:textId="7A2821FD" w:rsidR="009B394B" w:rsidRDefault="00DD18CC" w:rsidP="00100641">
            <w:pPr>
              <w:pStyle w:val="tbltext"/>
              <w:widowControl/>
              <w:spacing w:line="246" w:lineRule="atLeast"/>
            </w:pPr>
            <w:r>
              <w:t>F</w:t>
            </w:r>
            <w:r w:rsidR="009B394B">
              <w:t>oreign entities trading with Australian wholesale clients</w:t>
            </w:r>
          </w:p>
        </w:tc>
      </w:tr>
    </w:tbl>
    <w:p w14:paraId="31BF0E91" w14:textId="77777777" w:rsidR="009B394B" w:rsidRDefault="009B394B" w:rsidP="00CE6D8F">
      <w:pPr>
        <w:pStyle w:val="Proposalhead"/>
      </w:pPr>
      <w:r>
        <w:t>Proposal</w:t>
      </w:r>
    </w:p>
    <w:p w14:paraId="25E9882C" w14:textId="13871171" w:rsidR="009B394B" w:rsidRDefault="009B394B" w:rsidP="00100641">
      <w:pPr>
        <w:pStyle w:val="Proposaltext"/>
        <w:tabs>
          <w:tab w:val="clear" w:pos="2693"/>
          <w:tab w:val="num" w:pos="425"/>
        </w:tabs>
        <w:spacing w:line="270" w:lineRule="atLeast"/>
      </w:pPr>
      <w:r>
        <w:t>We are making new proposals to:</w:t>
      </w:r>
    </w:p>
    <w:p w14:paraId="0B19C320" w14:textId="77777777" w:rsidR="009B394B" w:rsidRDefault="009B394B" w:rsidP="00100641">
      <w:pPr>
        <w:pStyle w:val="Proposalsubpara"/>
        <w:spacing w:line="270" w:lineRule="atLeast"/>
      </w:pPr>
      <w:r>
        <w:t>clarify the meaning of a Part 7.2A Market;</w:t>
      </w:r>
    </w:p>
    <w:p w14:paraId="765F4C82" w14:textId="4F4A2131" w:rsidR="009B394B" w:rsidRDefault="009B394B" w:rsidP="00100641">
      <w:pPr>
        <w:pStyle w:val="Proposalsubpara"/>
        <w:spacing w:line="270" w:lineRule="atLeast"/>
      </w:pPr>
      <w:r>
        <w:t>exclude from scope AFS licensees without relevant derivatives authorisations, consist</w:t>
      </w:r>
      <w:r w:rsidR="0087771F">
        <w:t>ent</w:t>
      </w:r>
      <w:r>
        <w:t xml:space="preserve"> with reg 7.5A.50</w:t>
      </w:r>
      <w:r w:rsidR="00B73F56">
        <w:t>;</w:t>
      </w:r>
    </w:p>
    <w:p w14:paraId="410705AC" w14:textId="69E83D66" w:rsidR="009B394B" w:rsidRDefault="009B394B" w:rsidP="00100641">
      <w:pPr>
        <w:pStyle w:val="Proposalsubpara"/>
        <w:spacing w:line="270" w:lineRule="atLeast"/>
      </w:pPr>
      <w:r>
        <w:t>exclude from scope clearing members in certain circumstances of an agency clearing model</w:t>
      </w:r>
      <w:r w:rsidR="00B73F56">
        <w:t>; and</w:t>
      </w:r>
    </w:p>
    <w:p w14:paraId="6C73FBA2" w14:textId="26102FD3" w:rsidR="00B73F56" w:rsidRDefault="00B73F56" w:rsidP="00100641">
      <w:pPr>
        <w:pStyle w:val="Proposalsubpara"/>
        <w:spacing w:line="270" w:lineRule="atLeast"/>
      </w:pPr>
      <w:r>
        <w:t>clarify that the OTC derivative transactions of a CCIV are reportable transactions.</w:t>
      </w:r>
    </w:p>
    <w:p w14:paraId="4571676F" w14:textId="77777777" w:rsidR="009B394B" w:rsidRDefault="009B394B" w:rsidP="009B394B">
      <w:pPr>
        <w:pStyle w:val="Feedbackhead"/>
      </w:pPr>
      <w:r>
        <w:t>Your feedback</w:t>
      </w:r>
    </w:p>
    <w:p w14:paraId="13E2CD3E" w14:textId="0E10EF2A" w:rsidR="006D79DB" w:rsidRPr="00A13932" w:rsidRDefault="006D79DB" w:rsidP="00100641">
      <w:pPr>
        <w:pStyle w:val="Feedbackquestion"/>
        <w:pBdr>
          <w:left w:val="single" w:sz="6" w:space="2" w:color="117DC7"/>
        </w:pBdr>
        <w:spacing w:line="270" w:lineRule="atLeast"/>
      </w:pPr>
      <w:r>
        <w:t>Do you agree with these proposals? In your response, please give detailed reasons for your answer.</w:t>
      </w:r>
    </w:p>
    <w:p w14:paraId="6C2F3479" w14:textId="77777777" w:rsidR="009B394B" w:rsidRDefault="009B394B" w:rsidP="009B394B">
      <w:pPr>
        <w:pStyle w:val="Heading3"/>
      </w:pPr>
      <w:bookmarkStart w:id="296" w:name="_Hlk94803417"/>
      <w:r>
        <w:t>Rationale</w:t>
      </w:r>
    </w:p>
    <w:bookmarkEnd w:id="296"/>
    <w:p w14:paraId="1B32CA82" w14:textId="77777777" w:rsidR="009B394B" w:rsidRDefault="009B394B" w:rsidP="009B394B">
      <w:pPr>
        <w:pStyle w:val="Heading4"/>
      </w:pPr>
      <w:r>
        <w:t>Clarifying the meaning of a Part 7.2A Market</w:t>
      </w:r>
    </w:p>
    <w:p w14:paraId="068F92F4" w14:textId="3D60D643" w:rsidR="009B394B" w:rsidRDefault="009B394B" w:rsidP="00C443A0">
      <w:pPr>
        <w:pStyle w:val="BodyText"/>
        <w:numPr>
          <w:ilvl w:val="0"/>
          <w:numId w:val="17"/>
        </w:numPr>
        <w:spacing w:line="310" w:lineRule="atLeast"/>
      </w:pPr>
      <w:r>
        <w:t xml:space="preserve">A Part 7.2A Market is referred to in the </w:t>
      </w:r>
      <w:r w:rsidR="005A5E1A">
        <w:t>c</w:t>
      </w:r>
      <w:r>
        <w:t xml:space="preserve">urrent ASIC Rules as being one of the kinds of financial markets </w:t>
      </w:r>
      <w:r w:rsidR="001D14E7">
        <w:t xml:space="preserve">where </w:t>
      </w:r>
      <w:r>
        <w:t>derivatives traded on such a financial market are not OTC derivatives, and transactions in those derivatives are not reportable transactions.</w:t>
      </w:r>
    </w:p>
    <w:p w14:paraId="4D05572F" w14:textId="20782CBF" w:rsidR="009B394B" w:rsidRDefault="009B394B" w:rsidP="00C443A0">
      <w:pPr>
        <w:pStyle w:val="BodyText"/>
        <w:numPr>
          <w:ilvl w:val="0"/>
          <w:numId w:val="17"/>
        </w:numPr>
        <w:spacing w:line="310" w:lineRule="atLeast"/>
      </w:pPr>
      <w:r>
        <w:t xml:space="preserve">The meaning of a Part 7.2A Market refers to domestic licensed financial markets, and excludes financial markets that ASIC does not have the function of supervising under </w:t>
      </w:r>
      <w:r w:rsidR="001D14E7">
        <w:t>s</w:t>
      </w:r>
      <w:r>
        <w:t xml:space="preserve">798F of the </w:t>
      </w:r>
      <w:r w:rsidR="001D14E7">
        <w:t xml:space="preserve">Corporations </w:t>
      </w:r>
      <w:r>
        <w:t>Act, including several financial markets that are only accessed by professional investors or wholesale clients for trading, for example, government bonds, interest rate swaps and foreign exchange contracts.</w:t>
      </w:r>
    </w:p>
    <w:p w14:paraId="60EE76EC" w14:textId="0D75271E" w:rsidR="009B394B" w:rsidRDefault="009236B5" w:rsidP="00C443A0">
      <w:pPr>
        <w:pStyle w:val="BodyText"/>
        <w:numPr>
          <w:ilvl w:val="0"/>
          <w:numId w:val="17"/>
        </w:numPr>
        <w:spacing w:line="310" w:lineRule="atLeast"/>
      </w:pPr>
      <w:r>
        <w:t>When</w:t>
      </w:r>
      <w:r w:rsidR="009B394B">
        <w:t xml:space="preserve"> the </w:t>
      </w:r>
      <w:r w:rsidR="005A5E1A">
        <w:t>c</w:t>
      </w:r>
      <w:r w:rsidR="009B394B">
        <w:t>urrent ASIC Rules were made in 2013, this definition only covered Australia’s public markets for securities, futures and other standardised options and derivatives contracts.</w:t>
      </w:r>
    </w:p>
    <w:p w14:paraId="37551533" w14:textId="238D5492" w:rsidR="009B394B" w:rsidRDefault="009B394B" w:rsidP="00C443A0">
      <w:pPr>
        <w:pStyle w:val="BodyText"/>
        <w:numPr>
          <w:ilvl w:val="0"/>
          <w:numId w:val="17"/>
        </w:numPr>
        <w:spacing w:line="310" w:lineRule="atLeast"/>
      </w:pPr>
      <w:r>
        <w:t>Since that time, additional financial markets have been licensed as domestic financial markets that are also only accessed by professional investors or wholesale clients and are also for trading, for example, equity derivatives, interest rate swaps and foreign exchange contracts.</w:t>
      </w:r>
    </w:p>
    <w:p w14:paraId="561B1AB8" w14:textId="77777777" w:rsidR="009B394B" w:rsidRDefault="009B394B" w:rsidP="00DB1D92">
      <w:pPr>
        <w:pStyle w:val="BodyText"/>
        <w:numPr>
          <w:ilvl w:val="0"/>
          <w:numId w:val="17"/>
        </w:numPr>
        <w:spacing w:line="290" w:lineRule="atLeast"/>
      </w:pPr>
      <w:r>
        <w:t>To maintain the consistency that the exclusion of Part 7.2A Markets should only apply to Australia’s public markets, we propose to simplify the meaning of a Part 7.2A Market to ‘</w:t>
      </w:r>
      <w:r w:rsidRPr="00F76596">
        <w:t xml:space="preserve">a financial market </w:t>
      </w:r>
      <w:r>
        <w:t>to which an instrument made under subsection 798G(1) of the Act applies’.</w:t>
      </w:r>
    </w:p>
    <w:p w14:paraId="68DCF2D6" w14:textId="16922147" w:rsidR="009B394B" w:rsidRDefault="009B394B" w:rsidP="00DB1D92">
      <w:pPr>
        <w:pStyle w:val="BodyText"/>
        <w:numPr>
          <w:ilvl w:val="0"/>
          <w:numId w:val="17"/>
        </w:numPr>
        <w:spacing w:line="290" w:lineRule="atLeast"/>
      </w:pPr>
      <w:r>
        <w:t xml:space="preserve">The </w:t>
      </w:r>
      <w:r w:rsidRPr="0084612A">
        <w:t xml:space="preserve">instruments made under </w:t>
      </w:r>
      <w:r w:rsidR="009236B5">
        <w:t>s</w:t>
      </w:r>
      <w:r w:rsidRPr="0084612A">
        <w:t xml:space="preserve">798G(1) of the </w:t>
      </w:r>
      <w:r w:rsidR="009236B5">
        <w:t xml:space="preserve">Corporations </w:t>
      </w:r>
      <w:r w:rsidRPr="0084612A">
        <w:t xml:space="preserve">Act are </w:t>
      </w:r>
      <w:r w:rsidRPr="000A4612">
        <w:rPr>
          <w:i/>
          <w:iCs/>
        </w:rPr>
        <w:t>ASIC Market Integrity Rules (Securities Markets) 2017</w:t>
      </w:r>
      <w:r w:rsidRPr="0084612A">
        <w:t xml:space="preserve">, </w:t>
      </w:r>
      <w:r w:rsidRPr="000A4612">
        <w:rPr>
          <w:i/>
          <w:iCs/>
        </w:rPr>
        <w:t>ASIC Market Integrity Rules (Futures Markets) 2017</w:t>
      </w:r>
      <w:r w:rsidRPr="0084612A">
        <w:t xml:space="preserve"> and </w:t>
      </w:r>
      <w:r w:rsidRPr="000A4612">
        <w:rPr>
          <w:i/>
          <w:iCs/>
        </w:rPr>
        <w:t>ASIC Market Integrity Rules (Capital) 2021</w:t>
      </w:r>
      <w:r w:rsidRPr="0084612A">
        <w:t>.</w:t>
      </w:r>
      <w:r>
        <w:t xml:space="preserve"> We think there is likely to be a strong relationship between financial markets to which market integrity rules apply, and financial markets which trade kinds of derivatives that we think should not be OTC </w:t>
      </w:r>
      <w:r w:rsidR="009236B5">
        <w:t xml:space="preserve">derivatives </w:t>
      </w:r>
      <w:r>
        <w:t>under the ASIC Rules.</w:t>
      </w:r>
    </w:p>
    <w:p w14:paraId="7F5CEE74" w14:textId="0ADA0653" w:rsidR="009B394B" w:rsidRDefault="009B394B" w:rsidP="00DB1D92">
      <w:pPr>
        <w:pStyle w:val="BodyText"/>
        <w:numPr>
          <w:ilvl w:val="0"/>
          <w:numId w:val="17"/>
        </w:numPr>
        <w:spacing w:line="290" w:lineRule="atLeast"/>
      </w:pPr>
      <w:r>
        <w:t xml:space="preserve">However, if market integrity rules were to apply to a financial market where we did think that some or all of their derivative transactions should be reportable transactions, a mechanism such as a ‘disallowance determination’ could be the means to give effect to this. As we note at paragraph </w:t>
      </w:r>
      <w:r w:rsidR="00EC0860">
        <w:fldChar w:fldCharType="begin" w:fldLock="1"/>
      </w:r>
      <w:r w:rsidR="00EC0860">
        <w:instrText xml:space="preserve"> REF _ASICRef443 \w \h </w:instrText>
      </w:r>
      <w:r w:rsidR="00EC0860">
        <w:fldChar w:fldCharType="separate"/>
      </w:r>
      <w:r w:rsidR="00853A2A">
        <w:t>761</w:t>
      </w:r>
      <w:r w:rsidR="00EC0860">
        <w:fldChar w:fldCharType="end"/>
      </w:r>
      <w:r>
        <w:t>, we have deferred consideration of the framing of the exclusion of exchange-trade</w:t>
      </w:r>
      <w:r w:rsidR="009236B5">
        <w:t>d</w:t>
      </w:r>
      <w:r>
        <w:t xml:space="preserve"> derivatives from OTC derivatives until the third consultation.</w:t>
      </w:r>
    </w:p>
    <w:p w14:paraId="2B34DBDE" w14:textId="77777777" w:rsidR="009B394B" w:rsidRDefault="009B394B" w:rsidP="009B394B">
      <w:pPr>
        <w:pStyle w:val="Heading4"/>
      </w:pPr>
      <w:r>
        <w:t>Exclude AFS licensees without relevant derivatives authorisations</w:t>
      </w:r>
    </w:p>
    <w:p w14:paraId="25E393B7" w14:textId="1D25F651" w:rsidR="009B394B" w:rsidRDefault="00F83623" w:rsidP="00DB1D92">
      <w:pPr>
        <w:pStyle w:val="BodyText"/>
        <w:numPr>
          <w:ilvl w:val="0"/>
          <w:numId w:val="17"/>
        </w:numPr>
        <w:spacing w:line="290" w:lineRule="atLeast"/>
      </w:pPr>
      <w:r>
        <w:t>Regulation</w:t>
      </w:r>
      <w:r w:rsidR="009B394B">
        <w:t xml:space="preserve"> 7.5A.50</w:t>
      </w:r>
      <w:r>
        <w:t>(2A)</w:t>
      </w:r>
      <w:r w:rsidR="009B394B">
        <w:t xml:space="preserve"> </w:t>
      </w:r>
      <w:r w:rsidR="009236B5">
        <w:t xml:space="preserve">of the Corporations Regulations </w:t>
      </w:r>
      <w:r w:rsidR="009B394B">
        <w:t>sets out that derivative transaction rules cannot impose requirements r</w:t>
      </w:r>
      <w:r w:rsidR="009B394B" w:rsidRPr="0080161C">
        <w:t xml:space="preserve">elating to a class of derivatives </w:t>
      </w:r>
      <w:r w:rsidR="009B394B">
        <w:t>on financial services licensees ‘</w:t>
      </w:r>
      <w:r w:rsidR="009B394B" w:rsidRPr="0080161C">
        <w:t>(b) whose Australian financial services licences do not authorise them to provide financial services in relation to that class of derivatives</w:t>
      </w:r>
      <w:r w:rsidR="009B394B">
        <w:t>’</w:t>
      </w:r>
      <w:r w:rsidR="009B394B" w:rsidRPr="0080161C">
        <w:t>.</w:t>
      </w:r>
    </w:p>
    <w:p w14:paraId="26A69292" w14:textId="765B546D" w:rsidR="009B394B" w:rsidRDefault="009B394B" w:rsidP="00DB1D92">
      <w:pPr>
        <w:pStyle w:val="BodyText"/>
        <w:numPr>
          <w:ilvl w:val="0"/>
          <w:numId w:val="17"/>
        </w:numPr>
        <w:spacing w:line="290" w:lineRule="atLeast"/>
      </w:pPr>
      <w:r>
        <w:t xml:space="preserve">We propose to insert new </w:t>
      </w:r>
      <w:r w:rsidR="009236B5">
        <w:t xml:space="preserve">Rule </w:t>
      </w:r>
      <w:r>
        <w:t>1.2.4(3) to explicitly conform to this regulation in the ASIC Rules.</w:t>
      </w:r>
    </w:p>
    <w:p w14:paraId="5F51C2A1" w14:textId="77777777" w:rsidR="009B394B" w:rsidRDefault="009B394B" w:rsidP="009B394B">
      <w:pPr>
        <w:pStyle w:val="Heading4"/>
      </w:pPr>
      <w:r>
        <w:t>Exclude clearing members in certain circumstances of an agency clearing model</w:t>
      </w:r>
    </w:p>
    <w:p w14:paraId="5EA4814A" w14:textId="693152C0" w:rsidR="009B394B" w:rsidRDefault="009B394B" w:rsidP="00DB1D92">
      <w:pPr>
        <w:pStyle w:val="BodyText"/>
        <w:numPr>
          <w:ilvl w:val="0"/>
          <w:numId w:val="17"/>
        </w:numPr>
        <w:spacing w:line="290" w:lineRule="atLeast"/>
      </w:pPr>
      <w:r>
        <w:t xml:space="preserve">Under </w:t>
      </w:r>
      <w:hyperlink r:id="rId160" w:history="1">
        <w:r w:rsidRPr="00F473E5">
          <w:rPr>
            <w:rStyle w:val="Hyperlink"/>
            <w:i/>
            <w:iCs/>
          </w:rPr>
          <w:t>ASIC Corporations (Derivative Transaction Reporting Exemption) Instrument 2016/0688</w:t>
        </w:r>
      </w:hyperlink>
      <w:r w:rsidRPr="00FA0EC8">
        <w:rPr>
          <w:rStyle w:val="Hyperlink"/>
          <w:u w:val="none"/>
        </w:rPr>
        <w:t xml:space="preserve"> </w:t>
      </w:r>
      <w:r w:rsidRPr="00FA0EC8">
        <w:rPr>
          <w:rStyle w:val="Hyperlink"/>
          <w:color w:val="000000" w:themeColor="text1"/>
          <w:u w:val="none"/>
        </w:rPr>
        <w:t>(</w:t>
      </w:r>
      <w:r w:rsidRPr="000A4612">
        <w:rPr>
          <w:rStyle w:val="Hyperlink"/>
          <w:color w:val="000000" w:themeColor="text1"/>
          <w:u w:val="none"/>
        </w:rPr>
        <w:t>Instrument 2016/0688</w:t>
      </w:r>
      <w:r w:rsidRPr="00FA0EC8">
        <w:rPr>
          <w:rStyle w:val="Hyperlink"/>
          <w:color w:val="000000" w:themeColor="text1"/>
          <w:u w:val="none"/>
        </w:rPr>
        <w:t>)</w:t>
      </w:r>
      <w:r>
        <w:rPr>
          <w:rStyle w:val="Hyperlink"/>
          <w:u w:val="none"/>
        </w:rPr>
        <w:t xml:space="preserve"> </w:t>
      </w:r>
      <w:r w:rsidRPr="00EA7F2F">
        <w:rPr>
          <w:rStyle w:val="Hyperlink"/>
          <w:color w:val="000000" w:themeColor="text1"/>
          <w:u w:val="none"/>
        </w:rPr>
        <w:t>h</w:t>
      </w:r>
      <w:r>
        <w:t>aving regard to the agency OTC clearing model of ASX Clear (Futures) for affiliates and clients, the clearing participant is exempt from reporting cleared transactions with ASX Clear (Futures) that are entered into by an affiliate or client.</w:t>
      </w:r>
    </w:p>
    <w:p w14:paraId="6800D5D0" w14:textId="528CC8DD" w:rsidR="009B394B" w:rsidRDefault="009B394B" w:rsidP="00DB1D92">
      <w:pPr>
        <w:pStyle w:val="BodyText"/>
        <w:numPr>
          <w:ilvl w:val="0"/>
          <w:numId w:val="17"/>
        </w:numPr>
        <w:spacing w:line="290" w:lineRule="atLeast"/>
      </w:pPr>
      <w:r>
        <w:t xml:space="preserve">We propose to insert new </w:t>
      </w:r>
      <w:r w:rsidR="009236B5">
        <w:t xml:space="preserve">Rule </w:t>
      </w:r>
      <w:r>
        <w:t>1.2.4(4) to give effect to Instrument 2016/0688 within the ASIC Rules and to do so in a generalised way that would be applicable to the same circumstances of any authorised clearing facility</w:t>
      </w:r>
      <w:r w:rsidR="00404CA5">
        <w:t>—</w:t>
      </w:r>
      <w:r>
        <w:t>that is, where under the operating rules of the authorised clearing facility, both the clearing participant and the affiliate or client are taken to be counterparties of the authorised clearing facility for the reportable transaction.</w:t>
      </w:r>
    </w:p>
    <w:p w14:paraId="031775EA" w14:textId="07E75A94" w:rsidR="009B394B" w:rsidRDefault="009B394B" w:rsidP="00DF6A44">
      <w:pPr>
        <w:pStyle w:val="BodyText"/>
        <w:numPr>
          <w:ilvl w:val="0"/>
          <w:numId w:val="17"/>
        </w:numPr>
        <w:spacing w:line="290" w:lineRule="atLeast"/>
      </w:pPr>
      <w:r>
        <w:t>We also propose to repeal Instrument 2016/0688.</w:t>
      </w:r>
    </w:p>
    <w:p w14:paraId="774FFBE7" w14:textId="3BDFA6EF" w:rsidR="00B73F56" w:rsidRDefault="00B73F56" w:rsidP="00B73F56">
      <w:pPr>
        <w:pStyle w:val="Heading4"/>
      </w:pPr>
      <w:r>
        <w:t>Clarify as in-scope the OTC derivative transactions of a CCIV</w:t>
      </w:r>
    </w:p>
    <w:p w14:paraId="0FCCD8A3" w14:textId="30FB0857" w:rsidR="00B73F56" w:rsidRDefault="00B73F56" w:rsidP="00B73F56">
      <w:pPr>
        <w:pStyle w:val="BodyText"/>
        <w:numPr>
          <w:ilvl w:val="0"/>
          <w:numId w:val="17"/>
        </w:numPr>
      </w:pPr>
      <w:r>
        <w:t xml:space="preserve">The </w:t>
      </w:r>
      <w:r w:rsidRPr="000F7137">
        <w:rPr>
          <w:i/>
          <w:iCs/>
        </w:rPr>
        <w:t>Corporate Collective Investment Vehicle Framework and Other</w:t>
      </w:r>
      <w:r w:rsidRPr="00B73F56">
        <w:rPr>
          <w:i/>
          <w:iCs/>
        </w:rPr>
        <w:t xml:space="preserve"> </w:t>
      </w:r>
      <w:r w:rsidRPr="000F7137">
        <w:rPr>
          <w:i/>
          <w:iCs/>
        </w:rPr>
        <w:t>Measures Act 2022</w:t>
      </w:r>
      <w:r>
        <w:t xml:space="preserve"> implements a legislative regime for CCIVs through amendments to the Corporations Act, the </w:t>
      </w:r>
      <w:r w:rsidRPr="000F7137">
        <w:rPr>
          <w:i/>
          <w:iCs/>
        </w:rPr>
        <w:t>Australian Securities and Investments Commission Act 2001</w:t>
      </w:r>
      <w:r>
        <w:t xml:space="preserve"> and the </w:t>
      </w:r>
      <w:r w:rsidRPr="000F7137">
        <w:rPr>
          <w:i/>
          <w:iCs/>
        </w:rPr>
        <w:t>Personal Property Securities Act 2009</w:t>
      </w:r>
      <w:r>
        <w:t xml:space="preserve">. </w:t>
      </w:r>
    </w:p>
    <w:p w14:paraId="3DD3C516" w14:textId="2776117F" w:rsidR="00094859" w:rsidRDefault="00B73F56" w:rsidP="000F7137">
      <w:pPr>
        <w:pStyle w:val="BodyText"/>
        <w:numPr>
          <w:ilvl w:val="0"/>
          <w:numId w:val="17"/>
        </w:numPr>
      </w:pPr>
      <w:r>
        <w:t>The CCIV regime will commence on 1 July 2022. It provides an alternative to the existing managed investment scheme regime under the Corporations Act</w:t>
      </w:r>
      <w:r w:rsidR="00094859">
        <w:t>:</w:t>
      </w:r>
    </w:p>
    <w:p w14:paraId="2DFA8097" w14:textId="6247953F" w:rsidR="00094859" w:rsidRDefault="00094859" w:rsidP="00094859">
      <w:pPr>
        <w:pStyle w:val="BodyText"/>
        <w:numPr>
          <w:ilvl w:val="1"/>
          <w:numId w:val="17"/>
        </w:numPr>
      </w:pPr>
      <w:r>
        <w:t>a CCIV is a new type of company that is limited by shares and has a single ‘corporate director’;</w:t>
      </w:r>
    </w:p>
    <w:p w14:paraId="00B1A383" w14:textId="685C81A5" w:rsidR="00094859" w:rsidRDefault="00094859" w:rsidP="00094859">
      <w:pPr>
        <w:pStyle w:val="BodyText"/>
        <w:numPr>
          <w:ilvl w:val="1"/>
          <w:numId w:val="17"/>
        </w:numPr>
      </w:pPr>
      <w:r>
        <w:t xml:space="preserve">the </w:t>
      </w:r>
      <w:r w:rsidR="00015473">
        <w:t>corporate director is a public company with an AFS licence authorising it to operate the business and conduct the affairs of the CCIV;</w:t>
      </w:r>
    </w:p>
    <w:p w14:paraId="063D05A0" w14:textId="5E367DF9" w:rsidR="00015473" w:rsidRDefault="00015473" w:rsidP="00094859">
      <w:pPr>
        <w:pStyle w:val="BodyText"/>
        <w:numPr>
          <w:ilvl w:val="1"/>
          <w:numId w:val="17"/>
        </w:numPr>
      </w:pPr>
      <w:r>
        <w:t>the CCIV itself does not hold an AFS licence; and</w:t>
      </w:r>
    </w:p>
    <w:p w14:paraId="6B8BADD1" w14:textId="6C454A33" w:rsidR="00015473" w:rsidRDefault="00015473" w:rsidP="000F7137">
      <w:pPr>
        <w:pStyle w:val="BodyText"/>
        <w:numPr>
          <w:ilvl w:val="1"/>
          <w:numId w:val="17"/>
        </w:numPr>
      </w:pPr>
      <w:r>
        <w:t>the CCIV regime incorporates some aspects of the existing regulatory framework for registered managed investment schemes.</w:t>
      </w:r>
    </w:p>
    <w:p w14:paraId="518A9471" w14:textId="449A27C6" w:rsidR="00B73F56" w:rsidRDefault="00BC1165" w:rsidP="00BC1165">
      <w:pPr>
        <w:pStyle w:val="BodyText"/>
        <w:numPr>
          <w:ilvl w:val="0"/>
          <w:numId w:val="17"/>
        </w:numPr>
      </w:pPr>
      <w:r>
        <w:t xml:space="preserve">Maintaining regulatory parity between CCIVs and managed investment schemes, the draft amendments to </w:t>
      </w:r>
      <w:r w:rsidR="00E26CB4">
        <w:t xml:space="preserve">Rule </w:t>
      </w:r>
      <w:r>
        <w:t>1.2.5(2) clarify that, for derivative transactions entered into for a CCIV, the corporate director of the CCIV is the reporting entity.</w:t>
      </w:r>
    </w:p>
    <w:p w14:paraId="461808B7" w14:textId="57796D9B" w:rsidR="00D5580F" w:rsidRDefault="00D5580F" w:rsidP="009B394B">
      <w:pPr>
        <w:pStyle w:val="Heading1"/>
      </w:pPr>
      <w:bookmarkStart w:id="297" w:name="_Toc103174650"/>
      <w:r>
        <w:t xml:space="preserve">Alternative reporting and delegated </w:t>
      </w:r>
      <w:bookmarkEnd w:id="270"/>
      <w:bookmarkEnd w:id="271"/>
      <w:r>
        <w:t>reporting</w:t>
      </w:r>
      <w:bookmarkEnd w:id="272"/>
      <w:bookmarkEnd w:id="297"/>
    </w:p>
    <w:p w14:paraId="4615F542" w14:textId="77777777" w:rsidR="00D5580F" w:rsidRDefault="00D5580F">
      <w:pPr>
        <w:pStyle w:val="KPhead"/>
      </w:pPr>
      <w:r>
        <w:t>Key points</w:t>
      </w:r>
    </w:p>
    <w:p w14:paraId="5C79F8F8" w14:textId="77777777" w:rsidR="00D172F1" w:rsidRDefault="00D172F1" w:rsidP="00D172F1">
      <w:pPr>
        <w:pStyle w:val="KPtext"/>
      </w:pPr>
      <w:r>
        <w:t>Alternative reporting provides a form of substituted compliance for foreign entities to meet their ASIC reporting requirements.</w:t>
      </w:r>
    </w:p>
    <w:p w14:paraId="4E513C9A" w14:textId="0384B316" w:rsidR="00D172F1" w:rsidRDefault="00D172F1" w:rsidP="00D172F1">
      <w:pPr>
        <w:pStyle w:val="KPtext"/>
      </w:pPr>
      <w:r>
        <w:t xml:space="preserve">We received limited feedback </w:t>
      </w:r>
      <w:r w:rsidR="00516653">
        <w:t xml:space="preserve">about alternative reporting </w:t>
      </w:r>
      <w:r>
        <w:t>in response to CP</w:t>
      </w:r>
      <w:r w:rsidR="005C53D2">
        <w:t> </w:t>
      </w:r>
      <w:r>
        <w:t xml:space="preserve">334. We will further consider the operation and use of </w:t>
      </w:r>
      <w:r w:rsidRPr="00C53540">
        <w:t xml:space="preserve">Rule 2.2.1(3) of the </w:t>
      </w:r>
      <w:r w:rsidR="005A5E1A">
        <w:t>c</w:t>
      </w:r>
      <w:r>
        <w:t xml:space="preserve">urrent </w:t>
      </w:r>
      <w:r w:rsidRPr="00C53540">
        <w:t>ASIC Rules</w:t>
      </w:r>
      <w:r>
        <w:t xml:space="preserve"> b</w:t>
      </w:r>
      <w:r w:rsidRPr="00EE3AD5">
        <w:t xml:space="preserve">efore forming specific proposals </w:t>
      </w:r>
      <w:r>
        <w:t>in</w:t>
      </w:r>
      <w:r w:rsidRPr="00EE3AD5">
        <w:t xml:space="preserve"> the </w:t>
      </w:r>
      <w:r>
        <w:t>third</w:t>
      </w:r>
      <w:r w:rsidRPr="00EE3AD5">
        <w:t xml:space="preserve"> round of consultation</w:t>
      </w:r>
      <w:r>
        <w:t>.</w:t>
      </w:r>
      <w:r w:rsidRPr="00EE3AD5">
        <w:t xml:space="preserve"> </w:t>
      </w:r>
    </w:p>
    <w:p w14:paraId="1D8EB91D" w14:textId="50691F21" w:rsidR="00D172F1" w:rsidRDefault="00D172F1" w:rsidP="00D172F1">
      <w:pPr>
        <w:pStyle w:val="KPtext"/>
      </w:pPr>
      <w:r>
        <w:t xml:space="preserve">Delegated reporting allows a reporting entity to outsource its OTC derivatives reporting function by appointing one or more parties to perform this function on its behalf. Rule 2.2.7(2) of the </w:t>
      </w:r>
      <w:r w:rsidR="005A5E1A">
        <w:t>c</w:t>
      </w:r>
      <w:r>
        <w:t>urrent ASIC Rules provides a ‘safe harbour’ for reporting entities using delegates</w:t>
      </w:r>
      <w:r w:rsidR="009F45FE">
        <w:t>,</w:t>
      </w:r>
      <w:r>
        <w:t xml:space="preserve"> provided certain conditions are met.</w:t>
      </w:r>
    </w:p>
    <w:p w14:paraId="076046DC" w14:textId="44642D34" w:rsidR="00D172F1" w:rsidRDefault="00D172F1" w:rsidP="00D172F1">
      <w:pPr>
        <w:pStyle w:val="KPtext"/>
      </w:pPr>
      <w:r>
        <w:t>W</w:t>
      </w:r>
      <w:r w:rsidRPr="00E54B67">
        <w:t>e</w:t>
      </w:r>
      <w:r>
        <w:t xml:space="preserve"> have considered the information and feedback we received in response to CP 334 in relation to delegated reporting</w:t>
      </w:r>
      <w:r w:rsidR="005A760A">
        <w:t xml:space="preserve"> </w:t>
      </w:r>
      <w:r w:rsidR="0009531A">
        <w:t>and</w:t>
      </w:r>
      <w:r>
        <w:t xml:space="preserve"> are now proposing to remove the ‘safe harbour’ provision in the draft remade ASIC Rules. </w:t>
      </w:r>
    </w:p>
    <w:p w14:paraId="138B17AD" w14:textId="61B9EE75" w:rsidR="00D172F1" w:rsidRDefault="00D172F1" w:rsidP="00D172F1">
      <w:pPr>
        <w:pStyle w:val="KPtext"/>
      </w:pPr>
      <w:r>
        <w:t xml:space="preserve">We are seeking to align the ASIC Rules with the outsourcing principles and requirements of other domestic rules </w:t>
      </w:r>
      <w:r w:rsidR="00F11950">
        <w:t xml:space="preserve">and standards </w:t>
      </w:r>
      <w:r>
        <w:t>for regulated entities. Further, we consider greater international alignment of OTC derivatives transaction reporting requirements will be achieved under our proposal.</w:t>
      </w:r>
    </w:p>
    <w:p w14:paraId="5A1812B3" w14:textId="35D546D2" w:rsidR="00D172F1" w:rsidRDefault="00D172F1" w:rsidP="00D172F1">
      <w:pPr>
        <w:pStyle w:val="KPtext"/>
      </w:pPr>
      <w:r>
        <w:t xml:space="preserve">We </w:t>
      </w:r>
      <w:r w:rsidR="0009531A">
        <w:t xml:space="preserve">intend to </w:t>
      </w:r>
      <w:r>
        <w:t xml:space="preserve">revise RG 251 to provide updated guidance </w:t>
      </w:r>
      <w:r w:rsidR="00F11950">
        <w:t xml:space="preserve">in relation to </w:t>
      </w:r>
      <w:r>
        <w:t>overseeing delegates and also to discuss factors and considerations when assessing the severity of OTC derivative transaction reporting breaches.</w:t>
      </w:r>
    </w:p>
    <w:p w14:paraId="442E639E" w14:textId="77777777" w:rsidR="00D172F1" w:rsidRDefault="00D172F1" w:rsidP="00D172F1">
      <w:pPr>
        <w:pStyle w:val="Heading2"/>
      </w:pPr>
      <w:bookmarkStart w:id="298" w:name="_Toc103174651"/>
      <w:r>
        <w:t>Background</w:t>
      </w:r>
      <w:bookmarkEnd w:id="298"/>
    </w:p>
    <w:p w14:paraId="42B07D90" w14:textId="77777777" w:rsidR="00D172F1" w:rsidRPr="00A829C7" w:rsidRDefault="00D172F1" w:rsidP="00D172F1">
      <w:pPr>
        <w:pStyle w:val="Heading3"/>
      </w:pPr>
      <w:r>
        <w:t>Alternative reporting</w:t>
      </w:r>
    </w:p>
    <w:p w14:paraId="07CDDD00" w14:textId="77777777" w:rsidR="00D172F1" w:rsidRPr="003A1134" w:rsidRDefault="00D172F1" w:rsidP="00C443A0">
      <w:pPr>
        <w:pStyle w:val="BodyText"/>
        <w:numPr>
          <w:ilvl w:val="0"/>
          <w:numId w:val="17"/>
        </w:numPr>
      </w:pPr>
      <w:r w:rsidRPr="00516653">
        <w:t>Rule 2.2.1(3)</w:t>
      </w:r>
      <w:r w:rsidRPr="003A1134">
        <w:t xml:space="preserve"> of the ASIC Rules provides a form of substituted compliance for foreign reporting entities by taking their reporting under a foreign jurisdiction’s substantially equivalent reporting requirements (alternative reporting requirements) as satisfying their ASIC Rules reporting requirements. The transaction reporting must be to an ASIC prescribed repository and be ‘</w:t>
      </w:r>
      <w:bookmarkStart w:id="299" w:name="_Hlk54124183"/>
      <w:r w:rsidRPr="003A1134">
        <w:t>designated’ as information that has been reported under the ASIC Rules</w:t>
      </w:r>
      <w:bookmarkEnd w:id="299"/>
      <w:r w:rsidRPr="003A1134">
        <w:t>.</w:t>
      </w:r>
    </w:p>
    <w:p w14:paraId="7FA3FAC0" w14:textId="77777777" w:rsidR="00D172F1" w:rsidRDefault="00D172F1" w:rsidP="00C443A0">
      <w:pPr>
        <w:pStyle w:val="BodyText"/>
        <w:numPr>
          <w:ilvl w:val="0"/>
          <w:numId w:val="17"/>
        </w:numPr>
      </w:pPr>
      <w:r w:rsidRPr="00516653">
        <w:t>Alternative</w:t>
      </w:r>
      <w:r>
        <w:t xml:space="preserve"> reporting can also be used under the ‘single-sided’ exemption in regs 5A.71–7.5A.74 of the Corporations Regulations as the means of reporting by the other party reporting entity in satisfaction of one of the conditions of the exemption.</w:t>
      </w:r>
    </w:p>
    <w:p w14:paraId="50D788F7" w14:textId="77777777" w:rsidR="00D172F1" w:rsidRDefault="00D172F1" w:rsidP="00D172F1">
      <w:pPr>
        <w:pStyle w:val="Heading3"/>
      </w:pPr>
      <w:r>
        <w:t>Delegated reporting</w:t>
      </w:r>
    </w:p>
    <w:p w14:paraId="77AE5740" w14:textId="54675079" w:rsidR="00D172F1" w:rsidRPr="00A829C7" w:rsidRDefault="00D172F1" w:rsidP="00C443A0">
      <w:pPr>
        <w:pStyle w:val="BodyText"/>
        <w:numPr>
          <w:ilvl w:val="0"/>
          <w:numId w:val="17"/>
        </w:numPr>
        <w:spacing w:before="180" w:line="290" w:lineRule="atLeast"/>
        <w:rPr>
          <w:spacing w:val="-2"/>
        </w:rPr>
      </w:pPr>
      <w:r w:rsidRPr="00516653">
        <w:rPr>
          <w:spacing w:val="-2"/>
        </w:rPr>
        <w:t>As</w:t>
      </w:r>
      <w:r w:rsidRPr="00A829C7">
        <w:rPr>
          <w:spacing w:val="-2"/>
        </w:rPr>
        <w:t xml:space="preserve"> is commonly provided for in other jurisdictions, Rule 2.2.7 of the ASIC Rules provides that a reporting entity may appoint another person (a delegate) to report on behalf of the reporting entity. </w:t>
      </w:r>
      <w:r>
        <w:rPr>
          <w:spacing w:val="-2"/>
        </w:rPr>
        <w:t>Rule</w:t>
      </w:r>
      <w:r w:rsidRPr="00A829C7">
        <w:rPr>
          <w:spacing w:val="-2"/>
        </w:rPr>
        <w:t xml:space="preserve"> 2.2.7(2) provides that a reporting entity is taken to have complied with its reporting obligations if they have a documented agreement with their </w:t>
      </w:r>
      <w:r>
        <w:rPr>
          <w:spacing w:val="-2"/>
        </w:rPr>
        <w:t>d</w:t>
      </w:r>
      <w:r w:rsidRPr="00A829C7">
        <w:rPr>
          <w:spacing w:val="-2"/>
        </w:rPr>
        <w:t xml:space="preserve">elegate and if they make </w:t>
      </w:r>
      <w:bookmarkStart w:id="300" w:name="_Hlk54104493"/>
      <w:r w:rsidRPr="00A829C7">
        <w:rPr>
          <w:spacing w:val="-2"/>
        </w:rPr>
        <w:t xml:space="preserve">‘regular </w:t>
      </w:r>
      <w:r w:rsidR="00674468">
        <w:rPr>
          <w:spacing w:val="-2"/>
        </w:rPr>
        <w:t>i</w:t>
      </w:r>
      <w:r w:rsidRPr="00A829C7">
        <w:rPr>
          <w:spacing w:val="-2"/>
        </w:rPr>
        <w:t xml:space="preserve">nquiries reasonably designed’ to determine if the </w:t>
      </w:r>
      <w:r>
        <w:rPr>
          <w:spacing w:val="-2"/>
        </w:rPr>
        <w:t>d</w:t>
      </w:r>
      <w:r w:rsidRPr="00A829C7">
        <w:rPr>
          <w:spacing w:val="-2"/>
        </w:rPr>
        <w:t>elegate is complying with the terms of the agreement</w:t>
      </w:r>
      <w:bookmarkEnd w:id="300"/>
      <w:r w:rsidRPr="00A829C7">
        <w:rPr>
          <w:spacing w:val="-2"/>
        </w:rPr>
        <w:t>.</w:t>
      </w:r>
    </w:p>
    <w:p w14:paraId="76562530" w14:textId="77777777" w:rsidR="00D172F1" w:rsidRDefault="00D172F1" w:rsidP="00C443A0">
      <w:pPr>
        <w:pStyle w:val="BodyText"/>
        <w:numPr>
          <w:ilvl w:val="0"/>
          <w:numId w:val="17"/>
        </w:numPr>
        <w:spacing w:before="180" w:line="290" w:lineRule="atLeast"/>
      </w:pPr>
      <w:r w:rsidRPr="00516653">
        <w:t>Rule 2.2.6</w:t>
      </w:r>
      <w:r>
        <w:t xml:space="preserve"> provides that a reporting entity must take all reasonable steps to ensure that information it reports, ‘whether reported by the reporting entity on its own behalf or by another person on behalf of the reporting entity, is and remains at all times complete, accurate and current’.</w:t>
      </w:r>
    </w:p>
    <w:p w14:paraId="61DD94DA" w14:textId="7A63D172" w:rsidR="00D172F1" w:rsidRDefault="00D172F1" w:rsidP="00D172F1">
      <w:pPr>
        <w:pStyle w:val="Heading2"/>
      </w:pPr>
      <w:bookmarkStart w:id="301" w:name="_Toc95402022"/>
      <w:bookmarkStart w:id="302" w:name="_Toc103174652"/>
      <w:r>
        <w:t>ASIC’s discussion of alternative reporting and delegated reporting in</w:t>
      </w:r>
      <w:r w:rsidR="00344352">
        <w:t> </w:t>
      </w:r>
      <w:r>
        <w:t>CP</w:t>
      </w:r>
      <w:r w:rsidR="00D901CF">
        <w:t xml:space="preserve"> </w:t>
      </w:r>
      <w:r>
        <w:t>334</w:t>
      </w:r>
      <w:bookmarkEnd w:id="301"/>
      <w:bookmarkEnd w:id="302"/>
    </w:p>
    <w:p w14:paraId="0CA45720" w14:textId="77777777" w:rsidR="00D172F1" w:rsidRDefault="00D172F1" w:rsidP="00D172F1">
      <w:pPr>
        <w:pStyle w:val="Heading3"/>
      </w:pPr>
      <w:r>
        <w:t>Alternative reporting</w:t>
      </w:r>
    </w:p>
    <w:p w14:paraId="17AF17A2" w14:textId="24407D39" w:rsidR="00D172F1" w:rsidRDefault="00D172F1" w:rsidP="00C443A0">
      <w:pPr>
        <w:pStyle w:val="BodyText"/>
        <w:numPr>
          <w:ilvl w:val="0"/>
          <w:numId w:val="17"/>
        </w:numPr>
        <w:spacing w:before="180" w:line="290" w:lineRule="atLeast"/>
      </w:pPr>
      <w:bookmarkStart w:id="303" w:name="_ASICRef297"/>
      <w:r>
        <w:t xml:space="preserve">In </w:t>
      </w:r>
      <w:hyperlink r:id="rId161" w:history="1">
        <w:r w:rsidRPr="00D901CF">
          <w:rPr>
            <w:rStyle w:val="Hyperlink"/>
          </w:rPr>
          <w:t>CP</w:t>
        </w:r>
        <w:r w:rsidR="00D901CF" w:rsidRPr="00D901CF">
          <w:rPr>
            <w:rStyle w:val="Hyperlink"/>
          </w:rPr>
          <w:t xml:space="preserve"> </w:t>
        </w:r>
        <w:r w:rsidRPr="00D901CF">
          <w:rPr>
            <w:rStyle w:val="Hyperlink"/>
          </w:rPr>
          <w:t>334</w:t>
        </w:r>
      </w:hyperlink>
      <w:r>
        <w:t>, we described our concerns with the operation of alternative reporting, including that:</w:t>
      </w:r>
      <w:bookmarkEnd w:id="303"/>
    </w:p>
    <w:p w14:paraId="332A4D63" w14:textId="3E0BB328" w:rsidR="00D172F1" w:rsidRDefault="00D901CF" w:rsidP="00C443A0">
      <w:pPr>
        <w:pStyle w:val="subparaa"/>
        <w:numPr>
          <w:ilvl w:val="1"/>
          <w:numId w:val="17"/>
        </w:numPr>
        <w:spacing w:before="80" w:line="290" w:lineRule="atLeast"/>
      </w:pPr>
      <w:r>
        <w:t xml:space="preserve">there </w:t>
      </w:r>
      <w:r w:rsidR="00D172F1">
        <w:t>is no requirement to notify ASIC that a reporting entity is using alternative reporting and ASIC is not readily able to identify the prescribed repositories to whom we need to connect to receive those transaction reports;</w:t>
      </w:r>
    </w:p>
    <w:p w14:paraId="78E796E5" w14:textId="61E4D853" w:rsidR="00D172F1" w:rsidRDefault="00D901CF" w:rsidP="00C443A0">
      <w:pPr>
        <w:pStyle w:val="subparaa"/>
        <w:numPr>
          <w:ilvl w:val="1"/>
          <w:numId w:val="17"/>
        </w:numPr>
        <w:spacing w:before="80" w:line="290" w:lineRule="atLeast"/>
      </w:pPr>
      <w:r>
        <w:t xml:space="preserve">the </w:t>
      </w:r>
      <w:r w:rsidR="00D172F1">
        <w:t xml:space="preserve">‘designation’ was intended to be a designation to the relevant </w:t>
      </w:r>
      <w:r w:rsidR="00D172F1" w:rsidRPr="00D86971">
        <w:rPr>
          <w:rFonts w:eastAsiaTheme="minorHAnsi"/>
        </w:rPr>
        <w:t>trade repository</w:t>
      </w:r>
      <w:r w:rsidR="00D172F1">
        <w:t xml:space="preserve"> of transaction reporting that is also for ASIC Rules—however, none of the prescribed repositories with whom we have engaged are technically able to identify transaction reports as being in substituted compliance for the ASIC Rules; and</w:t>
      </w:r>
    </w:p>
    <w:p w14:paraId="6794B76A" w14:textId="234BDD58" w:rsidR="00D172F1" w:rsidRDefault="00D901CF" w:rsidP="00C443A0">
      <w:pPr>
        <w:pStyle w:val="subparaa"/>
        <w:numPr>
          <w:ilvl w:val="1"/>
          <w:numId w:val="17"/>
        </w:numPr>
        <w:spacing w:before="80" w:line="290" w:lineRule="atLeast"/>
      </w:pPr>
      <w:r>
        <w:t xml:space="preserve">where </w:t>
      </w:r>
      <w:r w:rsidR="00D172F1">
        <w:t xml:space="preserve">a licensed repository is also a prescribed repository, the </w:t>
      </w:r>
      <w:r w:rsidR="00D172F1" w:rsidRPr="00D86971">
        <w:rPr>
          <w:rFonts w:eastAsiaTheme="minorHAnsi"/>
        </w:rPr>
        <w:t>trade repository</w:t>
      </w:r>
      <w:r w:rsidR="00D172F1">
        <w:t xml:space="preserve"> can be constrained in implementing data element validations and completeness requirements for ASIC data elements that are not present in, or require different value types to, another jurisdiction’s data element set given the possibility that a reporting entity is using alternative reporting.</w:t>
      </w:r>
    </w:p>
    <w:p w14:paraId="4F4D50D2" w14:textId="0436A71B" w:rsidR="00D172F1" w:rsidRDefault="00D172F1" w:rsidP="00C443A0">
      <w:pPr>
        <w:pStyle w:val="BodyText"/>
        <w:numPr>
          <w:ilvl w:val="0"/>
          <w:numId w:val="17"/>
        </w:numPr>
        <w:spacing w:before="180" w:line="290" w:lineRule="atLeast"/>
        <w:rPr>
          <w:rFonts w:eastAsiaTheme="minorHAnsi"/>
        </w:rPr>
      </w:pPr>
      <w:bookmarkStart w:id="304" w:name="_ASICRef235"/>
      <w:r w:rsidRPr="00593C7A">
        <w:rPr>
          <w:rFonts w:eastAsiaTheme="minorHAnsi"/>
        </w:rPr>
        <w:t>In CP</w:t>
      </w:r>
      <w:r w:rsidR="00D901CF">
        <w:rPr>
          <w:rFonts w:eastAsiaTheme="minorHAnsi"/>
        </w:rPr>
        <w:t xml:space="preserve"> </w:t>
      </w:r>
      <w:r w:rsidRPr="00593C7A">
        <w:rPr>
          <w:rFonts w:eastAsiaTheme="minorHAnsi"/>
        </w:rPr>
        <w:t xml:space="preserve">334, we did not make a specific proposal on alternative reporting and sought to gather information about the scope and practices of reporting entities undertaking alternative reporting. We requested that reporting entities that are current users of alternative reporting engage in discussion with us about their alternative reporting practices, including identifying the ASIC prescribed repository to which they report and the means by which they </w:t>
      </w:r>
      <w:r>
        <w:rPr>
          <w:rFonts w:eastAsiaTheme="minorHAnsi"/>
        </w:rPr>
        <w:t>‘</w:t>
      </w:r>
      <w:r w:rsidRPr="00593C7A">
        <w:rPr>
          <w:rFonts w:eastAsiaTheme="minorHAnsi"/>
        </w:rPr>
        <w:t>designate’ the</w:t>
      </w:r>
      <w:r>
        <w:rPr>
          <w:rFonts w:eastAsiaTheme="minorHAnsi"/>
        </w:rPr>
        <w:t>ir</w:t>
      </w:r>
      <w:r w:rsidRPr="00593C7A">
        <w:rPr>
          <w:rFonts w:eastAsiaTheme="minorHAnsi"/>
        </w:rPr>
        <w:t xml:space="preserve"> reporting as information that has been reported under the ASIC Rules</w:t>
      </w:r>
      <w:r>
        <w:rPr>
          <w:rFonts w:eastAsiaTheme="minorHAnsi"/>
        </w:rPr>
        <w:t>.</w:t>
      </w:r>
      <w:bookmarkEnd w:id="304"/>
    </w:p>
    <w:p w14:paraId="64227708" w14:textId="77777777" w:rsidR="00D172F1" w:rsidRPr="00D14346" w:rsidRDefault="00D172F1" w:rsidP="00D172F1">
      <w:pPr>
        <w:pStyle w:val="Heading3"/>
        <w:rPr>
          <w:rFonts w:eastAsiaTheme="minorHAnsi"/>
        </w:rPr>
      </w:pPr>
      <w:r>
        <w:rPr>
          <w:rFonts w:eastAsiaTheme="minorHAnsi"/>
        </w:rPr>
        <w:t>Delegated reporting</w:t>
      </w:r>
    </w:p>
    <w:p w14:paraId="193D5995" w14:textId="5910B5A5" w:rsidR="00D172F1" w:rsidRDefault="00D172F1" w:rsidP="00C443A0">
      <w:pPr>
        <w:pStyle w:val="BodyText"/>
        <w:numPr>
          <w:ilvl w:val="0"/>
          <w:numId w:val="17"/>
        </w:numPr>
      </w:pPr>
      <w:r>
        <w:t xml:space="preserve">In </w:t>
      </w:r>
      <w:hyperlink r:id="rId162" w:history="1">
        <w:r w:rsidRPr="00D901CF">
          <w:rPr>
            <w:rStyle w:val="Hyperlink"/>
          </w:rPr>
          <w:t>CP</w:t>
        </w:r>
        <w:r w:rsidR="00D901CF" w:rsidRPr="00D901CF">
          <w:rPr>
            <w:rStyle w:val="Hyperlink"/>
          </w:rPr>
          <w:t xml:space="preserve"> </w:t>
        </w:r>
        <w:r w:rsidRPr="00D901CF">
          <w:rPr>
            <w:rStyle w:val="Hyperlink"/>
          </w:rPr>
          <w:t>334</w:t>
        </w:r>
      </w:hyperlink>
      <w:r>
        <w:t>, we described our concerns with the operation of delegated reporting, including that:</w:t>
      </w:r>
    </w:p>
    <w:p w14:paraId="61A25D47" w14:textId="1A872400" w:rsidR="00D172F1" w:rsidRDefault="00D901CF" w:rsidP="00C443A0">
      <w:pPr>
        <w:pStyle w:val="subparaa"/>
        <w:numPr>
          <w:ilvl w:val="1"/>
          <w:numId w:val="17"/>
        </w:numPr>
      </w:pPr>
      <w:r>
        <w:t>f</w:t>
      </w:r>
      <w:r w:rsidRPr="00D86971">
        <w:t xml:space="preserve">rom </w:t>
      </w:r>
      <w:r w:rsidR="00D172F1" w:rsidRPr="00D86971">
        <w:t xml:space="preserve">our own interactions with a variety of reporting entities that make use of delegated reporting, we </w:t>
      </w:r>
      <w:r w:rsidR="00D172F1">
        <w:t>have been unconvinced that all reporting entities are capable of</w:t>
      </w:r>
      <w:r w:rsidR="00737DBD">
        <w:t xml:space="preserve"> subjecting</w:t>
      </w:r>
      <w:r w:rsidR="00D172F1">
        <w:t>, and do subject</w:t>
      </w:r>
      <w:r w:rsidR="00737DBD">
        <w:t>,</w:t>
      </w:r>
      <w:r w:rsidR="00D172F1">
        <w:t xml:space="preserve"> their delegated reporting arrangements to a level of oversight and rigour that sufficiently contributes to maintaining reported information as complete, accurate and current; and</w:t>
      </w:r>
    </w:p>
    <w:p w14:paraId="2CE156D1" w14:textId="676F5D65" w:rsidR="00D172F1" w:rsidRDefault="00D901CF" w:rsidP="00C443A0">
      <w:pPr>
        <w:pStyle w:val="subparaa"/>
        <w:numPr>
          <w:ilvl w:val="1"/>
          <w:numId w:val="17"/>
        </w:numPr>
      </w:pPr>
      <w:r>
        <w:t xml:space="preserve">circumstances </w:t>
      </w:r>
      <w:r w:rsidR="00D172F1">
        <w:t>have arisen where reporting entities have changed their delegate and the new reporting arrangements established with a trade repository have not immediately included the ability to make error corrections to transaction reports made by the preceding delegate.</w:t>
      </w:r>
    </w:p>
    <w:p w14:paraId="5BCC6A96" w14:textId="1A3B8D19" w:rsidR="00D172F1" w:rsidRPr="00164691" w:rsidRDefault="00D172F1" w:rsidP="00C443A0">
      <w:pPr>
        <w:pStyle w:val="BodyText"/>
        <w:numPr>
          <w:ilvl w:val="0"/>
          <w:numId w:val="17"/>
        </w:numPr>
      </w:pPr>
      <w:r w:rsidRPr="00593C7A">
        <w:rPr>
          <w:rFonts w:eastAsiaTheme="minorHAnsi"/>
        </w:rPr>
        <w:t>In CP</w:t>
      </w:r>
      <w:r w:rsidR="00D901CF">
        <w:rPr>
          <w:rFonts w:eastAsiaTheme="minorHAnsi"/>
        </w:rPr>
        <w:t xml:space="preserve"> </w:t>
      </w:r>
      <w:r w:rsidRPr="00593C7A">
        <w:rPr>
          <w:rFonts w:eastAsiaTheme="minorHAnsi"/>
        </w:rPr>
        <w:t>334, we also did not make a specific proposal on delegated reporting but we said</w:t>
      </w:r>
      <w:r w:rsidRPr="00593C7A">
        <w:t xml:space="preserve"> that, </w:t>
      </w:r>
      <w:r>
        <w:t>i</w:t>
      </w:r>
      <w:r w:rsidRPr="00593C7A">
        <w:t>n principle, we consider</w:t>
      </w:r>
      <w:r>
        <w:t>ed</w:t>
      </w:r>
      <w:r w:rsidRPr="00593C7A">
        <w:t xml:space="preserve"> the most effective approach to addressing our concerns in</w:t>
      </w:r>
      <w:r>
        <w:t xml:space="preserve"> relation to delegated reporting is to amend the ASIC Rules to remove the ‘safe harbour’ provisions and revert to reporting entities having responsibilities for reporting as otherwise set out in the ASIC Rules. </w:t>
      </w:r>
    </w:p>
    <w:p w14:paraId="4C21F474" w14:textId="7A629046" w:rsidR="00D172F1" w:rsidRDefault="00D172F1" w:rsidP="00C443A0">
      <w:pPr>
        <w:pStyle w:val="BodyText"/>
        <w:numPr>
          <w:ilvl w:val="0"/>
          <w:numId w:val="17"/>
        </w:numPr>
      </w:pPr>
      <w:r w:rsidRPr="00A80DF8">
        <w:rPr>
          <w:rFonts w:eastAsiaTheme="minorHAnsi"/>
        </w:rPr>
        <w:t xml:space="preserve">However, </w:t>
      </w:r>
      <w:r>
        <w:t xml:space="preserve">we sought feedback </w:t>
      </w:r>
      <w:r w:rsidRPr="006A2A4B">
        <w:t>to gather information about the</w:t>
      </w:r>
      <w:r>
        <w:t xml:space="preserve"> </w:t>
      </w:r>
      <w:r w:rsidRPr="006A2A4B">
        <w:t xml:space="preserve">practices of </w:t>
      </w:r>
      <w:r>
        <w:t>reporting entit</w:t>
      </w:r>
      <w:r w:rsidRPr="006A2A4B">
        <w:t xml:space="preserve">ies in overseeing their </w:t>
      </w:r>
      <w:r>
        <w:t>d</w:t>
      </w:r>
      <w:r w:rsidRPr="006A2A4B">
        <w:t>elegates</w:t>
      </w:r>
      <w:r>
        <w:t xml:space="preserve">. In particular, we requested information about </w:t>
      </w:r>
      <w:bookmarkStart w:id="305" w:name="_Hlk54123544"/>
      <w:r>
        <w:t>the specific processes and practices that reporting entities rely on to determine if their delegate is complying with the terms of the delegation agreement</w:t>
      </w:r>
      <w:bookmarkEnd w:id="305"/>
      <w:r>
        <w:t xml:space="preserve"> and to ensure that complete, accurate and current reporting is being carried out.</w:t>
      </w:r>
    </w:p>
    <w:p w14:paraId="4DABD890" w14:textId="3F667A01" w:rsidR="00D172F1" w:rsidRDefault="00D172F1" w:rsidP="00D172F1">
      <w:pPr>
        <w:pStyle w:val="Heading2"/>
      </w:pPr>
      <w:bookmarkStart w:id="306" w:name="_Toc103174653"/>
      <w:bookmarkStart w:id="307" w:name="_Toc95402023"/>
      <w:r w:rsidRPr="00077D23">
        <w:t>Feedback on our discussions in CP 334</w:t>
      </w:r>
      <w:bookmarkEnd w:id="306"/>
      <w:r w:rsidRPr="00077D23">
        <w:t xml:space="preserve"> </w:t>
      </w:r>
      <w:bookmarkEnd w:id="307"/>
    </w:p>
    <w:p w14:paraId="549FDEA8" w14:textId="77777777" w:rsidR="00D172F1" w:rsidRDefault="00D172F1" w:rsidP="00D172F1">
      <w:pPr>
        <w:pStyle w:val="Heading3"/>
      </w:pPr>
      <w:r>
        <w:t>Alternative reporting</w:t>
      </w:r>
    </w:p>
    <w:p w14:paraId="142DC4C7" w14:textId="77777777" w:rsidR="00D172F1" w:rsidRDefault="00D172F1" w:rsidP="00C443A0">
      <w:pPr>
        <w:pStyle w:val="BodyText"/>
        <w:numPr>
          <w:ilvl w:val="0"/>
          <w:numId w:val="17"/>
        </w:numPr>
      </w:pPr>
      <w:bookmarkStart w:id="308" w:name="_ASICRef30"/>
      <w:r>
        <w:t xml:space="preserve">We received mixed, but limited, feedback in response to our request for information about the scope and practices of reporting entities undertaking alternative reporting in CP 334. </w:t>
      </w:r>
      <w:bookmarkEnd w:id="308"/>
    </w:p>
    <w:p w14:paraId="3AE2AF6E" w14:textId="5A1415FE" w:rsidR="00D172F1" w:rsidRDefault="00D172F1" w:rsidP="00C443A0">
      <w:pPr>
        <w:pStyle w:val="BodyText"/>
        <w:numPr>
          <w:ilvl w:val="0"/>
          <w:numId w:val="17"/>
        </w:numPr>
      </w:pPr>
      <w:r>
        <w:t>One submission supported the removal of the alternative reporting provision</w:t>
      </w:r>
      <w:r w:rsidR="00737DBD">
        <w:t>,</w:t>
      </w:r>
      <w:r>
        <w:t xml:space="preserve"> noting</w:t>
      </w:r>
      <w:r w:rsidR="00077D23">
        <w:t xml:space="preserve"> </w:t>
      </w:r>
      <w:r>
        <w:t xml:space="preserve">the operational complexities associated with its implementation, the lack of international adoption by other jurisdictions and the lack of a mechanism, both under current and proposed rules, by which ASIC can or could reliably identify alternative reporting submissions. </w:t>
      </w:r>
    </w:p>
    <w:p w14:paraId="2570DE16" w14:textId="71154EC9" w:rsidR="00D172F1" w:rsidRDefault="00D172F1" w:rsidP="00C443A0">
      <w:pPr>
        <w:pStyle w:val="BodyText"/>
        <w:numPr>
          <w:ilvl w:val="0"/>
          <w:numId w:val="17"/>
        </w:numPr>
        <w:spacing w:line="310" w:lineRule="atLeast"/>
      </w:pPr>
      <w:r>
        <w:t xml:space="preserve">Other respondents strongly disagreed with the removal of the provision. Responses supported amendments to the provision to overcome the shortcomings outlined in </w:t>
      </w:r>
      <w:hyperlink r:id="rId163" w:history="1">
        <w:r w:rsidRPr="00077D23">
          <w:rPr>
            <w:rStyle w:val="Hyperlink"/>
          </w:rPr>
          <w:t>CP 334</w:t>
        </w:r>
      </w:hyperlink>
      <w:r w:rsidR="00077D23">
        <w:t>,</w:t>
      </w:r>
      <w:r>
        <w:t xml:space="preserve"> including:</w:t>
      </w:r>
    </w:p>
    <w:p w14:paraId="7604C4A3" w14:textId="6C074D90" w:rsidR="00D172F1" w:rsidRDefault="00D172F1" w:rsidP="00C443A0">
      <w:pPr>
        <w:pStyle w:val="subparaa"/>
        <w:numPr>
          <w:ilvl w:val="1"/>
          <w:numId w:val="17"/>
        </w:numPr>
        <w:spacing w:line="310" w:lineRule="atLeast"/>
      </w:pPr>
      <w:r w:rsidRPr="00C64D90">
        <w:t>a framework whereby reporting entities notify ASIC of their intention to commence alternative reporting and await confirmation of ASIC’s connectivity to the relevant trade repository before commencing alternative reporting to a prescribed repository</w:t>
      </w:r>
      <w:r w:rsidR="00DC76BF">
        <w:t>; and</w:t>
      </w:r>
    </w:p>
    <w:p w14:paraId="2FF88878" w14:textId="77777777" w:rsidR="00D172F1" w:rsidRDefault="00D172F1" w:rsidP="00C443A0">
      <w:pPr>
        <w:pStyle w:val="subparaa"/>
        <w:numPr>
          <w:ilvl w:val="1"/>
          <w:numId w:val="17"/>
        </w:numPr>
        <w:spacing w:line="310" w:lineRule="atLeast"/>
      </w:pPr>
      <w:r>
        <w:t>in the case of single-sided relief, firms could be required to sign up to an agreement which helps to identify who the reporting entity would be, similar to existing requirements under the Ontario Securities Commission in Canada.</w:t>
      </w:r>
    </w:p>
    <w:p w14:paraId="6C9822C2" w14:textId="3245CC5C" w:rsidR="00D172F1" w:rsidRDefault="00D172F1" w:rsidP="00D172F1">
      <w:pPr>
        <w:pStyle w:val="Heading4"/>
      </w:pPr>
      <w:r>
        <w:t>Matter deferred to the third consultation</w:t>
      </w:r>
    </w:p>
    <w:p w14:paraId="237A4B0A" w14:textId="5260E60B" w:rsidR="00D172F1" w:rsidRDefault="00D172F1" w:rsidP="00C443A0">
      <w:pPr>
        <w:pStyle w:val="BodyText"/>
        <w:numPr>
          <w:ilvl w:val="0"/>
          <w:numId w:val="17"/>
        </w:numPr>
        <w:spacing w:line="310" w:lineRule="atLeast"/>
      </w:pPr>
      <w:r>
        <w:t>We have not concluded our review and analysis about improvements that could be made in the ASIC Rules to the operation of the reporting e</w:t>
      </w:r>
      <w:r w:rsidRPr="00C0251A">
        <w:t>xception for foreign entities</w:t>
      </w:r>
      <w:r>
        <w:t xml:space="preserve"> using the a</w:t>
      </w:r>
      <w:r w:rsidRPr="00C0251A">
        <w:t>lternative reporting</w:t>
      </w:r>
      <w:r>
        <w:t xml:space="preserve"> provision or whether it should be removed altogether.</w:t>
      </w:r>
    </w:p>
    <w:p w14:paraId="259D7B1A" w14:textId="77777777" w:rsidR="00D172F1" w:rsidRPr="00EA0690" w:rsidRDefault="00D172F1" w:rsidP="00C443A0">
      <w:pPr>
        <w:pStyle w:val="BodyText"/>
        <w:numPr>
          <w:ilvl w:val="0"/>
          <w:numId w:val="17"/>
        </w:numPr>
        <w:spacing w:line="310" w:lineRule="atLeast"/>
      </w:pPr>
      <w:bookmarkStart w:id="309" w:name="_ASICRef322"/>
      <w:r>
        <w:t>We are deferring consideration of this matter to the third consultation.</w:t>
      </w:r>
      <w:bookmarkEnd w:id="309"/>
    </w:p>
    <w:p w14:paraId="25885E54" w14:textId="77777777" w:rsidR="00D172F1" w:rsidRDefault="00D172F1" w:rsidP="00D172F1">
      <w:pPr>
        <w:pStyle w:val="Heading3"/>
      </w:pPr>
      <w:r>
        <w:t>Delegated reporting</w:t>
      </w:r>
    </w:p>
    <w:p w14:paraId="7B9773BC" w14:textId="6B63B76D" w:rsidR="00D172F1" w:rsidRDefault="00D172F1" w:rsidP="00C443A0">
      <w:pPr>
        <w:pStyle w:val="BodyText"/>
        <w:numPr>
          <w:ilvl w:val="0"/>
          <w:numId w:val="17"/>
        </w:numPr>
        <w:spacing w:line="310" w:lineRule="atLeast"/>
      </w:pPr>
      <w:r>
        <w:t>Following the release of CP 334, we requested submissions to CP 334 from a cross</w:t>
      </w:r>
      <w:r w:rsidR="00DC76BF">
        <w:t>-</w:t>
      </w:r>
      <w:r>
        <w:t>section of industry identified as using report</w:t>
      </w:r>
      <w:r w:rsidR="00DD5821">
        <w:t>ing services providers</w:t>
      </w:r>
      <w:r>
        <w:t xml:space="preserve">, to better understand existing practices and operational insights in relation to delegated reporting. Respondents to CP 334 strongly disagreed with our preliminary approach of proposing to remove the ‘safe harbour’ provisions and revert to reporting entities having responsibility for the accuracy of reporting performed by a delegate. </w:t>
      </w:r>
      <w:r w:rsidRPr="00114845">
        <w:t xml:space="preserve">In line with the </w:t>
      </w:r>
      <w:r>
        <w:t xml:space="preserve">intended </w:t>
      </w:r>
      <w:r w:rsidRPr="00114845">
        <w:t>policy design, feedback identif</w:t>
      </w:r>
      <w:r>
        <w:t>ied</w:t>
      </w:r>
      <w:r w:rsidRPr="00114845">
        <w:t xml:space="preserve"> buy-side and</w:t>
      </w:r>
      <w:r>
        <w:t>/or</w:t>
      </w:r>
      <w:r w:rsidRPr="00114845">
        <w:t xml:space="preserve"> smaller entities</w:t>
      </w:r>
      <w:r>
        <w:t xml:space="preserve"> as the</w:t>
      </w:r>
      <w:r w:rsidRPr="00114845">
        <w:t xml:space="preserve"> </w:t>
      </w:r>
      <w:r>
        <w:t xml:space="preserve">primary </w:t>
      </w:r>
      <w:r w:rsidRPr="00114845">
        <w:t>benefi</w:t>
      </w:r>
      <w:r>
        <w:t xml:space="preserve">ciaries of the </w:t>
      </w:r>
      <w:r w:rsidRPr="00114845">
        <w:t>‘safe harbour’</w:t>
      </w:r>
      <w:r>
        <w:t xml:space="preserve"> provision. </w:t>
      </w:r>
    </w:p>
    <w:p w14:paraId="7C3FEE7A" w14:textId="6B80B4A0" w:rsidR="00D172F1" w:rsidRDefault="00D172F1" w:rsidP="00C443A0">
      <w:pPr>
        <w:pStyle w:val="BodyText"/>
        <w:numPr>
          <w:ilvl w:val="0"/>
          <w:numId w:val="17"/>
        </w:numPr>
        <w:spacing w:line="310" w:lineRule="atLeast"/>
      </w:pPr>
      <w:r>
        <w:t>The key challenges and concerns raised by respondents were centred on the capability uplift that may be required by reporting entities to accurately oversee OTC derivative trade reporting by a delegate. Respondents expressed concern that a proposal to remove the ‘safe harbour’ provision would be tantamount to requiring reporting entities to build and resource their own trade reporting solutions to either mirror or replace that of their existing delegates.</w:t>
      </w:r>
    </w:p>
    <w:p w14:paraId="3BACAFD6" w14:textId="439E4AD9" w:rsidR="00D172F1" w:rsidRDefault="00D172F1" w:rsidP="00C443A0">
      <w:pPr>
        <w:pStyle w:val="BodyText"/>
        <w:numPr>
          <w:ilvl w:val="0"/>
          <w:numId w:val="17"/>
        </w:numPr>
        <w:spacing w:line="310" w:lineRule="atLeast"/>
      </w:pPr>
      <w:r>
        <w:t>Many respondents suggested alternatives in preference to removing the existing ‘safe harbour’ provision. Single-sided reporting was raised as a preferred solution by several respondents, as was improved guidance to both reporting entities and their delegates. One respondent suggested that ASIC should provide reporting entities with direct access to their reported data via a regulatory portal for reconciliation purposes, particularly relevant in circumstances where trade repository access is exclusively via a third-party reporter.</w:t>
      </w:r>
    </w:p>
    <w:p w14:paraId="6AE285C6" w14:textId="4F5FDB49" w:rsidR="00D172F1" w:rsidRDefault="00D172F1" w:rsidP="00C443A0">
      <w:pPr>
        <w:pStyle w:val="BodyText"/>
        <w:numPr>
          <w:ilvl w:val="0"/>
          <w:numId w:val="17"/>
        </w:numPr>
        <w:spacing w:line="310" w:lineRule="atLeast"/>
      </w:pPr>
      <w:r>
        <w:t xml:space="preserve">We received comments highlighting the outsourcing of some business functions and a lack of proximity to the transaction details/source data as relevant for some types of reporting entities using delegated reporting. </w:t>
      </w:r>
      <w:r w:rsidR="00D3356A">
        <w:t>As a consequence</w:t>
      </w:r>
      <w:r>
        <w:t xml:space="preserve">, </w:t>
      </w:r>
      <w:r w:rsidR="00DC76BF">
        <w:t>there were</w:t>
      </w:r>
      <w:r>
        <w:t xml:space="preserve"> concerns about the deadline for reporting, the ability to conduct timely and accurate reconciliations and other operational complexities. Broadly, the current centralisation of the reporting function was considered fit</w:t>
      </w:r>
      <w:r w:rsidR="00DC76BF">
        <w:t xml:space="preserve"> </w:t>
      </w:r>
      <w:r>
        <w:t>for</w:t>
      </w:r>
      <w:r w:rsidR="00DC76BF">
        <w:t xml:space="preserve"> </w:t>
      </w:r>
      <w:r>
        <w:t>purpose.</w:t>
      </w:r>
      <w:r w:rsidR="00051A93">
        <w:t xml:space="preserve"> </w:t>
      </w:r>
    </w:p>
    <w:p w14:paraId="0F32DF64" w14:textId="24EB1ADE" w:rsidR="00D172F1" w:rsidRDefault="00D172F1" w:rsidP="00C443A0">
      <w:pPr>
        <w:pStyle w:val="BodyText"/>
        <w:numPr>
          <w:ilvl w:val="0"/>
          <w:numId w:val="17"/>
        </w:numPr>
        <w:spacing w:line="310" w:lineRule="atLeast"/>
      </w:pPr>
      <w:r>
        <w:t>Other concerns and challenges raised in feedback include a potential move away from the use of reporting service</w:t>
      </w:r>
      <w:r w:rsidR="00C3786C">
        <w:t>s</w:t>
      </w:r>
      <w:r>
        <w:t xml:space="preserve"> providers, a potential deterioration in the quality of reported data and a potential move away from using appropriate OTC derivative hedge products to avoid triggering reporting obligations. </w:t>
      </w:r>
    </w:p>
    <w:p w14:paraId="2DB0A684" w14:textId="77777777" w:rsidR="00D172F1" w:rsidRDefault="00D172F1" w:rsidP="00D172F1">
      <w:pPr>
        <w:pStyle w:val="Heading4"/>
      </w:pPr>
      <w:r>
        <w:t>Our response</w:t>
      </w:r>
    </w:p>
    <w:p w14:paraId="6CF0EFB7" w14:textId="6D5E98CA" w:rsidR="00D172F1" w:rsidRDefault="00D172F1" w:rsidP="00C443A0">
      <w:pPr>
        <w:pStyle w:val="BodyText"/>
        <w:numPr>
          <w:ilvl w:val="0"/>
          <w:numId w:val="17"/>
        </w:numPr>
        <w:spacing w:line="310" w:lineRule="atLeast"/>
      </w:pPr>
      <w:bookmarkStart w:id="310" w:name="_Hlk95074361"/>
      <w:r>
        <w:t>Thorough consideration has been given to the valuable insights provided in response to our requests for feedback on</w:t>
      </w:r>
      <w:r w:rsidR="0010084F">
        <w:t xml:space="preserve"> </w:t>
      </w:r>
      <w:r w:rsidR="0010084F" w:rsidRPr="0010084F">
        <w:t>delegated reporting</w:t>
      </w:r>
      <w:r w:rsidR="0010084F">
        <w:t>.</w:t>
      </w:r>
      <w:r>
        <w:t xml:space="preserve"> However, we are now formally proposing to remove it in the draft remade ASIC Rules</w:t>
      </w:r>
      <w:r w:rsidR="00C3786C">
        <w:t>: see</w:t>
      </w:r>
      <w:r>
        <w:t xml:space="preserve"> draft Rule 2.2.7. </w:t>
      </w:r>
    </w:p>
    <w:p w14:paraId="7229308B" w14:textId="182540BE" w:rsidR="00D172F1" w:rsidRDefault="00D172F1" w:rsidP="00C443A0">
      <w:pPr>
        <w:pStyle w:val="BodyText"/>
        <w:numPr>
          <w:ilvl w:val="0"/>
          <w:numId w:val="17"/>
        </w:numPr>
        <w:spacing w:line="310" w:lineRule="atLeast"/>
      </w:pPr>
      <w:r>
        <w:t xml:space="preserve">On balance, we consider that it is appropriate to propose </w:t>
      </w:r>
      <w:r w:rsidR="006316B2">
        <w:t>the removal of</w:t>
      </w:r>
      <w:r>
        <w:t xml:space="preserve"> the ‘safe harbour’ provision. We see benefits in simplifying the </w:t>
      </w:r>
      <w:r w:rsidR="005A5E1A">
        <w:t>c</w:t>
      </w:r>
      <w:r>
        <w:t xml:space="preserve">urrent ASIC Rules to maximise the alignment of outsourcing principles across other domestic rules </w:t>
      </w:r>
      <w:r w:rsidR="00471DD7">
        <w:t xml:space="preserve">and standards </w:t>
      </w:r>
      <w:r>
        <w:t xml:space="preserve">for </w:t>
      </w:r>
      <w:r w:rsidR="00471DD7">
        <w:t xml:space="preserve">regulated </w:t>
      </w:r>
      <w:r>
        <w:t>entities, and also more broadly against comparable international derivative transaction reporting requirements in foreign jurisdictions.</w:t>
      </w:r>
    </w:p>
    <w:p w14:paraId="31384872" w14:textId="597C58AC" w:rsidR="00D172F1" w:rsidRDefault="00D172F1" w:rsidP="00C443A0">
      <w:pPr>
        <w:pStyle w:val="BodyText"/>
        <w:numPr>
          <w:ilvl w:val="0"/>
          <w:numId w:val="17"/>
        </w:numPr>
        <w:spacing w:line="310" w:lineRule="atLeast"/>
      </w:pPr>
      <w:r>
        <w:t xml:space="preserve">We recognise the underlying concerns that the ‘safe harbour’ regime has helped to address. Going forward, we intend to provide guidance in an update to </w:t>
      </w:r>
      <w:hyperlink r:id="rId164" w:history="1">
        <w:r w:rsidRPr="006316B2">
          <w:rPr>
            <w:rStyle w:val="Hyperlink"/>
          </w:rPr>
          <w:t>RG 251</w:t>
        </w:r>
      </w:hyperlink>
      <w:r>
        <w:t xml:space="preserve"> that will take a pragmatic and harmonised stance, in terms of: </w:t>
      </w:r>
    </w:p>
    <w:p w14:paraId="5740124F" w14:textId="77777777" w:rsidR="00D172F1" w:rsidRDefault="00D172F1" w:rsidP="00C443A0">
      <w:pPr>
        <w:pStyle w:val="subparaa"/>
        <w:numPr>
          <w:ilvl w:val="1"/>
          <w:numId w:val="17"/>
        </w:numPr>
        <w:spacing w:line="310" w:lineRule="atLeast"/>
      </w:pPr>
      <w:r>
        <w:t xml:space="preserve">our expectations in relation to a reporting entity outsourcing its </w:t>
      </w:r>
      <w:r w:rsidRPr="00BA14F3">
        <w:t>OTC derivative transaction</w:t>
      </w:r>
      <w:r>
        <w:t xml:space="preserve"> reporting; and</w:t>
      </w:r>
    </w:p>
    <w:p w14:paraId="500B32D2" w14:textId="77777777" w:rsidR="00D172F1" w:rsidRDefault="00D172F1" w:rsidP="00C443A0">
      <w:pPr>
        <w:pStyle w:val="subparaa"/>
        <w:numPr>
          <w:ilvl w:val="1"/>
          <w:numId w:val="17"/>
        </w:numPr>
        <w:spacing w:line="310" w:lineRule="atLeast"/>
      </w:pPr>
      <w:r>
        <w:t>ASIC’s approach and expectations in respect of OTC derivative transaction reporting errors and significant breaches.</w:t>
      </w:r>
    </w:p>
    <w:p w14:paraId="2A9D6282" w14:textId="782D5BFA" w:rsidR="00631D4E" w:rsidRDefault="00631D4E" w:rsidP="00C443A0">
      <w:pPr>
        <w:pStyle w:val="BodyText"/>
        <w:numPr>
          <w:ilvl w:val="0"/>
          <w:numId w:val="17"/>
        </w:numPr>
        <w:spacing w:line="310" w:lineRule="atLeast"/>
      </w:pPr>
      <w:r>
        <w:t xml:space="preserve">Our responses and proposals are summarised in </w:t>
      </w:r>
      <w:r>
        <w:fldChar w:fldCharType="begin" w:fldLock="1"/>
      </w:r>
      <w:r>
        <w:instrText xml:space="preserve"> REF _Ref99963511 \h </w:instrText>
      </w:r>
      <w:r>
        <w:fldChar w:fldCharType="separate"/>
      </w:r>
      <w:r w:rsidR="00853A2A">
        <w:t xml:space="preserve">Table </w:t>
      </w:r>
      <w:r w:rsidR="00853A2A">
        <w:rPr>
          <w:noProof/>
        </w:rPr>
        <w:t>41</w:t>
      </w:r>
      <w:r>
        <w:fldChar w:fldCharType="end"/>
      </w:r>
      <w:r>
        <w:t>:</w:t>
      </w:r>
    </w:p>
    <w:p w14:paraId="58A97F20" w14:textId="498ECB17" w:rsidR="00D172F1" w:rsidRDefault="00D172F1" w:rsidP="00D172F1">
      <w:pPr>
        <w:pStyle w:val="tabletitleindented"/>
      </w:pPr>
      <w:bookmarkStart w:id="311" w:name="_Ref99963511"/>
      <w:bookmarkEnd w:id="310"/>
      <w:r>
        <w:t xml:space="preserve">Table </w:t>
      </w:r>
      <w:fldSimple w:instr=" SEQ Table \* ARABIC ">
        <w:r w:rsidR="006679BA">
          <w:rPr>
            <w:noProof/>
          </w:rPr>
          <w:t>41</w:t>
        </w:r>
      </w:fldSimple>
      <w:bookmarkEnd w:id="311"/>
      <w:r>
        <w:t>:</w:t>
      </w:r>
      <w:r>
        <w:tab/>
        <w:t>Summary of ASIC response and further proposals</w:t>
      </w:r>
    </w:p>
    <w:tbl>
      <w:tblPr>
        <w:tblW w:w="6912"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1809"/>
        <w:gridCol w:w="5103"/>
      </w:tblGrid>
      <w:tr w:rsidR="00D172F1" w:rsidRPr="000540E1" w14:paraId="5995F86E" w14:textId="77777777" w:rsidTr="009B3764">
        <w:trPr>
          <w:cantSplit/>
        </w:trPr>
        <w:tc>
          <w:tcPr>
            <w:tcW w:w="1809" w:type="dxa"/>
            <w:shd w:val="clear" w:color="auto" w:fill="C2E3FA"/>
          </w:tcPr>
          <w:p w14:paraId="797ECA7C" w14:textId="78A3B5D0" w:rsidR="00D172F1" w:rsidRPr="000540E1" w:rsidRDefault="00935991" w:rsidP="00F86FF1">
            <w:pPr>
              <w:pStyle w:val="tablehead"/>
            </w:pPr>
            <w:r>
              <w:t>Decisions for the draft remade ASIC Rules</w:t>
            </w:r>
          </w:p>
        </w:tc>
        <w:tc>
          <w:tcPr>
            <w:tcW w:w="5103" w:type="dxa"/>
          </w:tcPr>
          <w:p w14:paraId="102AEB6A" w14:textId="4DB71E2B" w:rsidR="00D172F1" w:rsidRPr="000540E1" w:rsidRDefault="00161564" w:rsidP="00F86FF1">
            <w:pPr>
              <w:pStyle w:val="tbltext"/>
            </w:pPr>
            <w:r>
              <w:t>Not applicable</w:t>
            </w:r>
          </w:p>
        </w:tc>
      </w:tr>
      <w:tr w:rsidR="00D172F1" w:rsidRPr="000540E1" w14:paraId="6EC0D7FF" w14:textId="77777777" w:rsidTr="009B3764">
        <w:trPr>
          <w:cantSplit/>
        </w:trPr>
        <w:tc>
          <w:tcPr>
            <w:tcW w:w="1809" w:type="dxa"/>
            <w:shd w:val="clear" w:color="auto" w:fill="C2E3FA"/>
          </w:tcPr>
          <w:p w14:paraId="69687344" w14:textId="6CF7EBC5" w:rsidR="00D172F1" w:rsidRPr="000540E1" w:rsidRDefault="00935991" w:rsidP="00F86FF1">
            <w:pPr>
              <w:pStyle w:val="tablehead"/>
            </w:pPr>
            <w:r>
              <w:t>Proposals for the draft remade ASIC Rules</w:t>
            </w:r>
          </w:p>
        </w:tc>
        <w:tc>
          <w:tcPr>
            <w:tcW w:w="5103" w:type="dxa"/>
          </w:tcPr>
          <w:p w14:paraId="07B96769" w14:textId="31EE8123" w:rsidR="00D172F1" w:rsidRPr="008F4463" w:rsidRDefault="00C3786C" w:rsidP="00935991">
            <w:pPr>
              <w:pStyle w:val="tbltext"/>
            </w:pPr>
            <w:r>
              <w:t xml:space="preserve">Remove </w:t>
            </w:r>
            <w:r w:rsidR="00D172F1">
              <w:t>the ‘safe harbour’ provision for delegated reporting</w:t>
            </w:r>
          </w:p>
        </w:tc>
      </w:tr>
      <w:tr w:rsidR="00D172F1" w:rsidRPr="000540E1" w14:paraId="5C5EA18E" w14:textId="77777777" w:rsidTr="009B3764">
        <w:trPr>
          <w:cantSplit/>
        </w:trPr>
        <w:tc>
          <w:tcPr>
            <w:tcW w:w="1809" w:type="dxa"/>
            <w:shd w:val="clear" w:color="auto" w:fill="C2E3FA"/>
          </w:tcPr>
          <w:p w14:paraId="772B3BF5" w14:textId="63B1534A" w:rsidR="00D172F1" w:rsidRPr="000540E1" w:rsidRDefault="00935991" w:rsidP="00F86FF1">
            <w:pPr>
              <w:pStyle w:val="tablehead"/>
            </w:pPr>
            <w:r>
              <w:t>Decisions for the draft amended ASIC Rules</w:t>
            </w:r>
          </w:p>
        </w:tc>
        <w:tc>
          <w:tcPr>
            <w:tcW w:w="5103" w:type="dxa"/>
          </w:tcPr>
          <w:p w14:paraId="50A81C9D" w14:textId="050D3403" w:rsidR="00D172F1" w:rsidRPr="000540E1" w:rsidRDefault="00161564" w:rsidP="00F86FF1">
            <w:pPr>
              <w:pStyle w:val="tbltext"/>
            </w:pPr>
            <w:r>
              <w:t>Not applicable</w:t>
            </w:r>
          </w:p>
        </w:tc>
      </w:tr>
      <w:tr w:rsidR="00D172F1" w:rsidRPr="000540E1" w14:paraId="2CFB73F1" w14:textId="77777777" w:rsidTr="009B3764">
        <w:trPr>
          <w:cantSplit/>
        </w:trPr>
        <w:tc>
          <w:tcPr>
            <w:tcW w:w="1809" w:type="dxa"/>
            <w:shd w:val="clear" w:color="auto" w:fill="C2E3FA"/>
          </w:tcPr>
          <w:p w14:paraId="35689B5B" w14:textId="0895757C" w:rsidR="00D172F1" w:rsidRPr="000540E1" w:rsidRDefault="00935991" w:rsidP="00F86FF1">
            <w:pPr>
              <w:pStyle w:val="tablehead"/>
            </w:pPr>
            <w:r>
              <w:t>Proposals for the draft amended ASIC Rules</w:t>
            </w:r>
          </w:p>
        </w:tc>
        <w:tc>
          <w:tcPr>
            <w:tcW w:w="5103" w:type="dxa"/>
          </w:tcPr>
          <w:p w14:paraId="091CB293" w14:textId="66910924" w:rsidR="00D172F1" w:rsidRPr="000540E1" w:rsidRDefault="00161564" w:rsidP="00F86FF1">
            <w:pPr>
              <w:pStyle w:val="tbltext"/>
            </w:pPr>
            <w:r>
              <w:t>Not applicable</w:t>
            </w:r>
          </w:p>
        </w:tc>
      </w:tr>
      <w:tr w:rsidR="00D172F1" w:rsidRPr="000540E1" w14:paraId="6643F4C0" w14:textId="77777777" w:rsidTr="009B3764">
        <w:trPr>
          <w:cantSplit/>
        </w:trPr>
        <w:tc>
          <w:tcPr>
            <w:tcW w:w="1809" w:type="dxa"/>
            <w:shd w:val="clear" w:color="auto" w:fill="C2E3FA"/>
          </w:tcPr>
          <w:p w14:paraId="459BA36A" w14:textId="77777777" w:rsidR="00D172F1" w:rsidRDefault="00D172F1" w:rsidP="00F86FF1">
            <w:pPr>
              <w:pStyle w:val="tablehead"/>
            </w:pPr>
            <w:r>
              <w:t>Matters deferred to the third consultation</w:t>
            </w:r>
          </w:p>
        </w:tc>
        <w:tc>
          <w:tcPr>
            <w:tcW w:w="5103" w:type="dxa"/>
          </w:tcPr>
          <w:p w14:paraId="7ED9028E" w14:textId="77777777" w:rsidR="00D172F1" w:rsidRDefault="00D172F1" w:rsidP="00C3786C">
            <w:pPr>
              <w:pStyle w:val="ListBullet"/>
              <w:numPr>
                <w:ilvl w:val="0"/>
                <w:numId w:val="0"/>
              </w:numPr>
            </w:pPr>
            <w:r>
              <w:rPr>
                <w:rFonts w:ascii="Arial" w:hAnsi="Arial" w:cs="Arial"/>
                <w:sz w:val="18"/>
                <w:szCs w:val="18"/>
              </w:rPr>
              <w:t>Alternative reporting</w:t>
            </w:r>
          </w:p>
        </w:tc>
      </w:tr>
    </w:tbl>
    <w:p w14:paraId="58114AA2" w14:textId="77777777" w:rsidR="00D172F1" w:rsidRDefault="00D172F1" w:rsidP="00D172F1">
      <w:pPr>
        <w:pStyle w:val="Heading2"/>
      </w:pPr>
      <w:bookmarkStart w:id="312" w:name="_Toc95402024"/>
      <w:bookmarkStart w:id="313" w:name="_Toc103174654"/>
      <w:r>
        <w:t>ASIC’s proposals</w:t>
      </w:r>
      <w:bookmarkEnd w:id="312"/>
      <w:bookmarkEnd w:id="313"/>
    </w:p>
    <w:p w14:paraId="2A68FD5F" w14:textId="77777777" w:rsidR="00D172F1" w:rsidRDefault="00D172F1" w:rsidP="00D172F1">
      <w:pPr>
        <w:pStyle w:val="Heading3"/>
      </w:pPr>
      <w:r>
        <w:t>Delegated reporting</w:t>
      </w:r>
    </w:p>
    <w:p w14:paraId="18CCFB28" w14:textId="77777777" w:rsidR="00D172F1" w:rsidRDefault="00D172F1" w:rsidP="00D172F1">
      <w:pPr>
        <w:pStyle w:val="Proposalhead"/>
      </w:pPr>
      <w:r>
        <w:t>Proposal</w:t>
      </w:r>
    </w:p>
    <w:p w14:paraId="0ACBF89D" w14:textId="7A7809CC" w:rsidR="00D172F1" w:rsidRDefault="00D172F1" w:rsidP="00D172F1">
      <w:pPr>
        <w:pStyle w:val="Proposaltext"/>
        <w:tabs>
          <w:tab w:val="clear" w:pos="2693"/>
          <w:tab w:val="num" w:pos="425"/>
        </w:tabs>
      </w:pPr>
      <w:r>
        <w:t xml:space="preserve">We propose to revise </w:t>
      </w:r>
      <w:r w:rsidR="00161564">
        <w:t>R</w:t>
      </w:r>
      <w:r>
        <w:t>ule 2.2.7 in the draft remade ASIC Rules (</w:t>
      </w:r>
      <w:r w:rsidR="00161564">
        <w:t xml:space="preserve">see </w:t>
      </w:r>
      <w:r>
        <w:t>Attachment 1) to remove the ‘safe harbour’ provisions.</w:t>
      </w:r>
    </w:p>
    <w:p w14:paraId="4E0D52A9" w14:textId="77777777" w:rsidR="00D172F1" w:rsidRDefault="00D172F1" w:rsidP="00D172F1">
      <w:pPr>
        <w:pStyle w:val="Feedbackhead"/>
      </w:pPr>
      <w:r>
        <w:t>Your feedback</w:t>
      </w:r>
    </w:p>
    <w:p w14:paraId="7028FD00" w14:textId="77777777" w:rsidR="00D172F1" w:rsidRDefault="00D172F1" w:rsidP="00D172F1">
      <w:pPr>
        <w:pStyle w:val="Feedbackquestion"/>
        <w:pBdr>
          <w:left w:val="single" w:sz="6" w:space="2" w:color="117DC7"/>
        </w:pBdr>
      </w:pPr>
      <w:r>
        <w:t>Do you agree with this proposal? In your response, please give detailed reasons for your answer.</w:t>
      </w:r>
    </w:p>
    <w:p w14:paraId="6F7EE082" w14:textId="77777777" w:rsidR="00D172F1" w:rsidRDefault="00D172F1" w:rsidP="00D172F1">
      <w:pPr>
        <w:pStyle w:val="Feedbackquestion"/>
        <w:pBdr>
          <w:left w:val="single" w:sz="6" w:space="2" w:color="117DC7"/>
        </w:pBdr>
      </w:pPr>
      <w:r>
        <w:t xml:space="preserve">What elements of revised RG 251 guidance would better assist reporting entities to understand their responsibilities and oversee their delegated reporting arrangements? </w:t>
      </w:r>
    </w:p>
    <w:p w14:paraId="7177D0A3" w14:textId="77777777" w:rsidR="00D172F1" w:rsidRDefault="00D172F1" w:rsidP="00D172F1">
      <w:pPr>
        <w:pStyle w:val="Feedbackquestion"/>
        <w:pBdr>
          <w:left w:val="single" w:sz="6" w:space="2" w:color="117DC7"/>
        </w:pBdr>
      </w:pPr>
      <w:r>
        <w:t xml:space="preserve">Do you agree that revised RG 251 guidance outlining our approach to reporting errors and breaches can assist in reducing reporting entities’ concerns about delegated reporting breaches in the absence of a ‘safe harbour’? </w:t>
      </w:r>
    </w:p>
    <w:p w14:paraId="1C8BEF55" w14:textId="72C975FE" w:rsidR="00D172F1" w:rsidRDefault="00D172F1" w:rsidP="00D172F1">
      <w:pPr>
        <w:pStyle w:val="Feedbackquestion"/>
        <w:pBdr>
          <w:left w:val="single" w:sz="6" w:space="2" w:color="117DC7"/>
        </w:pBdr>
      </w:pPr>
      <w:r>
        <w:t>Are there any elements of revised RG</w:t>
      </w:r>
      <w:r w:rsidR="00711955">
        <w:t xml:space="preserve"> </w:t>
      </w:r>
      <w:r>
        <w:t>251 guidance that should be aligned with other regulatory requirements for outsourcing arrangements?</w:t>
      </w:r>
    </w:p>
    <w:p w14:paraId="47F8A150" w14:textId="7F2E88A4" w:rsidR="00D172F1" w:rsidRPr="00711955" w:rsidRDefault="00D172F1" w:rsidP="00D172F1">
      <w:pPr>
        <w:pStyle w:val="Feedbackquestion"/>
        <w:numPr>
          <w:ilvl w:val="0"/>
          <w:numId w:val="0"/>
        </w:numPr>
        <w:ind w:left="3232"/>
        <w:rPr>
          <w:sz w:val="18"/>
          <w:szCs w:val="18"/>
        </w:rPr>
      </w:pPr>
      <w:bookmarkStart w:id="314" w:name="_Hlk95075344"/>
      <w:r w:rsidRPr="00711955">
        <w:rPr>
          <w:sz w:val="18"/>
          <w:szCs w:val="18"/>
        </w:rPr>
        <w:t xml:space="preserve">Note: In our first consultation we </w:t>
      </w:r>
      <w:r w:rsidR="00161564" w:rsidRPr="00711955">
        <w:rPr>
          <w:sz w:val="18"/>
          <w:szCs w:val="18"/>
        </w:rPr>
        <w:t xml:space="preserve">sought </w:t>
      </w:r>
      <w:r w:rsidRPr="00711955">
        <w:rPr>
          <w:sz w:val="18"/>
          <w:szCs w:val="18"/>
        </w:rPr>
        <w:t xml:space="preserve">to gather further information to inform this proposal. We note some respondents have pre-emptively addressed similar feedback questions in </w:t>
      </w:r>
      <w:hyperlink r:id="rId165" w:history="1">
        <w:r w:rsidRPr="00711955">
          <w:rPr>
            <w:rStyle w:val="Hyperlink"/>
            <w:sz w:val="18"/>
            <w:szCs w:val="18"/>
          </w:rPr>
          <w:t>CP</w:t>
        </w:r>
        <w:r w:rsidR="00161564" w:rsidRPr="00711955">
          <w:rPr>
            <w:rStyle w:val="Hyperlink"/>
            <w:sz w:val="18"/>
            <w:szCs w:val="18"/>
          </w:rPr>
          <w:t> </w:t>
        </w:r>
        <w:r w:rsidRPr="00711955">
          <w:rPr>
            <w:rStyle w:val="Hyperlink"/>
            <w:sz w:val="18"/>
            <w:szCs w:val="18"/>
          </w:rPr>
          <w:t>334</w:t>
        </w:r>
      </w:hyperlink>
      <w:r w:rsidRPr="00711955">
        <w:rPr>
          <w:sz w:val="18"/>
          <w:szCs w:val="18"/>
        </w:rPr>
        <w:t>. This second consultation is intended to provide more information for your consideration and further feedback.</w:t>
      </w:r>
    </w:p>
    <w:p w14:paraId="28514A76" w14:textId="77777777" w:rsidR="00D172F1" w:rsidRDefault="00D172F1" w:rsidP="00D172F1">
      <w:pPr>
        <w:pStyle w:val="Heading3"/>
      </w:pPr>
      <w:bookmarkStart w:id="315" w:name="_Ref98486107"/>
      <w:bookmarkEnd w:id="314"/>
      <w:r>
        <w:t>Rationale</w:t>
      </w:r>
      <w:bookmarkEnd w:id="315"/>
    </w:p>
    <w:p w14:paraId="51A266E2" w14:textId="3417FC6B" w:rsidR="00D172F1" w:rsidRDefault="00D172F1" w:rsidP="00C443A0">
      <w:pPr>
        <w:pStyle w:val="BodyText"/>
        <w:numPr>
          <w:ilvl w:val="0"/>
          <w:numId w:val="17"/>
        </w:numPr>
      </w:pPr>
      <w:r>
        <w:t xml:space="preserve">A key objective of the </w:t>
      </w:r>
      <w:r w:rsidR="005A5E1A">
        <w:t>c</w:t>
      </w:r>
      <w:r>
        <w:t xml:space="preserve">urrent ASIC Rules rewrite project has been to maximise the international alignment and harmonisation of data elements and other rules elements, to the extent practically possible, and reduce the number of bespoke ASIC requirements. We have used this lens to review a </w:t>
      </w:r>
      <w:r w:rsidRPr="009F4CD1">
        <w:t>broad range of principles</w:t>
      </w:r>
      <w:r>
        <w:t xml:space="preserve"> and</w:t>
      </w:r>
      <w:r w:rsidRPr="009F4CD1">
        <w:t xml:space="preserve"> regulatory reporting requirements</w:t>
      </w:r>
      <w:r>
        <w:t xml:space="preserve"> relevant to delegated reporting and outsourcing more broadly,</w:t>
      </w:r>
      <w:r w:rsidRPr="009F4CD1">
        <w:t xml:space="preserve"> both domestically and internationally</w:t>
      </w:r>
      <w:r>
        <w:t>.</w:t>
      </w:r>
    </w:p>
    <w:p w14:paraId="539505A5" w14:textId="39BB3478" w:rsidR="005C2465" w:rsidRDefault="005C2465" w:rsidP="00C443A0">
      <w:pPr>
        <w:pStyle w:val="BodyText"/>
        <w:numPr>
          <w:ilvl w:val="0"/>
          <w:numId w:val="17"/>
        </w:numPr>
      </w:pPr>
      <w:r>
        <w:t xml:space="preserve">On 27 June 2019, ASIC issued </w:t>
      </w:r>
      <w:hyperlink r:id="rId166" w:history="1">
        <w:r w:rsidRPr="002278C0">
          <w:rPr>
            <w:rStyle w:val="Hyperlink"/>
          </w:rPr>
          <w:t>Consultation Paper 314</w:t>
        </w:r>
      </w:hyperlink>
      <w:r w:rsidRPr="003F5D2E">
        <w:t xml:space="preserve"> </w:t>
      </w:r>
      <w:r w:rsidRPr="00421483">
        <w:rPr>
          <w:i/>
          <w:iCs/>
        </w:rPr>
        <w:t>Market integrity rules for technological and operational resilience</w:t>
      </w:r>
      <w:r>
        <w:t xml:space="preserve"> (</w:t>
      </w:r>
      <w:r w:rsidR="002278C0" w:rsidRPr="00B13182">
        <w:t>CP 314</w:t>
      </w:r>
      <w:r>
        <w:t xml:space="preserve">) including </w:t>
      </w:r>
      <w:hyperlink r:id="rId167" w:history="1">
        <w:r w:rsidR="00BB6E46" w:rsidRPr="00BB6E46">
          <w:rPr>
            <w:rStyle w:val="Hyperlink"/>
          </w:rPr>
          <w:t>Attachment 1 to CP 314</w:t>
        </w:r>
      </w:hyperlink>
      <w:r w:rsidR="00BB6E46">
        <w:t xml:space="preserve"> </w:t>
      </w:r>
      <w:r w:rsidRPr="00421483">
        <w:rPr>
          <w:i/>
          <w:iCs/>
        </w:rPr>
        <w:t>Proposed amendments</w:t>
      </w:r>
      <w:r w:rsidRPr="00421483">
        <w:rPr>
          <w:rFonts w:asciiTheme="minorHAnsi" w:eastAsiaTheme="minorHAnsi" w:hAnsiTheme="minorHAnsi" w:cstheme="minorBidi"/>
          <w:lang w:eastAsia="en-US"/>
        </w:rPr>
        <w:t xml:space="preserve"> </w:t>
      </w:r>
      <w:r w:rsidRPr="00421483">
        <w:rPr>
          <w:i/>
          <w:iCs/>
        </w:rPr>
        <w:t>to the ASIC Market Integrity Rules (Securities Markets) 2017 and ASIC Market Integrity Rules (Futures Markets) 2017</w:t>
      </w:r>
      <w:r>
        <w:t xml:space="preserve">. The final </w:t>
      </w:r>
      <w:hyperlink r:id="rId168" w:history="1">
        <w:r w:rsidRPr="000A4612">
          <w:rPr>
            <w:rStyle w:val="Hyperlink"/>
            <w:i/>
            <w:iCs/>
          </w:rPr>
          <w:t>ASIC Market Integrity Rules (Securities Markets and Futures Markets) Amendment Instrument 2022/74</w:t>
        </w:r>
      </w:hyperlink>
      <w:r>
        <w:t xml:space="preserve"> (</w:t>
      </w:r>
      <w:r w:rsidR="002278C0" w:rsidRPr="00B13182">
        <w:t>MIR Amendments</w:t>
      </w:r>
      <w:r>
        <w:t xml:space="preserve">) was registered 9 March 2022, effective from 10 March 2023. </w:t>
      </w:r>
    </w:p>
    <w:p w14:paraId="17067E7C" w14:textId="6E2E9C5A" w:rsidR="005C2465" w:rsidRDefault="005C2465" w:rsidP="00C443A0">
      <w:pPr>
        <w:pStyle w:val="BodyText"/>
        <w:numPr>
          <w:ilvl w:val="0"/>
          <w:numId w:val="17"/>
        </w:numPr>
      </w:pPr>
      <w:r>
        <w:t>In CP 314</w:t>
      </w:r>
      <w:r w:rsidR="002278C0">
        <w:t>,</w:t>
      </w:r>
      <w:r>
        <w:t xml:space="preserve"> ASIC discussed a range of rule updates for market operators and market participants largely to </w:t>
      </w:r>
      <w:r w:rsidRPr="005C58B2">
        <w:t>ensure</w:t>
      </w:r>
      <w:r>
        <w:t xml:space="preserve"> </w:t>
      </w:r>
      <w:r w:rsidR="002278C0">
        <w:t xml:space="preserve">the </w:t>
      </w:r>
      <w:r w:rsidRPr="005C58B2">
        <w:t>resilience of critical system</w:t>
      </w:r>
      <w:r w:rsidR="002278C0">
        <w:t>s,</w:t>
      </w:r>
      <w:r>
        <w:t xml:space="preserve"> including where they are outsourced. ASIC considers critical systems to include regulatory data reporting systems for market participants and market operators</w:t>
      </w:r>
      <w:r w:rsidR="00D5641A">
        <w:t>.</w:t>
      </w:r>
      <w:r>
        <w:t xml:space="preserve"> We consider the proposals outlined in CP 314 and the subsequent MIR Amendments, which seek to ensure t</w:t>
      </w:r>
      <w:r w:rsidRPr="00F61F2B">
        <w:t>hat outsourcing arrangements</w:t>
      </w:r>
      <w:r>
        <w:t xml:space="preserve"> include appropriate controls, are relevant to our consideration of </w:t>
      </w:r>
      <w:r w:rsidRPr="003459BC">
        <w:t>delegated reporting under the ASIC Rules</w:t>
      </w:r>
      <w:r>
        <w:t>.</w:t>
      </w:r>
    </w:p>
    <w:p w14:paraId="18B1BECC" w14:textId="5A779539" w:rsidR="00D172F1" w:rsidRDefault="005C2465" w:rsidP="00C443A0">
      <w:pPr>
        <w:pStyle w:val="BodyText"/>
        <w:numPr>
          <w:ilvl w:val="0"/>
          <w:numId w:val="17"/>
        </w:numPr>
      </w:pPr>
      <w:r>
        <w:t xml:space="preserve">Respondents to CP 314 provided feedback, summarised in </w:t>
      </w:r>
      <w:hyperlink r:id="rId169" w:history="1">
        <w:r w:rsidRPr="00BB6E46">
          <w:rPr>
            <w:rStyle w:val="Hyperlink"/>
          </w:rPr>
          <w:t>Report 719</w:t>
        </w:r>
      </w:hyperlink>
      <w:r>
        <w:t xml:space="preserve"> </w:t>
      </w:r>
      <w:r w:rsidRPr="00377EBE">
        <w:rPr>
          <w:i/>
          <w:iCs/>
        </w:rPr>
        <w:t>Response to submission</w:t>
      </w:r>
      <w:r w:rsidR="00783879">
        <w:rPr>
          <w:i/>
          <w:iCs/>
        </w:rPr>
        <w:t>s</w:t>
      </w:r>
      <w:r w:rsidRPr="00377EBE">
        <w:rPr>
          <w:i/>
          <w:iCs/>
        </w:rPr>
        <w:t xml:space="preserve"> on CP 314 Market integrity rules for technological and operational resilience</w:t>
      </w:r>
      <w:r>
        <w:t xml:space="preserve"> (</w:t>
      </w:r>
      <w:r w:rsidR="00BB6E46">
        <w:t>REP</w:t>
      </w:r>
      <w:r w:rsidR="00BB6E46" w:rsidRPr="00B13182">
        <w:t xml:space="preserve"> 719</w:t>
      </w:r>
      <w:r>
        <w:t xml:space="preserve">), suggesting that ASIC should consider closer alignment of outsourcing requirements for stakeholders across requirements of other regulators, notably APRA’s </w:t>
      </w:r>
      <w:hyperlink r:id="rId170" w:history="1">
        <w:r w:rsidRPr="001B6DAF">
          <w:rPr>
            <w:rStyle w:val="Hyperlink"/>
          </w:rPr>
          <w:t>Prudential Standard CPS</w:t>
        </w:r>
        <w:r w:rsidR="001B6DAF">
          <w:rPr>
            <w:rStyle w:val="Hyperlink"/>
          </w:rPr>
          <w:t> </w:t>
        </w:r>
        <w:r w:rsidRPr="001B6DAF">
          <w:rPr>
            <w:rStyle w:val="Hyperlink"/>
          </w:rPr>
          <w:t>231</w:t>
        </w:r>
      </w:hyperlink>
      <w:r>
        <w:t xml:space="preserve"> </w:t>
      </w:r>
      <w:r w:rsidRPr="00377EBE">
        <w:rPr>
          <w:i/>
          <w:iCs/>
        </w:rPr>
        <w:t>Outsourcing</w:t>
      </w:r>
      <w:r>
        <w:t xml:space="preserve"> (</w:t>
      </w:r>
      <w:r w:rsidR="001B6DAF" w:rsidRPr="00B13182">
        <w:t>CPS 231</w:t>
      </w:r>
      <w:r>
        <w:t xml:space="preserve">). Respondents also agreed </w:t>
      </w:r>
      <w:r w:rsidRPr="002C4228">
        <w:t>that responsibility should lie with market operators and market participants, even when functions are outsourced.</w:t>
      </w:r>
      <w:r w:rsidR="00BD56FC">
        <w:t xml:space="preserve"> </w:t>
      </w:r>
      <w:r w:rsidR="00D172F1">
        <w:t xml:space="preserve">We agree with the logic underpinning the alignment theme and </w:t>
      </w:r>
      <w:r w:rsidR="00906539" w:rsidRPr="00906539">
        <w:t>that responsibility should lie with</w:t>
      </w:r>
      <w:r w:rsidR="00906539">
        <w:t xml:space="preserve"> the regulated entity, even when services are outsourced.</w:t>
      </w:r>
      <w:r w:rsidR="00051A93">
        <w:t xml:space="preserve"> </w:t>
      </w:r>
    </w:p>
    <w:p w14:paraId="75F157A5" w14:textId="1ED16D6D" w:rsidR="00D172F1" w:rsidRDefault="00D172F1" w:rsidP="00C443A0">
      <w:pPr>
        <w:pStyle w:val="BodyText"/>
        <w:numPr>
          <w:ilvl w:val="0"/>
          <w:numId w:val="17"/>
        </w:numPr>
      </w:pPr>
      <w:r>
        <w:t xml:space="preserve">Regulatory requirements across a range of domestic </w:t>
      </w:r>
      <w:r w:rsidR="00471DD7">
        <w:t xml:space="preserve">rules and standards </w:t>
      </w:r>
      <w:r>
        <w:t>allow outsourcing</w:t>
      </w:r>
      <w:r w:rsidR="00471DD7">
        <w:t>, but</w:t>
      </w:r>
      <w:r>
        <w:t xml:space="preserve"> without any ‘safe harbour’ provision. </w:t>
      </w:r>
      <w:r w:rsidRPr="00F1374F">
        <w:t>Importantly, under s769B of the Corporations Act, and as discussed at paragraphs 68 and 69</w:t>
      </w:r>
      <w:r>
        <w:t xml:space="preserve"> of CP 314</w:t>
      </w:r>
      <w:r w:rsidRPr="00F1374F">
        <w:t>, market participants and market operators remain responsible for complying with their obligations as licensed entities in relation to their outsourced services.</w:t>
      </w:r>
      <w:r>
        <w:t xml:space="preserve"> Under CPS 231, an APRA-regulated institution may outsource business activities</w:t>
      </w:r>
      <w:r w:rsidR="001B6DAF" w:rsidRPr="00B13182">
        <w:t>—</w:t>
      </w:r>
      <w:r>
        <w:t xml:space="preserve">however, it remains responsible for complying with all prudential requirements that relate to the outsourced business activity. Further, we note that </w:t>
      </w:r>
      <w:hyperlink r:id="rId171" w:history="1">
        <w:r w:rsidRPr="001B6DAF">
          <w:rPr>
            <w:rStyle w:val="Hyperlink"/>
          </w:rPr>
          <w:t>Regulatory Guide 104</w:t>
        </w:r>
      </w:hyperlink>
      <w:r>
        <w:t xml:space="preserve"> </w:t>
      </w:r>
      <w:r w:rsidRPr="000A4612">
        <w:rPr>
          <w:i/>
          <w:iCs/>
        </w:rPr>
        <w:t xml:space="preserve">AFS licensing: </w:t>
      </w:r>
      <w:r w:rsidRPr="00491CE4">
        <w:rPr>
          <w:i/>
          <w:iCs/>
        </w:rPr>
        <w:t>Meeting the general obligations</w:t>
      </w:r>
      <w:r>
        <w:t xml:space="preserve"> (</w:t>
      </w:r>
      <w:r w:rsidR="001B6DAF" w:rsidRPr="00B13182">
        <w:t>RG 104</w:t>
      </w:r>
      <w:r>
        <w:t>) addresses outsourcing as a key compliance concept for AFS licensees</w:t>
      </w:r>
      <w:r w:rsidR="001B6DAF">
        <w:t>:</w:t>
      </w:r>
      <w:r>
        <w:t xml:space="preserve"> ‘You can outsource functions, but not your responsibility as a licensee: see RG 104.33–RG 104.36’</w:t>
      </w:r>
      <w:r w:rsidR="001B6DAF">
        <w:t>.</w:t>
      </w:r>
      <w:r>
        <w:t xml:space="preserve"> In addition, the </w:t>
      </w:r>
      <w:hyperlink r:id="rId172" w:history="1">
        <w:r w:rsidRPr="007C5543">
          <w:rPr>
            <w:rStyle w:val="Hyperlink"/>
            <w:i/>
            <w:iCs/>
          </w:rPr>
          <w:t>ASIC Derivative Trade Repository Rules 2013</w:t>
        </w:r>
      </w:hyperlink>
      <w:r w:rsidRPr="00491CE4">
        <w:rPr>
          <w:i/>
          <w:iCs/>
        </w:rPr>
        <w:t xml:space="preserve"> </w:t>
      </w:r>
      <w:r>
        <w:t xml:space="preserve">require that where an </w:t>
      </w:r>
      <w:r w:rsidR="00015F63">
        <w:t xml:space="preserve">operator </w:t>
      </w:r>
      <w:r>
        <w:t xml:space="preserve">of a </w:t>
      </w:r>
      <w:r w:rsidR="00015F63">
        <w:t xml:space="preserve">trade repository </w:t>
      </w:r>
      <w:r>
        <w:t xml:space="preserve">outsources any </w:t>
      </w:r>
      <w:r w:rsidR="00015F63">
        <w:t xml:space="preserve">trade reporting services </w:t>
      </w:r>
      <w:r>
        <w:t>it must take steps to ensure that it continues to comply with its obligations without any ‘safe harbour’.</w:t>
      </w:r>
    </w:p>
    <w:p w14:paraId="24A240BC" w14:textId="635FA31F" w:rsidR="005C2465" w:rsidRDefault="00D172F1" w:rsidP="00C443A0">
      <w:pPr>
        <w:pStyle w:val="BodyText"/>
        <w:numPr>
          <w:ilvl w:val="0"/>
          <w:numId w:val="17"/>
        </w:numPr>
      </w:pPr>
      <w:r>
        <w:t>Alignment and harmonisation of regulatory requirements for licensed and regulated entities is important both domestically and internationally. In 2005 and 2009 respectively, IOSCO published reports for market intermediaries and for markets identifying key outsourcing principles and guidance. On 27</w:t>
      </w:r>
      <w:r w:rsidR="00015F63">
        <w:t> </w:t>
      </w:r>
      <w:r>
        <w:t>October 2021, IOSCO published a set of updated outsourcing principles for regulated entities that outsource tasks to service providers</w:t>
      </w:r>
      <w:r w:rsidR="00783879">
        <w:t>: see</w:t>
      </w:r>
      <w:r>
        <w:t xml:space="preserve"> </w:t>
      </w:r>
      <w:hyperlink r:id="rId173" w:history="1">
        <w:r w:rsidRPr="005C2465">
          <w:rPr>
            <w:rStyle w:val="Hyperlink"/>
            <w:i/>
            <w:iCs/>
          </w:rPr>
          <w:t>Principles on Outsourcing: Final Report</w:t>
        </w:r>
      </w:hyperlink>
      <w:r w:rsidRPr="005C2465">
        <w:rPr>
          <w:i/>
          <w:iCs/>
        </w:rPr>
        <w:t xml:space="preserve"> </w:t>
      </w:r>
      <w:r w:rsidR="00015F63">
        <w:t xml:space="preserve">(PDF 630 KB) </w:t>
      </w:r>
      <w:r>
        <w:t xml:space="preserve">(IOSCO FR07/2021 Report) adapting and building on its earlier work. </w:t>
      </w:r>
      <w:r w:rsidR="005C2465">
        <w:t>We note that the IOSCO FR07/2021 Report states that ‘the regulated entity retains full responsibility, legal liability, and accountability to the regulator for all tasks that it may outsource to a service provider to the same extent as if the service were provided in-house’</w:t>
      </w:r>
      <w:r w:rsidR="00015F63">
        <w:t>(p. 12)</w:t>
      </w:r>
      <w:r w:rsidR="005C2465" w:rsidRPr="00057409">
        <w:t xml:space="preserve">. </w:t>
      </w:r>
      <w:r w:rsidR="005C2465">
        <w:t xml:space="preserve">The MIR Amendments </w:t>
      </w:r>
      <w:r w:rsidR="005C2465" w:rsidRPr="00E82D06">
        <w:t>provide baseline expectations for market operators and participants, which align with international regulatory developments and IOSCO principles</w:t>
      </w:r>
      <w:r w:rsidR="005C2465">
        <w:t xml:space="preserve">. </w:t>
      </w:r>
    </w:p>
    <w:p w14:paraId="42493C1F" w14:textId="08F5D650" w:rsidR="00D172F1" w:rsidRDefault="00D172F1" w:rsidP="00C443A0">
      <w:pPr>
        <w:pStyle w:val="BodyText"/>
        <w:numPr>
          <w:ilvl w:val="0"/>
          <w:numId w:val="17"/>
        </w:numPr>
      </w:pPr>
      <w:r>
        <w:t xml:space="preserve">Internationally, we do not observe the existence of any similar ‘safe harbour’ regimes or diminished liability for reporting entities in circumstances where reporting is outsourced to another person. In our proposal, we are seeking to align with the requirements set by ESMA and MAS in particular, both sufficiently equivalent dual-sided regimes, by proposing to remove the ‘safe harbour’ provision. </w:t>
      </w:r>
    </w:p>
    <w:p w14:paraId="2D25DA0F" w14:textId="4B4CA672" w:rsidR="00015F63" w:rsidRDefault="00015F63" w:rsidP="00B13182">
      <w:pPr>
        <w:pStyle w:val="Note"/>
      </w:pPr>
      <w:r>
        <w:t>Note: Effective 18 June 2020, ESMA introduced mandatory delegated reporting by financial counterparties for certain types of their non-financial counterparties—these counterparties are equivalent to ‘end users’ under the ASIC Rules, who are not anyway reporting entities.</w:t>
      </w:r>
    </w:p>
    <w:p w14:paraId="0E94360D" w14:textId="4D062F48" w:rsidR="00D172F1" w:rsidRDefault="00D172F1" w:rsidP="00C443A0">
      <w:pPr>
        <w:pStyle w:val="BodyText"/>
        <w:numPr>
          <w:ilvl w:val="0"/>
          <w:numId w:val="17"/>
        </w:numPr>
      </w:pPr>
      <w:r>
        <w:t xml:space="preserve">The ‘safe harbour’ provision was introduced </w:t>
      </w:r>
      <w:r w:rsidR="00015F63">
        <w:t xml:space="preserve">in early 2015, </w:t>
      </w:r>
      <w:r>
        <w:t xml:space="preserve">ahead of Phase 3 reporting requirements under the </w:t>
      </w:r>
      <w:r w:rsidR="005A5E1A">
        <w:t>c</w:t>
      </w:r>
      <w:r>
        <w:t xml:space="preserve">urrent ASIC Rules. It was implemented as a policy setting intended to reduce the cost and complexity burden faced by buy-side and smaller entities in implementing trade reporting requirements for the first time. Further, it was intended to alleviate concerns about potential enforcement action by ASIC in respect of delegated reporting breaches of the Rules. </w:t>
      </w:r>
    </w:p>
    <w:p w14:paraId="66EA3A75" w14:textId="12CB1063" w:rsidR="00D172F1" w:rsidRDefault="00D172F1" w:rsidP="00C443A0">
      <w:pPr>
        <w:pStyle w:val="BodyText"/>
        <w:numPr>
          <w:ilvl w:val="0"/>
          <w:numId w:val="17"/>
        </w:numPr>
      </w:pPr>
      <w:r w:rsidRPr="00292DE8">
        <w:t xml:space="preserve">Since </w:t>
      </w:r>
      <w:r>
        <w:t xml:space="preserve">the phased introduction of the </w:t>
      </w:r>
      <w:r w:rsidR="005A5E1A">
        <w:t>c</w:t>
      </w:r>
      <w:r>
        <w:t>urrent ASIC Rules</w:t>
      </w:r>
      <w:r w:rsidRPr="00292DE8">
        <w:t xml:space="preserve">, </w:t>
      </w:r>
      <w:r>
        <w:t>transaction reporting has</w:t>
      </w:r>
      <w:r w:rsidRPr="00292DE8">
        <w:t xml:space="preserve"> evolved considerably</w:t>
      </w:r>
      <w:r>
        <w:t xml:space="preserve">. Systems, processes and controls have been uplifted and tested by a range of industry changes including trade repositories undertaking ‘re-architectures’ of reporting schemas and also a trade repository migration for many reporting entities as a result of Chicago Mercantile Exchange Inc. winding down its </w:t>
      </w:r>
      <w:r w:rsidRPr="00D7698A">
        <w:t xml:space="preserve">Australian licensed trade repository </w:t>
      </w:r>
      <w:r>
        <w:t>operations at the end of 2020.</w:t>
      </w:r>
      <w:r w:rsidRPr="00D7698A">
        <w:rPr>
          <w:rFonts w:asciiTheme="minorHAnsi" w:eastAsiaTheme="minorHAnsi" w:hAnsiTheme="minorHAnsi" w:cstheme="minorBidi"/>
          <w:lang w:eastAsia="en-US"/>
        </w:rPr>
        <w:t xml:space="preserve"> </w:t>
      </w:r>
      <w:r w:rsidRPr="00D7698A">
        <w:t xml:space="preserve">Since </w:t>
      </w:r>
      <w:r>
        <w:t xml:space="preserve">the </w:t>
      </w:r>
      <w:r w:rsidR="00F11950">
        <w:t xml:space="preserve">commencement of the </w:t>
      </w:r>
      <w:r w:rsidR="00D57D23">
        <w:t>c</w:t>
      </w:r>
      <w:r>
        <w:t xml:space="preserve">urrent ASIC Rules, ASIC has regularly engaged with industry associations and entities directly in relation to queries and reporting issues identified with the mutual objective of improving data quality and compliance. </w:t>
      </w:r>
      <w:r w:rsidRPr="00D7698A">
        <w:t>At this</w:t>
      </w:r>
      <w:r>
        <w:t xml:space="preserve"> point in the maturity profile of derivative transaction reporting i</w:t>
      </w:r>
      <w:r w:rsidRPr="00D7698A">
        <w:t xml:space="preserve">t is appropriate that regulatory expectations for reporting entities are better aligned with broader </w:t>
      </w:r>
      <w:r>
        <w:t>outsourcing regulatory requirements</w:t>
      </w:r>
      <w:r w:rsidRPr="00D7698A">
        <w:t>.</w:t>
      </w:r>
    </w:p>
    <w:p w14:paraId="42D17B03" w14:textId="0150BCC5" w:rsidR="00D172F1" w:rsidRDefault="00D172F1" w:rsidP="00C443A0">
      <w:pPr>
        <w:pStyle w:val="BodyText"/>
        <w:numPr>
          <w:ilvl w:val="0"/>
          <w:numId w:val="17"/>
        </w:numPr>
      </w:pPr>
      <w:r>
        <w:t xml:space="preserve">Our proposal to remove the ‘safe harbour’ provision does not require reporting entities to internalise the transaction reporting function where the costs and/or complexities are better managed </w:t>
      </w:r>
      <w:r w:rsidR="00BF607F">
        <w:t xml:space="preserve">through </w:t>
      </w:r>
      <w:r>
        <w:t>the use of delegated reporting. We are, however, seeking to ensure that reporting entities meet some baseline expectations for overseeing their reported OTC derivative transaction data and that the responsibility for compliance with the draft remade ASIC Rules remains with the regulated entity.</w:t>
      </w:r>
    </w:p>
    <w:p w14:paraId="7968FA21" w14:textId="6701C2C3" w:rsidR="00D172F1" w:rsidRDefault="00096A20" w:rsidP="00C443A0">
      <w:pPr>
        <w:pStyle w:val="BodyText"/>
        <w:numPr>
          <w:ilvl w:val="0"/>
          <w:numId w:val="17"/>
        </w:numPr>
      </w:pPr>
      <w:hyperlink r:id="rId174" w:history="1">
        <w:r w:rsidR="00D172F1" w:rsidRPr="00BF607F">
          <w:rPr>
            <w:rStyle w:val="Hyperlink"/>
          </w:rPr>
          <w:t>RG 251</w:t>
        </w:r>
      </w:hyperlink>
      <w:r w:rsidR="00D172F1">
        <w:t xml:space="preserve"> discusses </w:t>
      </w:r>
      <w:r w:rsidR="00D57D23">
        <w:t>cu</w:t>
      </w:r>
      <w:r w:rsidR="00D172F1">
        <w:t xml:space="preserve">rrent ASIC Rule 2.2.7 </w:t>
      </w:r>
      <w:r w:rsidR="00BF607F">
        <w:t xml:space="preserve">at </w:t>
      </w:r>
      <w:r w:rsidR="00D172F1">
        <w:t>RG 251.27</w:t>
      </w:r>
      <w:r w:rsidR="00BF607F" w:rsidRPr="00B13182">
        <w:t>—</w:t>
      </w:r>
      <w:r w:rsidR="00D172F1">
        <w:t>RG</w:t>
      </w:r>
      <w:r w:rsidR="00BF607F">
        <w:t> </w:t>
      </w:r>
      <w:r w:rsidR="00D172F1">
        <w:t xml:space="preserve">251.35 and includes guidance about the frequency and nature of what may constitute ‘regular enquiries reasonably designed’. We intend to provide revised guidance in an update to RG 251 that will </w:t>
      </w:r>
      <w:r w:rsidR="00D172F1" w:rsidRPr="00FA0C30">
        <w:t xml:space="preserve">align with </w:t>
      </w:r>
      <w:r w:rsidR="00D172F1">
        <w:t xml:space="preserve">the </w:t>
      </w:r>
      <w:r w:rsidR="00D172F1" w:rsidRPr="00FA0C30">
        <w:t xml:space="preserve">outsourcing </w:t>
      </w:r>
      <w:r w:rsidR="00D172F1">
        <w:t>principles and requirements resulting from the</w:t>
      </w:r>
      <w:r w:rsidR="00D172F1" w:rsidRPr="00FA0C30">
        <w:t xml:space="preserve"> </w:t>
      </w:r>
      <w:r w:rsidR="00C15E4B">
        <w:t>MIR A</w:t>
      </w:r>
      <w:r w:rsidR="00C15E4B" w:rsidRPr="00FA0C30">
        <w:t xml:space="preserve">mendments </w:t>
      </w:r>
      <w:r w:rsidR="00D172F1">
        <w:t>as relevant to OTC derivative transaction reporting.</w:t>
      </w:r>
      <w:r w:rsidR="00D172F1" w:rsidRPr="0005519D">
        <w:t xml:space="preserve"> </w:t>
      </w:r>
      <w:r w:rsidR="00D172F1">
        <w:t>Further, it is our intention that the updated guidance will seek to alleviate some of the underlying concerns in relation to potential enforcement action in respect of breaches by a delegate.</w:t>
      </w:r>
    </w:p>
    <w:p w14:paraId="4B50AE3C" w14:textId="49999F43" w:rsidR="00D172F1" w:rsidRDefault="00D172F1" w:rsidP="00C443A0">
      <w:pPr>
        <w:pStyle w:val="BodyText"/>
        <w:numPr>
          <w:ilvl w:val="0"/>
          <w:numId w:val="17"/>
        </w:numPr>
      </w:pPr>
      <w:r w:rsidRPr="00194D32">
        <w:t>For example, we intend to revise our guidance to highlight that the key outcome that we seek is high</w:t>
      </w:r>
      <w:r w:rsidR="00BF607F">
        <w:t>-</w:t>
      </w:r>
      <w:r w:rsidRPr="00194D32">
        <w:t xml:space="preserve">quality, reliable data and that, where there are errors or omissions, these are promptly corrected. Thereafter, we base our initial breach assessment on an adaption of the relevant key factors and considerations discussed in </w:t>
      </w:r>
      <w:hyperlink r:id="rId175" w:history="1">
        <w:r w:rsidRPr="00BF607F">
          <w:rPr>
            <w:rStyle w:val="Hyperlink"/>
          </w:rPr>
          <w:t>Regulatory Guide 216</w:t>
        </w:r>
      </w:hyperlink>
      <w:r w:rsidRPr="00194D32">
        <w:t xml:space="preserve"> </w:t>
      </w:r>
      <w:r w:rsidRPr="00117531">
        <w:rPr>
          <w:i/>
          <w:iCs/>
        </w:rPr>
        <w:t>Markets Disciplinary Panel</w:t>
      </w:r>
      <w:r w:rsidRPr="00194D32">
        <w:t xml:space="preserve"> (</w:t>
      </w:r>
      <w:r w:rsidR="00BF607F" w:rsidRPr="00B13182">
        <w:t>RG 216</w:t>
      </w:r>
      <w:r w:rsidRPr="00194D32">
        <w:t xml:space="preserve">). Such </w:t>
      </w:r>
      <w:r>
        <w:t xml:space="preserve">factors and </w:t>
      </w:r>
      <w:r w:rsidRPr="00194D32">
        <w:t xml:space="preserve">considerations </w:t>
      </w:r>
      <w:r>
        <w:t xml:space="preserve">are outlined in Table 1 of RG 216 and the relevant considerations for OTC transaction reporting </w:t>
      </w:r>
      <w:r w:rsidRPr="00194D32">
        <w:t>include:</w:t>
      </w:r>
    </w:p>
    <w:p w14:paraId="71392383" w14:textId="3E87DE34" w:rsidR="00D172F1" w:rsidRPr="00194D32" w:rsidRDefault="00BF607F" w:rsidP="00C443A0">
      <w:pPr>
        <w:pStyle w:val="subparaa"/>
        <w:numPr>
          <w:ilvl w:val="1"/>
          <w:numId w:val="17"/>
        </w:numPr>
      </w:pPr>
      <w:r>
        <w:t>c</w:t>
      </w:r>
      <w:r w:rsidRPr="00194D32">
        <w:t xml:space="preserve">haracter </w:t>
      </w:r>
      <w:r w:rsidR="00D172F1" w:rsidRPr="00194D32">
        <w:t>of the conduct</w:t>
      </w:r>
      <w:r w:rsidR="00404CA5">
        <w:t>—</w:t>
      </w:r>
      <w:r w:rsidR="00D172F1" w:rsidRPr="00194D32">
        <w:t>its nature, whether intentional, reckless or careless and its duration</w:t>
      </w:r>
      <w:r>
        <w:t>;</w:t>
      </w:r>
    </w:p>
    <w:p w14:paraId="38145220" w14:textId="708A2709" w:rsidR="00D172F1" w:rsidRDefault="00BF607F" w:rsidP="00C443A0">
      <w:pPr>
        <w:pStyle w:val="subparaa"/>
        <w:numPr>
          <w:ilvl w:val="1"/>
          <w:numId w:val="17"/>
        </w:numPr>
      </w:pPr>
      <w:r>
        <w:t xml:space="preserve">consequences </w:t>
      </w:r>
      <w:r w:rsidR="00D172F1">
        <w:t>of the conduct</w:t>
      </w:r>
      <w:r w:rsidR="00404CA5">
        <w:t>—</w:t>
      </w:r>
      <w:r w:rsidR="00D172F1">
        <w:t>the impact of errors or omissions on our regulatory purposes and whether the entity repeated the breach when acting as a delegate of another</w:t>
      </w:r>
      <w:r>
        <w:t>;</w:t>
      </w:r>
    </w:p>
    <w:p w14:paraId="7E9F6113" w14:textId="01EC2905" w:rsidR="00D172F1" w:rsidRDefault="00BF607F" w:rsidP="00C443A0">
      <w:pPr>
        <w:pStyle w:val="subparaa"/>
        <w:numPr>
          <w:ilvl w:val="1"/>
          <w:numId w:val="17"/>
        </w:numPr>
      </w:pPr>
      <w:r>
        <w:t xml:space="preserve">compliance </w:t>
      </w:r>
      <w:r w:rsidR="00D172F1">
        <w:t>culture</w:t>
      </w:r>
      <w:r w:rsidR="00404CA5">
        <w:t>—</w:t>
      </w:r>
      <w:r w:rsidR="00D172F1">
        <w:t>the adequacy of internal controls, whether the issue is promptly self-reported, cooperation with ASIC during the assessment, and past compliance history</w:t>
      </w:r>
      <w:r>
        <w:t>; and</w:t>
      </w:r>
    </w:p>
    <w:p w14:paraId="435C12BC" w14:textId="349C0FF4" w:rsidR="00D172F1" w:rsidRDefault="00BF607F" w:rsidP="00C443A0">
      <w:pPr>
        <w:pStyle w:val="subparaa"/>
        <w:numPr>
          <w:ilvl w:val="1"/>
          <w:numId w:val="17"/>
        </w:numPr>
      </w:pPr>
      <w:r>
        <w:t>remediation</w:t>
      </w:r>
      <w:r w:rsidR="00404CA5">
        <w:t>—</w:t>
      </w:r>
      <w:r w:rsidR="00D172F1">
        <w:t>prompt correction of reporting going forward</w:t>
      </w:r>
      <w:r>
        <w:t>,</w:t>
      </w:r>
      <w:r w:rsidR="00D172F1">
        <w:t xml:space="preserve"> steps taken to ensure the conduct does not re-occur</w:t>
      </w:r>
      <w:r>
        <w:t>.</w:t>
      </w:r>
    </w:p>
    <w:p w14:paraId="78ECE6F8" w14:textId="77777777" w:rsidR="008B1429" w:rsidRPr="008B1429" w:rsidRDefault="008B1429" w:rsidP="008B1429">
      <w:pPr>
        <w:pStyle w:val="Bodytextplain"/>
        <w:keepNext/>
        <w:spacing w:before="0" w:line="240" w:lineRule="auto"/>
        <w:rPr>
          <w:sz w:val="4"/>
          <w:szCs w:val="4"/>
        </w:rPr>
      </w:pPr>
    </w:p>
    <w:p w14:paraId="6FD564E5" w14:textId="12D46329" w:rsidR="00D14346" w:rsidRDefault="00D172F1" w:rsidP="008B1429">
      <w:pPr>
        <w:pStyle w:val="BodyText"/>
        <w:numPr>
          <w:ilvl w:val="0"/>
          <w:numId w:val="17"/>
        </w:numPr>
        <w:spacing w:before="0"/>
      </w:pPr>
      <w:r>
        <w:t>Generally</w:t>
      </w:r>
      <w:r w:rsidRPr="00194D32">
        <w:t xml:space="preserve">, the scale or particulars of </w:t>
      </w:r>
      <w:r>
        <w:t xml:space="preserve">OTC derivatives trade reporting </w:t>
      </w:r>
      <w:r w:rsidRPr="00194D32">
        <w:t>errors and omissions that do not materially impact our regulatory purposes are viewed as being breaches at the low end of the severity scale.</w:t>
      </w:r>
      <w:r w:rsidR="001E5F66" w:rsidRPr="001E5F66">
        <w:t xml:space="preserve"> To this point,</w:t>
      </w:r>
      <w:r w:rsidR="001E5F66">
        <w:rPr>
          <w:color w:val="FF0000"/>
        </w:rPr>
        <w:t xml:space="preserve"> </w:t>
      </w:r>
      <w:r w:rsidR="001E5F66" w:rsidRPr="001E5F66">
        <w:t>we note that since 1 October 2021 AFS licensees and Australian credit licensees have been required to submit notifications about reportable situations (previously breach reports) to ASIC in line with the new breach reporting regime. However, not every breach of the ASIC Rules is reportable under the new requirements (</w:t>
      </w:r>
      <w:r w:rsidR="00BF607F" w:rsidRPr="00B13182">
        <w:t>reg 7.6.02A(2)(b) of the Corporations Regulations</w:t>
      </w:r>
      <w:r w:rsidR="001E5F66" w:rsidRPr="001E5F66">
        <w:t>) instead requiring reporting entities to consider other factors to determine whether a breach of the ASIC Rules is significant and reportable.</w:t>
      </w:r>
    </w:p>
    <w:p w14:paraId="6A5ECAA9" w14:textId="77777777" w:rsidR="00935384" w:rsidRDefault="00935384" w:rsidP="00935384">
      <w:pPr>
        <w:pStyle w:val="Heading1"/>
      </w:pPr>
      <w:bookmarkStart w:id="316" w:name="_Toc57146515"/>
      <w:bookmarkStart w:id="317" w:name="_ASICRef357"/>
      <w:bookmarkStart w:id="318" w:name="_Toc103174655"/>
      <w:r>
        <w:t>Reporting requirements</w:t>
      </w:r>
      <w:bookmarkEnd w:id="316"/>
      <w:bookmarkEnd w:id="317"/>
      <w:bookmarkEnd w:id="318"/>
    </w:p>
    <w:p w14:paraId="5191B658" w14:textId="77777777" w:rsidR="00935384" w:rsidRDefault="00935384" w:rsidP="00935384">
      <w:pPr>
        <w:pStyle w:val="KPhead"/>
      </w:pPr>
      <w:r>
        <w:t>Key points</w:t>
      </w:r>
    </w:p>
    <w:p w14:paraId="48681317" w14:textId="17AEC524" w:rsidR="00A14CF3" w:rsidRDefault="00A14CF3" w:rsidP="00CF58BF">
      <w:pPr>
        <w:pStyle w:val="KPtext"/>
      </w:pPr>
      <w:r>
        <w:t xml:space="preserve">We have decided to proceed with our proposals in CP 334 in relation to </w:t>
      </w:r>
      <w:r w:rsidR="00CF58BF">
        <w:t>a reporting deadline for UTI purposes and to remove the relevant outdated provisions of the current ASIC Rules.</w:t>
      </w:r>
    </w:p>
    <w:p w14:paraId="26CDB77E" w14:textId="0B8EF5A1" w:rsidR="00CF58BF" w:rsidRDefault="00CF58BF" w:rsidP="00CF58BF">
      <w:pPr>
        <w:pStyle w:val="KPtext"/>
      </w:pPr>
      <w:r>
        <w:t>As foreshadowed in CP 334, we are now also proposing changes to the rules to extend lifecycle reporting to all products.</w:t>
      </w:r>
    </w:p>
    <w:p w14:paraId="11362D05" w14:textId="61EEEB4A" w:rsidR="00A14CF3" w:rsidRDefault="00CF58BF" w:rsidP="00CF58BF">
      <w:pPr>
        <w:pStyle w:val="KPtext"/>
      </w:pPr>
      <w:r>
        <w:t>We have decided not to make any changes to the current provisions of Rule 2.2.3 Reporting Requirement—Timing (generally, T+1).</w:t>
      </w:r>
    </w:p>
    <w:p w14:paraId="2BD674BC" w14:textId="77777777" w:rsidR="00D172F1" w:rsidRDefault="00D172F1" w:rsidP="00D172F1">
      <w:pPr>
        <w:pStyle w:val="Heading2"/>
      </w:pPr>
      <w:bookmarkStart w:id="319" w:name="_Toc95402026"/>
      <w:bookmarkStart w:id="320" w:name="_Toc103174656"/>
      <w:r>
        <w:t>Background</w:t>
      </w:r>
      <w:bookmarkEnd w:id="319"/>
      <w:bookmarkEnd w:id="320"/>
    </w:p>
    <w:p w14:paraId="5D491E4C" w14:textId="40CF6A27" w:rsidR="00D172F1" w:rsidRDefault="00D172F1" w:rsidP="00C443A0">
      <w:pPr>
        <w:pStyle w:val="BodyText"/>
        <w:numPr>
          <w:ilvl w:val="0"/>
          <w:numId w:val="17"/>
        </w:numPr>
      </w:pPr>
      <w:r w:rsidRPr="00D3356A">
        <w:t>Chapter</w:t>
      </w:r>
      <w:r>
        <w:t xml:space="preserve"> 2 of the </w:t>
      </w:r>
      <w:r w:rsidR="00D57D23">
        <w:t>c</w:t>
      </w:r>
      <w:r>
        <w:t>urrent ASIC Rules imposes obligations on reporting entities to report their reportable transactions and reportable positions to licensed repositories and prescribed repositories. The parts of Chapter 2 are:</w:t>
      </w:r>
    </w:p>
    <w:p w14:paraId="591C26D2" w14:textId="77777777" w:rsidR="00D172F1" w:rsidRDefault="00D172F1" w:rsidP="00C443A0">
      <w:pPr>
        <w:pStyle w:val="subparaa"/>
        <w:numPr>
          <w:ilvl w:val="1"/>
          <w:numId w:val="17"/>
        </w:numPr>
      </w:pPr>
      <w:r>
        <w:t>Part 2.1 Application;</w:t>
      </w:r>
    </w:p>
    <w:p w14:paraId="280A1EA2" w14:textId="77777777" w:rsidR="00D172F1" w:rsidRDefault="00D172F1" w:rsidP="00C443A0">
      <w:pPr>
        <w:pStyle w:val="subparaa"/>
        <w:numPr>
          <w:ilvl w:val="1"/>
          <w:numId w:val="17"/>
        </w:numPr>
      </w:pPr>
      <w:r>
        <w:t>Part 2.2 Reporting Requirements;</w:t>
      </w:r>
    </w:p>
    <w:p w14:paraId="2745E640" w14:textId="77777777" w:rsidR="00D172F1" w:rsidRDefault="00D172F1" w:rsidP="00C443A0">
      <w:pPr>
        <w:pStyle w:val="subparaa"/>
        <w:numPr>
          <w:ilvl w:val="1"/>
          <w:numId w:val="17"/>
        </w:numPr>
      </w:pPr>
      <w:r>
        <w:t>Part 2.3 Records; and</w:t>
      </w:r>
    </w:p>
    <w:p w14:paraId="3F9EDDF9" w14:textId="77777777" w:rsidR="00D172F1" w:rsidRDefault="00D172F1" w:rsidP="00C443A0">
      <w:pPr>
        <w:pStyle w:val="subparaa"/>
        <w:numPr>
          <w:ilvl w:val="1"/>
          <w:numId w:val="17"/>
        </w:numPr>
      </w:pPr>
      <w:r>
        <w:t>Part 2.4 Transitional matters.</w:t>
      </w:r>
    </w:p>
    <w:p w14:paraId="4CB66030" w14:textId="77777777" w:rsidR="00D172F1" w:rsidRDefault="00D172F1" w:rsidP="00C443A0">
      <w:pPr>
        <w:pStyle w:val="BodyText"/>
        <w:numPr>
          <w:ilvl w:val="0"/>
          <w:numId w:val="17"/>
        </w:numPr>
      </w:pPr>
      <w:r w:rsidRPr="00D3356A">
        <w:t>Part</w:t>
      </w:r>
      <w:r>
        <w:t xml:space="preserve"> 2.2 Reporting Requirements includes:</w:t>
      </w:r>
    </w:p>
    <w:p w14:paraId="0B94FD43" w14:textId="77777777" w:rsidR="00D172F1" w:rsidRDefault="00D172F1" w:rsidP="00C443A0">
      <w:pPr>
        <w:pStyle w:val="subparaa"/>
        <w:numPr>
          <w:ilvl w:val="1"/>
          <w:numId w:val="17"/>
        </w:numPr>
      </w:pPr>
      <w:r>
        <w:t>Rule 2.2.1 Transaction Reporting Requirements and Position Reporting Requirements;</w:t>
      </w:r>
    </w:p>
    <w:p w14:paraId="6DC4B56D" w14:textId="77777777" w:rsidR="00D172F1" w:rsidRDefault="00D172F1" w:rsidP="00C443A0">
      <w:pPr>
        <w:pStyle w:val="subparaa"/>
        <w:numPr>
          <w:ilvl w:val="1"/>
          <w:numId w:val="17"/>
        </w:numPr>
      </w:pPr>
      <w:r>
        <w:t>Rule 2.2.2 Reporting Requirement</w:t>
      </w:r>
      <w:r w:rsidRPr="005C5A16">
        <w:t>—</w:t>
      </w:r>
      <w:r>
        <w:t>Changes;</w:t>
      </w:r>
    </w:p>
    <w:p w14:paraId="2E70F861" w14:textId="77777777" w:rsidR="00D172F1" w:rsidRDefault="00D172F1" w:rsidP="00C443A0">
      <w:pPr>
        <w:pStyle w:val="subparaa"/>
        <w:numPr>
          <w:ilvl w:val="1"/>
          <w:numId w:val="17"/>
        </w:numPr>
      </w:pPr>
      <w:r>
        <w:t>Rule 2.2.3</w:t>
      </w:r>
      <w:r w:rsidRPr="005C5A16">
        <w:t xml:space="preserve"> Reporting Requirement—Timing (generally, T+1)</w:t>
      </w:r>
      <w:r>
        <w:t>;</w:t>
      </w:r>
    </w:p>
    <w:p w14:paraId="3EF57CBA" w14:textId="77777777" w:rsidR="00D172F1" w:rsidRDefault="00D172F1" w:rsidP="00C443A0">
      <w:pPr>
        <w:pStyle w:val="subparaa"/>
        <w:numPr>
          <w:ilvl w:val="1"/>
          <w:numId w:val="17"/>
        </w:numPr>
      </w:pPr>
      <w:r>
        <w:t xml:space="preserve">Rule </w:t>
      </w:r>
      <w:r w:rsidRPr="005C5A16">
        <w:t>2.2.4 Reporting Requirement—Format</w:t>
      </w:r>
      <w:r>
        <w:t>;</w:t>
      </w:r>
    </w:p>
    <w:p w14:paraId="6ABEBD17" w14:textId="77777777" w:rsidR="00D172F1" w:rsidRDefault="00D172F1" w:rsidP="00C443A0">
      <w:pPr>
        <w:pStyle w:val="subparaa"/>
        <w:numPr>
          <w:ilvl w:val="1"/>
          <w:numId w:val="17"/>
        </w:numPr>
      </w:pPr>
      <w:r>
        <w:t xml:space="preserve">Rule </w:t>
      </w:r>
      <w:r w:rsidRPr="005C5A16">
        <w:t>2.2.5 Reporting Requirement—Continuity of reporting</w:t>
      </w:r>
      <w:r>
        <w:t>;</w:t>
      </w:r>
    </w:p>
    <w:p w14:paraId="32690D2C" w14:textId="77777777" w:rsidR="00D172F1" w:rsidRDefault="00D172F1" w:rsidP="00C443A0">
      <w:pPr>
        <w:pStyle w:val="subparaa"/>
        <w:numPr>
          <w:ilvl w:val="1"/>
          <w:numId w:val="17"/>
        </w:numPr>
      </w:pPr>
      <w:r>
        <w:t xml:space="preserve">Rule </w:t>
      </w:r>
      <w:r w:rsidRPr="005C5A16">
        <w:t>2.2.6 Reporting Requirement—Accuracy of reporting</w:t>
      </w:r>
      <w:r>
        <w:t>;</w:t>
      </w:r>
    </w:p>
    <w:p w14:paraId="032B2775" w14:textId="77777777" w:rsidR="00D172F1" w:rsidRDefault="00D172F1" w:rsidP="00C443A0">
      <w:pPr>
        <w:pStyle w:val="subparaa"/>
        <w:numPr>
          <w:ilvl w:val="1"/>
          <w:numId w:val="17"/>
        </w:numPr>
      </w:pPr>
      <w:r>
        <w:t>Rule 2.2.7</w:t>
      </w:r>
      <w:r w:rsidRPr="005C5A16">
        <w:t xml:space="preserve"> Derivative Transaction Information—Delegation of reporting</w:t>
      </w:r>
      <w:r>
        <w:t>; and</w:t>
      </w:r>
    </w:p>
    <w:p w14:paraId="29955825" w14:textId="77777777" w:rsidR="00D172F1" w:rsidRDefault="00D172F1" w:rsidP="00C443A0">
      <w:pPr>
        <w:pStyle w:val="subparaa"/>
        <w:numPr>
          <w:ilvl w:val="1"/>
          <w:numId w:val="17"/>
        </w:numPr>
      </w:pPr>
      <w:r>
        <w:t xml:space="preserve">Rule </w:t>
      </w:r>
      <w:r w:rsidRPr="005C5A16">
        <w:t>2.2.8 Lifecycle or snapshot reporting</w:t>
      </w:r>
      <w:r>
        <w:t>.</w:t>
      </w:r>
    </w:p>
    <w:p w14:paraId="61635676" w14:textId="77777777" w:rsidR="00D172F1" w:rsidRDefault="00D172F1" w:rsidP="00D172F1">
      <w:pPr>
        <w:pStyle w:val="Heading2"/>
      </w:pPr>
      <w:bookmarkStart w:id="321" w:name="_Toc95402027"/>
      <w:bookmarkStart w:id="322" w:name="_Toc103174657"/>
      <w:bookmarkStart w:id="323" w:name="_Toc57146516"/>
      <w:r>
        <w:t>ASIC’s proposed approach to reporting requirements in CP 334</w:t>
      </w:r>
      <w:bookmarkEnd w:id="321"/>
      <w:bookmarkEnd w:id="322"/>
    </w:p>
    <w:p w14:paraId="3AF8E79A" w14:textId="257FA0D0" w:rsidR="00D172F1" w:rsidRDefault="00D172F1" w:rsidP="00C443A0">
      <w:pPr>
        <w:pStyle w:val="BodyText"/>
        <w:numPr>
          <w:ilvl w:val="0"/>
          <w:numId w:val="17"/>
        </w:numPr>
        <w:spacing w:line="290" w:lineRule="atLeast"/>
      </w:pPr>
      <w:r>
        <w:t xml:space="preserve">In </w:t>
      </w:r>
      <w:hyperlink r:id="rId176" w:history="1">
        <w:r w:rsidRPr="00F05C93">
          <w:rPr>
            <w:rStyle w:val="Hyperlink"/>
          </w:rPr>
          <w:t>CP 334</w:t>
        </w:r>
      </w:hyperlink>
      <w:r>
        <w:t>, we focused on the key changes to the ASIC Rules that we proposed in that consultation or considered for proposal in a subsequent consultation. We included in CP 334 proposals in relation to:</w:t>
      </w:r>
    </w:p>
    <w:p w14:paraId="79D9C6A6" w14:textId="77777777" w:rsidR="00D172F1" w:rsidRDefault="00D172F1" w:rsidP="00C443A0">
      <w:pPr>
        <w:pStyle w:val="subparaa"/>
        <w:numPr>
          <w:ilvl w:val="1"/>
          <w:numId w:val="17"/>
        </w:numPr>
        <w:spacing w:line="290" w:lineRule="atLeast"/>
      </w:pPr>
      <w:r>
        <w:t>Rule 2.2.3 Reporting Requirement—Timing (generally, T+1);</w:t>
      </w:r>
    </w:p>
    <w:p w14:paraId="32A6C7FD" w14:textId="77777777" w:rsidR="00D172F1" w:rsidRDefault="00D172F1" w:rsidP="00C443A0">
      <w:pPr>
        <w:pStyle w:val="subparaa"/>
        <w:numPr>
          <w:ilvl w:val="1"/>
          <w:numId w:val="17"/>
        </w:numPr>
        <w:spacing w:line="290" w:lineRule="atLeast"/>
      </w:pPr>
      <w:r w:rsidRPr="00935384">
        <w:t>Rule 2.2.8 Lifecycle or snapshot reporting</w:t>
      </w:r>
      <w:r>
        <w:t>; and</w:t>
      </w:r>
    </w:p>
    <w:p w14:paraId="43530E26" w14:textId="77777777" w:rsidR="00D172F1" w:rsidRDefault="00D172F1" w:rsidP="00C443A0">
      <w:pPr>
        <w:pStyle w:val="subparaa"/>
        <w:numPr>
          <w:ilvl w:val="1"/>
          <w:numId w:val="17"/>
        </w:numPr>
        <w:spacing w:line="290" w:lineRule="atLeast"/>
      </w:pPr>
      <w:r w:rsidRPr="00935384">
        <w:t>Part 2.4 Transitional Matters and other transitional matters</w:t>
      </w:r>
      <w:r>
        <w:t>.</w:t>
      </w:r>
    </w:p>
    <w:p w14:paraId="6452AE74" w14:textId="77777777" w:rsidR="00D172F1" w:rsidRPr="00385FA8" w:rsidRDefault="00D172F1" w:rsidP="00C443A0">
      <w:pPr>
        <w:pStyle w:val="BodyText"/>
        <w:numPr>
          <w:ilvl w:val="0"/>
          <w:numId w:val="17"/>
        </w:numPr>
        <w:spacing w:line="290" w:lineRule="atLeast"/>
      </w:pPr>
      <w:r>
        <w:t>We also said that we intend to further review the ASIC Rules and may make proposals in a subsequent consultation on any other provisions in the ASIC Rules.</w:t>
      </w:r>
    </w:p>
    <w:p w14:paraId="52FB927F" w14:textId="77777777" w:rsidR="00D172F1" w:rsidRDefault="00D172F1" w:rsidP="00D172F1">
      <w:pPr>
        <w:pStyle w:val="Heading3"/>
      </w:pPr>
      <w:r>
        <w:t>Rule 2.2.3 Reporting Requirement—Timing (generally, T+1)</w:t>
      </w:r>
    </w:p>
    <w:p w14:paraId="183003BB" w14:textId="53230F0E" w:rsidR="00D172F1" w:rsidRDefault="00D172F1" w:rsidP="00C443A0">
      <w:pPr>
        <w:pStyle w:val="BodyText"/>
        <w:numPr>
          <w:ilvl w:val="0"/>
          <w:numId w:val="17"/>
        </w:numPr>
        <w:spacing w:line="290" w:lineRule="atLeast"/>
      </w:pPr>
      <w:r w:rsidRPr="00CE25F2">
        <w:rPr>
          <w:rFonts w:eastAsiaTheme="minorHAnsi"/>
        </w:rPr>
        <w:t>In CP</w:t>
      </w:r>
      <w:r>
        <w:rPr>
          <w:rFonts w:eastAsiaTheme="minorHAnsi"/>
        </w:rPr>
        <w:t xml:space="preserve"> </w:t>
      </w:r>
      <w:r w:rsidRPr="00CE25F2">
        <w:rPr>
          <w:rFonts w:eastAsiaTheme="minorHAnsi"/>
        </w:rPr>
        <w:t xml:space="preserve">334, we noted that </w:t>
      </w:r>
      <w:bookmarkEnd w:id="323"/>
      <w:r>
        <w:t>Rule 2.2.3 does not specify a singular time as the deadline for reporting as the definition for ‘business day’ means ‘</w:t>
      </w:r>
      <w:r w:rsidR="00F05C93">
        <w:t xml:space="preserve">[a] </w:t>
      </w:r>
      <w:r>
        <w:t xml:space="preserve">day that is not a Saturday, Sunday, or a public holiday or bank holiday in the Relevant Jurisdiction’. This means that the deadline for reporting is </w:t>
      </w:r>
      <w:r w:rsidRPr="00C6045C">
        <w:t xml:space="preserve">the end of the next </w:t>
      </w:r>
      <w:r>
        <w:t>b</w:t>
      </w:r>
      <w:r w:rsidRPr="00C6045C">
        <w:t xml:space="preserve">usiness </w:t>
      </w:r>
      <w:r>
        <w:t>d</w:t>
      </w:r>
      <w:r w:rsidRPr="00C6045C">
        <w:t>ay</w:t>
      </w:r>
      <w:r>
        <w:t xml:space="preserve"> in the jurisdiction in which the reportable transaction is entered into.</w:t>
      </w:r>
    </w:p>
    <w:p w14:paraId="050BDE80" w14:textId="0021526A" w:rsidR="00D172F1" w:rsidRDefault="00D172F1" w:rsidP="00C443A0">
      <w:pPr>
        <w:pStyle w:val="BodyText"/>
        <w:numPr>
          <w:ilvl w:val="0"/>
          <w:numId w:val="17"/>
        </w:numPr>
        <w:spacing w:line="290" w:lineRule="atLeast"/>
      </w:pPr>
      <w:r w:rsidRPr="003A3721">
        <w:t>Despite the ASIC Rules allowing a transaction to be reported after midnight Sydney T+1 if it is entered into in another jurisdiction, we do not observe any significant or systemic reliance on this provision in transaction reports under the ASIC Rules.</w:t>
      </w:r>
      <w:r>
        <w:t xml:space="preserve"> We said that w</w:t>
      </w:r>
      <w:r w:rsidRPr="003A3721">
        <w:t>e do not currently consider it necessary to fix the deadline for reporting for the actual reporting obligation</w:t>
      </w:r>
      <w:r>
        <w:t>.</w:t>
      </w:r>
    </w:p>
    <w:p w14:paraId="33638581" w14:textId="77777777" w:rsidR="00D172F1" w:rsidRDefault="00D172F1" w:rsidP="00C443A0">
      <w:pPr>
        <w:pStyle w:val="BodyText"/>
        <w:numPr>
          <w:ilvl w:val="0"/>
          <w:numId w:val="17"/>
        </w:numPr>
        <w:spacing w:line="290" w:lineRule="atLeast"/>
      </w:pPr>
      <w:r>
        <w:t xml:space="preserve">However, we proposed that, to enable any reporting entity in any jurisdiction that is subject to UTI generation rules to determine, if applicable, whether Australia is the jurisdiction with the ‘sooner deadline for reporting’, the ASIC Rules should clarify that </w:t>
      </w:r>
      <w:r w:rsidRPr="00B91FEA">
        <w:t>the deadline for reporting for the purposes of the UTI rules within the ASIC Rules is a singular time referring to Sydney time.</w:t>
      </w:r>
    </w:p>
    <w:p w14:paraId="0C0577C3" w14:textId="77777777" w:rsidR="00D172F1" w:rsidRDefault="00D172F1" w:rsidP="00C443A0">
      <w:pPr>
        <w:pStyle w:val="BodyText"/>
        <w:numPr>
          <w:ilvl w:val="0"/>
          <w:numId w:val="17"/>
        </w:numPr>
        <w:spacing w:line="290" w:lineRule="atLeast"/>
      </w:pPr>
      <w:r>
        <w:t>We sought feedback on this proposal and on whether:</w:t>
      </w:r>
    </w:p>
    <w:p w14:paraId="48D03BC5" w14:textId="0B11E80B" w:rsidR="00D172F1" w:rsidRDefault="00D172F1" w:rsidP="00C443A0">
      <w:pPr>
        <w:pStyle w:val="subparaa"/>
        <w:numPr>
          <w:ilvl w:val="1"/>
          <w:numId w:val="17"/>
        </w:numPr>
        <w:spacing w:line="290" w:lineRule="atLeast"/>
      </w:pPr>
      <w:r>
        <w:t>there should be a</w:t>
      </w:r>
      <w:r w:rsidR="0020501B">
        <w:t xml:space="preserve"> sole</w:t>
      </w:r>
      <w:r>
        <w:t xml:space="preserve"> deadline for reporting that is applicable to both the UTI rules and the actual reporting obligation; and</w:t>
      </w:r>
    </w:p>
    <w:p w14:paraId="7791DCCA" w14:textId="196352CD" w:rsidR="00D172F1" w:rsidRDefault="00D172F1" w:rsidP="00C443A0">
      <w:pPr>
        <w:pStyle w:val="subparaa"/>
        <w:numPr>
          <w:ilvl w:val="1"/>
          <w:numId w:val="17"/>
        </w:numPr>
        <w:spacing w:line="290" w:lineRule="atLeast"/>
      </w:pPr>
      <w:r>
        <w:t>such a singular time should be expressed as a precise time such as 11.59</w:t>
      </w:r>
      <w:r w:rsidR="00F05C93">
        <w:t> </w:t>
      </w:r>
      <w:r>
        <w:t>pm or as the end of the day.</w:t>
      </w:r>
    </w:p>
    <w:p w14:paraId="31D024A0" w14:textId="77777777" w:rsidR="00D172F1" w:rsidRDefault="00D172F1" w:rsidP="00D172F1">
      <w:pPr>
        <w:pStyle w:val="Heading3"/>
      </w:pPr>
      <w:bookmarkStart w:id="324" w:name="_Toc57146517"/>
      <w:r>
        <w:t xml:space="preserve">Rule </w:t>
      </w:r>
      <w:bookmarkStart w:id="325" w:name="_Ref54248167"/>
      <w:r>
        <w:t>2.2.8 Lifecycle or snapshot reporting</w:t>
      </w:r>
      <w:bookmarkEnd w:id="324"/>
      <w:bookmarkEnd w:id="325"/>
    </w:p>
    <w:p w14:paraId="1919CFB1" w14:textId="4D7CD902" w:rsidR="00D172F1" w:rsidRDefault="00D172F1" w:rsidP="00C443A0">
      <w:pPr>
        <w:pStyle w:val="BodyText"/>
        <w:numPr>
          <w:ilvl w:val="0"/>
          <w:numId w:val="17"/>
        </w:numPr>
        <w:spacing w:line="290" w:lineRule="atLeast"/>
      </w:pPr>
      <w:r>
        <w:t>In summary, in CP 334, we noted that Rule 2.2.8 of the ASIC Rules provides that a reporting entity may comply with Rule 2.2.1 in relation to a reportable transaction (other than an excluded derivative) by ‘lifecycle reporting’ or by ‘snapshot reporting’.</w:t>
      </w:r>
    </w:p>
    <w:p w14:paraId="0E416A4F" w14:textId="2C490C61" w:rsidR="00D172F1" w:rsidRDefault="00D172F1" w:rsidP="00C443A0">
      <w:pPr>
        <w:pStyle w:val="BodyText"/>
        <w:numPr>
          <w:ilvl w:val="0"/>
          <w:numId w:val="17"/>
        </w:numPr>
        <w:spacing w:before="180" w:line="290" w:lineRule="atLeast"/>
      </w:pPr>
      <w:r>
        <w:t xml:space="preserve">We also noted that on 30 November 2018, ASIC made an </w:t>
      </w:r>
      <w:hyperlink r:id="rId177" w:history="1">
        <w:r w:rsidRPr="008F2B79">
          <w:rPr>
            <w:rStyle w:val="Hyperlink"/>
          </w:rPr>
          <w:t>excluded derivative determination</w:t>
        </w:r>
      </w:hyperlink>
      <w:r>
        <w:t xml:space="preserve"> (PDF 105 KB) requiring transactions in CFDs</w:t>
      </w:r>
      <w:r w:rsidR="005A7735">
        <w:t>,</w:t>
      </w:r>
      <w:r>
        <w:t xml:space="preserve"> margin FX and equity derivatives to be reported to derivative trade repositories on a ‘lifecycle’ method from 1 July 2019.</w:t>
      </w:r>
    </w:p>
    <w:p w14:paraId="7E98043B" w14:textId="5A64C43B" w:rsidR="00D172F1" w:rsidRDefault="00D172F1" w:rsidP="00C443A0">
      <w:pPr>
        <w:pStyle w:val="BodyText"/>
        <w:numPr>
          <w:ilvl w:val="0"/>
          <w:numId w:val="17"/>
        </w:numPr>
        <w:spacing w:before="180" w:line="290" w:lineRule="atLeast"/>
      </w:pPr>
      <w:r>
        <w:t>Rule</w:t>
      </w:r>
      <w:r w:rsidRPr="008A1594">
        <w:t xml:space="preserve"> 2.2.8(3) provides that ASIC may determine from time to time that an </w:t>
      </w:r>
      <w:r>
        <w:t>OTC derivative</w:t>
      </w:r>
      <w:r w:rsidRPr="008A1594">
        <w:t xml:space="preserve">, or a derivative product class, is an </w:t>
      </w:r>
      <w:r>
        <w:t>e</w:t>
      </w:r>
      <w:r w:rsidRPr="008A1594">
        <w:t xml:space="preserve">xcluded </w:t>
      </w:r>
      <w:r>
        <w:t>d</w:t>
      </w:r>
      <w:r w:rsidRPr="008A1594">
        <w:t xml:space="preserve">erivative for the purposes of </w:t>
      </w:r>
      <w:r>
        <w:t>Rule</w:t>
      </w:r>
      <w:r w:rsidRPr="008A1594">
        <w:t xml:space="preserve"> 2.2.8(1) where, in the opinion of ASIC, doing so is desirable in order to enhance the transparency of transaction information available to relevant authorities and the public, promote financial stability or support the detection and prevention of market abuse.</w:t>
      </w:r>
    </w:p>
    <w:p w14:paraId="28E739BB" w14:textId="096C9D4A" w:rsidR="00D172F1" w:rsidRDefault="00D172F1" w:rsidP="00C443A0">
      <w:pPr>
        <w:pStyle w:val="BodyText"/>
        <w:numPr>
          <w:ilvl w:val="0"/>
          <w:numId w:val="17"/>
        </w:numPr>
        <w:spacing w:before="180" w:line="290" w:lineRule="atLeast"/>
      </w:pPr>
      <w:bookmarkStart w:id="326" w:name="_ASICRef103"/>
      <w:r>
        <w:t xml:space="preserve">In summary, in </w:t>
      </w:r>
      <w:hyperlink r:id="rId178" w:history="1">
        <w:r w:rsidRPr="005A7735">
          <w:rPr>
            <w:rStyle w:val="Hyperlink"/>
          </w:rPr>
          <w:t>CP 334</w:t>
        </w:r>
      </w:hyperlink>
      <w:r>
        <w:t>, we said that:</w:t>
      </w:r>
      <w:bookmarkEnd w:id="326"/>
    </w:p>
    <w:p w14:paraId="499E7CCC" w14:textId="77777777" w:rsidR="00D172F1" w:rsidRDefault="00D172F1" w:rsidP="00C443A0">
      <w:pPr>
        <w:pStyle w:val="subparaa"/>
        <w:numPr>
          <w:ilvl w:val="1"/>
          <w:numId w:val="17"/>
        </w:numPr>
        <w:spacing w:line="290" w:lineRule="atLeast"/>
      </w:pPr>
      <w:r>
        <w:t>ASIC is currently of the opinion that derivative transactions entered into with an intent to clear those transactions (i.e. the pre-clearing or ‘alpha’ transactions) would also satisfy the criteria of Rule 2.2.8(3);</w:t>
      </w:r>
    </w:p>
    <w:p w14:paraId="60266AFC" w14:textId="479CD73C" w:rsidR="00D172F1" w:rsidRDefault="005A7735" w:rsidP="00C443A0">
      <w:pPr>
        <w:pStyle w:val="subparaa"/>
        <w:numPr>
          <w:ilvl w:val="1"/>
          <w:numId w:val="17"/>
        </w:numPr>
        <w:spacing w:line="290" w:lineRule="atLeast"/>
      </w:pPr>
      <w:r>
        <w:t xml:space="preserve">in </w:t>
      </w:r>
      <w:r w:rsidR="00D172F1">
        <w:t>products other than CFDs, margin FX, equity derivatives and cleared transactions, there appeared to be material termination and amendment transactional activity; and</w:t>
      </w:r>
    </w:p>
    <w:p w14:paraId="3CE32D53" w14:textId="30C80303" w:rsidR="00D172F1" w:rsidRDefault="00D172F1" w:rsidP="00C443A0">
      <w:pPr>
        <w:pStyle w:val="subparaa"/>
        <w:numPr>
          <w:ilvl w:val="1"/>
          <w:numId w:val="17"/>
        </w:numPr>
        <w:spacing w:line="290" w:lineRule="atLeast"/>
      </w:pPr>
      <w:r>
        <w:t>about 40</w:t>
      </w:r>
      <w:r w:rsidR="007A7E2C">
        <w:t>%</w:t>
      </w:r>
      <w:r>
        <w:t xml:space="preserve">–60% of terminations were within two days of the execution date of the transactions and we considered that such short-term trading indicates that transparency </w:t>
      </w:r>
      <w:r w:rsidRPr="008A1594">
        <w:t>of transaction information available to relevant authorities</w:t>
      </w:r>
      <w:r>
        <w:t xml:space="preserve"> and </w:t>
      </w:r>
      <w:r w:rsidRPr="008A1594">
        <w:t>support</w:t>
      </w:r>
      <w:r>
        <w:t xml:space="preserve"> for </w:t>
      </w:r>
      <w:r w:rsidRPr="008A1594">
        <w:t>detection and prevention of market abuse</w:t>
      </w:r>
      <w:r>
        <w:t xml:space="preserve"> would be enhanced by ‘lifecycle reporting’ to ensure the reporting of same-day new and terminated transactions.</w:t>
      </w:r>
    </w:p>
    <w:p w14:paraId="724E9294" w14:textId="77777777" w:rsidR="00D172F1" w:rsidRDefault="00D172F1" w:rsidP="00C443A0">
      <w:pPr>
        <w:pStyle w:val="BodyText"/>
        <w:numPr>
          <w:ilvl w:val="0"/>
          <w:numId w:val="17"/>
        </w:numPr>
        <w:spacing w:line="290" w:lineRule="atLeast"/>
      </w:pPr>
      <w:r>
        <w:t>We said that, therefore, we would consider a proposal in the second round of consultation to amend the ASIC Rules to specify ‘lifecycle reporting’ as the reporting requirement for all reportable transactions.</w:t>
      </w:r>
    </w:p>
    <w:p w14:paraId="4B5A3844" w14:textId="77777777" w:rsidR="00D172F1" w:rsidRDefault="00D172F1" w:rsidP="00D172F1">
      <w:pPr>
        <w:pStyle w:val="Heading3"/>
        <w:rPr>
          <w:lang w:val="en"/>
        </w:rPr>
      </w:pPr>
      <w:bookmarkStart w:id="327" w:name="_Toc57146518"/>
      <w:r>
        <w:rPr>
          <w:lang w:val="en"/>
        </w:rPr>
        <w:t>Part 2.4 Transitional Matters and other transitional matters</w:t>
      </w:r>
      <w:bookmarkEnd w:id="327"/>
    </w:p>
    <w:p w14:paraId="5F2D7652" w14:textId="77777777" w:rsidR="00D172F1" w:rsidRDefault="00D172F1" w:rsidP="00C443A0">
      <w:pPr>
        <w:pStyle w:val="BodyText"/>
        <w:numPr>
          <w:ilvl w:val="0"/>
          <w:numId w:val="17"/>
        </w:numPr>
        <w:spacing w:line="290" w:lineRule="atLeast"/>
      </w:pPr>
      <w:bookmarkStart w:id="328" w:name="_ASICRef798"/>
      <w:r>
        <w:t>In CP 334, we noted that various transitional matters were dealt with in the ASIC Rules in:</w:t>
      </w:r>
      <w:bookmarkEnd w:id="328"/>
    </w:p>
    <w:p w14:paraId="6E211E06" w14:textId="77777777" w:rsidR="00D172F1" w:rsidRDefault="00D172F1" w:rsidP="00C443A0">
      <w:pPr>
        <w:pStyle w:val="subparaa"/>
        <w:numPr>
          <w:ilvl w:val="1"/>
          <w:numId w:val="17"/>
        </w:numPr>
        <w:spacing w:line="290" w:lineRule="atLeast"/>
      </w:pPr>
      <w:r>
        <w:t>Part 2.4 which defers certain aspects of the ASIC Rules from the commencement date of the ASIC Rules to various future dates;</w:t>
      </w:r>
    </w:p>
    <w:p w14:paraId="0789BE26" w14:textId="66F9F448" w:rsidR="00D172F1" w:rsidRDefault="00D172F1" w:rsidP="00C443A0">
      <w:pPr>
        <w:pStyle w:val="subparaa"/>
        <w:numPr>
          <w:ilvl w:val="1"/>
          <w:numId w:val="17"/>
        </w:numPr>
        <w:spacing w:line="290" w:lineRule="atLeast"/>
      </w:pPr>
      <w:r>
        <w:t xml:space="preserve">Schedule 1: Reporting </w:t>
      </w:r>
      <w:r w:rsidRPr="006973B7">
        <w:t>Requirements—Phasing</w:t>
      </w:r>
      <w:r>
        <w:t xml:space="preserve"> </w:t>
      </w:r>
      <w:r w:rsidR="005A7735">
        <w:t xml:space="preserve">which sets </w:t>
      </w:r>
      <w:r>
        <w:t>out the phased implementation of the obligations under the ASIC Rules for various types of reporting entities, reportable transactions and reportable positions;</w:t>
      </w:r>
    </w:p>
    <w:p w14:paraId="4A5075EC" w14:textId="1E1D660B" w:rsidR="00D172F1" w:rsidRDefault="00D172F1" w:rsidP="00C443A0">
      <w:pPr>
        <w:pStyle w:val="subparaa"/>
        <w:numPr>
          <w:ilvl w:val="1"/>
          <w:numId w:val="17"/>
        </w:numPr>
        <w:spacing w:line="290" w:lineRule="atLeast"/>
      </w:pPr>
      <w:r>
        <w:t xml:space="preserve">Part S2.2 Derivative Position Information </w:t>
      </w:r>
      <w:r w:rsidR="005A7735">
        <w:t xml:space="preserve">which </w:t>
      </w:r>
      <w:r>
        <w:t xml:space="preserve">sets out the information that must be reported for a reportable position, which is, broadly, a pre-existing derivative transaction at </w:t>
      </w:r>
      <w:r w:rsidR="005A7735">
        <w:t xml:space="preserve">the </w:t>
      </w:r>
      <w:r>
        <w:t>time that reporting obligations commenced; and</w:t>
      </w:r>
    </w:p>
    <w:p w14:paraId="0BC8A878" w14:textId="77777777" w:rsidR="00D172F1" w:rsidRDefault="00D172F1" w:rsidP="00C443A0">
      <w:pPr>
        <w:pStyle w:val="subparaa"/>
        <w:numPr>
          <w:ilvl w:val="1"/>
          <w:numId w:val="17"/>
        </w:numPr>
        <w:spacing w:line="290" w:lineRule="atLeast"/>
      </w:pPr>
      <w:r>
        <w:t>definitions in Part 1.2 Interpretation that solely apply to one or more of the above provisions.</w:t>
      </w:r>
    </w:p>
    <w:p w14:paraId="1C8EF089" w14:textId="77777777" w:rsidR="008B1429" w:rsidRPr="008B1429" w:rsidRDefault="008B1429" w:rsidP="008B1429">
      <w:pPr>
        <w:pStyle w:val="Bodytextplain"/>
        <w:keepNext/>
        <w:spacing w:before="0" w:line="240" w:lineRule="auto"/>
        <w:rPr>
          <w:sz w:val="4"/>
          <w:szCs w:val="4"/>
        </w:rPr>
      </w:pPr>
    </w:p>
    <w:p w14:paraId="2BF3ACE1" w14:textId="56B944BD" w:rsidR="00D172F1" w:rsidRDefault="00D172F1" w:rsidP="008B1429">
      <w:pPr>
        <w:pStyle w:val="BodyText"/>
        <w:numPr>
          <w:ilvl w:val="0"/>
          <w:numId w:val="17"/>
        </w:numPr>
        <w:spacing w:before="0"/>
      </w:pPr>
      <w:r>
        <w:t xml:space="preserve">As the relevant time for all these provisions has passed—that is, the Part 2.4 transitional matters are no longer transitional, the Schedule 1 phasing has been fully implemented and the deadlines for reportable positions </w:t>
      </w:r>
      <w:r w:rsidR="005A7735">
        <w:t xml:space="preserve">have </w:t>
      </w:r>
      <w:r>
        <w:t>passed—we proposed to simplify the ASIC Rules by repealing or amending the relevant outdated provisions</w:t>
      </w:r>
      <w:r w:rsidR="00A4357A">
        <w:t>.</w:t>
      </w:r>
    </w:p>
    <w:p w14:paraId="3E3C10CD" w14:textId="77777777" w:rsidR="00D172F1" w:rsidRDefault="00D172F1" w:rsidP="00D172F1">
      <w:pPr>
        <w:pStyle w:val="Heading2"/>
      </w:pPr>
      <w:bookmarkStart w:id="329" w:name="_Toc95402028"/>
      <w:bookmarkStart w:id="330" w:name="_Toc103174658"/>
      <w:r>
        <w:t>Feedback on our proposed approaches in CP 334</w:t>
      </w:r>
      <w:bookmarkEnd w:id="329"/>
      <w:bookmarkEnd w:id="330"/>
    </w:p>
    <w:p w14:paraId="215D52E1" w14:textId="77777777" w:rsidR="00D172F1" w:rsidRDefault="00D172F1" w:rsidP="00D172F1">
      <w:pPr>
        <w:pStyle w:val="Heading3"/>
      </w:pPr>
      <w:r>
        <w:t>Rule 2.2.3 Reporting Requirement—Timing (generally, T+1)</w:t>
      </w:r>
    </w:p>
    <w:p w14:paraId="14414361" w14:textId="77777777" w:rsidR="00D172F1" w:rsidRDefault="00D172F1" w:rsidP="00C443A0">
      <w:pPr>
        <w:pStyle w:val="BodyText"/>
        <w:numPr>
          <w:ilvl w:val="0"/>
          <w:numId w:val="17"/>
        </w:numPr>
      </w:pPr>
      <w:r>
        <w:t>There was mixed feedback to our proposals in relation to defining a singular time as the reporting deadline for the purposes of the UTI rules or for both the purposes of the UTI rules and for the actual reporting obligation.</w:t>
      </w:r>
    </w:p>
    <w:p w14:paraId="26C29836" w14:textId="77777777" w:rsidR="00D172F1" w:rsidRDefault="00D172F1" w:rsidP="00C443A0">
      <w:pPr>
        <w:pStyle w:val="BodyText"/>
        <w:numPr>
          <w:ilvl w:val="0"/>
          <w:numId w:val="17"/>
        </w:numPr>
      </w:pPr>
      <w:r>
        <w:t>Some respondents could see the benefits of a singular deadline for both purposes but felt that, in practice, the reporting deadline for UTI purposes would need to be sooner than that of the actual reporting obligation. Other respondents preferred not to change the reporting deadline for the actual reporting obligation.</w:t>
      </w:r>
    </w:p>
    <w:p w14:paraId="12561D65" w14:textId="77777777" w:rsidR="00D172F1" w:rsidRDefault="00D172F1" w:rsidP="00D172F1">
      <w:pPr>
        <w:pStyle w:val="Heading3"/>
      </w:pPr>
      <w:r>
        <w:t>Rule 2.2.8 Lifecycle or snapshot reporting</w:t>
      </w:r>
    </w:p>
    <w:p w14:paraId="0CB27400" w14:textId="77777777" w:rsidR="00D172F1" w:rsidRDefault="00D172F1" w:rsidP="00C443A0">
      <w:pPr>
        <w:pStyle w:val="BodyText"/>
        <w:numPr>
          <w:ilvl w:val="0"/>
          <w:numId w:val="17"/>
        </w:numPr>
      </w:pPr>
      <w:r>
        <w:t>There was widespread support among respondents to implement lifecycle reporting for all products. One respondent commented that they did not see the value in lifecycle reporting as the current reporting requirements captured all the information required for position monitoring.</w:t>
      </w:r>
    </w:p>
    <w:p w14:paraId="3518E257" w14:textId="77777777" w:rsidR="00D172F1" w:rsidRDefault="00D172F1" w:rsidP="00D172F1">
      <w:pPr>
        <w:pStyle w:val="Heading3"/>
        <w:rPr>
          <w:lang w:val="en"/>
        </w:rPr>
      </w:pPr>
      <w:r>
        <w:rPr>
          <w:lang w:val="en"/>
        </w:rPr>
        <w:t>Part 2.4 Transitional Matters and other transitional matters</w:t>
      </w:r>
    </w:p>
    <w:p w14:paraId="16B0023E" w14:textId="77777777" w:rsidR="00D172F1" w:rsidRPr="00164691" w:rsidRDefault="00D172F1" w:rsidP="00C443A0">
      <w:pPr>
        <w:pStyle w:val="BodyText"/>
        <w:numPr>
          <w:ilvl w:val="0"/>
          <w:numId w:val="17"/>
        </w:numPr>
      </w:pPr>
      <w:r>
        <w:rPr>
          <w:rFonts w:eastAsiaTheme="minorHAnsi"/>
        </w:rPr>
        <w:t xml:space="preserve">Only a few respondents specifically commented on our proposal to </w:t>
      </w:r>
      <w:r>
        <w:t>repeal or amend the relevant outdated provisions of the ASIC Rules. Those that did comment, supported the proposal and there were no comments opposing the proposal.</w:t>
      </w:r>
    </w:p>
    <w:p w14:paraId="7952C7CE" w14:textId="77777777" w:rsidR="00D172F1" w:rsidRDefault="00D172F1" w:rsidP="000A4612">
      <w:pPr>
        <w:pStyle w:val="Heading3"/>
      </w:pPr>
      <w:r>
        <w:rPr>
          <w:rFonts w:eastAsiaTheme="minorHAnsi"/>
        </w:rPr>
        <w:t>Our response</w:t>
      </w:r>
    </w:p>
    <w:p w14:paraId="77C82E62" w14:textId="77777777" w:rsidR="00D172F1" w:rsidRDefault="00D172F1" w:rsidP="00C443A0">
      <w:pPr>
        <w:pStyle w:val="BodyText"/>
        <w:numPr>
          <w:ilvl w:val="0"/>
          <w:numId w:val="17"/>
        </w:numPr>
      </w:pPr>
      <w:r>
        <w:t>Taking into account the feedback to CP 334, we have decided to:</w:t>
      </w:r>
    </w:p>
    <w:p w14:paraId="55A84BE1" w14:textId="42B57CE4" w:rsidR="00D172F1" w:rsidRDefault="00D172F1" w:rsidP="00C443A0">
      <w:pPr>
        <w:pStyle w:val="subparaa"/>
        <w:numPr>
          <w:ilvl w:val="1"/>
          <w:numId w:val="17"/>
        </w:numPr>
      </w:pPr>
      <w:r>
        <w:t>proceed with specifying a reporting deadline for the purposes of the UTI rule (Rule 2.2.9), but not to change the current provisions of Rule</w:t>
      </w:r>
      <w:r w:rsidR="00FC2A22">
        <w:t> </w:t>
      </w:r>
      <w:r>
        <w:t xml:space="preserve">2.2.3 </w:t>
      </w:r>
      <w:r w:rsidRPr="00F76596">
        <w:t>Reporting Requirement—Timing (generally, T+1)</w:t>
      </w:r>
      <w:r>
        <w:t>;</w:t>
      </w:r>
    </w:p>
    <w:p w14:paraId="3473CE55" w14:textId="3327CAE4" w:rsidR="00D172F1" w:rsidRPr="00D7214C" w:rsidRDefault="00D172F1" w:rsidP="00C443A0">
      <w:pPr>
        <w:pStyle w:val="subparaa"/>
        <w:numPr>
          <w:ilvl w:val="1"/>
          <w:numId w:val="17"/>
        </w:numPr>
      </w:pPr>
      <w:r>
        <w:t xml:space="preserve">proceed to </w:t>
      </w:r>
      <w:r w:rsidRPr="00812F8E">
        <w:rPr>
          <w:rFonts w:eastAsiaTheme="minorHAnsi"/>
        </w:rPr>
        <w:t>remove</w:t>
      </w:r>
      <w:r>
        <w:rPr>
          <w:rFonts w:eastAsiaTheme="minorHAnsi"/>
        </w:rPr>
        <w:t xml:space="preserve"> t</w:t>
      </w:r>
      <w:r w:rsidRPr="00812F8E">
        <w:rPr>
          <w:rFonts w:eastAsiaTheme="minorHAnsi"/>
        </w:rPr>
        <w:t xml:space="preserve">he relevant outdated provisions of the </w:t>
      </w:r>
      <w:r>
        <w:rPr>
          <w:rFonts w:eastAsiaTheme="minorHAnsi"/>
        </w:rPr>
        <w:t>c</w:t>
      </w:r>
      <w:r w:rsidRPr="00812F8E">
        <w:rPr>
          <w:rFonts w:eastAsiaTheme="minorHAnsi"/>
        </w:rPr>
        <w:t xml:space="preserve">urrent ASIC Rules referred to in paragraph </w:t>
      </w:r>
      <w:r w:rsidRPr="00812F8E">
        <w:rPr>
          <w:rFonts w:eastAsiaTheme="minorHAnsi"/>
        </w:rPr>
        <w:fldChar w:fldCharType="begin" w:fldLock="1"/>
      </w:r>
      <w:r w:rsidRPr="00812F8E">
        <w:rPr>
          <w:rFonts w:eastAsiaTheme="minorHAnsi"/>
        </w:rPr>
        <w:instrText xml:space="preserve"> REF _ASICRef798 \w \h </w:instrText>
      </w:r>
      <w:r w:rsidRPr="00812F8E">
        <w:rPr>
          <w:rFonts w:eastAsiaTheme="minorHAnsi"/>
        </w:rPr>
      </w:r>
      <w:r w:rsidRPr="00812F8E">
        <w:rPr>
          <w:rFonts w:eastAsiaTheme="minorHAnsi"/>
        </w:rPr>
        <w:fldChar w:fldCharType="separate"/>
      </w:r>
      <w:r w:rsidR="00853A2A">
        <w:rPr>
          <w:rFonts w:eastAsiaTheme="minorHAnsi"/>
        </w:rPr>
        <w:t>829</w:t>
      </w:r>
      <w:r w:rsidRPr="00812F8E">
        <w:rPr>
          <w:rFonts w:eastAsiaTheme="minorHAnsi"/>
        </w:rPr>
        <w:fldChar w:fldCharType="end"/>
      </w:r>
      <w:r>
        <w:rPr>
          <w:rFonts w:eastAsiaTheme="minorHAnsi"/>
        </w:rPr>
        <w:t>; and</w:t>
      </w:r>
    </w:p>
    <w:p w14:paraId="59BF5351" w14:textId="499E06BB" w:rsidR="00D172F1" w:rsidRDefault="00D172F1" w:rsidP="00C443A0">
      <w:pPr>
        <w:pStyle w:val="subparaa"/>
        <w:numPr>
          <w:ilvl w:val="1"/>
          <w:numId w:val="17"/>
        </w:numPr>
      </w:pPr>
      <w:r>
        <w:t xml:space="preserve">propose to extend lifecycle reporting to all products, but to exempt </w:t>
      </w:r>
      <w:r w:rsidRPr="000D606A">
        <w:t>small-scale buy-side entities from the extended</w:t>
      </w:r>
      <w:r>
        <w:t xml:space="preserve"> requirements.</w:t>
      </w:r>
    </w:p>
    <w:p w14:paraId="18394E5C" w14:textId="77777777" w:rsidR="00197A25" w:rsidRPr="00197A25" w:rsidRDefault="00197A25" w:rsidP="00197A25">
      <w:pPr>
        <w:pStyle w:val="Bodytextplain"/>
        <w:keepNext/>
        <w:spacing w:before="0" w:line="240" w:lineRule="auto"/>
        <w:ind w:left="2835"/>
        <w:rPr>
          <w:sz w:val="4"/>
          <w:szCs w:val="4"/>
        </w:rPr>
      </w:pPr>
      <w:bookmarkStart w:id="331" w:name="_ASICRef130"/>
    </w:p>
    <w:p w14:paraId="1BEC2C5C" w14:textId="24D84770" w:rsidR="00D172F1" w:rsidRDefault="00D172F1" w:rsidP="00197A25">
      <w:pPr>
        <w:pStyle w:val="BodyText"/>
        <w:numPr>
          <w:ilvl w:val="0"/>
          <w:numId w:val="17"/>
        </w:numPr>
        <w:spacing w:before="160" w:line="310" w:lineRule="atLeast"/>
      </w:pPr>
      <w:r>
        <w:t xml:space="preserve">In relation to reporting deadline(s), as discussed at </w:t>
      </w:r>
      <w:bookmarkStart w:id="332" w:name="_Hlk97025481"/>
      <w:r>
        <w:t>paragraph</w:t>
      </w:r>
      <w:r w:rsidR="00957D6A">
        <w:t xml:space="preserve"> </w:t>
      </w:r>
      <w:r>
        <w:fldChar w:fldCharType="begin" w:fldLock="1"/>
      </w:r>
      <w:r>
        <w:instrText xml:space="preserve"> REF _ASICRef583 \w \h </w:instrText>
      </w:r>
      <w:r>
        <w:fldChar w:fldCharType="separate"/>
      </w:r>
      <w:r w:rsidR="00853A2A">
        <w:t>144</w:t>
      </w:r>
      <w:r>
        <w:fldChar w:fldCharType="end"/>
      </w:r>
      <w:r>
        <w:t xml:space="preserve"> in </w:t>
      </w:r>
      <w:bookmarkEnd w:id="332"/>
      <w:r>
        <w:t>Section</w:t>
      </w:r>
      <w:r w:rsidR="00FC2A22">
        <w:t> </w:t>
      </w:r>
      <w:r w:rsidR="00FC2A22">
        <w:fldChar w:fldCharType="begin" w:fldLock="1"/>
      </w:r>
      <w:r w:rsidR="00FC2A22">
        <w:instrText xml:space="preserve"> REF _ASICRef705 \r \h </w:instrText>
      </w:r>
      <w:r w:rsidR="00FC2A22">
        <w:fldChar w:fldCharType="separate"/>
      </w:r>
      <w:r w:rsidR="00853A2A">
        <w:t>B</w:t>
      </w:r>
      <w:r w:rsidR="00FC2A22">
        <w:fldChar w:fldCharType="end"/>
      </w:r>
      <w:r>
        <w:t xml:space="preserve"> </w:t>
      </w:r>
      <w:r w:rsidR="00FC2A22">
        <w:t>‘</w:t>
      </w:r>
      <w:r>
        <w:fldChar w:fldCharType="begin" w:fldLock="1"/>
      </w:r>
      <w:r>
        <w:instrText xml:space="preserve"> REF _ASICRef705 \h </w:instrText>
      </w:r>
      <w:r>
        <w:fldChar w:fldCharType="separate"/>
      </w:r>
      <w:r w:rsidR="00853A2A">
        <w:t>The unique transaction identifier (UTI)</w:t>
      </w:r>
      <w:r>
        <w:fldChar w:fldCharType="end"/>
      </w:r>
      <w:r w:rsidR="00FC2A22">
        <w:t>’</w:t>
      </w:r>
      <w:r>
        <w:t>, we have decided to proceed with specifying that, for the purposes of the UTI rule (Rule 2.2.9), ‘</w:t>
      </w:r>
      <w:r w:rsidRPr="00C75483">
        <w:t xml:space="preserve">the reporting deadline in this jurisdiction </w:t>
      </w:r>
      <w:r>
        <w:t xml:space="preserve">for a Reportable Transaction </w:t>
      </w:r>
      <w:r w:rsidRPr="00C75483">
        <w:t xml:space="preserve">is </w:t>
      </w:r>
      <w:r>
        <w:t>the end of</w:t>
      </w:r>
      <w:r w:rsidRPr="00C75483">
        <w:t xml:space="preserve"> the next business day in Sydney</w:t>
      </w:r>
      <w:r>
        <w:t>’.</w:t>
      </w:r>
      <w:bookmarkEnd w:id="331"/>
    </w:p>
    <w:p w14:paraId="4E6E8868" w14:textId="77777777" w:rsidR="00D172F1" w:rsidRPr="007D2AA8" w:rsidRDefault="00D172F1" w:rsidP="00C443A0">
      <w:pPr>
        <w:pStyle w:val="BodyText"/>
        <w:numPr>
          <w:ilvl w:val="0"/>
          <w:numId w:val="17"/>
        </w:numPr>
        <w:spacing w:line="310" w:lineRule="atLeast"/>
      </w:pPr>
      <w:r>
        <w:t xml:space="preserve">In light of the mixed feedback regarding specifying a singular reporting deadline for the actual reporting obligation, we have decided not to change the current provisions of Rule 2.2.3 </w:t>
      </w:r>
      <w:r w:rsidRPr="00F76596">
        <w:t>Reporting Requirement—Timing (generally, T+1)</w:t>
      </w:r>
      <w:r>
        <w:t>.</w:t>
      </w:r>
    </w:p>
    <w:p w14:paraId="0173E676" w14:textId="7269BADC" w:rsidR="00D172F1" w:rsidRDefault="00D172F1" w:rsidP="00C443A0">
      <w:pPr>
        <w:pStyle w:val="BodyText"/>
        <w:numPr>
          <w:ilvl w:val="0"/>
          <w:numId w:val="17"/>
        </w:numPr>
        <w:spacing w:line="310" w:lineRule="atLeast"/>
      </w:pPr>
      <w:bookmarkStart w:id="333" w:name="_ASICRef596"/>
      <w:r>
        <w:t xml:space="preserve">In relation to lifecycle reporting, as foreshadowed in </w:t>
      </w:r>
      <w:hyperlink r:id="rId179" w:history="1">
        <w:r w:rsidRPr="00FC2A22">
          <w:rPr>
            <w:rStyle w:val="Hyperlink"/>
          </w:rPr>
          <w:t>CP 334</w:t>
        </w:r>
      </w:hyperlink>
      <w:r>
        <w:t xml:space="preserve">, we are now proposing to implement lifecycle reporting for all products. However, as proposed in Section </w:t>
      </w:r>
      <w:r w:rsidR="00FC2A22">
        <w:fldChar w:fldCharType="begin" w:fldLock="1"/>
      </w:r>
      <w:r w:rsidR="00FC2A22">
        <w:instrText xml:space="preserve"> REF _ASICRef301 \r \h </w:instrText>
      </w:r>
      <w:r w:rsidR="00FC2A22">
        <w:fldChar w:fldCharType="separate"/>
      </w:r>
      <w:r w:rsidR="00853A2A">
        <w:t>E</w:t>
      </w:r>
      <w:r w:rsidR="00FC2A22">
        <w:fldChar w:fldCharType="end"/>
      </w:r>
      <w:r>
        <w:t xml:space="preserve"> </w:t>
      </w:r>
      <w:r w:rsidR="00034894">
        <w:t>‘</w:t>
      </w:r>
      <w:r>
        <w:t>The ASIC data elements</w:t>
      </w:r>
      <w:r w:rsidR="00034894">
        <w:t>’</w:t>
      </w:r>
      <w:r>
        <w:t xml:space="preserve">, extending lifecycle reporting to all products is one of </w:t>
      </w:r>
      <w:r w:rsidR="00034894">
        <w:t xml:space="preserve">the </w:t>
      </w:r>
      <w:r>
        <w:t xml:space="preserve">extended requirements </w:t>
      </w:r>
      <w:r w:rsidRPr="000D606A">
        <w:t>that small-scale buy-side entities would not be required to comply with. Small-scale buy-side entities would continue to be required to report equity derivatives</w:t>
      </w:r>
      <w:r>
        <w:t xml:space="preserve"> transactions using lifecycle reporting</w:t>
      </w:r>
      <w:bookmarkEnd w:id="333"/>
      <w:r w:rsidR="00034894">
        <w:t>.</w:t>
      </w:r>
    </w:p>
    <w:p w14:paraId="565CE6D3" w14:textId="4A748439" w:rsidR="00D172F1" w:rsidRDefault="00D172F1" w:rsidP="00C443A0">
      <w:pPr>
        <w:pStyle w:val="BodyText"/>
        <w:numPr>
          <w:ilvl w:val="0"/>
          <w:numId w:val="17"/>
        </w:numPr>
        <w:spacing w:line="310" w:lineRule="atLeast"/>
      </w:pPr>
      <w:r>
        <w:t>Our responses and proposals are summarised in</w:t>
      </w:r>
      <w:r w:rsidR="00EA7F2F">
        <w:t xml:space="preserve"> </w:t>
      </w:r>
      <w:r w:rsidR="00EA7F2F">
        <w:fldChar w:fldCharType="begin" w:fldLock="1"/>
      </w:r>
      <w:r w:rsidR="00EA7F2F">
        <w:instrText xml:space="preserve"> REF _Ref97625682 \h </w:instrText>
      </w:r>
      <w:r w:rsidR="00EA7F2F">
        <w:fldChar w:fldCharType="separate"/>
      </w:r>
      <w:r w:rsidR="00853A2A">
        <w:t xml:space="preserve">Table </w:t>
      </w:r>
      <w:r w:rsidR="00853A2A">
        <w:rPr>
          <w:noProof/>
        </w:rPr>
        <w:t>42</w:t>
      </w:r>
      <w:r w:rsidR="00EA7F2F">
        <w:fldChar w:fldCharType="end"/>
      </w:r>
      <w:r>
        <w:t>:</w:t>
      </w:r>
    </w:p>
    <w:p w14:paraId="45102211" w14:textId="079AE1AA" w:rsidR="00D172F1" w:rsidRDefault="00D172F1" w:rsidP="00B13182">
      <w:pPr>
        <w:pStyle w:val="tabletitleindented"/>
        <w:keepNext w:val="0"/>
      </w:pPr>
      <w:bookmarkStart w:id="334" w:name="_Ref97625682"/>
      <w:r>
        <w:t xml:space="preserve">Table </w:t>
      </w:r>
      <w:fldSimple w:instr=" SEQ Table \* ARABIC ">
        <w:r w:rsidR="006679BA">
          <w:rPr>
            <w:noProof/>
          </w:rPr>
          <w:t>42</w:t>
        </w:r>
      </w:fldSimple>
      <w:bookmarkEnd w:id="334"/>
      <w:r>
        <w:t>:</w:t>
      </w:r>
      <w:r>
        <w:tab/>
        <w:t>Summary of ASIC’s responses and proposals</w:t>
      </w:r>
    </w:p>
    <w:tbl>
      <w:tblPr>
        <w:tblW w:w="6912" w:type="dxa"/>
        <w:tblInd w:w="2268" w:type="dxa"/>
        <w:tblBorders>
          <w:top w:val="single" w:sz="4" w:space="0" w:color="999999"/>
          <w:bottom w:val="single" w:sz="4" w:space="0" w:color="999999"/>
          <w:insideH w:val="single" w:sz="4" w:space="0" w:color="999999"/>
        </w:tblBorders>
        <w:tblLayout w:type="fixed"/>
        <w:tblCellMar>
          <w:bottom w:w="113" w:type="dxa"/>
        </w:tblCellMar>
        <w:tblLook w:val="0080" w:firstRow="0" w:lastRow="0" w:firstColumn="1" w:lastColumn="0" w:noHBand="0" w:noVBand="0"/>
      </w:tblPr>
      <w:tblGrid>
        <w:gridCol w:w="1809"/>
        <w:gridCol w:w="5103"/>
      </w:tblGrid>
      <w:tr w:rsidR="00D172F1" w:rsidRPr="000540E1" w14:paraId="02BB64AF" w14:textId="77777777" w:rsidTr="004F7B30">
        <w:trPr>
          <w:cantSplit/>
        </w:trPr>
        <w:tc>
          <w:tcPr>
            <w:tcW w:w="1809" w:type="dxa"/>
            <w:shd w:val="clear" w:color="auto" w:fill="C2E3FA"/>
          </w:tcPr>
          <w:p w14:paraId="16F7BD52" w14:textId="77777777" w:rsidR="00D172F1" w:rsidRPr="000540E1" w:rsidRDefault="00D172F1" w:rsidP="00B13182">
            <w:pPr>
              <w:pStyle w:val="tablehead"/>
              <w:keepNext w:val="0"/>
              <w:spacing w:line="250" w:lineRule="atLeast"/>
            </w:pPr>
            <w:r>
              <w:t>Decisions for the draft remade ASIC Rules</w:t>
            </w:r>
          </w:p>
        </w:tc>
        <w:tc>
          <w:tcPr>
            <w:tcW w:w="5103" w:type="dxa"/>
          </w:tcPr>
          <w:p w14:paraId="3926AFC8" w14:textId="77777777" w:rsidR="00D172F1" w:rsidRDefault="00D172F1" w:rsidP="00B13182">
            <w:pPr>
              <w:pStyle w:val="tbltext"/>
              <w:spacing w:line="250" w:lineRule="atLeast"/>
            </w:pPr>
            <w:r>
              <w:t>Specify a reporting deadline for the purposes of the UTI rule (Rule 2.2.9)</w:t>
            </w:r>
          </w:p>
          <w:p w14:paraId="1C325FF4" w14:textId="77777777" w:rsidR="00D172F1" w:rsidRDefault="00D172F1" w:rsidP="00B13182">
            <w:pPr>
              <w:pStyle w:val="tbltext"/>
              <w:spacing w:line="250" w:lineRule="atLeast"/>
            </w:pPr>
            <w:r>
              <w:t>Not change the current provisions of Rule 2.2.3 Reporting Requirement—Timing (generally, T+1)</w:t>
            </w:r>
          </w:p>
          <w:p w14:paraId="5397D461" w14:textId="55B4A190" w:rsidR="00EA7F2F" w:rsidRPr="000540E1" w:rsidRDefault="00D172F1" w:rsidP="00B13182">
            <w:pPr>
              <w:pStyle w:val="tbltext"/>
              <w:spacing w:line="250" w:lineRule="atLeast"/>
            </w:pPr>
            <w:r>
              <w:t>Remove the relevant outdated provisions of the current ASIC Rules</w:t>
            </w:r>
          </w:p>
        </w:tc>
      </w:tr>
      <w:tr w:rsidR="00D172F1" w:rsidRPr="000540E1" w14:paraId="484FEF81" w14:textId="77777777" w:rsidTr="004F7B30">
        <w:trPr>
          <w:cantSplit/>
        </w:trPr>
        <w:tc>
          <w:tcPr>
            <w:tcW w:w="1809" w:type="dxa"/>
            <w:shd w:val="clear" w:color="auto" w:fill="C2E3FA"/>
          </w:tcPr>
          <w:p w14:paraId="6A124013" w14:textId="77777777" w:rsidR="00D172F1" w:rsidRPr="000540E1" w:rsidRDefault="00D172F1" w:rsidP="00B13182">
            <w:pPr>
              <w:pStyle w:val="tablehead"/>
              <w:keepNext w:val="0"/>
              <w:spacing w:line="250" w:lineRule="atLeast"/>
            </w:pPr>
            <w:r>
              <w:t>Proposals for the draft remade ASIC Rules</w:t>
            </w:r>
          </w:p>
        </w:tc>
        <w:tc>
          <w:tcPr>
            <w:tcW w:w="5103" w:type="dxa"/>
          </w:tcPr>
          <w:p w14:paraId="59310314" w14:textId="5A4709EE" w:rsidR="00D172F1" w:rsidRPr="008F4463" w:rsidRDefault="00E8367A" w:rsidP="00B13182">
            <w:pPr>
              <w:pStyle w:val="tbltext"/>
              <w:spacing w:line="250" w:lineRule="atLeast"/>
            </w:pPr>
            <w:r>
              <w:t>Extend lifecycle reporting to all products</w:t>
            </w:r>
          </w:p>
        </w:tc>
      </w:tr>
      <w:tr w:rsidR="00D172F1" w:rsidRPr="000540E1" w14:paraId="43308281" w14:textId="77777777" w:rsidTr="004F7B30">
        <w:trPr>
          <w:cantSplit/>
        </w:trPr>
        <w:tc>
          <w:tcPr>
            <w:tcW w:w="1809" w:type="dxa"/>
            <w:shd w:val="clear" w:color="auto" w:fill="C2E3FA"/>
          </w:tcPr>
          <w:p w14:paraId="3DA40E84" w14:textId="77777777" w:rsidR="00D172F1" w:rsidRPr="000540E1" w:rsidRDefault="00D172F1" w:rsidP="00B13182">
            <w:pPr>
              <w:pStyle w:val="tablehead"/>
              <w:keepNext w:val="0"/>
              <w:spacing w:line="250" w:lineRule="atLeast"/>
            </w:pPr>
            <w:r>
              <w:t>Decisions for the draft amended ASIC Rules</w:t>
            </w:r>
          </w:p>
        </w:tc>
        <w:tc>
          <w:tcPr>
            <w:tcW w:w="5103" w:type="dxa"/>
          </w:tcPr>
          <w:p w14:paraId="59CDB1F2" w14:textId="0637D872" w:rsidR="00D172F1" w:rsidRPr="000540E1" w:rsidRDefault="00034894" w:rsidP="00B13182">
            <w:pPr>
              <w:pStyle w:val="tbltext"/>
              <w:spacing w:line="250" w:lineRule="atLeast"/>
            </w:pPr>
            <w:r>
              <w:t>Not applicable</w:t>
            </w:r>
          </w:p>
        </w:tc>
      </w:tr>
      <w:tr w:rsidR="00D172F1" w:rsidRPr="000540E1" w14:paraId="181869A6" w14:textId="77777777" w:rsidTr="004F7B30">
        <w:trPr>
          <w:cantSplit/>
        </w:trPr>
        <w:tc>
          <w:tcPr>
            <w:tcW w:w="1809" w:type="dxa"/>
            <w:shd w:val="clear" w:color="auto" w:fill="C2E3FA"/>
          </w:tcPr>
          <w:p w14:paraId="370B76CA" w14:textId="77777777" w:rsidR="00D172F1" w:rsidRPr="000540E1" w:rsidRDefault="00D172F1" w:rsidP="00B13182">
            <w:pPr>
              <w:pStyle w:val="tablehead"/>
              <w:keepNext w:val="0"/>
              <w:spacing w:line="250" w:lineRule="atLeast"/>
            </w:pPr>
            <w:r>
              <w:t>Proposals for the draft amended ASIC Rules</w:t>
            </w:r>
          </w:p>
        </w:tc>
        <w:tc>
          <w:tcPr>
            <w:tcW w:w="5103" w:type="dxa"/>
          </w:tcPr>
          <w:p w14:paraId="4DD8FAC0" w14:textId="2297384F" w:rsidR="00D172F1" w:rsidRPr="000540E1" w:rsidRDefault="00034894" w:rsidP="00B13182">
            <w:pPr>
              <w:pStyle w:val="tbltext"/>
              <w:spacing w:line="250" w:lineRule="atLeast"/>
            </w:pPr>
            <w:r>
              <w:t>Not applicable</w:t>
            </w:r>
          </w:p>
        </w:tc>
      </w:tr>
      <w:tr w:rsidR="00D172F1" w:rsidRPr="000540E1" w14:paraId="3D413622" w14:textId="77777777" w:rsidTr="004F7B30">
        <w:trPr>
          <w:cantSplit/>
        </w:trPr>
        <w:tc>
          <w:tcPr>
            <w:tcW w:w="1809" w:type="dxa"/>
            <w:shd w:val="clear" w:color="auto" w:fill="C2E3FA"/>
          </w:tcPr>
          <w:p w14:paraId="7B99CD3C" w14:textId="77777777" w:rsidR="00D172F1" w:rsidRDefault="00D172F1" w:rsidP="00B13182">
            <w:pPr>
              <w:pStyle w:val="tablehead"/>
              <w:keepNext w:val="0"/>
              <w:spacing w:line="250" w:lineRule="atLeast"/>
            </w:pPr>
            <w:r>
              <w:t>Matters deferred to the third consultation</w:t>
            </w:r>
          </w:p>
        </w:tc>
        <w:tc>
          <w:tcPr>
            <w:tcW w:w="5103" w:type="dxa"/>
          </w:tcPr>
          <w:p w14:paraId="56635F05" w14:textId="1E57E566" w:rsidR="00D172F1" w:rsidRDefault="00034894" w:rsidP="00B13182">
            <w:pPr>
              <w:pStyle w:val="tbltext"/>
              <w:spacing w:line="250" w:lineRule="atLeast"/>
            </w:pPr>
            <w:r>
              <w:t>Not applicable</w:t>
            </w:r>
          </w:p>
        </w:tc>
      </w:tr>
    </w:tbl>
    <w:p w14:paraId="09C67EBC" w14:textId="77777777" w:rsidR="00D172F1" w:rsidRDefault="00D172F1" w:rsidP="00F05C93">
      <w:pPr>
        <w:pStyle w:val="Heading2"/>
      </w:pPr>
      <w:bookmarkStart w:id="335" w:name="_Toc103174659"/>
      <w:r>
        <w:t>ASIC’s further proposals</w:t>
      </w:r>
      <w:bookmarkEnd w:id="335"/>
    </w:p>
    <w:p w14:paraId="1EF8B79C" w14:textId="77777777" w:rsidR="00D172F1" w:rsidRDefault="00D172F1" w:rsidP="00B13182">
      <w:pPr>
        <w:pStyle w:val="Proposalhead"/>
        <w:keepNext w:val="0"/>
      </w:pPr>
      <w:r>
        <w:t>Proposal</w:t>
      </w:r>
    </w:p>
    <w:p w14:paraId="20457CE5" w14:textId="31372481" w:rsidR="00866410" w:rsidRPr="000D606A" w:rsidRDefault="00866410" w:rsidP="00F05C93">
      <w:pPr>
        <w:pStyle w:val="Proposaltext"/>
        <w:tabs>
          <w:tab w:val="clear" w:pos="2693"/>
          <w:tab w:val="num" w:pos="425"/>
        </w:tabs>
      </w:pPr>
      <w:r>
        <w:t xml:space="preserve">We propose to change </w:t>
      </w:r>
      <w:r w:rsidR="00034894">
        <w:t>R</w:t>
      </w:r>
      <w:r>
        <w:t xml:space="preserve">ule 2.2.8 in the draft remade ASIC Rules to require that transactions in all products are reported on a lifecycle basis, except </w:t>
      </w:r>
      <w:r w:rsidRPr="000D606A">
        <w:t>that small-scale buy-side entities may report transactions in other than equity derivatives on a snapshot basis.</w:t>
      </w:r>
    </w:p>
    <w:p w14:paraId="24D51038" w14:textId="77777777" w:rsidR="00866410" w:rsidRPr="000D606A" w:rsidRDefault="00866410" w:rsidP="00B13182">
      <w:pPr>
        <w:pStyle w:val="Feedbackhead"/>
        <w:keepNext w:val="0"/>
      </w:pPr>
      <w:r w:rsidRPr="000D606A">
        <w:t>Your feedback</w:t>
      </w:r>
    </w:p>
    <w:p w14:paraId="2DAFB8BA" w14:textId="033552AA" w:rsidR="00D172F1" w:rsidRPr="000D606A" w:rsidRDefault="00866410" w:rsidP="00B13182">
      <w:pPr>
        <w:pStyle w:val="Feedbackquestion"/>
        <w:keepLines w:val="0"/>
        <w:pBdr>
          <w:left w:val="single" w:sz="6" w:space="2" w:color="117DC7"/>
        </w:pBdr>
      </w:pPr>
      <w:r w:rsidRPr="000D606A">
        <w:t>Do you agree with this proposal? In your response, please give detailed reasons for your answer.</w:t>
      </w:r>
    </w:p>
    <w:p w14:paraId="494E892B" w14:textId="77777777" w:rsidR="00D172F1" w:rsidRPr="000D606A" w:rsidRDefault="00D172F1" w:rsidP="00D172F1">
      <w:pPr>
        <w:pStyle w:val="Heading3"/>
      </w:pPr>
      <w:r w:rsidRPr="000D606A">
        <w:t>Rationale</w:t>
      </w:r>
    </w:p>
    <w:p w14:paraId="0DF4BD58" w14:textId="068AD95B" w:rsidR="00D172F1" w:rsidRPr="000D606A" w:rsidRDefault="00D172F1" w:rsidP="00C443A0">
      <w:pPr>
        <w:pStyle w:val="BodyText"/>
        <w:numPr>
          <w:ilvl w:val="0"/>
          <w:numId w:val="17"/>
        </w:numPr>
      </w:pPr>
      <w:r w:rsidRPr="000D606A">
        <w:t xml:space="preserve">As we note in paragraph </w:t>
      </w:r>
      <w:r w:rsidRPr="000D606A">
        <w:fldChar w:fldCharType="begin" w:fldLock="1"/>
      </w:r>
      <w:r w:rsidRPr="000D606A">
        <w:instrText xml:space="preserve"> REF _ASICRef103 \w \h </w:instrText>
      </w:r>
      <w:r w:rsidR="000D606A">
        <w:instrText xml:space="preserve"> \* MERGEFORMAT </w:instrText>
      </w:r>
      <w:r w:rsidRPr="000D606A">
        <w:fldChar w:fldCharType="separate"/>
      </w:r>
      <w:r w:rsidR="00853A2A">
        <w:t>827</w:t>
      </w:r>
      <w:r w:rsidRPr="000D606A">
        <w:fldChar w:fldCharType="end"/>
      </w:r>
      <w:r w:rsidR="007B7663" w:rsidRPr="000D606A">
        <w:t xml:space="preserve"> and in </w:t>
      </w:r>
      <w:hyperlink r:id="rId180" w:history="1">
        <w:r w:rsidR="007B7663" w:rsidRPr="000D606A">
          <w:rPr>
            <w:rStyle w:val="Hyperlink"/>
          </w:rPr>
          <w:t>CP 334</w:t>
        </w:r>
      </w:hyperlink>
      <w:r w:rsidRPr="000D606A">
        <w:t xml:space="preserve">, </w:t>
      </w:r>
      <w:r w:rsidR="007B7663" w:rsidRPr="000D606A">
        <w:t xml:space="preserve">we have identified a </w:t>
      </w:r>
      <w:r w:rsidRPr="000D606A">
        <w:t>level of short-term trading that indicates that the transparency of transaction information available to relevant authorities would be enhanced by ‘lifecycle reporting’ to ensure the reporting of same-day new and terminated transactions</w:t>
      </w:r>
      <w:r w:rsidR="00404CA5" w:rsidRPr="000D606A">
        <w:t>—</w:t>
      </w:r>
      <w:r w:rsidRPr="000D606A">
        <w:t>as distinct from end-of-day position monitoring information.</w:t>
      </w:r>
    </w:p>
    <w:p w14:paraId="2C7CE1A5" w14:textId="77F5BDF2" w:rsidR="007B7663" w:rsidRPr="000D606A" w:rsidRDefault="007C5E4A" w:rsidP="00C443A0">
      <w:pPr>
        <w:pStyle w:val="BodyText"/>
        <w:numPr>
          <w:ilvl w:val="0"/>
          <w:numId w:val="17"/>
        </w:numPr>
      </w:pPr>
      <w:r w:rsidRPr="000D606A">
        <w:t>We also continue to be of the opinion that derivative transactions entered into with an intent to clear those transactions (i.e. the pre-clearing or ‘alpha’ transactions) would also satisfy the criteria of Rule 2.2.8(3) in the current ASIC Rules.</w:t>
      </w:r>
    </w:p>
    <w:p w14:paraId="73B679CF" w14:textId="77777777" w:rsidR="00043808" w:rsidRPr="000D606A" w:rsidRDefault="00043808" w:rsidP="00C443A0">
      <w:pPr>
        <w:pStyle w:val="BodyText"/>
        <w:numPr>
          <w:ilvl w:val="0"/>
          <w:numId w:val="17"/>
        </w:numPr>
      </w:pPr>
      <w:bookmarkStart w:id="336" w:name="_ASICRef832"/>
      <w:r w:rsidRPr="000D606A">
        <w:t>There was widespread support among respondents to CP 334 to implement lifecycle reporting for all products.</w:t>
      </w:r>
    </w:p>
    <w:p w14:paraId="0B252F4D" w14:textId="4E750814" w:rsidR="007B7663" w:rsidRPr="000D606A" w:rsidRDefault="007C5E4A" w:rsidP="00C443A0">
      <w:pPr>
        <w:pStyle w:val="BodyText"/>
        <w:numPr>
          <w:ilvl w:val="0"/>
          <w:numId w:val="17"/>
        </w:numPr>
      </w:pPr>
      <w:r w:rsidRPr="000D606A">
        <w:t xml:space="preserve">In the draft remade ASIC Rules, </w:t>
      </w:r>
      <w:bookmarkEnd w:id="336"/>
      <w:r w:rsidRPr="000D606A">
        <w:t xml:space="preserve">new </w:t>
      </w:r>
      <w:r w:rsidR="00034894" w:rsidRPr="000D606A">
        <w:t xml:space="preserve">Rule </w:t>
      </w:r>
      <w:r w:rsidR="007B7663" w:rsidRPr="000D606A">
        <w:t>2.2.8</w:t>
      </w:r>
      <w:r w:rsidRPr="000D606A">
        <w:t xml:space="preserve">(1) </w:t>
      </w:r>
      <w:r w:rsidR="007B7663" w:rsidRPr="000D606A">
        <w:t>would</w:t>
      </w:r>
      <w:r w:rsidRPr="000D606A">
        <w:t xml:space="preserve"> require </w:t>
      </w:r>
      <w:r w:rsidR="007B7663" w:rsidRPr="000D606A">
        <w:t>reporting entities</w:t>
      </w:r>
      <w:r w:rsidRPr="000D606A">
        <w:t>,</w:t>
      </w:r>
      <w:r w:rsidR="007B7663" w:rsidRPr="000D606A">
        <w:t xml:space="preserve"> that are not small-scale buy-side entities</w:t>
      </w:r>
      <w:r w:rsidRPr="000D606A">
        <w:t>,</w:t>
      </w:r>
      <w:r w:rsidR="007B7663" w:rsidRPr="000D606A">
        <w:t xml:space="preserve"> </w:t>
      </w:r>
      <w:r w:rsidRPr="000D606A">
        <w:t>to</w:t>
      </w:r>
      <w:r w:rsidR="007B7663" w:rsidRPr="000D606A">
        <w:t xml:space="preserve"> report each transaction that takes place on a day</w:t>
      </w:r>
      <w:r w:rsidRPr="000D606A">
        <w:t xml:space="preserve">. New </w:t>
      </w:r>
      <w:r w:rsidR="00034894" w:rsidRPr="000D606A">
        <w:t xml:space="preserve">Rule </w:t>
      </w:r>
      <w:r w:rsidRPr="000D606A">
        <w:t xml:space="preserve">2.2.8(2) and </w:t>
      </w:r>
      <w:r w:rsidR="00034894" w:rsidRPr="000D606A">
        <w:t>Rule 2.2.8</w:t>
      </w:r>
      <w:r w:rsidRPr="000D606A">
        <w:t>(3) would set out the lifecycle or snapshot reporting requirements applicable to small-scale buy-side entities.</w:t>
      </w:r>
    </w:p>
    <w:p w14:paraId="1303489F" w14:textId="27CF8233" w:rsidR="007C5E4A" w:rsidRDefault="007C5E4A" w:rsidP="007C5E4A">
      <w:pPr>
        <w:pStyle w:val="Note"/>
      </w:pPr>
      <w:r w:rsidRPr="000D606A">
        <w:t xml:space="preserve">Note: </w:t>
      </w:r>
      <w:r w:rsidR="00034894" w:rsidRPr="000D606A">
        <w:t>T</w:t>
      </w:r>
      <w:r w:rsidRPr="000D606A">
        <w:t xml:space="preserve">he proposal to exempt small-scale buy-side entities from the extended lifecycle reporting requirements is discussed in </w:t>
      </w:r>
      <w:r w:rsidR="004D440D" w:rsidRPr="000D606A">
        <w:t xml:space="preserve">Section </w:t>
      </w:r>
      <w:r w:rsidR="004D440D" w:rsidRPr="000D606A">
        <w:fldChar w:fldCharType="begin" w:fldLock="1"/>
      </w:r>
      <w:r w:rsidR="004D440D" w:rsidRPr="000D606A">
        <w:instrText xml:space="preserve"> REF _ASICRef301 \r \h </w:instrText>
      </w:r>
      <w:r w:rsidR="000D606A">
        <w:instrText xml:space="preserve"> \* MERGEFORMAT </w:instrText>
      </w:r>
      <w:r w:rsidR="004D440D" w:rsidRPr="000D606A">
        <w:fldChar w:fldCharType="separate"/>
      </w:r>
      <w:r w:rsidR="00853A2A">
        <w:t>E</w:t>
      </w:r>
      <w:r w:rsidR="004D440D" w:rsidRPr="000D606A">
        <w:fldChar w:fldCharType="end"/>
      </w:r>
      <w:r w:rsidRPr="000D606A">
        <w:t xml:space="preserve"> </w:t>
      </w:r>
      <w:r w:rsidR="004D440D" w:rsidRPr="000D606A">
        <w:t>‘</w:t>
      </w:r>
      <w:r w:rsidRPr="000D606A">
        <w:t>The ASIC data elements</w:t>
      </w:r>
      <w:r w:rsidR="004D440D" w:rsidRPr="000D606A">
        <w:t>’</w:t>
      </w:r>
      <w:r w:rsidRPr="000D606A">
        <w:t xml:space="preserve"> at paragraphs</w:t>
      </w:r>
      <w:r w:rsidR="00972864" w:rsidRPr="000D606A">
        <w:t xml:space="preserve"> </w:t>
      </w:r>
      <w:r w:rsidR="00972864" w:rsidRPr="000D606A">
        <w:fldChar w:fldCharType="begin" w:fldLock="1"/>
      </w:r>
      <w:r w:rsidR="00972864" w:rsidRPr="000D606A">
        <w:instrText xml:space="preserve"> REF _ASICRef673 \w \h </w:instrText>
      </w:r>
      <w:r w:rsidR="000D606A">
        <w:instrText xml:space="preserve"> \* MERGEFORMAT </w:instrText>
      </w:r>
      <w:r w:rsidR="00972864" w:rsidRPr="000D606A">
        <w:fldChar w:fldCharType="separate"/>
      </w:r>
      <w:r w:rsidR="00853A2A">
        <w:t>388</w:t>
      </w:r>
      <w:r w:rsidR="00972864" w:rsidRPr="000D606A">
        <w:fldChar w:fldCharType="end"/>
      </w:r>
      <w:r w:rsidR="00972864" w:rsidRPr="000D606A">
        <w:t>–</w:t>
      </w:r>
      <w:r w:rsidR="00972864" w:rsidRPr="000D606A">
        <w:fldChar w:fldCharType="begin" w:fldLock="1"/>
      </w:r>
      <w:r w:rsidR="00972864" w:rsidRPr="000D606A">
        <w:instrText xml:space="preserve"> REF _ASICRef256 \w \h </w:instrText>
      </w:r>
      <w:r w:rsidR="000D606A">
        <w:instrText xml:space="preserve"> \* MERGEFORMAT </w:instrText>
      </w:r>
      <w:r w:rsidR="00972864" w:rsidRPr="000D606A">
        <w:fldChar w:fldCharType="separate"/>
      </w:r>
      <w:r w:rsidR="00853A2A">
        <w:t>396</w:t>
      </w:r>
      <w:r w:rsidR="00972864" w:rsidRPr="000D606A">
        <w:fldChar w:fldCharType="end"/>
      </w:r>
      <w:r w:rsidR="00972864" w:rsidRPr="000D606A">
        <w:t>.</w:t>
      </w:r>
    </w:p>
    <w:p w14:paraId="72207E63" w14:textId="77777777" w:rsidR="00935384" w:rsidRDefault="00935384" w:rsidP="00935384">
      <w:pPr>
        <w:pStyle w:val="Heading1"/>
      </w:pPr>
      <w:bookmarkStart w:id="337" w:name="_Toc51080726"/>
      <w:bookmarkStart w:id="338" w:name="_ASICRef949"/>
      <w:bookmarkStart w:id="339" w:name="_Toc57146519"/>
      <w:bookmarkStart w:id="340" w:name="_Toc103174660"/>
      <w:r>
        <w:t>Outstanding matters</w:t>
      </w:r>
      <w:bookmarkEnd w:id="337"/>
      <w:bookmarkEnd w:id="338"/>
      <w:bookmarkEnd w:id="339"/>
      <w:bookmarkEnd w:id="340"/>
    </w:p>
    <w:p w14:paraId="1EAFB8DF" w14:textId="68F8847F" w:rsidR="00DE0FC1" w:rsidRDefault="00DE0FC1" w:rsidP="0093201F">
      <w:pPr>
        <w:pStyle w:val="BodyText"/>
        <w:tabs>
          <w:tab w:val="clear" w:pos="4394"/>
          <w:tab w:val="num" w:pos="2268"/>
        </w:tabs>
        <w:spacing w:before="0"/>
        <w:ind w:left="2268"/>
      </w:pPr>
      <w:r>
        <w:t xml:space="preserve">In this </w:t>
      </w:r>
      <w:r w:rsidR="0083379B">
        <w:t xml:space="preserve">consultation, </w:t>
      </w:r>
      <w:r>
        <w:t xml:space="preserve">we set out a number of matters </w:t>
      </w:r>
      <w:r w:rsidR="0083379B">
        <w:t xml:space="preserve">that we have deferred to a third consultation. </w:t>
      </w:r>
      <w:r>
        <w:t xml:space="preserve">These outstanding matters are set out in </w:t>
      </w:r>
      <w:r>
        <w:fldChar w:fldCharType="begin" w:fldLock="1"/>
      </w:r>
      <w:r>
        <w:instrText xml:space="preserve"> REF _Ref56151547 \h </w:instrText>
      </w:r>
      <w:r>
        <w:fldChar w:fldCharType="separate"/>
      </w:r>
      <w:r w:rsidR="00853A2A">
        <w:t xml:space="preserve">Table </w:t>
      </w:r>
      <w:r w:rsidR="00853A2A">
        <w:rPr>
          <w:noProof/>
        </w:rPr>
        <w:t>43</w:t>
      </w:r>
      <w:r>
        <w:fldChar w:fldCharType="end"/>
      </w:r>
      <w:r>
        <w:t>.</w:t>
      </w:r>
    </w:p>
    <w:p w14:paraId="5653F750" w14:textId="42317D46" w:rsidR="00DE0FC1" w:rsidRDefault="00DE0FC1" w:rsidP="00DE0FC1">
      <w:pPr>
        <w:pStyle w:val="BodyText"/>
        <w:tabs>
          <w:tab w:val="clear" w:pos="4394"/>
          <w:tab w:val="num" w:pos="2268"/>
        </w:tabs>
        <w:ind w:left="2268"/>
      </w:pPr>
      <w:r>
        <w:t xml:space="preserve">We also welcome feedback from stakeholders about any other matters that you suggest we should take into consideration in the </w:t>
      </w:r>
      <w:r w:rsidR="0083379B">
        <w:t>third</w:t>
      </w:r>
      <w:r>
        <w:t xml:space="preserve"> round of consultation.</w:t>
      </w:r>
    </w:p>
    <w:p w14:paraId="6E4389A8" w14:textId="10CA44A7" w:rsidR="00DE0FC1" w:rsidRDefault="00DE0FC1" w:rsidP="00DE0FC1">
      <w:pPr>
        <w:pStyle w:val="tabletitlefullwidth"/>
      </w:pPr>
      <w:bookmarkStart w:id="341" w:name="_Ref56151547"/>
      <w:r>
        <w:t xml:space="preserve">Table </w:t>
      </w:r>
      <w:fldSimple w:instr=" SEQ Table \* ARABIC ">
        <w:r w:rsidR="006679BA">
          <w:rPr>
            <w:noProof/>
          </w:rPr>
          <w:t>43</w:t>
        </w:r>
      </w:fldSimple>
      <w:bookmarkEnd w:id="341"/>
      <w:r>
        <w:t>:</w:t>
      </w:r>
      <w:r>
        <w:tab/>
        <w:t xml:space="preserve">Outstanding matters for the </w:t>
      </w:r>
      <w:r w:rsidR="00D3356A">
        <w:t xml:space="preserve">third </w:t>
      </w:r>
      <w:r>
        <w:t>round of consultation</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620" w:firstRow="1" w:lastRow="0" w:firstColumn="0" w:lastColumn="0" w:noHBand="1" w:noVBand="1"/>
      </w:tblPr>
      <w:tblGrid>
        <w:gridCol w:w="4536"/>
        <w:gridCol w:w="4536"/>
      </w:tblGrid>
      <w:tr w:rsidR="00DE0FC1" w:rsidRPr="000540E1" w14:paraId="721616CE" w14:textId="77777777" w:rsidTr="0093201F">
        <w:trPr>
          <w:cantSplit/>
          <w:tblHeader/>
        </w:trPr>
        <w:tc>
          <w:tcPr>
            <w:tcW w:w="4536" w:type="dxa"/>
            <w:shd w:val="clear" w:color="auto" w:fill="C2E3FA"/>
          </w:tcPr>
          <w:p w14:paraId="3004EAD1" w14:textId="77777777" w:rsidR="00DE0FC1" w:rsidRPr="000540E1" w:rsidRDefault="00DE0FC1" w:rsidP="0093201F">
            <w:pPr>
              <w:pStyle w:val="tablehead"/>
            </w:pPr>
            <w:r>
              <w:t>Matter</w:t>
            </w:r>
          </w:p>
        </w:tc>
        <w:tc>
          <w:tcPr>
            <w:tcW w:w="4536" w:type="dxa"/>
            <w:shd w:val="clear" w:color="auto" w:fill="C2E3FA"/>
          </w:tcPr>
          <w:p w14:paraId="47B12646" w14:textId="77777777" w:rsidR="00DE0FC1" w:rsidRPr="000540E1" w:rsidRDefault="00DE0FC1" w:rsidP="0093201F">
            <w:pPr>
              <w:pStyle w:val="tablehead"/>
            </w:pPr>
            <w:r>
              <w:t>Issues</w:t>
            </w:r>
          </w:p>
        </w:tc>
      </w:tr>
      <w:tr w:rsidR="00B6094A" w:rsidRPr="000540E1" w14:paraId="78BE4FFE" w14:textId="77777777" w:rsidTr="0093201F">
        <w:trPr>
          <w:cantSplit/>
        </w:trPr>
        <w:tc>
          <w:tcPr>
            <w:tcW w:w="4536" w:type="dxa"/>
          </w:tcPr>
          <w:p w14:paraId="0D0E7661" w14:textId="3FF717C8" w:rsidR="00B6094A" w:rsidRPr="000540E1" w:rsidRDefault="00B6094A" w:rsidP="0093201F">
            <w:pPr>
              <w:pStyle w:val="tbltext"/>
            </w:pPr>
            <w:r>
              <w:t>Alternative reporting</w:t>
            </w:r>
          </w:p>
        </w:tc>
        <w:tc>
          <w:tcPr>
            <w:tcW w:w="4536" w:type="dxa"/>
          </w:tcPr>
          <w:p w14:paraId="16418A6C" w14:textId="779B7EB6" w:rsidR="00B6094A" w:rsidRDefault="00B6094A" w:rsidP="0093201F">
            <w:pPr>
              <w:pStyle w:val="tbltext"/>
            </w:pPr>
            <w:r w:rsidRPr="00B6094A">
              <w:t>We have not concluded our review and analysis about improvements that could be made in the ASIC Rules to the operation of the reporting exception for foreign entities using the alternative reporting provision or whether it should be removed altogether</w:t>
            </w:r>
          </w:p>
          <w:p w14:paraId="374F500A" w14:textId="49AAB256" w:rsidR="00B6094A" w:rsidRPr="000540E1" w:rsidRDefault="00B6094A" w:rsidP="0093201F">
            <w:pPr>
              <w:pStyle w:val="tbltext"/>
            </w:pPr>
            <w:r>
              <w:t>See paragraphs</w:t>
            </w:r>
            <w:r w:rsidR="00E2449C">
              <w:t xml:space="preserve"> </w:t>
            </w:r>
            <w:r w:rsidR="00E2449C">
              <w:fldChar w:fldCharType="begin" w:fldLock="1"/>
            </w:r>
            <w:r w:rsidR="00E2449C">
              <w:instrText xml:space="preserve"> REF _ASICRef297 \w \h </w:instrText>
            </w:r>
            <w:r w:rsidR="00E2449C">
              <w:fldChar w:fldCharType="separate"/>
            </w:r>
            <w:r w:rsidR="00853A2A">
              <w:t>784</w:t>
            </w:r>
            <w:r w:rsidR="00E2449C">
              <w:fldChar w:fldCharType="end"/>
            </w:r>
            <w:r w:rsidR="00E2449C">
              <w:t>–</w:t>
            </w:r>
            <w:r w:rsidR="00E2449C">
              <w:fldChar w:fldCharType="begin" w:fldLock="1"/>
            </w:r>
            <w:r w:rsidR="00E2449C">
              <w:instrText xml:space="preserve"> REF _ASICRef235 \w \h </w:instrText>
            </w:r>
            <w:r w:rsidR="00E2449C">
              <w:fldChar w:fldCharType="separate"/>
            </w:r>
            <w:r w:rsidR="00853A2A">
              <w:t>785</w:t>
            </w:r>
            <w:r w:rsidR="00E2449C">
              <w:fldChar w:fldCharType="end"/>
            </w:r>
            <w:r w:rsidR="00E2449C">
              <w:t xml:space="preserve"> and</w:t>
            </w:r>
            <w:r>
              <w:t xml:space="preserve"> </w:t>
            </w:r>
            <w:r>
              <w:fldChar w:fldCharType="begin" w:fldLock="1"/>
            </w:r>
            <w:r>
              <w:instrText xml:space="preserve"> REF _ASICRef30 \w \h </w:instrText>
            </w:r>
            <w:r>
              <w:fldChar w:fldCharType="separate"/>
            </w:r>
            <w:r w:rsidR="00853A2A">
              <w:t>789</w:t>
            </w:r>
            <w:r>
              <w:fldChar w:fldCharType="end"/>
            </w:r>
            <w:r>
              <w:t>–</w:t>
            </w:r>
            <w:r>
              <w:fldChar w:fldCharType="begin" w:fldLock="1"/>
            </w:r>
            <w:r>
              <w:instrText xml:space="preserve"> REF _ASICRef322 \w \h </w:instrText>
            </w:r>
            <w:r>
              <w:fldChar w:fldCharType="separate"/>
            </w:r>
            <w:r w:rsidR="00853A2A">
              <w:t>793</w:t>
            </w:r>
            <w:r>
              <w:fldChar w:fldCharType="end"/>
            </w:r>
          </w:p>
        </w:tc>
      </w:tr>
      <w:tr w:rsidR="00E2449C" w:rsidRPr="000540E1" w14:paraId="6287073F" w14:textId="77777777" w:rsidTr="0093201F">
        <w:trPr>
          <w:cantSplit/>
        </w:trPr>
        <w:tc>
          <w:tcPr>
            <w:tcW w:w="4536" w:type="dxa"/>
          </w:tcPr>
          <w:p w14:paraId="08FB82F8" w14:textId="77777777" w:rsidR="00E2449C" w:rsidRPr="000540E1" w:rsidRDefault="00E2449C" w:rsidP="0093201F">
            <w:pPr>
              <w:pStyle w:val="tbltext"/>
            </w:pPr>
            <w:r>
              <w:t>Excluding exchange-traded derivatives</w:t>
            </w:r>
          </w:p>
        </w:tc>
        <w:tc>
          <w:tcPr>
            <w:tcW w:w="4536" w:type="dxa"/>
          </w:tcPr>
          <w:p w14:paraId="33DC29EE" w14:textId="56B6B870" w:rsidR="00E2449C" w:rsidRDefault="00E2449C" w:rsidP="0093201F">
            <w:pPr>
              <w:pStyle w:val="tbltext"/>
            </w:pPr>
            <w:r>
              <w:t>We have not concluded our review and analysis about improvements that could be made in the ASIC Rules in relation to a generic definition of an exchange-traded derivative and possible ‘avoidance of doubt’, ‘notification’ and ‘disallowance determination’ provisions</w:t>
            </w:r>
          </w:p>
          <w:p w14:paraId="47AD684C" w14:textId="69988BE0" w:rsidR="00E2449C" w:rsidRPr="000540E1" w:rsidRDefault="00E2449C" w:rsidP="00D75735">
            <w:pPr>
              <w:pStyle w:val="tbltext"/>
            </w:pPr>
            <w:r>
              <w:t xml:space="preserve">See paragraphs </w:t>
            </w:r>
            <w:r>
              <w:fldChar w:fldCharType="begin" w:fldLock="1"/>
            </w:r>
            <w:r>
              <w:instrText xml:space="preserve"> REF _ASICRef480 \w \h </w:instrText>
            </w:r>
            <w:r>
              <w:fldChar w:fldCharType="separate"/>
            </w:r>
            <w:r w:rsidR="00853A2A">
              <w:t>739</w:t>
            </w:r>
            <w:r>
              <w:fldChar w:fldCharType="end"/>
            </w:r>
            <w:r>
              <w:t xml:space="preserve">, </w:t>
            </w:r>
            <w:r>
              <w:fldChar w:fldCharType="begin" w:fldLock="1"/>
            </w:r>
            <w:r>
              <w:instrText xml:space="preserve"> REF _ASICRef254 \w \h </w:instrText>
            </w:r>
            <w:r>
              <w:fldChar w:fldCharType="separate"/>
            </w:r>
            <w:r w:rsidR="00853A2A">
              <w:t>746</w:t>
            </w:r>
            <w:r>
              <w:fldChar w:fldCharType="end"/>
            </w:r>
            <w:r>
              <w:t>–</w:t>
            </w:r>
            <w:r>
              <w:fldChar w:fldCharType="begin" w:fldLock="1"/>
            </w:r>
            <w:r>
              <w:instrText xml:space="preserve"> REF _ASICRef340 \w \h </w:instrText>
            </w:r>
            <w:r>
              <w:fldChar w:fldCharType="separate"/>
            </w:r>
            <w:r w:rsidR="00853A2A">
              <w:t>750</w:t>
            </w:r>
            <w:r>
              <w:fldChar w:fldCharType="end"/>
            </w:r>
            <w:r>
              <w:t xml:space="preserve"> and </w:t>
            </w:r>
            <w:r>
              <w:fldChar w:fldCharType="begin" w:fldLock="1"/>
            </w:r>
            <w:r>
              <w:instrText xml:space="preserve"> REF _ASICRef44 \w \h </w:instrText>
            </w:r>
            <w:r>
              <w:fldChar w:fldCharType="separate"/>
            </w:r>
            <w:r w:rsidR="00853A2A">
              <w:t>761</w:t>
            </w:r>
            <w:r>
              <w:fldChar w:fldCharType="end"/>
            </w:r>
          </w:p>
        </w:tc>
      </w:tr>
      <w:tr w:rsidR="00DE0FC1" w:rsidRPr="000540E1" w14:paraId="551346AF" w14:textId="77777777" w:rsidTr="0093201F">
        <w:trPr>
          <w:cantSplit/>
        </w:trPr>
        <w:tc>
          <w:tcPr>
            <w:tcW w:w="4536" w:type="dxa"/>
          </w:tcPr>
          <w:p w14:paraId="5475D2B2" w14:textId="107E87BA" w:rsidR="00DE0FC1" w:rsidRPr="000540E1" w:rsidRDefault="00E2449C" w:rsidP="0093201F">
            <w:pPr>
              <w:pStyle w:val="tbltext"/>
            </w:pPr>
            <w:r>
              <w:t>Reporting by foreign entities trading with Australian wholesale clients</w:t>
            </w:r>
          </w:p>
        </w:tc>
        <w:tc>
          <w:tcPr>
            <w:tcW w:w="4536" w:type="dxa"/>
          </w:tcPr>
          <w:p w14:paraId="5529328F" w14:textId="2ACDCAA9" w:rsidR="00E2449C" w:rsidRDefault="00E2449C" w:rsidP="00E2449C">
            <w:pPr>
              <w:pStyle w:val="tbltext"/>
            </w:pPr>
            <w:r>
              <w:t xml:space="preserve">We have not concluded our review and analysis about improvements that could be made in the ASIC Rules in relation to the reporting requirements of foreign entities trading with Australian wholesale clients, noting that </w:t>
            </w:r>
            <w:r w:rsidR="00D75735">
              <w:t xml:space="preserve">the unclear situation may be </w:t>
            </w:r>
            <w:r>
              <w:t>related to the use of alternative reporting provisions</w:t>
            </w:r>
          </w:p>
          <w:p w14:paraId="4720EC3A" w14:textId="6B97D4EE" w:rsidR="00DE0FC1" w:rsidRPr="000540E1" w:rsidRDefault="00E2449C" w:rsidP="00D75735">
            <w:pPr>
              <w:pStyle w:val="tbltext"/>
            </w:pPr>
            <w:r>
              <w:t xml:space="preserve">See paragraphs </w:t>
            </w:r>
            <w:r>
              <w:fldChar w:fldCharType="begin" w:fldLock="1"/>
            </w:r>
            <w:r>
              <w:instrText xml:space="preserve"> REF _ASICRef482 \w \h </w:instrText>
            </w:r>
            <w:r>
              <w:fldChar w:fldCharType="separate"/>
            </w:r>
            <w:r w:rsidR="00853A2A">
              <w:t>740</w:t>
            </w:r>
            <w:r>
              <w:fldChar w:fldCharType="end"/>
            </w:r>
            <w:r>
              <w:t>–</w:t>
            </w:r>
            <w:r>
              <w:fldChar w:fldCharType="begin" w:fldLock="1"/>
            </w:r>
            <w:r>
              <w:instrText xml:space="preserve"> REF _ASICRef206 \w \h </w:instrText>
            </w:r>
            <w:r>
              <w:fldChar w:fldCharType="separate"/>
            </w:r>
            <w:r w:rsidR="00853A2A">
              <w:t>742</w:t>
            </w:r>
            <w:r>
              <w:fldChar w:fldCharType="end"/>
            </w:r>
            <w:r w:rsidR="00D75735">
              <w:t xml:space="preserve">, </w:t>
            </w:r>
            <w:r w:rsidR="00D75735">
              <w:fldChar w:fldCharType="begin" w:fldLock="1"/>
            </w:r>
            <w:r w:rsidR="00D75735">
              <w:instrText xml:space="preserve"> REF _ASICRef864 \w \h </w:instrText>
            </w:r>
            <w:r w:rsidR="00D75735">
              <w:fldChar w:fldCharType="separate"/>
            </w:r>
            <w:r w:rsidR="00853A2A">
              <w:t>753</w:t>
            </w:r>
            <w:r w:rsidR="00D75735">
              <w:fldChar w:fldCharType="end"/>
            </w:r>
            <w:r w:rsidR="00D75735">
              <w:t xml:space="preserve"> </w:t>
            </w:r>
            <w:r>
              <w:t>and</w:t>
            </w:r>
            <w:r w:rsidR="00D75735">
              <w:t xml:space="preserve"> </w:t>
            </w:r>
            <w:r w:rsidR="00D75735">
              <w:fldChar w:fldCharType="begin" w:fldLock="1"/>
            </w:r>
            <w:r w:rsidR="00D75735">
              <w:instrText xml:space="preserve"> REF _ASICRef588 \w \h </w:instrText>
            </w:r>
            <w:r w:rsidR="00D75735">
              <w:fldChar w:fldCharType="separate"/>
            </w:r>
            <w:r w:rsidR="00853A2A">
              <w:t>762</w:t>
            </w:r>
            <w:r w:rsidR="00D75735">
              <w:fldChar w:fldCharType="end"/>
            </w:r>
          </w:p>
        </w:tc>
      </w:tr>
    </w:tbl>
    <w:p w14:paraId="4C10B40C" w14:textId="1774D06A" w:rsidR="00FC511F" w:rsidRDefault="00FC511F" w:rsidP="00FC511F">
      <w:pPr>
        <w:pStyle w:val="Heading1"/>
      </w:pPr>
      <w:bookmarkStart w:id="342" w:name="_ASICRef634"/>
      <w:bookmarkStart w:id="343" w:name="_Toc103174661"/>
      <w:r>
        <w:t>Regulatory and financial impact</w:t>
      </w:r>
      <w:bookmarkEnd w:id="260"/>
      <w:bookmarkEnd w:id="261"/>
      <w:bookmarkEnd w:id="262"/>
      <w:bookmarkEnd w:id="263"/>
      <w:bookmarkEnd w:id="264"/>
      <w:bookmarkEnd w:id="265"/>
      <w:bookmarkEnd w:id="266"/>
      <w:bookmarkEnd w:id="267"/>
      <w:bookmarkEnd w:id="342"/>
      <w:bookmarkEnd w:id="343"/>
    </w:p>
    <w:p w14:paraId="2B587C27" w14:textId="77777777" w:rsidR="00752310" w:rsidRDefault="00752310" w:rsidP="00C443A0">
      <w:pPr>
        <w:pStyle w:val="BodyText"/>
        <w:numPr>
          <w:ilvl w:val="0"/>
          <w:numId w:val="17"/>
        </w:numPr>
      </w:pPr>
      <w:r>
        <w:t>In developing the proposals in this paper, we have carefully considered their regulatory and financial impact. On the information currently available to us we think they will strike an appropriate balance between:</w:t>
      </w:r>
    </w:p>
    <w:p w14:paraId="7C9F9BD6" w14:textId="77777777" w:rsidR="00752310" w:rsidRDefault="00752310" w:rsidP="00C443A0">
      <w:pPr>
        <w:pStyle w:val="subparaa"/>
        <w:numPr>
          <w:ilvl w:val="1"/>
          <w:numId w:val="17"/>
        </w:numPr>
      </w:pPr>
      <w:r>
        <w:t>the likely effect of the proposed rule changes on the Australian economy, and on the efficiency, integrity and stability of the Australian financial system;</w:t>
      </w:r>
    </w:p>
    <w:p w14:paraId="122A5F60" w14:textId="77777777" w:rsidR="00752310" w:rsidRDefault="00752310" w:rsidP="00C443A0">
      <w:pPr>
        <w:pStyle w:val="subparaa"/>
        <w:numPr>
          <w:ilvl w:val="1"/>
          <w:numId w:val="17"/>
        </w:numPr>
      </w:pPr>
      <w:r>
        <w:t>any effects on competition in the Australian financial system;</w:t>
      </w:r>
    </w:p>
    <w:p w14:paraId="7E999873" w14:textId="77777777" w:rsidR="00752310" w:rsidRDefault="00752310" w:rsidP="00C443A0">
      <w:pPr>
        <w:pStyle w:val="subparaa"/>
        <w:numPr>
          <w:ilvl w:val="1"/>
          <w:numId w:val="17"/>
        </w:numPr>
      </w:pPr>
      <w:r>
        <w:t>the likely regulatory impact of the proposed rule changes (including compliance costs and barriers to entry);</w:t>
      </w:r>
    </w:p>
    <w:p w14:paraId="657A64EB" w14:textId="77777777" w:rsidR="00752310" w:rsidRDefault="00752310" w:rsidP="00C443A0">
      <w:pPr>
        <w:pStyle w:val="subparaa"/>
        <w:numPr>
          <w:ilvl w:val="1"/>
          <w:numId w:val="17"/>
        </w:numPr>
      </w:pPr>
      <w:r>
        <w:t>ensuring that regulators have access to comprehensive and complete information about OTC derivative transactions in the Australian market; and</w:t>
      </w:r>
    </w:p>
    <w:p w14:paraId="237E7000" w14:textId="77777777" w:rsidR="00752310" w:rsidRDefault="00752310" w:rsidP="00C443A0">
      <w:pPr>
        <w:pStyle w:val="subparaa"/>
        <w:numPr>
          <w:ilvl w:val="1"/>
          <w:numId w:val="17"/>
        </w:numPr>
      </w:pPr>
      <w:r>
        <w:t>providing an appropriate level of consistency with the international regulatory approach to OTC derivative transaction reporting in other jurisdictions.</w:t>
      </w:r>
    </w:p>
    <w:p w14:paraId="449B87AB" w14:textId="77777777" w:rsidR="00752310" w:rsidRDefault="00752310" w:rsidP="00C443A0">
      <w:pPr>
        <w:pStyle w:val="BodyText"/>
        <w:numPr>
          <w:ilvl w:val="0"/>
          <w:numId w:val="17"/>
        </w:numPr>
      </w:pPr>
      <w:r>
        <w:t>Before settling on a final policy, we will comply with the Australian Government’s regulatory impact analysis (RIA) requirements by:</w:t>
      </w:r>
    </w:p>
    <w:p w14:paraId="1DB07288" w14:textId="77777777" w:rsidR="00752310" w:rsidRDefault="00752310" w:rsidP="00C443A0">
      <w:pPr>
        <w:pStyle w:val="subparaa"/>
        <w:numPr>
          <w:ilvl w:val="1"/>
          <w:numId w:val="17"/>
        </w:numPr>
      </w:pPr>
      <w:r>
        <w:t xml:space="preserve">considering all feasible options, </w:t>
      </w:r>
      <w:r w:rsidRPr="003E2B30">
        <w:t xml:space="preserve">including examining the likely impacts of the range of alternative options </w:t>
      </w:r>
      <w:r>
        <w:t>that</w:t>
      </w:r>
      <w:r w:rsidRPr="003E2B30">
        <w:t xml:space="preserve"> could meet our policy objectives</w:t>
      </w:r>
      <w:r>
        <w:t>;</w:t>
      </w:r>
    </w:p>
    <w:p w14:paraId="152682DB" w14:textId="77777777" w:rsidR="00752310" w:rsidRDefault="00752310" w:rsidP="00C443A0">
      <w:pPr>
        <w:pStyle w:val="subparaa"/>
        <w:numPr>
          <w:ilvl w:val="1"/>
          <w:numId w:val="17"/>
        </w:numPr>
      </w:pPr>
      <w:r>
        <w:t xml:space="preserve">if regulatory options are under consideration, </w:t>
      </w:r>
      <w:r w:rsidRPr="003E2B30">
        <w:t>notifying the Office of Best Practice Regulation (OBPR)</w:t>
      </w:r>
      <w:r>
        <w:t>; and</w:t>
      </w:r>
    </w:p>
    <w:p w14:paraId="0176CEEC" w14:textId="77777777" w:rsidR="00752310" w:rsidRDefault="00752310" w:rsidP="00C443A0">
      <w:pPr>
        <w:pStyle w:val="subparaa"/>
        <w:numPr>
          <w:ilvl w:val="1"/>
          <w:numId w:val="17"/>
        </w:numPr>
      </w:pPr>
      <w:r>
        <w:t xml:space="preserve">if our proposed option has more than a minor or machinery impact on business or on the not-for-profit sector, preparing a Regulation Impact Statement (RIS) or undertaking an independent review in lieu of a RIS. </w:t>
      </w:r>
    </w:p>
    <w:p w14:paraId="45ECF286" w14:textId="77777777" w:rsidR="00752310" w:rsidRDefault="00752310" w:rsidP="00C443A0">
      <w:pPr>
        <w:pStyle w:val="BodyText"/>
        <w:numPr>
          <w:ilvl w:val="0"/>
          <w:numId w:val="17"/>
        </w:numPr>
      </w:pPr>
      <w:r>
        <w:t>All RISs or independent reviews are submitted to the OBPR for approval before we make any final decision. Without an approved RIS or independent review, ASIC is unable to give relief or make any other form of regulation, including issuing a regulatory guide that contains regulation.</w:t>
      </w:r>
    </w:p>
    <w:p w14:paraId="2E20E0C3" w14:textId="77777777" w:rsidR="00752310" w:rsidRDefault="00752310" w:rsidP="00C443A0">
      <w:pPr>
        <w:pStyle w:val="BodyText"/>
        <w:numPr>
          <w:ilvl w:val="0"/>
          <w:numId w:val="17"/>
        </w:numPr>
      </w:pPr>
      <w:r>
        <w:t>To ensure that we are in a position to properly complete any required RIS, please give us as much information as you can about our proposals or any alternative approaches, including:</w:t>
      </w:r>
    </w:p>
    <w:p w14:paraId="3E5B753A" w14:textId="77777777" w:rsidR="00752310" w:rsidRDefault="00752310" w:rsidP="00C443A0">
      <w:pPr>
        <w:pStyle w:val="subparaa"/>
        <w:numPr>
          <w:ilvl w:val="1"/>
          <w:numId w:val="17"/>
        </w:numPr>
      </w:pPr>
      <w:r>
        <w:t xml:space="preserve">the likely compliance costs; </w:t>
      </w:r>
    </w:p>
    <w:p w14:paraId="55AD0A7C" w14:textId="77777777" w:rsidR="00752310" w:rsidRDefault="00752310" w:rsidP="00C443A0">
      <w:pPr>
        <w:pStyle w:val="subparaa"/>
        <w:numPr>
          <w:ilvl w:val="1"/>
          <w:numId w:val="17"/>
        </w:numPr>
      </w:pPr>
      <w:r>
        <w:t>the likely effect on competition; and</w:t>
      </w:r>
    </w:p>
    <w:p w14:paraId="6A781DC5" w14:textId="77777777" w:rsidR="00752310" w:rsidRDefault="00752310" w:rsidP="00C443A0">
      <w:pPr>
        <w:pStyle w:val="subparaa"/>
        <w:numPr>
          <w:ilvl w:val="1"/>
          <w:numId w:val="17"/>
        </w:numPr>
      </w:pPr>
      <w:r>
        <w:t>other impacts, costs and benefits.</w:t>
      </w:r>
    </w:p>
    <w:p w14:paraId="0BC925A3" w14:textId="0ED28D1E" w:rsidR="00C443A0" w:rsidRDefault="00752310" w:rsidP="00752310">
      <w:pPr>
        <w:pStyle w:val="Bodytextplain"/>
      </w:pPr>
      <w:r>
        <w:t xml:space="preserve">See ‘The consultation process’, p. </w:t>
      </w:r>
      <w:r>
        <w:fldChar w:fldCharType="begin"/>
      </w:r>
      <w:r>
        <w:instrText xml:space="preserve"> PAGEREF ConsultationProcess \h </w:instrText>
      </w:r>
      <w:r>
        <w:fldChar w:fldCharType="separate"/>
      </w:r>
      <w:r w:rsidR="006679BA">
        <w:rPr>
          <w:noProof/>
        </w:rPr>
        <w:t>5</w:t>
      </w:r>
      <w:r>
        <w:fldChar w:fldCharType="end"/>
      </w:r>
      <w:r>
        <w:t>.</w:t>
      </w:r>
    </w:p>
    <w:p w14:paraId="59B3C1AA" w14:textId="77777777" w:rsidR="00C443A0" w:rsidRDefault="00C443A0" w:rsidP="00C443A0">
      <w:pPr>
        <w:pStyle w:val="Heading2"/>
      </w:pPr>
      <w:bookmarkStart w:id="344" w:name="_Toc103174662"/>
      <w:r>
        <w:t>ASIC’s estimates of the regulatory compliance burden of implementing the draft amended ASIC Rules</w:t>
      </w:r>
      <w:bookmarkEnd w:id="344"/>
    </w:p>
    <w:p w14:paraId="601989FF" w14:textId="77777777" w:rsidR="00C443A0" w:rsidRDefault="00C443A0" w:rsidP="00C443A0">
      <w:pPr>
        <w:pStyle w:val="BodyText"/>
        <w:numPr>
          <w:ilvl w:val="0"/>
          <w:numId w:val="17"/>
        </w:numPr>
      </w:pPr>
      <w:r>
        <w:t>We have estimated the regulatory compliance burden of our preferred option (Option 1) of implementing the draft amended ASIC Rules by considering:</w:t>
      </w:r>
    </w:p>
    <w:p w14:paraId="4ECFE369" w14:textId="77777777" w:rsidR="00C443A0" w:rsidRDefault="00C443A0" w:rsidP="00C443A0">
      <w:pPr>
        <w:pStyle w:val="BodyText"/>
        <w:numPr>
          <w:ilvl w:val="1"/>
          <w:numId w:val="17"/>
        </w:numPr>
      </w:pPr>
      <w:r>
        <w:t>the effort required to implement each of the components of the ASIC data elements, UTI, UPI, LEI and ISO 20022 report messaging; and</w:t>
      </w:r>
    </w:p>
    <w:p w14:paraId="185422F1" w14:textId="5895FA95" w:rsidR="00C443A0" w:rsidRDefault="00C443A0" w:rsidP="00C443A0">
      <w:pPr>
        <w:pStyle w:val="BodyText"/>
        <w:numPr>
          <w:ilvl w:val="1"/>
          <w:numId w:val="17"/>
        </w:numPr>
      </w:pPr>
      <w:r>
        <w:t>the reporting entity factors affecting the effort in terms of the volume and asset class breadth of reporting, existing transaction ID pairing, delegated</w:t>
      </w:r>
      <w:r w:rsidR="008B3EC0">
        <w:t xml:space="preserve"> reporting</w:t>
      </w:r>
      <w:r>
        <w:t xml:space="preserve"> or self-reporting, whether internationally</w:t>
      </w:r>
      <w:r w:rsidR="008B3EC0">
        <w:t xml:space="preserve"> </w:t>
      </w:r>
      <w:r>
        <w:t>connected in reporting and whether the reporting entity is a sell-side or buy-side entity.</w:t>
      </w:r>
    </w:p>
    <w:p w14:paraId="6ECD2B53" w14:textId="0841C215" w:rsidR="00C443A0" w:rsidRDefault="00C443A0" w:rsidP="00C443A0">
      <w:pPr>
        <w:pStyle w:val="BodyText"/>
        <w:numPr>
          <w:ilvl w:val="0"/>
          <w:numId w:val="17"/>
        </w:numPr>
      </w:pPr>
      <w:r>
        <w:t xml:space="preserve">We think that the elements of the effort to implement each of the components of the draft amended ASIC Rules can be described as summarised in </w:t>
      </w:r>
      <w:r>
        <w:fldChar w:fldCharType="begin" w:fldLock="1"/>
      </w:r>
      <w:r>
        <w:instrText xml:space="preserve"> REF _Ref100047784 \h </w:instrText>
      </w:r>
      <w:r>
        <w:fldChar w:fldCharType="separate"/>
      </w:r>
      <w:r w:rsidR="00853A2A">
        <w:t xml:space="preserve">Table </w:t>
      </w:r>
      <w:r w:rsidR="00853A2A">
        <w:rPr>
          <w:noProof/>
        </w:rPr>
        <w:t>44</w:t>
      </w:r>
      <w:r>
        <w:fldChar w:fldCharType="end"/>
      </w:r>
      <w:r>
        <w:t>.</w:t>
      </w:r>
    </w:p>
    <w:p w14:paraId="5003FCB2" w14:textId="4CC76C44" w:rsidR="00C443A0" w:rsidRDefault="00C443A0" w:rsidP="00C443A0">
      <w:pPr>
        <w:pStyle w:val="tabletitleindented"/>
      </w:pPr>
      <w:bookmarkStart w:id="345" w:name="_Ref100047784"/>
      <w:r>
        <w:t xml:space="preserve">Table </w:t>
      </w:r>
      <w:fldSimple w:instr=" SEQ Table \* ARABIC ">
        <w:r w:rsidR="006679BA">
          <w:rPr>
            <w:noProof/>
          </w:rPr>
          <w:t>44</w:t>
        </w:r>
      </w:fldSimple>
      <w:bookmarkEnd w:id="345"/>
      <w:r>
        <w:t>:</w:t>
      </w:r>
      <w:r>
        <w:tab/>
        <w:t>Summary of key component implementation elements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398"/>
        <w:gridCol w:w="5404"/>
      </w:tblGrid>
      <w:tr w:rsidR="00C443A0" w:rsidRPr="000540E1" w14:paraId="259471AC" w14:textId="77777777" w:rsidTr="008D0C3F">
        <w:trPr>
          <w:cantSplit/>
          <w:tblHeader/>
        </w:trPr>
        <w:tc>
          <w:tcPr>
            <w:tcW w:w="0" w:type="auto"/>
            <w:shd w:val="clear" w:color="auto" w:fill="C2E3FA"/>
          </w:tcPr>
          <w:p w14:paraId="44022815" w14:textId="77777777" w:rsidR="00C443A0" w:rsidRPr="000540E1" w:rsidRDefault="00C443A0" w:rsidP="008D0C3F">
            <w:pPr>
              <w:pStyle w:val="tablehead"/>
            </w:pPr>
            <w:r>
              <w:t>Component</w:t>
            </w:r>
          </w:p>
        </w:tc>
        <w:tc>
          <w:tcPr>
            <w:tcW w:w="0" w:type="auto"/>
            <w:shd w:val="clear" w:color="auto" w:fill="C2E3FA"/>
          </w:tcPr>
          <w:p w14:paraId="21C88B4B" w14:textId="77777777" w:rsidR="00C443A0" w:rsidRPr="000540E1" w:rsidRDefault="00C443A0" w:rsidP="008D0C3F">
            <w:pPr>
              <w:pStyle w:val="tablehead"/>
            </w:pPr>
            <w:r>
              <w:t>Implementation elements</w:t>
            </w:r>
          </w:p>
        </w:tc>
      </w:tr>
      <w:tr w:rsidR="00C443A0" w:rsidRPr="000540E1" w14:paraId="053AE843" w14:textId="77777777" w:rsidTr="008D0C3F">
        <w:trPr>
          <w:cantSplit/>
        </w:trPr>
        <w:tc>
          <w:tcPr>
            <w:tcW w:w="0" w:type="auto"/>
          </w:tcPr>
          <w:p w14:paraId="4AD99A84" w14:textId="77777777" w:rsidR="00C443A0" w:rsidRPr="000540E1" w:rsidRDefault="00C443A0" w:rsidP="008D0C3F">
            <w:pPr>
              <w:pStyle w:val="tbltext"/>
            </w:pPr>
            <w:r>
              <w:t>ASIC data elements</w:t>
            </w:r>
          </w:p>
        </w:tc>
        <w:tc>
          <w:tcPr>
            <w:tcW w:w="0" w:type="auto"/>
          </w:tcPr>
          <w:p w14:paraId="19099B4A" w14:textId="0CBAFAE0" w:rsidR="00C443A0" w:rsidRDefault="00C443A0" w:rsidP="008D0C3F">
            <w:pPr>
              <w:pStyle w:val="tbltext"/>
            </w:pPr>
            <w:r>
              <w:t>Source additional data elements from front-office, middle-office and/or post-trade systems</w:t>
            </w:r>
          </w:p>
          <w:p w14:paraId="2097177D" w14:textId="77777777" w:rsidR="00C443A0" w:rsidRDefault="00C443A0" w:rsidP="008D0C3F">
            <w:pPr>
              <w:pStyle w:val="tbltext"/>
            </w:pPr>
            <w:r>
              <w:t>These data elements are variously:</w:t>
            </w:r>
          </w:p>
          <w:p w14:paraId="5F6CD353" w14:textId="6AF57E06" w:rsidR="00C443A0" w:rsidRDefault="00C443A0" w:rsidP="00940A24">
            <w:pPr>
              <w:pStyle w:val="tbltext"/>
              <w:numPr>
                <w:ilvl w:val="0"/>
                <w:numId w:val="29"/>
              </w:numPr>
              <w:ind w:left="284" w:hanging="284"/>
            </w:pPr>
            <w:r>
              <w:t>in keeping with existing reporting to derivative trade repositories</w:t>
            </w:r>
            <w:r w:rsidR="008B3EC0">
              <w:rPr>
                <w:rFonts w:ascii="Calibri" w:hAnsi="Calibri"/>
              </w:rPr>
              <w:t>—</w:t>
            </w:r>
            <w:r>
              <w:t>e.g. payment frequency period &amp; multipliers</w:t>
            </w:r>
          </w:p>
          <w:p w14:paraId="6CF40AD7" w14:textId="3A45BB05" w:rsidR="00C443A0" w:rsidRDefault="00C443A0" w:rsidP="00940A24">
            <w:pPr>
              <w:pStyle w:val="tbltext"/>
              <w:numPr>
                <w:ilvl w:val="0"/>
                <w:numId w:val="29"/>
              </w:numPr>
              <w:ind w:left="284" w:hanging="284"/>
            </w:pPr>
            <w:r>
              <w:t>required with more granularity</w:t>
            </w:r>
            <w:r w:rsidR="008B3EC0">
              <w:rPr>
                <w:rFonts w:ascii="Calibri" w:hAnsi="Calibri"/>
              </w:rPr>
              <w:t>—</w:t>
            </w:r>
            <w:r>
              <w:t>e.g. collateral data elements split by initial &amp; variation margin and posted &amp; collected</w:t>
            </w:r>
          </w:p>
          <w:p w14:paraId="6950C553" w14:textId="35F7370E" w:rsidR="00C443A0" w:rsidRDefault="00C443A0" w:rsidP="00940A24">
            <w:pPr>
              <w:pStyle w:val="tbltext"/>
              <w:numPr>
                <w:ilvl w:val="0"/>
                <w:numId w:val="29"/>
              </w:numPr>
              <w:ind w:left="284" w:hanging="284"/>
            </w:pPr>
            <w:r>
              <w:t>applicable for less common transaction types</w:t>
            </w:r>
            <w:r w:rsidR="008B3EC0">
              <w:rPr>
                <w:rFonts w:ascii="Calibri" w:hAnsi="Calibri"/>
              </w:rPr>
              <w:t>—</w:t>
            </w:r>
            <w:r>
              <w:t>e.g. involving notional amount schedules, spreads, baskets and packages</w:t>
            </w:r>
          </w:p>
          <w:p w14:paraId="5AAEFEA8" w14:textId="13310F6B" w:rsidR="00C443A0" w:rsidRDefault="00C443A0" w:rsidP="00940A24">
            <w:pPr>
              <w:pStyle w:val="tbltext"/>
              <w:numPr>
                <w:ilvl w:val="0"/>
                <w:numId w:val="29"/>
              </w:numPr>
              <w:ind w:left="284" w:hanging="284"/>
            </w:pPr>
            <w:r>
              <w:t>possibly more complex to source</w:t>
            </w:r>
            <w:r w:rsidR="008B3EC0">
              <w:rPr>
                <w:rFonts w:ascii="Calibri" w:hAnsi="Calibri"/>
              </w:rPr>
              <w:t>—</w:t>
            </w:r>
            <w:r>
              <w:t>e.g. delta, floating reference rate reset dates</w:t>
            </w:r>
          </w:p>
          <w:p w14:paraId="066C5664" w14:textId="5C294380" w:rsidR="00C443A0" w:rsidRPr="000540E1" w:rsidRDefault="00C443A0" w:rsidP="008D0C3F">
            <w:pPr>
              <w:pStyle w:val="tbltext"/>
            </w:pPr>
            <w:r>
              <w:t>Also, cease to source multiple data elements that would no longer be required to be reported</w:t>
            </w:r>
          </w:p>
        </w:tc>
      </w:tr>
      <w:tr w:rsidR="00C443A0" w:rsidRPr="000540E1" w14:paraId="2FD215EF" w14:textId="77777777" w:rsidTr="008D0C3F">
        <w:trPr>
          <w:cantSplit/>
        </w:trPr>
        <w:tc>
          <w:tcPr>
            <w:tcW w:w="0" w:type="auto"/>
          </w:tcPr>
          <w:p w14:paraId="3FED1314" w14:textId="77777777" w:rsidR="00C443A0" w:rsidRPr="000540E1" w:rsidRDefault="00C443A0" w:rsidP="008D0C3F">
            <w:pPr>
              <w:pStyle w:val="tbltext"/>
            </w:pPr>
            <w:r>
              <w:t>UTI</w:t>
            </w:r>
          </w:p>
        </w:tc>
        <w:tc>
          <w:tcPr>
            <w:tcW w:w="0" w:type="auto"/>
          </w:tcPr>
          <w:p w14:paraId="0501BDB6" w14:textId="0A83B358" w:rsidR="00C443A0" w:rsidRDefault="00C443A0" w:rsidP="008D0C3F">
            <w:pPr>
              <w:pStyle w:val="tbltext"/>
            </w:pPr>
            <w:r>
              <w:t>Where applicable, make bilateral agreements as to UTI</w:t>
            </w:r>
            <w:r w:rsidR="008467F9">
              <w:t xml:space="preserve"> </w:t>
            </w:r>
            <w:r>
              <w:t xml:space="preserve">generating entities and apply to new transactions </w:t>
            </w:r>
          </w:p>
          <w:p w14:paraId="2ED7A19F" w14:textId="56A3139E" w:rsidR="00C443A0" w:rsidRDefault="00C443A0" w:rsidP="008D0C3F">
            <w:pPr>
              <w:pStyle w:val="tbltext"/>
            </w:pPr>
            <w:r>
              <w:t>Otherwise, some reporting entities may need systems &amp;/or processes to determine UTI</w:t>
            </w:r>
            <w:r w:rsidR="008467F9">
              <w:t xml:space="preserve"> </w:t>
            </w:r>
            <w:r>
              <w:t>generating entities by the UTI waterfall</w:t>
            </w:r>
          </w:p>
          <w:p w14:paraId="21601493" w14:textId="4934743B" w:rsidR="00C443A0" w:rsidRDefault="00C443A0" w:rsidP="008D0C3F">
            <w:pPr>
              <w:pStyle w:val="tbltext"/>
            </w:pPr>
            <w:r>
              <w:t>All reporting entities will need UTI receipt-handling and UTI non-receipt processes</w:t>
            </w:r>
          </w:p>
          <w:p w14:paraId="7E020DA3" w14:textId="6BE63B05" w:rsidR="00C443A0" w:rsidRPr="000540E1" w:rsidRDefault="00C443A0" w:rsidP="008D0C3F">
            <w:pPr>
              <w:pStyle w:val="tbltext"/>
            </w:pPr>
            <w:r>
              <w:t>UTI</w:t>
            </w:r>
            <w:r w:rsidR="008467F9">
              <w:t xml:space="preserve"> </w:t>
            </w:r>
            <w:r>
              <w:t>generating entities will need to change their transaction ID generation to conform to the UTI format and include UTIs in transaction confirmations</w:t>
            </w:r>
          </w:p>
        </w:tc>
      </w:tr>
      <w:tr w:rsidR="00C443A0" w:rsidRPr="000540E1" w14:paraId="7D0C671D" w14:textId="77777777" w:rsidTr="008D0C3F">
        <w:trPr>
          <w:cantSplit/>
        </w:trPr>
        <w:tc>
          <w:tcPr>
            <w:tcW w:w="0" w:type="auto"/>
          </w:tcPr>
          <w:p w14:paraId="29A04512" w14:textId="77777777" w:rsidR="00C443A0" w:rsidRPr="000540E1" w:rsidRDefault="00C443A0" w:rsidP="002D0EB6">
            <w:pPr>
              <w:pStyle w:val="tbltext"/>
              <w:spacing w:before="100" w:line="230" w:lineRule="atLeast"/>
            </w:pPr>
            <w:r>
              <w:t>UPI</w:t>
            </w:r>
          </w:p>
        </w:tc>
        <w:tc>
          <w:tcPr>
            <w:tcW w:w="0" w:type="auto"/>
          </w:tcPr>
          <w:p w14:paraId="048695D0" w14:textId="77777777" w:rsidR="00C443A0" w:rsidRDefault="00C443A0" w:rsidP="002D0EB6">
            <w:pPr>
              <w:pStyle w:val="tbltext"/>
              <w:spacing w:before="100" w:line="230" w:lineRule="atLeast"/>
            </w:pPr>
            <w:r>
              <w:t>All reporting entities will need systems &amp;/or processes to obtain UPIs, which may be by, for example:</w:t>
            </w:r>
          </w:p>
          <w:p w14:paraId="3A2E10F9" w14:textId="7A731B16" w:rsidR="00C443A0" w:rsidRDefault="00C443A0" w:rsidP="00940A24">
            <w:pPr>
              <w:pStyle w:val="tbltext"/>
              <w:numPr>
                <w:ilvl w:val="0"/>
                <w:numId w:val="29"/>
              </w:numPr>
              <w:spacing w:before="100" w:line="230" w:lineRule="atLeast"/>
              <w:ind w:left="284" w:hanging="284"/>
            </w:pPr>
            <w:r>
              <w:t>querying the UPI system</w:t>
            </w:r>
          </w:p>
          <w:p w14:paraId="144DF414" w14:textId="2CE306F7" w:rsidR="00C443A0" w:rsidRDefault="00C443A0" w:rsidP="00940A24">
            <w:pPr>
              <w:pStyle w:val="tbltext"/>
              <w:numPr>
                <w:ilvl w:val="0"/>
                <w:numId w:val="29"/>
              </w:numPr>
              <w:spacing w:before="100" w:line="230" w:lineRule="atLeast"/>
              <w:ind w:left="284" w:hanging="284"/>
            </w:pPr>
            <w:r>
              <w:t>querying own records of UPI reference data downloads</w:t>
            </w:r>
          </w:p>
          <w:p w14:paraId="0D997205" w14:textId="1C8F01D5" w:rsidR="00C443A0" w:rsidRDefault="00C443A0" w:rsidP="00940A24">
            <w:pPr>
              <w:pStyle w:val="tbltext"/>
              <w:numPr>
                <w:ilvl w:val="0"/>
                <w:numId w:val="29"/>
              </w:numPr>
              <w:spacing w:before="100" w:line="230" w:lineRule="atLeast"/>
              <w:ind w:left="284" w:hanging="284"/>
            </w:pPr>
            <w:r>
              <w:t>receiving from a counterparty</w:t>
            </w:r>
          </w:p>
          <w:p w14:paraId="52B7D99F" w14:textId="35460286" w:rsidR="00C443A0" w:rsidRDefault="00C443A0" w:rsidP="002D0EB6">
            <w:pPr>
              <w:pStyle w:val="tbltext"/>
              <w:spacing w:before="100" w:line="230" w:lineRule="atLeast"/>
            </w:pPr>
            <w:r>
              <w:t>All reporting entities will need UPI receipt-handling processes</w:t>
            </w:r>
          </w:p>
          <w:p w14:paraId="72247E41" w14:textId="59DBA6B8" w:rsidR="00C443A0" w:rsidRPr="000540E1" w:rsidRDefault="00C443A0" w:rsidP="002D0EB6">
            <w:pPr>
              <w:pStyle w:val="tbltext"/>
              <w:spacing w:before="100" w:line="230" w:lineRule="atLeast"/>
            </w:pPr>
            <w:r>
              <w:t>Some reporting entities will need UPI creation capability</w:t>
            </w:r>
          </w:p>
        </w:tc>
      </w:tr>
      <w:tr w:rsidR="00C443A0" w:rsidRPr="000540E1" w14:paraId="3ED936E4" w14:textId="77777777" w:rsidTr="008D0C3F">
        <w:trPr>
          <w:cantSplit/>
        </w:trPr>
        <w:tc>
          <w:tcPr>
            <w:tcW w:w="0" w:type="auto"/>
          </w:tcPr>
          <w:p w14:paraId="5FDCCC21" w14:textId="77777777" w:rsidR="00C443A0" w:rsidRDefault="00C443A0" w:rsidP="002D0EB6">
            <w:pPr>
              <w:pStyle w:val="tbltext"/>
              <w:spacing w:before="100" w:line="230" w:lineRule="atLeast"/>
            </w:pPr>
            <w:r>
              <w:t>LEI</w:t>
            </w:r>
          </w:p>
        </w:tc>
        <w:tc>
          <w:tcPr>
            <w:tcW w:w="0" w:type="auto"/>
          </w:tcPr>
          <w:p w14:paraId="348FECEC" w14:textId="5A97CB17" w:rsidR="00C443A0" w:rsidRDefault="00C443A0" w:rsidP="002D0EB6">
            <w:pPr>
              <w:pStyle w:val="tbltext"/>
              <w:spacing w:before="100" w:line="230" w:lineRule="atLeast"/>
            </w:pPr>
            <w:r>
              <w:t>Some reporting entities may need to engage with some of their counterparties to communicate LEI requirements and possibly assist in converting from AVOX ID use to LEI use</w:t>
            </w:r>
          </w:p>
          <w:p w14:paraId="1080F8E6" w14:textId="0C5720ED" w:rsidR="00C443A0" w:rsidRDefault="00C443A0" w:rsidP="002D0EB6">
            <w:pPr>
              <w:pStyle w:val="tbltext"/>
              <w:spacing w:before="100" w:line="230" w:lineRule="atLeast"/>
            </w:pPr>
            <w:r>
              <w:t>These reporting entities will also need to update their counterparty reference data</w:t>
            </w:r>
          </w:p>
        </w:tc>
      </w:tr>
      <w:tr w:rsidR="00C443A0" w:rsidRPr="000540E1" w14:paraId="4CE3F69A" w14:textId="77777777" w:rsidTr="008D0C3F">
        <w:trPr>
          <w:cantSplit/>
        </w:trPr>
        <w:tc>
          <w:tcPr>
            <w:tcW w:w="0" w:type="auto"/>
          </w:tcPr>
          <w:p w14:paraId="2E1BB088" w14:textId="77777777" w:rsidR="00C443A0" w:rsidRDefault="00C443A0" w:rsidP="002D0EB6">
            <w:pPr>
              <w:pStyle w:val="tbltext"/>
              <w:spacing w:before="100" w:line="230" w:lineRule="atLeast"/>
            </w:pPr>
            <w:r>
              <w:t>ISO 20022</w:t>
            </w:r>
          </w:p>
        </w:tc>
        <w:tc>
          <w:tcPr>
            <w:tcW w:w="0" w:type="auto"/>
          </w:tcPr>
          <w:p w14:paraId="775013DD" w14:textId="0596E956" w:rsidR="00C443A0" w:rsidRDefault="00C443A0" w:rsidP="002D0EB6">
            <w:pPr>
              <w:pStyle w:val="tbltext"/>
              <w:spacing w:before="100" w:line="230" w:lineRule="atLeast"/>
            </w:pPr>
            <w:r>
              <w:t>Self-reporting entities will need systems and processes to form and submit to trade repositories ISO 20022 reporting messages</w:t>
            </w:r>
          </w:p>
          <w:p w14:paraId="561709E8" w14:textId="0982356D" w:rsidR="00C443A0" w:rsidRDefault="00C443A0" w:rsidP="002D0EB6">
            <w:pPr>
              <w:pStyle w:val="tbltext"/>
              <w:spacing w:before="100" w:line="230" w:lineRule="atLeast"/>
            </w:pPr>
            <w:r>
              <w:t>Reporting entities that delegate reporting will likely have their ISO 20022 reporting messages formed and submitted by their delegate</w:t>
            </w:r>
          </w:p>
        </w:tc>
      </w:tr>
    </w:tbl>
    <w:p w14:paraId="60784C4F" w14:textId="2DBA9DAF" w:rsidR="00C443A0" w:rsidRDefault="00C443A0" w:rsidP="00C443A0">
      <w:pPr>
        <w:pStyle w:val="BodyText"/>
        <w:numPr>
          <w:ilvl w:val="0"/>
          <w:numId w:val="17"/>
        </w:numPr>
      </w:pPr>
      <w:r>
        <w:t xml:space="preserve">We think that the reporting entity factors that affect the effort can be described as summarised in </w:t>
      </w:r>
      <w:r>
        <w:fldChar w:fldCharType="begin" w:fldLock="1"/>
      </w:r>
      <w:r>
        <w:instrText xml:space="preserve"> REF _Ref100063493 \h </w:instrText>
      </w:r>
      <w:r>
        <w:fldChar w:fldCharType="separate"/>
      </w:r>
      <w:r w:rsidR="00853A2A">
        <w:t xml:space="preserve">Table </w:t>
      </w:r>
      <w:r w:rsidR="00853A2A">
        <w:rPr>
          <w:noProof/>
        </w:rPr>
        <w:t>45</w:t>
      </w:r>
      <w:r>
        <w:fldChar w:fldCharType="end"/>
      </w:r>
      <w:r>
        <w:t>.</w:t>
      </w:r>
    </w:p>
    <w:p w14:paraId="02144ECA" w14:textId="168C78FF" w:rsidR="00C443A0" w:rsidRDefault="00C443A0" w:rsidP="00C443A0">
      <w:pPr>
        <w:pStyle w:val="tabletitleindented"/>
      </w:pPr>
      <w:bookmarkStart w:id="346" w:name="_Ref100063493"/>
      <w:r>
        <w:t xml:space="preserve">Table </w:t>
      </w:r>
      <w:fldSimple w:instr=" SEQ Table \* ARABIC ">
        <w:r w:rsidR="006679BA">
          <w:rPr>
            <w:noProof/>
          </w:rPr>
          <w:t>45</w:t>
        </w:r>
      </w:fldSimple>
      <w:bookmarkEnd w:id="346"/>
      <w:r>
        <w:t>:</w:t>
      </w:r>
      <w:r>
        <w:tab/>
        <w:t>Summary of reporting entity factors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520"/>
        <w:gridCol w:w="5282"/>
      </w:tblGrid>
      <w:tr w:rsidR="00C443A0" w:rsidRPr="000540E1" w14:paraId="2D0E0762" w14:textId="77777777" w:rsidTr="008D0C3F">
        <w:trPr>
          <w:cantSplit/>
          <w:tblHeader/>
        </w:trPr>
        <w:tc>
          <w:tcPr>
            <w:tcW w:w="0" w:type="auto"/>
            <w:shd w:val="clear" w:color="auto" w:fill="C2E3FA"/>
          </w:tcPr>
          <w:p w14:paraId="601F57EC" w14:textId="77777777" w:rsidR="00C443A0" w:rsidRPr="000540E1" w:rsidRDefault="00C443A0" w:rsidP="008D0C3F">
            <w:pPr>
              <w:pStyle w:val="tablehead"/>
            </w:pPr>
            <w:r>
              <w:t>Component</w:t>
            </w:r>
          </w:p>
        </w:tc>
        <w:tc>
          <w:tcPr>
            <w:tcW w:w="0" w:type="auto"/>
            <w:shd w:val="clear" w:color="auto" w:fill="C2E3FA"/>
          </w:tcPr>
          <w:p w14:paraId="2D7CEFF3" w14:textId="77777777" w:rsidR="00C443A0" w:rsidRPr="000540E1" w:rsidRDefault="00C443A0" w:rsidP="008D0C3F">
            <w:pPr>
              <w:pStyle w:val="tablehead"/>
            </w:pPr>
            <w:r>
              <w:t>Implementation elements</w:t>
            </w:r>
          </w:p>
        </w:tc>
      </w:tr>
      <w:tr w:rsidR="00C443A0" w:rsidRPr="000540E1" w14:paraId="1D3973C7" w14:textId="77777777" w:rsidTr="008D0C3F">
        <w:trPr>
          <w:cantSplit/>
        </w:trPr>
        <w:tc>
          <w:tcPr>
            <w:tcW w:w="0" w:type="auto"/>
          </w:tcPr>
          <w:p w14:paraId="0E3E06BB" w14:textId="77777777" w:rsidR="00C443A0" w:rsidRPr="000540E1" w:rsidRDefault="00C443A0" w:rsidP="008D0C3F">
            <w:pPr>
              <w:pStyle w:val="tbltext"/>
            </w:pPr>
            <w:r>
              <w:t>Scale</w:t>
            </w:r>
          </w:p>
        </w:tc>
        <w:tc>
          <w:tcPr>
            <w:tcW w:w="0" w:type="auto"/>
          </w:tcPr>
          <w:p w14:paraId="7C94FC63" w14:textId="6A598986" w:rsidR="00C443A0" w:rsidRDefault="00C443A0" w:rsidP="008D0C3F">
            <w:pPr>
              <w:pStyle w:val="tbltext"/>
            </w:pPr>
            <w:r>
              <w:t>Higher volume reporters have more turnover and scale and diversity in counterparties, products, clearing and other connections with market infrastructures</w:t>
            </w:r>
            <w:r w:rsidR="008B3EC0">
              <w:rPr>
                <w:rFonts w:ascii="Calibri" w:hAnsi="Calibri"/>
              </w:rPr>
              <w:t>—</w:t>
            </w:r>
            <w:r>
              <w:t>implying a broader scope of implementation work</w:t>
            </w:r>
          </w:p>
          <w:p w14:paraId="7AA3549A" w14:textId="77777777" w:rsidR="00C443A0" w:rsidRDefault="00C443A0" w:rsidP="008D0C3F">
            <w:pPr>
              <w:pStyle w:val="tbltext"/>
              <w:spacing w:after="120"/>
            </w:pPr>
            <w:r>
              <w:t>In our analysis, we have categorised scale in terms of open positions as:</w:t>
            </w:r>
          </w:p>
          <w:tbl>
            <w:tblPr>
              <w:tblStyle w:val="TableGrid"/>
              <w:tblW w:w="0" w:type="auto"/>
              <w:tblInd w:w="284" w:type="dxa"/>
              <w:tblLook w:val="04A0" w:firstRow="1" w:lastRow="0" w:firstColumn="1" w:lastColumn="0" w:noHBand="0" w:noVBand="1"/>
            </w:tblPr>
            <w:tblGrid>
              <w:gridCol w:w="1701"/>
              <w:gridCol w:w="1871"/>
            </w:tblGrid>
            <w:tr w:rsidR="00C443A0" w14:paraId="551BBD64" w14:textId="77777777" w:rsidTr="008D0C3F">
              <w:tc>
                <w:tcPr>
                  <w:tcW w:w="1701" w:type="dxa"/>
                </w:tcPr>
                <w:p w14:paraId="66F194D9" w14:textId="77777777" w:rsidR="00C443A0" w:rsidRDefault="00C443A0" w:rsidP="008D0C3F">
                  <w:pPr>
                    <w:pStyle w:val="tbltext"/>
                    <w:spacing w:before="60" w:after="60" w:line="240" w:lineRule="auto"/>
                  </w:pPr>
                  <w:r>
                    <w:t>LARGE</w:t>
                  </w:r>
                </w:p>
              </w:tc>
              <w:tc>
                <w:tcPr>
                  <w:tcW w:w="1871" w:type="dxa"/>
                </w:tcPr>
                <w:p w14:paraId="5CE8413E" w14:textId="77777777" w:rsidR="00C443A0" w:rsidRDefault="00C443A0" w:rsidP="008D0C3F">
                  <w:pPr>
                    <w:pStyle w:val="tbltext"/>
                    <w:spacing w:before="60" w:after="60" w:line="240" w:lineRule="auto"/>
                    <w:jc w:val="center"/>
                  </w:pPr>
                  <w:r>
                    <w:t>≥10,000</w:t>
                  </w:r>
                </w:p>
              </w:tc>
            </w:tr>
            <w:tr w:rsidR="00C443A0" w14:paraId="3BA30FAC" w14:textId="77777777" w:rsidTr="008D0C3F">
              <w:tc>
                <w:tcPr>
                  <w:tcW w:w="1701" w:type="dxa"/>
                </w:tcPr>
                <w:p w14:paraId="243D8550" w14:textId="77777777" w:rsidR="00C443A0" w:rsidRDefault="00C443A0" w:rsidP="008D0C3F">
                  <w:pPr>
                    <w:pStyle w:val="tbltext"/>
                    <w:spacing w:before="60" w:after="60" w:line="240" w:lineRule="auto"/>
                  </w:pPr>
                  <w:r>
                    <w:t>MEDIUM</w:t>
                  </w:r>
                </w:p>
              </w:tc>
              <w:tc>
                <w:tcPr>
                  <w:tcW w:w="1871" w:type="dxa"/>
                </w:tcPr>
                <w:p w14:paraId="67301BB0" w14:textId="77777777" w:rsidR="00C443A0" w:rsidRDefault="00C443A0" w:rsidP="008D0C3F">
                  <w:pPr>
                    <w:pStyle w:val="tbltext"/>
                    <w:spacing w:before="60" w:after="60" w:line="240" w:lineRule="auto"/>
                    <w:jc w:val="center"/>
                  </w:pPr>
                  <w:r>
                    <w:t>1,000 to 9,999</w:t>
                  </w:r>
                </w:p>
              </w:tc>
            </w:tr>
            <w:tr w:rsidR="00C443A0" w14:paraId="1EA9B238" w14:textId="77777777" w:rsidTr="008D0C3F">
              <w:tc>
                <w:tcPr>
                  <w:tcW w:w="1701" w:type="dxa"/>
                </w:tcPr>
                <w:p w14:paraId="799D0010" w14:textId="77777777" w:rsidR="00C443A0" w:rsidRDefault="00C443A0" w:rsidP="008D0C3F">
                  <w:pPr>
                    <w:pStyle w:val="tbltext"/>
                    <w:spacing w:before="60" w:after="60" w:line="240" w:lineRule="auto"/>
                  </w:pPr>
                  <w:r>
                    <w:t>SMALL</w:t>
                  </w:r>
                </w:p>
              </w:tc>
              <w:tc>
                <w:tcPr>
                  <w:tcW w:w="1871" w:type="dxa"/>
                </w:tcPr>
                <w:p w14:paraId="17186A10" w14:textId="77777777" w:rsidR="00C443A0" w:rsidRDefault="00C443A0" w:rsidP="008D0C3F">
                  <w:pPr>
                    <w:pStyle w:val="tbltext"/>
                    <w:spacing w:before="60" w:after="60" w:line="240" w:lineRule="auto"/>
                    <w:jc w:val="center"/>
                  </w:pPr>
                  <w:r>
                    <w:t>100 to 999</w:t>
                  </w:r>
                </w:p>
              </w:tc>
            </w:tr>
            <w:tr w:rsidR="00C443A0" w14:paraId="5804F22A" w14:textId="77777777" w:rsidTr="008D0C3F">
              <w:tc>
                <w:tcPr>
                  <w:tcW w:w="1701" w:type="dxa"/>
                </w:tcPr>
                <w:p w14:paraId="6F26CFFA" w14:textId="77777777" w:rsidR="00C443A0" w:rsidRDefault="00C443A0" w:rsidP="008D0C3F">
                  <w:pPr>
                    <w:pStyle w:val="tbltext"/>
                    <w:spacing w:before="60" w:after="60" w:line="240" w:lineRule="auto"/>
                  </w:pPr>
                  <w:r>
                    <w:t>VERY SMALL</w:t>
                  </w:r>
                </w:p>
              </w:tc>
              <w:tc>
                <w:tcPr>
                  <w:tcW w:w="1871" w:type="dxa"/>
                </w:tcPr>
                <w:p w14:paraId="3F05AE85" w14:textId="77777777" w:rsidR="00C443A0" w:rsidRDefault="00C443A0" w:rsidP="008D0C3F">
                  <w:pPr>
                    <w:pStyle w:val="tbltext"/>
                    <w:spacing w:before="60" w:after="60" w:line="240" w:lineRule="auto"/>
                    <w:jc w:val="center"/>
                  </w:pPr>
                  <w:r>
                    <w:t>&lt;100</w:t>
                  </w:r>
                </w:p>
              </w:tc>
            </w:tr>
          </w:tbl>
          <w:p w14:paraId="50CB2AE5" w14:textId="77777777" w:rsidR="00C443A0" w:rsidRPr="000540E1" w:rsidRDefault="00C443A0" w:rsidP="008D0C3F">
            <w:pPr>
              <w:pStyle w:val="tbltext"/>
            </w:pPr>
          </w:p>
        </w:tc>
      </w:tr>
      <w:tr w:rsidR="00C443A0" w:rsidRPr="000540E1" w14:paraId="20A31DFC" w14:textId="77777777" w:rsidTr="008D0C3F">
        <w:trPr>
          <w:cantSplit/>
        </w:trPr>
        <w:tc>
          <w:tcPr>
            <w:tcW w:w="0" w:type="auto"/>
          </w:tcPr>
          <w:p w14:paraId="401B51F0" w14:textId="77777777" w:rsidR="00C443A0" w:rsidRDefault="00C443A0" w:rsidP="008D0C3F">
            <w:pPr>
              <w:pStyle w:val="tbltext"/>
            </w:pPr>
            <w:r>
              <w:t>Breadth</w:t>
            </w:r>
          </w:p>
        </w:tc>
        <w:tc>
          <w:tcPr>
            <w:tcW w:w="0" w:type="auto"/>
          </w:tcPr>
          <w:p w14:paraId="73234A50" w14:textId="2FE76CEC" w:rsidR="00C443A0" w:rsidRDefault="00C443A0" w:rsidP="008D0C3F">
            <w:pPr>
              <w:pStyle w:val="tbltext"/>
            </w:pPr>
            <w:r>
              <w:t>The more asset classes that are reported, the more likely that more product systems are involved</w:t>
            </w:r>
            <w:r w:rsidR="008B3EC0">
              <w:rPr>
                <w:rFonts w:ascii="Calibri" w:hAnsi="Calibri"/>
              </w:rPr>
              <w:t>—</w:t>
            </w:r>
            <w:r>
              <w:t>implying a broader scope of implementation work</w:t>
            </w:r>
          </w:p>
          <w:p w14:paraId="2BE6CF02" w14:textId="77777777" w:rsidR="00C443A0" w:rsidRDefault="00C443A0" w:rsidP="008D0C3F">
            <w:pPr>
              <w:pStyle w:val="tbltext"/>
              <w:spacing w:after="120"/>
            </w:pPr>
            <w:r>
              <w:t>In our analysis, we have categorised breadth in terms of reporting transactions in:</w:t>
            </w:r>
          </w:p>
          <w:tbl>
            <w:tblPr>
              <w:tblStyle w:val="TableGrid"/>
              <w:tblW w:w="0" w:type="auto"/>
              <w:tblInd w:w="284" w:type="dxa"/>
              <w:tblLook w:val="04A0" w:firstRow="1" w:lastRow="0" w:firstColumn="1" w:lastColumn="0" w:noHBand="0" w:noVBand="1"/>
            </w:tblPr>
            <w:tblGrid>
              <w:gridCol w:w="1701"/>
              <w:gridCol w:w="1871"/>
            </w:tblGrid>
            <w:tr w:rsidR="00C443A0" w14:paraId="56058FB5" w14:textId="77777777" w:rsidTr="008D0C3F">
              <w:tc>
                <w:tcPr>
                  <w:tcW w:w="1701" w:type="dxa"/>
                </w:tcPr>
                <w:p w14:paraId="50A04196" w14:textId="77777777" w:rsidR="00C443A0" w:rsidRDefault="00C443A0" w:rsidP="008D0C3F">
                  <w:pPr>
                    <w:pStyle w:val="tbltext"/>
                    <w:spacing w:before="60" w:after="60" w:line="240" w:lineRule="auto"/>
                  </w:pPr>
                  <w:r>
                    <w:t>BROAD</w:t>
                  </w:r>
                </w:p>
              </w:tc>
              <w:tc>
                <w:tcPr>
                  <w:tcW w:w="1871" w:type="dxa"/>
                </w:tcPr>
                <w:p w14:paraId="2F010ABC" w14:textId="04E81DF6" w:rsidR="00C443A0" w:rsidRDefault="00C443A0" w:rsidP="008D0C3F">
                  <w:pPr>
                    <w:pStyle w:val="tbltext"/>
                    <w:spacing w:before="60" w:after="60" w:line="240" w:lineRule="auto"/>
                    <w:jc w:val="center"/>
                  </w:pPr>
                  <w:r>
                    <w:t>3</w:t>
                  </w:r>
                  <w:r w:rsidR="008B3EC0">
                    <w:t>–</w:t>
                  </w:r>
                  <w:r>
                    <w:t>5 asset classes</w:t>
                  </w:r>
                </w:p>
              </w:tc>
            </w:tr>
            <w:tr w:rsidR="00C443A0" w14:paraId="754FBA2E" w14:textId="77777777" w:rsidTr="008D0C3F">
              <w:tc>
                <w:tcPr>
                  <w:tcW w:w="1701" w:type="dxa"/>
                </w:tcPr>
                <w:p w14:paraId="2E67028C" w14:textId="77777777" w:rsidR="00C443A0" w:rsidRDefault="00C443A0" w:rsidP="008D0C3F">
                  <w:pPr>
                    <w:pStyle w:val="tbltext"/>
                    <w:spacing w:before="60" w:after="60" w:line="240" w:lineRule="auto"/>
                  </w:pPr>
                  <w:r>
                    <w:t>NARROW</w:t>
                  </w:r>
                </w:p>
              </w:tc>
              <w:tc>
                <w:tcPr>
                  <w:tcW w:w="1871" w:type="dxa"/>
                </w:tcPr>
                <w:p w14:paraId="40D98F00" w14:textId="57D22C20" w:rsidR="00C443A0" w:rsidRDefault="00C443A0" w:rsidP="008D0C3F">
                  <w:pPr>
                    <w:pStyle w:val="tbltext"/>
                    <w:spacing w:before="60" w:after="60" w:line="240" w:lineRule="auto"/>
                    <w:jc w:val="center"/>
                  </w:pPr>
                  <w:r>
                    <w:t>1</w:t>
                  </w:r>
                  <w:r w:rsidR="008B3EC0">
                    <w:t>–</w:t>
                  </w:r>
                  <w:r>
                    <w:t>2 asset classes</w:t>
                  </w:r>
                </w:p>
              </w:tc>
            </w:tr>
          </w:tbl>
          <w:p w14:paraId="0EA665FC" w14:textId="77777777" w:rsidR="00C443A0" w:rsidRDefault="00C443A0" w:rsidP="008D0C3F">
            <w:pPr>
              <w:pStyle w:val="tbltext"/>
            </w:pPr>
          </w:p>
        </w:tc>
      </w:tr>
      <w:tr w:rsidR="00C443A0" w:rsidRPr="000540E1" w14:paraId="75B4F51E" w14:textId="77777777" w:rsidTr="008D0C3F">
        <w:trPr>
          <w:cantSplit/>
        </w:trPr>
        <w:tc>
          <w:tcPr>
            <w:tcW w:w="0" w:type="auto"/>
          </w:tcPr>
          <w:p w14:paraId="2CC2112F" w14:textId="77777777" w:rsidR="00C443A0" w:rsidRDefault="00C443A0" w:rsidP="008D0C3F">
            <w:pPr>
              <w:pStyle w:val="tbltext"/>
            </w:pPr>
            <w:r>
              <w:t>Existing UTI pairing</w:t>
            </w:r>
          </w:p>
        </w:tc>
        <w:tc>
          <w:tcPr>
            <w:tcW w:w="0" w:type="auto"/>
          </w:tcPr>
          <w:p w14:paraId="2C19FA3D" w14:textId="34F3A596" w:rsidR="00C443A0" w:rsidRDefault="00C443A0" w:rsidP="008D0C3F">
            <w:pPr>
              <w:pStyle w:val="tbltext"/>
            </w:pPr>
            <w:r>
              <w:t>Reporting entities who already report paired UTIs are indicating that they have existing UTI transmission and receipt-handling capabilities</w:t>
            </w:r>
          </w:p>
          <w:p w14:paraId="7BA1B88B" w14:textId="02243CCB" w:rsidR="00C443A0" w:rsidRDefault="00C443A0" w:rsidP="008D0C3F">
            <w:pPr>
              <w:pStyle w:val="tbltext"/>
              <w:spacing w:after="120"/>
            </w:pPr>
            <w:r>
              <w:t xml:space="preserve">On a recent analysis, we </w:t>
            </w:r>
            <w:r w:rsidR="00B92DE6">
              <w:t xml:space="preserve">identified </w:t>
            </w:r>
            <w:r>
              <w:t>400 reporting entities who report</w:t>
            </w:r>
            <w:r w:rsidR="00B92DE6">
              <w:t>ed</w:t>
            </w:r>
            <w:r>
              <w:t xml:space="preserve"> a paired UTI for some or all of their transactions. These reporting entities report</w:t>
            </w:r>
            <w:r w:rsidR="00B92DE6">
              <w:t>ed</w:t>
            </w:r>
            <w:r>
              <w:t xml:space="preserve"> paired UTIs for, on average by asset class, the following percentages of transactions:</w:t>
            </w:r>
          </w:p>
          <w:tbl>
            <w:tblPr>
              <w:tblStyle w:val="TableGrid"/>
              <w:tblW w:w="0" w:type="auto"/>
              <w:tblInd w:w="284" w:type="dxa"/>
              <w:tblLook w:val="04A0" w:firstRow="1" w:lastRow="0" w:firstColumn="1" w:lastColumn="0" w:noHBand="0" w:noVBand="1"/>
            </w:tblPr>
            <w:tblGrid>
              <w:gridCol w:w="1701"/>
              <w:gridCol w:w="1871"/>
            </w:tblGrid>
            <w:tr w:rsidR="00C443A0" w14:paraId="128B1C02" w14:textId="77777777" w:rsidTr="008D0C3F">
              <w:tc>
                <w:tcPr>
                  <w:tcW w:w="1701" w:type="dxa"/>
                </w:tcPr>
                <w:p w14:paraId="0631AA28" w14:textId="77777777" w:rsidR="00C443A0" w:rsidRDefault="00C443A0" w:rsidP="008D0C3F">
                  <w:pPr>
                    <w:pStyle w:val="tbltext"/>
                    <w:spacing w:before="60" w:after="60" w:line="240" w:lineRule="auto"/>
                  </w:pPr>
                  <w:r>
                    <w:t>Commodities</w:t>
                  </w:r>
                </w:p>
              </w:tc>
              <w:tc>
                <w:tcPr>
                  <w:tcW w:w="1871" w:type="dxa"/>
                </w:tcPr>
                <w:p w14:paraId="3A59652C" w14:textId="77777777" w:rsidR="00C443A0" w:rsidRDefault="00C443A0" w:rsidP="008D0C3F">
                  <w:pPr>
                    <w:pStyle w:val="tbltext"/>
                    <w:spacing w:before="60" w:after="60" w:line="240" w:lineRule="auto"/>
                    <w:jc w:val="center"/>
                  </w:pPr>
                  <w:r>
                    <w:t>64%</w:t>
                  </w:r>
                </w:p>
              </w:tc>
            </w:tr>
            <w:tr w:rsidR="00C443A0" w14:paraId="51E23F6B" w14:textId="77777777" w:rsidTr="008D0C3F">
              <w:tc>
                <w:tcPr>
                  <w:tcW w:w="1701" w:type="dxa"/>
                </w:tcPr>
                <w:p w14:paraId="7DBE3617" w14:textId="77777777" w:rsidR="00C443A0" w:rsidRDefault="00C443A0" w:rsidP="008D0C3F">
                  <w:pPr>
                    <w:pStyle w:val="tbltext"/>
                    <w:spacing w:before="60" w:after="60" w:line="240" w:lineRule="auto"/>
                  </w:pPr>
                  <w:r>
                    <w:t>Credit</w:t>
                  </w:r>
                </w:p>
              </w:tc>
              <w:tc>
                <w:tcPr>
                  <w:tcW w:w="1871" w:type="dxa"/>
                </w:tcPr>
                <w:p w14:paraId="052E077F" w14:textId="77777777" w:rsidR="00C443A0" w:rsidRDefault="00C443A0" w:rsidP="008D0C3F">
                  <w:pPr>
                    <w:pStyle w:val="tbltext"/>
                    <w:spacing w:before="60" w:after="60" w:line="240" w:lineRule="auto"/>
                    <w:jc w:val="center"/>
                  </w:pPr>
                  <w:r>
                    <w:t>78%</w:t>
                  </w:r>
                </w:p>
              </w:tc>
            </w:tr>
            <w:tr w:rsidR="00C443A0" w14:paraId="098C3148" w14:textId="77777777" w:rsidTr="008D0C3F">
              <w:tc>
                <w:tcPr>
                  <w:tcW w:w="1701" w:type="dxa"/>
                </w:tcPr>
                <w:p w14:paraId="6FA7D31F" w14:textId="77777777" w:rsidR="00C443A0" w:rsidRDefault="00C443A0" w:rsidP="008D0C3F">
                  <w:pPr>
                    <w:pStyle w:val="tbltext"/>
                    <w:spacing w:before="60" w:after="60" w:line="240" w:lineRule="auto"/>
                  </w:pPr>
                  <w:r>
                    <w:t>Equity</w:t>
                  </w:r>
                </w:p>
              </w:tc>
              <w:tc>
                <w:tcPr>
                  <w:tcW w:w="1871" w:type="dxa"/>
                </w:tcPr>
                <w:p w14:paraId="145B31A5" w14:textId="77777777" w:rsidR="00C443A0" w:rsidRDefault="00C443A0" w:rsidP="008D0C3F">
                  <w:pPr>
                    <w:pStyle w:val="tbltext"/>
                    <w:spacing w:before="60" w:after="60" w:line="240" w:lineRule="auto"/>
                    <w:jc w:val="center"/>
                  </w:pPr>
                  <w:r>
                    <w:t>82%</w:t>
                  </w:r>
                </w:p>
              </w:tc>
            </w:tr>
            <w:tr w:rsidR="00C443A0" w14:paraId="2B60BEF4" w14:textId="77777777" w:rsidTr="008D0C3F">
              <w:tc>
                <w:tcPr>
                  <w:tcW w:w="1701" w:type="dxa"/>
                </w:tcPr>
                <w:p w14:paraId="624B3C52" w14:textId="77777777" w:rsidR="00C443A0" w:rsidRDefault="00C443A0" w:rsidP="008D0C3F">
                  <w:pPr>
                    <w:pStyle w:val="tbltext"/>
                    <w:spacing w:before="60" w:after="60" w:line="240" w:lineRule="auto"/>
                  </w:pPr>
                  <w:r>
                    <w:t>Foreign exchange</w:t>
                  </w:r>
                </w:p>
              </w:tc>
              <w:tc>
                <w:tcPr>
                  <w:tcW w:w="1871" w:type="dxa"/>
                </w:tcPr>
                <w:p w14:paraId="7B55F339" w14:textId="77777777" w:rsidR="00C443A0" w:rsidRDefault="00C443A0" w:rsidP="008D0C3F">
                  <w:pPr>
                    <w:pStyle w:val="tbltext"/>
                    <w:spacing w:before="60" w:after="60" w:line="240" w:lineRule="auto"/>
                    <w:jc w:val="center"/>
                  </w:pPr>
                  <w:r>
                    <w:t>40%</w:t>
                  </w:r>
                </w:p>
              </w:tc>
            </w:tr>
            <w:tr w:rsidR="00C443A0" w14:paraId="5C3BEDA2" w14:textId="77777777" w:rsidTr="008D0C3F">
              <w:tc>
                <w:tcPr>
                  <w:tcW w:w="1701" w:type="dxa"/>
                </w:tcPr>
                <w:p w14:paraId="398A6A30" w14:textId="77777777" w:rsidR="00C443A0" w:rsidRDefault="00C443A0" w:rsidP="008D0C3F">
                  <w:pPr>
                    <w:pStyle w:val="tbltext"/>
                    <w:spacing w:before="60" w:after="60" w:line="240" w:lineRule="auto"/>
                  </w:pPr>
                  <w:r>
                    <w:t>Interest rates</w:t>
                  </w:r>
                </w:p>
              </w:tc>
              <w:tc>
                <w:tcPr>
                  <w:tcW w:w="1871" w:type="dxa"/>
                </w:tcPr>
                <w:p w14:paraId="0E187B39" w14:textId="77777777" w:rsidR="00C443A0" w:rsidRDefault="00C443A0" w:rsidP="008D0C3F">
                  <w:pPr>
                    <w:pStyle w:val="tbltext"/>
                    <w:spacing w:before="60" w:after="60" w:line="240" w:lineRule="auto"/>
                    <w:jc w:val="center"/>
                  </w:pPr>
                  <w:r>
                    <w:t>63%</w:t>
                  </w:r>
                </w:p>
              </w:tc>
            </w:tr>
          </w:tbl>
          <w:p w14:paraId="021834F9" w14:textId="433CEE4B" w:rsidR="00C443A0" w:rsidRDefault="00C443A0" w:rsidP="008D0C3F">
            <w:pPr>
              <w:spacing w:before="120" w:after="120" w:line="240" w:lineRule="atLeast"/>
            </w:pPr>
            <w:r>
              <w:rPr>
                <w:rFonts w:ascii="Arial" w:hAnsi="Arial" w:cs="Arial"/>
                <w:sz w:val="18"/>
                <w:szCs w:val="18"/>
              </w:rPr>
              <w:t xml:space="preserve">We assume that a </w:t>
            </w:r>
            <w:r w:rsidRPr="00846AB1">
              <w:rPr>
                <w:rFonts w:ascii="Arial" w:hAnsi="Arial" w:cs="Arial"/>
                <w:sz w:val="18"/>
                <w:szCs w:val="18"/>
              </w:rPr>
              <w:t>UTI transmission and receipt-handling capabilit</w:t>
            </w:r>
            <w:r>
              <w:rPr>
                <w:rFonts w:ascii="Arial" w:hAnsi="Arial" w:cs="Arial"/>
                <w:sz w:val="18"/>
                <w:szCs w:val="18"/>
              </w:rPr>
              <w:t xml:space="preserve">y indicates a strong potential to likewise establish a </w:t>
            </w:r>
            <w:r w:rsidRPr="00846AB1">
              <w:rPr>
                <w:rFonts w:ascii="Arial" w:hAnsi="Arial" w:cs="Arial"/>
                <w:sz w:val="18"/>
                <w:szCs w:val="18"/>
              </w:rPr>
              <w:t>U</w:t>
            </w:r>
            <w:r>
              <w:rPr>
                <w:rFonts w:ascii="Arial" w:hAnsi="Arial" w:cs="Arial"/>
                <w:sz w:val="18"/>
                <w:szCs w:val="18"/>
              </w:rPr>
              <w:t xml:space="preserve">PI </w:t>
            </w:r>
            <w:r w:rsidRPr="00846AB1">
              <w:rPr>
                <w:rFonts w:ascii="Arial" w:hAnsi="Arial" w:cs="Arial"/>
                <w:sz w:val="18"/>
                <w:szCs w:val="18"/>
              </w:rPr>
              <w:t>transmission and receipt-handling capabilit</w:t>
            </w:r>
            <w:r>
              <w:rPr>
                <w:rFonts w:ascii="Arial" w:hAnsi="Arial" w:cs="Arial"/>
                <w:sz w:val="18"/>
                <w:szCs w:val="18"/>
              </w:rPr>
              <w:t>y</w:t>
            </w:r>
          </w:p>
        </w:tc>
      </w:tr>
      <w:tr w:rsidR="00C443A0" w:rsidRPr="000540E1" w14:paraId="31E2176C" w14:textId="77777777" w:rsidTr="008D0C3F">
        <w:trPr>
          <w:cantSplit/>
        </w:trPr>
        <w:tc>
          <w:tcPr>
            <w:tcW w:w="0" w:type="auto"/>
          </w:tcPr>
          <w:p w14:paraId="3A2C76BD" w14:textId="54C8AC53" w:rsidR="00C443A0" w:rsidRDefault="00C443A0" w:rsidP="008D0C3F">
            <w:pPr>
              <w:pStyle w:val="tbltext"/>
            </w:pPr>
            <w:r>
              <w:t>Self-</w:t>
            </w:r>
            <w:r w:rsidR="008B3EC0">
              <w:t xml:space="preserve">reporting </w:t>
            </w:r>
            <w:r>
              <w:t>or delegated</w:t>
            </w:r>
            <w:r w:rsidR="008B3EC0">
              <w:t xml:space="preserve"> </w:t>
            </w:r>
            <w:r>
              <w:t>reporting</w:t>
            </w:r>
          </w:p>
        </w:tc>
        <w:tc>
          <w:tcPr>
            <w:tcW w:w="0" w:type="auto"/>
          </w:tcPr>
          <w:p w14:paraId="56D3FE5C" w14:textId="3187C1CC" w:rsidR="00C443A0" w:rsidRDefault="00C443A0" w:rsidP="008D0C3F">
            <w:pPr>
              <w:pStyle w:val="tbltext"/>
            </w:pPr>
            <w:r>
              <w:t>Delegated</w:t>
            </w:r>
            <w:r w:rsidR="008B3EC0">
              <w:t xml:space="preserve"> </w:t>
            </w:r>
            <w:r>
              <w:t>reporting is typically either where:</w:t>
            </w:r>
          </w:p>
          <w:p w14:paraId="1DD1F720" w14:textId="05B65D6E" w:rsidR="00C443A0" w:rsidRDefault="00C443A0" w:rsidP="00940A24">
            <w:pPr>
              <w:pStyle w:val="tbltext"/>
              <w:numPr>
                <w:ilvl w:val="0"/>
                <w:numId w:val="30"/>
              </w:numPr>
              <w:ind w:left="284" w:hanging="284"/>
            </w:pPr>
            <w:r>
              <w:t>the counterparty or executing agent reports on behalf of the reporting entity</w:t>
            </w:r>
            <w:r w:rsidR="00B92DE6">
              <w:rPr>
                <w:rFonts w:ascii="Calibri" w:hAnsi="Calibri"/>
              </w:rPr>
              <w:t>—</w:t>
            </w:r>
            <w:r>
              <w:t>the reporting entity does not need to implement reporting changes or uplift for those transactions</w:t>
            </w:r>
            <w:r w:rsidR="00B92DE6">
              <w:t>,</w:t>
            </w:r>
            <w:r>
              <w:t xml:space="preserve"> or</w:t>
            </w:r>
          </w:p>
          <w:p w14:paraId="1B024917" w14:textId="4C670867" w:rsidR="00C443A0" w:rsidRDefault="00C443A0" w:rsidP="00940A24">
            <w:pPr>
              <w:pStyle w:val="tbltext"/>
              <w:numPr>
                <w:ilvl w:val="0"/>
                <w:numId w:val="30"/>
              </w:numPr>
              <w:ind w:left="284" w:hanging="284"/>
            </w:pPr>
            <w:r>
              <w:t>the reporting entity uses a reporting services provider to form and submit to trade repositories ISO 20022 reporting messages and the provider can also assist the reporting entity to source data elements, including UTI handling, from their information systems</w:t>
            </w:r>
            <w:r w:rsidR="00B92DE6">
              <w:rPr>
                <w:rFonts w:ascii="Calibri" w:hAnsi="Calibri"/>
              </w:rPr>
              <w:t>—</w:t>
            </w:r>
            <w:r>
              <w:t>the reporting entity may be able to implement reporting changes or uplift more efficiently than on a solely in-house basis</w:t>
            </w:r>
          </w:p>
          <w:p w14:paraId="41BAAF41" w14:textId="27BA2665" w:rsidR="00C443A0" w:rsidRDefault="00C443A0" w:rsidP="008D0C3F">
            <w:pPr>
              <w:pStyle w:val="tbltext"/>
            </w:pPr>
            <w:r>
              <w:t>Self-reporters will bear their own costs in sourcing additional data elements from their information systems and forming and submitting to trade repositories ISO 20022 reporting messages</w:t>
            </w:r>
          </w:p>
        </w:tc>
      </w:tr>
      <w:tr w:rsidR="00C443A0" w:rsidRPr="000540E1" w14:paraId="304260AC" w14:textId="77777777" w:rsidTr="008D0C3F">
        <w:trPr>
          <w:cantSplit/>
        </w:trPr>
        <w:tc>
          <w:tcPr>
            <w:tcW w:w="0" w:type="auto"/>
          </w:tcPr>
          <w:p w14:paraId="49A956A9" w14:textId="77777777" w:rsidR="00C443A0" w:rsidRDefault="00C443A0" w:rsidP="008D0C3F">
            <w:pPr>
              <w:pStyle w:val="tbltext"/>
            </w:pPr>
            <w:r>
              <w:t>Internationally connected</w:t>
            </w:r>
          </w:p>
        </w:tc>
        <w:tc>
          <w:tcPr>
            <w:tcW w:w="0" w:type="auto"/>
          </w:tcPr>
          <w:p w14:paraId="006E75BA" w14:textId="2B5FB567" w:rsidR="00C443A0" w:rsidRPr="001772F1" w:rsidRDefault="00C443A0" w:rsidP="008D0C3F">
            <w:pPr>
              <w:pStyle w:val="tbltext"/>
            </w:pPr>
            <w:r w:rsidRPr="001772F1">
              <w:t>Reporting entities that have an international derivatives transaction reporting connection would face marginal implementation costs for the draft amended ASIC Rules, as they benefit from synergies with implementation requirements in other jurisdictions</w:t>
            </w:r>
          </w:p>
          <w:p w14:paraId="28A71C5D" w14:textId="3B3DDF50" w:rsidR="00C443A0" w:rsidRPr="001772F1" w:rsidRDefault="00C443A0" w:rsidP="008D0C3F">
            <w:pPr>
              <w:pStyle w:val="tbltext"/>
            </w:pPr>
            <w:r w:rsidRPr="001772F1">
              <w:t>As we set out in paragraph</w:t>
            </w:r>
            <w:r w:rsidR="00D3356A">
              <w:t xml:space="preserve">s </w:t>
            </w:r>
            <w:r w:rsidR="00D3356A">
              <w:fldChar w:fldCharType="begin" w:fldLock="1"/>
            </w:r>
            <w:r w:rsidR="00D3356A">
              <w:instrText xml:space="preserve"> REF _ASICRef547 \w \h </w:instrText>
            </w:r>
            <w:r w:rsidR="00D3356A">
              <w:fldChar w:fldCharType="separate"/>
            </w:r>
            <w:r w:rsidR="00853A2A">
              <w:t>729</w:t>
            </w:r>
            <w:r w:rsidR="00D3356A">
              <w:fldChar w:fldCharType="end"/>
            </w:r>
            <w:r w:rsidR="00D3356A">
              <w:t>–</w:t>
            </w:r>
            <w:r w:rsidR="00D3356A">
              <w:fldChar w:fldCharType="begin" w:fldLock="1"/>
            </w:r>
            <w:r w:rsidR="00D3356A">
              <w:instrText xml:space="preserve"> REF _ASICRef922 \w \h </w:instrText>
            </w:r>
            <w:r w:rsidR="00D3356A">
              <w:fldChar w:fldCharType="separate"/>
            </w:r>
            <w:r w:rsidR="00853A2A">
              <w:t>730</w:t>
            </w:r>
            <w:r w:rsidR="00D3356A">
              <w:fldChar w:fldCharType="end"/>
            </w:r>
            <w:r w:rsidRPr="001772F1">
              <w:t>, we consider that a reporting entity is internationally connected where the reporting entity:</w:t>
            </w:r>
          </w:p>
          <w:p w14:paraId="2DF7F3AE" w14:textId="47FA9D64" w:rsidR="00C443A0" w:rsidRPr="001772F1" w:rsidRDefault="00C443A0" w:rsidP="008D0C3F">
            <w:pPr>
              <w:pStyle w:val="ListBullet"/>
              <w:spacing w:before="120" w:line="240" w:lineRule="atLeast"/>
              <w:ind w:left="284" w:hanging="284"/>
              <w:rPr>
                <w:rFonts w:ascii="Arial" w:hAnsi="Arial" w:cs="Arial"/>
                <w:sz w:val="18"/>
                <w:szCs w:val="18"/>
              </w:rPr>
            </w:pPr>
            <w:r w:rsidRPr="001772F1">
              <w:rPr>
                <w:rFonts w:ascii="Arial" w:hAnsi="Arial" w:cs="Arial"/>
                <w:sz w:val="18"/>
                <w:szCs w:val="18"/>
              </w:rPr>
              <w:t>is a multi-jurisdictional reporter</w:t>
            </w:r>
          </w:p>
          <w:p w14:paraId="1C4C1BAA" w14:textId="6678547C" w:rsidR="00C443A0" w:rsidRPr="001772F1" w:rsidRDefault="00C443A0" w:rsidP="008D0C3F">
            <w:pPr>
              <w:pStyle w:val="ListBullet"/>
              <w:spacing w:before="120" w:line="240" w:lineRule="atLeast"/>
              <w:ind w:left="284" w:hanging="284"/>
              <w:rPr>
                <w:rFonts w:ascii="Arial" w:hAnsi="Arial" w:cs="Arial"/>
                <w:sz w:val="18"/>
                <w:szCs w:val="18"/>
              </w:rPr>
            </w:pPr>
            <w:r w:rsidRPr="001772F1">
              <w:rPr>
                <w:rFonts w:ascii="Arial" w:hAnsi="Arial" w:cs="Arial"/>
                <w:sz w:val="18"/>
                <w:szCs w:val="18"/>
              </w:rPr>
              <w:t>is part of a related group w</w:t>
            </w:r>
            <w:r>
              <w:rPr>
                <w:rFonts w:ascii="Arial" w:hAnsi="Arial" w:cs="Arial"/>
                <w:sz w:val="18"/>
                <w:szCs w:val="18"/>
              </w:rPr>
              <w:t>hich has</w:t>
            </w:r>
            <w:r w:rsidRPr="001772F1">
              <w:rPr>
                <w:rFonts w:ascii="Arial" w:hAnsi="Arial" w:cs="Arial"/>
                <w:sz w:val="18"/>
                <w:szCs w:val="18"/>
              </w:rPr>
              <w:t xml:space="preserve"> other entities that report in other jurisdictions</w:t>
            </w:r>
            <w:r w:rsidR="00B92DE6">
              <w:rPr>
                <w:rFonts w:ascii="Arial" w:hAnsi="Arial" w:cs="Arial"/>
                <w:sz w:val="18"/>
                <w:szCs w:val="18"/>
              </w:rPr>
              <w:t>,</w:t>
            </w:r>
            <w:r w:rsidRPr="001772F1">
              <w:rPr>
                <w:rFonts w:ascii="Arial" w:hAnsi="Arial" w:cs="Arial"/>
                <w:sz w:val="18"/>
                <w:szCs w:val="18"/>
              </w:rPr>
              <w:t xml:space="preserve"> or</w:t>
            </w:r>
          </w:p>
          <w:p w14:paraId="2ECE027E" w14:textId="314E1714" w:rsidR="00C443A0" w:rsidRDefault="00C443A0" w:rsidP="008D0C3F">
            <w:pPr>
              <w:pStyle w:val="ListBullet"/>
              <w:spacing w:before="120" w:line="240" w:lineRule="atLeast"/>
              <w:ind w:left="284" w:hanging="284"/>
            </w:pPr>
            <w:r w:rsidRPr="001772F1">
              <w:rPr>
                <w:rFonts w:ascii="Arial" w:hAnsi="Arial" w:cs="Arial"/>
                <w:sz w:val="18"/>
                <w:szCs w:val="18"/>
              </w:rPr>
              <w:t xml:space="preserve">delegates reporting to an international report submitting entity </w:t>
            </w:r>
          </w:p>
        </w:tc>
      </w:tr>
    </w:tbl>
    <w:p w14:paraId="7D836DDA" w14:textId="77777777" w:rsidR="00C443A0" w:rsidRDefault="00C443A0" w:rsidP="00B92DE6">
      <w:pPr>
        <w:pStyle w:val="BodyText"/>
        <w:numPr>
          <w:ilvl w:val="0"/>
          <w:numId w:val="17"/>
        </w:numPr>
      </w:pPr>
      <w:r>
        <w:t>Our approach to estimating the regulatory compliance burden of implementing the draft amended ASIC Rules is to:</w:t>
      </w:r>
    </w:p>
    <w:p w14:paraId="361A31B4" w14:textId="77777777" w:rsidR="00C443A0" w:rsidRDefault="00C443A0" w:rsidP="00B92DE6">
      <w:pPr>
        <w:pStyle w:val="BodyText"/>
        <w:numPr>
          <w:ilvl w:val="1"/>
          <w:numId w:val="17"/>
        </w:numPr>
      </w:pPr>
      <w:r>
        <w:t>group reporting entities by the common factors applicable to their circumstances;</w:t>
      </w:r>
    </w:p>
    <w:p w14:paraId="25F19F08" w14:textId="77777777" w:rsidR="00C443A0" w:rsidRDefault="00C443A0" w:rsidP="00B92DE6">
      <w:pPr>
        <w:pStyle w:val="BodyText"/>
        <w:numPr>
          <w:ilvl w:val="1"/>
          <w:numId w:val="17"/>
        </w:numPr>
      </w:pPr>
      <w:r>
        <w:t>for each component of implementation, take as a reference case the reporting entity group or implementation element with the largest estimated costs and benefits;</w:t>
      </w:r>
    </w:p>
    <w:p w14:paraId="416ECB2D" w14:textId="4D90A14B" w:rsidR="00C443A0" w:rsidRDefault="00C443A0" w:rsidP="00B92DE6">
      <w:pPr>
        <w:pStyle w:val="BodyText"/>
        <w:numPr>
          <w:ilvl w:val="1"/>
          <w:numId w:val="17"/>
        </w:numPr>
      </w:pPr>
      <w:r>
        <w:t>apply adjustments to the reference case for the generally cumulative</w:t>
      </w:r>
      <w:r w:rsidR="00B92DE6">
        <w:t xml:space="preserve"> </w:t>
      </w:r>
      <w:r>
        <w:t>effect of the factors applicable to the other reporting entity groups.</w:t>
      </w:r>
    </w:p>
    <w:p w14:paraId="52754BF2" w14:textId="4A6A0C41" w:rsidR="00C443A0" w:rsidRDefault="00C443A0" w:rsidP="00B92DE6">
      <w:pPr>
        <w:pStyle w:val="BodyText"/>
        <w:numPr>
          <w:ilvl w:val="0"/>
          <w:numId w:val="17"/>
        </w:numPr>
      </w:pPr>
      <w:r>
        <w:t xml:space="preserve">The reference cases and adjustments for each component of implementation are summarised in </w:t>
      </w:r>
      <w:r>
        <w:fldChar w:fldCharType="begin" w:fldLock="1"/>
      </w:r>
      <w:r>
        <w:instrText xml:space="preserve"> REF _Ref100130505 \h </w:instrText>
      </w:r>
      <w:r>
        <w:fldChar w:fldCharType="separate"/>
      </w:r>
      <w:r w:rsidR="00853A2A">
        <w:t xml:space="preserve">Table </w:t>
      </w:r>
      <w:r w:rsidR="00853A2A">
        <w:rPr>
          <w:noProof/>
        </w:rPr>
        <w:t>46</w:t>
      </w:r>
      <w:r>
        <w:fldChar w:fldCharType="end"/>
      </w:r>
      <w:r>
        <w:t>.</w:t>
      </w:r>
    </w:p>
    <w:p w14:paraId="78EF7181" w14:textId="3E65BA96" w:rsidR="00C443A0" w:rsidRDefault="00C443A0" w:rsidP="00C443A0">
      <w:pPr>
        <w:pStyle w:val="tabletitleindented"/>
      </w:pPr>
      <w:bookmarkStart w:id="347" w:name="_Ref100130505"/>
      <w:r>
        <w:t xml:space="preserve">Table </w:t>
      </w:r>
      <w:fldSimple w:instr=" SEQ Table \* ARABIC ">
        <w:r w:rsidR="006679BA">
          <w:rPr>
            <w:noProof/>
          </w:rPr>
          <w:t>46</w:t>
        </w:r>
      </w:fldSimple>
      <w:bookmarkEnd w:id="347"/>
      <w:r>
        <w:t>:</w:t>
      </w:r>
      <w:r>
        <w:tab/>
        <w:t>Reference cases and discounts/loadings by implementation component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402"/>
        <w:gridCol w:w="5400"/>
      </w:tblGrid>
      <w:tr w:rsidR="00C443A0" w:rsidRPr="000540E1" w14:paraId="43F97B68" w14:textId="77777777" w:rsidTr="00453A4A">
        <w:trPr>
          <w:cantSplit/>
          <w:tblHeader/>
        </w:trPr>
        <w:tc>
          <w:tcPr>
            <w:tcW w:w="1244" w:type="dxa"/>
            <w:shd w:val="clear" w:color="auto" w:fill="C2E3FA"/>
          </w:tcPr>
          <w:p w14:paraId="14E265F7" w14:textId="77777777" w:rsidR="00C443A0" w:rsidRPr="000540E1" w:rsidRDefault="00C443A0" w:rsidP="008D0C3F">
            <w:pPr>
              <w:pStyle w:val="tablehead"/>
            </w:pPr>
            <w:bookmarkStart w:id="348" w:name="_Hlk101426613"/>
            <w:r>
              <w:t>Component</w:t>
            </w:r>
          </w:p>
        </w:tc>
        <w:tc>
          <w:tcPr>
            <w:tcW w:w="0" w:type="auto"/>
            <w:shd w:val="clear" w:color="auto" w:fill="C2E3FA"/>
          </w:tcPr>
          <w:p w14:paraId="4C6E7132" w14:textId="77777777" w:rsidR="00C443A0" w:rsidRPr="000540E1" w:rsidRDefault="00C443A0" w:rsidP="008D0C3F">
            <w:pPr>
              <w:pStyle w:val="tablehead"/>
            </w:pPr>
            <w:r>
              <w:t>Reference case and adjustment factors</w:t>
            </w:r>
          </w:p>
        </w:tc>
      </w:tr>
      <w:tr w:rsidR="00C443A0" w:rsidRPr="000540E1" w14:paraId="747D6B7A" w14:textId="77777777" w:rsidTr="008D0C3F">
        <w:trPr>
          <w:cantSplit/>
        </w:trPr>
        <w:tc>
          <w:tcPr>
            <w:tcW w:w="0" w:type="auto"/>
          </w:tcPr>
          <w:p w14:paraId="5500225E" w14:textId="77777777" w:rsidR="00C443A0" w:rsidRPr="000540E1" w:rsidRDefault="00C443A0" w:rsidP="008D0C3F">
            <w:pPr>
              <w:pStyle w:val="tbltext"/>
            </w:pPr>
            <w:r>
              <w:t>ASIC data elements</w:t>
            </w:r>
          </w:p>
        </w:tc>
        <w:tc>
          <w:tcPr>
            <w:tcW w:w="0" w:type="auto"/>
          </w:tcPr>
          <w:p w14:paraId="013344F9" w14:textId="131EC0F9" w:rsidR="00C443A0" w:rsidRDefault="00C443A0" w:rsidP="008D0C3F">
            <w:pPr>
              <w:pStyle w:val="tbltext"/>
            </w:pPr>
            <w:r w:rsidRPr="002D0EB6">
              <w:rPr>
                <w:i/>
                <w:iCs/>
              </w:rPr>
              <w:t>Reference case:</w:t>
            </w:r>
            <w:r>
              <w:t xml:space="preserve"> Large-scale, broad asset classes, self-reporting, internationally</w:t>
            </w:r>
            <w:r w:rsidR="00356BEA">
              <w:t xml:space="preserve"> </w:t>
            </w:r>
            <w:r>
              <w:t>connected, sell-side reporting entity</w:t>
            </w:r>
          </w:p>
          <w:p w14:paraId="26E9A940" w14:textId="77777777" w:rsidR="00C443A0" w:rsidRDefault="00C443A0" w:rsidP="008D0C3F">
            <w:pPr>
              <w:pStyle w:val="tbltext"/>
            </w:pPr>
            <w:r w:rsidRPr="002D0EB6">
              <w:rPr>
                <w:i/>
                <w:iCs/>
              </w:rPr>
              <w:t>Upfront effort:</w:t>
            </w:r>
            <w:r>
              <w:t xml:space="preserve"> 3.00 FTE for 1 year</w:t>
            </w:r>
          </w:p>
          <w:p w14:paraId="6D0EB6D8" w14:textId="77777777" w:rsidR="00C443A0" w:rsidRPr="002D0EB6" w:rsidRDefault="00C443A0" w:rsidP="008D0C3F">
            <w:pPr>
              <w:pStyle w:val="tbltext"/>
              <w:spacing w:after="120"/>
              <w:rPr>
                <w:i/>
                <w:iCs/>
              </w:rPr>
            </w:pPr>
            <w:r w:rsidRPr="002D0EB6">
              <w:rPr>
                <w:i/>
                <w:iCs/>
              </w:rPr>
              <w:t>Adjustment multiplier factors:</w:t>
            </w:r>
          </w:p>
          <w:tbl>
            <w:tblPr>
              <w:tblStyle w:val="TableGrid"/>
              <w:tblW w:w="0" w:type="auto"/>
              <w:tblInd w:w="284" w:type="dxa"/>
              <w:tblLook w:val="04A0" w:firstRow="1" w:lastRow="0" w:firstColumn="1" w:lastColumn="0" w:noHBand="0" w:noVBand="1"/>
            </w:tblPr>
            <w:tblGrid>
              <w:gridCol w:w="1596"/>
              <w:gridCol w:w="1676"/>
              <w:gridCol w:w="1618"/>
            </w:tblGrid>
            <w:tr w:rsidR="00C443A0" w14:paraId="45CB6762" w14:textId="77777777" w:rsidTr="008D0C3F">
              <w:tc>
                <w:tcPr>
                  <w:tcW w:w="1602" w:type="dxa"/>
                </w:tcPr>
                <w:p w14:paraId="68896375" w14:textId="77777777" w:rsidR="00C443A0" w:rsidRDefault="00C443A0" w:rsidP="008D0C3F">
                  <w:pPr>
                    <w:pStyle w:val="tbltext"/>
                    <w:spacing w:before="60" w:after="60" w:line="240" w:lineRule="auto"/>
                  </w:pPr>
                  <w:r>
                    <w:t>Scale</w:t>
                  </w:r>
                </w:p>
              </w:tc>
              <w:tc>
                <w:tcPr>
                  <w:tcW w:w="1688" w:type="dxa"/>
                </w:tcPr>
                <w:p w14:paraId="79B95FC9" w14:textId="77777777" w:rsidR="00C443A0" w:rsidRDefault="00C443A0" w:rsidP="008D0C3F">
                  <w:pPr>
                    <w:pStyle w:val="tbltext"/>
                    <w:spacing w:before="60" w:after="60" w:line="240" w:lineRule="auto"/>
                    <w:jc w:val="center"/>
                  </w:pPr>
                  <w:r>
                    <w:t>Large</w:t>
                  </w:r>
                </w:p>
                <w:p w14:paraId="579C8B84" w14:textId="77777777" w:rsidR="00C443A0" w:rsidRDefault="00C443A0" w:rsidP="008D0C3F">
                  <w:pPr>
                    <w:pStyle w:val="tbltext"/>
                    <w:spacing w:before="60" w:after="60" w:line="240" w:lineRule="auto"/>
                    <w:jc w:val="center"/>
                  </w:pPr>
                  <w:r>
                    <w:t>Medium</w:t>
                  </w:r>
                </w:p>
                <w:p w14:paraId="2BA13D91" w14:textId="77777777" w:rsidR="00C443A0" w:rsidRDefault="00C443A0" w:rsidP="008D0C3F">
                  <w:pPr>
                    <w:pStyle w:val="tbltext"/>
                    <w:spacing w:before="60" w:after="60" w:line="240" w:lineRule="auto"/>
                    <w:jc w:val="center"/>
                  </w:pPr>
                  <w:r>
                    <w:t>Small</w:t>
                  </w:r>
                </w:p>
                <w:p w14:paraId="63C3ABC1" w14:textId="77777777" w:rsidR="00C443A0" w:rsidRDefault="00C443A0" w:rsidP="008D0C3F">
                  <w:pPr>
                    <w:pStyle w:val="tbltext"/>
                    <w:spacing w:before="60" w:after="60" w:line="240" w:lineRule="auto"/>
                    <w:jc w:val="center"/>
                  </w:pPr>
                  <w:r>
                    <w:t>Very Small</w:t>
                  </w:r>
                </w:p>
              </w:tc>
              <w:tc>
                <w:tcPr>
                  <w:tcW w:w="1638" w:type="dxa"/>
                </w:tcPr>
                <w:p w14:paraId="64A10146" w14:textId="5F9DBE70" w:rsidR="00C443A0" w:rsidRDefault="00C443A0" w:rsidP="008D0C3F">
                  <w:pPr>
                    <w:pStyle w:val="tbltext"/>
                    <w:spacing w:before="60" w:after="60" w:line="240" w:lineRule="auto"/>
                    <w:jc w:val="center"/>
                  </w:pPr>
                  <w:r>
                    <w:t>x</w:t>
                  </w:r>
                  <w:r w:rsidR="00356BEA">
                    <w:t xml:space="preserve"> </w:t>
                  </w:r>
                  <w:r>
                    <w:t>1.00</w:t>
                  </w:r>
                </w:p>
                <w:p w14:paraId="0FBAC56E" w14:textId="2FE8661E" w:rsidR="00C443A0" w:rsidRDefault="00C443A0" w:rsidP="008D0C3F">
                  <w:pPr>
                    <w:pStyle w:val="tbltext"/>
                    <w:spacing w:before="60" w:after="60" w:line="240" w:lineRule="auto"/>
                    <w:jc w:val="center"/>
                  </w:pPr>
                  <w:r>
                    <w:t>x</w:t>
                  </w:r>
                  <w:r w:rsidR="00356BEA">
                    <w:t xml:space="preserve"> </w:t>
                  </w:r>
                  <w:r>
                    <w:t>0.50</w:t>
                  </w:r>
                </w:p>
                <w:p w14:paraId="0B34CF20" w14:textId="2DAE209D" w:rsidR="00C443A0" w:rsidRDefault="00C443A0" w:rsidP="008D0C3F">
                  <w:pPr>
                    <w:pStyle w:val="tbltext"/>
                    <w:spacing w:before="60" w:after="60" w:line="240" w:lineRule="auto"/>
                    <w:jc w:val="center"/>
                  </w:pPr>
                  <w:r>
                    <w:t>x</w:t>
                  </w:r>
                  <w:r w:rsidR="00356BEA">
                    <w:t xml:space="preserve"> </w:t>
                  </w:r>
                  <w:r>
                    <w:t>0.25</w:t>
                  </w:r>
                </w:p>
                <w:p w14:paraId="03FAC104" w14:textId="43FC5EF7" w:rsidR="00C443A0" w:rsidRDefault="00C443A0" w:rsidP="008D0C3F">
                  <w:pPr>
                    <w:pStyle w:val="tbltext"/>
                    <w:spacing w:before="60" w:after="60" w:line="240" w:lineRule="auto"/>
                    <w:jc w:val="center"/>
                  </w:pPr>
                  <w:r>
                    <w:t>x</w:t>
                  </w:r>
                  <w:r w:rsidR="00356BEA">
                    <w:t xml:space="preserve"> </w:t>
                  </w:r>
                  <w:r>
                    <w:t>0.10</w:t>
                  </w:r>
                </w:p>
              </w:tc>
            </w:tr>
            <w:tr w:rsidR="00C443A0" w14:paraId="1AA63B3D" w14:textId="77777777" w:rsidTr="008D0C3F">
              <w:tc>
                <w:tcPr>
                  <w:tcW w:w="1602" w:type="dxa"/>
                </w:tcPr>
                <w:p w14:paraId="2749E588" w14:textId="77777777" w:rsidR="00C443A0" w:rsidRDefault="00C443A0" w:rsidP="008D0C3F">
                  <w:pPr>
                    <w:pStyle w:val="tbltext"/>
                    <w:spacing w:before="60" w:after="60" w:line="240" w:lineRule="auto"/>
                  </w:pPr>
                  <w:r>
                    <w:t>Breadth</w:t>
                  </w:r>
                </w:p>
              </w:tc>
              <w:tc>
                <w:tcPr>
                  <w:tcW w:w="1688" w:type="dxa"/>
                </w:tcPr>
                <w:p w14:paraId="58F75E75" w14:textId="1DDDBB05" w:rsidR="00C443A0" w:rsidRDefault="00C443A0" w:rsidP="008D0C3F">
                  <w:pPr>
                    <w:pStyle w:val="tbltext"/>
                    <w:spacing w:before="60" w:after="60" w:line="240" w:lineRule="auto"/>
                    <w:jc w:val="center"/>
                  </w:pPr>
                  <w:r>
                    <w:t>3</w:t>
                  </w:r>
                  <w:r w:rsidR="00356BEA">
                    <w:t>–</w:t>
                  </w:r>
                  <w:r>
                    <w:t>5 asset classes</w:t>
                  </w:r>
                </w:p>
                <w:p w14:paraId="24EF965B" w14:textId="5E5C68E2" w:rsidR="00C443A0" w:rsidRDefault="00C443A0" w:rsidP="008D0C3F">
                  <w:pPr>
                    <w:pStyle w:val="tbltext"/>
                    <w:spacing w:before="60" w:after="60" w:line="240" w:lineRule="auto"/>
                    <w:jc w:val="center"/>
                  </w:pPr>
                  <w:r>
                    <w:t>1</w:t>
                  </w:r>
                  <w:r w:rsidR="00356BEA">
                    <w:t>–</w:t>
                  </w:r>
                  <w:r>
                    <w:t>2 asset classes</w:t>
                  </w:r>
                </w:p>
              </w:tc>
              <w:tc>
                <w:tcPr>
                  <w:tcW w:w="1638" w:type="dxa"/>
                </w:tcPr>
                <w:p w14:paraId="1667F176" w14:textId="52458153" w:rsidR="00C443A0" w:rsidRDefault="00C443A0" w:rsidP="008D0C3F">
                  <w:pPr>
                    <w:pStyle w:val="tbltext"/>
                    <w:spacing w:before="60" w:after="60" w:line="240" w:lineRule="auto"/>
                    <w:jc w:val="center"/>
                  </w:pPr>
                  <w:r>
                    <w:t>x</w:t>
                  </w:r>
                  <w:r w:rsidR="00356BEA">
                    <w:t xml:space="preserve"> </w:t>
                  </w:r>
                  <w:r>
                    <w:t>1.00</w:t>
                  </w:r>
                </w:p>
                <w:p w14:paraId="2CA6EB86" w14:textId="65D62A8E" w:rsidR="00C443A0" w:rsidRDefault="00C443A0" w:rsidP="008D0C3F">
                  <w:pPr>
                    <w:pStyle w:val="tbltext"/>
                    <w:spacing w:before="60" w:after="60" w:line="240" w:lineRule="auto"/>
                    <w:jc w:val="center"/>
                  </w:pPr>
                  <w:r>
                    <w:t>x</w:t>
                  </w:r>
                  <w:r w:rsidR="00356BEA">
                    <w:t xml:space="preserve"> </w:t>
                  </w:r>
                  <w:r>
                    <w:t>0.50</w:t>
                  </w:r>
                </w:p>
              </w:tc>
            </w:tr>
            <w:tr w:rsidR="00C443A0" w14:paraId="5AAAD4BF" w14:textId="77777777" w:rsidTr="008D0C3F">
              <w:tc>
                <w:tcPr>
                  <w:tcW w:w="1602" w:type="dxa"/>
                </w:tcPr>
                <w:p w14:paraId="763B588A" w14:textId="77777777" w:rsidR="00C443A0" w:rsidRDefault="00C443A0" w:rsidP="008D0C3F">
                  <w:pPr>
                    <w:pStyle w:val="tbltext"/>
                    <w:spacing w:before="60" w:after="60" w:line="240" w:lineRule="auto"/>
                  </w:pPr>
                  <w:r>
                    <w:t>Nature of Reporting</w:t>
                  </w:r>
                </w:p>
              </w:tc>
              <w:tc>
                <w:tcPr>
                  <w:tcW w:w="1688" w:type="dxa"/>
                </w:tcPr>
                <w:p w14:paraId="5DC0ADFA" w14:textId="77777777" w:rsidR="00C443A0" w:rsidRDefault="00C443A0" w:rsidP="008D0C3F">
                  <w:pPr>
                    <w:pStyle w:val="tbltext"/>
                    <w:spacing w:before="60" w:after="60" w:line="240" w:lineRule="auto"/>
                    <w:jc w:val="center"/>
                  </w:pPr>
                  <w:r>
                    <w:t>Self</w:t>
                  </w:r>
                </w:p>
                <w:p w14:paraId="43DF35CC" w14:textId="77777777" w:rsidR="00C443A0" w:rsidRDefault="00C443A0" w:rsidP="008D0C3F">
                  <w:pPr>
                    <w:pStyle w:val="tbltext"/>
                    <w:spacing w:before="60" w:after="60" w:line="240" w:lineRule="auto"/>
                    <w:jc w:val="center"/>
                  </w:pPr>
                  <w:r>
                    <w:t>Delegated</w:t>
                  </w:r>
                </w:p>
              </w:tc>
              <w:tc>
                <w:tcPr>
                  <w:tcW w:w="1638" w:type="dxa"/>
                </w:tcPr>
                <w:p w14:paraId="651FB51D" w14:textId="1E10A992" w:rsidR="00C443A0" w:rsidRDefault="00C443A0" w:rsidP="008D0C3F">
                  <w:pPr>
                    <w:pStyle w:val="tbltext"/>
                    <w:spacing w:before="60" w:after="60" w:line="240" w:lineRule="auto"/>
                    <w:jc w:val="center"/>
                  </w:pPr>
                  <w:r>
                    <w:t>x</w:t>
                  </w:r>
                  <w:r w:rsidR="00356BEA">
                    <w:t xml:space="preserve"> </w:t>
                  </w:r>
                  <w:r>
                    <w:t>1.00</w:t>
                  </w:r>
                </w:p>
                <w:p w14:paraId="0C7409DB" w14:textId="5BA0DFB4" w:rsidR="00C443A0" w:rsidRDefault="00C443A0" w:rsidP="008D0C3F">
                  <w:pPr>
                    <w:pStyle w:val="tbltext"/>
                    <w:spacing w:before="60" w:after="60" w:line="240" w:lineRule="auto"/>
                    <w:jc w:val="center"/>
                  </w:pPr>
                  <w:r>
                    <w:t>x</w:t>
                  </w:r>
                  <w:r w:rsidR="00356BEA">
                    <w:t xml:space="preserve"> </w:t>
                  </w:r>
                  <w:r>
                    <w:t>0.50</w:t>
                  </w:r>
                </w:p>
              </w:tc>
            </w:tr>
            <w:tr w:rsidR="00C443A0" w14:paraId="2DEC6937" w14:textId="77777777" w:rsidTr="008D0C3F">
              <w:tc>
                <w:tcPr>
                  <w:tcW w:w="1602" w:type="dxa"/>
                </w:tcPr>
                <w:p w14:paraId="66B09A72" w14:textId="1A309D8A" w:rsidR="00C443A0" w:rsidRDefault="00C443A0" w:rsidP="008D0C3F">
                  <w:pPr>
                    <w:pStyle w:val="tbltext"/>
                    <w:spacing w:before="60" w:after="60" w:line="240" w:lineRule="auto"/>
                  </w:pPr>
                  <w:r>
                    <w:t>Internationally</w:t>
                  </w:r>
                  <w:r w:rsidR="00356BEA">
                    <w:t xml:space="preserve"> </w:t>
                  </w:r>
                  <w:r>
                    <w:t>connected</w:t>
                  </w:r>
                </w:p>
              </w:tc>
              <w:tc>
                <w:tcPr>
                  <w:tcW w:w="1688" w:type="dxa"/>
                </w:tcPr>
                <w:p w14:paraId="2021F94F" w14:textId="77777777" w:rsidR="00C443A0" w:rsidRDefault="00C443A0" w:rsidP="008D0C3F">
                  <w:pPr>
                    <w:pStyle w:val="tbltext"/>
                    <w:spacing w:before="60" w:after="60" w:line="240" w:lineRule="auto"/>
                    <w:jc w:val="center"/>
                  </w:pPr>
                  <w:r>
                    <w:t>Yes</w:t>
                  </w:r>
                </w:p>
                <w:p w14:paraId="526602C5" w14:textId="77777777" w:rsidR="00C443A0" w:rsidRDefault="00C443A0" w:rsidP="008D0C3F">
                  <w:pPr>
                    <w:pStyle w:val="tbltext"/>
                    <w:spacing w:before="60" w:after="60" w:line="240" w:lineRule="auto"/>
                    <w:jc w:val="center"/>
                  </w:pPr>
                  <w:r>
                    <w:t>No</w:t>
                  </w:r>
                </w:p>
              </w:tc>
              <w:tc>
                <w:tcPr>
                  <w:tcW w:w="1638" w:type="dxa"/>
                </w:tcPr>
                <w:p w14:paraId="2E852CD0" w14:textId="14A3F911" w:rsidR="00C443A0" w:rsidRDefault="00C443A0" w:rsidP="008D0C3F">
                  <w:pPr>
                    <w:pStyle w:val="tbltext"/>
                    <w:spacing w:before="60" w:after="60" w:line="240" w:lineRule="auto"/>
                    <w:jc w:val="center"/>
                  </w:pPr>
                  <w:r>
                    <w:t>x</w:t>
                  </w:r>
                  <w:r w:rsidR="00356BEA">
                    <w:t xml:space="preserve"> </w:t>
                  </w:r>
                  <w:r>
                    <w:t>1.00</w:t>
                  </w:r>
                </w:p>
                <w:p w14:paraId="4614FAF5" w14:textId="38F541EF" w:rsidR="00C443A0" w:rsidRDefault="00C443A0" w:rsidP="008D0C3F">
                  <w:pPr>
                    <w:pStyle w:val="tbltext"/>
                    <w:spacing w:before="60" w:after="60" w:line="240" w:lineRule="auto"/>
                    <w:jc w:val="center"/>
                  </w:pPr>
                  <w:r>
                    <w:t>x</w:t>
                  </w:r>
                  <w:r w:rsidR="00356BEA">
                    <w:t xml:space="preserve"> </w:t>
                  </w:r>
                  <w:r>
                    <w:t>2.00</w:t>
                  </w:r>
                </w:p>
              </w:tc>
            </w:tr>
          </w:tbl>
          <w:p w14:paraId="618D1F25" w14:textId="77777777" w:rsidR="00C443A0" w:rsidRDefault="00C443A0" w:rsidP="008D0C3F">
            <w:pPr>
              <w:pStyle w:val="tbltext"/>
            </w:pPr>
            <w:r>
              <w:t>Assumptions:</w:t>
            </w:r>
          </w:p>
          <w:p w14:paraId="7DF0C92C" w14:textId="56187F23" w:rsidR="00C443A0" w:rsidRDefault="00C443A0" w:rsidP="00940A24">
            <w:pPr>
              <w:pStyle w:val="tbltext"/>
              <w:numPr>
                <w:ilvl w:val="0"/>
                <w:numId w:val="29"/>
              </w:numPr>
              <w:ind w:left="284" w:hanging="284"/>
            </w:pPr>
            <w:r>
              <w:t>Costs decline with scale, breadth and nature of reporting</w:t>
            </w:r>
          </w:p>
          <w:p w14:paraId="19628B0F" w14:textId="1376C367" w:rsidR="00C443A0" w:rsidRPr="000540E1" w:rsidRDefault="00C443A0" w:rsidP="00940A24">
            <w:pPr>
              <w:pStyle w:val="tbltext"/>
              <w:numPr>
                <w:ilvl w:val="0"/>
                <w:numId w:val="29"/>
              </w:numPr>
              <w:ind w:left="284" w:hanging="284"/>
            </w:pPr>
            <w:r>
              <w:t>Costs increase if not internationally</w:t>
            </w:r>
            <w:r w:rsidR="00356BEA">
              <w:t xml:space="preserve"> </w:t>
            </w:r>
            <w:r>
              <w:t>connected as there are no synergies applicable from implementation work related to other jurisdictions</w:t>
            </w:r>
          </w:p>
        </w:tc>
      </w:tr>
      <w:tr w:rsidR="00C443A0" w:rsidRPr="000540E1" w14:paraId="0EA7F997" w14:textId="77777777" w:rsidTr="008D0C3F">
        <w:trPr>
          <w:cantSplit/>
        </w:trPr>
        <w:tc>
          <w:tcPr>
            <w:tcW w:w="0" w:type="auto"/>
          </w:tcPr>
          <w:p w14:paraId="0A912DE5" w14:textId="77777777" w:rsidR="00C443A0" w:rsidRPr="000540E1" w:rsidRDefault="00C443A0" w:rsidP="008D0C3F">
            <w:pPr>
              <w:pStyle w:val="tbltext"/>
            </w:pPr>
            <w:r>
              <w:t>UTI</w:t>
            </w:r>
          </w:p>
        </w:tc>
        <w:tc>
          <w:tcPr>
            <w:tcW w:w="0" w:type="auto"/>
          </w:tcPr>
          <w:p w14:paraId="7E9A665B" w14:textId="16CE9F2A" w:rsidR="00C443A0" w:rsidRDefault="00C443A0" w:rsidP="008D0C3F">
            <w:pPr>
              <w:pStyle w:val="tbltext"/>
            </w:pPr>
            <w:r w:rsidRPr="002D0EB6">
              <w:rPr>
                <w:i/>
                <w:iCs/>
              </w:rPr>
              <w:t>Reference case:</w:t>
            </w:r>
            <w:r>
              <w:t xml:space="preserve"> Large-scale, broad asset classes, self-reporting, internationally</w:t>
            </w:r>
            <w:r w:rsidR="00356BEA">
              <w:t xml:space="preserve"> </w:t>
            </w:r>
            <w:r>
              <w:t>connected, sell-side reporting entity</w:t>
            </w:r>
          </w:p>
          <w:p w14:paraId="0455ABCC" w14:textId="5A15DBCD" w:rsidR="00C443A0" w:rsidRDefault="00C443A0" w:rsidP="008D0C3F">
            <w:pPr>
              <w:pStyle w:val="tbltext"/>
            </w:pPr>
            <w:r w:rsidRPr="002D0EB6">
              <w:rPr>
                <w:i/>
                <w:iCs/>
              </w:rPr>
              <w:t>Upfront effort:</w:t>
            </w:r>
            <w:r>
              <w:t xml:space="preserve"> 0.90 FTE for 1 year, including 0.15 FTE dealing with UTI not</w:t>
            </w:r>
            <w:r w:rsidR="00270EFA">
              <w:t xml:space="preserve"> </w:t>
            </w:r>
            <w:r>
              <w:t>received in first year</w:t>
            </w:r>
          </w:p>
          <w:p w14:paraId="65AC529A" w14:textId="761FBC7A" w:rsidR="00C443A0" w:rsidRPr="002D0EB6" w:rsidRDefault="00C443A0" w:rsidP="008D0C3F">
            <w:pPr>
              <w:pStyle w:val="tbltext"/>
              <w:spacing w:after="120"/>
              <w:rPr>
                <w:i/>
                <w:iCs/>
              </w:rPr>
            </w:pPr>
            <w:r w:rsidRPr="002D0EB6">
              <w:rPr>
                <w:i/>
                <w:iCs/>
              </w:rPr>
              <w:t>Adjustment multiplier factors:</w:t>
            </w:r>
          </w:p>
          <w:tbl>
            <w:tblPr>
              <w:tblStyle w:val="TableGrid"/>
              <w:tblW w:w="0" w:type="auto"/>
              <w:tblInd w:w="284" w:type="dxa"/>
              <w:tblLook w:val="04A0" w:firstRow="1" w:lastRow="0" w:firstColumn="1" w:lastColumn="0" w:noHBand="0" w:noVBand="1"/>
            </w:tblPr>
            <w:tblGrid>
              <w:gridCol w:w="1598"/>
              <w:gridCol w:w="1673"/>
              <w:gridCol w:w="1619"/>
            </w:tblGrid>
            <w:tr w:rsidR="00C443A0" w14:paraId="66BF7CE2" w14:textId="77777777" w:rsidTr="008D0C3F">
              <w:tc>
                <w:tcPr>
                  <w:tcW w:w="1602" w:type="dxa"/>
                </w:tcPr>
                <w:p w14:paraId="1EE9BF34" w14:textId="77777777" w:rsidR="00C443A0" w:rsidRDefault="00C443A0" w:rsidP="008D0C3F">
                  <w:pPr>
                    <w:pStyle w:val="tbltext"/>
                    <w:spacing w:before="60" w:after="60" w:line="240" w:lineRule="auto"/>
                  </w:pPr>
                  <w:r>
                    <w:t>Scale</w:t>
                  </w:r>
                </w:p>
              </w:tc>
              <w:tc>
                <w:tcPr>
                  <w:tcW w:w="1688" w:type="dxa"/>
                </w:tcPr>
                <w:p w14:paraId="0858FEE4" w14:textId="77777777" w:rsidR="00C443A0" w:rsidRDefault="00C443A0" w:rsidP="008D0C3F">
                  <w:pPr>
                    <w:pStyle w:val="tbltext"/>
                    <w:spacing w:before="60" w:after="60" w:line="240" w:lineRule="auto"/>
                    <w:jc w:val="center"/>
                  </w:pPr>
                  <w:r>
                    <w:t>Large</w:t>
                  </w:r>
                </w:p>
                <w:p w14:paraId="593731DD" w14:textId="77777777" w:rsidR="00C443A0" w:rsidRDefault="00C443A0" w:rsidP="008D0C3F">
                  <w:pPr>
                    <w:pStyle w:val="tbltext"/>
                    <w:spacing w:before="60" w:after="60" w:line="240" w:lineRule="auto"/>
                    <w:jc w:val="center"/>
                  </w:pPr>
                  <w:r>
                    <w:t>Medium</w:t>
                  </w:r>
                </w:p>
                <w:p w14:paraId="3580DE9A" w14:textId="77777777" w:rsidR="00C443A0" w:rsidRDefault="00C443A0" w:rsidP="008D0C3F">
                  <w:pPr>
                    <w:pStyle w:val="tbltext"/>
                    <w:spacing w:before="60" w:after="60" w:line="240" w:lineRule="auto"/>
                    <w:jc w:val="center"/>
                  </w:pPr>
                  <w:r>
                    <w:t>Small</w:t>
                  </w:r>
                </w:p>
                <w:p w14:paraId="2BE88254" w14:textId="77777777" w:rsidR="00C443A0" w:rsidRDefault="00C443A0" w:rsidP="008D0C3F">
                  <w:pPr>
                    <w:pStyle w:val="tbltext"/>
                    <w:spacing w:before="60" w:after="60" w:line="240" w:lineRule="auto"/>
                    <w:jc w:val="center"/>
                  </w:pPr>
                  <w:r>
                    <w:t>Very Small</w:t>
                  </w:r>
                </w:p>
              </w:tc>
              <w:tc>
                <w:tcPr>
                  <w:tcW w:w="1638" w:type="dxa"/>
                </w:tcPr>
                <w:p w14:paraId="11DC95D4" w14:textId="5D120D35" w:rsidR="00C443A0" w:rsidRDefault="00C443A0" w:rsidP="008D0C3F">
                  <w:pPr>
                    <w:pStyle w:val="tbltext"/>
                    <w:spacing w:before="60" w:after="60" w:line="240" w:lineRule="auto"/>
                    <w:jc w:val="center"/>
                  </w:pPr>
                  <w:r>
                    <w:t>x</w:t>
                  </w:r>
                  <w:r w:rsidR="00356BEA">
                    <w:t xml:space="preserve"> </w:t>
                  </w:r>
                  <w:r>
                    <w:t>1.00</w:t>
                  </w:r>
                </w:p>
                <w:p w14:paraId="566C9A2A" w14:textId="3F9C00C6" w:rsidR="00C443A0" w:rsidRDefault="00C443A0" w:rsidP="008D0C3F">
                  <w:pPr>
                    <w:pStyle w:val="tbltext"/>
                    <w:spacing w:before="60" w:after="60" w:line="240" w:lineRule="auto"/>
                    <w:jc w:val="center"/>
                  </w:pPr>
                  <w:r>
                    <w:t>x</w:t>
                  </w:r>
                  <w:r w:rsidR="00356BEA">
                    <w:t xml:space="preserve"> </w:t>
                  </w:r>
                  <w:r>
                    <w:t>0.50</w:t>
                  </w:r>
                </w:p>
                <w:p w14:paraId="1F632749" w14:textId="5B705248" w:rsidR="00C443A0" w:rsidRDefault="00C443A0" w:rsidP="008D0C3F">
                  <w:pPr>
                    <w:pStyle w:val="tbltext"/>
                    <w:spacing w:before="60" w:after="60" w:line="240" w:lineRule="auto"/>
                    <w:jc w:val="center"/>
                  </w:pPr>
                  <w:r>
                    <w:t>x</w:t>
                  </w:r>
                  <w:r w:rsidR="00356BEA">
                    <w:t xml:space="preserve"> </w:t>
                  </w:r>
                  <w:r>
                    <w:t>0.25</w:t>
                  </w:r>
                </w:p>
                <w:p w14:paraId="39E6CFD2" w14:textId="2CEA087B" w:rsidR="00C443A0" w:rsidRDefault="00C443A0" w:rsidP="008D0C3F">
                  <w:pPr>
                    <w:pStyle w:val="tbltext"/>
                    <w:spacing w:before="60" w:after="60" w:line="240" w:lineRule="auto"/>
                    <w:jc w:val="center"/>
                  </w:pPr>
                  <w:r>
                    <w:t>x</w:t>
                  </w:r>
                  <w:r w:rsidR="00356BEA">
                    <w:t xml:space="preserve"> </w:t>
                  </w:r>
                  <w:r>
                    <w:t>0.10</w:t>
                  </w:r>
                </w:p>
              </w:tc>
            </w:tr>
            <w:tr w:rsidR="00C443A0" w14:paraId="04C3BB34" w14:textId="77777777" w:rsidTr="008D0C3F">
              <w:tc>
                <w:tcPr>
                  <w:tcW w:w="1602" w:type="dxa"/>
                </w:tcPr>
                <w:p w14:paraId="5B26E2E2" w14:textId="77777777" w:rsidR="00C443A0" w:rsidRDefault="00C443A0" w:rsidP="008D0C3F">
                  <w:pPr>
                    <w:pStyle w:val="tbltext"/>
                    <w:spacing w:before="60" w:after="60" w:line="240" w:lineRule="auto"/>
                  </w:pPr>
                  <w:r>
                    <w:t>Breadth</w:t>
                  </w:r>
                </w:p>
              </w:tc>
              <w:tc>
                <w:tcPr>
                  <w:tcW w:w="1688" w:type="dxa"/>
                </w:tcPr>
                <w:p w14:paraId="7DDAF0CF" w14:textId="77777777" w:rsidR="00C443A0" w:rsidRDefault="00C443A0" w:rsidP="008D0C3F">
                  <w:pPr>
                    <w:pStyle w:val="tbltext"/>
                    <w:spacing w:before="60" w:after="60" w:line="240" w:lineRule="auto"/>
                    <w:jc w:val="center"/>
                  </w:pPr>
                  <w:r>
                    <w:t>n/a</w:t>
                  </w:r>
                </w:p>
              </w:tc>
              <w:tc>
                <w:tcPr>
                  <w:tcW w:w="1638" w:type="dxa"/>
                </w:tcPr>
                <w:p w14:paraId="535526F1" w14:textId="77777777" w:rsidR="00C443A0" w:rsidRDefault="00C443A0" w:rsidP="008D0C3F">
                  <w:pPr>
                    <w:pStyle w:val="tbltext"/>
                    <w:spacing w:before="60" w:after="60" w:line="240" w:lineRule="auto"/>
                    <w:jc w:val="center"/>
                  </w:pPr>
                  <w:r>
                    <w:t>n/a</w:t>
                  </w:r>
                </w:p>
              </w:tc>
            </w:tr>
            <w:tr w:rsidR="00C443A0" w14:paraId="01A14729" w14:textId="77777777" w:rsidTr="008D0C3F">
              <w:tc>
                <w:tcPr>
                  <w:tcW w:w="1602" w:type="dxa"/>
                </w:tcPr>
                <w:p w14:paraId="63F17096" w14:textId="77777777" w:rsidR="00C443A0" w:rsidRDefault="00C443A0" w:rsidP="008D0C3F">
                  <w:pPr>
                    <w:pStyle w:val="tbltext"/>
                    <w:spacing w:before="60" w:after="60" w:line="240" w:lineRule="auto"/>
                  </w:pPr>
                  <w:r>
                    <w:t>Nature of Reporting</w:t>
                  </w:r>
                </w:p>
              </w:tc>
              <w:tc>
                <w:tcPr>
                  <w:tcW w:w="1688" w:type="dxa"/>
                </w:tcPr>
                <w:p w14:paraId="40791B42" w14:textId="77777777" w:rsidR="00C443A0" w:rsidRDefault="00C443A0" w:rsidP="008D0C3F">
                  <w:pPr>
                    <w:pStyle w:val="tbltext"/>
                    <w:spacing w:before="60" w:after="60" w:line="240" w:lineRule="auto"/>
                    <w:jc w:val="center"/>
                  </w:pPr>
                  <w:r>
                    <w:t>n/a</w:t>
                  </w:r>
                </w:p>
              </w:tc>
              <w:tc>
                <w:tcPr>
                  <w:tcW w:w="1638" w:type="dxa"/>
                </w:tcPr>
                <w:p w14:paraId="01179AFB" w14:textId="77777777" w:rsidR="00C443A0" w:rsidRDefault="00C443A0" w:rsidP="008D0C3F">
                  <w:pPr>
                    <w:pStyle w:val="tbltext"/>
                    <w:spacing w:before="60" w:after="60" w:line="240" w:lineRule="auto"/>
                    <w:jc w:val="center"/>
                  </w:pPr>
                  <w:r>
                    <w:t>n/a</w:t>
                  </w:r>
                </w:p>
              </w:tc>
            </w:tr>
            <w:tr w:rsidR="00C443A0" w14:paraId="01E639BC" w14:textId="77777777" w:rsidTr="008D0C3F">
              <w:tc>
                <w:tcPr>
                  <w:tcW w:w="1602" w:type="dxa"/>
                </w:tcPr>
                <w:p w14:paraId="2333974F" w14:textId="139E2523" w:rsidR="00C443A0" w:rsidRDefault="00C443A0" w:rsidP="008D0C3F">
                  <w:pPr>
                    <w:pStyle w:val="tbltext"/>
                    <w:spacing w:before="60" w:after="60" w:line="240" w:lineRule="auto"/>
                  </w:pPr>
                  <w:r>
                    <w:t>Internationally</w:t>
                  </w:r>
                  <w:r w:rsidR="00356BEA">
                    <w:t xml:space="preserve"> </w:t>
                  </w:r>
                  <w:r>
                    <w:t>connected</w:t>
                  </w:r>
                </w:p>
              </w:tc>
              <w:tc>
                <w:tcPr>
                  <w:tcW w:w="1688" w:type="dxa"/>
                </w:tcPr>
                <w:p w14:paraId="0D408582" w14:textId="77777777" w:rsidR="00C443A0" w:rsidRDefault="00C443A0" w:rsidP="008D0C3F">
                  <w:pPr>
                    <w:pStyle w:val="tbltext"/>
                    <w:spacing w:before="60" w:after="60" w:line="240" w:lineRule="auto"/>
                    <w:jc w:val="center"/>
                  </w:pPr>
                  <w:r>
                    <w:t>n/a</w:t>
                  </w:r>
                </w:p>
              </w:tc>
              <w:tc>
                <w:tcPr>
                  <w:tcW w:w="1638" w:type="dxa"/>
                </w:tcPr>
                <w:p w14:paraId="7F4E8235" w14:textId="77777777" w:rsidR="00C443A0" w:rsidRDefault="00C443A0" w:rsidP="008D0C3F">
                  <w:pPr>
                    <w:pStyle w:val="tbltext"/>
                    <w:spacing w:before="60" w:after="60" w:line="240" w:lineRule="auto"/>
                    <w:jc w:val="center"/>
                  </w:pPr>
                  <w:r>
                    <w:t>n/a</w:t>
                  </w:r>
                </w:p>
              </w:tc>
            </w:tr>
            <w:tr w:rsidR="00C443A0" w14:paraId="6159F400" w14:textId="77777777" w:rsidTr="008D0C3F">
              <w:tc>
                <w:tcPr>
                  <w:tcW w:w="1602" w:type="dxa"/>
                </w:tcPr>
                <w:p w14:paraId="78419093" w14:textId="77777777" w:rsidR="00C443A0" w:rsidRDefault="00C443A0" w:rsidP="008D0C3F">
                  <w:pPr>
                    <w:pStyle w:val="tbltext"/>
                    <w:spacing w:before="60" w:after="60" w:line="240" w:lineRule="auto"/>
                  </w:pPr>
                  <w:r>
                    <w:t>Already UTI pairing</w:t>
                  </w:r>
                </w:p>
              </w:tc>
              <w:tc>
                <w:tcPr>
                  <w:tcW w:w="1688" w:type="dxa"/>
                </w:tcPr>
                <w:p w14:paraId="065448DA" w14:textId="77777777" w:rsidR="00C443A0" w:rsidRDefault="00C443A0" w:rsidP="008D0C3F">
                  <w:pPr>
                    <w:pStyle w:val="tbltext"/>
                    <w:spacing w:before="60" w:after="60" w:line="240" w:lineRule="auto"/>
                    <w:jc w:val="center"/>
                  </w:pPr>
                  <w:r>
                    <w:t>Yes</w:t>
                  </w:r>
                </w:p>
                <w:p w14:paraId="6A7B7789" w14:textId="77777777" w:rsidR="00C443A0" w:rsidRDefault="00C443A0" w:rsidP="008D0C3F">
                  <w:pPr>
                    <w:pStyle w:val="tbltext"/>
                    <w:spacing w:before="60" w:after="60" w:line="240" w:lineRule="auto"/>
                    <w:jc w:val="center"/>
                  </w:pPr>
                  <w:r>
                    <w:t>No</w:t>
                  </w:r>
                </w:p>
              </w:tc>
              <w:tc>
                <w:tcPr>
                  <w:tcW w:w="1638" w:type="dxa"/>
                </w:tcPr>
                <w:p w14:paraId="1DA5A048" w14:textId="3997CD1B" w:rsidR="00C443A0" w:rsidRDefault="00C443A0" w:rsidP="008D0C3F">
                  <w:pPr>
                    <w:pStyle w:val="tbltext"/>
                    <w:spacing w:before="60" w:after="60" w:line="240" w:lineRule="auto"/>
                    <w:jc w:val="center"/>
                  </w:pPr>
                  <w:r>
                    <w:t>x</w:t>
                  </w:r>
                  <w:r w:rsidR="00356BEA">
                    <w:t xml:space="preserve"> </w:t>
                  </w:r>
                  <w:r>
                    <w:t>0.50</w:t>
                  </w:r>
                </w:p>
                <w:p w14:paraId="7602B801" w14:textId="13307075" w:rsidR="00C443A0" w:rsidRDefault="00C443A0" w:rsidP="008D0C3F">
                  <w:pPr>
                    <w:pStyle w:val="tbltext"/>
                    <w:spacing w:before="60" w:after="60" w:line="240" w:lineRule="auto"/>
                    <w:jc w:val="center"/>
                  </w:pPr>
                  <w:r>
                    <w:t>x</w:t>
                  </w:r>
                  <w:r w:rsidR="00356BEA">
                    <w:t xml:space="preserve"> </w:t>
                  </w:r>
                  <w:r>
                    <w:t>1.00</w:t>
                  </w:r>
                </w:p>
              </w:tc>
            </w:tr>
            <w:tr w:rsidR="00C443A0" w14:paraId="60266470" w14:textId="77777777" w:rsidTr="008D0C3F">
              <w:tc>
                <w:tcPr>
                  <w:tcW w:w="1602" w:type="dxa"/>
                </w:tcPr>
                <w:p w14:paraId="52F284BB" w14:textId="77777777" w:rsidR="00C443A0" w:rsidRDefault="00C443A0" w:rsidP="008D0C3F">
                  <w:pPr>
                    <w:pStyle w:val="tbltext"/>
                    <w:spacing w:before="60" w:after="60" w:line="240" w:lineRule="auto"/>
                  </w:pPr>
                  <w:r>
                    <w:t>Type of reporting entity</w:t>
                  </w:r>
                </w:p>
              </w:tc>
              <w:tc>
                <w:tcPr>
                  <w:tcW w:w="1688" w:type="dxa"/>
                </w:tcPr>
                <w:p w14:paraId="3CDAE6E1" w14:textId="77777777" w:rsidR="00C443A0" w:rsidRDefault="00C443A0" w:rsidP="008D0C3F">
                  <w:pPr>
                    <w:pStyle w:val="tbltext"/>
                    <w:spacing w:before="60" w:after="60" w:line="240" w:lineRule="auto"/>
                    <w:jc w:val="center"/>
                  </w:pPr>
                  <w:r>
                    <w:t>Sell-side</w:t>
                  </w:r>
                </w:p>
                <w:p w14:paraId="34D823A0" w14:textId="77777777" w:rsidR="00C443A0" w:rsidRDefault="00C443A0" w:rsidP="008D0C3F">
                  <w:pPr>
                    <w:pStyle w:val="tbltext"/>
                    <w:spacing w:before="60" w:after="60" w:line="240" w:lineRule="auto"/>
                    <w:jc w:val="center"/>
                  </w:pPr>
                  <w:r>
                    <w:t>Buy-side</w:t>
                  </w:r>
                </w:p>
              </w:tc>
              <w:tc>
                <w:tcPr>
                  <w:tcW w:w="1638" w:type="dxa"/>
                </w:tcPr>
                <w:p w14:paraId="62DB7B74" w14:textId="51EAD40E" w:rsidR="00C443A0" w:rsidRDefault="00C443A0" w:rsidP="008D0C3F">
                  <w:pPr>
                    <w:pStyle w:val="tbltext"/>
                    <w:spacing w:before="60" w:after="60" w:line="240" w:lineRule="auto"/>
                    <w:jc w:val="center"/>
                  </w:pPr>
                  <w:r>
                    <w:t>x</w:t>
                  </w:r>
                  <w:r w:rsidR="00356BEA">
                    <w:t xml:space="preserve"> </w:t>
                  </w:r>
                  <w:r>
                    <w:t>1.00</w:t>
                  </w:r>
                </w:p>
                <w:p w14:paraId="191BF22D" w14:textId="6BCCCD0F" w:rsidR="00C443A0" w:rsidRDefault="00C443A0" w:rsidP="008D0C3F">
                  <w:pPr>
                    <w:pStyle w:val="tbltext"/>
                    <w:spacing w:before="60" w:after="60" w:line="240" w:lineRule="auto"/>
                    <w:jc w:val="center"/>
                  </w:pPr>
                  <w:r>
                    <w:t>x</w:t>
                  </w:r>
                  <w:r w:rsidR="00356BEA">
                    <w:t xml:space="preserve"> </w:t>
                  </w:r>
                  <w:r>
                    <w:t>0.25</w:t>
                  </w:r>
                </w:p>
              </w:tc>
            </w:tr>
          </w:tbl>
          <w:p w14:paraId="3BE81074" w14:textId="77777777" w:rsidR="00C443A0" w:rsidRDefault="00C443A0" w:rsidP="008D0C3F">
            <w:pPr>
              <w:pStyle w:val="tbltext"/>
            </w:pPr>
            <w:r>
              <w:t>Assumptions:</w:t>
            </w:r>
          </w:p>
          <w:p w14:paraId="50CBFDF8" w14:textId="1F6E5C82" w:rsidR="00C443A0" w:rsidRDefault="00C443A0" w:rsidP="00940A24">
            <w:pPr>
              <w:pStyle w:val="tbltext"/>
              <w:numPr>
                <w:ilvl w:val="0"/>
                <w:numId w:val="29"/>
              </w:numPr>
              <w:ind w:left="284" w:hanging="284"/>
            </w:pPr>
            <w:r>
              <w:t>Costs decline with scale but are unrelated to breadth, nature of reporting or international</w:t>
            </w:r>
            <w:r w:rsidR="00356BEA">
              <w:t xml:space="preserve"> </w:t>
            </w:r>
            <w:r>
              <w:t>connectedness</w:t>
            </w:r>
          </w:p>
          <w:p w14:paraId="3CDAE60A" w14:textId="07F6E04D" w:rsidR="00C443A0" w:rsidRDefault="00C443A0" w:rsidP="00940A24">
            <w:pPr>
              <w:pStyle w:val="tbltext"/>
              <w:numPr>
                <w:ilvl w:val="0"/>
                <w:numId w:val="29"/>
              </w:numPr>
              <w:ind w:left="284" w:hanging="284"/>
            </w:pPr>
            <w:r>
              <w:t>Costs decline if a reporting entity is already pairing UTIs as indicative of an existing UTI transmission and receipt-handling capability</w:t>
            </w:r>
            <w:r w:rsidR="00356BEA">
              <w:rPr>
                <w:rFonts w:ascii="Calibri" w:hAnsi="Calibri"/>
              </w:rPr>
              <w:t>—</w:t>
            </w:r>
            <w:r>
              <w:t>adjustments for the UTI pairers in a reporting entity group are averaged over the whole group</w:t>
            </w:r>
          </w:p>
          <w:p w14:paraId="34B7EA65" w14:textId="250790F0" w:rsidR="00C443A0" w:rsidRPr="000540E1" w:rsidRDefault="00C443A0" w:rsidP="00940A24">
            <w:pPr>
              <w:pStyle w:val="tbltext"/>
              <w:numPr>
                <w:ilvl w:val="0"/>
                <w:numId w:val="29"/>
              </w:numPr>
              <w:ind w:left="284" w:hanging="284"/>
            </w:pPr>
            <w:r>
              <w:t>Costs decline for buy-side entities as they are expected to be commonly receivers of UTIs and uncommonly generators and transmitters of UTIs</w:t>
            </w:r>
          </w:p>
        </w:tc>
      </w:tr>
      <w:tr w:rsidR="00C443A0" w:rsidRPr="000540E1" w14:paraId="40D50A0B" w14:textId="77777777" w:rsidTr="008D0C3F">
        <w:trPr>
          <w:cantSplit/>
        </w:trPr>
        <w:tc>
          <w:tcPr>
            <w:tcW w:w="0" w:type="auto"/>
          </w:tcPr>
          <w:p w14:paraId="5D1EC19D" w14:textId="77777777" w:rsidR="00C443A0" w:rsidRPr="000540E1" w:rsidRDefault="00C443A0" w:rsidP="008D0C3F">
            <w:pPr>
              <w:pStyle w:val="tbltext"/>
            </w:pPr>
            <w:r>
              <w:t>UPI</w:t>
            </w:r>
          </w:p>
        </w:tc>
        <w:tc>
          <w:tcPr>
            <w:tcW w:w="0" w:type="auto"/>
          </w:tcPr>
          <w:p w14:paraId="7FF680DE" w14:textId="4FEAFF6D" w:rsidR="00C443A0" w:rsidRDefault="00C443A0" w:rsidP="008D0C3F">
            <w:pPr>
              <w:pStyle w:val="tbltext"/>
            </w:pPr>
            <w:r w:rsidRPr="002D0EB6">
              <w:rPr>
                <w:i/>
                <w:iCs/>
              </w:rPr>
              <w:t>Reference case:</w:t>
            </w:r>
            <w:r>
              <w:t xml:space="preserve"> Large-scale, broad asset classes, self-reporting, internationally</w:t>
            </w:r>
            <w:r w:rsidR="00356BEA">
              <w:t xml:space="preserve"> </w:t>
            </w:r>
            <w:r>
              <w:t>connected, sell-side reporting entity</w:t>
            </w:r>
          </w:p>
          <w:p w14:paraId="2EBAC6E0" w14:textId="77777777" w:rsidR="00C443A0" w:rsidRDefault="00C443A0" w:rsidP="008D0C3F">
            <w:pPr>
              <w:pStyle w:val="tbltext"/>
            </w:pPr>
            <w:r w:rsidRPr="002D0EB6">
              <w:rPr>
                <w:i/>
                <w:iCs/>
              </w:rPr>
              <w:t>Upfront effort:</w:t>
            </w:r>
            <w:r>
              <w:t xml:space="preserve"> 0.50 FTE for 1 year.</w:t>
            </w:r>
          </w:p>
          <w:p w14:paraId="4E6C4D86" w14:textId="3A8E907A" w:rsidR="00C443A0" w:rsidRPr="002D0EB6" w:rsidRDefault="00C443A0" w:rsidP="008D0C3F">
            <w:pPr>
              <w:pStyle w:val="tbltext"/>
              <w:spacing w:after="120"/>
              <w:rPr>
                <w:i/>
                <w:iCs/>
              </w:rPr>
            </w:pPr>
            <w:r w:rsidRPr="002D0EB6">
              <w:rPr>
                <w:i/>
                <w:iCs/>
              </w:rPr>
              <w:t>Adjustment multiplier or additive factors:</w:t>
            </w:r>
          </w:p>
          <w:tbl>
            <w:tblPr>
              <w:tblStyle w:val="TableGrid"/>
              <w:tblW w:w="0" w:type="auto"/>
              <w:tblInd w:w="284" w:type="dxa"/>
              <w:tblLook w:val="04A0" w:firstRow="1" w:lastRow="0" w:firstColumn="1" w:lastColumn="0" w:noHBand="0" w:noVBand="1"/>
            </w:tblPr>
            <w:tblGrid>
              <w:gridCol w:w="1596"/>
              <w:gridCol w:w="1671"/>
              <w:gridCol w:w="1623"/>
            </w:tblGrid>
            <w:tr w:rsidR="00C443A0" w14:paraId="4620DA96" w14:textId="77777777" w:rsidTr="008D0C3F">
              <w:tc>
                <w:tcPr>
                  <w:tcW w:w="1602" w:type="dxa"/>
                </w:tcPr>
                <w:p w14:paraId="2BE6F8D4" w14:textId="77777777" w:rsidR="00C443A0" w:rsidRDefault="00C443A0" w:rsidP="008D0C3F">
                  <w:pPr>
                    <w:pStyle w:val="tbltext"/>
                    <w:spacing w:before="60" w:after="60" w:line="240" w:lineRule="auto"/>
                  </w:pPr>
                  <w:r>
                    <w:t>Scale</w:t>
                  </w:r>
                </w:p>
              </w:tc>
              <w:tc>
                <w:tcPr>
                  <w:tcW w:w="1688" w:type="dxa"/>
                </w:tcPr>
                <w:p w14:paraId="56E4AD1D" w14:textId="77777777" w:rsidR="00C443A0" w:rsidRDefault="00C443A0" w:rsidP="008D0C3F">
                  <w:pPr>
                    <w:pStyle w:val="tbltext"/>
                    <w:spacing w:before="60" w:after="60" w:line="240" w:lineRule="auto"/>
                    <w:jc w:val="center"/>
                  </w:pPr>
                  <w:r>
                    <w:t>Large</w:t>
                  </w:r>
                </w:p>
                <w:p w14:paraId="1DD2120C" w14:textId="77777777" w:rsidR="00C443A0" w:rsidRDefault="00C443A0" w:rsidP="008D0C3F">
                  <w:pPr>
                    <w:pStyle w:val="tbltext"/>
                    <w:spacing w:before="60" w:after="60" w:line="240" w:lineRule="auto"/>
                    <w:jc w:val="center"/>
                  </w:pPr>
                  <w:r>
                    <w:t>Medium</w:t>
                  </w:r>
                </w:p>
                <w:p w14:paraId="1F0B080A" w14:textId="77777777" w:rsidR="00C443A0" w:rsidRDefault="00C443A0" w:rsidP="008D0C3F">
                  <w:pPr>
                    <w:pStyle w:val="tbltext"/>
                    <w:spacing w:before="60" w:after="60" w:line="240" w:lineRule="auto"/>
                    <w:jc w:val="center"/>
                  </w:pPr>
                  <w:r>
                    <w:t>Small</w:t>
                  </w:r>
                </w:p>
                <w:p w14:paraId="05402B86" w14:textId="77777777" w:rsidR="00C443A0" w:rsidRDefault="00C443A0" w:rsidP="008D0C3F">
                  <w:pPr>
                    <w:pStyle w:val="tbltext"/>
                    <w:spacing w:before="60" w:after="60" w:line="240" w:lineRule="auto"/>
                    <w:jc w:val="center"/>
                  </w:pPr>
                  <w:r>
                    <w:t>Very Small</w:t>
                  </w:r>
                </w:p>
              </w:tc>
              <w:tc>
                <w:tcPr>
                  <w:tcW w:w="1638" w:type="dxa"/>
                </w:tcPr>
                <w:p w14:paraId="09D25686" w14:textId="475C218D" w:rsidR="00C443A0" w:rsidRDefault="00C443A0" w:rsidP="008D0C3F">
                  <w:pPr>
                    <w:pStyle w:val="tbltext"/>
                    <w:spacing w:before="60" w:after="60" w:line="240" w:lineRule="auto"/>
                    <w:jc w:val="center"/>
                  </w:pPr>
                  <w:r>
                    <w:t>x</w:t>
                  </w:r>
                  <w:r w:rsidR="00356BEA">
                    <w:t xml:space="preserve"> </w:t>
                  </w:r>
                  <w:r>
                    <w:t>1.00</w:t>
                  </w:r>
                </w:p>
                <w:p w14:paraId="654E17E9" w14:textId="3F2DD81C" w:rsidR="00C443A0" w:rsidRDefault="00C443A0" w:rsidP="008D0C3F">
                  <w:pPr>
                    <w:pStyle w:val="tbltext"/>
                    <w:spacing w:before="60" w:after="60" w:line="240" w:lineRule="auto"/>
                    <w:jc w:val="center"/>
                  </w:pPr>
                  <w:r>
                    <w:t>x</w:t>
                  </w:r>
                  <w:r w:rsidR="00356BEA">
                    <w:t xml:space="preserve"> </w:t>
                  </w:r>
                  <w:r>
                    <w:t>0.50</w:t>
                  </w:r>
                </w:p>
                <w:p w14:paraId="7FF83F8D" w14:textId="658642EC" w:rsidR="00C443A0" w:rsidRDefault="00C443A0" w:rsidP="008D0C3F">
                  <w:pPr>
                    <w:pStyle w:val="tbltext"/>
                    <w:spacing w:before="60" w:after="60" w:line="240" w:lineRule="auto"/>
                    <w:jc w:val="center"/>
                  </w:pPr>
                  <w:r>
                    <w:t>x</w:t>
                  </w:r>
                  <w:r w:rsidR="00356BEA">
                    <w:t xml:space="preserve"> </w:t>
                  </w:r>
                  <w:r>
                    <w:t>0.25</w:t>
                  </w:r>
                </w:p>
                <w:p w14:paraId="71AAF25D" w14:textId="57942CEB" w:rsidR="00C443A0" w:rsidRDefault="00C443A0" w:rsidP="008D0C3F">
                  <w:pPr>
                    <w:pStyle w:val="tbltext"/>
                    <w:spacing w:before="60" w:after="60" w:line="240" w:lineRule="auto"/>
                    <w:jc w:val="center"/>
                  </w:pPr>
                  <w:r>
                    <w:t>x</w:t>
                  </w:r>
                  <w:r w:rsidR="00356BEA">
                    <w:t xml:space="preserve"> </w:t>
                  </w:r>
                  <w:r>
                    <w:t>0.10</w:t>
                  </w:r>
                </w:p>
              </w:tc>
            </w:tr>
            <w:tr w:rsidR="00C443A0" w14:paraId="2340AEF0" w14:textId="77777777" w:rsidTr="008D0C3F">
              <w:tc>
                <w:tcPr>
                  <w:tcW w:w="1602" w:type="dxa"/>
                </w:tcPr>
                <w:p w14:paraId="756E8F9F" w14:textId="77777777" w:rsidR="00C443A0" w:rsidRDefault="00C443A0" w:rsidP="008D0C3F">
                  <w:pPr>
                    <w:pStyle w:val="tbltext"/>
                    <w:spacing w:before="60" w:after="60" w:line="240" w:lineRule="auto"/>
                  </w:pPr>
                  <w:r>
                    <w:t>Breadth</w:t>
                  </w:r>
                  <w:r>
                    <w:br/>
                    <w:t>(proxied by UPI user fees)</w:t>
                  </w:r>
                </w:p>
              </w:tc>
              <w:tc>
                <w:tcPr>
                  <w:tcW w:w="1688" w:type="dxa"/>
                </w:tcPr>
                <w:p w14:paraId="2D88AC84" w14:textId="77777777" w:rsidR="00C443A0" w:rsidRDefault="00C443A0" w:rsidP="008D0C3F">
                  <w:pPr>
                    <w:pStyle w:val="tbltext"/>
                    <w:spacing w:before="60" w:after="60" w:line="240" w:lineRule="auto"/>
                    <w:jc w:val="center"/>
                  </w:pPr>
                  <w:r>
                    <w:t>Large scale</w:t>
                  </w:r>
                </w:p>
                <w:p w14:paraId="6F4F1134" w14:textId="77777777" w:rsidR="00C443A0" w:rsidRDefault="00C443A0" w:rsidP="008D0C3F">
                  <w:pPr>
                    <w:pStyle w:val="tbltext"/>
                    <w:spacing w:before="60" w:after="60" w:line="240" w:lineRule="auto"/>
                    <w:jc w:val="center"/>
                  </w:pPr>
                  <w:r>
                    <w:t>Medium scale</w:t>
                  </w:r>
                </w:p>
                <w:p w14:paraId="4753DC25" w14:textId="77777777" w:rsidR="00C443A0" w:rsidRDefault="00C443A0" w:rsidP="008D0C3F">
                  <w:pPr>
                    <w:pStyle w:val="tbltext"/>
                    <w:spacing w:before="60" w:after="60" w:line="240" w:lineRule="auto"/>
                    <w:jc w:val="center"/>
                  </w:pPr>
                  <w:r>
                    <w:t>Small scale</w:t>
                  </w:r>
                </w:p>
                <w:p w14:paraId="773152C7" w14:textId="77777777" w:rsidR="00C443A0" w:rsidRDefault="00C443A0" w:rsidP="008D0C3F">
                  <w:pPr>
                    <w:pStyle w:val="tbltext"/>
                    <w:spacing w:before="60" w:after="60" w:line="240" w:lineRule="auto"/>
                    <w:jc w:val="center"/>
                  </w:pPr>
                  <w:r>
                    <w:t>Very Small scale</w:t>
                  </w:r>
                </w:p>
              </w:tc>
              <w:tc>
                <w:tcPr>
                  <w:tcW w:w="1638" w:type="dxa"/>
                </w:tcPr>
                <w:p w14:paraId="3A41863E" w14:textId="77777777" w:rsidR="00C443A0" w:rsidRDefault="00C443A0" w:rsidP="008D0C3F">
                  <w:pPr>
                    <w:pStyle w:val="tbltext"/>
                    <w:spacing w:before="60" w:after="60" w:line="240" w:lineRule="auto"/>
                    <w:jc w:val="center"/>
                  </w:pPr>
                  <w:r>
                    <w:t>A$8,382 pa</w:t>
                  </w:r>
                </w:p>
                <w:p w14:paraId="7EC7CC5D" w14:textId="77777777" w:rsidR="00C443A0" w:rsidRDefault="00C443A0" w:rsidP="008D0C3F">
                  <w:pPr>
                    <w:pStyle w:val="tbltext"/>
                    <w:spacing w:before="60" w:after="60" w:line="240" w:lineRule="auto"/>
                    <w:jc w:val="center"/>
                  </w:pPr>
                  <w:r>
                    <w:t>A$2,500 pa</w:t>
                  </w:r>
                </w:p>
                <w:p w14:paraId="51F815CD" w14:textId="77777777" w:rsidR="00C443A0" w:rsidRDefault="00C443A0" w:rsidP="008D0C3F">
                  <w:pPr>
                    <w:pStyle w:val="tbltext"/>
                    <w:spacing w:before="60" w:after="60" w:line="240" w:lineRule="auto"/>
                    <w:jc w:val="center"/>
                  </w:pPr>
                  <w:r>
                    <w:t>A$nil</w:t>
                  </w:r>
                </w:p>
                <w:p w14:paraId="356949CB" w14:textId="77777777" w:rsidR="00C443A0" w:rsidRDefault="00C443A0" w:rsidP="008D0C3F">
                  <w:pPr>
                    <w:pStyle w:val="tbltext"/>
                    <w:spacing w:before="60" w:after="60" w:line="240" w:lineRule="auto"/>
                    <w:jc w:val="center"/>
                  </w:pPr>
                  <w:r>
                    <w:t>A$nil</w:t>
                  </w:r>
                </w:p>
              </w:tc>
            </w:tr>
            <w:tr w:rsidR="00C443A0" w14:paraId="19A59E14" w14:textId="77777777" w:rsidTr="008D0C3F">
              <w:tc>
                <w:tcPr>
                  <w:tcW w:w="1602" w:type="dxa"/>
                </w:tcPr>
                <w:p w14:paraId="0383FDE4" w14:textId="77777777" w:rsidR="00C443A0" w:rsidRDefault="00C443A0" w:rsidP="008D0C3F">
                  <w:pPr>
                    <w:pStyle w:val="tbltext"/>
                    <w:spacing w:before="60" w:after="60" w:line="240" w:lineRule="auto"/>
                  </w:pPr>
                  <w:r>
                    <w:t>Nature of Reporting</w:t>
                  </w:r>
                </w:p>
              </w:tc>
              <w:tc>
                <w:tcPr>
                  <w:tcW w:w="1688" w:type="dxa"/>
                </w:tcPr>
                <w:p w14:paraId="79AFB8FD" w14:textId="77777777" w:rsidR="00C443A0" w:rsidRDefault="00C443A0" w:rsidP="008D0C3F">
                  <w:pPr>
                    <w:pStyle w:val="tbltext"/>
                    <w:spacing w:before="60" w:after="60" w:line="240" w:lineRule="auto"/>
                    <w:jc w:val="center"/>
                  </w:pPr>
                  <w:r>
                    <w:t>n/a</w:t>
                  </w:r>
                </w:p>
              </w:tc>
              <w:tc>
                <w:tcPr>
                  <w:tcW w:w="1638" w:type="dxa"/>
                </w:tcPr>
                <w:p w14:paraId="6558C5B5" w14:textId="77777777" w:rsidR="00C443A0" w:rsidRDefault="00C443A0" w:rsidP="008D0C3F">
                  <w:pPr>
                    <w:pStyle w:val="tbltext"/>
                    <w:spacing w:before="60" w:after="60" w:line="240" w:lineRule="auto"/>
                    <w:jc w:val="center"/>
                  </w:pPr>
                  <w:r>
                    <w:t>n/a</w:t>
                  </w:r>
                </w:p>
              </w:tc>
            </w:tr>
            <w:tr w:rsidR="00C443A0" w14:paraId="45986FBC" w14:textId="77777777" w:rsidTr="008D0C3F">
              <w:tc>
                <w:tcPr>
                  <w:tcW w:w="1602" w:type="dxa"/>
                </w:tcPr>
                <w:p w14:paraId="01AE1945" w14:textId="0555D4FD" w:rsidR="00C443A0" w:rsidRDefault="00C443A0" w:rsidP="008D0C3F">
                  <w:pPr>
                    <w:pStyle w:val="tbltext"/>
                    <w:spacing w:before="60" w:after="60" w:line="240" w:lineRule="auto"/>
                  </w:pPr>
                  <w:r>
                    <w:t>Internationally</w:t>
                  </w:r>
                  <w:r w:rsidR="00356BEA">
                    <w:t xml:space="preserve"> </w:t>
                  </w:r>
                  <w:r>
                    <w:t>connected</w:t>
                  </w:r>
                </w:p>
              </w:tc>
              <w:tc>
                <w:tcPr>
                  <w:tcW w:w="1688" w:type="dxa"/>
                </w:tcPr>
                <w:p w14:paraId="0F0C21CB" w14:textId="77777777" w:rsidR="00C443A0" w:rsidRDefault="00C443A0" w:rsidP="008D0C3F">
                  <w:pPr>
                    <w:pStyle w:val="tbltext"/>
                    <w:spacing w:before="60" w:after="60" w:line="240" w:lineRule="auto"/>
                    <w:jc w:val="center"/>
                  </w:pPr>
                  <w:r>
                    <w:t>n/a</w:t>
                  </w:r>
                </w:p>
              </w:tc>
              <w:tc>
                <w:tcPr>
                  <w:tcW w:w="1638" w:type="dxa"/>
                </w:tcPr>
                <w:p w14:paraId="5F79254A" w14:textId="77777777" w:rsidR="00C443A0" w:rsidRDefault="00C443A0" w:rsidP="008D0C3F">
                  <w:pPr>
                    <w:pStyle w:val="tbltext"/>
                    <w:spacing w:before="60" w:after="60" w:line="240" w:lineRule="auto"/>
                    <w:jc w:val="center"/>
                  </w:pPr>
                  <w:r>
                    <w:t>n/a</w:t>
                  </w:r>
                </w:p>
              </w:tc>
            </w:tr>
            <w:tr w:rsidR="00C443A0" w14:paraId="60604032" w14:textId="77777777" w:rsidTr="008D0C3F">
              <w:tc>
                <w:tcPr>
                  <w:tcW w:w="1602" w:type="dxa"/>
                </w:tcPr>
                <w:p w14:paraId="04034FB3" w14:textId="77777777" w:rsidR="00C443A0" w:rsidRDefault="00C443A0" w:rsidP="008D0C3F">
                  <w:pPr>
                    <w:pStyle w:val="tbltext"/>
                    <w:spacing w:before="60" w:after="60" w:line="240" w:lineRule="auto"/>
                  </w:pPr>
                  <w:r>
                    <w:t>Already UTI pairing</w:t>
                  </w:r>
                </w:p>
              </w:tc>
              <w:tc>
                <w:tcPr>
                  <w:tcW w:w="1688" w:type="dxa"/>
                </w:tcPr>
                <w:p w14:paraId="0E1535AF" w14:textId="77777777" w:rsidR="00C443A0" w:rsidRDefault="00C443A0" w:rsidP="008D0C3F">
                  <w:pPr>
                    <w:pStyle w:val="tbltext"/>
                    <w:spacing w:before="60" w:after="60" w:line="240" w:lineRule="auto"/>
                    <w:jc w:val="center"/>
                  </w:pPr>
                  <w:r>
                    <w:t>Yes</w:t>
                  </w:r>
                </w:p>
                <w:p w14:paraId="5EB94221" w14:textId="77777777" w:rsidR="00C443A0" w:rsidRDefault="00C443A0" w:rsidP="008D0C3F">
                  <w:pPr>
                    <w:pStyle w:val="tbltext"/>
                    <w:spacing w:before="60" w:after="60" w:line="240" w:lineRule="auto"/>
                    <w:jc w:val="center"/>
                  </w:pPr>
                  <w:r>
                    <w:t>No</w:t>
                  </w:r>
                </w:p>
              </w:tc>
              <w:tc>
                <w:tcPr>
                  <w:tcW w:w="1638" w:type="dxa"/>
                </w:tcPr>
                <w:p w14:paraId="042AD7BD" w14:textId="18E492A5" w:rsidR="00C443A0" w:rsidRDefault="00C443A0" w:rsidP="008D0C3F">
                  <w:pPr>
                    <w:pStyle w:val="tbltext"/>
                    <w:spacing w:before="60" w:after="60" w:line="240" w:lineRule="auto"/>
                    <w:jc w:val="center"/>
                  </w:pPr>
                  <w:r>
                    <w:t>x</w:t>
                  </w:r>
                  <w:r w:rsidR="00356BEA">
                    <w:t xml:space="preserve"> </w:t>
                  </w:r>
                  <w:r>
                    <w:t>0.50</w:t>
                  </w:r>
                </w:p>
                <w:p w14:paraId="7AA328C6" w14:textId="72082563" w:rsidR="00C443A0" w:rsidRDefault="00C443A0" w:rsidP="008D0C3F">
                  <w:pPr>
                    <w:pStyle w:val="tbltext"/>
                    <w:spacing w:before="60" w:after="60" w:line="240" w:lineRule="auto"/>
                    <w:jc w:val="center"/>
                  </w:pPr>
                  <w:r>
                    <w:t>x</w:t>
                  </w:r>
                  <w:r w:rsidR="00356BEA">
                    <w:t xml:space="preserve"> </w:t>
                  </w:r>
                  <w:r>
                    <w:t>1.00</w:t>
                  </w:r>
                </w:p>
              </w:tc>
            </w:tr>
            <w:tr w:rsidR="00C443A0" w14:paraId="43910253" w14:textId="77777777" w:rsidTr="008D0C3F">
              <w:tc>
                <w:tcPr>
                  <w:tcW w:w="1602" w:type="dxa"/>
                </w:tcPr>
                <w:p w14:paraId="678B9933" w14:textId="77777777" w:rsidR="00C443A0" w:rsidRDefault="00C443A0" w:rsidP="008D0C3F">
                  <w:pPr>
                    <w:pStyle w:val="tbltext"/>
                    <w:spacing w:before="60" w:after="60" w:line="240" w:lineRule="auto"/>
                  </w:pPr>
                  <w:r>
                    <w:t>Type of reporting entity</w:t>
                  </w:r>
                </w:p>
              </w:tc>
              <w:tc>
                <w:tcPr>
                  <w:tcW w:w="1688" w:type="dxa"/>
                </w:tcPr>
                <w:p w14:paraId="71812DF7" w14:textId="77777777" w:rsidR="00C443A0" w:rsidRDefault="00C443A0" w:rsidP="008D0C3F">
                  <w:pPr>
                    <w:pStyle w:val="tbltext"/>
                    <w:spacing w:before="60" w:after="60" w:line="240" w:lineRule="auto"/>
                    <w:jc w:val="center"/>
                  </w:pPr>
                  <w:r>
                    <w:t>Sell-side</w:t>
                  </w:r>
                </w:p>
                <w:p w14:paraId="03CD40EA" w14:textId="77777777" w:rsidR="00C443A0" w:rsidRDefault="00C443A0" w:rsidP="008D0C3F">
                  <w:pPr>
                    <w:pStyle w:val="tbltext"/>
                    <w:spacing w:before="60" w:after="60" w:line="240" w:lineRule="auto"/>
                    <w:jc w:val="center"/>
                  </w:pPr>
                  <w:r>
                    <w:t>Buy-side</w:t>
                  </w:r>
                </w:p>
              </w:tc>
              <w:tc>
                <w:tcPr>
                  <w:tcW w:w="1638" w:type="dxa"/>
                </w:tcPr>
                <w:p w14:paraId="743FFEF0" w14:textId="3C1AFDBD" w:rsidR="00C443A0" w:rsidRDefault="00C443A0" w:rsidP="008D0C3F">
                  <w:pPr>
                    <w:pStyle w:val="tbltext"/>
                    <w:spacing w:before="60" w:after="60" w:line="240" w:lineRule="auto"/>
                    <w:jc w:val="center"/>
                  </w:pPr>
                  <w:r>
                    <w:t>x</w:t>
                  </w:r>
                  <w:r w:rsidR="00356BEA">
                    <w:t xml:space="preserve"> </w:t>
                  </w:r>
                  <w:r>
                    <w:t>1.00</w:t>
                  </w:r>
                </w:p>
                <w:p w14:paraId="5624244A" w14:textId="4F91ABD8" w:rsidR="00C443A0" w:rsidRDefault="00C443A0" w:rsidP="008D0C3F">
                  <w:pPr>
                    <w:pStyle w:val="tbltext"/>
                    <w:spacing w:before="60" w:after="60" w:line="240" w:lineRule="auto"/>
                    <w:jc w:val="center"/>
                  </w:pPr>
                  <w:r>
                    <w:t>x</w:t>
                  </w:r>
                  <w:r w:rsidR="00356BEA">
                    <w:t xml:space="preserve"> </w:t>
                  </w:r>
                  <w:r>
                    <w:t>0.25</w:t>
                  </w:r>
                </w:p>
              </w:tc>
            </w:tr>
          </w:tbl>
          <w:p w14:paraId="2D130305" w14:textId="77777777" w:rsidR="00C443A0" w:rsidRDefault="00C443A0" w:rsidP="008D0C3F">
            <w:pPr>
              <w:pStyle w:val="tbltext"/>
            </w:pPr>
            <w:r>
              <w:t>Assumptions:</w:t>
            </w:r>
          </w:p>
          <w:p w14:paraId="4D679AA0" w14:textId="397D8718" w:rsidR="00C443A0" w:rsidRDefault="00C443A0" w:rsidP="00940A24">
            <w:pPr>
              <w:pStyle w:val="tbltext"/>
              <w:numPr>
                <w:ilvl w:val="0"/>
                <w:numId w:val="29"/>
              </w:numPr>
              <w:ind w:left="284" w:hanging="284"/>
            </w:pPr>
            <w:r>
              <w:t>Costs decline with scale but are unrelated to the nature of reporting or international</w:t>
            </w:r>
            <w:r w:rsidR="00A1619D">
              <w:t xml:space="preserve"> </w:t>
            </w:r>
            <w:r>
              <w:t>connectedness</w:t>
            </w:r>
          </w:p>
          <w:p w14:paraId="1AA3D4BA" w14:textId="7BF5E7F3" w:rsidR="00C443A0" w:rsidRDefault="00C443A0" w:rsidP="00940A24">
            <w:pPr>
              <w:pStyle w:val="tbltext"/>
              <w:numPr>
                <w:ilvl w:val="0"/>
                <w:numId w:val="29"/>
              </w:numPr>
              <w:ind w:left="284" w:hanging="284"/>
            </w:pPr>
            <w:r>
              <w:t>Costs are related to breadth of asset class reporting and the need to handle many UPIs</w:t>
            </w:r>
            <w:r w:rsidR="00A1619D">
              <w:rPr>
                <w:rFonts w:ascii="Calibri" w:hAnsi="Calibri"/>
              </w:rPr>
              <w:t>—</w:t>
            </w:r>
            <w:r>
              <w:t>this is proxied by assuming that large scale reporting entities will be UPI ‘Power’ users and medium</w:t>
            </w:r>
            <w:r w:rsidR="00A1619D">
              <w:t>-</w:t>
            </w:r>
            <w:r>
              <w:t xml:space="preserve">scale reporting entities will be UPI ‘Standard’ users, with user fees as DSB’s illustrative fees: see </w:t>
            </w:r>
            <w:r>
              <w:fldChar w:fldCharType="begin" w:fldLock="1"/>
            </w:r>
            <w:r>
              <w:instrText xml:space="preserve"> REF _Ref92370104 \h </w:instrText>
            </w:r>
            <w:r>
              <w:fldChar w:fldCharType="separate"/>
            </w:r>
            <w:r w:rsidR="00853A2A">
              <w:t xml:space="preserve">Table </w:t>
            </w:r>
            <w:r w:rsidR="00853A2A">
              <w:rPr>
                <w:noProof/>
              </w:rPr>
              <w:t>19</w:t>
            </w:r>
            <w:r>
              <w:fldChar w:fldCharType="end"/>
            </w:r>
          </w:p>
          <w:p w14:paraId="1A24ACEE" w14:textId="59211A6F" w:rsidR="00C443A0" w:rsidRPr="00302B20" w:rsidRDefault="00C443A0" w:rsidP="008D0C3F">
            <w:pPr>
              <w:pStyle w:val="tbltext"/>
              <w:spacing w:before="60"/>
              <w:ind w:left="567"/>
              <w:rPr>
                <w:sz w:val="16"/>
                <w:szCs w:val="16"/>
              </w:rPr>
            </w:pPr>
            <w:r>
              <w:rPr>
                <w:sz w:val="16"/>
                <w:szCs w:val="16"/>
              </w:rPr>
              <w:t>Note: This conservatively disregards that UPI handling costs for multi-jurisdictional reporters are more properly multi-jurisdictional costs and marginal ASIC reporting cost assumptions should be reduced</w:t>
            </w:r>
          </w:p>
          <w:p w14:paraId="0C0AD346" w14:textId="65FFF7FA" w:rsidR="00C443A0" w:rsidRDefault="00C443A0" w:rsidP="00940A24">
            <w:pPr>
              <w:pStyle w:val="tbltext"/>
              <w:numPr>
                <w:ilvl w:val="0"/>
                <w:numId w:val="29"/>
              </w:numPr>
              <w:ind w:left="284" w:hanging="284"/>
            </w:pPr>
            <w:r>
              <w:t xml:space="preserve">Costs decline if a reporting entity is already pairing </w:t>
            </w:r>
            <w:r w:rsidRPr="002D0EB6">
              <w:rPr>
                <w:i/>
                <w:iCs/>
              </w:rPr>
              <w:t>UTIs</w:t>
            </w:r>
            <w:r>
              <w:t xml:space="preserve"> as indicative of an existing </w:t>
            </w:r>
            <w:r w:rsidRPr="002D0EB6">
              <w:rPr>
                <w:i/>
                <w:iCs/>
              </w:rPr>
              <w:t>UTI</w:t>
            </w:r>
            <w:r>
              <w:t xml:space="preserve"> transmission and receipt-handling capability that may be adapted as a </w:t>
            </w:r>
            <w:r w:rsidRPr="002D0EB6">
              <w:rPr>
                <w:i/>
                <w:iCs/>
              </w:rPr>
              <w:t>UPI</w:t>
            </w:r>
            <w:r>
              <w:t xml:space="preserve"> receipt-handling capability</w:t>
            </w:r>
          </w:p>
          <w:p w14:paraId="1657C95F" w14:textId="27D921FD" w:rsidR="00C443A0" w:rsidRPr="000540E1" w:rsidRDefault="00C443A0" w:rsidP="00940A24">
            <w:pPr>
              <w:pStyle w:val="tbltext"/>
              <w:numPr>
                <w:ilvl w:val="0"/>
                <w:numId w:val="29"/>
              </w:numPr>
              <w:ind w:left="284" w:hanging="284"/>
            </w:pPr>
            <w:r>
              <w:t>Costs decline for buy-side entities as they are expected to be commonly receivers of UPIs and uncommonly creators and transmitters of UTIs</w:t>
            </w:r>
          </w:p>
        </w:tc>
      </w:tr>
      <w:tr w:rsidR="00C443A0" w:rsidRPr="000540E1" w14:paraId="51707957" w14:textId="77777777" w:rsidTr="008D0C3F">
        <w:trPr>
          <w:cantSplit/>
        </w:trPr>
        <w:tc>
          <w:tcPr>
            <w:tcW w:w="0" w:type="auto"/>
          </w:tcPr>
          <w:p w14:paraId="47EF1B3E" w14:textId="77777777" w:rsidR="00C443A0" w:rsidRPr="000540E1" w:rsidRDefault="00C443A0" w:rsidP="008D0C3F">
            <w:pPr>
              <w:pStyle w:val="tbltext"/>
            </w:pPr>
            <w:r>
              <w:t>LEI</w:t>
            </w:r>
          </w:p>
        </w:tc>
        <w:tc>
          <w:tcPr>
            <w:tcW w:w="0" w:type="auto"/>
          </w:tcPr>
          <w:p w14:paraId="3AF4EBCC" w14:textId="77777777" w:rsidR="00C443A0" w:rsidRDefault="00C443A0" w:rsidP="008D0C3F">
            <w:pPr>
              <w:pStyle w:val="tbltext"/>
            </w:pPr>
            <w:r w:rsidRPr="002D0EB6">
              <w:rPr>
                <w:i/>
                <w:iCs/>
              </w:rPr>
              <w:t>Reference case:</w:t>
            </w:r>
            <w:r>
              <w:t xml:space="preserve"> Reporting entity reporting &gt; 250 unique AVOX IDs.</w:t>
            </w:r>
          </w:p>
          <w:p w14:paraId="6106B584" w14:textId="77777777" w:rsidR="00C443A0" w:rsidRDefault="00C443A0" w:rsidP="008D0C3F">
            <w:pPr>
              <w:pStyle w:val="tbltext"/>
            </w:pPr>
            <w:r w:rsidRPr="002D0EB6">
              <w:rPr>
                <w:i/>
                <w:iCs/>
              </w:rPr>
              <w:t>Upfront effort:</w:t>
            </w:r>
            <w:r>
              <w:t xml:space="preserve"> 0.50 FTE for 1 year.</w:t>
            </w:r>
          </w:p>
          <w:p w14:paraId="596E82EF" w14:textId="0A49716A" w:rsidR="00C443A0" w:rsidRPr="00791C0B" w:rsidRDefault="00C443A0" w:rsidP="008D0C3F">
            <w:pPr>
              <w:pStyle w:val="tbltext"/>
              <w:spacing w:after="120"/>
              <w:rPr>
                <w:i/>
                <w:iCs/>
              </w:rPr>
            </w:pPr>
            <w:r w:rsidRPr="00791C0B">
              <w:rPr>
                <w:i/>
                <w:iCs/>
              </w:rPr>
              <w:t>Adjustment multiplier or additive factors:</w:t>
            </w:r>
          </w:p>
          <w:tbl>
            <w:tblPr>
              <w:tblStyle w:val="TableGrid"/>
              <w:tblW w:w="4890" w:type="dxa"/>
              <w:tblInd w:w="284" w:type="dxa"/>
              <w:tblLook w:val="04A0" w:firstRow="1" w:lastRow="0" w:firstColumn="1" w:lastColumn="0" w:noHBand="0" w:noVBand="1"/>
            </w:tblPr>
            <w:tblGrid>
              <w:gridCol w:w="1602"/>
              <w:gridCol w:w="1814"/>
              <w:gridCol w:w="1474"/>
            </w:tblGrid>
            <w:tr w:rsidR="00C443A0" w14:paraId="10253511" w14:textId="77777777" w:rsidTr="008D0C3F">
              <w:tc>
                <w:tcPr>
                  <w:tcW w:w="1602" w:type="dxa"/>
                </w:tcPr>
                <w:p w14:paraId="7FA1FFEF" w14:textId="77777777" w:rsidR="00C443A0" w:rsidRDefault="00C443A0" w:rsidP="008D0C3F">
                  <w:pPr>
                    <w:pStyle w:val="tbltext"/>
                    <w:spacing w:before="60" w:after="60" w:line="240" w:lineRule="auto"/>
                  </w:pPr>
                  <w:r>
                    <w:t>Scale of AVOX ID reporting</w:t>
                  </w:r>
                </w:p>
              </w:tc>
              <w:tc>
                <w:tcPr>
                  <w:tcW w:w="1814" w:type="dxa"/>
                </w:tcPr>
                <w:p w14:paraId="04E4705C" w14:textId="77777777" w:rsidR="00C443A0" w:rsidRDefault="00C443A0" w:rsidP="008D0C3F">
                  <w:pPr>
                    <w:pStyle w:val="tbltext"/>
                    <w:spacing w:before="60" w:after="60" w:line="240" w:lineRule="auto"/>
                    <w:jc w:val="center"/>
                  </w:pPr>
                  <w:r>
                    <w:t>Large ≥250</w:t>
                  </w:r>
                </w:p>
                <w:p w14:paraId="4AB728B4" w14:textId="77777777" w:rsidR="00C443A0" w:rsidRDefault="00C443A0" w:rsidP="008D0C3F">
                  <w:pPr>
                    <w:pStyle w:val="tbltext"/>
                    <w:spacing w:before="60" w:after="60" w:line="240" w:lineRule="auto"/>
                    <w:jc w:val="center"/>
                  </w:pPr>
                  <w:r>
                    <w:t>100≤ Medium &lt;250</w:t>
                  </w:r>
                </w:p>
                <w:p w14:paraId="6FA14C77" w14:textId="77777777" w:rsidR="00C443A0" w:rsidRDefault="00C443A0" w:rsidP="008D0C3F">
                  <w:pPr>
                    <w:pStyle w:val="tbltext"/>
                    <w:spacing w:before="60" w:after="60" w:line="240" w:lineRule="auto"/>
                    <w:jc w:val="center"/>
                  </w:pPr>
                  <w:r>
                    <w:t>Small &lt;100</w:t>
                  </w:r>
                </w:p>
              </w:tc>
              <w:tc>
                <w:tcPr>
                  <w:tcW w:w="1474" w:type="dxa"/>
                </w:tcPr>
                <w:p w14:paraId="19FF7196" w14:textId="45EA3A41" w:rsidR="00C443A0" w:rsidRDefault="00C443A0" w:rsidP="008D0C3F">
                  <w:pPr>
                    <w:pStyle w:val="tbltext"/>
                    <w:spacing w:before="60" w:after="60" w:line="240" w:lineRule="auto"/>
                    <w:jc w:val="center"/>
                  </w:pPr>
                  <w:r>
                    <w:t>x</w:t>
                  </w:r>
                  <w:r w:rsidR="00A1619D">
                    <w:t xml:space="preserve"> </w:t>
                  </w:r>
                  <w:r>
                    <w:t>1.00</w:t>
                  </w:r>
                </w:p>
                <w:p w14:paraId="77B540CF" w14:textId="6BEAFEA1" w:rsidR="00C443A0" w:rsidRDefault="00C443A0" w:rsidP="008D0C3F">
                  <w:pPr>
                    <w:pStyle w:val="tbltext"/>
                    <w:spacing w:before="60" w:after="60" w:line="240" w:lineRule="auto"/>
                    <w:jc w:val="center"/>
                  </w:pPr>
                  <w:r>
                    <w:t>x</w:t>
                  </w:r>
                  <w:r w:rsidR="00A1619D">
                    <w:t xml:space="preserve"> </w:t>
                  </w:r>
                  <w:r>
                    <w:t>0.50</w:t>
                  </w:r>
                </w:p>
                <w:p w14:paraId="7F8443AD" w14:textId="30C170F3" w:rsidR="00C443A0" w:rsidRDefault="00C443A0" w:rsidP="008D0C3F">
                  <w:pPr>
                    <w:pStyle w:val="tbltext"/>
                    <w:spacing w:before="60" w:after="60" w:line="240" w:lineRule="auto"/>
                    <w:jc w:val="center"/>
                  </w:pPr>
                  <w:r>
                    <w:t>x</w:t>
                  </w:r>
                  <w:r w:rsidR="00A1619D">
                    <w:t xml:space="preserve"> </w:t>
                  </w:r>
                  <w:r>
                    <w:t>0.25</w:t>
                  </w:r>
                </w:p>
              </w:tc>
            </w:tr>
          </w:tbl>
          <w:p w14:paraId="7E719255" w14:textId="77777777" w:rsidR="00C443A0" w:rsidRDefault="00C443A0" w:rsidP="008D0C3F">
            <w:pPr>
              <w:pStyle w:val="tbltext"/>
            </w:pPr>
            <w:r>
              <w:t>Assumptions:</w:t>
            </w:r>
          </w:p>
          <w:p w14:paraId="6607B9D1" w14:textId="4FF9BD87" w:rsidR="00C443A0" w:rsidRPr="000540E1" w:rsidRDefault="00C443A0" w:rsidP="00940A24">
            <w:pPr>
              <w:pStyle w:val="tbltext"/>
              <w:numPr>
                <w:ilvl w:val="0"/>
                <w:numId w:val="29"/>
              </w:numPr>
              <w:ind w:left="284" w:hanging="284"/>
            </w:pPr>
            <w:r>
              <w:t>Costs decline with scale of current AVOX ID, reflecting lesser outreach and counterparty static data change effort</w:t>
            </w:r>
          </w:p>
        </w:tc>
      </w:tr>
      <w:tr w:rsidR="00C443A0" w:rsidRPr="000540E1" w14:paraId="3267587F" w14:textId="77777777" w:rsidTr="008D0C3F">
        <w:trPr>
          <w:cantSplit/>
        </w:trPr>
        <w:tc>
          <w:tcPr>
            <w:tcW w:w="0" w:type="auto"/>
          </w:tcPr>
          <w:p w14:paraId="62EBE674" w14:textId="77777777" w:rsidR="00C443A0" w:rsidRPr="000540E1" w:rsidRDefault="00C443A0" w:rsidP="008D0C3F">
            <w:pPr>
              <w:pStyle w:val="tbltext"/>
            </w:pPr>
            <w:r>
              <w:t>ISO 20022</w:t>
            </w:r>
          </w:p>
        </w:tc>
        <w:tc>
          <w:tcPr>
            <w:tcW w:w="0" w:type="auto"/>
          </w:tcPr>
          <w:p w14:paraId="0EF4E6E8" w14:textId="3AE8BCFC" w:rsidR="00C443A0" w:rsidRDefault="00C443A0" w:rsidP="008D0C3F">
            <w:pPr>
              <w:pStyle w:val="tbltext"/>
            </w:pPr>
            <w:r w:rsidRPr="002D0EB6">
              <w:rPr>
                <w:i/>
                <w:iCs/>
              </w:rPr>
              <w:t>Reference case:</w:t>
            </w:r>
            <w:r>
              <w:t xml:space="preserve"> Large-scale, broad asset classes, self-reporting, internationally</w:t>
            </w:r>
            <w:r w:rsidR="00A1619D">
              <w:t xml:space="preserve"> </w:t>
            </w:r>
            <w:r>
              <w:t>connected, sell-side reporting entity.</w:t>
            </w:r>
          </w:p>
          <w:p w14:paraId="644B01EF" w14:textId="77777777" w:rsidR="00C443A0" w:rsidRDefault="00C443A0" w:rsidP="008D0C3F">
            <w:pPr>
              <w:pStyle w:val="tbltext"/>
            </w:pPr>
            <w:r w:rsidRPr="002D0EB6">
              <w:rPr>
                <w:i/>
                <w:iCs/>
              </w:rPr>
              <w:t>Upfront effort: 1</w:t>
            </w:r>
            <w:r>
              <w:t>.50 FTE for 1 year</w:t>
            </w:r>
          </w:p>
          <w:p w14:paraId="2C961BBF" w14:textId="77777777" w:rsidR="00C443A0" w:rsidRPr="002D0EB6" w:rsidRDefault="00C443A0" w:rsidP="008D0C3F">
            <w:pPr>
              <w:pStyle w:val="tbltext"/>
              <w:spacing w:after="120"/>
              <w:rPr>
                <w:i/>
                <w:iCs/>
              </w:rPr>
            </w:pPr>
            <w:r w:rsidRPr="002D0EB6">
              <w:rPr>
                <w:i/>
                <w:iCs/>
              </w:rPr>
              <w:t>Adjustment multiplier factors:</w:t>
            </w:r>
          </w:p>
          <w:tbl>
            <w:tblPr>
              <w:tblStyle w:val="TableGrid"/>
              <w:tblW w:w="0" w:type="auto"/>
              <w:tblInd w:w="284" w:type="dxa"/>
              <w:tblLook w:val="04A0" w:firstRow="1" w:lastRow="0" w:firstColumn="1" w:lastColumn="0" w:noHBand="0" w:noVBand="1"/>
            </w:tblPr>
            <w:tblGrid>
              <w:gridCol w:w="1596"/>
              <w:gridCol w:w="1676"/>
              <w:gridCol w:w="1618"/>
            </w:tblGrid>
            <w:tr w:rsidR="00C443A0" w14:paraId="2F704B6A" w14:textId="77777777" w:rsidTr="008D0C3F">
              <w:tc>
                <w:tcPr>
                  <w:tcW w:w="1602" w:type="dxa"/>
                </w:tcPr>
                <w:p w14:paraId="15B333C6" w14:textId="77777777" w:rsidR="00C443A0" w:rsidRDefault="00C443A0" w:rsidP="008D0C3F">
                  <w:pPr>
                    <w:pStyle w:val="tbltext"/>
                    <w:spacing w:before="60" w:after="60" w:line="240" w:lineRule="auto"/>
                  </w:pPr>
                  <w:r>
                    <w:t>Scale</w:t>
                  </w:r>
                </w:p>
              </w:tc>
              <w:tc>
                <w:tcPr>
                  <w:tcW w:w="1688" w:type="dxa"/>
                </w:tcPr>
                <w:p w14:paraId="16D5EE0D" w14:textId="77777777" w:rsidR="00C443A0" w:rsidRDefault="00C443A0" w:rsidP="008D0C3F">
                  <w:pPr>
                    <w:pStyle w:val="tbltext"/>
                    <w:spacing w:before="60" w:after="60" w:line="240" w:lineRule="auto"/>
                    <w:jc w:val="center"/>
                  </w:pPr>
                  <w:r>
                    <w:t>Large</w:t>
                  </w:r>
                </w:p>
                <w:p w14:paraId="281A2843" w14:textId="77777777" w:rsidR="00C443A0" w:rsidRDefault="00C443A0" w:rsidP="008D0C3F">
                  <w:pPr>
                    <w:pStyle w:val="tbltext"/>
                    <w:spacing w:before="60" w:after="60" w:line="240" w:lineRule="auto"/>
                    <w:jc w:val="center"/>
                  </w:pPr>
                  <w:r>
                    <w:t>Medium</w:t>
                  </w:r>
                </w:p>
                <w:p w14:paraId="0E876D62" w14:textId="77777777" w:rsidR="00C443A0" w:rsidRDefault="00C443A0" w:rsidP="008D0C3F">
                  <w:pPr>
                    <w:pStyle w:val="tbltext"/>
                    <w:spacing w:before="60" w:after="60" w:line="240" w:lineRule="auto"/>
                    <w:jc w:val="center"/>
                  </w:pPr>
                  <w:r>
                    <w:t>Small</w:t>
                  </w:r>
                </w:p>
                <w:p w14:paraId="7C7BF04F" w14:textId="77777777" w:rsidR="00C443A0" w:rsidRDefault="00C443A0" w:rsidP="008D0C3F">
                  <w:pPr>
                    <w:pStyle w:val="tbltext"/>
                    <w:spacing w:before="60" w:after="60" w:line="240" w:lineRule="auto"/>
                    <w:jc w:val="center"/>
                  </w:pPr>
                  <w:r>
                    <w:t>Very Small</w:t>
                  </w:r>
                </w:p>
              </w:tc>
              <w:tc>
                <w:tcPr>
                  <w:tcW w:w="1638" w:type="dxa"/>
                </w:tcPr>
                <w:p w14:paraId="39BF113E" w14:textId="1B83057B" w:rsidR="00C443A0" w:rsidRDefault="00C443A0" w:rsidP="008D0C3F">
                  <w:pPr>
                    <w:pStyle w:val="tbltext"/>
                    <w:spacing w:before="60" w:after="60" w:line="240" w:lineRule="auto"/>
                    <w:jc w:val="center"/>
                  </w:pPr>
                  <w:r>
                    <w:t>x</w:t>
                  </w:r>
                  <w:r w:rsidR="00552ECD">
                    <w:t xml:space="preserve"> </w:t>
                  </w:r>
                  <w:r>
                    <w:t>1.00</w:t>
                  </w:r>
                </w:p>
                <w:p w14:paraId="72054BD1" w14:textId="10FCA4DC" w:rsidR="00C443A0" w:rsidRDefault="00C443A0" w:rsidP="008D0C3F">
                  <w:pPr>
                    <w:pStyle w:val="tbltext"/>
                    <w:spacing w:before="60" w:after="60" w:line="240" w:lineRule="auto"/>
                    <w:jc w:val="center"/>
                  </w:pPr>
                  <w:r>
                    <w:t>x</w:t>
                  </w:r>
                  <w:r w:rsidR="00552ECD">
                    <w:t xml:space="preserve"> </w:t>
                  </w:r>
                  <w:r>
                    <w:t>0.50</w:t>
                  </w:r>
                </w:p>
                <w:p w14:paraId="503A7807" w14:textId="3DB08DAC" w:rsidR="00C443A0" w:rsidRDefault="00C443A0" w:rsidP="008D0C3F">
                  <w:pPr>
                    <w:pStyle w:val="tbltext"/>
                    <w:spacing w:before="60" w:after="60" w:line="240" w:lineRule="auto"/>
                    <w:jc w:val="center"/>
                  </w:pPr>
                  <w:r>
                    <w:t>x</w:t>
                  </w:r>
                  <w:r w:rsidR="00552ECD">
                    <w:t xml:space="preserve"> </w:t>
                  </w:r>
                  <w:r>
                    <w:t>0.25</w:t>
                  </w:r>
                </w:p>
                <w:p w14:paraId="6E1B7BFB" w14:textId="75D69E8E" w:rsidR="00C443A0" w:rsidRDefault="00C443A0" w:rsidP="008D0C3F">
                  <w:pPr>
                    <w:pStyle w:val="tbltext"/>
                    <w:spacing w:before="60" w:after="60" w:line="240" w:lineRule="auto"/>
                    <w:jc w:val="center"/>
                  </w:pPr>
                  <w:r>
                    <w:t>x</w:t>
                  </w:r>
                  <w:r w:rsidR="00552ECD">
                    <w:t xml:space="preserve"> </w:t>
                  </w:r>
                  <w:r>
                    <w:t>0.10</w:t>
                  </w:r>
                </w:p>
              </w:tc>
            </w:tr>
            <w:tr w:rsidR="00C443A0" w14:paraId="2E79AE27" w14:textId="77777777" w:rsidTr="008D0C3F">
              <w:tc>
                <w:tcPr>
                  <w:tcW w:w="1602" w:type="dxa"/>
                </w:tcPr>
                <w:p w14:paraId="0209E579" w14:textId="77777777" w:rsidR="00C443A0" w:rsidRDefault="00C443A0" w:rsidP="008D0C3F">
                  <w:pPr>
                    <w:pStyle w:val="tbltext"/>
                    <w:spacing w:before="60" w:after="60" w:line="240" w:lineRule="auto"/>
                  </w:pPr>
                  <w:r>
                    <w:t>Breadth</w:t>
                  </w:r>
                </w:p>
              </w:tc>
              <w:tc>
                <w:tcPr>
                  <w:tcW w:w="1688" w:type="dxa"/>
                </w:tcPr>
                <w:p w14:paraId="50B4FCC4" w14:textId="0DA6DA54" w:rsidR="00C443A0" w:rsidRDefault="00C443A0" w:rsidP="008D0C3F">
                  <w:pPr>
                    <w:pStyle w:val="tbltext"/>
                    <w:spacing w:before="60" w:after="60" w:line="240" w:lineRule="auto"/>
                    <w:jc w:val="center"/>
                  </w:pPr>
                  <w:r>
                    <w:t>3</w:t>
                  </w:r>
                  <w:r w:rsidR="00A1619D">
                    <w:t>–</w:t>
                  </w:r>
                  <w:r>
                    <w:t>5 asset classes</w:t>
                  </w:r>
                </w:p>
                <w:p w14:paraId="4A51D2AE" w14:textId="77777777" w:rsidR="00C443A0" w:rsidRDefault="00C443A0" w:rsidP="008D0C3F">
                  <w:pPr>
                    <w:pStyle w:val="tbltext"/>
                    <w:spacing w:before="60" w:after="60" w:line="240" w:lineRule="auto"/>
                    <w:jc w:val="center"/>
                  </w:pPr>
                  <w:r>
                    <w:t>1-2 asset classes</w:t>
                  </w:r>
                </w:p>
              </w:tc>
              <w:tc>
                <w:tcPr>
                  <w:tcW w:w="1638" w:type="dxa"/>
                </w:tcPr>
                <w:p w14:paraId="400C4822" w14:textId="6A5E4D6E" w:rsidR="00C443A0" w:rsidRDefault="00C443A0" w:rsidP="008D0C3F">
                  <w:pPr>
                    <w:pStyle w:val="tbltext"/>
                    <w:spacing w:before="60" w:after="60" w:line="240" w:lineRule="auto"/>
                    <w:jc w:val="center"/>
                  </w:pPr>
                  <w:r>
                    <w:t>x</w:t>
                  </w:r>
                  <w:r w:rsidR="00552ECD">
                    <w:t xml:space="preserve"> </w:t>
                  </w:r>
                  <w:r>
                    <w:t>1.00</w:t>
                  </w:r>
                </w:p>
                <w:p w14:paraId="323821E9" w14:textId="3A125F72" w:rsidR="00C443A0" w:rsidRDefault="00C443A0" w:rsidP="008D0C3F">
                  <w:pPr>
                    <w:pStyle w:val="tbltext"/>
                    <w:spacing w:before="60" w:after="60" w:line="240" w:lineRule="auto"/>
                    <w:jc w:val="center"/>
                  </w:pPr>
                  <w:r>
                    <w:t>x</w:t>
                  </w:r>
                  <w:r w:rsidR="00552ECD">
                    <w:t xml:space="preserve"> </w:t>
                  </w:r>
                  <w:r>
                    <w:t>0.50</w:t>
                  </w:r>
                </w:p>
              </w:tc>
            </w:tr>
            <w:tr w:rsidR="00C443A0" w14:paraId="6D6E0581" w14:textId="77777777" w:rsidTr="008D0C3F">
              <w:tc>
                <w:tcPr>
                  <w:tcW w:w="1602" w:type="dxa"/>
                </w:tcPr>
                <w:p w14:paraId="0D1AE517" w14:textId="77777777" w:rsidR="00C443A0" w:rsidRDefault="00C443A0" w:rsidP="008D0C3F">
                  <w:pPr>
                    <w:pStyle w:val="tbltext"/>
                    <w:spacing w:before="60" w:after="60" w:line="240" w:lineRule="auto"/>
                  </w:pPr>
                  <w:r>
                    <w:t>Nature of Reporting</w:t>
                  </w:r>
                </w:p>
              </w:tc>
              <w:tc>
                <w:tcPr>
                  <w:tcW w:w="1688" w:type="dxa"/>
                </w:tcPr>
                <w:p w14:paraId="5BD34B71" w14:textId="77777777" w:rsidR="00C443A0" w:rsidRDefault="00C443A0" w:rsidP="008D0C3F">
                  <w:pPr>
                    <w:pStyle w:val="tbltext"/>
                    <w:spacing w:before="60" w:after="60" w:line="240" w:lineRule="auto"/>
                    <w:jc w:val="center"/>
                  </w:pPr>
                  <w:r>
                    <w:t>Self</w:t>
                  </w:r>
                </w:p>
                <w:p w14:paraId="54020EB5" w14:textId="77777777" w:rsidR="00C443A0" w:rsidRDefault="00C443A0" w:rsidP="008D0C3F">
                  <w:pPr>
                    <w:pStyle w:val="tbltext"/>
                    <w:spacing w:before="60" w:after="60" w:line="240" w:lineRule="auto"/>
                    <w:jc w:val="center"/>
                  </w:pPr>
                  <w:r>
                    <w:t>Delegated</w:t>
                  </w:r>
                </w:p>
              </w:tc>
              <w:tc>
                <w:tcPr>
                  <w:tcW w:w="1638" w:type="dxa"/>
                </w:tcPr>
                <w:p w14:paraId="6DFB1BBB" w14:textId="2CB5DC34" w:rsidR="00C443A0" w:rsidRDefault="00C443A0" w:rsidP="008D0C3F">
                  <w:pPr>
                    <w:pStyle w:val="tbltext"/>
                    <w:spacing w:before="60" w:after="60" w:line="240" w:lineRule="auto"/>
                    <w:jc w:val="center"/>
                  </w:pPr>
                  <w:r>
                    <w:t>x</w:t>
                  </w:r>
                  <w:r w:rsidR="00552ECD">
                    <w:t xml:space="preserve"> </w:t>
                  </w:r>
                  <w:r>
                    <w:t>1.00</w:t>
                  </w:r>
                </w:p>
                <w:p w14:paraId="5563B6F0" w14:textId="5F1C9AA1" w:rsidR="00C443A0" w:rsidRDefault="00C443A0" w:rsidP="008D0C3F">
                  <w:pPr>
                    <w:pStyle w:val="tbltext"/>
                    <w:spacing w:before="60" w:after="60" w:line="240" w:lineRule="auto"/>
                    <w:jc w:val="center"/>
                  </w:pPr>
                  <w:r>
                    <w:t>x</w:t>
                  </w:r>
                  <w:r w:rsidR="00552ECD">
                    <w:t xml:space="preserve"> </w:t>
                  </w:r>
                  <w:r>
                    <w:t>0.00</w:t>
                  </w:r>
                </w:p>
              </w:tc>
            </w:tr>
            <w:tr w:rsidR="00C443A0" w14:paraId="39FAED01" w14:textId="77777777" w:rsidTr="008D0C3F">
              <w:tc>
                <w:tcPr>
                  <w:tcW w:w="1602" w:type="dxa"/>
                </w:tcPr>
                <w:p w14:paraId="30D60A6B" w14:textId="551286A1" w:rsidR="00C443A0" w:rsidRDefault="00C443A0" w:rsidP="008D0C3F">
                  <w:pPr>
                    <w:pStyle w:val="tbltext"/>
                    <w:spacing w:before="60" w:after="60" w:line="240" w:lineRule="auto"/>
                  </w:pPr>
                  <w:r>
                    <w:t>Internationally</w:t>
                  </w:r>
                  <w:r w:rsidR="00A1619D">
                    <w:t xml:space="preserve"> </w:t>
                  </w:r>
                  <w:r>
                    <w:t>connected</w:t>
                  </w:r>
                </w:p>
              </w:tc>
              <w:tc>
                <w:tcPr>
                  <w:tcW w:w="1688" w:type="dxa"/>
                </w:tcPr>
                <w:p w14:paraId="1E5A7BB9" w14:textId="77777777" w:rsidR="00C443A0" w:rsidRDefault="00C443A0" w:rsidP="008D0C3F">
                  <w:pPr>
                    <w:pStyle w:val="tbltext"/>
                    <w:spacing w:before="60" w:after="60" w:line="240" w:lineRule="auto"/>
                    <w:jc w:val="center"/>
                  </w:pPr>
                  <w:r>
                    <w:t>Yes</w:t>
                  </w:r>
                </w:p>
                <w:p w14:paraId="10491B50" w14:textId="77777777" w:rsidR="00C443A0" w:rsidRDefault="00C443A0" w:rsidP="008D0C3F">
                  <w:pPr>
                    <w:pStyle w:val="tbltext"/>
                    <w:spacing w:before="60" w:after="60" w:line="240" w:lineRule="auto"/>
                    <w:jc w:val="center"/>
                  </w:pPr>
                  <w:r>
                    <w:t>No</w:t>
                  </w:r>
                </w:p>
              </w:tc>
              <w:tc>
                <w:tcPr>
                  <w:tcW w:w="1638" w:type="dxa"/>
                </w:tcPr>
                <w:p w14:paraId="5FA97AE4" w14:textId="2D5C4B23" w:rsidR="00C443A0" w:rsidRDefault="00C443A0" w:rsidP="008D0C3F">
                  <w:pPr>
                    <w:pStyle w:val="tbltext"/>
                    <w:spacing w:before="60" w:after="60" w:line="240" w:lineRule="auto"/>
                    <w:jc w:val="center"/>
                  </w:pPr>
                  <w:r>
                    <w:t>x</w:t>
                  </w:r>
                  <w:r w:rsidR="00552ECD">
                    <w:t xml:space="preserve"> </w:t>
                  </w:r>
                  <w:r>
                    <w:t>1.00</w:t>
                  </w:r>
                </w:p>
                <w:p w14:paraId="03DC6AD4" w14:textId="102DDD9B" w:rsidR="00C443A0" w:rsidRDefault="00C443A0" w:rsidP="008D0C3F">
                  <w:pPr>
                    <w:pStyle w:val="tbltext"/>
                    <w:spacing w:before="60" w:after="60" w:line="240" w:lineRule="auto"/>
                    <w:jc w:val="center"/>
                  </w:pPr>
                  <w:r>
                    <w:t>x</w:t>
                  </w:r>
                  <w:r w:rsidR="00552ECD">
                    <w:t xml:space="preserve"> </w:t>
                  </w:r>
                  <w:r>
                    <w:t>2.00</w:t>
                  </w:r>
                </w:p>
              </w:tc>
            </w:tr>
          </w:tbl>
          <w:p w14:paraId="6A631CB9" w14:textId="77777777" w:rsidR="00C443A0" w:rsidRDefault="00C443A0" w:rsidP="008D0C3F">
            <w:pPr>
              <w:pStyle w:val="tbltext"/>
            </w:pPr>
            <w:r>
              <w:t>Assumptions:</w:t>
            </w:r>
          </w:p>
          <w:p w14:paraId="7751CB7B" w14:textId="7474D75F" w:rsidR="00C443A0" w:rsidRDefault="00C443A0" w:rsidP="00940A24">
            <w:pPr>
              <w:pStyle w:val="tbltext"/>
              <w:numPr>
                <w:ilvl w:val="0"/>
                <w:numId w:val="29"/>
              </w:numPr>
              <w:ind w:left="284" w:hanging="284"/>
            </w:pPr>
            <w:r>
              <w:t>Costs decline with scale, breadth and nature of reporting</w:t>
            </w:r>
          </w:p>
          <w:p w14:paraId="17F82B91" w14:textId="417753BE" w:rsidR="00C443A0" w:rsidRDefault="00C443A0" w:rsidP="00940A24">
            <w:pPr>
              <w:pStyle w:val="tbltext"/>
              <w:numPr>
                <w:ilvl w:val="0"/>
                <w:numId w:val="29"/>
              </w:numPr>
              <w:ind w:left="284" w:hanging="284"/>
            </w:pPr>
            <w:r>
              <w:t>Costs reduce to zero for delegating reporters as the delegate will form and submit ISO 20022 reporting messages</w:t>
            </w:r>
          </w:p>
          <w:p w14:paraId="26AC1326" w14:textId="19D48029" w:rsidR="00C443A0" w:rsidRPr="000540E1" w:rsidRDefault="00C443A0" w:rsidP="00940A24">
            <w:pPr>
              <w:pStyle w:val="tbltext"/>
              <w:numPr>
                <w:ilvl w:val="0"/>
                <w:numId w:val="29"/>
              </w:numPr>
              <w:ind w:left="284" w:hanging="284"/>
            </w:pPr>
            <w:r>
              <w:t>Costs increase if not internationally</w:t>
            </w:r>
            <w:r w:rsidR="00270EFA">
              <w:t xml:space="preserve"> </w:t>
            </w:r>
            <w:r>
              <w:t>connected as there are no synergies applicable from implementation work related to other jurisdictions</w:t>
            </w:r>
          </w:p>
        </w:tc>
      </w:tr>
      <w:tr w:rsidR="00C443A0" w:rsidRPr="000540E1" w14:paraId="506EFE16" w14:textId="77777777" w:rsidTr="008D0C3F">
        <w:trPr>
          <w:cantSplit/>
        </w:trPr>
        <w:tc>
          <w:tcPr>
            <w:tcW w:w="0" w:type="auto"/>
          </w:tcPr>
          <w:p w14:paraId="41BAC2C0" w14:textId="77777777" w:rsidR="00C443A0" w:rsidRDefault="00C443A0" w:rsidP="008D0C3F">
            <w:pPr>
              <w:pStyle w:val="tbltext"/>
            </w:pPr>
            <w:r>
              <w:t>Savings from reduced bespoke jurisdictional systems</w:t>
            </w:r>
          </w:p>
        </w:tc>
        <w:tc>
          <w:tcPr>
            <w:tcW w:w="0" w:type="auto"/>
          </w:tcPr>
          <w:p w14:paraId="34CE0596" w14:textId="5F16945A" w:rsidR="00C443A0" w:rsidRDefault="00C443A0" w:rsidP="008D0C3F">
            <w:pPr>
              <w:pStyle w:val="tbltext"/>
            </w:pPr>
            <w:r w:rsidRPr="002D0EB6">
              <w:rPr>
                <w:i/>
                <w:iCs/>
              </w:rPr>
              <w:t>Reference case:</w:t>
            </w:r>
            <w:r>
              <w:t xml:space="preserve"> Self-reporting, internationally</w:t>
            </w:r>
            <w:r w:rsidR="009F7FC1">
              <w:t xml:space="preserve"> </w:t>
            </w:r>
            <w:r>
              <w:t>connected reporting entity</w:t>
            </w:r>
          </w:p>
          <w:p w14:paraId="5EB90A0E" w14:textId="00463177" w:rsidR="00C443A0" w:rsidRDefault="00C443A0" w:rsidP="008D0C3F">
            <w:pPr>
              <w:pStyle w:val="tbltext"/>
            </w:pPr>
            <w:r w:rsidRPr="002D0EB6">
              <w:rPr>
                <w:i/>
                <w:iCs/>
              </w:rPr>
              <w:t xml:space="preserve">Annual savings: </w:t>
            </w:r>
            <w:r>
              <w:t>10% of ASIC data element implementation cost</w:t>
            </w:r>
          </w:p>
          <w:p w14:paraId="7BC3AE9F" w14:textId="3E90A1DC" w:rsidR="00C443A0" w:rsidRPr="002D0EB6" w:rsidRDefault="00C443A0" w:rsidP="008D0C3F">
            <w:pPr>
              <w:pStyle w:val="tbltext"/>
              <w:spacing w:after="120"/>
              <w:rPr>
                <w:i/>
                <w:iCs/>
              </w:rPr>
            </w:pPr>
            <w:r w:rsidRPr="002D0EB6">
              <w:rPr>
                <w:i/>
                <w:iCs/>
              </w:rPr>
              <w:t>Adjustment multiplier or additive factors:</w:t>
            </w:r>
          </w:p>
          <w:tbl>
            <w:tblPr>
              <w:tblStyle w:val="TableGrid"/>
              <w:tblW w:w="4890" w:type="dxa"/>
              <w:tblInd w:w="284" w:type="dxa"/>
              <w:tblLook w:val="04A0" w:firstRow="1" w:lastRow="0" w:firstColumn="1" w:lastColumn="0" w:noHBand="0" w:noVBand="1"/>
            </w:tblPr>
            <w:tblGrid>
              <w:gridCol w:w="3416"/>
              <w:gridCol w:w="1474"/>
            </w:tblGrid>
            <w:tr w:rsidR="00C443A0" w14:paraId="53F1A1A6" w14:textId="77777777" w:rsidTr="008D0C3F">
              <w:tc>
                <w:tcPr>
                  <w:tcW w:w="3416" w:type="dxa"/>
                </w:tcPr>
                <w:p w14:paraId="1D0F0D6A" w14:textId="1FE463DF" w:rsidR="00C443A0" w:rsidRDefault="00C443A0" w:rsidP="008D0C3F">
                  <w:pPr>
                    <w:pStyle w:val="tbltext"/>
                    <w:spacing w:before="60" w:after="60" w:line="240" w:lineRule="auto"/>
                  </w:pPr>
                  <w:r>
                    <w:t>Self-reporting &amp; internationally</w:t>
                  </w:r>
                  <w:r w:rsidR="00A1619D">
                    <w:t xml:space="preserve"> </w:t>
                  </w:r>
                  <w:r>
                    <w:t>connected</w:t>
                  </w:r>
                </w:p>
              </w:tc>
              <w:tc>
                <w:tcPr>
                  <w:tcW w:w="1474" w:type="dxa"/>
                </w:tcPr>
                <w:p w14:paraId="65825487" w14:textId="17D819FD" w:rsidR="00C443A0" w:rsidRDefault="009F7FC1" w:rsidP="008D0C3F">
                  <w:pPr>
                    <w:pStyle w:val="tbltext"/>
                    <w:spacing w:before="60" w:after="60" w:line="240" w:lineRule="auto"/>
                    <w:jc w:val="center"/>
                  </w:pPr>
                  <w:r>
                    <w:t xml:space="preserve"> x </w:t>
                  </w:r>
                  <w:r w:rsidR="00C443A0">
                    <w:t>0.00</w:t>
                  </w:r>
                </w:p>
              </w:tc>
            </w:tr>
            <w:tr w:rsidR="00C443A0" w14:paraId="557C6FE3" w14:textId="77777777" w:rsidTr="008D0C3F">
              <w:tc>
                <w:tcPr>
                  <w:tcW w:w="3416" w:type="dxa"/>
                </w:tcPr>
                <w:p w14:paraId="77D338A4" w14:textId="5869B4B5" w:rsidR="00C443A0" w:rsidRDefault="00C443A0" w:rsidP="008D0C3F">
                  <w:pPr>
                    <w:pStyle w:val="tbltext"/>
                    <w:spacing w:before="60" w:after="60" w:line="240" w:lineRule="auto"/>
                  </w:pPr>
                  <w:r>
                    <w:t>Delegated</w:t>
                  </w:r>
                  <w:r w:rsidR="00A1619D">
                    <w:t xml:space="preserve"> </w:t>
                  </w:r>
                  <w:r>
                    <w:t>reporting</w:t>
                  </w:r>
                </w:p>
              </w:tc>
              <w:tc>
                <w:tcPr>
                  <w:tcW w:w="1474" w:type="dxa"/>
                </w:tcPr>
                <w:p w14:paraId="7D30D586" w14:textId="6A466DA0" w:rsidR="00C443A0" w:rsidRDefault="009F7FC1" w:rsidP="008D0C3F">
                  <w:pPr>
                    <w:pStyle w:val="tbltext"/>
                    <w:spacing w:before="60" w:after="60" w:line="240" w:lineRule="auto"/>
                    <w:jc w:val="center"/>
                  </w:pPr>
                  <w:r>
                    <w:t xml:space="preserve">x </w:t>
                  </w:r>
                  <w:r w:rsidR="00C443A0">
                    <w:t>0.25</w:t>
                  </w:r>
                </w:p>
              </w:tc>
            </w:tr>
          </w:tbl>
          <w:p w14:paraId="21DD3B32" w14:textId="77777777" w:rsidR="00C443A0" w:rsidRDefault="00C443A0" w:rsidP="008D0C3F">
            <w:pPr>
              <w:pStyle w:val="tbltext"/>
            </w:pPr>
            <w:r>
              <w:t>Assumptions:</w:t>
            </w:r>
          </w:p>
          <w:p w14:paraId="3F34BDF0" w14:textId="3571C5D2" w:rsidR="00C443A0" w:rsidRDefault="00C443A0" w:rsidP="00940A24">
            <w:pPr>
              <w:pStyle w:val="tbltext"/>
              <w:numPr>
                <w:ilvl w:val="0"/>
                <w:numId w:val="31"/>
              </w:numPr>
              <w:ind w:left="284" w:hanging="284"/>
            </w:pPr>
            <w:r>
              <w:t>Eliminating jurisdictional-specific reporting systems or sub-systems or narrowing the differences between such systems creates savings for self-reporting, internationally</w:t>
            </w:r>
            <w:r w:rsidR="009F7FC1">
              <w:t xml:space="preserve"> c</w:t>
            </w:r>
            <w:r>
              <w:t>onnected reporting entities</w:t>
            </w:r>
          </w:p>
          <w:p w14:paraId="656772AE" w14:textId="68BEDAF5" w:rsidR="00C443A0" w:rsidRDefault="00C443A0" w:rsidP="00940A24">
            <w:pPr>
              <w:pStyle w:val="tbltext"/>
              <w:numPr>
                <w:ilvl w:val="0"/>
                <w:numId w:val="31"/>
              </w:numPr>
              <w:ind w:left="284" w:hanging="284"/>
            </w:pPr>
            <w:r>
              <w:t>Delegating reporting entities achieve lesser savings with reporting by counterparties continuing as a transaction service and any cost recovery by reporting services providers offset by nil fee inflation</w:t>
            </w:r>
          </w:p>
          <w:p w14:paraId="4CA77CE3" w14:textId="77777777" w:rsidR="00C443A0" w:rsidRDefault="00C443A0" w:rsidP="00940A24">
            <w:pPr>
              <w:pStyle w:val="tbltext"/>
              <w:numPr>
                <w:ilvl w:val="0"/>
                <w:numId w:val="31"/>
              </w:numPr>
              <w:ind w:left="284" w:hanging="284"/>
            </w:pPr>
            <w:r>
              <w:t>Minimum non-zero savings as $1,000 pa</w:t>
            </w:r>
          </w:p>
        </w:tc>
      </w:tr>
    </w:tbl>
    <w:bookmarkEnd w:id="348"/>
    <w:p w14:paraId="562568A9" w14:textId="600A78D8" w:rsidR="00A14A78" w:rsidRDefault="00A14A78" w:rsidP="00C443A0">
      <w:pPr>
        <w:pStyle w:val="BodyText"/>
        <w:numPr>
          <w:ilvl w:val="0"/>
          <w:numId w:val="17"/>
        </w:numPr>
      </w:pPr>
      <w:r>
        <w:t xml:space="preserve">For the above implementation components in their various combinations, we identify </w:t>
      </w:r>
      <w:r w:rsidR="00441CBE">
        <w:t>31</w:t>
      </w:r>
      <w:r>
        <w:t xml:space="preserve"> distinct groups of reporting entity profiles as set out in </w:t>
      </w:r>
      <w:r w:rsidR="00441CBE">
        <w:fldChar w:fldCharType="begin" w:fldLock="1"/>
      </w:r>
      <w:r w:rsidR="00441CBE">
        <w:instrText xml:space="preserve"> REF _Ref102379419 \h </w:instrText>
      </w:r>
      <w:r w:rsidR="00441CBE">
        <w:fldChar w:fldCharType="separate"/>
      </w:r>
      <w:r w:rsidR="00853A2A">
        <w:t xml:space="preserve">Table </w:t>
      </w:r>
      <w:r w:rsidR="00853A2A">
        <w:rPr>
          <w:noProof/>
        </w:rPr>
        <w:t>47</w:t>
      </w:r>
      <w:r w:rsidR="00441CBE">
        <w:fldChar w:fldCharType="end"/>
      </w:r>
      <w:r w:rsidR="00441CBE">
        <w:t>.</w:t>
      </w:r>
    </w:p>
    <w:p w14:paraId="5FEC1F86" w14:textId="27025618" w:rsidR="00A14A78" w:rsidRDefault="00A14A78" w:rsidP="00EB77F0">
      <w:pPr>
        <w:pStyle w:val="tabletitlefullwidth"/>
      </w:pPr>
      <w:bookmarkStart w:id="349" w:name="_Ref102379419"/>
      <w:r>
        <w:t xml:space="preserve">Table </w:t>
      </w:r>
      <w:fldSimple w:instr=" SEQ Table \* ARABIC ">
        <w:r w:rsidR="006679BA">
          <w:rPr>
            <w:noProof/>
          </w:rPr>
          <w:t>47</w:t>
        </w:r>
      </w:fldSimple>
      <w:bookmarkEnd w:id="349"/>
      <w:r>
        <w:t>:</w:t>
      </w:r>
      <w:r>
        <w:tab/>
        <w:t>Reporting entity group profiles</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511"/>
        <w:gridCol w:w="1513"/>
        <w:gridCol w:w="1513"/>
        <w:gridCol w:w="1511"/>
        <w:gridCol w:w="1513"/>
        <w:gridCol w:w="1509"/>
      </w:tblGrid>
      <w:tr w:rsidR="005F34F7" w:rsidRPr="000540E1" w14:paraId="2A40DC0C" w14:textId="33D9B6A5" w:rsidTr="005F34F7">
        <w:trPr>
          <w:cantSplit/>
          <w:tblHeader/>
        </w:trPr>
        <w:tc>
          <w:tcPr>
            <w:tcW w:w="833" w:type="pct"/>
            <w:shd w:val="clear" w:color="auto" w:fill="C2E3FA"/>
          </w:tcPr>
          <w:p w14:paraId="55067980" w14:textId="7B836A88" w:rsidR="00A14A78" w:rsidRDefault="00A14A78" w:rsidP="00EB77F0">
            <w:pPr>
              <w:pStyle w:val="tablehead"/>
            </w:pPr>
            <w:r>
              <w:t>Group</w:t>
            </w:r>
          </w:p>
        </w:tc>
        <w:tc>
          <w:tcPr>
            <w:tcW w:w="834" w:type="pct"/>
            <w:shd w:val="clear" w:color="auto" w:fill="C2E3FA"/>
          </w:tcPr>
          <w:p w14:paraId="392DCB58" w14:textId="5DB78323" w:rsidR="00A14A78" w:rsidRDefault="00A14A78" w:rsidP="00EB77F0">
            <w:pPr>
              <w:pStyle w:val="tablehead"/>
            </w:pPr>
            <w:r>
              <w:t>Scale</w:t>
            </w:r>
          </w:p>
        </w:tc>
        <w:tc>
          <w:tcPr>
            <w:tcW w:w="834" w:type="pct"/>
            <w:shd w:val="clear" w:color="auto" w:fill="C2E3FA"/>
          </w:tcPr>
          <w:p w14:paraId="288A103A" w14:textId="11ACD349" w:rsidR="00A14A78" w:rsidRDefault="00A14A78" w:rsidP="00EB77F0">
            <w:pPr>
              <w:pStyle w:val="tablehead"/>
            </w:pPr>
            <w:r>
              <w:t>No. of asset classes</w:t>
            </w:r>
          </w:p>
        </w:tc>
        <w:tc>
          <w:tcPr>
            <w:tcW w:w="833" w:type="pct"/>
            <w:shd w:val="clear" w:color="auto" w:fill="C2E3FA"/>
          </w:tcPr>
          <w:p w14:paraId="40E82021" w14:textId="0BD99160" w:rsidR="00A14A78" w:rsidRPr="000540E1" w:rsidRDefault="00A14A78" w:rsidP="00EB77F0">
            <w:pPr>
              <w:pStyle w:val="tablehead"/>
            </w:pPr>
            <w:r>
              <w:t>Reporting nature</w:t>
            </w:r>
          </w:p>
        </w:tc>
        <w:tc>
          <w:tcPr>
            <w:tcW w:w="834" w:type="pct"/>
            <w:shd w:val="clear" w:color="auto" w:fill="C2E3FA"/>
          </w:tcPr>
          <w:p w14:paraId="705C9158" w14:textId="3BF7C716" w:rsidR="00A14A78" w:rsidRPr="000540E1" w:rsidRDefault="00A14A78" w:rsidP="00EB77F0">
            <w:pPr>
              <w:pStyle w:val="tablehead"/>
            </w:pPr>
            <w:r>
              <w:t>International</w:t>
            </w:r>
          </w:p>
        </w:tc>
        <w:tc>
          <w:tcPr>
            <w:tcW w:w="834" w:type="pct"/>
            <w:shd w:val="clear" w:color="auto" w:fill="C2E3FA"/>
          </w:tcPr>
          <w:p w14:paraId="42409E99" w14:textId="71AFE477" w:rsidR="00A14A78" w:rsidRDefault="00A14A78" w:rsidP="00EB77F0">
            <w:pPr>
              <w:pStyle w:val="tablehead"/>
            </w:pPr>
            <w:r>
              <w:t>Type</w:t>
            </w:r>
          </w:p>
        </w:tc>
      </w:tr>
      <w:tr w:rsidR="005F34F7" w:rsidRPr="000540E1" w14:paraId="4FBF7C0F" w14:textId="47DCC099" w:rsidTr="005F34F7">
        <w:trPr>
          <w:cantSplit/>
        </w:trPr>
        <w:tc>
          <w:tcPr>
            <w:tcW w:w="833" w:type="pct"/>
          </w:tcPr>
          <w:p w14:paraId="4E346B6C" w14:textId="421527D0" w:rsidR="00A14A78" w:rsidRPr="000540E1" w:rsidRDefault="00A14A78" w:rsidP="00EB77F0">
            <w:pPr>
              <w:pStyle w:val="tbltext"/>
            </w:pPr>
            <w:r>
              <w:t>L1</w:t>
            </w:r>
          </w:p>
        </w:tc>
        <w:tc>
          <w:tcPr>
            <w:tcW w:w="834" w:type="pct"/>
          </w:tcPr>
          <w:p w14:paraId="754DE6F5" w14:textId="4355BD18" w:rsidR="00A14A78" w:rsidRPr="000540E1" w:rsidRDefault="00A14A78" w:rsidP="00EB77F0">
            <w:pPr>
              <w:pStyle w:val="tbltext"/>
            </w:pPr>
            <w:r>
              <w:t>Large</w:t>
            </w:r>
          </w:p>
        </w:tc>
        <w:tc>
          <w:tcPr>
            <w:tcW w:w="834" w:type="pct"/>
          </w:tcPr>
          <w:p w14:paraId="1B5428DD" w14:textId="42788323" w:rsidR="00A14A78" w:rsidRPr="000540E1" w:rsidRDefault="00A14A78" w:rsidP="00EB77F0">
            <w:pPr>
              <w:pStyle w:val="tbltext"/>
            </w:pPr>
            <w:r>
              <w:t>3-5</w:t>
            </w:r>
          </w:p>
        </w:tc>
        <w:tc>
          <w:tcPr>
            <w:tcW w:w="833" w:type="pct"/>
          </w:tcPr>
          <w:p w14:paraId="40A02A1A" w14:textId="129E31B5" w:rsidR="00A14A78" w:rsidRPr="000540E1" w:rsidRDefault="00A14A78" w:rsidP="00EB77F0">
            <w:pPr>
              <w:pStyle w:val="tbltext"/>
            </w:pPr>
            <w:r>
              <w:t>Self</w:t>
            </w:r>
          </w:p>
        </w:tc>
        <w:tc>
          <w:tcPr>
            <w:tcW w:w="834" w:type="pct"/>
          </w:tcPr>
          <w:p w14:paraId="15469499" w14:textId="445A9FA6" w:rsidR="00A14A78" w:rsidRPr="000540E1" w:rsidRDefault="00A14A78" w:rsidP="00EB77F0">
            <w:pPr>
              <w:pStyle w:val="tbltext"/>
            </w:pPr>
            <w:r>
              <w:t>Yes</w:t>
            </w:r>
          </w:p>
        </w:tc>
        <w:tc>
          <w:tcPr>
            <w:tcW w:w="834" w:type="pct"/>
          </w:tcPr>
          <w:p w14:paraId="7AD58C83" w14:textId="41B1E481" w:rsidR="00A14A78" w:rsidRPr="000540E1" w:rsidRDefault="00A14A78" w:rsidP="00EB77F0">
            <w:pPr>
              <w:pStyle w:val="tbltext"/>
            </w:pPr>
            <w:r>
              <w:t>Sell-side</w:t>
            </w:r>
          </w:p>
        </w:tc>
      </w:tr>
      <w:tr w:rsidR="005F34F7" w:rsidRPr="000540E1" w14:paraId="3058F516" w14:textId="1C744E51" w:rsidTr="005F34F7">
        <w:trPr>
          <w:cantSplit/>
        </w:trPr>
        <w:tc>
          <w:tcPr>
            <w:tcW w:w="833" w:type="pct"/>
          </w:tcPr>
          <w:p w14:paraId="4EF54486" w14:textId="77A4146A" w:rsidR="00A14A78" w:rsidRPr="000540E1" w:rsidRDefault="00A14A78" w:rsidP="00A14A78">
            <w:pPr>
              <w:pStyle w:val="tbltext"/>
            </w:pPr>
            <w:r>
              <w:t>L2</w:t>
            </w:r>
          </w:p>
        </w:tc>
        <w:tc>
          <w:tcPr>
            <w:tcW w:w="834" w:type="pct"/>
          </w:tcPr>
          <w:p w14:paraId="004BEFA4" w14:textId="6CB01ED7" w:rsidR="00A14A78" w:rsidRPr="000540E1" w:rsidRDefault="00A14A78" w:rsidP="00A14A78">
            <w:pPr>
              <w:pStyle w:val="tbltext"/>
            </w:pPr>
            <w:r>
              <w:t>Large</w:t>
            </w:r>
          </w:p>
        </w:tc>
        <w:tc>
          <w:tcPr>
            <w:tcW w:w="834" w:type="pct"/>
          </w:tcPr>
          <w:p w14:paraId="20AF0848" w14:textId="3B9C1385" w:rsidR="00A14A78" w:rsidRPr="000540E1" w:rsidRDefault="00A14A78" w:rsidP="00A14A78">
            <w:pPr>
              <w:pStyle w:val="tbltext"/>
            </w:pPr>
            <w:r>
              <w:t>3–5</w:t>
            </w:r>
          </w:p>
        </w:tc>
        <w:tc>
          <w:tcPr>
            <w:tcW w:w="833" w:type="pct"/>
          </w:tcPr>
          <w:p w14:paraId="1E00DBDF" w14:textId="6DA5A111" w:rsidR="00A14A78" w:rsidRPr="000540E1" w:rsidRDefault="00A14A78" w:rsidP="00A14A78">
            <w:pPr>
              <w:pStyle w:val="tbltext"/>
            </w:pPr>
            <w:r>
              <w:t>Delegated</w:t>
            </w:r>
          </w:p>
        </w:tc>
        <w:tc>
          <w:tcPr>
            <w:tcW w:w="834" w:type="pct"/>
          </w:tcPr>
          <w:p w14:paraId="00073A6C" w14:textId="0620FB85" w:rsidR="00A14A78" w:rsidRPr="000540E1" w:rsidRDefault="00A14A78" w:rsidP="00A14A78">
            <w:pPr>
              <w:pStyle w:val="tbltext"/>
            </w:pPr>
            <w:r>
              <w:t>Yes</w:t>
            </w:r>
          </w:p>
        </w:tc>
        <w:tc>
          <w:tcPr>
            <w:tcW w:w="834" w:type="pct"/>
          </w:tcPr>
          <w:p w14:paraId="34ED3A9D" w14:textId="3A5DD7FC" w:rsidR="00A14A78" w:rsidRPr="000540E1" w:rsidRDefault="00A14A78" w:rsidP="00A14A78">
            <w:pPr>
              <w:pStyle w:val="tbltext"/>
            </w:pPr>
            <w:r>
              <w:t>Sell-side</w:t>
            </w:r>
          </w:p>
        </w:tc>
      </w:tr>
      <w:tr w:rsidR="005F34F7" w:rsidRPr="000540E1" w14:paraId="41812CDD" w14:textId="5BD5E937" w:rsidTr="005F34F7">
        <w:trPr>
          <w:cantSplit/>
        </w:trPr>
        <w:tc>
          <w:tcPr>
            <w:tcW w:w="833" w:type="pct"/>
          </w:tcPr>
          <w:p w14:paraId="5E1D2C95" w14:textId="05FF815F" w:rsidR="00A14A78" w:rsidRPr="000540E1" w:rsidRDefault="00A14A78" w:rsidP="00A14A78">
            <w:pPr>
              <w:pStyle w:val="tbltext"/>
            </w:pPr>
            <w:r>
              <w:t>L3</w:t>
            </w:r>
          </w:p>
        </w:tc>
        <w:tc>
          <w:tcPr>
            <w:tcW w:w="834" w:type="pct"/>
          </w:tcPr>
          <w:p w14:paraId="31CDC1E0" w14:textId="3612DC80" w:rsidR="00A14A78" w:rsidRPr="000540E1" w:rsidRDefault="00A14A78" w:rsidP="00A14A78">
            <w:pPr>
              <w:pStyle w:val="tbltext"/>
            </w:pPr>
            <w:r>
              <w:t>Large</w:t>
            </w:r>
          </w:p>
        </w:tc>
        <w:tc>
          <w:tcPr>
            <w:tcW w:w="834" w:type="pct"/>
          </w:tcPr>
          <w:p w14:paraId="2A9AE9DE" w14:textId="0CA1DCD1" w:rsidR="00A14A78" w:rsidRPr="000540E1" w:rsidRDefault="00A14A78" w:rsidP="00A14A78">
            <w:pPr>
              <w:pStyle w:val="tbltext"/>
            </w:pPr>
            <w:r>
              <w:t>1–2</w:t>
            </w:r>
          </w:p>
        </w:tc>
        <w:tc>
          <w:tcPr>
            <w:tcW w:w="833" w:type="pct"/>
          </w:tcPr>
          <w:p w14:paraId="00D63D11" w14:textId="38A0E7E3" w:rsidR="00A14A78" w:rsidRPr="000540E1" w:rsidRDefault="00A14A78" w:rsidP="00A14A78">
            <w:pPr>
              <w:pStyle w:val="tbltext"/>
            </w:pPr>
            <w:r>
              <w:t>Self</w:t>
            </w:r>
          </w:p>
        </w:tc>
        <w:tc>
          <w:tcPr>
            <w:tcW w:w="834" w:type="pct"/>
          </w:tcPr>
          <w:p w14:paraId="5FBF1B24" w14:textId="0FECBE84" w:rsidR="00A14A78" w:rsidRPr="000540E1" w:rsidRDefault="00A14A78" w:rsidP="00A14A78">
            <w:pPr>
              <w:pStyle w:val="tbltext"/>
            </w:pPr>
            <w:r>
              <w:t>Yes</w:t>
            </w:r>
          </w:p>
        </w:tc>
        <w:tc>
          <w:tcPr>
            <w:tcW w:w="834" w:type="pct"/>
          </w:tcPr>
          <w:p w14:paraId="3860DCD1" w14:textId="085599A2" w:rsidR="00A14A78" w:rsidRPr="000540E1" w:rsidRDefault="00A14A78" w:rsidP="00A14A78">
            <w:pPr>
              <w:pStyle w:val="tbltext"/>
            </w:pPr>
            <w:r>
              <w:t>Sell-side</w:t>
            </w:r>
          </w:p>
        </w:tc>
      </w:tr>
      <w:tr w:rsidR="005F34F7" w:rsidRPr="000540E1" w14:paraId="068AD97E" w14:textId="77777777" w:rsidTr="005F34F7">
        <w:trPr>
          <w:cantSplit/>
        </w:trPr>
        <w:tc>
          <w:tcPr>
            <w:tcW w:w="833" w:type="pct"/>
          </w:tcPr>
          <w:p w14:paraId="29C7AD75" w14:textId="150681A3" w:rsidR="00A14A78" w:rsidRDefault="00A14A78" w:rsidP="00A14A78">
            <w:pPr>
              <w:pStyle w:val="tbltext"/>
            </w:pPr>
            <w:r>
              <w:t>M1</w:t>
            </w:r>
          </w:p>
        </w:tc>
        <w:tc>
          <w:tcPr>
            <w:tcW w:w="834" w:type="pct"/>
          </w:tcPr>
          <w:p w14:paraId="6C561A72" w14:textId="35A81166" w:rsidR="00A14A78" w:rsidRDefault="00A14A78" w:rsidP="00A14A78">
            <w:pPr>
              <w:pStyle w:val="tbltext"/>
            </w:pPr>
            <w:r>
              <w:t>Medium</w:t>
            </w:r>
          </w:p>
        </w:tc>
        <w:tc>
          <w:tcPr>
            <w:tcW w:w="834" w:type="pct"/>
          </w:tcPr>
          <w:p w14:paraId="3E41896A" w14:textId="0BB03EF7" w:rsidR="00A14A78" w:rsidRDefault="00A14A78" w:rsidP="00A14A78">
            <w:pPr>
              <w:pStyle w:val="tbltext"/>
            </w:pPr>
            <w:r>
              <w:t>3–5</w:t>
            </w:r>
          </w:p>
        </w:tc>
        <w:tc>
          <w:tcPr>
            <w:tcW w:w="833" w:type="pct"/>
          </w:tcPr>
          <w:p w14:paraId="7341870A" w14:textId="036C3318" w:rsidR="00A14A78" w:rsidRDefault="00A14A78" w:rsidP="00A14A78">
            <w:pPr>
              <w:pStyle w:val="tbltext"/>
            </w:pPr>
            <w:r>
              <w:t>Self</w:t>
            </w:r>
          </w:p>
        </w:tc>
        <w:tc>
          <w:tcPr>
            <w:tcW w:w="834" w:type="pct"/>
          </w:tcPr>
          <w:p w14:paraId="33E67B2D" w14:textId="68F0DD62" w:rsidR="00A14A78" w:rsidRDefault="00A14A78" w:rsidP="00A14A78">
            <w:pPr>
              <w:pStyle w:val="tbltext"/>
            </w:pPr>
            <w:r>
              <w:t>Yes</w:t>
            </w:r>
          </w:p>
        </w:tc>
        <w:tc>
          <w:tcPr>
            <w:tcW w:w="834" w:type="pct"/>
          </w:tcPr>
          <w:p w14:paraId="2C104098" w14:textId="7B69E53F" w:rsidR="00A14A78" w:rsidRDefault="00A14A78" w:rsidP="00A14A78">
            <w:pPr>
              <w:pStyle w:val="tbltext"/>
            </w:pPr>
            <w:r>
              <w:t>Sell-side</w:t>
            </w:r>
          </w:p>
        </w:tc>
      </w:tr>
      <w:tr w:rsidR="005F34F7" w:rsidRPr="000540E1" w14:paraId="5A916CAC" w14:textId="77777777" w:rsidTr="005F34F7">
        <w:trPr>
          <w:cantSplit/>
        </w:trPr>
        <w:tc>
          <w:tcPr>
            <w:tcW w:w="833" w:type="pct"/>
          </w:tcPr>
          <w:p w14:paraId="468B915F" w14:textId="3958AC6D" w:rsidR="00A14A78" w:rsidRDefault="00A14A78" w:rsidP="00A14A78">
            <w:pPr>
              <w:pStyle w:val="tbltext"/>
            </w:pPr>
            <w:r>
              <w:t>M2</w:t>
            </w:r>
          </w:p>
        </w:tc>
        <w:tc>
          <w:tcPr>
            <w:tcW w:w="834" w:type="pct"/>
          </w:tcPr>
          <w:p w14:paraId="7354D0AF" w14:textId="19DB98DB" w:rsidR="00A14A78" w:rsidRDefault="00A14A78" w:rsidP="00A14A78">
            <w:pPr>
              <w:pStyle w:val="tbltext"/>
            </w:pPr>
            <w:r>
              <w:t>Medium</w:t>
            </w:r>
          </w:p>
        </w:tc>
        <w:tc>
          <w:tcPr>
            <w:tcW w:w="834" w:type="pct"/>
          </w:tcPr>
          <w:p w14:paraId="17D6CE5A" w14:textId="1883D96F" w:rsidR="00A14A78" w:rsidRDefault="00A14A78" w:rsidP="00A14A78">
            <w:pPr>
              <w:pStyle w:val="tbltext"/>
            </w:pPr>
            <w:r>
              <w:t>3–5</w:t>
            </w:r>
          </w:p>
        </w:tc>
        <w:tc>
          <w:tcPr>
            <w:tcW w:w="833" w:type="pct"/>
          </w:tcPr>
          <w:p w14:paraId="26B70114" w14:textId="153942EE" w:rsidR="00A14A78" w:rsidRDefault="00A14A78" w:rsidP="00A14A78">
            <w:pPr>
              <w:pStyle w:val="tbltext"/>
            </w:pPr>
            <w:r>
              <w:t>Self</w:t>
            </w:r>
          </w:p>
        </w:tc>
        <w:tc>
          <w:tcPr>
            <w:tcW w:w="834" w:type="pct"/>
          </w:tcPr>
          <w:p w14:paraId="55B12073" w14:textId="50C96280" w:rsidR="00A14A78" w:rsidRDefault="00A14A78" w:rsidP="00A14A78">
            <w:pPr>
              <w:pStyle w:val="tbltext"/>
            </w:pPr>
            <w:r>
              <w:t>Yes</w:t>
            </w:r>
          </w:p>
        </w:tc>
        <w:tc>
          <w:tcPr>
            <w:tcW w:w="834" w:type="pct"/>
          </w:tcPr>
          <w:p w14:paraId="0736C0DC" w14:textId="58D4B1A0" w:rsidR="00A14A78" w:rsidRDefault="00A14A78" w:rsidP="00A14A78">
            <w:pPr>
              <w:pStyle w:val="tbltext"/>
            </w:pPr>
            <w:r>
              <w:t>Buy-side</w:t>
            </w:r>
          </w:p>
        </w:tc>
      </w:tr>
      <w:tr w:rsidR="005F34F7" w:rsidRPr="000540E1" w14:paraId="32DE8661" w14:textId="77777777" w:rsidTr="005F34F7">
        <w:trPr>
          <w:cantSplit/>
        </w:trPr>
        <w:tc>
          <w:tcPr>
            <w:tcW w:w="833" w:type="pct"/>
          </w:tcPr>
          <w:p w14:paraId="539FAEFC" w14:textId="108B3C36" w:rsidR="00A14A78" w:rsidRDefault="00A14A78" w:rsidP="00A14A78">
            <w:pPr>
              <w:pStyle w:val="tbltext"/>
            </w:pPr>
            <w:r>
              <w:t>M3</w:t>
            </w:r>
          </w:p>
        </w:tc>
        <w:tc>
          <w:tcPr>
            <w:tcW w:w="834" w:type="pct"/>
          </w:tcPr>
          <w:p w14:paraId="3008ED3D" w14:textId="48919EE3" w:rsidR="00A14A78" w:rsidRDefault="00A14A78" w:rsidP="00A14A78">
            <w:pPr>
              <w:pStyle w:val="tbltext"/>
            </w:pPr>
            <w:r>
              <w:t>Medium</w:t>
            </w:r>
          </w:p>
        </w:tc>
        <w:tc>
          <w:tcPr>
            <w:tcW w:w="834" w:type="pct"/>
          </w:tcPr>
          <w:p w14:paraId="61820204" w14:textId="158937F2" w:rsidR="00A14A78" w:rsidRDefault="00A14A78" w:rsidP="00A14A78">
            <w:pPr>
              <w:pStyle w:val="tbltext"/>
            </w:pPr>
            <w:r>
              <w:t>3–5</w:t>
            </w:r>
          </w:p>
        </w:tc>
        <w:tc>
          <w:tcPr>
            <w:tcW w:w="833" w:type="pct"/>
          </w:tcPr>
          <w:p w14:paraId="539450E2" w14:textId="4C33EB59" w:rsidR="00A14A78" w:rsidRDefault="00A14A78" w:rsidP="00A14A78">
            <w:pPr>
              <w:pStyle w:val="tbltext"/>
            </w:pPr>
            <w:r>
              <w:t>Delegated</w:t>
            </w:r>
          </w:p>
        </w:tc>
        <w:tc>
          <w:tcPr>
            <w:tcW w:w="834" w:type="pct"/>
          </w:tcPr>
          <w:p w14:paraId="7BEFCA7C" w14:textId="7ED88427" w:rsidR="00A14A78" w:rsidRDefault="00A14A78" w:rsidP="00A14A78">
            <w:pPr>
              <w:pStyle w:val="tbltext"/>
            </w:pPr>
            <w:r>
              <w:t>Yes</w:t>
            </w:r>
          </w:p>
        </w:tc>
        <w:tc>
          <w:tcPr>
            <w:tcW w:w="834" w:type="pct"/>
          </w:tcPr>
          <w:p w14:paraId="3937F5D4" w14:textId="5352CFAB" w:rsidR="00A14A78" w:rsidRDefault="00A14A78" w:rsidP="00A14A78">
            <w:pPr>
              <w:pStyle w:val="tbltext"/>
            </w:pPr>
            <w:r>
              <w:t>Sell-side</w:t>
            </w:r>
          </w:p>
        </w:tc>
      </w:tr>
      <w:tr w:rsidR="005F34F7" w:rsidRPr="000540E1" w14:paraId="365BD8E3" w14:textId="77777777" w:rsidTr="005F34F7">
        <w:trPr>
          <w:cantSplit/>
        </w:trPr>
        <w:tc>
          <w:tcPr>
            <w:tcW w:w="833" w:type="pct"/>
          </w:tcPr>
          <w:p w14:paraId="1311B461" w14:textId="4BCFF2C5" w:rsidR="00373394" w:rsidRDefault="00373394" w:rsidP="00373394">
            <w:pPr>
              <w:pStyle w:val="tbltext"/>
            </w:pPr>
            <w:r>
              <w:t>M4</w:t>
            </w:r>
          </w:p>
        </w:tc>
        <w:tc>
          <w:tcPr>
            <w:tcW w:w="834" w:type="pct"/>
          </w:tcPr>
          <w:p w14:paraId="2941B792" w14:textId="03A13C72" w:rsidR="00373394" w:rsidRDefault="00373394" w:rsidP="00373394">
            <w:pPr>
              <w:pStyle w:val="tbltext"/>
            </w:pPr>
            <w:r>
              <w:t>Medium</w:t>
            </w:r>
          </w:p>
        </w:tc>
        <w:tc>
          <w:tcPr>
            <w:tcW w:w="834" w:type="pct"/>
          </w:tcPr>
          <w:p w14:paraId="592C16B5" w14:textId="5B98A2D3" w:rsidR="00373394" w:rsidRDefault="00373394" w:rsidP="00373394">
            <w:pPr>
              <w:pStyle w:val="tbltext"/>
            </w:pPr>
            <w:r>
              <w:t>3–5</w:t>
            </w:r>
          </w:p>
        </w:tc>
        <w:tc>
          <w:tcPr>
            <w:tcW w:w="833" w:type="pct"/>
          </w:tcPr>
          <w:p w14:paraId="0B700037" w14:textId="09AB6873" w:rsidR="00373394" w:rsidRDefault="00373394" w:rsidP="00373394">
            <w:pPr>
              <w:pStyle w:val="tbltext"/>
            </w:pPr>
            <w:r>
              <w:t>Delegated</w:t>
            </w:r>
          </w:p>
        </w:tc>
        <w:tc>
          <w:tcPr>
            <w:tcW w:w="834" w:type="pct"/>
          </w:tcPr>
          <w:p w14:paraId="62C4E504" w14:textId="0FD2B78E" w:rsidR="00373394" w:rsidRDefault="00373394" w:rsidP="00373394">
            <w:pPr>
              <w:pStyle w:val="tbltext"/>
            </w:pPr>
            <w:r>
              <w:t>Yes</w:t>
            </w:r>
          </w:p>
        </w:tc>
        <w:tc>
          <w:tcPr>
            <w:tcW w:w="834" w:type="pct"/>
          </w:tcPr>
          <w:p w14:paraId="3692BCA5" w14:textId="21D889C5" w:rsidR="00373394" w:rsidRDefault="00373394" w:rsidP="00373394">
            <w:pPr>
              <w:pStyle w:val="tbltext"/>
            </w:pPr>
            <w:r>
              <w:t>Buy-side</w:t>
            </w:r>
          </w:p>
        </w:tc>
      </w:tr>
      <w:tr w:rsidR="005F34F7" w:rsidRPr="000540E1" w14:paraId="4746C6F3" w14:textId="77777777" w:rsidTr="005F34F7">
        <w:trPr>
          <w:cantSplit/>
        </w:trPr>
        <w:tc>
          <w:tcPr>
            <w:tcW w:w="833" w:type="pct"/>
          </w:tcPr>
          <w:p w14:paraId="7083C4ED" w14:textId="049B348D" w:rsidR="00373394" w:rsidRDefault="00373394" w:rsidP="00373394">
            <w:pPr>
              <w:pStyle w:val="tbltext"/>
            </w:pPr>
            <w:r>
              <w:t>M5</w:t>
            </w:r>
          </w:p>
        </w:tc>
        <w:tc>
          <w:tcPr>
            <w:tcW w:w="834" w:type="pct"/>
          </w:tcPr>
          <w:p w14:paraId="0A26A5F2" w14:textId="513BBE78" w:rsidR="00373394" w:rsidRDefault="00373394" w:rsidP="00373394">
            <w:pPr>
              <w:pStyle w:val="tbltext"/>
            </w:pPr>
            <w:r>
              <w:t>Medium</w:t>
            </w:r>
          </w:p>
        </w:tc>
        <w:tc>
          <w:tcPr>
            <w:tcW w:w="834" w:type="pct"/>
          </w:tcPr>
          <w:p w14:paraId="07B8F37C" w14:textId="7C06D2BD" w:rsidR="00373394" w:rsidRDefault="00373394" w:rsidP="00373394">
            <w:pPr>
              <w:pStyle w:val="tbltext"/>
            </w:pPr>
            <w:r>
              <w:t>1–2</w:t>
            </w:r>
          </w:p>
        </w:tc>
        <w:tc>
          <w:tcPr>
            <w:tcW w:w="833" w:type="pct"/>
          </w:tcPr>
          <w:p w14:paraId="5D6182DC" w14:textId="2CCF9200" w:rsidR="00373394" w:rsidRDefault="00373394" w:rsidP="00373394">
            <w:pPr>
              <w:pStyle w:val="tbltext"/>
            </w:pPr>
            <w:r>
              <w:t>Self</w:t>
            </w:r>
          </w:p>
        </w:tc>
        <w:tc>
          <w:tcPr>
            <w:tcW w:w="834" w:type="pct"/>
          </w:tcPr>
          <w:p w14:paraId="00E60F36" w14:textId="3220CEDC" w:rsidR="00373394" w:rsidRDefault="00373394" w:rsidP="00373394">
            <w:pPr>
              <w:pStyle w:val="tbltext"/>
            </w:pPr>
            <w:r>
              <w:t>No</w:t>
            </w:r>
          </w:p>
        </w:tc>
        <w:tc>
          <w:tcPr>
            <w:tcW w:w="834" w:type="pct"/>
          </w:tcPr>
          <w:p w14:paraId="14E24391" w14:textId="2FACA4FD" w:rsidR="00373394" w:rsidRDefault="00373394" w:rsidP="00373394">
            <w:pPr>
              <w:pStyle w:val="tbltext"/>
            </w:pPr>
            <w:r>
              <w:t>Sell-side</w:t>
            </w:r>
          </w:p>
        </w:tc>
      </w:tr>
      <w:tr w:rsidR="005F34F7" w:rsidRPr="000540E1" w14:paraId="35A41A7E" w14:textId="77777777" w:rsidTr="005F34F7">
        <w:trPr>
          <w:cantSplit/>
        </w:trPr>
        <w:tc>
          <w:tcPr>
            <w:tcW w:w="833" w:type="pct"/>
          </w:tcPr>
          <w:p w14:paraId="55B0E2B6" w14:textId="1042AD6D" w:rsidR="00373394" w:rsidRDefault="00373394" w:rsidP="00373394">
            <w:pPr>
              <w:pStyle w:val="tbltext"/>
            </w:pPr>
            <w:r>
              <w:t>M6</w:t>
            </w:r>
          </w:p>
        </w:tc>
        <w:tc>
          <w:tcPr>
            <w:tcW w:w="834" w:type="pct"/>
          </w:tcPr>
          <w:p w14:paraId="7DF633CF" w14:textId="6903E30C" w:rsidR="00373394" w:rsidRDefault="00373394" w:rsidP="00373394">
            <w:pPr>
              <w:pStyle w:val="tbltext"/>
            </w:pPr>
            <w:r>
              <w:t>Medium</w:t>
            </w:r>
          </w:p>
        </w:tc>
        <w:tc>
          <w:tcPr>
            <w:tcW w:w="834" w:type="pct"/>
          </w:tcPr>
          <w:p w14:paraId="692E8847" w14:textId="552A22E4" w:rsidR="00373394" w:rsidRDefault="00373394" w:rsidP="00373394">
            <w:pPr>
              <w:pStyle w:val="tbltext"/>
            </w:pPr>
            <w:r>
              <w:t>1–2</w:t>
            </w:r>
          </w:p>
        </w:tc>
        <w:tc>
          <w:tcPr>
            <w:tcW w:w="833" w:type="pct"/>
          </w:tcPr>
          <w:p w14:paraId="392F0434" w14:textId="4C89755F" w:rsidR="00373394" w:rsidRDefault="00373394" w:rsidP="00373394">
            <w:pPr>
              <w:pStyle w:val="tbltext"/>
            </w:pPr>
            <w:r>
              <w:t>Self</w:t>
            </w:r>
          </w:p>
        </w:tc>
        <w:tc>
          <w:tcPr>
            <w:tcW w:w="834" w:type="pct"/>
          </w:tcPr>
          <w:p w14:paraId="5BC114C2" w14:textId="5068909B" w:rsidR="00373394" w:rsidRDefault="00373394" w:rsidP="00373394">
            <w:pPr>
              <w:pStyle w:val="tbltext"/>
            </w:pPr>
            <w:r>
              <w:t>Yes</w:t>
            </w:r>
          </w:p>
        </w:tc>
        <w:tc>
          <w:tcPr>
            <w:tcW w:w="834" w:type="pct"/>
          </w:tcPr>
          <w:p w14:paraId="19463676" w14:textId="56807501" w:rsidR="00373394" w:rsidRDefault="00373394" w:rsidP="00373394">
            <w:pPr>
              <w:pStyle w:val="tbltext"/>
            </w:pPr>
            <w:r>
              <w:t>Sell-side</w:t>
            </w:r>
          </w:p>
        </w:tc>
      </w:tr>
      <w:tr w:rsidR="005F34F7" w:rsidRPr="000540E1" w14:paraId="64699A04" w14:textId="77777777" w:rsidTr="005F34F7">
        <w:trPr>
          <w:cantSplit/>
        </w:trPr>
        <w:tc>
          <w:tcPr>
            <w:tcW w:w="833" w:type="pct"/>
          </w:tcPr>
          <w:p w14:paraId="2DAC43CF" w14:textId="4D19A0BE" w:rsidR="00373394" w:rsidRDefault="00373394" w:rsidP="00373394">
            <w:pPr>
              <w:pStyle w:val="tbltext"/>
            </w:pPr>
            <w:r>
              <w:t>M7</w:t>
            </w:r>
          </w:p>
        </w:tc>
        <w:tc>
          <w:tcPr>
            <w:tcW w:w="834" w:type="pct"/>
          </w:tcPr>
          <w:p w14:paraId="44B237D6" w14:textId="6B3884D8" w:rsidR="00373394" w:rsidRDefault="00373394" w:rsidP="00373394">
            <w:pPr>
              <w:pStyle w:val="tbltext"/>
            </w:pPr>
            <w:r>
              <w:t>Medium</w:t>
            </w:r>
          </w:p>
        </w:tc>
        <w:tc>
          <w:tcPr>
            <w:tcW w:w="834" w:type="pct"/>
          </w:tcPr>
          <w:p w14:paraId="0414EC34" w14:textId="724D3AEB" w:rsidR="00373394" w:rsidRDefault="00373394" w:rsidP="00373394">
            <w:pPr>
              <w:pStyle w:val="tbltext"/>
            </w:pPr>
            <w:r>
              <w:t>1–2</w:t>
            </w:r>
          </w:p>
        </w:tc>
        <w:tc>
          <w:tcPr>
            <w:tcW w:w="833" w:type="pct"/>
          </w:tcPr>
          <w:p w14:paraId="31B64A1A" w14:textId="17DA2B4E" w:rsidR="00373394" w:rsidRDefault="00373394" w:rsidP="00373394">
            <w:pPr>
              <w:pStyle w:val="tbltext"/>
            </w:pPr>
            <w:r>
              <w:t>Delegated</w:t>
            </w:r>
          </w:p>
        </w:tc>
        <w:tc>
          <w:tcPr>
            <w:tcW w:w="834" w:type="pct"/>
          </w:tcPr>
          <w:p w14:paraId="39459EAA" w14:textId="27BC1266" w:rsidR="00373394" w:rsidRDefault="00373394" w:rsidP="00373394">
            <w:pPr>
              <w:pStyle w:val="tbltext"/>
            </w:pPr>
            <w:r>
              <w:t>Yes</w:t>
            </w:r>
          </w:p>
        </w:tc>
        <w:tc>
          <w:tcPr>
            <w:tcW w:w="834" w:type="pct"/>
          </w:tcPr>
          <w:p w14:paraId="3EE4A3B8" w14:textId="751A9C55" w:rsidR="00373394" w:rsidRDefault="00373394" w:rsidP="00373394">
            <w:pPr>
              <w:pStyle w:val="tbltext"/>
            </w:pPr>
            <w:r>
              <w:t>Sell-side</w:t>
            </w:r>
          </w:p>
        </w:tc>
      </w:tr>
      <w:tr w:rsidR="005F34F7" w:rsidRPr="000540E1" w14:paraId="792DF3E3" w14:textId="77777777" w:rsidTr="005F34F7">
        <w:trPr>
          <w:cantSplit/>
        </w:trPr>
        <w:tc>
          <w:tcPr>
            <w:tcW w:w="833" w:type="pct"/>
          </w:tcPr>
          <w:p w14:paraId="0B87B625" w14:textId="08CFC314" w:rsidR="00373394" w:rsidRDefault="00373394" w:rsidP="00373394">
            <w:pPr>
              <w:pStyle w:val="tbltext"/>
            </w:pPr>
            <w:r>
              <w:t>M8</w:t>
            </w:r>
          </w:p>
        </w:tc>
        <w:tc>
          <w:tcPr>
            <w:tcW w:w="834" w:type="pct"/>
          </w:tcPr>
          <w:p w14:paraId="70636E99" w14:textId="257B8ED7" w:rsidR="00373394" w:rsidRDefault="00373394" w:rsidP="00373394">
            <w:pPr>
              <w:pStyle w:val="tbltext"/>
            </w:pPr>
            <w:r>
              <w:t>Medium</w:t>
            </w:r>
          </w:p>
        </w:tc>
        <w:tc>
          <w:tcPr>
            <w:tcW w:w="834" w:type="pct"/>
          </w:tcPr>
          <w:p w14:paraId="3196D686" w14:textId="102386E8" w:rsidR="00373394" w:rsidRDefault="00373394" w:rsidP="00373394">
            <w:pPr>
              <w:pStyle w:val="tbltext"/>
            </w:pPr>
            <w:r>
              <w:t>1–2</w:t>
            </w:r>
          </w:p>
        </w:tc>
        <w:tc>
          <w:tcPr>
            <w:tcW w:w="833" w:type="pct"/>
          </w:tcPr>
          <w:p w14:paraId="02B09EBC" w14:textId="3DFB199E" w:rsidR="00373394" w:rsidRDefault="00373394" w:rsidP="00373394">
            <w:pPr>
              <w:pStyle w:val="tbltext"/>
            </w:pPr>
            <w:r>
              <w:t>Delegated</w:t>
            </w:r>
          </w:p>
        </w:tc>
        <w:tc>
          <w:tcPr>
            <w:tcW w:w="834" w:type="pct"/>
          </w:tcPr>
          <w:p w14:paraId="4CC653C9" w14:textId="6512AA19" w:rsidR="00373394" w:rsidRDefault="00373394" w:rsidP="00373394">
            <w:pPr>
              <w:pStyle w:val="tbltext"/>
            </w:pPr>
            <w:r>
              <w:t>Yes</w:t>
            </w:r>
          </w:p>
        </w:tc>
        <w:tc>
          <w:tcPr>
            <w:tcW w:w="834" w:type="pct"/>
          </w:tcPr>
          <w:p w14:paraId="6F89166B" w14:textId="181469E9" w:rsidR="00373394" w:rsidRDefault="00373394" w:rsidP="00373394">
            <w:pPr>
              <w:pStyle w:val="tbltext"/>
            </w:pPr>
            <w:r>
              <w:t>Buy-side</w:t>
            </w:r>
          </w:p>
        </w:tc>
      </w:tr>
      <w:tr w:rsidR="005F34F7" w:rsidRPr="000540E1" w14:paraId="4282D545" w14:textId="77777777" w:rsidTr="005F34F7">
        <w:trPr>
          <w:cantSplit/>
        </w:trPr>
        <w:tc>
          <w:tcPr>
            <w:tcW w:w="833" w:type="pct"/>
          </w:tcPr>
          <w:p w14:paraId="07F2B271" w14:textId="25DB7E62" w:rsidR="00373394" w:rsidRDefault="00373394" w:rsidP="00373394">
            <w:pPr>
              <w:pStyle w:val="tbltext"/>
            </w:pPr>
            <w:r>
              <w:t>S1</w:t>
            </w:r>
          </w:p>
        </w:tc>
        <w:tc>
          <w:tcPr>
            <w:tcW w:w="834" w:type="pct"/>
          </w:tcPr>
          <w:p w14:paraId="04B441E4" w14:textId="708C4A0B" w:rsidR="00373394" w:rsidRDefault="00373394" w:rsidP="00373394">
            <w:pPr>
              <w:pStyle w:val="tbltext"/>
            </w:pPr>
            <w:r>
              <w:t>Small</w:t>
            </w:r>
          </w:p>
        </w:tc>
        <w:tc>
          <w:tcPr>
            <w:tcW w:w="834" w:type="pct"/>
          </w:tcPr>
          <w:p w14:paraId="12507B15" w14:textId="51018AAC" w:rsidR="00373394" w:rsidRDefault="00373394" w:rsidP="00373394">
            <w:pPr>
              <w:pStyle w:val="tbltext"/>
            </w:pPr>
            <w:r>
              <w:t>3–5</w:t>
            </w:r>
          </w:p>
        </w:tc>
        <w:tc>
          <w:tcPr>
            <w:tcW w:w="833" w:type="pct"/>
          </w:tcPr>
          <w:p w14:paraId="348E9166" w14:textId="4331B9EE" w:rsidR="00373394" w:rsidRDefault="00373394" w:rsidP="00373394">
            <w:pPr>
              <w:pStyle w:val="tbltext"/>
            </w:pPr>
            <w:r>
              <w:t>Self</w:t>
            </w:r>
          </w:p>
        </w:tc>
        <w:tc>
          <w:tcPr>
            <w:tcW w:w="834" w:type="pct"/>
          </w:tcPr>
          <w:p w14:paraId="5C6CB571" w14:textId="65B6CA4F" w:rsidR="00373394" w:rsidRDefault="00373394" w:rsidP="00373394">
            <w:pPr>
              <w:pStyle w:val="tbltext"/>
            </w:pPr>
            <w:r>
              <w:t>No</w:t>
            </w:r>
          </w:p>
        </w:tc>
        <w:tc>
          <w:tcPr>
            <w:tcW w:w="834" w:type="pct"/>
          </w:tcPr>
          <w:p w14:paraId="5179A384" w14:textId="307C134A" w:rsidR="00373394" w:rsidRDefault="00373394" w:rsidP="00373394">
            <w:pPr>
              <w:pStyle w:val="tbltext"/>
            </w:pPr>
            <w:r>
              <w:t>Sell-side</w:t>
            </w:r>
          </w:p>
        </w:tc>
      </w:tr>
      <w:tr w:rsidR="005F34F7" w:rsidRPr="000540E1" w14:paraId="6BAB230F" w14:textId="77777777" w:rsidTr="005F34F7">
        <w:trPr>
          <w:cantSplit/>
        </w:trPr>
        <w:tc>
          <w:tcPr>
            <w:tcW w:w="833" w:type="pct"/>
          </w:tcPr>
          <w:p w14:paraId="4C3AB637" w14:textId="575FE23A" w:rsidR="00373394" w:rsidRDefault="00373394" w:rsidP="00373394">
            <w:pPr>
              <w:pStyle w:val="tbltext"/>
            </w:pPr>
            <w:r>
              <w:t>S2</w:t>
            </w:r>
          </w:p>
        </w:tc>
        <w:tc>
          <w:tcPr>
            <w:tcW w:w="834" w:type="pct"/>
          </w:tcPr>
          <w:p w14:paraId="036D3D51" w14:textId="14769D45" w:rsidR="00373394" w:rsidRDefault="00373394" w:rsidP="00373394">
            <w:pPr>
              <w:pStyle w:val="tbltext"/>
            </w:pPr>
            <w:r>
              <w:t>Small</w:t>
            </w:r>
          </w:p>
        </w:tc>
        <w:tc>
          <w:tcPr>
            <w:tcW w:w="834" w:type="pct"/>
          </w:tcPr>
          <w:p w14:paraId="10D5FE08" w14:textId="257C1D82" w:rsidR="00373394" w:rsidRDefault="00373394" w:rsidP="00373394">
            <w:pPr>
              <w:pStyle w:val="tbltext"/>
            </w:pPr>
            <w:r>
              <w:t>3–5</w:t>
            </w:r>
          </w:p>
        </w:tc>
        <w:tc>
          <w:tcPr>
            <w:tcW w:w="833" w:type="pct"/>
          </w:tcPr>
          <w:p w14:paraId="7C7F35D2" w14:textId="2584DBF8" w:rsidR="00373394" w:rsidRDefault="00373394" w:rsidP="00373394">
            <w:pPr>
              <w:pStyle w:val="tbltext"/>
            </w:pPr>
            <w:r>
              <w:t>Self</w:t>
            </w:r>
          </w:p>
        </w:tc>
        <w:tc>
          <w:tcPr>
            <w:tcW w:w="834" w:type="pct"/>
          </w:tcPr>
          <w:p w14:paraId="3740ACFB" w14:textId="74F78777" w:rsidR="00373394" w:rsidRDefault="00373394" w:rsidP="00373394">
            <w:pPr>
              <w:pStyle w:val="tbltext"/>
            </w:pPr>
            <w:r>
              <w:t>No</w:t>
            </w:r>
          </w:p>
        </w:tc>
        <w:tc>
          <w:tcPr>
            <w:tcW w:w="834" w:type="pct"/>
          </w:tcPr>
          <w:p w14:paraId="4738DE0B" w14:textId="5714E048" w:rsidR="00373394" w:rsidRDefault="00373394" w:rsidP="00373394">
            <w:pPr>
              <w:pStyle w:val="tbltext"/>
            </w:pPr>
            <w:r>
              <w:t>Buy-side</w:t>
            </w:r>
          </w:p>
        </w:tc>
      </w:tr>
      <w:tr w:rsidR="005F34F7" w:rsidRPr="000540E1" w14:paraId="2569A192" w14:textId="77777777" w:rsidTr="005F34F7">
        <w:trPr>
          <w:cantSplit/>
        </w:trPr>
        <w:tc>
          <w:tcPr>
            <w:tcW w:w="833" w:type="pct"/>
          </w:tcPr>
          <w:p w14:paraId="7D50E591" w14:textId="4BC0448F" w:rsidR="00373394" w:rsidRDefault="00373394" w:rsidP="00373394">
            <w:pPr>
              <w:pStyle w:val="tbltext"/>
            </w:pPr>
            <w:r>
              <w:t>S3</w:t>
            </w:r>
          </w:p>
        </w:tc>
        <w:tc>
          <w:tcPr>
            <w:tcW w:w="834" w:type="pct"/>
          </w:tcPr>
          <w:p w14:paraId="2383F3F9" w14:textId="2A130289" w:rsidR="00373394" w:rsidRDefault="00373394" w:rsidP="00373394">
            <w:pPr>
              <w:pStyle w:val="tbltext"/>
            </w:pPr>
            <w:r>
              <w:t>Small</w:t>
            </w:r>
          </w:p>
        </w:tc>
        <w:tc>
          <w:tcPr>
            <w:tcW w:w="834" w:type="pct"/>
          </w:tcPr>
          <w:p w14:paraId="18335A85" w14:textId="3654FA6B" w:rsidR="00373394" w:rsidRDefault="00373394" w:rsidP="00373394">
            <w:pPr>
              <w:pStyle w:val="tbltext"/>
            </w:pPr>
            <w:r>
              <w:t>3–5</w:t>
            </w:r>
          </w:p>
        </w:tc>
        <w:tc>
          <w:tcPr>
            <w:tcW w:w="833" w:type="pct"/>
          </w:tcPr>
          <w:p w14:paraId="0524699A" w14:textId="75179AA2" w:rsidR="00373394" w:rsidRDefault="00373394" w:rsidP="00373394">
            <w:pPr>
              <w:pStyle w:val="tbltext"/>
            </w:pPr>
            <w:r>
              <w:t>Self</w:t>
            </w:r>
          </w:p>
        </w:tc>
        <w:tc>
          <w:tcPr>
            <w:tcW w:w="834" w:type="pct"/>
          </w:tcPr>
          <w:p w14:paraId="60F3DEC8" w14:textId="259428CC" w:rsidR="00373394" w:rsidRDefault="00373394" w:rsidP="00373394">
            <w:pPr>
              <w:pStyle w:val="tbltext"/>
            </w:pPr>
            <w:r>
              <w:t>Yes</w:t>
            </w:r>
          </w:p>
        </w:tc>
        <w:tc>
          <w:tcPr>
            <w:tcW w:w="834" w:type="pct"/>
          </w:tcPr>
          <w:p w14:paraId="06B69473" w14:textId="3FEDDBF9" w:rsidR="00373394" w:rsidRDefault="00373394" w:rsidP="00373394">
            <w:pPr>
              <w:pStyle w:val="tbltext"/>
            </w:pPr>
            <w:r>
              <w:t>Buy-side</w:t>
            </w:r>
          </w:p>
        </w:tc>
      </w:tr>
      <w:tr w:rsidR="005F34F7" w:rsidRPr="000540E1" w14:paraId="1C173736" w14:textId="77777777" w:rsidTr="005F34F7">
        <w:trPr>
          <w:cantSplit/>
        </w:trPr>
        <w:tc>
          <w:tcPr>
            <w:tcW w:w="833" w:type="pct"/>
          </w:tcPr>
          <w:p w14:paraId="6A774343" w14:textId="4FC0D8D6" w:rsidR="00373394" w:rsidRDefault="00373394" w:rsidP="00373394">
            <w:pPr>
              <w:pStyle w:val="tbltext"/>
            </w:pPr>
            <w:r>
              <w:t>S4</w:t>
            </w:r>
          </w:p>
        </w:tc>
        <w:tc>
          <w:tcPr>
            <w:tcW w:w="834" w:type="pct"/>
          </w:tcPr>
          <w:p w14:paraId="7C5C5061" w14:textId="344B6A7A" w:rsidR="00373394" w:rsidRDefault="00373394" w:rsidP="00373394">
            <w:pPr>
              <w:pStyle w:val="tbltext"/>
            </w:pPr>
            <w:r>
              <w:t>Small</w:t>
            </w:r>
          </w:p>
        </w:tc>
        <w:tc>
          <w:tcPr>
            <w:tcW w:w="834" w:type="pct"/>
          </w:tcPr>
          <w:p w14:paraId="7C84A0C8" w14:textId="4C4090E7" w:rsidR="00373394" w:rsidRDefault="00373394" w:rsidP="00373394">
            <w:pPr>
              <w:pStyle w:val="tbltext"/>
            </w:pPr>
            <w:r>
              <w:t>3–5</w:t>
            </w:r>
          </w:p>
        </w:tc>
        <w:tc>
          <w:tcPr>
            <w:tcW w:w="833" w:type="pct"/>
          </w:tcPr>
          <w:p w14:paraId="07190921" w14:textId="6403CBCD" w:rsidR="00373394" w:rsidRDefault="00373394" w:rsidP="00373394">
            <w:pPr>
              <w:pStyle w:val="tbltext"/>
            </w:pPr>
            <w:r>
              <w:t>Delegated</w:t>
            </w:r>
          </w:p>
        </w:tc>
        <w:tc>
          <w:tcPr>
            <w:tcW w:w="834" w:type="pct"/>
          </w:tcPr>
          <w:p w14:paraId="667FDCD3" w14:textId="00AE682B" w:rsidR="00373394" w:rsidRDefault="00373394" w:rsidP="00373394">
            <w:pPr>
              <w:pStyle w:val="tbltext"/>
            </w:pPr>
            <w:r>
              <w:t>Yes</w:t>
            </w:r>
          </w:p>
        </w:tc>
        <w:tc>
          <w:tcPr>
            <w:tcW w:w="834" w:type="pct"/>
          </w:tcPr>
          <w:p w14:paraId="52478070" w14:textId="3DDEF44A" w:rsidR="00373394" w:rsidRDefault="00373394" w:rsidP="00373394">
            <w:pPr>
              <w:pStyle w:val="tbltext"/>
            </w:pPr>
            <w:r>
              <w:t>Sell-side</w:t>
            </w:r>
          </w:p>
        </w:tc>
      </w:tr>
      <w:tr w:rsidR="005F34F7" w:rsidRPr="000540E1" w14:paraId="124D58EE" w14:textId="77777777" w:rsidTr="005F34F7">
        <w:trPr>
          <w:cantSplit/>
        </w:trPr>
        <w:tc>
          <w:tcPr>
            <w:tcW w:w="833" w:type="pct"/>
          </w:tcPr>
          <w:p w14:paraId="197D2AB1" w14:textId="4FEC69FC" w:rsidR="007E2267" w:rsidRDefault="007E2267" w:rsidP="007E2267">
            <w:pPr>
              <w:pStyle w:val="tbltext"/>
            </w:pPr>
            <w:r>
              <w:t>S5</w:t>
            </w:r>
          </w:p>
        </w:tc>
        <w:tc>
          <w:tcPr>
            <w:tcW w:w="834" w:type="pct"/>
          </w:tcPr>
          <w:p w14:paraId="71DB7CD3" w14:textId="3BAAC3E3" w:rsidR="007E2267" w:rsidRDefault="007E2267" w:rsidP="007E2267">
            <w:pPr>
              <w:pStyle w:val="tbltext"/>
            </w:pPr>
            <w:r>
              <w:t>Small</w:t>
            </w:r>
          </w:p>
        </w:tc>
        <w:tc>
          <w:tcPr>
            <w:tcW w:w="834" w:type="pct"/>
          </w:tcPr>
          <w:p w14:paraId="0C509128" w14:textId="2129AA84" w:rsidR="007E2267" w:rsidRDefault="007E2267" w:rsidP="007E2267">
            <w:pPr>
              <w:pStyle w:val="tbltext"/>
            </w:pPr>
            <w:r>
              <w:t>3–5</w:t>
            </w:r>
          </w:p>
        </w:tc>
        <w:tc>
          <w:tcPr>
            <w:tcW w:w="833" w:type="pct"/>
          </w:tcPr>
          <w:p w14:paraId="09DD7198" w14:textId="567F55A1" w:rsidR="007E2267" w:rsidRDefault="007E2267" w:rsidP="007E2267">
            <w:pPr>
              <w:pStyle w:val="tbltext"/>
            </w:pPr>
            <w:r>
              <w:t>Delegated</w:t>
            </w:r>
          </w:p>
        </w:tc>
        <w:tc>
          <w:tcPr>
            <w:tcW w:w="834" w:type="pct"/>
          </w:tcPr>
          <w:p w14:paraId="0F5B8154" w14:textId="6E04ECDC" w:rsidR="007E2267" w:rsidRDefault="007E2267" w:rsidP="007E2267">
            <w:pPr>
              <w:pStyle w:val="tbltext"/>
            </w:pPr>
            <w:r>
              <w:t>Yes</w:t>
            </w:r>
          </w:p>
        </w:tc>
        <w:tc>
          <w:tcPr>
            <w:tcW w:w="834" w:type="pct"/>
          </w:tcPr>
          <w:p w14:paraId="447D3454" w14:textId="4DFF98ED" w:rsidR="007E2267" w:rsidRDefault="007E2267" w:rsidP="007E2267">
            <w:pPr>
              <w:pStyle w:val="tbltext"/>
            </w:pPr>
            <w:r>
              <w:t>Buy-side</w:t>
            </w:r>
          </w:p>
        </w:tc>
      </w:tr>
      <w:tr w:rsidR="005F34F7" w:rsidRPr="000540E1" w14:paraId="4B899B54" w14:textId="77777777" w:rsidTr="005F34F7">
        <w:trPr>
          <w:cantSplit/>
        </w:trPr>
        <w:tc>
          <w:tcPr>
            <w:tcW w:w="833" w:type="pct"/>
          </w:tcPr>
          <w:p w14:paraId="00BCBA93" w14:textId="24181CEC" w:rsidR="007E2267" w:rsidRDefault="007E2267" w:rsidP="007E2267">
            <w:pPr>
              <w:pStyle w:val="tbltext"/>
            </w:pPr>
            <w:r>
              <w:t>S6</w:t>
            </w:r>
          </w:p>
        </w:tc>
        <w:tc>
          <w:tcPr>
            <w:tcW w:w="834" w:type="pct"/>
          </w:tcPr>
          <w:p w14:paraId="634E4010" w14:textId="4C1A56C3" w:rsidR="007E2267" w:rsidRDefault="007E2267" w:rsidP="007E2267">
            <w:pPr>
              <w:pStyle w:val="tbltext"/>
            </w:pPr>
            <w:r>
              <w:t>Small</w:t>
            </w:r>
          </w:p>
        </w:tc>
        <w:tc>
          <w:tcPr>
            <w:tcW w:w="834" w:type="pct"/>
          </w:tcPr>
          <w:p w14:paraId="4BFC9B87" w14:textId="297F4631" w:rsidR="007E2267" w:rsidRDefault="007E2267" w:rsidP="007E2267">
            <w:pPr>
              <w:pStyle w:val="tbltext"/>
            </w:pPr>
            <w:r>
              <w:t>1–2</w:t>
            </w:r>
          </w:p>
        </w:tc>
        <w:tc>
          <w:tcPr>
            <w:tcW w:w="833" w:type="pct"/>
          </w:tcPr>
          <w:p w14:paraId="34E756B2" w14:textId="12B486FE" w:rsidR="007E2267" w:rsidRDefault="007E2267" w:rsidP="007E2267">
            <w:pPr>
              <w:pStyle w:val="tbltext"/>
            </w:pPr>
            <w:r>
              <w:t>Self</w:t>
            </w:r>
          </w:p>
        </w:tc>
        <w:tc>
          <w:tcPr>
            <w:tcW w:w="834" w:type="pct"/>
          </w:tcPr>
          <w:p w14:paraId="29F5BD89" w14:textId="32AB72CD" w:rsidR="007E2267" w:rsidRDefault="007E2267" w:rsidP="007E2267">
            <w:pPr>
              <w:pStyle w:val="tbltext"/>
            </w:pPr>
            <w:r>
              <w:t>No</w:t>
            </w:r>
          </w:p>
        </w:tc>
        <w:tc>
          <w:tcPr>
            <w:tcW w:w="834" w:type="pct"/>
          </w:tcPr>
          <w:p w14:paraId="53750690" w14:textId="765FE29C" w:rsidR="007E2267" w:rsidRDefault="007E2267" w:rsidP="007E2267">
            <w:pPr>
              <w:pStyle w:val="tbltext"/>
            </w:pPr>
            <w:r>
              <w:t>Sell-side</w:t>
            </w:r>
          </w:p>
        </w:tc>
      </w:tr>
      <w:tr w:rsidR="005F34F7" w:rsidRPr="000540E1" w14:paraId="3A178910" w14:textId="77777777" w:rsidTr="005F34F7">
        <w:trPr>
          <w:cantSplit/>
        </w:trPr>
        <w:tc>
          <w:tcPr>
            <w:tcW w:w="833" w:type="pct"/>
          </w:tcPr>
          <w:p w14:paraId="31FE4AC5" w14:textId="67F15DEB" w:rsidR="007E2267" w:rsidRDefault="007E2267" w:rsidP="007E2267">
            <w:pPr>
              <w:pStyle w:val="tbltext"/>
            </w:pPr>
            <w:r>
              <w:t>S7</w:t>
            </w:r>
          </w:p>
        </w:tc>
        <w:tc>
          <w:tcPr>
            <w:tcW w:w="834" w:type="pct"/>
          </w:tcPr>
          <w:p w14:paraId="0387265C" w14:textId="31ACEB98" w:rsidR="007E2267" w:rsidRDefault="007E2267" w:rsidP="007E2267">
            <w:pPr>
              <w:pStyle w:val="tbltext"/>
            </w:pPr>
            <w:r>
              <w:t>Small</w:t>
            </w:r>
          </w:p>
        </w:tc>
        <w:tc>
          <w:tcPr>
            <w:tcW w:w="834" w:type="pct"/>
          </w:tcPr>
          <w:p w14:paraId="72D75323" w14:textId="51D6FD49" w:rsidR="007E2267" w:rsidRDefault="007E2267" w:rsidP="007E2267">
            <w:pPr>
              <w:pStyle w:val="tbltext"/>
            </w:pPr>
            <w:r>
              <w:t>1–2</w:t>
            </w:r>
          </w:p>
        </w:tc>
        <w:tc>
          <w:tcPr>
            <w:tcW w:w="833" w:type="pct"/>
          </w:tcPr>
          <w:p w14:paraId="499D5D00" w14:textId="3FBFB5E8" w:rsidR="007E2267" w:rsidRDefault="007E2267" w:rsidP="007E2267">
            <w:pPr>
              <w:pStyle w:val="tbltext"/>
            </w:pPr>
            <w:r>
              <w:t>Self</w:t>
            </w:r>
          </w:p>
        </w:tc>
        <w:tc>
          <w:tcPr>
            <w:tcW w:w="834" w:type="pct"/>
          </w:tcPr>
          <w:p w14:paraId="3505A96F" w14:textId="38B25DB3" w:rsidR="007E2267" w:rsidRDefault="007E2267" w:rsidP="007E2267">
            <w:pPr>
              <w:pStyle w:val="tbltext"/>
            </w:pPr>
            <w:r>
              <w:t>No</w:t>
            </w:r>
          </w:p>
        </w:tc>
        <w:tc>
          <w:tcPr>
            <w:tcW w:w="834" w:type="pct"/>
          </w:tcPr>
          <w:p w14:paraId="3541D866" w14:textId="2DC15C64" w:rsidR="007E2267" w:rsidRDefault="007E2267" w:rsidP="007E2267">
            <w:pPr>
              <w:pStyle w:val="tbltext"/>
            </w:pPr>
            <w:r>
              <w:t>Buy-side</w:t>
            </w:r>
          </w:p>
        </w:tc>
      </w:tr>
      <w:tr w:rsidR="005F34F7" w:rsidRPr="000540E1" w14:paraId="126176E3" w14:textId="77777777" w:rsidTr="005F34F7">
        <w:trPr>
          <w:cantSplit/>
        </w:trPr>
        <w:tc>
          <w:tcPr>
            <w:tcW w:w="833" w:type="pct"/>
          </w:tcPr>
          <w:p w14:paraId="2ED33322" w14:textId="2A0797A9" w:rsidR="007E2267" w:rsidRDefault="007E2267" w:rsidP="007E2267">
            <w:pPr>
              <w:pStyle w:val="tbltext"/>
            </w:pPr>
            <w:r>
              <w:t>S8</w:t>
            </w:r>
          </w:p>
        </w:tc>
        <w:tc>
          <w:tcPr>
            <w:tcW w:w="834" w:type="pct"/>
          </w:tcPr>
          <w:p w14:paraId="775D6DB9" w14:textId="005202FE" w:rsidR="007E2267" w:rsidRDefault="007E2267" w:rsidP="007E2267">
            <w:pPr>
              <w:pStyle w:val="tbltext"/>
            </w:pPr>
            <w:r>
              <w:t>Small</w:t>
            </w:r>
          </w:p>
        </w:tc>
        <w:tc>
          <w:tcPr>
            <w:tcW w:w="834" w:type="pct"/>
          </w:tcPr>
          <w:p w14:paraId="56475242" w14:textId="65498085" w:rsidR="007E2267" w:rsidRDefault="007E2267" w:rsidP="007E2267">
            <w:pPr>
              <w:pStyle w:val="tbltext"/>
            </w:pPr>
            <w:r>
              <w:t>1–2</w:t>
            </w:r>
          </w:p>
        </w:tc>
        <w:tc>
          <w:tcPr>
            <w:tcW w:w="833" w:type="pct"/>
          </w:tcPr>
          <w:p w14:paraId="092B9827" w14:textId="4FD45BA3" w:rsidR="007E2267" w:rsidRDefault="007E2267" w:rsidP="007E2267">
            <w:pPr>
              <w:pStyle w:val="tbltext"/>
            </w:pPr>
            <w:r>
              <w:t>Self</w:t>
            </w:r>
          </w:p>
        </w:tc>
        <w:tc>
          <w:tcPr>
            <w:tcW w:w="834" w:type="pct"/>
          </w:tcPr>
          <w:p w14:paraId="6878D267" w14:textId="20CC64F8" w:rsidR="007E2267" w:rsidRDefault="007E2267" w:rsidP="007E2267">
            <w:pPr>
              <w:pStyle w:val="tbltext"/>
            </w:pPr>
            <w:r>
              <w:t>Yes</w:t>
            </w:r>
          </w:p>
        </w:tc>
        <w:tc>
          <w:tcPr>
            <w:tcW w:w="834" w:type="pct"/>
          </w:tcPr>
          <w:p w14:paraId="7E2CA922" w14:textId="5C4A2F05" w:rsidR="007E2267" w:rsidRDefault="007E2267" w:rsidP="007E2267">
            <w:pPr>
              <w:pStyle w:val="tbltext"/>
            </w:pPr>
            <w:r>
              <w:t>Sell-side</w:t>
            </w:r>
          </w:p>
        </w:tc>
      </w:tr>
      <w:tr w:rsidR="005F34F7" w:rsidRPr="000540E1" w14:paraId="3BC2F6C6" w14:textId="77777777" w:rsidTr="005F34F7">
        <w:trPr>
          <w:cantSplit/>
        </w:trPr>
        <w:tc>
          <w:tcPr>
            <w:tcW w:w="833" w:type="pct"/>
          </w:tcPr>
          <w:p w14:paraId="556CEA37" w14:textId="57DC07A7" w:rsidR="007E2267" w:rsidRDefault="007E2267" w:rsidP="007E2267">
            <w:pPr>
              <w:pStyle w:val="tbltext"/>
            </w:pPr>
            <w:r>
              <w:t>S9</w:t>
            </w:r>
          </w:p>
        </w:tc>
        <w:tc>
          <w:tcPr>
            <w:tcW w:w="834" w:type="pct"/>
          </w:tcPr>
          <w:p w14:paraId="4E62298E" w14:textId="2F1E7DDE" w:rsidR="007E2267" w:rsidRDefault="007E2267" w:rsidP="007E2267">
            <w:pPr>
              <w:pStyle w:val="tbltext"/>
            </w:pPr>
            <w:r>
              <w:t>Small</w:t>
            </w:r>
          </w:p>
        </w:tc>
        <w:tc>
          <w:tcPr>
            <w:tcW w:w="834" w:type="pct"/>
          </w:tcPr>
          <w:p w14:paraId="26E103CE" w14:textId="3FCF6C37" w:rsidR="007E2267" w:rsidRDefault="007E2267" w:rsidP="007E2267">
            <w:pPr>
              <w:pStyle w:val="tbltext"/>
            </w:pPr>
            <w:r>
              <w:t>1–2</w:t>
            </w:r>
          </w:p>
        </w:tc>
        <w:tc>
          <w:tcPr>
            <w:tcW w:w="833" w:type="pct"/>
          </w:tcPr>
          <w:p w14:paraId="215BB9CC" w14:textId="13774729" w:rsidR="007E2267" w:rsidRDefault="007E2267" w:rsidP="007E2267">
            <w:pPr>
              <w:pStyle w:val="tbltext"/>
            </w:pPr>
            <w:r>
              <w:t>Self</w:t>
            </w:r>
          </w:p>
        </w:tc>
        <w:tc>
          <w:tcPr>
            <w:tcW w:w="834" w:type="pct"/>
          </w:tcPr>
          <w:p w14:paraId="56F39748" w14:textId="61F1A6D1" w:rsidR="007E2267" w:rsidRDefault="007E2267" w:rsidP="007E2267">
            <w:pPr>
              <w:pStyle w:val="tbltext"/>
            </w:pPr>
            <w:r>
              <w:t>Yes</w:t>
            </w:r>
          </w:p>
        </w:tc>
        <w:tc>
          <w:tcPr>
            <w:tcW w:w="834" w:type="pct"/>
          </w:tcPr>
          <w:p w14:paraId="59FF8CA2" w14:textId="0E997F3D" w:rsidR="007E2267" w:rsidRDefault="007E2267" w:rsidP="007E2267">
            <w:pPr>
              <w:pStyle w:val="tbltext"/>
            </w:pPr>
            <w:r>
              <w:t>Buy-side</w:t>
            </w:r>
          </w:p>
        </w:tc>
      </w:tr>
      <w:tr w:rsidR="005F34F7" w:rsidRPr="000540E1" w14:paraId="3D227FC6" w14:textId="77777777" w:rsidTr="005F34F7">
        <w:trPr>
          <w:cantSplit/>
        </w:trPr>
        <w:tc>
          <w:tcPr>
            <w:tcW w:w="833" w:type="pct"/>
          </w:tcPr>
          <w:p w14:paraId="362F5FFF" w14:textId="7FEDAE1E" w:rsidR="007E2267" w:rsidRDefault="007E2267" w:rsidP="007E2267">
            <w:pPr>
              <w:pStyle w:val="tbltext"/>
            </w:pPr>
            <w:r>
              <w:t>S10</w:t>
            </w:r>
          </w:p>
        </w:tc>
        <w:tc>
          <w:tcPr>
            <w:tcW w:w="834" w:type="pct"/>
          </w:tcPr>
          <w:p w14:paraId="5282791A" w14:textId="5C3DA7D6" w:rsidR="007E2267" w:rsidRDefault="007E2267" w:rsidP="007E2267">
            <w:pPr>
              <w:pStyle w:val="tbltext"/>
            </w:pPr>
            <w:r>
              <w:t>Small</w:t>
            </w:r>
          </w:p>
        </w:tc>
        <w:tc>
          <w:tcPr>
            <w:tcW w:w="834" w:type="pct"/>
          </w:tcPr>
          <w:p w14:paraId="726CAE83" w14:textId="445CAF28" w:rsidR="007E2267" w:rsidRDefault="007E2267" w:rsidP="007E2267">
            <w:pPr>
              <w:pStyle w:val="tbltext"/>
            </w:pPr>
            <w:r>
              <w:t>1–2</w:t>
            </w:r>
          </w:p>
        </w:tc>
        <w:tc>
          <w:tcPr>
            <w:tcW w:w="833" w:type="pct"/>
          </w:tcPr>
          <w:p w14:paraId="4E6FD026" w14:textId="32B87962" w:rsidR="007E2267" w:rsidRDefault="007E2267" w:rsidP="007E2267">
            <w:pPr>
              <w:pStyle w:val="tbltext"/>
            </w:pPr>
            <w:r>
              <w:t>Delegated</w:t>
            </w:r>
          </w:p>
        </w:tc>
        <w:tc>
          <w:tcPr>
            <w:tcW w:w="834" w:type="pct"/>
          </w:tcPr>
          <w:p w14:paraId="329125AF" w14:textId="6A1574FF" w:rsidR="007E2267" w:rsidRDefault="007E2267" w:rsidP="007E2267">
            <w:pPr>
              <w:pStyle w:val="tbltext"/>
            </w:pPr>
            <w:r>
              <w:t>Yes</w:t>
            </w:r>
          </w:p>
        </w:tc>
        <w:tc>
          <w:tcPr>
            <w:tcW w:w="834" w:type="pct"/>
          </w:tcPr>
          <w:p w14:paraId="055F894A" w14:textId="54365704" w:rsidR="007E2267" w:rsidRDefault="007E2267" w:rsidP="007E2267">
            <w:pPr>
              <w:pStyle w:val="tbltext"/>
            </w:pPr>
            <w:r>
              <w:t>Sell-side</w:t>
            </w:r>
          </w:p>
        </w:tc>
      </w:tr>
      <w:tr w:rsidR="005F34F7" w:rsidRPr="000540E1" w14:paraId="344955D7" w14:textId="77777777" w:rsidTr="005F34F7">
        <w:trPr>
          <w:cantSplit/>
        </w:trPr>
        <w:tc>
          <w:tcPr>
            <w:tcW w:w="833" w:type="pct"/>
          </w:tcPr>
          <w:p w14:paraId="29095ABC" w14:textId="1A5C38EB" w:rsidR="007E2267" w:rsidRDefault="007E2267" w:rsidP="007E2267">
            <w:pPr>
              <w:pStyle w:val="tbltext"/>
            </w:pPr>
            <w:r>
              <w:t>S11</w:t>
            </w:r>
          </w:p>
        </w:tc>
        <w:tc>
          <w:tcPr>
            <w:tcW w:w="834" w:type="pct"/>
          </w:tcPr>
          <w:p w14:paraId="66EAB630" w14:textId="5F0057D3" w:rsidR="007E2267" w:rsidRDefault="007E2267" w:rsidP="007E2267">
            <w:pPr>
              <w:pStyle w:val="tbltext"/>
            </w:pPr>
            <w:r>
              <w:t>Small</w:t>
            </w:r>
          </w:p>
        </w:tc>
        <w:tc>
          <w:tcPr>
            <w:tcW w:w="834" w:type="pct"/>
          </w:tcPr>
          <w:p w14:paraId="555C2BC0" w14:textId="2B362C4B" w:rsidR="007E2267" w:rsidRDefault="007E2267" w:rsidP="007E2267">
            <w:pPr>
              <w:pStyle w:val="tbltext"/>
            </w:pPr>
            <w:r>
              <w:t>1–2</w:t>
            </w:r>
          </w:p>
        </w:tc>
        <w:tc>
          <w:tcPr>
            <w:tcW w:w="833" w:type="pct"/>
          </w:tcPr>
          <w:p w14:paraId="4C073632" w14:textId="584E0FA3" w:rsidR="007E2267" w:rsidRDefault="007E2267" w:rsidP="007E2267">
            <w:pPr>
              <w:pStyle w:val="tbltext"/>
            </w:pPr>
            <w:r>
              <w:t>Delegated</w:t>
            </w:r>
          </w:p>
        </w:tc>
        <w:tc>
          <w:tcPr>
            <w:tcW w:w="834" w:type="pct"/>
          </w:tcPr>
          <w:p w14:paraId="4BB70703" w14:textId="45BACA9D" w:rsidR="007E2267" w:rsidRDefault="007E2267" w:rsidP="007E2267">
            <w:pPr>
              <w:pStyle w:val="tbltext"/>
            </w:pPr>
            <w:r>
              <w:t>Yes</w:t>
            </w:r>
          </w:p>
        </w:tc>
        <w:tc>
          <w:tcPr>
            <w:tcW w:w="834" w:type="pct"/>
          </w:tcPr>
          <w:p w14:paraId="4794D8AE" w14:textId="29FBC02E" w:rsidR="007E2267" w:rsidRDefault="007E2267" w:rsidP="007E2267">
            <w:pPr>
              <w:pStyle w:val="tbltext"/>
            </w:pPr>
            <w:r>
              <w:t>Buy-side</w:t>
            </w:r>
          </w:p>
        </w:tc>
      </w:tr>
      <w:tr w:rsidR="005F34F7" w:rsidRPr="000540E1" w14:paraId="05063DBC" w14:textId="77777777" w:rsidTr="005F34F7">
        <w:trPr>
          <w:cantSplit/>
        </w:trPr>
        <w:tc>
          <w:tcPr>
            <w:tcW w:w="833" w:type="pct"/>
          </w:tcPr>
          <w:p w14:paraId="31F4467F" w14:textId="52111012" w:rsidR="00441CBE" w:rsidRDefault="00441CBE" w:rsidP="00441CBE">
            <w:pPr>
              <w:pStyle w:val="tbltext"/>
            </w:pPr>
            <w:r>
              <w:t>VS1</w:t>
            </w:r>
          </w:p>
        </w:tc>
        <w:tc>
          <w:tcPr>
            <w:tcW w:w="834" w:type="pct"/>
          </w:tcPr>
          <w:p w14:paraId="03414D82" w14:textId="73A27361" w:rsidR="00441CBE" w:rsidRDefault="00441CBE" w:rsidP="00441CBE">
            <w:pPr>
              <w:pStyle w:val="tbltext"/>
            </w:pPr>
            <w:r>
              <w:t>Very small</w:t>
            </w:r>
          </w:p>
        </w:tc>
        <w:tc>
          <w:tcPr>
            <w:tcW w:w="834" w:type="pct"/>
          </w:tcPr>
          <w:p w14:paraId="7B471FC2" w14:textId="3A313F35" w:rsidR="00441CBE" w:rsidRDefault="00441CBE" w:rsidP="00441CBE">
            <w:pPr>
              <w:pStyle w:val="tbltext"/>
            </w:pPr>
            <w:r>
              <w:t>3–5</w:t>
            </w:r>
          </w:p>
        </w:tc>
        <w:tc>
          <w:tcPr>
            <w:tcW w:w="833" w:type="pct"/>
          </w:tcPr>
          <w:p w14:paraId="729A43C5" w14:textId="0E52AE8C" w:rsidR="00441CBE" w:rsidRDefault="00441CBE" w:rsidP="00441CBE">
            <w:pPr>
              <w:pStyle w:val="tbltext"/>
            </w:pPr>
            <w:r>
              <w:t>Self</w:t>
            </w:r>
          </w:p>
        </w:tc>
        <w:tc>
          <w:tcPr>
            <w:tcW w:w="834" w:type="pct"/>
          </w:tcPr>
          <w:p w14:paraId="2326DBDF" w14:textId="14FEDF9E" w:rsidR="00441CBE" w:rsidRDefault="00441CBE" w:rsidP="00441CBE">
            <w:pPr>
              <w:pStyle w:val="tbltext"/>
            </w:pPr>
            <w:r>
              <w:t>Yes</w:t>
            </w:r>
          </w:p>
        </w:tc>
        <w:tc>
          <w:tcPr>
            <w:tcW w:w="834" w:type="pct"/>
          </w:tcPr>
          <w:p w14:paraId="24CDC4DE" w14:textId="10D57111" w:rsidR="00441CBE" w:rsidRDefault="00441CBE" w:rsidP="00441CBE">
            <w:pPr>
              <w:pStyle w:val="tbltext"/>
            </w:pPr>
            <w:r>
              <w:t>Sell-side</w:t>
            </w:r>
          </w:p>
        </w:tc>
      </w:tr>
      <w:tr w:rsidR="005F34F7" w:rsidRPr="000540E1" w14:paraId="4AD33EBF" w14:textId="77777777" w:rsidTr="005F34F7">
        <w:trPr>
          <w:cantSplit/>
        </w:trPr>
        <w:tc>
          <w:tcPr>
            <w:tcW w:w="833" w:type="pct"/>
          </w:tcPr>
          <w:p w14:paraId="689F8FD0" w14:textId="12333308" w:rsidR="00441CBE" w:rsidRDefault="00441CBE" w:rsidP="00441CBE">
            <w:pPr>
              <w:pStyle w:val="tbltext"/>
            </w:pPr>
            <w:r>
              <w:t>VS2</w:t>
            </w:r>
          </w:p>
        </w:tc>
        <w:tc>
          <w:tcPr>
            <w:tcW w:w="834" w:type="pct"/>
          </w:tcPr>
          <w:p w14:paraId="4C5CFCE6" w14:textId="5139630B" w:rsidR="00441CBE" w:rsidRDefault="00441CBE" w:rsidP="00441CBE">
            <w:pPr>
              <w:pStyle w:val="tbltext"/>
            </w:pPr>
            <w:r>
              <w:t>Very small</w:t>
            </w:r>
          </w:p>
        </w:tc>
        <w:tc>
          <w:tcPr>
            <w:tcW w:w="834" w:type="pct"/>
          </w:tcPr>
          <w:p w14:paraId="265ED155" w14:textId="21996C1F" w:rsidR="00441CBE" w:rsidRDefault="00441CBE" w:rsidP="00441CBE">
            <w:pPr>
              <w:pStyle w:val="tbltext"/>
            </w:pPr>
            <w:r>
              <w:t>3–5</w:t>
            </w:r>
          </w:p>
        </w:tc>
        <w:tc>
          <w:tcPr>
            <w:tcW w:w="833" w:type="pct"/>
          </w:tcPr>
          <w:p w14:paraId="1E917230" w14:textId="15D5B3E9" w:rsidR="00441CBE" w:rsidRDefault="00441CBE" w:rsidP="00441CBE">
            <w:pPr>
              <w:pStyle w:val="tbltext"/>
            </w:pPr>
            <w:r>
              <w:t>Delegated</w:t>
            </w:r>
          </w:p>
        </w:tc>
        <w:tc>
          <w:tcPr>
            <w:tcW w:w="834" w:type="pct"/>
          </w:tcPr>
          <w:p w14:paraId="4CD659C7" w14:textId="4263B288" w:rsidR="00441CBE" w:rsidRDefault="00441CBE" w:rsidP="00441CBE">
            <w:pPr>
              <w:pStyle w:val="tbltext"/>
            </w:pPr>
            <w:r>
              <w:t>Yes</w:t>
            </w:r>
          </w:p>
        </w:tc>
        <w:tc>
          <w:tcPr>
            <w:tcW w:w="834" w:type="pct"/>
          </w:tcPr>
          <w:p w14:paraId="563F05ED" w14:textId="05C4F0CA" w:rsidR="00441CBE" w:rsidRDefault="00441CBE" w:rsidP="00441CBE">
            <w:pPr>
              <w:pStyle w:val="tbltext"/>
            </w:pPr>
            <w:r>
              <w:t>Sell-side</w:t>
            </w:r>
          </w:p>
        </w:tc>
      </w:tr>
      <w:tr w:rsidR="005F34F7" w:rsidRPr="000540E1" w14:paraId="49E71A88" w14:textId="77777777" w:rsidTr="005F34F7">
        <w:trPr>
          <w:cantSplit/>
        </w:trPr>
        <w:tc>
          <w:tcPr>
            <w:tcW w:w="833" w:type="pct"/>
          </w:tcPr>
          <w:p w14:paraId="2BCA659E" w14:textId="6C23AC29" w:rsidR="00441CBE" w:rsidRDefault="00441CBE" w:rsidP="00441CBE">
            <w:pPr>
              <w:pStyle w:val="tbltext"/>
            </w:pPr>
            <w:r>
              <w:t>VS3</w:t>
            </w:r>
          </w:p>
        </w:tc>
        <w:tc>
          <w:tcPr>
            <w:tcW w:w="834" w:type="pct"/>
          </w:tcPr>
          <w:p w14:paraId="0EA92762" w14:textId="2F908227" w:rsidR="00441CBE" w:rsidRDefault="00441CBE" w:rsidP="00441CBE">
            <w:pPr>
              <w:pStyle w:val="tbltext"/>
            </w:pPr>
            <w:r>
              <w:t>Very small</w:t>
            </w:r>
          </w:p>
        </w:tc>
        <w:tc>
          <w:tcPr>
            <w:tcW w:w="834" w:type="pct"/>
          </w:tcPr>
          <w:p w14:paraId="0A588AEF" w14:textId="55DDE350" w:rsidR="00441CBE" w:rsidRDefault="00441CBE" w:rsidP="00441CBE">
            <w:pPr>
              <w:pStyle w:val="tbltext"/>
            </w:pPr>
            <w:r>
              <w:t>3–5</w:t>
            </w:r>
          </w:p>
        </w:tc>
        <w:tc>
          <w:tcPr>
            <w:tcW w:w="833" w:type="pct"/>
          </w:tcPr>
          <w:p w14:paraId="01D6AC60" w14:textId="3C666967" w:rsidR="00441CBE" w:rsidRDefault="00441CBE" w:rsidP="00441CBE">
            <w:pPr>
              <w:pStyle w:val="tbltext"/>
            </w:pPr>
            <w:r>
              <w:t>Delegated</w:t>
            </w:r>
          </w:p>
        </w:tc>
        <w:tc>
          <w:tcPr>
            <w:tcW w:w="834" w:type="pct"/>
          </w:tcPr>
          <w:p w14:paraId="239F7F2C" w14:textId="3FE65921" w:rsidR="00441CBE" w:rsidRDefault="00441CBE" w:rsidP="00441CBE">
            <w:pPr>
              <w:pStyle w:val="tbltext"/>
            </w:pPr>
            <w:r>
              <w:t>Yes</w:t>
            </w:r>
          </w:p>
        </w:tc>
        <w:tc>
          <w:tcPr>
            <w:tcW w:w="834" w:type="pct"/>
          </w:tcPr>
          <w:p w14:paraId="38DE797A" w14:textId="02F6101F" w:rsidR="00441CBE" w:rsidRDefault="00441CBE" w:rsidP="00441CBE">
            <w:pPr>
              <w:pStyle w:val="tbltext"/>
            </w:pPr>
            <w:r>
              <w:t>Buy-side</w:t>
            </w:r>
          </w:p>
        </w:tc>
      </w:tr>
      <w:tr w:rsidR="005F34F7" w:rsidRPr="000540E1" w14:paraId="3BC1344A" w14:textId="77777777" w:rsidTr="005F34F7">
        <w:trPr>
          <w:cantSplit/>
        </w:trPr>
        <w:tc>
          <w:tcPr>
            <w:tcW w:w="833" w:type="pct"/>
          </w:tcPr>
          <w:p w14:paraId="1024E9F4" w14:textId="74FE74DA" w:rsidR="00441CBE" w:rsidRDefault="00441CBE" w:rsidP="00441CBE">
            <w:pPr>
              <w:pStyle w:val="tbltext"/>
            </w:pPr>
            <w:r>
              <w:t>VS4</w:t>
            </w:r>
          </w:p>
        </w:tc>
        <w:tc>
          <w:tcPr>
            <w:tcW w:w="834" w:type="pct"/>
          </w:tcPr>
          <w:p w14:paraId="732FE105" w14:textId="60D5C9C7" w:rsidR="00441CBE" w:rsidRDefault="00441CBE" w:rsidP="00441CBE">
            <w:pPr>
              <w:pStyle w:val="tbltext"/>
            </w:pPr>
            <w:r>
              <w:t>Very small</w:t>
            </w:r>
          </w:p>
        </w:tc>
        <w:tc>
          <w:tcPr>
            <w:tcW w:w="834" w:type="pct"/>
          </w:tcPr>
          <w:p w14:paraId="0ED8838A" w14:textId="04AAB76E" w:rsidR="00441CBE" w:rsidRDefault="00441CBE" w:rsidP="00441CBE">
            <w:pPr>
              <w:pStyle w:val="tbltext"/>
            </w:pPr>
            <w:r>
              <w:t>1–2</w:t>
            </w:r>
          </w:p>
        </w:tc>
        <w:tc>
          <w:tcPr>
            <w:tcW w:w="833" w:type="pct"/>
          </w:tcPr>
          <w:p w14:paraId="233B0F64" w14:textId="244BAC29" w:rsidR="00441CBE" w:rsidRDefault="00441CBE" w:rsidP="00441CBE">
            <w:pPr>
              <w:pStyle w:val="tbltext"/>
            </w:pPr>
            <w:r>
              <w:t>Self</w:t>
            </w:r>
          </w:p>
        </w:tc>
        <w:tc>
          <w:tcPr>
            <w:tcW w:w="834" w:type="pct"/>
          </w:tcPr>
          <w:p w14:paraId="2BCA2308" w14:textId="06187964" w:rsidR="00441CBE" w:rsidRDefault="00441CBE" w:rsidP="00441CBE">
            <w:pPr>
              <w:pStyle w:val="tbltext"/>
            </w:pPr>
            <w:r>
              <w:t>No</w:t>
            </w:r>
          </w:p>
        </w:tc>
        <w:tc>
          <w:tcPr>
            <w:tcW w:w="834" w:type="pct"/>
          </w:tcPr>
          <w:p w14:paraId="04AEAA20" w14:textId="73F5924B" w:rsidR="00441CBE" w:rsidRDefault="00441CBE" w:rsidP="00441CBE">
            <w:pPr>
              <w:pStyle w:val="tbltext"/>
            </w:pPr>
            <w:r>
              <w:t>Sell-side</w:t>
            </w:r>
          </w:p>
        </w:tc>
      </w:tr>
      <w:tr w:rsidR="005F34F7" w:rsidRPr="000540E1" w14:paraId="4A42C9D8" w14:textId="77777777" w:rsidTr="005F34F7">
        <w:trPr>
          <w:cantSplit/>
        </w:trPr>
        <w:tc>
          <w:tcPr>
            <w:tcW w:w="833" w:type="pct"/>
          </w:tcPr>
          <w:p w14:paraId="59CA9972" w14:textId="3459BC81" w:rsidR="00441CBE" w:rsidRDefault="00441CBE" w:rsidP="00441CBE">
            <w:pPr>
              <w:pStyle w:val="tbltext"/>
            </w:pPr>
            <w:r>
              <w:t>VS5</w:t>
            </w:r>
          </w:p>
        </w:tc>
        <w:tc>
          <w:tcPr>
            <w:tcW w:w="834" w:type="pct"/>
          </w:tcPr>
          <w:p w14:paraId="4C6D847A" w14:textId="71A17C6C" w:rsidR="00441CBE" w:rsidRDefault="00441CBE" w:rsidP="00441CBE">
            <w:pPr>
              <w:pStyle w:val="tbltext"/>
            </w:pPr>
            <w:r>
              <w:t>Very small</w:t>
            </w:r>
          </w:p>
        </w:tc>
        <w:tc>
          <w:tcPr>
            <w:tcW w:w="834" w:type="pct"/>
          </w:tcPr>
          <w:p w14:paraId="208022E6" w14:textId="5B2F3A16" w:rsidR="00441CBE" w:rsidRDefault="00441CBE" w:rsidP="00441CBE">
            <w:pPr>
              <w:pStyle w:val="tbltext"/>
            </w:pPr>
            <w:r>
              <w:t>1–2</w:t>
            </w:r>
          </w:p>
        </w:tc>
        <w:tc>
          <w:tcPr>
            <w:tcW w:w="833" w:type="pct"/>
          </w:tcPr>
          <w:p w14:paraId="6EC79E94" w14:textId="3DD44BC3" w:rsidR="00441CBE" w:rsidRDefault="00441CBE" w:rsidP="00441CBE">
            <w:pPr>
              <w:pStyle w:val="tbltext"/>
            </w:pPr>
            <w:r>
              <w:t>Self</w:t>
            </w:r>
          </w:p>
        </w:tc>
        <w:tc>
          <w:tcPr>
            <w:tcW w:w="834" w:type="pct"/>
          </w:tcPr>
          <w:p w14:paraId="7B1B897A" w14:textId="146B55A7" w:rsidR="00441CBE" w:rsidRDefault="00441CBE" w:rsidP="00441CBE">
            <w:pPr>
              <w:pStyle w:val="tbltext"/>
            </w:pPr>
            <w:r>
              <w:t>No</w:t>
            </w:r>
          </w:p>
        </w:tc>
        <w:tc>
          <w:tcPr>
            <w:tcW w:w="834" w:type="pct"/>
          </w:tcPr>
          <w:p w14:paraId="6A75F4F2" w14:textId="74C1AB07" w:rsidR="00441CBE" w:rsidRDefault="00441CBE" w:rsidP="00441CBE">
            <w:pPr>
              <w:pStyle w:val="tbltext"/>
            </w:pPr>
            <w:r>
              <w:t>Buy-side</w:t>
            </w:r>
          </w:p>
        </w:tc>
      </w:tr>
      <w:tr w:rsidR="005F34F7" w:rsidRPr="000540E1" w14:paraId="6166BA04" w14:textId="77777777" w:rsidTr="005F34F7">
        <w:trPr>
          <w:cantSplit/>
        </w:trPr>
        <w:tc>
          <w:tcPr>
            <w:tcW w:w="833" w:type="pct"/>
          </w:tcPr>
          <w:p w14:paraId="4205D85B" w14:textId="68254F3B" w:rsidR="00441CBE" w:rsidRDefault="00441CBE" w:rsidP="00441CBE">
            <w:pPr>
              <w:pStyle w:val="tbltext"/>
            </w:pPr>
            <w:r>
              <w:t>VS6</w:t>
            </w:r>
          </w:p>
        </w:tc>
        <w:tc>
          <w:tcPr>
            <w:tcW w:w="834" w:type="pct"/>
          </w:tcPr>
          <w:p w14:paraId="754A029B" w14:textId="7A5D68FD" w:rsidR="00441CBE" w:rsidRDefault="00441CBE" w:rsidP="00441CBE">
            <w:pPr>
              <w:pStyle w:val="tbltext"/>
            </w:pPr>
            <w:r>
              <w:t>Very small</w:t>
            </w:r>
          </w:p>
        </w:tc>
        <w:tc>
          <w:tcPr>
            <w:tcW w:w="834" w:type="pct"/>
          </w:tcPr>
          <w:p w14:paraId="3352F590" w14:textId="6C91BAF4" w:rsidR="00441CBE" w:rsidRDefault="00441CBE" w:rsidP="00441CBE">
            <w:pPr>
              <w:pStyle w:val="tbltext"/>
            </w:pPr>
            <w:r>
              <w:t>1–2</w:t>
            </w:r>
          </w:p>
        </w:tc>
        <w:tc>
          <w:tcPr>
            <w:tcW w:w="833" w:type="pct"/>
          </w:tcPr>
          <w:p w14:paraId="10A35587" w14:textId="2DBE0506" w:rsidR="00441CBE" w:rsidRDefault="00441CBE" w:rsidP="00441CBE">
            <w:pPr>
              <w:pStyle w:val="tbltext"/>
            </w:pPr>
            <w:r>
              <w:t>Self</w:t>
            </w:r>
          </w:p>
        </w:tc>
        <w:tc>
          <w:tcPr>
            <w:tcW w:w="834" w:type="pct"/>
          </w:tcPr>
          <w:p w14:paraId="6514E911" w14:textId="6DD37DAF" w:rsidR="00441CBE" w:rsidRDefault="00441CBE" w:rsidP="00441CBE">
            <w:pPr>
              <w:pStyle w:val="tbltext"/>
            </w:pPr>
            <w:r>
              <w:t>Yes</w:t>
            </w:r>
          </w:p>
        </w:tc>
        <w:tc>
          <w:tcPr>
            <w:tcW w:w="834" w:type="pct"/>
          </w:tcPr>
          <w:p w14:paraId="6E3E26E3" w14:textId="65899FDA" w:rsidR="00441CBE" w:rsidRDefault="00441CBE" w:rsidP="00441CBE">
            <w:pPr>
              <w:pStyle w:val="tbltext"/>
            </w:pPr>
            <w:r>
              <w:t>Sell-side</w:t>
            </w:r>
          </w:p>
        </w:tc>
      </w:tr>
      <w:tr w:rsidR="005F34F7" w:rsidRPr="000540E1" w14:paraId="13E056B9" w14:textId="77777777" w:rsidTr="005F34F7">
        <w:trPr>
          <w:cantSplit/>
        </w:trPr>
        <w:tc>
          <w:tcPr>
            <w:tcW w:w="833" w:type="pct"/>
          </w:tcPr>
          <w:p w14:paraId="4BF427AC" w14:textId="1EF488D6" w:rsidR="00441CBE" w:rsidRDefault="00441CBE" w:rsidP="00441CBE">
            <w:pPr>
              <w:pStyle w:val="tbltext"/>
            </w:pPr>
            <w:r>
              <w:t>VS7</w:t>
            </w:r>
          </w:p>
        </w:tc>
        <w:tc>
          <w:tcPr>
            <w:tcW w:w="834" w:type="pct"/>
          </w:tcPr>
          <w:p w14:paraId="70A2C387" w14:textId="26323C6E" w:rsidR="00441CBE" w:rsidRDefault="00441CBE" w:rsidP="00441CBE">
            <w:pPr>
              <w:pStyle w:val="tbltext"/>
            </w:pPr>
            <w:r>
              <w:t>Very small</w:t>
            </w:r>
          </w:p>
        </w:tc>
        <w:tc>
          <w:tcPr>
            <w:tcW w:w="834" w:type="pct"/>
          </w:tcPr>
          <w:p w14:paraId="2F340E47" w14:textId="704514C3" w:rsidR="00441CBE" w:rsidRDefault="00441CBE" w:rsidP="00441CBE">
            <w:pPr>
              <w:pStyle w:val="tbltext"/>
            </w:pPr>
            <w:r>
              <w:t>1–2</w:t>
            </w:r>
          </w:p>
        </w:tc>
        <w:tc>
          <w:tcPr>
            <w:tcW w:w="833" w:type="pct"/>
          </w:tcPr>
          <w:p w14:paraId="7B14738F" w14:textId="253A5DA6" w:rsidR="00441CBE" w:rsidRDefault="00441CBE" w:rsidP="00441CBE">
            <w:pPr>
              <w:pStyle w:val="tbltext"/>
            </w:pPr>
            <w:r>
              <w:t>Self</w:t>
            </w:r>
          </w:p>
        </w:tc>
        <w:tc>
          <w:tcPr>
            <w:tcW w:w="834" w:type="pct"/>
          </w:tcPr>
          <w:p w14:paraId="5AA236E0" w14:textId="4B2776DB" w:rsidR="00441CBE" w:rsidRDefault="00441CBE" w:rsidP="00441CBE">
            <w:pPr>
              <w:pStyle w:val="tbltext"/>
            </w:pPr>
            <w:r>
              <w:t>Yes</w:t>
            </w:r>
          </w:p>
        </w:tc>
        <w:tc>
          <w:tcPr>
            <w:tcW w:w="834" w:type="pct"/>
          </w:tcPr>
          <w:p w14:paraId="1C200805" w14:textId="44078953" w:rsidR="00441CBE" w:rsidRDefault="00441CBE" w:rsidP="00441CBE">
            <w:pPr>
              <w:pStyle w:val="tbltext"/>
            </w:pPr>
            <w:r>
              <w:t>Buy-side</w:t>
            </w:r>
          </w:p>
        </w:tc>
      </w:tr>
      <w:tr w:rsidR="005F34F7" w:rsidRPr="000540E1" w14:paraId="55D91239" w14:textId="77777777" w:rsidTr="005F34F7">
        <w:trPr>
          <w:cantSplit/>
        </w:trPr>
        <w:tc>
          <w:tcPr>
            <w:tcW w:w="833" w:type="pct"/>
          </w:tcPr>
          <w:p w14:paraId="7859C131" w14:textId="68B7005D" w:rsidR="00441CBE" w:rsidRDefault="00441CBE" w:rsidP="00441CBE">
            <w:pPr>
              <w:pStyle w:val="tbltext"/>
            </w:pPr>
            <w:r>
              <w:t>VS8</w:t>
            </w:r>
          </w:p>
        </w:tc>
        <w:tc>
          <w:tcPr>
            <w:tcW w:w="834" w:type="pct"/>
          </w:tcPr>
          <w:p w14:paraId="26556558" w14:textId="4F95F11C" w:rsidR="00441CBE" w:rsidRDefault="00441CBE" w:rsidP="00441CBE">
            <w:pPr>
              <w:pStyle w:val="tbltext"/>
            </w:pPr>
            <w:r>
              <w:t>Very small</w:t>
            </w:r>
          </w:p>
        </w:tc>
        <w:tc>
          <w:tcPr>
            <w:tcW w:w="834" w:type="pct"/>
          </w:tcPr>
          <w:p w14:paraId="351DB437" w14:textId="464FACA4" w:rsidR="00441CBE" w:rsidRDefault="00441CBE" w:rsidP="00441CBE">
            <w:pPr>
              <w:pStyle w:val="tbltext"/>
            </w:pPr>
            <w:r>
              <w:t>1–2</w:t>
            </w:r>
          </w:p>
        </w:tc>
        <w:tc>
          <w:tcPr>
            <w:tcW w:w="833" w:type="pct"/>
          </w:tcPr>
          <w:p w14:paraId="4F977440" w14:textId="799EF7E0" w:rsidR="00441CBE" w:rsidRDefault="00441CBE" w:rsidP="00441CBE">
            <w:pPr>
              <w:pStyle w:val="tbltext"/>
            </w:pPr>
            <w:r>
              <w:t>Delegated</w:t>
            </w:r>
          </w:p>
        </w:tc>
        <w:tc>
          <w:tcPr>
            <w:tcW w:w="834" w:type="pct"/>
          </w:tcPr>
          <w:p w14:paraId="0053A607" w14:textId="62984695" w:rsidR="00441CBE" w:rsidRDefault="00441CBE" w:rsidP="00441CBE">
            <w:pPr>
              <w:pStyle w:val="tbltext"/>
            </w:pPr>
            <w:r>
              <w:t>Yes</w:t>
            </w:r>
          </w:p>
        </w:tc>
        <w:tc>
          <w:tcPr>
            <w:tcW w:w="834" w:type="pct"/>
          </w:tcPr>
          <w:p w14:paraId="241507CD" w14:textId="06D8A5DD" w:rsidR="00441CBE" w:rsidRDefault="00441CBE" w:rsidP="00441CBE">
            <w:pPr>
              <w:pStyle w:val="tbltext"/>
            </w:pPr>
            <w:r>
              <w:t>Sell-side</w:t>
            </w:r>
          </w:p>
        </w:tc>
      </w:tr>
      <w:tr w:rsidR="005F34F7" w:rsidRPr="000540E1" w14:paraId="52DBD277" w14:textId="77777777" w:rsidTr="005F34F7">
        <w:trPr>
          <w:cantSplit/>
        </w:trPr>
        <w:tc>
          <w:tcPr>
            <w:tcW w:w="833" w:type="pct"/>
          </w:tcPr>
          <w:p w14:paraId="7FFA68A0" w14:textId="23722ADE" w:rsidR="00441CBE" w:rsidRDefault="00441CBE" w:rsidP="00441CBE">
            <w:pPr>
              <w:pStyle w:val="tbltext"/>
            </w:pPr>
            <w:r>
              <w:t>VS9</w:t>
            </w:r>
          </w:p>
        </w:tc>
        <w:tc>
          <w:tcPr>
            <w:tcW w:w="834" w:type="pct"/>
          </w:tcPr>
          <w:p w14:paraId="448CC879" w14:textId="6DE352A0" w:rsidR="00441CBE" w:rsidRDefault="00441CBE" w:rsidP="00441CBE">
            <w:pPr>
              <w:pStyle w:val="tbltext"/>
            </w:pPr>
            <w:r>
              <w:t>Very small</w:t>
            </w:r>
          </w:p>
        </w:tc>
        <w:tc>
          <w:tcPr>
            <w:tcW w:w="834" w:type="pct"/>
          </w:tcPr>
          <w:p w14:paraId="67F397A8" w14:textId="44E5A502" w:rsidR="00441CBE" w:rsidRDefault="00441CBE" w:rsidP="00441CBE">
            <w:pPr>
              <w:pStyle w:val="tbltext"/>
            </w:pPr>
            <w:r>
              <w:t>1–2</w:t>
            </w:r>
          </w:p>
        </w:tc>
        <w:tc>
          <w:tcPr>
            <w:tcW w:w="833" w:type="pct"/>
          </w:tcPr>
          <w:p w14:paraId="070DEFBC" w14:textId="38F81252" w:rsidR="00441CBE" w:rsidRDefault="00441CBE" w:rsidP="00441CBE">
            <w:pPr>
              <w:pStyle w:val="tbltext"/>
            </w:pPr>
            <w:r>
              <w:t>Delegated</w:t>
            </w:r>
          </w:p>
        </w:tc>
        <w:tc>
          <w:tcPr>
            <w:tcW w:w="834" w:type="pct"/>
          </w:tcPr>
          <w:p w14:paraId="3CB2C1C2" w14:textId="1FE3B067" w:rsidR="00441CBE" w:rsidRDefault="00441CBE" w:rsidP="00441CBE">
            <w:pPr>
              <w:pStyle w:val="tbltext"/>
            </w:pPr>
            <w:r>
              <w:t>Yes</w:t>
            </w:r>
          </w:p>
        </w:tc>
        <w:tc>
          <w:tcPr>
            <w:tcW w:w="834" w:type="pct"/>
          </w:tcPr>
          <w:p w14:paraId="30C00DBD" w14:textId="7CF3265F" w:rsidR="00441CBE" w:rsidRDefault="00441CBE" w:rsidP="00441CBE">
            <w:pPr>
              <w:pStyle w:val="tbltext"/>
            </w:pPr>
            <w:r>
              <w:t>Buy-side</w:t>
            </w:r>
          </w:p>
        </w:tc>
      </w:tr>
    </w:tbl>
    <w:p w14:paraId="4D1661DE" w14:textId="7377C6D3" w:rsidR="00C443A0" w:rsidRDefault="00C443A0" w:rsidP="00C443A0">
      <w:pPr>
        <w:pStyle w:val="BodyText"/>
        <w:numPr>
          <w:ilvl w:val="0"/>
          <w:numId w:val="17"/>
        </w:numPr>
      </w:pPr>
      <w:r>
        <w:t xml:space="preserve">Taking into account the above implementation components, reference cases and adjustments and using $73.05 as the hourly labour cost specified by </w:t>
      </w:r>
      <w:hyperlink r:id="rId181" w:history="1">
        <w:r>
          <w:rPr>
            <w:rStyle w:val="Hyperlink"/>
          </w:rPr>
          <w:t>The Office of Best Practice Regulation</w:t>
        </w:r>
      </w:hyperlink>
      <w:r>
        <w:t xml:space="preserve"> for regulatory burden measurement, </w:t>
      </w:r>
      <w:bookmarkStart w:id="350" w:name="_Hlk101425308"/>
      <w:r>
        <w:t>our estimates of the regulatory compliance burden of implementing the draft amended ASIC Rules for each group of reporting entity</w:t>
      </w:r>
      <w:bookmarkEnd w:id="350"/>
      <w:r>
        <w:t xml:space="preserve"> is set out in </w:t>
      </w:r>
      <w:r>
        <w:fldChar w:fldCharType="begin" w:fldLock="1"/>
      </w:r>
      <w:r>
        <w:instrText xml:space="preserve"> REF _Ref100199960 \h </w:instrText>
      </w:r>
      <w:r>
        <w:fldChar w:fldCharType="separate"/>
      </w:r>
      <w:r w:rsidR="00853A2A">
        <w:t xml:space="preserve">Table </w:t>
      </w:r>
      <w:r w:rsidR="00853A2A">
        <w:rPr>
          <w:noProof/>
        </w:rPr>
        <w:t>48</w:t>
      </w:r>
      <w:r>
        <w:fldChar w:fldCharType="end"/>
      </w:r>
      <w:r>
        <w:t>.</w:t>
      </w:r>
    </w:p>
    <w:p w14:paraId="293725E6" w14:textId="1FA98382" w:rsidR="009F7FC1" w:rsidRPr="002D0EB6" w:rsidRDefault="009F7FC1" w:rsidP="002D0EB6">
      <w:pPr>
        <w:pStyle w:val="Note"/>
        <w:rPr>
          <w:i/>
          <w:iCs/>
        </w:rPr>
      </w:pPr>
      <w:r>
        <w:t xml:space="preserve">Note: See OBPR, </w:t>
      </w:r>
      <w:r w:rsidRPr="001C22BE">
        <w:rPr>
          <w:i/>
          <w:iCs/>
        </w:rPr>
        <w:t>Regulatory Burden Measurement Framework</w:t>
      </w:r>
      <w:r>
        <w:t xml:space="preserve">, </w:t>
      </w:r>
      <w:r w:rsidRPr="001C22BE">
        <w:t>March</w:t>
      </w:r>
      <w:r>
        <w:t xml:space="preserve"> 2020.</w:t>
      </w:r>
    </w:p>
    <w:p w14:paraId="6EB54D40" w14:textId="77777777" w:rsidR="00C443A0" w:rsidRDefault="00C443A0" w:rsidP="00C443A0">
      <w:pPr>
        <w:pStyle w:val="BodyText"/>
        <w:numPr>
          <w:ilvl w:val="0"/>
          <w:numId w:val="0"/>
        </w:numPr>
        <w:ind w:left="2268"/>
      </w:pPr>
    </w:p>
    <w:p w14:paraId="3C6174A8" w14:textId="77777777" w:rsidR="00C443A0" w:rsidRDefault="00C443A0" w:rsidP="00C443A0">
      <w:pPr>
        <w:pStyle w:val="BodyText"/>
        <w:numPr>
          <w:ilvl w:val="0"/>
          <w:numId w:val="0"/>
        </w:numPr>
        <w:ind w:left="2268"/>
        <w:sectPr w:rsidR="00C443A0" w:rsidSect="00FC511F">
          <w:headerReference w:type="even" r:id="rId182"/>
          <w:headerReference w:type="default" r:id="rId183"/>
          <w:footerReference w:type="even" r:id="rId184"/>
          <w:footerReference w:type="default" r:id="rId185"/>
          <w:headerReference w:type="first" r:id="rId186"/>
          <w:pgSz w:w="11906" w:h="16838" w:code="9"/>
          <w:pgMar w:top="1644" w:right="1418" w:bottom="1418" w:left="1418" w:header="567" w:footer="567" w:gutter="0"/>
          <w:cols w:space="720"/>
          <w:docGrid w:linePitch="299"/>
        </w:sectPr>
      </w:pPr>
    </w:p>
    <w:p w14:paraId="01C513CC" w14:textId="50BEDB5D" w:rsidR="00C443A0" w:rsidRDefault="00C443A0" w:rsidP="004A0107">
      <w:pPr>
        <w:pStyle w:val="tabletitlefullwidth"/>
        <w:ind w:right="26"/>
      </w:pPr>
      <w:bookmarkStart w:id="351" w:name="_Ref100199960"/>
      <w:bookmarkStart w:id="352" w:name="_Hlk101424910"/>
      <w:r>
        <w:t xml:space="preserve">Table </w:t>
      </w:r>
      <w:fldSimple w:instr=" SEQ Table \* ARABIC ">
        <w:r w:rsidR="006679BA">
          <w:rPr>
            <w:noProof/>
          </w:rPr>
          <w:t>48</w:t>
        </w:r>
      </w:fldSimple>
      <w:bookmarkEnd w:id="351"/>
      <w:r>
        <w:t>:</w:t>
      </w:r>
      <w:r>
        <w:tab/>
      </w:r>
      <w:r w:rsidR="00441CBE">
        <w:t>Reporting entity group first year and ongoing costs per reporting entity</w:t>
      </w:r>
    </w:p>
    <w:tbl>
      <w:tblPr>
        <w:tblW w:w="4991"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756"/>
        <w:gridCol w:w="1624"/>
        <w:gridCol w:w="1624"/>
        <w:gridCol w:w="1628"/>
        <w:gridCol w:w="1625"/>
        <w:gridCol w:w="1625"/>
        <w:gridCol w:w="1625"/>
        <w:gridCol w:w="1625"/>
        <w:gridCol w:w="1614"/>
      </w:tblGrid>
      <w:tr w:rsidR="00895953" w:rsidRPr="000540E1" w14:paraId="676C5838" w14:textId="77777777" w:rsidTr="00D02AE8">
        <w:trPr>
          <w:cantSplit/>
          <w:tblHeader/>
        </w:trPr>
        <w:tc>
          <w:tcPr>
            <w:tcW w:w="0" w:type="auto"/>
            <w:tcBorders>
              <w:bottom w:val="single" w:sz="4" w:space="0" w:color="999999"/>
            </w:tcBorders>
            <w:shd w:val="clear" w:color="auto" w:fill="C2E3FA"/>
          </w:tcPr>
          <w:p w14:paraId="158F9722" w14:textId="77777777" w:rsidR="00736932" w:rsidRDefault="00736932" w:rsidP="00D02AE8">
            <w:pPr>
              <w:pStyle w:val="tablehead"/>
              <w:spacing w:before="100" w:line="230" w:lineRule="atLeast"/>
            </w:pPr>
            <w:bookmarkStart w:id="353" w:name="_Hlk101424809"/>
            <w:bookmarkEnd w:id="352"/>
            <w:r>
              <w:t>Group</w:t>
            </w:r>
          </w:p>
        </w:tc>
        <w:tc>
          <w:tcPr>
            <w:tcW w:w="591" w:type="pct"/>
            <w:tcBorders>
              <w:bottom w:val="single" w:sz="4" w:space="0" w:color="999999"/>
              <w:right w:val="single" w:sz="4" w:space="0" w:color="999999"/>
            </w:tcBorders>
            <w:shd w:val="clear" w:color="auto" w:fill="C2E3FA"/>
          </w:tcPr>
          <w:p w14:paraId="0CD480B0" w14:textId="7AAEAE94" w:rsidR="00736932" w:rsidRDefault="00736932" w:rsidP="00D02AE8">
            <w:pPr>
              <w:pStyle w:val="tablehead"/>
              <w:spacing w:before="100" w:line="230" w:lineRule="atLeast"/>
              <w:jc w:val="right"/>
            </w:pPr>
            <w:r>
              <w:t>First year costs—ASIC data elements</w:t>
            </w:r>
          </w:p>
        </w:tc>
        <w:tc>
          <w:tcPr>
            <w:tcW w:w="591" w:type="pct"/>
            <w:tcBorders>
              <w:bottom w:val="single" w:sz="4" w:space="0" w:color="999999"/>
              <w:right w:val="single" w:sz="4" w:space="0" w:color="999999"/>
            </w:tcBorders>
            <w:shd w:val="clear" w:color="auto" w:fill="C2E3FA"/>
          </w:tcPr>
          <w:p w14:paraId="57F819D2" w14:textId="44BC4E54" w:rsidR="00736932" w:rsidRDefault="00736932" w:rsidP="00D02AE8">
            <w:pPr>
              <w:pStyle w:val="tablehead"/>
              <w:spacing w:before="100" w:line="230" w:lineRule="atLeast"/>
              <w:jc w:val="right"/>
            </w:pPr>
            <w:r>
              <w:t>First year costs—UTI</w:t>
            </w:r>
            <w:r w:rsidRPr="002D0EB6">
              <w:rPr>
                <w:sz w:val="24"/>
                <w:szCs w:val="24"/>
                <w:vertAlign w:val="superscript"/>
              </w:rPr>
              <w:t>*</w:t>
            </w:r>
          </w:p>
        </w:tc>
        <w:tc>
          <w:tcPr>
            <w:tcW w:w="592" w:type="pct"/>
            <w:tcBorders>
              <w:bottom w:val="single" w:sz="4" w:space="0" w:color="999999"/>
              <w:right w:val="single" w:sz="4" w:space="0" w:color="999999"/>
            </w:tcBorders>
            <w:shd w:val="clear" w:color="auto" w:fill="C2E3FA"/>
          </w:tcPr>
          <w:p w14:paraId="48B8E28D" w14:textId="0E273E51" w:rsidR="00736932" w:rsidRDefault="00736932" w:rsidP="00D02AE8">
            <w:pPr>
              <w:pStyle w:val="tablehead"/>
              <w:spacing w:before="100" w:line="230" w:lineRule="atLeast"/>
              <w:jc w:val="right"/>
            </w:pPr>
            <w:r>
              <w:t>First year costs—UPI</w:t>
            </w:r>
            <w:r w:rsidRPr="002D0EB6">
              <w:rPr>
                <w:sz w:val="24"/>
                <w:szCs w:val="24"/>
                <w:vertAlign w:val="superscript"/>
              </w:rPr>
              <w:t>*</w:t>
            </w:r>
          </w:p>
        </w:tc>
        <w:tc>
          <w:tcPr>
            <w:tcW w:w="591" w:type="pct"/>
            <w:tcBorders>
              <w:bottom w:val="single" w:sz="4" w:space="0" w:color="999999"/>
              <w:right w:val="single" w:sz="4" w:space="0" w:color="999999"/>
            </w:tcBorders>
            <w:shd w:val="clear" w:color="auto" w:fill="C2E3FA"/>
          </w:tcPr>
          <w:p w14:paraId="61C67EF4" w14:textId="73E59425" w:rsidR="00736932" w:rsidRDefault="00736932" w:rsidP="00D02AE8">
            <w:pPr>
              <w:pStyle w:val="tablehead"/>
              <w:spacing w:before="100" w:line="230" w:lineRule="atLeast"/>
              <w:jc w:val="right"/>
            </w:pPr>
            <w:r>
              <w:t>First year costs—ISO 20022</w:t>
            </w:r>
          </w:p>
        </w:tc>
        <w:tc>
          <w:tcPr>
            <w:tcW w:w="591" w:type="pct"/>
            <w:tcBorders>
              <w:left w:val="single" w:sz="4" w:space="0" w:color="999999"/>
              <w:bottom w:val="single" w:sz="4" w:space="0" w:color="999999"/>
            </w:tcBorders>
            <w:shd w:val="clear" w:color="auto" w:fill="C2E3FA"/>
          </w:tcPr>
          <w:p w14:paraId="55B10890" w14:textId="73DB2E4C" w:rsidR="00736932" w:rsidRPr="000540E1" w:rsidRDefault="00736932" w:rsidP="00D02AE8">
            <w:pPr>
              <w:pStyle w:val="tablehead"/>
              <w:spacing w:before="100" w:line="230" w:lineRule="atLeast"/>
              <w:jc w:val="right"/>
            </w:pPr>
            <w:r>
              <w:t>Total first</w:t>
            </w:r>
            <w:r w:rsidRPr="002D0EB6">
              <w:rPr>
                <w:rFonts w:ascii="Arial Bold" w:hAnsi="Arial Bold"/>
              </w:rPr>
              <w:t xml:space="preserve"> </w:t>
            </w:r>
            <w:r>
              <w:t>year costs</w:t>
            </w:r>
          </w:p>
        </w:tc>
        <w:tc>
          <w:tcPr>
            <w:tcW w:w="591" w:type="pct"/>
            <w:tcBorders>
              <w:bottom w:val="single" w:sz="4" w:space="0" w:color="999999"/>
            </w:tcBorders>
            <w:shd w:val="clear" w:color="auto" w:fill="C2E3FA"/>
          </w:tcPr>
          <w:p w14:paraId="497E675B" w14:textId="6D1107F6" w:rsidR="00736932" w:rsidRDefault="00736932" w:rsidP="00D02AE8">
            <w:pPr>
              <w:pStyle w:val="tablehead"/>
              <w:spacing w:before="100" w:line="230" w:lineRule="atLeast"/>
              <w:jc w:val="right"/>
            </w:pPr>
            <w:r>
              <w:t>Ongoing costs—UPI fees</w:t>
            </w:r>
          </w:p>
        </w:tc>
        <w:tc>
          <w:tcPr>
            <w:tcW w:w="591" w:type="pct"/>
            <w:tcBorders>
              <w:bottom w:val="single" w:sz="4" w:space="0" w:color="999999"/>
            </w:tcBorders>
            <w:shd w:val="clear" w:color="auto" w:fill="C2E3FA"/>
          </w:tcPr>
          <w:p w14:paraId="1B7BFF53" w14:textId="7C929BA5" w:rsidR="00736932" w:rsidRDefault="00736932" w:rsidP="00D02AE8">
            <w:pPr>
              <w:pStyle w:val="tablehead"/>
              <w:spacing w:before="100" w:line="230" w:lineRule="atLeast"/>
              <w:jc w:val="right"/>
            </w:pPr>
            <w:r>
              <w:t>Ongoing costs—System synergies</w:t>
            </w:r>
          </w:p>
        </w:tc>
        <w:tc>
          <w:tcPr>
            <w:tcW w:w="587" w:type="pct"/>
            <w:tcBorders>
              <w:bottom w:val="single" w:sz="4" w:space="0" w:color="999999"/>
              <w:right w:val="single" w:sz="4" w:space="0" w:color="999999"/>
            </w:tcBorders>
            <w:shd w:val="clear" w:color="auto" w:fill="C2E3FA"/>
          </w:tcPr>
          <w:p w14:paraId="03A25C60" w14:textId="3B0A76CA" w:rsidR="00736932" w:rsidRDefault="00736932" w:rsidP="00D02AE8">
            <w:pPr>
              <w:pStyle w:val="tablehead"/>
              <w:spacing w:before="100" w:line="230" w:lineRule="atLeast"/>
              <w:jc w:val="right"/>
            </w:pPr>
            <w:r>
              <w:t>Total ongoing costs</w:t>
            </w:r>
          </w:p>
        </w:tc>
      </w:tr>
      <w:tr w:rsidR="00895953" w:rsidRPr="000540E1" w14:paraId="30509E3C" w14:textId="77777777" w:rsidTr="00D02AE8">
        <w:trPr>
          <w:cantSplit/>
        </w:trPr>
        <w:tc>
          <w:tcPr>
            <w:tcW w:w="0" w:type="auto"/>
            <w:tcBorders>
              <w:bottom w:val="nil"/>
            </w:tcBorders>
          </w:tcPr>
          <w:p w14:paraId="42815C2C" w14:textId="77777777" w:rsidR="00736932" w:rsidRPr="000540E1" w:rsidRDefault="00736932" w:rsidP="00D02AE8">
            <w:pPr>
              <w:pStyle w:val="tbltext"/>
              <w:spacing w:before="100" w:line="230" w:lineRule="atLeast"/>
            </w:pPr>
            <w:r>
              <w:t>L1</w:t>
            </w:r>
          </w:p>
        </w:tc>
        <w:tc>
          <w:tcPr>
            <w:tcW w:w="591" w:type="pct"/>
            <w:tcBorders>
              <w:bottom w:val="nil"/>
              <w:right w:val="single" w:sz="4" w:space="0" w:color="999999"/>
            </w:tcBorders>
          </w:tcPr>
          <w:p w14:paraId="322E7A71" w14:textId="227D3CEE" w:rsidR="00736932" w:rsidRDefault="00736932" w:rsidP="00D02AE8">
            <w:pPr>
              <w:pStyle w:val="tbltext"/>
              <w:spacing w:before="100" w:line="230" w:lineRule="atLeast"/>
              <w:jc w:val="right"/>
            </w:pPr>
            <w:r>
              <w:t>$456,000</w:t>
            </w:r>
          </w:p>
        </w:tc>
        <w:tc>
          <w:tcPr>
            <w:tcW w:w="591" w:type="pct"/>
            <w:tcBorders>
              <w:bottom w:val="nil"/>
              <w:right w:val="single" w:sz="4" w:space="0" w:color="999999"/>
            </w:tcBorders>
          </w:tcPr>
          <w:p w14:paraId="4E2A8C2F" w14:textId="539D1CEA" w:rsidR="00736932" w:rsidRDefault="00736932" w:rsidP="00D02AE8">
            <w:pPr>
              <w:pStyle w:val="tbltext"/>
              <w:spacing w:before="100" w:line="230" w:lineRule="atLeast"/>
              <w:jc w:val="right"/>
            </w:pPr>
            <w:r>
              <w:t>$68,000</w:t>
            </w:r>
          </w:p>
        </w:tc>
        <w:tc>
          <w:tcPr>
            <w:tcW w:w="592" w:type="pct"/>
            <w:tcBorders>
              <w:bottom w:val="nil"/>
              <w:right w:val="single" w:sz="4" w:space="0" w:color="999999"/>
            </w:tcBorders>
          </w:tcPr>
          <w:p w14:paraId="52E6E8EE" w14:textId="30AF8671" w:rsidR="00736932" w:rsidRDefault="00736932" w:rsidP="00D02AE8">
            <w:pPr>
              <w:pStyle w:val="tbltext"/>
              <w:spacing w:before="100" w:line="230" w:lineRule="atLeast"/>
              <w:jc w:val="right"/>
            </w:pPr>
            <w:r>
              <w:t>$76,000</w:t>
            </w:r>
          </w:p>
        </w:tc>
        <w:tc>
          <w:tcPr>
            <w:tcW w:w="591" w:type="pct"/>
            <w:tcBorders>
              <w:bottom w:val="nil"/>
              <w:right w:val="single" w:sz="4" w:space="0" w:color="999999"/>
            </w:tcBorders>
          </w:tcPr>
          <w:p w14:paraId="6A7BDD81" w14:textId="3E578E81" w:rsidR="00736932" w:rsidRDefault="00736932" w:rsidP="00D02AE8">
            <w:pPr>
              <w:pStyle w:val="tbltext"/>
              <w:spacing w:before="100" w:line="230" w:lineRule="atLeast"/>
              <w:jc w:val="right"/>
            </w:pPr>
            <w:r>
              <w:t>$228,000</w:t>
            </w:r>
          </w:p>
        </w:tc>
        <w:tc>
          <w:tcPr>
            <w:tcW w:w="591" w:type="pct"/>
            <w:tcBorders>
              <w:left w:val="single" w:sz="4" w:space="0" w:color="999999"/>
              <w:bottom w:val="nil"/>
            </w:tcBorders>
          </w:tcPr>
          <w:p w14:paraId="0300D0E4" w14:textId="4980BA67" w:rsidR="00736932" w:rsidRPr="000540E1" w:rsidRDefault="00736932" w:rsidP="00D02AE8">
            <w:pPr>
              <w:pStyle w:val="tbltext"/>
              <w:spacing w:before="100" w:line="230" w:lineRule="atLeast"/>
              <w:jc w:val="right"/>
            </w:pPr>
            <w:r>
              <w:t>$828,000</w:t>
            </w:r>
          </w:p>
        </w:tc>
        <w:tc>
          <w:tcPr>
            <w:tcW w:w="591" w:type="pct"/>
            <w:tcBorders>
              <w:bottom w:val="nil"/>
            </w:tcBorders>
          </w:tcPr>
          <w:p w14:paraId="2DEEDD40" w14:textId="609991D8" w:rsidR="00736932" w:rsidRDefault="00736932" w:rsidP="00D02AE8">
            <w:pPr>
              <w:pStyle w:val="tbltext"/>
              <w:spacing w:before="100" w:line="230" w:lineRule="atLeast"/>
              <w:jc w:val="right"/>
            </w:pPr>
            <w:r>
              <w:t>$8,400</w:t>
            </w:r>
          </w:p>
        </w:tc>
        <w:tc>
          <w:tcPr>
            <w:tcW w:w="591" w:type="pct"/>
            <w:tcBorders>
              <w:bottom w:val="nil"/>
            </w:tcBorders>
          </w:tcPr>
          <w:p w14:paraId="48AA676F" w14:textId="1F6A03FA" w:rsidR="00736932" w:rsidRDefault="00736932" w:rsidP="00D02AE8">
            <w:pPr>
              <w:pStyle w:val="tbltext"/>
              <w:spacing w:before="100" w:line="230" w:lineRule="atLeast"/>
              <w:jc w:val="right"/>
            </w:pPr>
            <w:r>
              <w:t>($45,600)</w:t>
            </w:r>
          </w:p>
        </w:tc>
        <w:tc>
          <w:tcPr>
            <w:tcW w:w="587" w:type="pct"/>
            <w:tcBorders>
              <w:bottom w:val="nil"/>
              <w:right w:val="single" w:sz="4" w:space="0" w:color="999999"/>
            </w:tcBorders>
          </w:tcPr>
          <w:p w14:paraId="515A6C35" w14:textId="7BC17B76" w:rsidR="00736932" w:rsidRDefault="00736932" w:rsidP="00D02AE8">
            <w:pPr>
              <w:pStyle w:val="tbltext"/>
              <w:spacing w:before="100" w:line="230" w:lineRule="atLeast"/>
              <w:jc w:val="right"/>
            </w:pPr>
            <w:r>
              <w:t>($37,200)</w:t>
            </w:r>
          </w:p>
        </w:tc>
      </w:tr>
      <w:tr w:rsidR="00895953" w:rsidRPr="000540E1" w14:paraId="7ADAF544" w14:textId="77777777" w:rsidTr="00D02AE8">
        <w:trPr>
          <w:cantSplit/>
        </w:trPr>
        <w:tc>
          <w:tcPr>
            <w:tcW w:w="0" w:type="auto"/>
            <w:tcBorders>
              <w:bottom w:val="nil"/>
            </w:tcBorders>
          </w:tcPr>
          <w:p w14:paraId="53DB0A8B" w14:textId="77777777" w:rsidR="00736932" w:rsidRPr="000540E1" w:rsidRDefault="00736932" w:rsidP="00D02AE8">
            <w:pPr>
              <w:pStyle w:val="tbltext"/>
              <w:spacing w:before="100" w:line="230" w:lineRule="atLeast"/>
            </w:pPr>
            <w:r>
              <w:t>L2</w:t>
            </w:r>
          </w:p>
        </w:tc>
        <w:tc>
          <w:tcPr>
            <w:tcW w:w="591" w:type="pct"/>
            <w:tcBorders>
              <w:bottom w:val="nil"/>
              <w:right w:val="single" w:sz="4" w:space="0" w:color="999999"/>
            </w:tcBorders>
          </w:tcPr>
          <w:p w14:paraId="761A8CF2" w14:textId="39973BB2" w:rsidR="00736932" w:rsidRDefault="00736932" w:rsidP="00D02AE8">
            <w:pPr>
              <w:pStyle w:val="tbltext"/>
              <w:spacing w:before="100" w:line="230" w:lineRule="atLeast"/>
              <w:jc w:val="right"/>
            </w:pPr>
            <w:r>
              <w:t>$228,000</w:t>
            </w:r>
          </w:p>
        </w:tc>
        <w:tc>
          <w:tcPr>
            <w:tcW w:w="591" w:type="pct"/>
            <w:tcBorders>
              <w:bottom w:val="nil"/>
              <w:right w:val="single" w:sz="4" w:space="0" w:color="999999"/>
            </w:tcBorders>
          </w:tcPr>
          <w:p w14:paraId="04A3DFA4" w14:textId="4D6B29A7" w:rsidR="00736932" w:rsidRDefault="00736932" w:rsidP="00D02AE8">
            <w:pPr>
              <w:pStyle w:val="tbltext"/>
              <w:spacing w:before="100" w:line="230" w:lineRule="atLeast"/>
              <w:jc w:val="right"/>
            </w:pPr>
            <w:r>
              <w:t>$137,000</w:t>
            </w:r>
          </w:p>
        </w:tc>
        <w:tc>
          <w:tcPr>
            <w:tcW w:w="592" w:type="pct"/>
            <w:tcBorders>
              <w:bottom w:val="nil"/>
              <w:right w:val="single" w:sz="4" w:space="0" w:color="999999"/>
            </w:tcBorders>
          </w:tcPr>
          <w:p w14:paraId="7EB6A054" w14:textId="58C56B0D" w:rsidR="00736932" w:rsidRDefault="00736932" w:rsidP="00D02AE8">
            <w:pPr>
              <w:pStyle w:val="tbltext"/>
              <w:spacing w:before="100" w:line="230" w:lineRule="atLeast"/>
              <w:jc w:val="right"/>
            </w:pPr>
            <w:r>
              <w:t>$76,000</w:t>
            </w:r>
          </w:p>
        </w:tc>
        <w:tc>
          <w:tcPr>
            <w:tcW w:w="591" w:type="pct"/>
            <w:tcBorders>
              <w:bottom w:val="nil"/>
              <w:right w:val="single" w:sz="4" w:space="0" w:color="999999"/>
            </w:tcBorders>
          </w:tcPr>
          <w:p w14:paraId="64C31AA6" w14:textId="4002C022" w:rsidR="00736932" w:rsidRDefault="00736932" w:rsidP="00D02AE8">
            <w:pPr>
              <w:pStyle w:val="tbltext"/>
              <w:spacing w:before="100" w:line="230" w:lineRule="atLeast"/>
              <w:jc w:val="right"/>
            </w:pPr>
            <w:r>
              <w:t>$0</w:t>
            </w:r>
          </w:p>
        </w:tc>
        <w:tc>
          <w:tcPr>
            <w:tcW w:w="591" w:type="pct"/>
            <w:tcBorders>
              <w:left w:val="single" w:sz="4" w:space="0" w:color="999999"/>
              <w:bottom w:val="nil"/>
            </w:tcBorders>
          </w:tcPr>
          <w:p w14:paraId="5604B922" w14:textId="603B79F8" w:rsidR="00736932" w:rsidRPr="000540E1" w:rsidRDefault="00736932" w:rsidP="00D02AE8">
            <w:pPr>
              <w:pStyle w:val="tbltext"/>
              <w:spacing w:before="100" w:line="230" w:lineRule="atLeast"/>
              <w:jc w:val="right"/>
            </w:pPr>
            <w:r>
              <w:t>$441,000</w:t>
            </w:r>
          </w:p>
        </w:tc>
        <w:tc>
          <w:tcPr>
            <w:tcW w:w="591" w:type="pct"/>
            <w:tcBorders>
              <w:bottom w:val="nil"/>
            </w:tcBorders>
          </w:tcPr>
          <w:p w14:paraId="0D40A08F" w14:textId="7E7D07EC" w:rsidR="00736932" w:rsidRDefault="00736932" w:rsidP="00D02AE8">
            <w:pPr>
              <w:pStyle w:val="tbltext"/>
              <w:spacing w:before="100" w:line="230" w:lineRule="atLeast"/>
              <w:jc w:val="right"/>
            </w:pPr>
            <w:r>
              <w:t>$8,400</w:t>
            </w:r>
          </w:p>
        </w:tc>
        <w:tc>
          <w:tcPr>
            <w:tcW w:w="591" w:type="pct"/>
            <w:tcBorders>
              <w:bottom w:val="nil"/>
            </w:tcBorders>
          </w:tcPr>
          <w:p w14:paraId="370D8285" w14:textId="41274B30" w:rsidR="00736932" w:rsidRDefault="00736932" w:rsidP="00D02AE8">
            <w:pPr>
              <w:pStyle w:val="tbltext"/>
              <w:spacing w:before="100" w:line="230" w:lineRule="atLeast"/>
              <w:jc w:val="right"/>
            </w:pPr>
            <w:r>
              <w:t>($5,700)</w:t>
            </w:r>
          </w:p>
        </w:tc>
        <w:tc>
          <w:tcPr>
            <w:tcW w:w="587" w:type="pct"/>
            <w:tcBorders>
              <w:bottom w:val="nil"/>
              <w:right w:val="single" w:sz="4" w:space="0" w:color="999999"/>
            </w:tcBorders>
          </w:tcPr>
          <w:p w14:paraId="0E3F2279" w14:textId="58184B4C" w:rsidR="00736932" w:rsidRPr="000540E1" w:rsidRDefault="00736932" w:rsidP="00D02AE8">
            <w:pPr>
              <w:pStyle w:val="tbltext"/>
              <w:spacing w:before="100" w:line="230" w:lineRule="atLeast"/>
              <w:jc w:val="right"/>
            </w:pPr>
            <w:r>
              <w:t>$2,700</w:t>
            </w:r>
          </w:p>
        </w:tc>
      </w:tr>
      <w:tr w:rsidR="00895953" w:rsidRPr="000540E1" w14:paraId="1B3D0B7E" w14:textId="77777777" w:rsidTr="00D02AE8">
        <w:trPr>
          <w:cantSplit/>
        </w:trPr>
        <w:tc>
          <w:tcPr>
            <w:tcW w:w="0" w:type="auto"/>
            <w:tcBorders>
              <w:bottom w:val="nil"/>
            </w:tcBorders>
          </w:tcPr>
          <w:p w14:paraId="4A3CE4B9" w14:textId="77777777" w:rsidR="00736932" w:rsidRDefault="00736932" w:rsidP="00D02AE8">
            <w:pPr>
              <w:pStyle w:val="tbltext"/>
              <w:spacing w:before="100" w:line="230" w:lineRule="atLeast"/>
            </w:pPr>
            <w:r>
              <w:t>L3</w:t>
            </w:r>
          </w:p>
        </w:tc>
        <w:tc>
          <w:tcPr>
            <w:tcW w:w="591" w:type="pct"/>
            <w:tcBorders>
              <w:bottom w:val="nil"/>
              <w:right w:val="single" w:sz="4" w:space="0" w:color="999999"/>
            </w:tcBorders>
          </w:tcPr>
          <w:p w14:paraId="33EBBB25" w14:textId="79D9EF35" w:rsidR="00736932" w:rsidRDefault="00736932" w:rsidP="00D02AE8">
            <w:pPr>
              <w:pStyle w:val="tbltext"/>
              <w:spacing w:before="100" w:line="230" w:lineRule="atLeast"/>
              <w:jc w:val="right"/>
            </w:pPr>
            <w:r>
              <w:t>$228,000</w:t>
            </w:r>
          </w:p>
        </w:tc>
        <w:tc>
          <w:tcPr>
            <w:tcW w:w="591" w:type="pct"/>
            <w:tcBorders>
              <w:bottom w:val="nil"/>
              <w:right w:val="single" w:sz="4" w:space="0" w:color="999999"/>
            </w:tcBorders>
          </w:tcPr>
          <w:p w14:paraId="2642A389" w14:textId="2329D40C" w:rsidR="00736932" w:rsidRDefault="00736932" w:rsidP="00D02AE8">
            <w:pPr>
              <w:pStyle w:val="tbltext"/>
              <w:spacing w:before="100" w:line="230" w:lineRule="atLeast"/>
              <w:jc w:val="right"/>
            </w:pPr>
            <w:r>
              <w:t>$96,000</w:t>
            </w:r>
          </w:p>
        </w:tc>
        <w:tc>
          <w:tcPr>
            <w:tcW w:w="592" w:type="pct"/>
            <w:tcBorders>
              <w:bottom w:val="nil"/>
              <w:right w:val="single" w:sz="4" w:space="0" w:color="999999"/>
            </w:tcBorders>
          </w:tcPr>
          <w:p w14:paraId="3DEB22C5" w14:textId="28A8AEEF" w:rsidR="00736932" w:rsidRDefault="00736932" w:rsidP="00D02AE8">
            <w:pPr>
              <w:pStyle w:val="tbltext"/>
              <w:spacing w:before="100" w:line="230" w:lineRule="atLeast"/>
              <w:jc w:val="right"/>
            </w:pPr>
            <w:r>
              <w:t>$76,000</w:t>
            </w:r>
          </w:p>
        </w:tc>
        <w:tc>
          <w:tcPr>
            <w:tcW w:w="591" w:type="pct"/>
            <w:tcBorders>
              <w:bottom w:val="nil"/>
              <w:right w:val="single" w:sz="4" w:space="0" w:color="999999"/>
            </w:tcBorders>
          </w:tcPr>
          <w:p w14:paraId="79C446DD" w14:textId="4491A6F4" w:rsidR="00736932" w:rsidRDefault="00736932" w:rsidP="00D02AE8">
            <w:pPr>
              <w:pStyle w:val="tbltext"/>
              <w:spacing w:before="100" w:line="230" w:lineRule="atLeast"/>
              <w:jc w:val="right"/>
            </w:pPr>
            <w:r>
              <w:t>$114,000</w:t>
            </w:r>
          </w:p>
        </w:tc>
        <w:tc>
          <w:tcPr>
            <w:tcW w:w="591" w:type="pct"/>
            <w:tcBorders>
              <w:left w:val="single" w:sz="4" w:space="0" w:color="999999"/>
              <w:bottom w:val="nil"/>
            </w:tcBorders>
          </w:tcPr>
          <w:p w14:paraId="64E97CA0" w14:textId="4D98CB83" w:rsidR="00736932" w:rsidRDefault="00736932" w:rsidP="00D02AE8">
            <w:pPr>
              <w:pStyle w:val="tbltext"/>
              <w:spacing w:before="100" w:line="230" w:lineRule="atLeast"/>
              <w:jc w:val="right"/>
            </w:pPr>
            <w:r>
              <w:t>$514,000</w:t>
            </w:r>
          </w:p>
        </w:tc>
        <w:tc>
          <w:tcPr>
            <w:tcW w:w="591" w:type="pct"/>
            <w:tcBorders>
              <w:bottom w:val="nil"/>
            </w:tcBorders>
          </w:tcPr>
          <w:p w14:paraId="6EF990D9" w14:textId="1DA5DDA0" w:rsidR="00736932" w:rsidRDefault="00736932" w:rsidP="00D02AE8">
            <w:pPr>
              <w:pStyle w:val="tbltext"/>
              <w:spacing w:before="100" w:line="230" w:lineRule="atLeast"/>
              <w:jc w:val="right"/>
            </w:pPr>
            <w:r>
              <w:t>$8,400</w:t>
            </w:r>
          </w:p>
        </w:tc>
        <w:tc>
          <w:tcPr>
            <w:tcW w:w="591" w:type="pct"/>
            <w:tcBorders>
              <w:bottom w:val="nil"/>
            </w:tcBorders>
          </w:tcPr>
          <w:p w14:paraId="282D527A" w14:textId="1B7C4136" w:rsidR="00736932" w:rsidRDefault="00736932" w:rsidP="00D02AE8">
            <w:pPr>
              <w:pStyle w:val="tbltext"/>
              <w:spacing w:before="100" w:line="230" w:lineRule="atLeast"/>
              <w:jc w:val="right"/>
            </w:pPr>
            <w:r>
              <w:t>($22,800)</w:t>
            </w:r>
          </w:p>
        </w:tc>
        <w:tc>
          <w:tcPr>
            <w:tcW w:w="587" w:type="pct"/>
            <w:tcBorders>
              <w:bottom w:val="nil"/>
              <w:right w:val="single" w:sz="4" w:space="0" w:color="999999"/>
            </w:tcBorders>
          </w:tcPr>
          <w:p w14:paraId="6C5EF757" w14:textId="7498E244" w:rsidR="00736932" w:rsidRDefault="00736932" w:rsidP="00D02AE8">
            <w:pPr>
              <w:pStyle w:val="tbltext"/>
              <w:spacing w:before="100" w:line="230" w:lineRule="atLeast"/>
              <w:jc w:val="right"/>
            </w:pPr>
            <w:r>
              <w:t>($14,400)</w:t>
            </w:r>
          </w:p>
        </w:tc>
      </w:tr>
      <w:tr w:rsidR="00895953" w:rsidRPr="000540E1" w14:paraId="36C6D892" w14:textId="77777777" w:rsidTr="00D02AE8">
        <w:trPr>
          <w:cantSplit/>
        </w:trPr>
        <w:tc>
          <w:tcPr>
            <w:tcW w:w="0" w:type="auto"/>
          </w:tcPr>
          <w:p w14:paraId="5B971196" w14:textId="77777777" w:rsidR="00736932" w:rsidRDefault="00736932" w:rsidP="00D02AE8">
            <w:pPr>
              <w:pStyle w:val="tbltext"/>
              <w:spacing w:before="100" w:line="230" w:lineRule="atLeast"/>
            </w:pPr>
            <w:r>
              <w:t>M1</w:t>
            </w:r>
          </w:p>
        </w:tc>
        <w:tc>
          <w:tcPr>
            <w:tcW w:w="591" w:type="pct"/>
            <w:tcBorders>
              <w:right w:val="single" w:sz="4" w:space="0" w:color="999999"/>
            </w:tcBorders>
          </w:tcPr>
          <w:p w14:paraId="3A90F10B" w14:textId="38BAB266" w:rsidR="00736932" w:rsidRDefault="00736932" w:rsidP="00D02AE8">
            <w:pPr>
              <w:pStyle w:val="tbltext"/>
              <w:spacing w:before="100" w:line="230" w:lineRule="atLeast"/>
              <w:jc w:val="right"/>
            </w:pPr>
            <w:r>
              <w:t>$228,000</w:t>
            </w:r>
          </w:p>
        </w:tc>
        <w:tc>
          <w:tcPr>
            <w:tcW w:w="591" w:type="pct"/>
            <w:tcBorders>
              <w:right w:val="single" w:sz="4" w:space="0" w:color="999999"/>
            </w:tcBorders>
          </w:tcPr>
          <w:p w14:paraId="14A00E81" w14:textId="16B884D0" w:rsidR="00736932" w:rsidRDefault="00736932" w:rsidP="00D02AE8">
            <w:pPr>
              <w:pStyle w:val="tbltext"/>
              <w:spacing w:before="100" w:line="230" w:lineRule="atLeast"/>
              <w:jc w:val="right"/>
            </w:pPr>
            <w:r>
              <w:t>$34,000</w:t>
            </w:r>
          </w:p>
        </w:tc>
        <w:tc>
          <w:tcPr>
            <w:tcW w:w="592" w:type="pct"/>
            <w:tcBorders>
              <w:right w:val="single" w:sz="4" w:space="0" w:color="999999"/>
            </w:tcBorders>
          </w:tcPr>
          <w:p w14:paraId="0CFBC82A" w14:textId="6A4BDF2A" w:rsidR="00736932" w:rsidRDefault="00736932" w:rsidP="00D02AE8">
            <w:pPr>
              <w:pStyle w:val="tbltext"/>
              <w:spacing w:before="100" w:line="230" w:lineRule="atLeast"/>
              <w:jc w:val="right"/>
            </w:pPr>
            <w:r>
              <w:t>$38,000</w:t>
            </w:r>
          </w:p>
        </w:tc>
        <w:tc>
          <w:tcPr>
            <w:tcW w:w="591" w:type="pct"/>
            <w:tcBorders>
              <w:right w:val="single" w:sz="4" w:space="0" w:color="999999"/>
            </w:tcBorders>
          </w:tcPr>
          <w:p w14:paraId="1E18CBA1" w14:textId="22BEA6E0" w:rsidR="00736932" w:rsidRDefault="00736932" w:rsidP="00D02AE8">
            <w:pPr>
              <w:pStyle w:val="tbltext"/>
              <w:spacing w:before="100" w:line="230" w:lineRule="atLeast"/>
              <w:jc w:val="right"/>
            </w:pPr>
            <w:r>
              <w:t>$57,000</w:t>
            </w:r>
          </w:p>
        </w:tc>
        <w:tc>
          <w:tcPr>
            <w:tcW w:w="591" w:type="pct"/>
            <w:tcBorders>
              <w:left w:val="single" w:sz="4" w:space="0" w:color="999999"/>
            </w:tcBorders>
          </w:tcPr>
          <w:p w14:paraId="190FEAE2" w14:textId="78CE517B" w:rsidR="00736932" w:rsidRDefault="00736932" w:rsidP="00D02AE8">
            <w:pPr>
              <w:pStyle w:val="tbltext"/>
              <w:spacing w:before="100" w:line="230" w:lineRule="atLeast"/>
              <w:jc w:val="right"/>
            </w:pPr>
            <w:r>
              <w:t>$357,000</w:t>
            </w:r>
          </w:p>
        </w:tc>
        <w:tc>
          <w:tcPr>
            <w:tcW w:w="591" w:type="pct"/>
          </w:tcPr>
          <w:p w14:paraId="22290832" w14:textId="7F340462" w:rsidR="00736932" w:rsidRDefault="00736932" w:rsidP="00D02AE8">
            <w:pPr>
              <w:pStyle w:val="tbltext"/>
              <w:spacing w:before="100" w:line="230" w:lineRule="atLeast"/>
              <w:jc w:val="right"/>
            </w:pPr>
            <w:r>
              <w:t>$2,500</w:t>
            </w:r>
          </w:p>
        </w:tc>
        <w:tc>
          <w:tcPr>
            <w:tcW w:w="591" w:type="pct"/>
          </w:tcPr>
          <w:p w14:paraId="50CF0599" w14:textId="08DE871E" w:rsidR="00736932" w:rsidRDefault="00736932" w:rsidP="00D02AE8">
            <w:pPr>
              <w:pStyle w:val="tbltext"/>
              <w:spacing w:before="100" w:line="230" w:lineRule="atLeast"/>
              <w:jc w:val="right"/>
            </w:pPr>
            <w:r>
              <w:t>($22,800)</w:t>
            </w:r>
          </w:p>
        </w:tc>
        <w:tc>
          <w:tcPr>
            <w:tcW w:w="587" w:type="pct"/>
            <w:tcBorders>
              <w:right w:val="single" w:sz="4" w:space="0" w:color="999999"/>
            </w:tcBorders>
          </w:tcPr>
          <w:p w14:paraId="12B28EB6" w14:textId="424449C6" w:rsidR="00736932" w:rsidRDefault="00736932" w:rsidP="00D02AE8">
            <w:pPr>
              <w:pStyle w:val="tbltext"/>
              <w:spacing w:before="100" w:line="230" w:lineRule="atLeast"/>
              <w:jc w:val="right"/>
            </w:pPr>
            <w:r>
              <w:t>($20,300)</w:t>
            </w:r>
          </w:p>
        </w:tc>
      </w:tr>
      <w:tr w:rsidR="00895953" w:rsidRPr="000540E1" w14:paraId="07A7B7C4" w14:textId="77777777" w:rsidTr="00D02AE8">
        <w:trPr>
          <w:cantSplit/>
        </w:trPr>
        <w:tc>
          <w:tcPr>
            <w:tcW w:w="0" w:type="auto"/>
          </w:tcPr>
          <w:p w14:paraId="056F29E4" w14:textId="77777777" w:rsidR="00736932" w:rsidRDefault="00736932" w:rsidP="00D02AE8">
            <w:pPr>
              <w:pStyle w:val="tbltext"/>
              <w:spacing w:before="100" w:line="230" w:lineRule="atLeast"/>
            </w:pPr>
            <w:r>
              <w:t>M2</w:t>
            </w:r>
          </w:p>
        </w:tc>
        <w:tc>
          <w:tcPr>
            <w:tcW w:w="591" w:type="pct"/>
            <w:tcBorders>
              <w:right w:val="single" w:sz="4" w:space="0" w:color="999999"/>
            </w:tcBorders>
          </w:tcPr>
          <w:p w14:paraId="080FB659" w14:textId="6D5ACD7E" w:rsidR="00736932" w:rsidRDefault="00736932" w:rsidP="00D02AE8">
            <w:pPr>
              <w:pStyle w:val="tbltext"/>
              <w:spacing w:before="100" w:line="230" w:lineRule="atLeast"/>
              <w:jc w:val="right"/>
            </w:pPr>
            <w:r>
              <w:t>$228,000</w:t>
            </w:r>
          </w:p>
        </w:tc>
        <w:tc>
          <w:tcPr>
            <w:tcW w:w="591" w:type="pct"/>
            <w:tcBorders>
              <w:right w:val="single" w:sz="4" w:space="0" w:color="999999"/>
            </w:tcBorders>
          </w:tcPr>
          <w:p w14:paraId="111D176E" w14:textId="3FCBD8BC" w:rsidR="00736932" w:rsidRDefault="00736932" w:rsidP="00D02AE8">
            <w:pPr>
              <w:pStyle w:val="tbltext"/>
              <w:spacing w:before="100" w:line="230" w:lineRule="atLeast"/>
              <w:jc w:val="right"/>
            </w:pPr>
            <w:r>
              <w:t>$17,000</w:t>
            </w:r>
          </w:p>
        </w:tc>
        <w:tc>
          <w:tcPr>
            <w:tcW w:w="592" w:type="pct"/>
            <w:tcBorders>
              <w:right w:val="single" w:sz="4" w:space="0" w:color="999999"/>
            </w:tcBorders>
          </w:tcPr>
          <w:p w14:paraId="6721FDAD" w14:textId="7BBD2E03" w:rsidR="00736932" w:rsidRDefault="00736932" w:rsidP="00D02AE8">
            <w:pPr>
              <w:pStyle w:val="tbltext"/>
              <w:spacing w:before="100" w:line="230" w:lineRule="atLeast"/>
              <w:jc w:val="right"/>
            </w:pPr>
            <w:r>
              <w:t>$9,000</w:t>
            </w:r>
          </w:p>
        </w:tc>
        <w:tc>
          <w:tcPr>
            <w:tcW w:w="591" w:type="pct"/>
            <w:tcBorders>
              <w:right w:val="single" w:sz="4" w:space="0" w:color="999999"/>
            </w:tcBorders>
          </w:tcPr>
          <w:p w14:paraId="513A395B" w14:textId="071496C0" w:rsidR="00736932" w:rsidRDefault="00736932" w:rsidP="00D02AE8">
            <w:pPr>
              <w:pStyle w:val="tbltext"/>
              <w:spacing w:before="100" w:line="230" w:lineRule="atLeast"/>
              <w:jc w:val="right"/>
            </w:pPr>
            <w:r>
              <w:t>$57,000</w:t>
            </w:r>
          </w:p>
        </w:tc>
        <w:tc>
          <w:tcPr>
            <w:tcW w:w="591" w:type="pct"/>
            <w:tcBorders>
              <w:left w:val="single" w:sz="4" w:space="0" w:color="999999"/>
            </w:tcBorders>
          </w:tcPr>
          <w:p w14:paraId="1630BDB0" w14:textId="4968B6D1" w:rsidR="00736932" w:rsidRDefault="00736932" w:rsidP="00D02AE8">
            <w:pPr>
              <w:pStyle w:val="tbltext"/>
              <w:spacing w:before="100" w:line="230" w:lineRule="atLeast"/>
              <w:jc w:val="right"/>
            </w:pPr>
            <w:r>
              <w:t>$311,000</w:t>
            </w:r>
          </w:p>
        </w:tc>
        <w:tc>
          <w:tcPr>
            <w:tcW w:w="591" w:type="pct"/>
          </w:tcPr>
          <w:p w14:paraId="115DF914" w14:textId="09992BD3" w:rsidR="00736932" w:rsidRDefault="00736932" w:rsidP="00D02AE8">
            <w:pPr>
              <w:pStyle w:val="tbltext"/>
              <w:spacing w:before="100" w:line="230" w:lineRule="atLeast"/>
              <w:jc w:val="right"/>
            </w:pPr>
            <w:r>
              <w:t>$600</w:t>
            </w:r>
          </w:p>
        </w:tc>
        <w:tc>
          <w:tcPr>
            <w:tcW w:w="591" w:type="pct"/>
          </w:tcPr>
          <w:p w14:paraId="50775012" w14:textId="5BF23CD9" w:rsidR="00736932" w:rsidRDefault="00736932" w:rsidP="00D02AE8">
            <w:pPr>
              <w:pStyle w:val="tbltext"/>
              <w:spacing w:before="100" w:line="230" w:lineRule="atLeast"/>
              <w:jc w:val="right"/>
            </w:pPr>
            <w:r>
              <w:t>($22,800)</w:t>
            </w:r>
          </w:p>
        </w:tc>
        <w:tc>
          <w:tcPr>
            <w:tcW w:w="587" w:type="pct"/>
            <w:tcBorders>
              <w:right w:val="single" w:sz="4" w:space="0" w:color="999999"/>
            </w:tcBorders>
          </w:tcPr>
          <w:p w14:paraId="66E9BA17" w14:textId="636FBB74" w:rsidR="00736932" w:rsidRDefault="00736932" w:rsidP="00D02AE8">
            <w:pPr>
              <w:pStyle w:val="tbltext"/>
              <w:spacing w:before="100" w:line="230" w:lineRule="atLeast"/>
              <w:jc w:val="right"/>
            </w:pPr>
            <w:r>
              <w:t>($22,200)</w:t>
            </w:r>
          </w:p>
        </w:tc>
      </w:tr>
      <w:tr w:rsidR="00895953" w:rsidRPr="000540E1" w14:paraId="05E3ACEB" w14:textId="77777777" w:rsidTr="00D02AE8">
        <w:trPr>
          <w:cantSplit/>
        </w:trPr>
        <w:tc>
          <w:tcPr>
            <w:tcW w:w="0" w:type="auto"/>
          </w:tcPr>
          <w:p w14:paraId="48419698" w14:textId="77777777" w:rsidR="00736932" w:rsidRDefault="00736932" w:rsidP="00D02AE8">
            <w:pPr>
              <w:pStyle w:val="tbltext"/>
              <w:spacing w:before="100" w:line="230" w:lineRule="atLeast"/>
            </w:pPr>
            <w:r>
              <w:t>M3</w:t>
            </w:r>
          </w:p>
        </w:tc>
        <w:tc>
          <w:tcPr>
            <w:tcW w:w="591" w:type="pct"/>
            <w:tcBorders>
              <w:right w:val="single" w:sz="4" w:space="0" w:color="999999"/>
            </w:tcBorders>
          </w:tcPr>
          <w:p w14:paraId="0F18C1E4" w14:textId="4F8A3DD4" w:rsidR="00736932" w:rsidRDefault="00736932" w:rsidP="00D02AE8">
            <w:pPr>
              <w:pStyle w:val="tbltext"/>
              <w:spacing w:before="100" w:line="230" w:lineRule="atLeast"/>
              <w:jc w:val="right"/>
            </w:pPr>
            <w:r>
              <w:t>$114,000</w:t>
            </w:r>
          </w:p>
        </w:tc>
        <w:tc>
          <w:tcPr>
            <w:tcW w:w="591" w:type="pct"/>
            <w:tcBorders>
              <w:right w:val="single" w:sz="4" w:space="0" w:color="999999"/>
            </w:tcBorders>
          </w:tcPr>
          <w:p w14:paraId="3DB4F17C" w14:textId="0A466E7B" w:rsidR="00736932" w:rsidRDefault="00736932" w:rsidP="00D02AE8">
            <w:pPr>
              <w:pStyle w:val="tbltext"/>
              <w:spacing w:before="100" w:line="230" w:lineRule="atLeast"/>
              <w:jc w:val="right"/>
            </w:pPr>
            <w:r>
              <w:t>$68,000</w:t>
            </w:r>
          </w:p>
        </w:tc>
        <w:tc>
          <w:tcPr>
            <w:tcW w:w="592" w:type="pct"/>
            <w:tcBorders>
              <w:right w:val="single" w:sz="4" w:space="0" w:color="999999"/>
            </w:tcBorders>
          </w:tcPr>
          <w:p w14:paraId="60C4351B" w14:textId="239B2E8A" w:rsidR="00736932" w:rsidRDefault="00736932" w:rsidP="00D02AE8">
            <w:pPr>
              <w:pStyle w:val="tbltext"/>
              <w:spacing w:before="100" w:line="230" w:lineRule="atLeast"/>
              <w:jc w:val="right"/>
            </w:pPr>
            <w:r>
              <w:t>$38,000</w:t>
            </w:r>
          </w:p>
        </w:tc>
        <w:tc>
          <w:tcPr>
            <w:tcW w:w="591" w:type="pct"/>
            <w:tcBorders>
              <w:right w:val="single" w:sz="4" w:space="0" w:color="999999"/>
            </w:tcBorders>
          </w:tcPr>
          <w:p w14:paraId="338025E8" w14:textId="3BE80025" w:rsidR="00736932" w:rsidRDefault="00736932" w:rsidP="00D02AE8">
            <w:pPr>
              <w:pStyle w:val="tbltext"/>
              <w:spacing w:before="100" w:line="230" w:lineRule="atLeast"/>
              <w:jc w:val="right"/>
            </w:pPr>
            <w:r>
              <w:t>$0</w:t>
            </w:r>
          </w:p>
        </w:tc>
        <w:tc>
          <w:tcPr>
            <w:tcW w:w="591" w:type="pct"/>
            <w:tcBorders>
              <w:left w:val="single" w:sz="4" w:space="0" w:color="999999"/>
            </w:tcBorders>
          </w:tcPr>
          <w:p w14:paraId="7768506E" w14:textId="20353006" w:rsidR="00736932" w:rsidRDefault="00736932" w:rsidP="00D02AE8">
            <w:pPr>
              <w:pStyle w:val="tbltext"/>
              <w:spacing w:before="100" w:line="230" w:lineRule="atLeast"/>
              <w:jc w:val="right"/>
            </w:pPr>
            <w:r>
              <w:t>$220,000</w:t>
            </w:r>
          </w:p>
        </w:tc>
        <w:tc>
          <w:tcPr>
            <w:tcW w:w="591" w:type="pct"/>
          </w:tcPr>
          <w:p w14:paraId="26A29C7D" w14:textId="5432F9D2" w:rsidR="00736932" w:rsidRDefault="00736932" w:rsidP="00D02AE8">
            <w:pPr>
              <w:pStyle w:val="tbltext"/>
              <w:spacing w:before="100" w:line="230" w:lineRule="atLeast"/>
              <w:jc w:val="right"/>
            </w:pPr>
            <w:r>
              <w:t>$2,500</w:t>
            </w:r>
          </w:p>
        </w:tc>
        <w:tc>
          <w:tcPr>
            <w:tcW w:w="591" w:type="pct"/>
          </w:tcPr>
          <w:p w14:paraId="79C9D244" w14:textId="77153E73" w:rsidR="00736932" w:rsidRDefault="00736932" w:rsidP="00D02AE8">
            <w:pPr>
              <w:pStyle w:val="tbltext"/>
              <w:spacing w:before="100" w:line="230" w:lineRule="atLeast"/>
              <w:jc w:val="right"/>
            </w:pPr>
            <w:r>
              <w:t>($2,800)</w:t>
            </w:r>
          </w:p>
        </w:tc>
        <w:tc>
          <w:tcPr>
            <w:tcW w:w="587" w:type="pct"/>
            <w:tcBorders>
              <w:right w:val="single" w:sz="4" w:space="0" w:color="999999"/>
            </w:tcBorders>
          </w:tcPr>
          <w:p w14:paraId="77E2942D" w14:textId="13853EE0" w:rsidR="00736932" w:rsidRDefault="00736932" w:rsidP="00D02AE8">
            <w:pPr>
              <w:pStyle w:val="tbltext"/>
              <w:spacing w:before="100" w:line="230" w:lineRule="atLeast"/>
              <w:jc w:val="right"/>
            </w:pPr>
            <w:r>
              <w:t>($300)</w:t>
            </w:r>
          </w:p>
        </w:tc>
      </w:tr>
      <w:tr w:rsidR="00895953" w:rsidRPr="000540E1" w14:paraId="58D43E4E" w14:textId="77777777" w:rsidTr="00D02AE8">
        <w:trPr>
          <w:cantSplit/>
        </w:trPr>
        <w:tc>
          <w:tcPr>
            <w:tcW w:w="0" w:type="auto"/>
          </w:tcPr>
          <w:p w14:paraId="0A6D6115" w14:textId="77777777" w:rsidR="00736932" w:rsidRDefault="00736932" w:rsidP="00D02AE8">
            <w:pPr>
              <w:pStyle w:val="tbltext"/>
              <w:spacing w:before="100" w:line="230" w:lineRule="atLeast"/>
            </w:pPr>
            <w:r>
              <w:t>M4</w:t>
            </w:r>
          </w:p>
        </w:tc>
        <w:tc>
          <w:tcPr>
            <w:tcW w:w="591" w:type="pct"/>
            <w:tcBorders>
              <w:right w:val="single" w:sz="4" w:space="0" w:color="999999"/>
            </w:tcBorders>
          </w:tcPr>
          <w:p w14:paraId="54BC8CD7" w14:textId="0572CCF4" w:rsidR="00736932" w:rsidRDefault="00736932" w:rsidP="00D02AE8">
            <w:pPr>
              <w:pStyle w:val="tbltext"/>
              <w:spacing w:before="100" w:line="230" w:lineRule="atLeast"/>
              <w:jc w:val="right"/>
            </w:pPr>
            <w:r>
              <w:t>$114,000</w:t>
            </w:r>
          </w:p>
        </w:tc>
        <w:tc>
          <w:tcPr>
            <w:tcW w:w="591" w:type="pct"/>
            <w:tcBorders>
              <w:right w:val="single" w:sz="4" w:space="0" w:color="999999"/>
            </w:tcBorders>
          </w:tcPr>
          <w:p w14:paraId="0A82F3C2" w14:textId="4B09116A" w:rsidR="00736932" w:rsidRDefault="00736932" w:rsidP="00D02AE8">
            <w:pPr>
              <w:pStyle w:val="tbltext"/>
              <w:spacing w:before="100" w:line="230" w:lineRule="atLeast"/>
              <w:jc w:val="right"/>
            </w:pPr>
            <w:r>
              <w:t>$9,000</w:t>
            </w:r>
          </w:p>
        </w:tc>
        <w:tc>
          <w:tcPr>
            <w:tcW w:w="592" w:type="pct"/>
            <w:tcBorders>
              <w:right w:val="single" w:sz="4" w:space="0" w:color="999999"/>
            </w:tcBorders>
          </w:tcPr>
          <w:p w14:paraId="59221A76" w14:textId="13552AF1" w:rsidR="00736932" w:rsidRDefault="00736932" w:rsidP="00D02AE8">
            <w:pPr>
              <w:pStyle w:val="tbltext"/>
              <w:spacing w:before="100" w:line="230" w:lineRule="atLeast"/>
              <w:jc w:val="right"/>
            </w:pPr>
            <w:r>
              <w:t>$5,000</w:t>
            </w:r>
          </w:p>
        </w:tc>
        <w:tc>
          <w:tcPr>
            <w:tcW w:w="591" w:type="pct"/>
            <w:tcBorders>
              <w:right w:val="single" w:sz="4" w:space="0" w:color="999999"/>
            </w:tcBorders>
          </w:tcPr>
          <w:p w14:paraId="3B9BF2F7" w14:textId="4E5A4E5A" w:rsidR="00736932" w:rsidRDefault="00736932" w:rsidP="00D02AE8">
            <w:pPr>
              <w:pStyle w:val="tbltext"/>
              <w:spacing w:before="100" w:line="230" w:lineRule="atLeast"/>
              <w:jc w:val="right"/>
            </w:pPr>
            <w:r>
              <w:t>$0</w:t>
            </w:r>
          </w:p>
        </w:tc>
        <w:tc>
          <w:tcPr>
            <w:tcW w:w="591" w:type="pct"/>
            <w:tcBorders>
              <w:left w:val="single" w:sz="4" w:space="0" w:color="999999"/>
            </w:tcBorders>
          </w:tcPr>
          <w:p w14:paraId="69975748" w14:textId="1012C854" w:rsidR="00736932" w:rsidRDefault="00736932" w:rsidP="00D02AE8">
            <w:pPr>
              <w:pStyle w:val="tbltext"/>
              <w:spacing w:before="100" w:line="230" w:lineRule="atLeast"/>
              <w:jc w:val="right"/>
            </w:pPr>
            <w:r>
              <w:t>$128,000</w:t>
            </w:r>
          </w:p>
        </w:tc>
        <w:tc>
          <w:tcPr>
            <w:tcW w:w="591" w:type="pct"/>
          </w:tcPr>
          <w:p w14:paraId="7B5091FE" w14:textId="42A6C1A9" w:rsidR="00736932" w:rsidRDefault="00736932" w:rsidP="00D02AE8">
            <w:pPr>
              <w:pStyle w:val="tbltext"/>
              <w:spacing w:before="100" w:line="230" w:lineRule="atLeast"/>
              <w:jc w:val="right"/>
            </w:pPr>
            <w:r>
              <w:t>$600</w:t>
            </w:r>
          </w:p>
        </w:tc>
        <w:tc>
          <w:tcPr>
            <w:tcW w:w="591" w:type="pct"/>
          </w:tcPr>
          <w:p w14:paraId="756A5418" w14:textId="0509B805" w:rsidR="00736932" w:rsidRDefault="00736932" w:rsidP="00D02AE8">
            <w:pPr>
              <w:pStyle w:val="tbltext"/>
              <w:spacing w:before="100" w:line="230" w:lineRule="atLeast"/>
              <w:jc w:val="right"/>
            </w:pPr>
            <w:r>
              <w:t>($2,800)</w:t>
            </w:r>
          </w:p>
        </w:tc>
        <w:tc>
          <w:tcPr>
            <w:tcW w:w="587" w:type="pct"/>
            <w:tcBorders>
              <w:right w:val="single" w:sz="4" w:space="0" w:color="999999"/>
            </w:tcBorders>
          </w:tcPr>
          <w:p w14:paraId="6DFC64E8" w14:textId="0DCC65CE" w:rsidR="00736932" w:rsidRDefault="00736932" w:rsidP="00D02AE8">
            <w:pPr>
              <w:pStyle w:val="tbltext"/>
              <w:spacing w:before="100" w:line="230" w:lineRule="atLeast"/>
              <w:jc w:val="right"/>
            </w:pPr>
            <w:r>
              <w:t>($2,200)</w:t>
            </w:r>
          </w:p>
        </w:tc>
      </w:tr>
      <w:tr w:rsidR="00895953" w:rsidRPr="000540E1" w14:paraId="1E28D7F0" w14:textId="77777777" w:rsidTr="00D02AE8">
        <w:trPr>
          <w:cantSplit/>
        </w:trPr>
        <w:tc>
          <w:tcPr>
            <w:tcW w:w="0" w:type="auto"/>
          </w:tcPr>
          <w:p w14:paraId="616710B3" w14:textId="77777777" w:rsidR="00736932" w:rsidRDefault="00736932" w:rsidP="00D02AE8">
            <w:pPr>
              <w:pStyle w:val="tbltext"/>
              <w:spacing w:before="100" w:line="230" w:lineRule="atLeast"/>
            </w:pPr>
            <w:r>
              <w:t>M5</w:t>
            </w:r>
          </w:p>
        </w:tc>
        <w:tc>
          <w:tcPr>
            <w:tcW w:w="591" w:type="pct"/>
            <w:tcBorders>
              <w:right w:val="single" w:sz="4" w:space="0" w:color="999999"/>
            </w:tcBorders>
          </w:tcPr>
          <w:p w14:paraId="466DE87F" w14:textId="202D6570" w:rsidR="00736932" w:rsidRDefault="00736932" w:rsidP="00D02AE8">
            <w:pPr>
              <w:pStyle w:val="tbltext"/>
              <w:spacing w:before="100" w:line="230" w:lineRule="atLeast"/>
              <w:jc w:val="right"/>
            </w:pPr>
            <w:r>
              <w:t>$228,000</w:t>
            </w:r>
          </w:p>
        </w:tc>
        <w:tc>
          <w:tcPr>
            <w:tcW w:w="591" w:type="pct"/>
            <w:tcBorders>
              <w:right w:val="single" w:sz="4" w:space="0" w:color="999999"/>
            </w:tcBorders>
          </w:tcPr>
          <w:p w14:paraId="7192E7B3" w14:textId="35EDFA35" w:rsidR="00736932" w:rsidRDefault="00736932" w:rsidP="00D02AE8">
            <w:pPr>
              <w:pStyle w:val="tbltext"/>
              <w:spacing w:before="100" w:line="230" w:lineRule="atLeast"/>
              <w:jc w:val="right"/>
            </w:pPr>
            <w:r>
              <w:t>$51,000</w:t>
            </w:r>
          </w:p>
        </w:tc>
        <w:tc>
          <w:tcPr>
            <w:tcW w:w="592" w:type="pct"/>
            <w:tcBorders>
              <w:right w:val="single" w:sz="4" w:space="0" w:color="999999"/>
            </w:tcBorders>
          </w:tcPr>
          <w:p w14:paraId="6F4C4527" w14:textId="455D2BFA" w:rsidR="00736932" w:rsidRDefault="00736932" w:rsidP="00D02AE8">
            <w:pPr>
              <w:pStyle w:val="tbltext"/>
              <w:spacing w:before="100" w:line="230" w:lineRule="atLeast"/>
              <w:jc w:val="right"/>
            </w:pPr>
            <w:r>
              <w:t>$38,000</w:t>
            </w:r>
          </w:p>
        </w:tc>
        <w:tc>
          <w:tcPr>
            <w:tcW w:w="591" w:type="pct"/>
            <w:tcBorders>
              <w:right w:val="single" w:sz="4" w:space="0" w:color="999999"/>
            </w:tcBorders>
          </w:tcPr>
          <w:p w14:paraId="6DED00DC" w14:textId="797CB466" w:rsidR="00736932" w:rsidRDefault="00736932" w:rsidP="00D02AE8">
            <w:pPr>
              <w:pStyle w:val="tbltext"/>
              <w:spacing w:before="100" w:line="230" w:lineRule="atLeast"/>
              <w:jc w:val="right"/>
            </w:pPr>
            <w:r>
              <w:t>$114,000</w:t>
            </w:r>
          </w:p>
        </w:tc>
        <w:tc>
          <w:tcPr>
            <w:tcW w:w="591" w:type="pct"/>
            <w:tcBorders>
              <w:left w:val="single" w:sz="4" w:space="0" w:color="999999"/>
            </w:tcBorders>
          </w:tcPr>
          <w:p w14:paraId="0CFA6DBA" w14:textId="5C817832" w:rsidR="00736932" w:rsidRDefault="00736932" w:rsidP="00D02AE8">
            <w:pPr>
              <w:pStyle w:val="tbltext"/>
              <w:spacing w:before="100" w:line="230" w:lineRule="atLeast"/>
              <w:jc w:val="right"/>
            </w:pPr>
            <w:r>
              <w:t>$431,000</w:t>
            </w:r>
          </w:p>
        </w:tc>
        <w:tc>
          <w:tcPr>
            <w:tcW w:w="591" w:type="pct"/>
          </w:tcPr>
          <w:p w14:paraId="2A4D47B2" w14:textId="1260381B" w:rsidR="00736932" w:rsidRDefault="00736932" w:rsidP="00D02AE8">
            <w:pPr>
              <w:pStyle w:val="tbltext"/>
              <w:spacing w:before="100" w:line="230" w:lineRule="atLeast"/>
              <w:jc w:val="right"/>
            </w:pPr>
            <w:r>
              <w:t>$2,500</w:t>
            </w:r>
          </w:p>
        </w:tc>
        <w:tc>
          <w:tcPr>
            <w:tcW w:w="591" w:type="pct"/>
          </w:tcPr>
          <w:p w14:paraId="7873B972" w14:textId="60E53D34" w:rsidR="00736932" w:rsidRDefault="00736932" w:rsidP="00D02AE8">
            <w:pPr>
              <w:pStyle w:val="tbltext"/>
              <w:spacing w:before="100" w:line="230" w:lineRule="atLeast"/>
              <w:jc w:val="right"/>
            </w:pPr>
            <w:r>
              <w:t>$0</w:t>
            </w:r>
          </w:p>
        </w:tc>
        <w:tc>
          <w:tcPr>
            <w:tcW w:w="587" w:type="pct"/>
            <w:tcBorders>
              <w:right w:val="single" w:sz="4" w:space="0" w:color="999999"/>
            </w:tcBorders>
          </w:tcPr>
          <w:p w14:paraId="7E501E8E" w14:textId="4392F953" w:rsidR="00736932" w:rsidRDefault="00736932" w:rsidP="00D02AE8">
            <w:pPr>
              <w:pStyle w:val="tbltext"/>
              <w:spacing w:before="100" w:line="230" w:lineRule="atLeast"/>
              <w:jc w:val="right"/>
            </w:pPr>
            <w:r>
              <w:t>$2,500</w:t>
            </w:r>
          </w:p>
        </w:tc>
      </w:tr>
      <w:tr w:rsidR="00895953" w:rsidRPr="000540E1" w14:paraId="5725B117" w14:textId="77777777" w:rsidTr="00D02AE8">
        <w:trPr>
          <w:cantSplit/>
        </w:trPr>
        <w:tc>
          <w:tcPr>
            <w:tcW w:w="0" w:type="auto"/>
          </w:tcPr>
          <w:p w14:paraId="1FF0D4E0" w14:textId="77777777" w:rsidR="00736932" w:rsidRDefault="00736932" w:rsidP="00D02AE8">
            <w:pPr>
              <w:pStyle w:val="tbltext"/>
              <w:spacing w:before="100" w:line="230" w:lineRule="atLeast"/>
            </w:pPr>
            <w:r>
              <w:t>M6</w:t>
            </w:r>
          </w:p>
        </w:tc>
        <w:tc>
          <w:tcPr>
            <w:tcW w:w="591" w:type="pct"/>
            <w:tcBorders>
              <w:right w:val="single" w:sz="4" w:space="0" w:color="999999"/>
            </w:tcBorders>
          </w:tcPr>
          <w:p w14:paraId="2F5E83BB" w14:textId="08994764" w:rsidR="00736932" w:rsidRDefault="00736932" w:rsidP="00D02AE8">
            <w:pPr>
              <w:pStyle w:val="tbltext"/>
              <w:spacing w:before="100" w:line="230" w:lineRule="atLeast"/>
              <w:jc w:val="right"/>
            </w:pPr>
            <w:r>
              <w:t>$114,000</w:t>
            </w:r>
          </w:p>
        </w:tc>
        <w:tc>
          <w:tcPr>
            <w:tcW w:w="591" w:type="pct"/>
            <w:tcBorders>
              <w:right w:val="single" w:sz="4" w:space="0" w:color="999999"/>
            </w:tcBorders>
          </w:tcPr>
          <w:p w14:paraId="5C6E0030" w14:textId="05A48FE9" w:rsidR="00736932" w:rsidRDefault="00736932" w:rsidP="00D02AE8">
            <w:pPr>
              <w:pStyle w:val="tbltext"/>
              <w:spacing w:before="100" w:line="230" w:lineRule="atLeast"/>
              <w:jc w:val="right"/>
            </w:pPr>
            <w:r>
              <w:t>$49,000</w:t>
            </w:r>
          </w:p>
        </w:tc>
        <w:tc>
          <w:tcPr>
            <w:tcW w:w="592" w:type="pct"/>
            <w:tcBorders>
              <w:right w:val="single" w:sz="4" w:space="0" w:color="999999"/>
            </w:tcBorders>
          </w:tcPr>
          <w:p w14:paraId="6DE9F461" w14:textId="226CFA27" w:rsidR="00736932" w:rsidRDefault="00736932" w:rsidP="00D02AE8">
            <w:pPr>
              <w:pStyle w:val="tbltext"/>
              <w:spacing w:before="100" w:line="230" w:lineRule="atLeast"/>
              <w:jc w:val="right"/>
            </w:pPr>
            <w:r>
              <w:t>$38,000</w:t>
            </w:r>
          </w:p>
        </w:tc>
        <w:tc>
          <w:tcPr>
            <w:tcW w:w="591" w:type="pct"/>
            <w:tcBorders>
              <w:right w:val="single" w:sz="4" w:space="0" w:color="999999"/>
            </w:tcBorders>
          </w:tcPr>
          <w:p w14:paraId="0D985A6F" w14:textId="4021A7DD" w:rsidR="00736932" w:rsidRDefault="00736932" w:rsidP="00D02AE8">
            <w:pPr>
              <w:pStyle w:val="tbltext"/>
              <w:spacing w:before="100" w:line="230" w:lineRule="atLeast"/>
              <w:jc w:val="right"/>
            </w:pPr>
            <w:r>
              <w:t>$57,000</w:t>
            </w:r>
          </w:p>
        </w:tc>
        <w:tc>
          <w:tcPr>
            <w:tcW w:w="591" w:type="pct"/>
            <w:tcBorders>
              <w:left w:val="single" w:sz="4" w:space="0" w:color="999999"/>
            </w:tcBorders>
          </w:tcPr>
          <w:p w14:paraId="2DB6D534" w14:textId="5A37111D" w:rsidR="00736932" w:rsidRDefault="00736932" w:rsidP="00D02AE8">
            <w:pPr>
              <w:pStyle w:val="tbltext"/>
              <w:spacing w:before="100" w:line="230" w:lineRule="atLeast"/>
              <w:jc w:val="right"/>
            </w:pPr>
            <w:r>
              <w:t>$258,000</w:t>
            </w:r>
          </w:p>
        </w:tc>
        <w:tc>
          <w:tcPr>
            <w:tcW w:w="591" w:type="pct"/>
          </w:tcPr>
          <w:p w14:paraId="1B9FAAC1" w14:textId="105510C5" w:rsidR="00736932" w:rsidRDefault="00736932" w:rsidP="00D02AE8">
            <w:pPr>
              <w:pStyle w:val="tbltext"/>
              <w:spacing w:before="100" w:line="230" w:lineRule="atLeast"/>
              <w:jc w:val="right"/>
            </w:pPr>
            <w:r>
              <w:t>$2,500</w:t>
            </w:r>
          </w:p>
        </w:tc>
        <w:tc>
          <w:tcPr>
            <w:tcW w:w="591" w:type="pct"/>
          </w:tcPr>
          <w:p w14:paraId="4CED2CE9" w14:textId="5569E63B" w:rsidR="00736932" w:rsidRDefault="00736932" w:rsidP="00D02AE8">
            <w:pPr>
              <w:pStyle w:val="tbltext"/>
              <w:spacing w:before="100" w:line="230" w:lineRule="atLeast"/>
              <w:jc w:val="right"/>
            </w:pPr>
            <w:r>
              <w:t>($11,400)</w:t>
            </w:r>
          </w:p>
        </w:tc>
        <w:tc>
          <w:tcPr>
            <w:tcW w:w="587" w:type="pct"/>
            <w:tcBorders>
              <w:right w:val="single" w:sz="4" w:space="0" w:color="999999"/>
            </w:tcBorders>
          </w:tcPr>
          <w:p w14:paraId="5A1DF9BD" w14:textId="7CF1378E" w:rsidR="00736932" w:rsidRDefault="00736932" w:rsidP="00D02AE8">
            <w:pPr>
              <w:pStyle w:val="tbltext"/>
              <w:spacing w:before="100" w:line="230" w:lineRule="atLeast"/>
              <w:jc w:val="right"/>
            </w:pPr>
            <w:r>
              <w:t>($8,900)</w:t>
            </w:r>
          </w:p>
        </w:tc>
      </w:tr>
      <w:tr w:rsidR="00895953" w:rsidRPr="000540E1" w14:paraId="0DC514F6" w14:textId="77777777" w:rsidTr="00D02AE8">
        <w:trPr>
          <w:cantSplit/>
        </w:trPr>
        <w:tc>
          <w:tcPr>
            <w:tcW w:w="0" w:type="auto"/>
            <w:tcBorders>
              <w:bottom w:val="single" w:sz="4" w:space="0" w:color="999999"/>
            </w:tcBorders>
          </w:tcPr>
          <w:p w14:paraId="5C079765" w14:textId="77777777" w:rsidR="00736932" w:rsidRDefault="00736932" w:rsidP="00D02AE8">
            <w:pPr>
              <w:pStyle w:val="tbltext"/>
              <w:spacing w:before="100" w:line="230" w:lineRule="atLeast"/>
            </w:pPr>
            <w:r>
              <w:t>M7</w:t>
            </w:r>
          </w:p>
        </w:tc>
        <w:tc>
          <w:tcPr>
            <w:tcW w:w="591" w:type="pct"/>
            <w:tcBorders>
              <w:bottom w:val="single" w:sz="4" w:space="0" w:color="999999"/>
              <w:right w:val="single" w:sz="4" w:space="0" w:color="999999"/>
            </w:tcBorders>
          </w:tcPr>
          <w:p w14:paraId="136C116E" w14:textId="7B5488AA" w:rsidR="00736932" w:rsidRDefault="00736932" w:rsidP="00D02AE8">
            <w:pPr>
              <w:pStyle w:val="tbltext"/>
              <w:spacing w:before="100" w:line="230" w:lineRule="atLeast"/>
              <w:jc w:val="right"/>
            </w:pPr>
            <w:r>
              <w:t>$57,000</w:t>
            </w:r>
          </w:p>
        </w:tc>
        <w:tc>
          <w:tcPr>
            <w:tcW w:w="591" w:type="pct"/>
            <w:tcBorders>
              <w:bottom w:val="single" w:sz="4" w:space="0" w:color="999999"/>
              <w:right w:val="single" w:sz="4" w:space="0" w:color="999999"/>
            </w:tcBorders>
          </w:tcPr>
          <w:p w14:paraId="35299753" w14:textId="15318A28" w:rsidR="00736932" w:rsidRDefault="00736932" w:rsidP="00D02AE8">
            <w:pPr>
              <w:pStyle w:val="tbltext"/>
              <w:spacing w:before="100" w:line="230" w:lineRule="atLeast"/>
              <w:jc w:val="right"/>
            </w:pPr>
            <w:r>
              <w:t>$68,000</w:t>
            </w:r>
          </w:p>
        </w:tc>
        <w:tc>
          <w:tcPr>
            <w:tcW w:w="592" w:type="pct"/>
            <w:tcBorders>
              <w:bottom w:val="single" w:sz="4" w:space="0" w:color="999999"/>
              <w:right w:val="single" w:sz="4" w:space="0" w:color="999999"/>
            </w:tcBorders>
          </w:tcPr>
          <w:p w14:paraId="2E1EF494" w14:textId="49C565F6" w:rsidR="00736932" w:rsidRDefault="00736932" w:rsidP="00D02AE8">
            <w:pPr>
              <w:pStyle w:val="tbltext"/>
              <w:spacing w:before="100" w:line="230" w:lineRule="atLeast"/>
              <w:jc w:val="right"/>
            </w:pPr>
            <w:r>
              <w:t>$38,000</w:t>
            </w:r>
          </w:p>
        </w:tc>
        <w:tc>
          <w:tcPr>
            <w:tcW w:w="591" w:type="pct"/>
            <w:tcBorders>
              <w:bottom w:val="single" w:sz="4" w:space="0" w:color="999999"/>
              <w:right w:val="single" w:sz="4" w:space="0" w:color="999999"/>
            </w:tcBorders>
          </w:tcPr>
          <w:p w14:paraId="6EA245B7" w14:textId="66319808" w:rsidR="00736932" w:rsidRDefault="00736932" w:rsidP="00D02AE8">
            <w:pPr>
              <w:pStyle w:val="tbltext"/>
              <w:spacing w:before="100" w:line="230" w:lineRule="atLeast"/>
              <w:jc w:val="right"/>
            </w:pPr>
            <w:r>
              <w:t>$0</w:t>
            </w:r>
          </w:p>
        </w:tc>
        <w:tc>
          <w:tcPr>
            <w:tcW w:w="591" w:type="pct"/>
            <w:tcBorders>
              <w:left w:val="single" w:sz="4" w:space="0" w:color="999999"/>
              <w:bottom w:val="single" w:sz="4" w:space="0" w:color="999999"/>
            </w:tcBorders>
          </w:tcPr>
          <w:p w14:paraId="3A119A6C" w14:textId="671D6B17" w:rsidR="00736932" w:rsidRDefault="00736932" w:rsidP="00D02AE8">
            <w:pPr>
              <w:pStyle w:val="tbltext"/>
              <w:spacing w:before="100" w:line="230" w:lineRule="atLeast"/>
              <w:jc w:val="right"/>
            </w:pPr>
            <w:r>
              <w:t>$163,000</w:t>
            </w:r>
          </w:p>
        </w:tc>
        <w:tc>
          <w:tcPr>
            <w:tcW w:w="591" w:type="pct"/>
            <w:tcBorders>
              <w:bottom w:val="single" w:sz="4" w:space="0" w:color="999999"/>
            </w:tcBorders>
          </w:tcPr>
          <w:p w14:paraId="5DF42886" w14:textId="2A710872" w:rsidR="00736932" w:rsidRDefault="00736932" w:rsidP="00D02AE8">
            <w:pPr>
              <w:pStyle w:val="tbltext"/>
              <w:spacing w:before="100" w:line="230" w:lineRule="atLeast"/>
              <w:jc w:val="right"/>
            </w:pPr>
            <w:r>
              <w:t>$2,500</w:t>
            </w:r>
          </w:p>
        </w:tc>
        <w:tc>
          <w:tcPr>
            <w:tcW w:w="591" w:type="pct"/>
            <w:tcBorders>
              <w:bottom w:val="single" w:sz="4" w:space="0" w:color="999999"/>
            </w:tcBorders>
          </w:tcPr>
          <w:p w14:paraId="05FDC412" w14:textId="5AB24651" w:rsidR="00736932" w:rsidRDefault="00736932" w:rsidP="00D02AE8">
            <w:pPr>
              <w:pStyle w:val="tbltext"/>
              <w:spacing w:before="100" w:line="230" w:lineRule="atLeast"/>
              <w:jc w:val="right"/>
            </w:pPr>
            <w:r>
              <w:t>($1,400)</w:t>
            </w:r>
          </w:p>
        </w:tc>
        <w:tc>
          <w:tcPr>
            <w:tcW w:w="587" w:type="pct"/>
            <w:tcBorders>
              <w:bottom w:val="single" w:sz="4" w:space="0" w:color="999999"/>
              <w:right w:val="single" w:sz="4" w:space="0" w:color="999999"/>
            </w:tcBorders>
          </w:tcPr>
          <w:p w14:paraId="505DF65A" w14:textId="62B6483A" w:rsidR="00736932" w:rsidRDefault="00736932" w:rsidP="00D02AE8">
            <w:pPr>
              <w:pStyle w:val="tbltext"/>
              <w:spacing w:before="100" w:line="230" w:lineRule="atLeast"/>
              <w:jc w:val="right"/>
            </w:pPr>
            <w:r>
              <w:t>$1,100</w:t>
            </w:r>
          </w:p>
        </w:tc>
      </w:tr>
      <w:tr w:rsidR="00895953" w:rsidRPr="000540E1" w14:paraId="5D1EAF0E" w14:textId="77777777" w:rsidTr="00D02AE8">
        <w:trPr>
          <w:cantSplit/>
        </w:trPr>
        <w:tc>
          <w:tcPr>
            <w:tcW w:w="0" w:type="auto"/>
            <w:tcBorders>
              <w:bottom w:val="nil"/>
            </w:tcBorders>
          </w:tcPr>
          <w:p w14:paraId="5CC1E5DA" w14:textId="77777777" w:rsidR="00736932" w:rsidRDefault="00736932" w:rsidP="00D02AE8">
            <w:pPr>
              <w:pStyle w:val="tbltext"/>
              <w:spacing w:before="100" w:line="230" w:lineRule="atLeast"/>
            </w:pPr>
            <w:r>
              <w:t>M8</w:t>
            </w:r>
          </w:p>
        </w:tc>
        <w:tc>
          <w:tcPr>
            <w:tcW w:w="591" w:type="pct"/>
            <w:tcBorders>
              <w:bottom w:val="nil"/>
              <w:right w:val="single" w:sz="4" w:space="0" w:color="999999"/>
            </w:tcBorders>
          </w:tcPr>
          <w:p w14:paraId="401255F5" w14:textId="750BCA94" w:rsidR="00736932" w:rsidRDefault="00736932" w:rsidP="00D02AE8">
            <w:pPr>
              <w:pStyle w:val="tbltext"/>
              <w:spacing w:before="100" w:line="230" w:lineRule="atLeast"/>
              <w:jc w:val="right"/>
            </w:pPr>
            <w:r>
              <w:t>$57,000</w:t>
            </w:r>
          </w:p>
        </w:tc>
        <w:tc>
          <w:tcPr>
            <w:tcW w:w="591" w:type="pct"/>
            <w:tcBorders>
              <w:bottom w:val="nil"/>
              <w:right w:val="single" w:sz="4" w:space="0" w:color="999999"/>
            </w:tcBorders>
          </w:tcPr>
          <w:p w14:paraId="7842EC98" w14:textId="288DCFF6" w:rsidR="00736932" w:rsidRDefault="00736932" w:rsidP="00D02AE8">
            <w:pPr>
              <w:pStyle w:val="tbltext"/>
              <w:spacing w:before="100" w:line="230" w:lineRule="atLeast"/>
              <w:jc w:val="right"/>
            </w:pPr>
            <w:r>
              <w:t>$9,000</w:t>
            </w:r>
          </w:p>
        </w:tc>
        <w:tc>
          <w:tcPr>
            <w:tcW w:w="592" w:type="pct"/>
            <w:tcBorders>
              <w:bottom w:val="nil"/>
              <w:right w:val="single" w:sz="4" w:space="0" w:color="999999"/>
            </w:tcBorders>
          </w:tcPr>
          <w:p w14:paraId="07BEA8BA" w14:textId="34E56642" w:rsidR="00736932" w:rsidRDefault="00736932" w:rsidP="00D02AE8">
            <w:pPr>
              <w:pStyle w:val="tbltext"/>
              <w:spacing w:before="100" w:line="230" w:lineRule="atLeast"/>
              <w:jc w:val="right"/>
            </w:pPr>
            <w:r>
              <w:t>$5,000</w:t>
            </w:r>
          </w:p>
        </w:tc>
        <w:tc>
          <w:tcPr>
            <w:tcW w:w="591" w:type="pct"/>
            <w:tcBorders>
              <w:bottom w:val="nil"/>
              <w:right w:val="single" w:sz="4" w:space="0" w:color="999999"/>
            </w:tcBorders>
          </w:tcPr>
          <w:p w14:paraId="0BC48125" w14:textId="17A26771" w:rsidR="00736932" w:rsidRDefault="00736932" w:rsidP="00D02AE8">
            <w:pPr>
              <w:pStyle w:val="tbltext"/>
              <w:spacing w:before="100" w:line="230" w:lineRule="atLeast"/>
              <w:jc w:val="right"/>
            </w:pPr>
            <w:r>
              <w:t>$0</w:t>
            </w:r>
          </w:p>
        </w:tc>
        <w:tc>
          <w:tcPr>
            <w:tcW w:w="591" w:type="pct"/>
            <w:tcBorders>
              <w:left w:val="single" w:sz="4" w:space="0" w:color="999999"/>
              <w:bottom w:val="nil"/>
            </w:tcBorders>
          </w:tcPr>
          <w:p w14:paraId="0F4EB47B" w14:textId="32D40B5B" w:rsidR="00736932" w:rsidRDefault="00736932" w:rsidP="00D02AE8">
            <w:pPr>
              <w:pStyle w:val="tbltext"/>
              <w:spacing w:before="100" w:line="230" w:lineRule="atLeast"/>
              <w:jc w:val="right"/>
            </w:pPr>
            <w:r>
              <w:t>$70,000</w:t>
            </w:r>
          </w:p>
        </w:tc>
        <w:tc>
          <w:tcPr>
            <w:tcW w:w="591" w:type="pct"/>
            <w:tcBorders>
              <w:bottom w:val="nil"/>
            </w:tcBorders>
          </w:tcPr>
          <w:p w14:paraId="5BE4C29C" w14:textId="4D5DBDB4" w:rsidR="00736932" w:rsidRDefault="00736932" w:rsidP="00D02AE8">
            <w:pPr>
              <w:pStyle w:val="tbltext"/>
              <w:spacing w:before="100" w:line="230" w:lineRule="atLeast"/>
              <w:jc w:val="right"/>
            </w:pPr>
            <w:r>
              <w:t>$600</w:t>
            </w:r>
          </w:p>
        </w:tc>
        <w:tc>
          <w:tcPr>
            <w:tcW w:w="591" w:type="pct"/>
            <w:tcBorders>
              <w:bottom w:val="nil"/>
            </w:tcBorders>
          </w:tcPr>
          <w:p w14:paraId="2EF5852A" w14:textId="044065F3" w:rsidR="00736932" w:rsidRDefault="00736932" w:rsidP="00D02AE8">
            <w:pPr>
              <w:pStyle w:val="tbltext"/>
              <w:spacing w:before="100" w:line="230" w:lineRule="atLeast"/>
              <w:jc w:val="right"/>
            </w:pPr>
            <w:r>
              <w:t>($1,400)</w:t>
            </w:r>
          </w:p>
        </w:tc>
        <w:tc>
          <w:tcPr>
            <w:tcW w:w="587" w:type="pct"/>
            <w:tcBorders>
              <w:bottom w:val="nil"/>
              <w:right w:val="single" w:sz="4" w:space="0" w:color="999999"/>
            </w:tcBorders>
          </w:tcPr>
          <w:p w14:paraId="596E808A" w14:textId="7D3680BB" w:rsidR="00736932" w:rsidRDefault="00736932" w:rsidP="00D02AE8">
            <w:pPr>
              <w:pStyle w:val="tbltext"/>
              <w:spacing w:before="100" w:line="230" w:lineRule="atLeast"/>
              <w:jc w:val="right"/>
            </w:pPr>
            <w:r>
              <w:t>($800)</w:t>
            </w:r>
          </w:p>
        </w:tc>
      </w:tr>
      <w:tr w:rsidR="00895953" w:rsidRPr="000540E1" w14:paraId="1120A029" w14:textId="77777777" w:rsidTr="00D02AE8">
        <w:trPr>
          <w:cantSplit/>
        </w:trPr>
        <w:tc>
          <w:tcPr>
            <w:tcW w:w="0" w:type="auto"/>
          </w:tcPr>
          <w:p w14:paraId="3D2FE7CE" w14:textId="77777777" w:rsidR="00736932" w:rsidRDefault="00736932" w:rsidP="00D02AE8">
            <w:pPr>
              <w:pStyle w:val="tbltext"/>
              <w:spacing w:before="100" w:line="230" w:lineRule="atLeast"/>
            </w:pPr>
            <w:r>
              <w:t>S1</w:t>
            </w:r>
          </w:p>
        </w:tc>
        <w:tc>
          <w:tcPr>
            <w:tcW w:w="591" w:type="pct"/>
            <w:tcBorders>
              <w:right w:val="single" w:sz="4" w:space="0" w:color="999999"/>
            </w:tcBorders>
          </w:tcPr>
          <w:p w14:paraId="1778083B" w14:textId="60679476" w:rsidR="00736932" w:rsidRDefault="00736932" w:rsidP="00D02AE8">
            <w:pPr>
              <w:pStyle w:val="tbltext"/>
              <w:spacing w:before="100" w:line="230" w:lineRule="atLeast"/>
              <w:jc w:val="right"/>
            </w:pPr>
            <w:r>
              <w:t>$228,000</w:t>
            </w:r>
          </w:p>
        </w:tc>
        <w:tc>
          <w:tcPr>
            <w:tcW w:w="591" w:type="pct"/>
            <w:tcBorders>
              <w:right w:val="single" w:sz="4" w:space="0" w:color="999999"/>
            </w:tcBorders>
          </w:tcPr>
          <w:p w14:paraId="14C8935C" w14:textId="636FE961" w:rsidR="00736932" w:rsidRDefault="00736932" w:rsidP="00D02AE8">
            <w:pPr>
              <w:pStyle w:val="tbltext"/>
              <w:spacing w:before="100" w:line="230" w:lineRule="atLeast"/>
              <w:jc w:val="right"/>
            </w:pPr>
            <w:r>
              <w:t>$17,000</w:t>
            </w:r>
          </w:p>
        </w:tc>
        <w:tc>
          <w:tcPr>
            <w:tcW w:w="592" w:type="pct"/>
            <w:tcBorders>
              <w:right w:val="single" w:sz="4" w:space="0" w:color="999999"/>
            </w:tcBorders>
          </w:tcPr>
          <w:p w14:paraId="2073C686" w14:textId="5F90CE49" w:rsidR="00736932" w:rsidRDefault="00736932" w:rsidP="00D02AE8">
            <w:pPr>
              <w:pStyle w:val="tbltext"/>
              <w:spacing w:before="100" w:line="230" w:lineRule="atLeast"/>
              <w:jc w:val="right"/>
            </w:pPr>
            <w:r>
              <w:t>$19,000</w:t>
            </w:r>
          </w:p>
        </w:tc>
        <w:tc>
          <w:tcPr>
            <w:tcW w:w="591" w:type="pct"/>
            <w:tcBorders>
              <w:right w:val="single" w:sz="4" w:space="0" w:color="999999"/>
            </w:tcBorders>
          </w:tcPr>
          <w:p w14:paraId="1951E34E" w14:textId="4C67092E" w:rsidR="00736932" w:rsidRDefault="00736932" w:rsidP="00D02AE8">
            <w:pPr>
              <w:pStyle w:val="tbltext"/>
              <w:spacing w:before="100" w:line="230" w:lineRule="atLeast"/>
              <w:jc w:val="right"/>
            </w:pPr>
            <w:r>
              <w:t>$57,000</w:t>
            </w:r>
          </w:p>
        </w:tc>
        <w:tc>
          <w:tcPr>
            <w:tcW w:w="591" w:type="pct"/>
            <w:tcBorders>
              <w:left w:val="single" w:sz="4" w:space="0" w:color="999999"/>
            </w:tcBorders>
          </w:tcPr>
          <w:p w14:paraId="20C20442" w14:textId="5F3F4549" w:rsidR="00736932" w:rsidRDefault="00736932" w:rsidP="00D02AE8">
            <w:pPr>
              <w:pStyle w:val="tbltext"/>
              <w:spacing w:before="100" w:line="230" w:lineRule="atLeast"/>
              <w:jc w:val="right"/>
            </w:pPr>
            <w:r>
              <w:t>$321,000</w:t>
            </w:r>
          </w:p>
        </w:tc>
        <w:tc>
          <w:tcPr>
            <w:tcW w:w="591" w:type="pct"/>
          </w:tcPr>
          <w:p w14:paraId="219A8D4C" w14:textId="20437663" w:rsidR="00736932" w:rsidRDefault="00736932" w:rsidP="00D02AE8">
            <w:pPr>
              <w:pStyle w:val="tbltext"/>
              <w:spacing w:before="100" w:line="230" w:lineRule="atLeast"/>
              <w:jc w:val="right"/>
            </w:pPr>
            <w:r>
              <w:t>$0</w:t>
            </w:r>
          </w:p>
        </w:tc>
        <w:tc>
          <w:tcPr>
            <w:tcW w:w="591" w:type="pct"/>
          </w:tcPr>
          <w:p w14:paraId="0E0C96E2" w14:textId="3593CA8F" w:rsidR="00736932" w:rsidRDefault="00736932" w:rsidP="00D02AE8">
            <w:pPr>
              <w:pStyle w:val="tbltext"/>
              <w:spacing w:before="100" w:line="230" w:lineRule="atLeast"/>
              <w:jc w:val="right"/>
            </w:pPr>
            <w:r>
              <w:t>($0)</w:t>
            </w:r>
          </w:p>
        </w:tc>
        <w:tc>
          <w:tcPr>
            <w:tcW w:w="587" w:type="pct"/>
            <w:tcBorders>
              <w:right w:val="single" w:sz="4" w:space="0" w:color="999999"/>
            </w:tcBorders>
          </w:tcPr>
          <w:p w14:paraId="4E2A1CD6" w14:textId="7649F36D" w:rsidR="00736932" w:rsidRDefault="00736932" w:rsidP="00D02AE8">
            <w:pPr>
              <w:pStyle w:val="tbltext"/>
              <w:spacing w:before="100" w:line="230" w:lineRule="atLeast"/>
              <w:jc w:val="right"/>
            </w:pPr>
            <w:r>
              <w:t>($0)</w:t>
            </w:r>
          </w:p>
        </w:tc>
      </w:tr>
      <w:tr w:rsidR="00895953" w:rsidRPr="000540E1" w14:paraId="4FE034AB" w14:textId="77777777" w:rsidTr="00D02AE8">
        <w:trPr>
          <w:cantSplit/>
        </w:trPr>
        <w:tc>
          <w:tcPr>
            <w:tcW w:w="0" w:type="auto"/>
          </w:tcPr>
          <w:p w14:paraId="2BACF959" w14:textId="77777777" w:rsidR="00736932" w:rsidRDefault="00736932" w:rsidP="00D02AE8">
            <w:pPr>
              <w:pStyle w:val="tbltext"/>
              <w:spacing w:before="100" w:line="230" w:lineRule="atLeast"/>
            </w:pPr>
            <w:r>
              <w:t>S2</w:t>
            </w:r>
          </w:p>
        </w:tc>
        <w:tc>
          <w:tcPr>
            <w:tcW w:w="591" w:type="pct"/>
            <w:tcBorders>
              <w:right w:val="single" w:sz="4" w:space="0" w:color="999999"/>
            </w:tcBorders>
          </w:tcPr>
          <w:p w14:paraId="60A2FDE9" w14:textId="00B76716" w:rsidR="00736932" w:rsidRDefault="00736932" w:rsidP="00D02AE8">
            <w:pPr>
              <w:pStyle w:val="tbltext"/>
              <w:spacing w:before="100" w:line="230" w:lineRule="atLeast"/>
              <w:jc w:val="right"/>
            </w:pPr>
            <w:r>
              <w:t>$228,000</w:t>
            </w:r>
          </w:p>
        </w:tc>
        <w:tc>
          <w:tcPr>
            <w:tcW w:w="591" w:type="pct"/>
            <w:tcBorders>
              <w:right w:val="single" w:sz="4" w:space="0" w:color="999999"/>
            </w:tcBorders>
          </w:tcPr>
          <w:p w14:paraId="0FBD1A99" w14:textId="57592659" w:rsidR="00736932" w:rsidRDefault="00736932" w:rsidP="00D02AE8">
            <w:pPr>
              <w:pStyle w:val="tbltext"/>
              <w:spacing w:before="100" w:line="230" w:lineRule="atLeast"/>
              <w:jc w:val="right"/>
            </w:pPr>
            <w:r>
              <w:t>$4,000</w:t>
            </w:r>
          </w:p>
        </w:tc>
        <w:tc>
          <w:tcPr>
            <w:tcW w:w="592" w:type="pct"/>
            <w:tcBorders>
              <w:right w:val="single" w:sz="4" w:space="0" w:color="999999"/>
            </w:tcBorders>
          </w:tcPr>
          <w:p w14:paraId="4B137BDB" w14:textId="5146BE54" w:rsidR="00736932" w:rsidRDefault="00736932" w:rsidP="00D02AE8">
            <w:pPr>
              <w:pStyle w:val="tbltext"/>
              <w:spacing w:before="100" w:line="230" w:lineRule="atLeast"/>
              <w:jc w:val="right"/>
            </w:pPr>
            <w:r>
              <w:t>$2,000</w:t>
            </w:r>
          </w:p>
        </w:tc>
        <w:tc>
          <w:tcPr>
            <w:tcW w:w="591" w:type="pct"/>
            <w:tcBorders>
              <w:right w:val="single" w:sz="4" w:space="0" w:color="999999"/>
            </w:tcBorders>
          </w:tcPr>
          <w:p w14:paraId="338675CB" w14:textId="27D80D38" w:rsidR="00736932" w:rsidRDefault="00736932" w:rsidP="00D02AE8">
            <w:pPr>
              <w:pStyle w:val="tbltext"/>
              <w:spacing w:before="100" w:line="230" w:lineRule="atLeast"/>
              <w:jc w:val="right"/>
            </w:pPr>
            <w:r>
              <w:t>$57,000</w:t>
            </w:r>
          </w:p>
        </w:tc>
        <w:tc>
          <w:tcPr>
            <w:tcW w:w="591" w:type="pct"/>
            <w:tcBorders>
              <w:left w:val="single" w:sz="4" w:space="0" w:color="999999"/>
            </w:tcBorders>
          </w:tcPr>
          <w:p w14:paraId="76ED3B87" w14:textId="429399F7" w:rsidR="00736932" w:rsidRDefault="00736932" w:rsidP="00D02AE8">
            <w:pPr>
              <w:pStyle w:val="tbltext"/>
              <w:spacing w:before="100" w:line="230" w:lineRule="atLeast"/>
              <w:jc w:val="right"/>
            </w:pPr>
            <w:r>
              <w:t>$292,000</w:t>
            </w:r>
          </w:p>
        </w:tc>
        <w:tc>
          <w:tcPr>
            <w:tcW w:w="591" w:type="pct"/>
          </w:tcPr>
          <w:p w14:paraId="76205B9F" w14:textId="57217F31" w:rsidR="00736932" w:rsidRDefault="00736932" w:rsidP="00D02AE8">
            <w:pPr>
              <w:pStyle w:val="tbltext"/>
              <w:spacing w:before="100" w:line="230" w:lineRule="atLeast"/>
              <w:jc w:val="right"/>
            </w:pPr>
            <w:r>
              <w:t>$0</w:t>
            </w:r>
          </w:p>
        </w:tc>
        <w:tc>
          <w:tcPr>
            <w:tcW w:w="591" w:type="pct"/>
          </w:tcPr>
          <w:p w14:paraId="583456E9" w14:textId="01CE9B08" w:rsidR="00736932" w:rsidRDefault="00736932" w:rsidP="00D02AE8">
            <w:pPr>
              <w:pStyle w:val="tbltext"/>
              <w:spacing w:before="100" w:line="230" w:lineRule="atLeast"/>
              <w:jc w:val="right"/>
            </w:pPr>
            <w:r>
              <w:t>($0)</w:t>
            </w:r>
          </w:p>
        </w:tc>
        <w:tc>
          <w:tcPr>
            <w:tcW w:w="587" w:type="pct"/>
            <w:tcBorders>
              <w:right w:val="single" w:sz="4" w:space="0" w:color="999999"/>
            </w:tcBorders>
          </w:tcPr>
          <w:p w14:paraId="0611A65A" w14:textId="4B56B396" w:rsidR="00736932" w:rsidRDefault="00736932" w:rsidP="00D02AE8">
            <w:pPr>
              <w:pStyle w:val="tbltext"/>
              <w:spacing w:before="100" w:line="230" w:lineRule="atLeast"/>
              <w:jc w:val="right"/>
            </w:pPr>
            <w:r>
              <w:t>($0)</w:t>
            </w:r>
          </w:p>
        </w:tc>
      </w:tr>
      <w:tr w:rsidR="00895953" w:rsidRPr="000540E1" w14:paraId="40AFE617" w14:textId="77777777" w:rsidTr="00D02AE8">
        <w:trPr>
          <w:cantSplit/>
        </w:trPr>
        <w:tc>
          <w:tcPr>
            <w:tcW w:w="0" w:type="auto"/>
          </w:tcPr>
          <w:p w14:paraId="67515AAA" w14:textId="77777777" w:rsidR="00736932" w:rsidRDefault="00736932" w:rsidP="00D02AE8">
            <w:pPr>
              <w:pStyle w:val="tbltext"/>
              <w:spacing w:before="100" w:line="230" w:lineRule="atLeast"/>
            </w:pPr>
            <w:r>
              <w:t>S3</w:t>
            </w:r>
          </w:p>
        </w:tc>
        <w:tc>
          <w:tcPr>
            <w:tcW w:w="591" w:type="pct"/>
            <w:tcBorders>
              <w:right w:val="single" w:sz="4" w:space="0" w:color="999999"/>
            </w:tcBorders>
          </w:tcPr>
          <w:p w14:paraId="2A3BF892" w14:textId="16FA5FE8" w:rsidR="00736932" w:rsidRDefault="00736932" w:rsidP="00D02AE8">
            <w:pPr>
              <w:pStyle w:val="tbltext"/>
              <w:spacing w:before="100" w:line="230" w:lineRule="atLeast"/>
              <w:jc w:val="right"/>
            </w:pPr>
            <w:r>
              <w:t>$114,000</w:t>
            </w:r>
          </w:p>
        </w:tc>
        <w:tc>
          <w:tcPr>
            <w:tcW w:w="591" w:type="pct"/>
            <w:tcBorders>
              <w:right w:val="single" w:sz="4" w:space="0" w:color="999999"/>
            </w:tcBorders>
          </w:tcPr>
          <w:p w14:paraId="7758742A" w14:textId="122104B1" w:rsidR="00736932" w:rsidRDefault="00736932" w:rsidP="00D02AE8">
            <w:pPr>
              <w:pStyle w:val="tbltext"/>
              <w:spacing w:before="100" w:line="230" w:lineRule="atLeast"/>
              <w:jc w:val="right"/>
            </w:pPr>
            <w:r>
              <w:t>$4,000</w:t>
            </w:r>
          </w:p>
        </w:tc>
        <w:tc>
          <w:tcPr>
            <w:tcW w:w="592" w:type="pct"/>
            <w:tcBorders>
              <w:right w:val="single" w:sz="4" w:space="0" w:color="999999"/>
            </w:tcBorders>
          </w:tcPr>
          <w:p w14:paraId="263547ED" w14:textId="2200875E" w:rsidR="00736932" w:rsidRDefault="00736932" w:rsidP="00D02AE8">
            <w:pPr>
              <w:pStyle w:val="tbltext"/>
              <w:spacing w:before="100" w:line="230" w:lineRule="atLeast"/>
              <w:jc w:val="right"/>
            </w:pPr>
            <w:r>
              <w:t>$2,000</w:t>
            </w:r>
          </w:p>
        </w:tc>
        <w:tc>
          <w:tcPr>
            <w:tcW w:w="591" w:type="pct"/>
            <w:tcBorders>
              <w:right w:val="single" w:sz="4" w:space="0" w:color="999999"/>
            </w:tcBorders>
          </w:tcPr>
          <w:p w14:paraId="3174C2C3" w14:textId="267FD937" w:rsidR="00736932" w:rsidRDefault="00736932" w:rsidP="00D02AE8">
            <w:pPr>
              <w:pStyle w:val="tbltext"/>
              <w:spacing w:before="100" w:line="230" w:lineRule="atLeast"/>
              <w:jc w:val="right"/>
            </w:pPr>
            <w:r>
              <w:t>$28,000</w:t>
            </w:r>
          </w:p>
        </w:tc>
        <w:tc>
          <w:tcPr>
            <w:tcW w:w="591" w:type="pct"/>
            <w:tcBorders>
              <w:left w:val="single" w:sz="4" w:space="0" w:color="999999"/>
            </w:tcBorders>
          </w:tcPr>
          <w:p w14:paraId="43BE750D" w14:textId="3577012C" w:rsidR="00736932" w:rsidRDefault="00736932" w:rsidP="00D02AE8">
            <w:pPr>
              <w:pStyle w:val="tbltext"/>
              <w:spacing w:before="100" w:line="230" w:lineRule="atLeast"/>
              <w:jc w:val="right"/>
            </w:pPr>
            <w:r>
              <w:t>$149,000</w:t>
            </w:r>
          </w:p>
        </w:tc>
        <w:tc>
          <w:tcPr>
            <w:tcW w:w="591" w:type="pct"/>
          </w:tcPr>
          <w:p w14:paraId="795B9940" w14:textId="3B1962BA" w:rsidR="00736932" w:rsidRDefault="00736932" w:rsidP="00D02AE8">
            <w:pPr>
              <w:pStyle w:val="tbltext"/>
              <w:spacing w:before="100" w:line="230" w:lineRule="atLeast"/>
              <w:jc w:val="right"/>
            </w:pPr>
            <w:r>
              <w:t>$0</w:t>
            </w:r>
          </w:p>
        </w:tc>
        <w:tc>
          <w:tcPr>
            <w:tcW w:w="591" w:type="pct"/>
          </w:tcPr>
          <w:p w14:paraId="39E62F10" w14:textId="6E1E3588" w:rsidR="00736932" w:rsidRDefault="00736932" w:rsidP="00D02AE8">
            <w:pPr>
              <w:pStyle w:val="tbltext"/>
              <w:spacing w:before="100" w:line="230" w:lineRule="atLeast"/>
              <w:jc w:val="right"/>
            </w:pPr>
            <w:r>
              <w:t>($11,400)</w:t>
            </w:r>
          </w:p>
        </w:tc>
        <w:tc>
          <w:tcPr>
            <w:tcW w:w="587" w:type="pct"/>
            <w:tcBorders>
              <w:right w:val="single" w:sz="4" w:space="0" w:color="999999"/>
            </w:tcBorders>
          </w:tcPr>
          <w:p w14:paraId="7C9D3BCD" w14:textId="7705F072" w:rsidR="00736932" w:rsidRDefault="00736932" w:rsidP="00D02AE8">
            <w:pPr>
              <w:pStyle w:val="tbltext"/>
              <w:spacing w:before="100" w:line="230" w:lineRule="atLeast"/>
              <w:jc w:val="right"/>
            </w:pPr>
            <w:r>
              <w:t>($11,400)</w:t>
            </w:r>
          </w:p>
        </w:tc>
      </w:tr>
      <w:tr w:rsidR="00895953" w:rsidRPr="000540E1" w14:paraId="7283DF12" w14:textId="77777777" w:rsidTr="00D02AE8">
        <w:trPr>
          <w:cantSplit/>
        </w:trPr>
        <w:tc>
          <w:tcPr>
            <w:tcW w:w="0" w:type="auto"/>
          </w:tcPr>
          <w:p w14:paraId="371AE1D7" w14:textId="77777777" w:rsidR="00736932" w:rsidRDefault="00736932" w:rsidP="00D02AE8">
            <w:pPr>
              <w:pStyle w:val="tbltext"/>
              <w:spacing w:before="100" w:line="230" w:lineRule="atLeast"/>
            </w:pPr>
            <w:r>
              <w:t>S4</w:t>
            </w:r>
          </w:p>
        </w:tc>
        <w:tc>
          <w:tcPr>
            <w:tcW w:w="591" w:type="pct"/>
            <w:tcBorders>
              <w:right w:val="single" w:sz="4" w:space="0" w:color="999999"/>
            </w:tcBorders>
          </w:tcPr>
          <w:p w14:paraId="25C6694C" w14:textId="1E3E0181" w:rsidR="00736932" w:rsidRDefault="00736932" w:rsidP="00D02AE8">
            <w:pPr>
              <w:pStyle w:val="tbltext"/>
              <w:spacing w:before="100" w:line="230" w:lineRule="atLeast"/>
              <w:jc w:val="right"/>
            </w:pPr>
            <w:r>
              <w:t>$57,000</w:t>
            </w:r>
          </w:p>
        </w:tc>
        <w:tc>
          <w:tcPr>
            <w:tcW w:w="591" w:type="pct"/>
            <w:tcBorders>
              <w:right w:val="single" w:sz="4" w:space="0" w:color="999999"/>
            </w:tcBorders>
          </w:tcPr>
          <w:p w14:paraId="1B5B56BC" w14:textId="17BDC468" w:rsidR="00736932" w:rsidRDefault="00736932" w:rsidP="00D02AE8">
            <w:pPr>
              <w:pStyle w:val="tbltext"/>
              <w:spacing w:before="100" w:line="230" w:lineRule="atLeast"/>
              <w:jc w:val="right"/>
            </w:pPr>
            <w:r>
              <w:t>$34,000</w:t>
            </w:r>
          </w:p>
        </w:tc>
        <w:tc>
          <w:tcPr>
            <w:tcW w:w="592" w:type="pct"/>
            <w:tcBorders>
              <w:right w:val="single" w:sz="4" w:space="0" w:color="999999"/>
            </w:tcBorders>
          </w:tcPr>
          <w:p w14:paraId="4EF5209F" w14:textId="0955D561" w:rsidR="00736932" w:rsidRDefault="00736932" w:rsidP="00D02AE8">
            <w:pPr>
              <w:pStyle w:val="tbltext"/>
              <w:spacing w:before="100" w:line="230" w:lineRule="atLeast"/>
              <w:jc w:val="right"/>
            </w:pPr>
            <w:r>
              <w:t>$19,000</w:t>
            </w:r>
          </w:p>
        </w:tc>
        <w:tc>
          <w:tcPr>
            <w:tcW w:w="591" w:type="pct"/>
            <w:tcBorders>
              <w:right w:val="single" w:sz="4" w:space="0" w:color="999999"/>
            </w:tcBorders>
          </w:tcPr>
          <w:p w14:paraId="60A09BA0" w14:textId="11BCCB7B" w:rsidR="00736932" w:rsidRDefault="00736932" w:rsidP="00D02AE8">
            <w:pPr>
              <w:pStyle w:val="tbltext"/>
              <w:spacing w:before="100" w:line="230" w:lineRule="atLeast"/>
              <w:jc w:val="right"/>
            </w:pPr>
            <w:r>
              <w:t>$0</w:t>
            </w:r>
          </w:p>
        </w:tc>
        <w:tc>
          <w:tcPr>
            <w:tcW w:w="591" w:type="pct"/>
            <w:tcBorders>
              <w:left w:val="single" w:sz="4" w:space="0" w:color="999999"/>
            </w:tcBorders>
          </w:tcPr>
          <w:p w14:paraId="1CF986E3" w14:textId="57F4AD13" w:rsidR="00736932" w:rsidRDefault="00736932" w:rsidP="00D02AE8">
            <w:pPr>
              <w:pStyle w:val="tbltext"/>
              <w:spacing w:before="100" w:line="230" w:lineRule="atLeast"/>
              <w:jc w:val="right"/>
            </w:pPr>
            <w:r>
              <w:t>$110,000</w:t>
            </w:r>
          </w:p>
        </w:tc>
        <w:tc>
          <w:tcPr>
            <w:tcW w:w="591" w:type="pct"/>
          </w:tcPr>
          <w:p w14:paraId="7DE019D4" w14:textId="57ED50F0" w:rsidR="00736932" w:rsidRDefault="00736932" w:rsidP="00D02AE8">
            <w:pPr>
              <w:pStyle w:val="tbltext"/>
              <w:spacing w:before="100" w:line="230" w:lineRule="atLeast"/>
              <w:jc w:val="right"/>
            </w:pPr>
            <w:r>
              <w:t>$0</w:t>
            </w:r>
          </w:p>
        </w:tc>
        <w:tc>
          <w:tcPr>
            <w:tcW w:w="591" w:type="pct"/>
          </w:tcPr>
          <w:p w14:paraId="19911D08" w14:textId="17F88205" w:rsidR="00736932" w:rsidRDefault="00736932" w:rsidP="00D02AE8">
            <w:pPr>
              <w:pStyle w:val="tbltext"/>
              <w:spacing w:before="100" w:line="230" w:lineRule="atLeast"/>
              <w:jc w:val="right"/>
            </w:pPr>
            <w:r>
              <w:t>($1,400)</w:t>
            </w:r>
          </w:p>
        </w:tc>
        <w:tc>
          <w:tcPr>
            <w:tcW w:w="587" w:type="pct"/>
            <w:tcBorders>
              <w:right w:val="single" w:sz="4" w:space="0" w:color="999999"/>
            </w:tcBorders>
          </w:tcPr>
          <w:p w14:paraId="2BB867BE" w14:textId="77777777" w:rsidR="00736932" w:rsidRDefault="00736932" w:rsidP="00D02AE8">
            <w:pPr>
              <w:pStyle w:val="tbltext"/>
              <w:spacing w:before="100" w:line="230" w:lineRule="atLeast"/>
              <w:jc w:val="right"/>
            </w:pPr>
            <w:r>
              <w:t>($1,400)</w:t>
            </w:r>
          </w:p>
        </w:tc>
      </w:tr>
      <w:tr w:rsidR="00895953" w:rsidRPr="000540E1" w14:paraId="68E683D1" w14:textId="77777777" w:rsidTr="00D02AE8">
        <w:trPr>
          <w:cantSplit/>
        </w:trPr>
        <w:tc>
          <w:tcPr>
            <w:tcW w:w="0" w:type="auto"/>
          </w:tcPr>
          <w:p w14:paraId="481197EB" w14:textId="77777777" w:rsidR="00736932" w:rsidRDefault="00736932" w:rsidP="00D02AE8">
            <w:pPr>
              <w:pStyle w:val="tbltext"/>
              <w:spacing w:before="100" w:line="230" w:lineRule="atLeast"/>
            </w:pPr>
            <w:r>
              <w:t>S5</w:t>
            </w:r>
          </w:p>
        </w:tc>
        <w:tc>
          <w:tcPr>
            <w:tcW w:w="591" w:type="pct"/>
            <w:tcBorders>
              <w:right w:val="single" w:sz="4" w:space="0" w:color="999999"/>
            </w:tcBorders>
          </w:tcPr>
          <w:p w14:paraId="34203A18" w14:textId="4BCC7603" w:rsidR="00736932" w:rsidRDefault="00736932" w:rsidP="00D02AE8">
            <w:pPr>
              <w:pStyle w:val="tbltext"/>
              <w:spacing w:before="100" w:line="230" w:lineRule="atLeast"/>
              <w:jc w:val="right"/>
            </w:pPr>
            <w:r>
              <w:t>$57,000</w:t>
            </w:r>
          </w:p>
        </w:tc>
        <w:tc>
          <w:tcPr>
            <w:tcW w:w="591" w:type="pct"/>
            <w:tcBorders>
              <w:right w:val="single" w:sz="4" w:space="0" w:color="999999"/>
            </w:tcBorders>
          </w:tcPr>
          <w:p w14:paraId="7A5931EC" w14:textId="662495E8" w:rsidR="00736932" w:rsidRDefault="00736932" w:rsidP="00D02AE8">
            <w:pPr>
              <w:pStyle w:val="tbltext"/>
              <w:spacing w:before="100" w:line="230" w:lineRule="atLeast"/>
              <w:jc w:val="right"/>
            </w:pPr>
            <w:r>
              <w:t>$5,000</w:t>
            </w:r>
          </w:p>
        </w:tc>
        <w:tc>
          <w:tcPr>
            <w:tcW w:w="592" w:type="pct"/>
            <w:tcBorders>
              <w:right w:val="single" w:sz="4" w:space="0" w:color="999999"/>
            </w:tcBorders>
          </w:tcPr>
          <w:p w14:paraId="22EF0B89" w14:textId="3CE78E81" w:rsidR="00736932" w:rsidRDefault="00736932" w:rsidP="00D02AE8">
            <w:pPr>
              <w:pStyle w:val="tbltext"/>
              <w:spacing w:before="100" w:line="230" w:lineRule="atLeast"/>
              <w:jc w:val="right"/>
            </w:pPr>
            <w:r>
              <w:t>$3,000</w:t>
            </w:r>
          </w:p>
        </w:tc>
        <w:tc>
          <w:tcPr>
            <w:tcW w:w="591" w:type="pct"/>
            <w:tcBorders>
              <w:right w:val="single" w:sz="4" w:space="0" w:color="999999"/>
            </w:tcBorders>
          </w:tcPr>
          <w:p w14:paraId="3F92310B" w14:textId="12D6DF84" w:rsidR="00736932" w:rsidRDefault="00736932" w:rsidP="00D02AE8">
            <w:pPr>
              <w:pStyle w:val="tbltext"/>
              <w:spacing w:before="100" w:line="230" w:lineRule="atLeast"/>
              <w:jc w:val="right"/>
            </w:pPr>
            <w:r>
              <w:t>$0</w:t>
            </w:r>
          </w:p>
        </w:tc>
        <w:tc>
          <w:tcPr>
            <w:tcW w:w="591" w:type="pct"/>
            <w:tcBorders>
              <w:left w:val="single" w:sz="4" w:space="0" w:color="999999"/>
            </w:tcBorders>
          </w:tcPr>
          <w:p w14:paraId="5B11AD3B" w14:textId="7748D14B" w:rsidR="00736932" w:rsidRDefault="00736932" w:rsidP="00D02AE8">
            <w:pPr>
              <w:pStyle w:val="tbltext"/>
              <w:spacing w:before="100" w:line="230" w:lineRule="atLeast"/>
              <w:jc w:val="right"/>
            </w:pPr>
            <w:r>
              <w:t>$65,000</w:t>
            </w:r>
          </w:p>
        </w:tc>
        <w:tc>
          <w:tcPr>
            <w:tcW w:w="591" w:type="pct"/>
          </w:tcPr>
          <w:p w14:paraId="4F79BDA2" w14:textId="4646D916" w:rsidR="00736932" w:rsidRDefault="00736932" w:rsidP="00D02AE8">
            <w:pPr>
              <w:pStyle w:val="tbltext"/>
              <w:spacing w:before="100" w:line="230" w:lineRule="atLeast"/>
              <w:jc w:val="right"/>
            </w:pPr>
            <w:r>
              <w:t>$0</w:t>
            </w:r>
          </w:p>
        </w:tc>
        <w:tc>
          <w:tcPr>
            <w:tcW w:w="591" w:type="pct"/>
          </w:tcPr>
          <w:p w14:paraId="6972C53B" w14:textId="33A0BBAE" w:rsidR="00736932" w:rsidRDefault="00736932" w:rsidP="00D02AE8">
            <w:pPr>
              <w:pStyle w:val="tbltext"/>
              <w:spacing w:before="100" w:line="230" w:lineRule="atLeast"/>
              <w:jc w:val="right"/>
            </w:pPr>
            <w:r>
              <w:t>($1,400)</w:t>
            </w:r>
          </w:p>
        </w:tc>
        <w:tc>
          <w:tcPr>
            <w:tcW w:w="587" w:type="pct"/>
            <w:tcBorders>
              <w:right w:val="single" w:sz="4" w:space="0" w:color="999999"/>
            </w:tcBorders>
          </w:tcPr>
          <w:p w14:paraId="502FA0C0" w14:textId="7B0AD3F8" w:rsidR="00736932" w:rsidRDefault="00736932" w:rsidP="00D02AE8">
            <w:pPr>
              <w:pStyle w:val="tbltext"/>
              <w:spacing w:before="100" w:line="230" w:lineRule="atLeast"/>
              <w:jc w:val="right"/>
            </w:pPr>
            <w:r>
              <w:t>($1,400)</w:t>
            </w:r>
          </w:p>
        </w:tc>
      </w:tr>
      <w:tr w:rsidR="00895953" w:rsidRPr="000540E1" w14:paraId="243D0AD4" w14:textId="77777777" w:rsidTr="00D02AE8">
        <w:trPr>
          <w:cantSplit/>
        </w:trPr>
        <w:tc>
          <w:tcPr>
            <w:tcW w:w="0" w:type="auto"/>
            <w:tcBorders>
              <w:bottom w:val="single" w:sz="4" w:space="0" w:color="999999"/>
            </w:tcBorders>
          </w:tcPr>
          <w:p w14:paraId="6E5BE9BA" w14:textId="77777777" w:rsidR="00736932" w:rsidRDefault="00736932" w:rsidP="00D02AE8">
            <w:pPr>
              <w:pStyle w:val="tbltext"/>
              <w:spacing w:before="100" w:line="230" w:lineRule="atLeast"/>
            </w:pPr>
            <w:r>
              <w:t>S6</w:t>
            </w:r>
          </w:p>
        </w:tc>
        <w:tc>
          <w:tcPr>
            <w:tcW w:w="591" w:type="pct"/>
            <w:tcBorders>
              <w:bottom w:val="single" w:sz="4" w:space="0" w:color="999999"/>
              <w:right w:val="single" w:sz="4" w:space="0" w:color="999999"/>
            </w:tcBorders>
          </w:tcPr>
          <w:p w14:paraId="00B3604C" w14:textId="7DD81F80" w:rsidR="00736932" w:rsidRDefault="00736932" w:rsidP="00D02AE8">
            <w:pPr>
              <w:pStyle w:val="tbltext"/>
              <w:spacing w:before="100" w:line="230" w:lineRule="atLeast"/>
              <w:jc w:val="right"/>
            </w:pPr>
            <w:r>
              <w:t>$114,000</w:t>
            </w:r>
          </w:p>
        </w:tc>
        <w:tc>
          <w:tcPr>
            <w:tcW w:w="591" w:type="pct"/>
            <w:tcBorders>
              <w:bottom w:val="single" w:sz="4" w:space="0" w:color="999999"/>
              <w:right w:val="single" w:sz="4" w:space="0" w:color="999999"/>
            </w:tcBorders>
          </w:tcPr>
          <w:p w14:paraId="032B934A" w14:textId="2497D41A" w:rsidR="00736932" w:rsidRDefault="00736932" w:rsidP="00D02AE8">
            <w:pPr>
              <w:pStyle w:val="tbltext"/>
              <w:spacing w:before="100" w:line="230" w:lineRule="atLeast"/>
              <w:jc w:val="right"/>
            </w:pPr>
            <w:r>
              <w:t>$32,000</w:t>
            </w:r>
          </w:p>
        </w:tc>
        <w:tc>
          <w:tcPr>
            <w:tcW w:w="592" w:type="pct"/>
            <w:tcBorders>
              <w:bottom w:val="single" w:sz="4" w:space="0" w:color="999999"/>
              <w:right w:val="single" w:sz="4" w:space="0" w:color="999999"/>
            </w:tcBorders>
          </w:tcPr>
          <w:p w14:paraId="709E31A6" w14:textId="1A52C168" w:rsidR="00736932" w:rsidRDefault="00736932" w:rsidP="00D02AE8">
            <w:pPr>
              <w:pStyle w:val="tbltext"/>
              <w:spacing w:before="100" w:line="230" w:lineRule="atLeast"/>
              <w:jc w:val="right"/>
            </w:pPr>
            <w:r>
              <w:t>$19,000</w:t>
            </w:r>
          </w:p>
        </w:tc>
        <w:tc>
          <w:tcPr>
            <w:tcW w:w="591" w:type="pct"/>
            <w:tcBorders>
              <w:bottom w:val="single" w:sz="4" w:space="0" w:color="999999"/>
              <w:right w:val="single" w:sz="4" w:space="0" w:color="999999"/>
            </w:tcBorders>
          </w:tcPr>
          <w:p w14:paraId="70339455" w14:textId="58497669" w:rsidR="00736932" w:rsidRDefault="00736932" w:rsidP="00D02AE8">
            <w:pPr>
              <w:pStyle w:val="tbltext"/>
              <w:spacing w:before="100" w:line="230" w:lineRule="atLeast"/>
              <w:jc w:val="right"/>
            </w:pPr>
            <w:r>
              <w:t>$57,000</w:t>
            </w:r>
          </w:p>
        </w:tc>
        <w:tc>
          <w:tcPr>
            <w:tcW w:w="591" w:type="pct"/>
            <w:tcBorders>
              <w:left w:val="single" w:sz="4" w:space="0" w:color="999999"/>
              <w:bottom w:val="single" w:sz="4" w:space="0" w:color="999999"/>
            </w:tcBorders>
          </w:tcPr>
          <w:p w14:paraId="70444C70" w14:textId="367CE395" w:rsidR="00736932" w:rsidRDefault="00736932" w:rsidP="00D02AE8">
            <w:pPr>
              <w:pStyle w:val="tbltext"/>
              <w:spacing w:before="100" w:line="230" w:lineRule="atLeast"/>
              <w:jc w:val="right"/>
            </w:pPr>
            <w:r>
              <w:t>$222,000</w:t>
            </w:r>
          </w:p>
        </w:tc>
        <w:tc>
          <w:tcPr>
            <w:tcW w:w="591" w:type="pct"/>
            <w:tcBorders>
              <w:bottom w:val="single" w:sz="4" w:space="0" w:color="999999"/>
            </w:tcBorders>
          </w:tcPr>
          <w:p w14:paraId="0F46A24F" w14:textId="2702E8ED" w:rsidR="00736932" w:rsidRDefault="00736932" w:rsidP="00D02AE8">
            <w:pPr>
              <w:pStyle w:val="tbltext"/>
              <w:spacing w:before="100" w:line="230" w:lineRule="atLeast"/>
              <w:jc w:val="right"/>
            </w:pPr>
            <w:r>
              <w:t>$0</w:t>
            </w:r>
          </w:p>
        </w:tc>
        <w:tc>
          <w:tcPr>
            <w:tcW w:w="591" w:type="pct"/>
            <w:tcBorders>
              <w:bottom w:val="single" w:sz="4" w:space="0" w:color="999999"/>
            </w:tcBorders>
          </w:tcPr>
          <w:p w14:paraId="343DAF7C" w14:textId="384CCF17" w:rsidR="00736932" w:rsidRDefault="00736932" w:rsidP="00D02AE8">
            <w:pPr>
              <w:pStyle w:val="tbltext"/>
              <w:spacing w:before="100" w:line="230" w:lineRule="atLeast"/>
              <w:jc w:val="right"/>
            </w:pPr>
            <w:r>
              <w:t>($0)</w:t>
            </w:r>
          </w:p>
        </w:tc>
        <w:tc>
          <w:tcPr>
            <w:tcW w:w="587" w:type="pct"/>
            <w:tcBorders>
              <w:bottom w:val="single" w:sz="4" w:space="0" w:color="999999"/>
              <w:right w:val="single" w:sz="4" w:space="0" w:color="999999"/>
            </w:tcBorders>
          </w:tcPr>
          <w:p w14:paraId="07356950" w14:textId="7421155E" w:rsidR="00736932" w:rsidRDefault="00736932" w:rsidP="00D02AE8">
            <w:pPr>
              <w:pStyle w:val="tbltext"/>
              <w:spacing w:before="100" w:line="230" w:lineRule="atLeast"/>
              <w:jc w:val="right"/>
            </w:pPr>
            <w:r>
              <w:t>($0)</w:t>
            </w:r>
          </w:p>
        </w:tc>
      </w:tr>
      <w:tr w:rsidR="00895953" w:rsidRPr="000540E1" w14:paraId="7B037DCD" w14:textId="77777777" w:rsidTr="00D02AE8">
        <w:trPr>
          <w:cantSplit/>
        </w:trPr>
        <w:tc>
          <w:tcPr>
            <w:tcW w:w="0" w:type="auto"/>
            <w:tcBorders>
              <w:bottom w:val="nil"/>
            </w:tcBorders>
          </w:tcPr>
          <w:p w14:paraId="54D5317E" w14:textId="77777777" w:rsidR="00736932" w:rsidRDefault="00736932" w:rsidP="00D02AE8">
            <w:pPr>
              <w:pStyle w:val="tbltext"/>
              <w:spacing w:before="100" w:line="230" w:lineRule="atLeast"/>
            </w:pPr>
            <w:r>
              <w:t>S7</w:t>
            </w:r>
          </w:p>
        </w:tc>
        <w:tc>
          <w:tcPr>
            <w:tcW w:w="591" w:type="pct"/>
            <w:tcBorders>
              <w:bottom w:val="nil"/>
              <w:right w:val="single" w:sz="4" w:space="0" w:color="999999"/>
            </w:tcBorders>
          </w:tcPr>
          <w:p w14:paraId="23AFCDEB" w14:textId="673D61E4" w:rsidR="00736932" w:rsidRDefault="00736932" w:rsidP="00D02AE8">
            <w:pPr>
              <w:pStyle w:val="tbltext"/>
              <w:spacing w:before="100" w:line="230" w:lineRule="atLeast"/>
              <w:jc w:val="right"/>
            </w:pPr>
            <w:r>
              <w:t>$114,000</w:t>
            </w:r>
          </w:p>
        </w:tc>
        <w:tc>
          <w:tcPr>
            <w:tcW w:w="591" w:type="pct"/>
            <w:tcBorders>
              <w:bottom w:val="nil"/>
              <w:right w:val="single" w:sz="4" w:space="0" w:color="999999"/>
            </w:tcBorders>
          </w:tcPr>
          <w:p w14:paraId="21A3C430" w14:textId="6FB0B5B8" w:rsidR="00736932" w:rsidRDefault="00736932" w:rsidP="00D02AE8">
            <w:pPr>
              <w:pStyle w:val="tbltext"/>
              <w:spacing w:before="100" w:line="230" w:lineRule="atLeast"/>
              <w:jc w:val="right"/>
            </w:pPr>
            <w:r>
              <w:t>$8,000</w:t>
            </w:r>
          </w:p>
        </w:tc>
        <w:tc>
          <w:tcPr>
            <w:tcW w:w="592" w:type="pct"/>
            <w:tcBorders>
              <w:bottom w:val="nil"/>
              <w:right w:val="single" w:sz="4" w:space="0" w:color="999999"/>
            </w:tcBorders>
          </w:tcPr>
          <w:p w14:paraId="39AB8612" w14:textId="73D284C0" w:rsidR="00736932" w:rsidRDefault="00736932" w:rsidP="00D02AE8">
            <w:pPr>
              <w:pStyle w:val="tbltext"/>
              <w:spacing w:before="100" w:line="230" w:lineRule="atLeast"/>
              <w:jc w:val="right"/>
            </w:pPr>
            <w:r>
              <w:t>$4,000</w:t>
            </w:r>
          </w:p>
        </w:tc>
        <w:tc>
          <w:tcPr>
            <w:tcW w:w="591" w:type="pct"/>
            <w:tcBorders>
              <w:bottom w:val="nil"/>
              <w:right w:val="single" w:sz="4" w:space="0" w:color="999999"/>
            </w:tcBorders>
          </w:tcPr>
          <w:p w14:paraId="1D630141" w14:textId="15508179" w:rsidR="00736932" w:rsidRDefault="00736932" w:rsidP="00D02AE8">
            <w:pPr>
              <w:pStyle w:val="tbltext"/>
              <w:spacing w:before="100" w:line="230" w:lineRule="atLeast"/>
              <w:jc w:val="right"/>
            </w:pPr>
            <w:r>
              <w:t>$57,000</w:t>
            </w:r>
          </w:p>
        </w:tc>
        <w:tc>
          <w:tcPr>
            <w:tcW w:w="591" w:type="pct"/>
            <w:tcBorders>
              <w:left w:val="single" w:sz="4" w:space="0" w:color="999999"/>
              <w:bottom w:val="nil"/>
            </w:tcBorders>
          </w:tcPr>
          <w:p w14:paraId="5F816E0B" w14:textId="1C4BA76F" w:rsidR="00736932" w:rsidRDefault="00736932" w:rsidP="00D02AE8">
            <w:pPr>
              <w:pStyle w:val="tbltext"/>
              <w:spacing w:before="100" w:line="230" w:lineRule="atLeast"/>
              <w:jc w:val="right"/>
            </w:pPr>
            <w:r>
              <w:t>$183,000</w:t>
            </w:r>
          </w:p>
        </w:tc>
        <w:tc>
          <w:tcPr>
            <w:tcW w:w="591" w:type="pct"/>
            <w:tcBorders>
              <w:bottom w:val="nil"/>
            </w:tcBorders>
          </w:tcPr>
          <w:p w14:paraId="2666B752" w14:textId="35AE8DF6" w:rsidR="00736932" w:rsidRDefault="00736932" w:rsidP="00D02AE8">
            <w:pPr>
              <w:pStyle w:val="tbltext"/>
              <w:spacing w:before="100" w:line="230" w:lineRule="atLeast"/>
              <w:jc w:val="right"/>
            </w:pPr>
            <w:r>
              <w:t>$0</w:t>
            </w:r>
          </w:p>
        </w:tc>
        <w:tc>
          <w:tcPr>
            <w:tcW w:w="591" w:type="pct"/>
            <w:tcBorders>
              <w:bottom w:val="nil"/>
            </w:tcBorders>
          </w:tcPr>
          <w:p w14:paraId="725C7FD5" w14:textId="75B166C4" w:rsidR="00736932" w:rsidRDefault="00736932" w:rsidP="00D02AE8">
            <w:pPr>
              <w:pStyle w:val="tbltext"/>
              <w:spacing w:before="100" w:line="230" w:lineRule="atLeast"/>
              <w:jc w:val="right"/>
            </w:pPr>
            <w:r>
              <w:t>($0)</w:t>
            </w:r>
          </w:p>
        </w:tc>
        <w:tc>
          <w:tcPr>
            <w:tcW w:w="587" w:type="pct"/>
            <w:tcBorders>
              <w:bottom w:val="nil"/>
              <w:right w:val="single" w:sz="4" w:space="0" w:color="999999"/>
            </w:tcBorders>
          </w:tcPr>
          <w:p w14:paraId="03677B02" w14:textId="6C0E0ED9" w:rsidR="00736932" w:rsidRDefault="00736932" w:rsidP="00D02AE8">
            <w:pPr>
              <w:pStyle w:val="tbltext"/>
              <w:spacing w:before="100" w:line="230" w:lineRule="atLeast"/>
              <w:jc w:val="right"/>
            </w:pPr>
            <w:r>
              <w:t>($0)</w:t>
            </w:r>
          </w:p>
        </w:tc>
      </w:tr>
      <w:tr w:rsidR="00895953" w:rsidRPr="000540E1" w14:paraId="6023860E" w14:textId="77777777" w:rsidTr="00D02AE8">
        <w:trPr>
          <w:cantSplit/>
        </w:trPr>
        <w:tc>
          <w:tcPr>
            <w:tcW w:w="0" w:type="auto"/>
            <w:tcBorders>
              <w:bottom w:val="single" w:sz="4" w:space="0" w:color="999999"/>
            </w:tcBorders>
          </w:tcPr>
          <w:p w14:paraId="652E32AE" w14:textId="77777777" w:rsidR="00736932" w:rsidRDefault="00736932" w:rsidP="00D02AE8">
            <w:pPr>
              <w:pStyle w:val="tbltext"/>
              <w:spacing w:before="100" w:line="230" w:lineRule="atLeast"/>
            </w:pPr>
            <w:r>
              <w:t>S8</w:t>
            </w:r>
          </w:p>
        </w:tc>
        <w:tc>
          <w:tcPr>
            <w:tcW w:w="591" w:type="pct"/>
            <w:tcBorders>
              <w:bottom w:val="single" w:sz="4" w:space="0" w:color="999999"/>
              <w:right w:val="single" w:sz="4" w:space="0" w:color="999999"/>
            </w:tcBorders>
          </w:tcPr>
          <w:p w14:paraId="118C36E1" w14:textId="38E1535A" w:rsidR="00736932" w:rsidRDefault="00736932" w:rsidP="00D02AE8">
            <w:pPr>
              <w:pStyle w:val="tbltext"/>
              <w:spacing w:before="100" w:line="230" w:lineRule="atLeast"/>
              <w:jc w:val="right"/>
            </w:pPr>
            <w:r>
              <w:t>$57,000</w:t>
            </w:r>
          </w:p>
        </w:tc>
        <w:tc>
          <w:tcPr>
            <w:tcW w:w="591" w:type="pct"/>
            <w:tcBorders>
              <w:bottom w:val="single" w:sz="4" w:space="0" w:color="999999"/>
              <w:right w:val="single" w:sz="4" w:space="0" w:color="999999"/>
            </w:tcBorders>
          </w:tcPr>
          <w:p w14:paraId="789BDFD6" w14:textId="69385099" w:rsidR="00736932" w:rsidRDefault="00736932" w:rsidP="00D02AE8">
            <w:pPr>
              <w:pStyle w:val="tbltext"/>
              <w:spacing w:before="100" w:line="230" w:lineRule="atLeast"/>
              <w:jc w:val="right"/>
            </w:pPr>
            <w:r>
              <w:t>$30,000</w:t>
            </w:r>
          </w:p>
        </w:tc>
        <w:tc>
          <w:tcPr>
            <w:tcW w:w="592" w:type="pct"/>
            <w:tcBorders>
              <w:bottom w:val="single" w:sz="4" w:space="0" w:color="999999"/>
              <w:right w:val="single" w:sz="4" w:space="0" w:color="999999"/>
            </w:tcBorders>
          </w:tcPr>
          <w:p w14:paraId="6506B46F" w14:textId="6E3BAF03" w:rsidR="00736932" w:rsidRDefault="00736932" w:rsidP="00D02AE8">
            <w:pPr>
              <w:pStyle w:val="tbltext"/>
              <w:spacing w:before="100" w:line="230" w:lineRule="atLeast"/>
              <w:jc w:val="right"/>
            </w:pPr>
            <w:r>
              <w:t>$19,000</w:t>
            </w:r>
          </w:p>
        </w:tc>
        <w:tc>
          <w:tcPr>
            <w:tcW w:w="591" w:type="pct"/>
            <w:tcBorders>
              <w:bottom w:val="single" w:sz="4" w:space="0" w:color="999999"/>
              <w:right w:val="single" w:sz="4" w:space="0" w:color="999999"/>
            </w:tcBorders>
          </w:tcPr>
          <w:p w14:paraId="53625D25" w14:textId="4C83C4F1" w:rsidR="00736932" w:rsidRDefault="00736932" w:rsidP="00D02AE8">
            <w:pPr>
              <w:pStyle w:val="tbltext"/>
              <w:spacing w:before="100" w:line="230" w:lineRule="atLeast"/>
              <w:jc w:val="right"/>
            </w:pPr>
            <w:r>
              <w:t>$28,000</w:t>
            </w:r>
          </w:p>
        </w:tc>
        <w:tc>
          <w:tcPr>
            <w:tcW w:w="591" w:type="pct"/>
            <w:tcBorders>
              <w:left w:val="single" w:sz="4" w:space="0" w:color="999999"/>
              <w:bottom w:val="single" w:sz="4" w:space="0" w:color="999999"/>
            </w:tcBorders>
          </w:tcPr>
          <w:p w14:paraId="2BD9970D" w14:textId="1A7D48E6" w:rsidR="00736932" w:rsidRDefault="00736932" w:rsidP="00D02AE8">
            <w:pPr>
              <w:pStyle w:val="tbltext"/>
              <w:spacing w:before="100" w:line="230" w:lineRule="atLeast"/>
              <w:jc w:val="right"/>
            </w:pPr>
            <w:r>
              <w:t>$134,000</w:t>
            </w:r>
          </w:p>
        </w:tc>
        <w:tc>
          <w:tcPr>
            <w:tcW w:w="591" w:type="pct"/>
            <w:tcBorders>
              <w:bottom w:val="single" w:sz="4" w:space="0" w:color="999999"/>
            </w:tcBorders>
          </w:tcPr>
          <w:p w14:paraId="32585156" w14:textId="0488E33F" w:rsidR="00736932" w:rsidRDefault="00736932" w:rsidP="00D02AE8">
            <w:pPr>
              <w:pStyle w:val="tbltext"/>
              <w:spacing w:before="100" w:line="230" w:lineRule="atLeast"/>
              <w:jc w:val="right"/>
            </w:pPr>
            <w:r>
              <w:t>$0</w:t>
            </w:r>
          </w:p>
        </w:tc>
        <w:tc>
          <w:tcPr>
            <w:tcW w:w="591" w:type="pct"/>
            <w:tcBorders>
              <w:bottom w:val="single" w:sz="4" w:space="0" w:color="999999"/>
            </w:tcBorders>
          </w:tcPr>
          <w:p w14:paraId="06248725" w14:textId="31C05CFF" w:rsidR="00736932" w:rsidRDefault="00736932" w:rsidP="00D02AE8">
            <w:pPr>
              <w:pStyle w:val="tbltext"/>
              <w:spacing w:before="100" w:line="230" w:lineRule="atLeast"/>
              <w:jc w:val="right"/>
            </w:pPr>
            <w:r>
              <w:t>($5,700)</w:t>
            </w:r>
          </w:p>
        </w:tc>
        <w:tc>
          <w:tcPr>
            <w:tcW w:w="587" w:type="pct"/>
            <w:tcBorders>
              <w:bottom w:val="single" w:sz="4" w:space="0" w:color="999999"/>
              <w:right w:val="single" w:sz="4" w:space="0" w:color="999999"/>
            </w:tcBorders>
          </w:tcPr>
          <w:p w14:paraId="55849248" w14:textId="7253710A" w:rsidR="00736932" w:rsidRDefault="00736932" w:rsidP="00D02AE8">
            <w:pPr>
              <w:pStyle w:val="tbltext"/>
              <w:spacing w:before="100" w:line="230" w:lineRule="atLeast"/>
              <w:jc w:val="right"/>
            </w:pPr>
            <w:r>
              <w:t>($5,700)</w:t>
            </w:r>
          </w:p>
        </w:tc>
      </w:tr>
      <w:tr w:rsidR="00895953" w:rsidRPr="000540E1" w14:paraId="75BBB16D" w14:textId="77777777" w:rsidTr="00D02AE8">
        <w:trPr>
          <w:cantSplit/>
        </w:trPr>
        <w:tc>
          <w:tcPr>
            <w:tcW w:w="0" w:type="auto"/>
            <w:tcBorders>
              <w:bottom w:val="nil"/>
            </w:tcBorders>
          </w:tcPr>
          <w:p w14:paraId="4DDAB767" w14:textId="77777777" w:rsidR="00736932" w:rsidRDefault="00736932" w:rsidP="00D02AE8">
            <w:pPr>
              <w:pStyle w:val="tbltext"/>
              <w:spacing w:before="100" w:line="230" w:lineRule="atLeast"/>
            </w:pPr>
            <w:r>
              <w:t>S9</w:t>
            </w:r>
          </w:p>
        </w:tc>
        <w:tc>
          <w:tcPr>
            <w:tcW w:w="591" w:type="pct"/>
            <w:tcBorders>
              <w:bottom w:val="nil"/>
              <w:right w:val="single" w:sz="4" w:space="0" w:color="999999"/>
            </w:tcBorders>
          </w:tcPr>
          <w:p w14:paraId="6B0C0F21" w14:textId="37477046" w:rsidR="00736932" w:rsidRDefault="00736932" w:rsidP="00D02AE8">
            <w:pPr>
              <w:pStyle w:val="tbltext"/>
              <w:spacing w:before="100" w:line="230" w:lineRule="atLeast"/>
              <w:jc w:val="right"/>
            </w:pPr>
            <w:r>
              <w:t>$57,000</w:t>
            </w:r>
          </w:p>
        </w:tc>
        <w:tc>
          <w:tcPr>
            <w:tcW w:w="591" w:type="pct"/>
            <w:tcBorders>
              <w:bottom w:val="nil"/>
              <w:right w:val="single" w:sz="4" w:space="0" w:color="999999"/>
            </w:tcBorders>
          </w:tcPr>
          <w:p w14:paraId="4FA914C0" w14:textId="3078E80E" w:rsidR="00736932" w:rsidRDefault="00736932" w:rsidP="00D02AE8">
            <w:pPr>
              <w:pStyle w:val="tbltext"/>
              <w:spacing w:before="100" w:line="230" w:lineRule="atLeast"/>
              <w:jc w:val="right"/>
            </w:pPr>
            <w:r>
              <w:t>$7,000</w:t>
            </w:r>
          </w:p>
        </w:tc>
        <w:tc>
          <w:tcPr>
            <w:tcW w:w="592" w:type="pct"/>
            <w:tcBorders>
              <w:bottom w:val="nil"/>
              <w:right w:val="single" w:sz="4" w:space="0" w:color="999999"/>
            </w:tcBorders>
          </w:tcPr>
          <w:p w14:paraId="1C366798" w14:textId="02B5EA46" w:rsidR="00736932" w:rsidRDefault="00736932" w:rsidP="00D02AE8">
            <w:pPr>
              <w:pStyle w:val="tbltext"/>
              <w:spacing w:before="100" w:line="230" w:lineRule="atLeast"/>
              <w:jc w:val="right"/>
            </w:pPr>
            <w:r>
              <w:t>$4,000</w:t>
            </w:r>
          </w:p>
        </w:tc>
        <w:tc>
          <w:tcPr>
            <w:tcW w:w="591" w:type="pct"/>
            <w:tcBorders>
              <w:bottom w:val="nil"/>
              <w:right w:val="single" w:sz="4" w:space="0" w:color="999999"/>
            </w:tcBorders>
          </w:tcPr>
          <w:p w14:paraId="66D3E30B" w14:textId="76271E0D" w:rsidR="00736932" w:rsidRDefault="00736932" w:rsidP="00D02AE8">
            <w:pPr>
              <w:pStyle w:val="tbltext"/>
              <w:spacing w:before="100" w:line="230" w:lineRule="atLeast"/>
              <w:jc w:val="right"/>
            </w:pPr>
            <w:r>
              <w:t>$28,000</w:t>
            </w:r>
          </w:p>
        </w:tc>
        <w:tc>
          <w:tcPr>
            <w:tcW w:w="591" w:type="pct"/>
            <w:tcBorders>
              <w:left w:val="single" w:sz="4" w:space="0" w:color="999999"/>
              <w:bottom w:val="nil"/>
            </w:tcBorders>
          </w:tcPr>
          <w:p w14:paraId="1C5F7DBB" w14:textId="54CD6621" w:rsidR="00736932" w:rsidRDefault="00736932" w:rsidP="00D02AE8">
            <w:pPr>
              <w:pStyle w:val="tbltext"/>
              <w:spacing w:before="100" w:line="230" w:lineRule="atLeast"/>
              <w:jc w:val="right"/>
            </w:pPr>
            <w:r>
              <w:t>$97,000</w:t>
            </w:r>
          </w:p>
        </w:tc>
        <w:tc>
          <w:tcPr>
            <w:tcW w:w="591" w:type="pct"/>
            <w:tcBorders>
              <w:bottom w:val="nil"/>
            </w:tcBorders>
          </w:tcPr>
          <w:p w14:paraId="758F00AE" w14:textId="1282A94D" w:rsidR="00736932" w:rsidRDefault="00736932" w:rsidP="00D02AE8">
            <w:pPr>
              <w:pStyle w:val="tbltext"/>
              <w:spacing w:before="100" w:line="230" w:lineRule="atLeast"/>
              <w:jc w:val="right"/>
            </w:pPr>
            <w:r>
              <w:t>$0</w:t>
            </w:r>
          </w:p>
        </w:tc>
        <w:tc>
          <w:tcPr>
            <w:tcW w:w="591" w:type="pct"/>
            <w:tcBorders>
              <w:bottom w:val="nil"/>
            </w:tcBorders>
          </w:tcPr>
          <w:p w14:paraId="7A21C391" w14:textId="3BBC7CC7" w:rsidR="00736932" w:rsidRDefault="00736932" w:rsidP="00D02AE8">
            <w:pPr>
              <w:pStyle w:val="tbltext"/>
              <w:spacing w:before="100" w:line="230" w:lineRule="atLeast"/>
              <w:jc w:val="right"/>
            </w:pPr>
            <w:r>
              <w:t>($5,700)</w:t>
            </w:r>
          </w:p>
        </w:tc>
        <w:tc>
          <w:tcPr>
            <w:tcW w:w="587" w:type="pct"/>
            <w:tcBorders>
              <w:bottom w:val="nil"/>
              <w:right w:val="single" w:sz="4" w:space="0" w:color="999999"/>
            </w:tcBorders>
          </w:tcPr>
          <w:p w14:paraId="166728C8" w14:textId="12EBC643" w:rsidR="00736932" w:rsidRDefault="00736932" w:rsidP="00D02AE8">
            <w:pPr>
              <w:pStyle w:val="tbltext"/>
              <w:spacing w:before="100" w:line="230" w:lineRule="atLeast"/>
              <w:jc w:val="right"/>
            </w:pPr>
            <w:r>
              <w:t>($5,700)</w:t>
            </w:r>
          </w:p>
        </w:tc>
      </w:tr>
      <w:tr w:rsidR="00895953" w:rsidRPr="000540E1" w14:paraId="68E2F409" w14:textId="77777777" w:rsidTr="00D02AE8">
        <w:trPr>
          <w:cantSplit/>
        </w:trPr>
        <w:tc>
          <w:tcPr>
            <w:tcW w:w="0" w:type="auto"/>
          </w:tcPr>
          <w:p w14:paraId="4FE64FB0" w14:textId="77777777" w:rsidR="00736932" w:rsidRDefault="00736932" w:rsidP="00D02AE8">
            <w:pPr>
              <w:pStyle w:val="tbltext"/>
              <w:spacing w:before="100" w:line="230" w:lineRule="atLeast"/>
            </w:pPr>
            <w:r>
              <w:t>S10</w:t>
            </w:r>
          </w:p>
        </w:tc>
        <w:tc>
          <w:tcPr>
            <w:tcW w:w="591" w:type="pct"/>
            <w:tcBorders>
              <w:right w:val="single" w:sz="4" w:space="0" w:color="999999"/>
            </w:tcBorders>
          </w:tcPr>
          <w:p w14:paraId="2C4B27FF" w14:textId="4AAAF955" w:rsidR="00736932" w:rsidRDefault="00736932" w:rsidP="00D02AE8">
            <w:pPr>
              <w:pStyle w:val="tbltext"/>
              <w:spacing w:before="100" w:line="230" w:lineRule="atLeast"/>
              <w:jc w:val="right"/>
            </w:pPr>
            <w:r>
              <w:t>$28,000</w:t>
            </w:r>
          </w:p>
        </w:tc>
        <w:tc>
          <w:tcPr>
            <w:tcW w:w="591" w:type="pct"/>
            <w:tcBorders>
              <w:right w:val="single" w:sz="4" w:space="0" w:color="999999"/>
            </w:tcBorders>
          </w:tcPr>
          <w:p w14:paraId="5D514A2D" w14:textId="296B3F33" w:rsidR="00736932" w:rsidRDefault="00736932" w:rsidP="00D02AE8">
            <w:pPr>
              <w:pStyle w:val="tbltext"/>
              <w:spacing w:before="100" w:line="230" w:lineRule="atLeast"/>
              <w:jc w:val="right"/>
            </w:pPr>
            <w:r>
              <w:t>$31,000</w:t>
            </w:r>
          </w:p>
        </w:tc>
        <w:tc>
          <w:tcPr>
            <w:tcW w:w="592" w:type="pct"/>
            <w:tcBorders>
              <w:right w:val="single" w:sz="4" w:space="0" w:color="999999"/>
            </w:tcBorders>
          </w:tcPr>
          <w:p w14:paraId="0AF80A8D" w14:textId="17E92D5D" w:rsidR="00736932" w:rsidRDefault="00736932" w:rsidP="00D02AE8">
            <w:pPr>
              <w:pStyle w:val="tbltext"/>
              <w:spacing w:before="100" w:line="230" w:lineRule="atLeast"/>
              <w:jc w:val="right"/>
            </w:pPr>
            <w:r>
              <w:t>$19,000</w:t>
            </w:r>
          </w:p>
        </w:tc>
        <w:tc>
          <w:tcPr>
            <w:tcW w:w="591" w:type="pct"/>
            <w:tcBorders>
              <w:right w:val="single" w:sz="4" w:space="0" w:color="999999"/>
            </w:tcBorders>
          </w:tcPr>
          <w:p w14:paraId="03B4EB2B" w14:textId="55B8C405" w:rsidR="00736932" w:rsidRDefault="00736932" w:rsidP="00D02AE8">
            <w:pPr>
              <w:pStyle w:val="tbltext"/>
              <w:spacing w:before="100" w:line="230" w:lineRule="atLeast"/>
              <w:jc w:val="right"/>
            </w:pPr>
            <w:r>
              <w:t>$0</w:t>
            </w:r>
          </w:p>
        </w:tc>
        <w:tc>
          <w:tcPr>
            <w:tcW w:w="591" w:type="pct"/>
            <w:tcBorders>
              <w:left w:val="single" w:sz="4" w:space="0" w:color="999999"/>
            </w:tcBorders>
          </w:tcPr>
          <w:p w14:paraId="58963D6F" w14:textId="69E4A5AE" w:rsidR="00736932" w:rsidRDefault="00736932" w:rsidP="00D02AE8">
            <w:pPr>
              <w:pStyle w:val="tbltext"/>
              <w:spacing w:before="100" w:line="230" w:lineRule="atLeast"/>
              <w:jc w:val="right"/>
            </w:pPr>
            <w:r>
              <w:t>$79,000</w:t>
            </w:r>
          </w:p>
        </w:tc>
        <w:tc>
          <w:tcPr>
            <w:tcW w:w="591" w:type="pct"/>
          </w:tcPr>
          <w:p w14:paraId="15C8E07D" w14:textId="39A5B867" w:rsidR="00736932" w:rsidRDefault="00736932" w:rsidP="00D02AE8">
            <w:pPr>
              <w:pStyle w:val="tbltext"/>
              <w:spacing w:before="100" w:line="230" w:lineRule="atLeast"/>
              <w:jc w:val="right"/>
            </w:pPr>
            <w:r>
              <w:t>$0</w:t>
            </w:r>
          </w:p>
        </w:tc>
        <w:tc>
          <w:tcPr>
            <w:tcW w:w="591" w:type="pct"/>
          </w:tcPr>
          <w:p w14:paraId="0006A510" w14:textId="490BA57A" w:rsidR="00736932" w:rsidRDefault="00736932" w:rsidP="00D02AE8">
            <w:pPr>
              <w:pStyle w:val="tbltext"/>
              <w:spacing w:before="100" w:line="230" w:lineRule="atLeast"/>
              <w:jc w:val="right"/>
            </w:pPr>
            <w:r>
              <w:t>($1,000)</w:t>
            </w:r>
          </w:p>
        </w:tc>
        <w:tc>
          <w:tcPr>
            <w:tcW w:w="587" w:type="pct"/>
            <w:tcBorders>
              <w:right w:val="single" w:sz="4" w:space="0" w:color="999999"/>
            </w:tcBorders>
          </w:tcPr>
          <w:p w14:paraId="16BFBF2B" w14:textId="05D60EE9" w:rsidR="00736932" w:rsidRDefault="00736932" w:rsidP="00D02AE8">
            <w:pPr>
              <w:pStyle w:val="tbltext"/>
              <w:spacing w:before="100" w:line="230" w:lineRule="atLeast"/>
              <w:jc w:val="right"/>
            </w:pPr>
            <w:r>
              <w:t>($1,000)</w:t>
            </w:r>
          </w:p>
        </w:tc>
      </w:tr>
      <w:tr w:rsidR="00895953" w:rsidRPr="000540E1" w14:paraId="0664D6A3" w14:textId="77777777" w:rsidTr="00D02AE8">
        <w:trPr>
          <w:cantSplit/>
        </w:trPr>
        <w:tc>
          <w:tcPr>
            <w:tcW w:w="0" w:type="auto"/>
          </w:tcPr>
          <w:p w14:paraId="65B8F993" w14:textId="77777777" w:rsidR="00736932" w:rsidRDefault="00736932" w:rsidP="00D02AE8">
            <w:pPr>
              <w:pStyle w:val="tbltext"/>
              <w:spacing w:before="100" w:line="230" w:lineRule="atLeast"/>
            </w:pPr>
            <w:r>
              <w:t>S11</w:t>
            </w:r>
          </w:p>
        </w:tc>
        <w:tc>
          <w:tcPr>
            <w:tcW w:w="591" w:type="pct"/>
            <w:tcBorders>
              <w:right w:val="single" w:sz="4" w:space="0" w:color="999999"/>
            </w:tcBorders>
          </w:tcPr>
          <w:p w14:paraId="1365AA59" w14:textId="1C2C0BCC" w:rsidR="00736932" w:rsidRDefault="00736932" w:rsidP="00D02AE8">
            <w:pPr>
              <w:pStyle w:val="tbltext"/>
              <w:spacing w:before="100" w:line="230" w:lineRule="atLeast"/>
              <w:jc w:val="right"/>
            </w:pPr>
            <w:r>
              <w:t>$28,000</w:t>
            </w:r>
          </w:p>
        </w:tc>
        <w:tc>
          <w:tcPr>
            <w:tcW w:w="591" w:type="pct"/>
            <w:tcBorders>
              <w:right w:val="single" w:sz="4" w:space="0" w:color="999999"/>
            </w:tcBorders>
          </w:tcPr>
          <w:p w14:paraId="47C059C4" w14:textId="12644067" w:rsidR="00736932" w:rsidRDefault="00736932" w:rsidP="00D02AE8">
            <w:pPr>
              <w:pStyle w:val="tbltext"/>
              <w:spacing w:before="100" w:line="230" w:lineRule="atLeast"/>
              <w:jc w:val="right"/>
            </w:pPr>
            <w:r>
              <w:t>$6,000</w:t>
            </w:r>
          </w:p>
        </w:tc>
        <w:tc>
          <w:tcPr>
            <w:tcW w:w="592" w:type="pct"/>
            <w:tcBorders>
              <w:right w:val="single" w:sz="4" w:space="0" w:color="999999"/>
            </w:tcBorders>
          </w:tcPr>
          <w:p w14:paraId="2E3DC7F0" w14:textId="677E0986" w:rsidR="00736932" w:rsidRDefault="00736932" w:rsidP="00D02AE8">
            <w:pPr>
              <w:pStyle w:val="tbltext"/>
              <w:spacing w:before="100" w:line="230" w:lineRule="atLeast"/>
              <w:jc w:val="right"/>
            </w:pPr>
            <w:r>
              <w:t>$3,000</w:t>
            </w:r>
          </w:p>
        </w:tc>
        <w:tc>
          <w:tcPr>
            <w:tcW w:w="591" w:type="pct"/>
            <w:tcBorders>
              <w:right w:val="single" w:sz="4" w:space="0" w:color="999999"/>
            </w:tcBorders>
          </w:tcPr>
          <w:p w14:paraId="74680BE2" w14:textId="2C44D1DA" w:rsidR="00736932" w:rsidRDefault="00736932" w:rsidP="00D02AE8">
            <w:pPr>
              <w:pStyle w:val="tbltext"/>
              <w:spacing w:before="100" w:line="230" w:lineRule="atLeast"/>
              <w:jc w:val="right"/>
            </w:pPr>
            <w:r>
              <w:t>$0</w:t>
            </w:r>
          </w:p>
        </w:tc>
        <w:tc>
          <w:tcPr>
            <w:tcW w:w="591" w:type="pct"/>
            <w:tcBorders>
              <w:left w:val="single" w:sz="4" w:space="0" w:color="999999"/>
            </w:tcBorders>
          </w:tcPr>
          <w:p w14:paraId="047C1109" w14:textId="18118D57" w:rsidR="00736932" w:rsidRDefault="00736932" w:rsidP="00D02AE8">
            <w:pPr>
              <w:pStyle w:val="tbltext"/>
              <w:spacing w:before="100" w:line="230" w:lineRule="atLeast"/>
              <w:jc w:val="right"/>
            </w:pPr>
            <w:r>
              <w:t>$38,000</w:t>
            </w:r>
          </w:p>
        </w:tc>
        <w:tc>
          <w:tcPr>
            <w:tcW w:w="591" w:type="pct"/>
          </w:tcPr>
          <w:p w14:paraId="278E96CB" w14:textId="25A0218F" w:rsidR="00736932" w:rsidRDefault="00736932" w:rsidP="00D02AE8">
            <w:pPr>
              <w:pStyle w:val="tbltext"/>
              <w:spacing w:before="100" w:line="230" w:lineRule="atLeast"/>
              <w:jc w:val="right"/>
            </w:pPr>
            <w:r>
              <w:t>$0</w:t>
            </w:r>
          </w:p>
        </w:tc>
        <w:tc>
          <w:tcPr>
            <w:tcW w:w="591" w:type="pct"/>
          </w:tcPr>
          <w:p w14:paraId="21689C41" w14:textId="5ED80239" w:rsidR="00736932" w:rsidRDefault="00736932" w:rsidP="00D02AE8">
            <w:pPr>
              <w:pStyle w:val="tbltext"/>
              <w:spacing w:before="100" w:line="230" w:lineRule="atLeast"/>
              <w:jc w:val="right"/>
            </w:pPr>
            <w:r>
              <w:t>($1,000)</w:t>
            </w:r>
          </w:p>
        </w:tc>
        <w:tc>
          <w:tcPr>
            <w:tcW w:w="587" w:type="pct"/>
            <w:tcBorders>
              <w:right w:val="single" w:sz="4" w:space="0" w:color="999999"/>
            </w:tcBorders>
          </w:tcPr>
          <w:p w14:paraId="26A62F55" w14:textId="65A90D1A" w:rsidR="00736932" w:rsidRDefault="00736932" w:rsidP="00D02AE8">
            <w:pPr>
              <w:pStyle w:val="tbltext"/>
              <w:spacing w:before="100" w:line="230" w:lineRule="atLeast"/>
              <w:jc w:val="right"/>
            </w:pPr>
            <w:r>
              <w:t>($1,000)</w:t>
            </w:r>
          </w:p>
        </w:tc>
      </w:tr>
      <w:tr w:rsidR="00895953" w:rsidRPr="000540E1" w14:paraId="24823B94" w14:textId="77777777" w:rsidTr="00D02AE8">
        <w:trPr>
          <w:cantSplit/>
        </w:trPr>
        <w:tc>
          <w:tcPr>
            <w:tcW w:w="0" w:type="auto"/>
          </w:tcPr>
          <w:p w14:paraId="658AE189" w14:textId="77777777" w:rsidR="00736932" w:rsidRDefault="00736932" w:rsidP="00D02AE8">
            <w:pPr>
              <w:pStyle w:val="tbltext"/>
              <w:spacing w:before="100" w:line="230" w:lineRule="atLeast"/>
            </w:pPr>
            <w:r>
              <w:t>VS1</w:t>
            </w:r>
          </w:p>
        </w:tc>
        <w:tc>
          <w:tcPr>
            <w:tcW w:w="591" w:type="pct"/>
            <w:tcBorders>
              <w:right w:val="single" w:sz="4" w:space="0" w:color="999999"/>
            </w:tcBorders>
          </w:tcPr>
          <w:p w14:paraId="6102C3EF" w14:textId="60CD4362" w:rsidR="00736932" w:rsidRDefault="00736932" w:rsidP="00D02AE8">
            <w:pPr>
              <w:pStyle w:val="tbltext"/>
              <w:spacing w:before="100" w:line="230" w:lineRule="atLeast"/>
              <w:jc w:val="right"/>
            </w:pPr>
            <w:r>
              <w:t>$46,000</w:t>
            </w:r>
          </w:p>
        </w:tc>
        <w:tc>
          <w:tcPr>
            <w:tcW w:w="591" w:type="pct"/>
            <w:tcBorders>
              <w:right w:val="single" w:sz="4" w:space="0" w:color="999999"/>
            </w:tcBorders>
          </w:tcPr>
          <w:p w14:paraId="2EC99DD1" w14:textId="2B075DBA" w:rsidR="00736932" w:rsidRDefault="00736932" w:rsidP="00D02AE8">
            <w:pPr>
              <w:pStyle w:val="tbltext"/>
              <w:spacing w:before="100" w:line="230" w:lineRule="atLeast"/>
              <w:jc w:val="right"/>
            </w:pPr>
            <w:r>
              <w:t>$7,000</w:t>
            </w:r>
          </w:p>
        </w:tc>
        <w:tc>
          <w:tcPr>
            <w:tcW w:w="592" w:type="pct"/>
            <w:tcBorders>
              <w:right w:val="single" w:sz="4" w:space="0" w:color="999999"/>
            </w:tcBorders>
          </w:tcPr>
          <w:p w14:paraId="4C239C03" w14:textId="6940481F" w:rsidR="00736932" w:rsidRDefault="00736932" w:rsidP="00D02AE8">
            <w:pPr>
              <w:pStyle w:val="tbltext"/>
              <w:spacing w:before="100" w:line="230" w:lineRule="atLeast"/>
              <w:jc w:val="right"/>
            </w:pPr>
            <w:r>
              <w:t>$14,000</w:t>
            </w:r>
          </w:p>
        </w:tc>
        <w:tc>
          <w:tcPr>
            <w:tcW w:w="591" w:type="pct"/>
            <w:tcBorders>
              <w:right w:val="single" w:sz="4" w:space="0" w:color="999999"/>
            </w:tcBorders>
          </w:tcPr>
          <w:p w14:paraId="3971E31D" w14:textId="67337075" w:rsidR="00736932" w:rsidRDefault="00736932" w:rsidP="00D02AE8">
            <w:pPr>
              <w:pStyle w:val="tbltext"/>
              <w:spacing w:before="100" w:line="230" w:lineRule="atLeast"/>
              <w:jc w:val="right"/>
            </w:pPr>
            <w:r>
              <w:t>$11,000</w:t>
            </w:r>
          </w:p>
        </w:tc>
        <w:tc>
          <w:tcPr>
            <w:tcW w:w="591" w:type="pct"/>
            <w:tcBorders>
              <w:left w:val="single" w:sz="4" w:space="0" w:color="999999"/>
            </w:tcBorders>
          </w:tcPr>
          <w:p w14:paraId="6E5C1D66" w14:textId="63867CE2" w:rsidR="00736932" w:rsidRDefault="00736932" w:rsidP="00D02AE8">
            <w:pPr>
              <w:pStyle w:val="tbltext"/>
              <w:spacing w:before="100" w:line="230" w:lineRule="atLeast"/>
              <w:jc w:val="right"/>
            </w:pPr>
            <w:r>
              <w:t>$77,000</w:t>
            </w:r>
          </w:p>
        </w:tc>
        <w:tc>
          <w:tcPr>
            <w:tcW w:w="591" w:type="pct"/>
          </w:tcPr>
          <w:p w14:paraId="12DFF893" w14:textId="0B343222" w:rsidR="00736932" w:rsidRDefault="00736932" w:rsidP="00D02AE8">
            <w:pPr>
              <w:pStyle w:val="tbltext"/>
              <w:spacing w:before="100" w:line="230" w:lineRule="atLeast"/>
              <w:jc w:val="right"/>
            </w:pPr>
            <w:r>
              <w:t>$0</w:t>
            </w:r>
          </w:p>
        </w:tc>
        <w:tc>
          <w:tcPr>
            <w:tcW w:w="591" w:type="pct"/>
          </w:tcPr>
          <w:p w14:paraId="6237B269" w14:textId="1FDA3ACC" w:rsidR="00736932" w:rsidRDefault="00736932" w:rsidP="00D02AE8">
            <w:pPr>
              <w:pStyle w:val="tbltext"/>
              <w:spacing w:before="100" w:line="230" w:lineRule="atLeast"/>
              <w:jc w:val="right"/>
            </w:pPr>
            <w:r>
              <w:t>($4,600)</w:t>
            </w:r>
          </w:p>
        </w:tc>
        <w:tc>
          <w:tcPr>
            <w:tcW w:w="587" w:type="pct"/>
            <w:tcBorders>
              <w:right w:val="single" w:sz="4" w:space="0" w:color="999999"/>
            </w:tcBorders>
          </w:tcPr>
          <w:p w14:paraId="5EE0BC00" w14:textId="5A71FE5A" w:rsidR="00736932" w:rsidRDefault="00736932" w:rsidP="00D02AE8">
            <w:pPr>
              <w:pStyle w:val="tbltext"/>
              <w:spacing w:before="100" w:line="230" w:lineRule="atLeast"/>
              <w:jc w:val="right"/>
            </w:pPr>
            <w:r>
              <w:t>($4,600)</w:t>
            </w:r>
          </w:p>
        </w:tc>
      </w:tr>
      <w:tr w:rsidR="00895953" w:rsidRPr="000540E1" w14:paraId="11F7A5A0" w14:textId="77777777" w:rsidTr="00D02AE8">
        <w:trPr>
          <w:cantSplit/>
        </w:trPr>
        <w:tc>
          <w:tcPr>
            <w:tcW w:w="0" w:type="auto"/>
          </w:tcPr>
          <w:p w14:paraId="33345F87" w14:textId="77777777" w:rsidR="00736932" w:rsidRDefault="00736932" w:rsidP="00D02AE8">
            <w:pPr>
              <w:pStyle w:val="tbltext"/>
              <w:spacing w:before="100" w:line="230" w:lineRule="atLeast"/>
            </w:pPr>
            <w:r>
              <w:t>VS2</w:t>
            </w:r>
          </w:p>
        </w:tc>
        <w:tc>
          <w:tcPr>
            <w:tcW w:w="591" w:type="pct"/>
            <w:tcBorders>
              <w:right w:val="single" w:sz="4" w:space="0" w:color="999999"/>
            </w:tcBorders>
          </w:tcPr>
          <w:p w14:paraId="068DC86A" w14:textId="3D9F023C" w:rsidR="00736932" w:rsidRDefault="00736932" w:rsidP="00D02AE8">
            <w:pPr>
              <w:pStyle w:val="tbltext"/>
              <w:spacing w:before="100" w:line="230" w:lineRule="atLeast"/>
              <w:jc w:val="right"/>
            </w:pPr>
            <w:r>
              <w:t>$23,000</w:t>
            </w:r>
          </w:p>
        </w:tc>
        <w:tc>
          <w:tcPr>
            <w:tcW w:w="591" w:type="pct"/>
            <w:tcBorders>
              <w:right w:val="single" w:sz="4" w:space="0" w:color="999999"/>
            </w:tcBorders>
          </w:tcPr>
          <w:p w14:paraId="2047A4FF" w14:textId="54A365C9" w:rsidR="00736932" w:rsidRDefault="00736932" w:rsidP="00D02AE8">
            <w:pPr>
              <w:pStyle w:val="tbltext"/>
              <w:spacing w:before="100" w:line="230" w:lineRule="atLeast"/>
              <w:jc w:val="right"/>
            </w:pPr>
            <w:r>
              <w:t>$14,000</w:t>
            </w:r>
          </w:p>
        </w:tc>
        <w:tc>
          <w:tcPr>
            <w:tcW w:w="592" w:type="pct"/>
            <w:tcBorders>
              <w:right w:val="single" w:sz="4" w:space="0" w:color="999999"/>
            </w:tcBorders>
          </w:tcPr>
          <w:p w14:paraId="3D4106AA" w14:textId="621BC36C" w:rsidR="00736932" w:rsidRDefault="00736932" w:rsidP="00D02AE8">
            <w:pPr>
              <w:pStyle w:val="tbltext"/>
              <w:spacing w:before="100" w:line="230" w:lineRule="atLeast"/>
              <w:jc w:val="right"/>
            </w:pPr>
            <w:r>
              <w:t>$14,000</w:t>
            </w:r>
          </w:p>
        </w:tc>
        <w:tc>
          <w:tcPr>
            <w:tcW w:w="591" w:type="pct"/>
            <w:tcBorders>
              <w:right w:val="single" w:sz="4" w:space="0" w:color="999999"/>
            </w:tcBorders>
          </w:tcPr>
          <w:p w14:paraId="200936F5" w14:textId="3B6E37A8" w:rsidR="00736932" w:rsidRDefault="00736932" w:rsidP="00D02AE8">
            <w:pPr>
              <w:pStyle w:val="tbltext"/>
              <w:spacing w:before="100" w:line="230" w:lineRule="atLeast"/>
              <w:jc w:val="right"/>
            </w:pPr>
            <w:r>
              <w:t>$0</w:t>
            </w:r>
          </w:p>
        </w:tc>
        <w:tc>
          <w:tcPr>
            <w:tcW w:w="591" w:type="pct"/>
            <w:tcBorders>
              <w:left w:val="single" w:sz="4" w:space="0" w:color="999999"/>
            </w:tcBorders>
          </w:tcPr>
          <w:p w14:paraId="5D2CAE03" w14:textId="7E1FABA8" w:rsidR="00736932" w:rsidRDefault="00736932" w:rsidP="00D02AE8">
            <w:pPr>
              <w:pStyle w:val="tbltext"/>
              <w:spacing w:before="100" w:line="230" w:lineRule="atLeast"/>
              <w:jc w:val="right"/>
            </w:pPr>
            <w:r>
              <w:t>$50,000</w:t>
            </w:r>
          </w:p>
        </w:tc>
        <w:tc>
          <w:tcPr>
            <w:tcW w:w="591" w:type="pct"/>
          </w:tcPr>
          <w:p w14:paraId="3A8A7BEE" w14:textId="6C740B41" w:rsidR="00736932" w:rsidRDefault="00736932" w:rsidP="00D02AE8">
            <w:pPr>
              <w:pStyle w:val="tbltext"/>
              <w:spacing w:before="100" w:line="230" w:lineRule="atLeast"/>
              <w:jc w:val="right"/>
            </w:pPr>
            <w:r>
              <w:t>$0</w:t>
            </w:r>
          </w:p>
        </w:tc>
        <w:tc>
          <w:tcPr>
            <w:tcW w:w="591" w:type="pct"/>
          </w:tcPr>
          <w:p w14:paraId="6CCBE14A" w14:textId="120E61C7" w:rsidR="00736932" w:rsidRDefault="00736932" w:rsidP="00D02AE8">
            <w:pPr>
              <w:pStyle w:val="tbltext"/>
              <w:spacing w:before="100" w:line="230" w:lineRule="atLeast"/>
              <w:jc w:val="right"/>
            </w:pPr>
            <w:r>
              <w:t>($1,000)</w:t>
            </w:r>
          </w:p>
        </w:tc>
        <w:tc>
          <w:tcPr>
            <w:tcW w:w="587" w:type="pct"/>
            <w:tcBorders>
              <w:right w:val="single" w:sz="4" w:space="0" w:color="999999"/>
            </w:tcBorders>
          </w:tcPr>
          <w:p w14:paraId="161C882D" w14:textId="6784CD7B" w:rsidR="00736932" w:rsidRDefault="00736932" w:rsidP="00D02AE8">
            <w:pPr>
              <w:pStyle w:val="tbltext"/>
              <w:spacing w:before="100" w:line="230" w:lineRule="atLeast"/>
              <w:jc w:val="right"/>
            </w:pPr>
            <w:r>
              <w:t>($1,000)</w:t>
            </w:r>
          </w:p>
        </w:tc>
      </w:tr>
      <w:tr w:rsidR="00895953" w:rsidRPr="000540E1" w14:paraId="6E99F82B" w14:textId="77777777" w:rsidTr="00D02AE8">
        <w:trPr>
          <w:cantSplit/>
        </w:trPr>
        <w:tc>
          <w:tcPr>
            <w:tcW w:w="0" w:type="auto"/>
            <w:tcBorders>
              <w:bottom w:val="single" w:sz="4" w:space="0" w:color="999999"/>
            </w:tcBorders>
          </w:tcPr>
          <w:p w14:paraId="6499A1D2" w14:textId="77777777" w:rsidR="00736932" w:rsidRDefault="00736932" w:rsidP="00D02AE8">
            <w:pPr>
              <w:pStyle w:val="tbltext"/>
              <w:spacing w:before="100" w:line="230" w:lineRule="atLeast"/>
            </w:pPr>
            <w:r>
              <w:t>VS3</w:t>
            </w:r>
          </w:p>
        </w:tc>
        <w:tc>
          <w:tcPr>
            <w:tcW w:w="591" w:type="pct"/>
            <w:tcBorders>
              <w:bottom w:val="single" w:sz="4" w:space="0" w:color="999999"/>
              <w:right w:val="single" w:sz="4" w:space="0" w:color="999999"/>
            </w:tcBorders>
          </w:tcPr>
          <w:p w14:paraId="0569A90C" w14:textId="18258666" w:rsidR="00736932" w:rsidRDefault="00736932" w:rsidP="00D02AE8">
            <w:pPr>
              <w:pStyle w:val="tbltext"/>
              <w:spacing w:before="100" w:line="230" w:lineRule="atLeast"/>
              <w:jc w:val="right"/>
            </w:pPr>
            <w:r>
              <w:t>$23,000</w:t>
            </w:r>
          </w:p>
        </w:tc>
        <w:tc>
          <w:tcPr>
            <w:tcW w:w="591" w:type="pct"/>
            <w:tcBorders>
              <w:bottom w:val="single" w:sz="4" w:space="0" w:color="999999"/>
              <w:right w:val="single" w:sz="4" w:space="0" w:color="999999"/>
            </w:tcBorders>
          </w:tcPr>
          <w:p w14:paraId="78A15E09" w14:textId="1B84B939" w:rsidR="00736932" w:rsidRDefault="00736932" w:rsidP="00D02AE8">
            <w:pPr>
              <w:pStyle w:val="tbltext"/>
              <w:spacing w:before="100" w:line="230" w:lineRule="atLeast"/>
              <w:jc w:val="right"/>
            </w:pPr>
            <w:r>
              <w:t>$2,000</w:t>
            </w:r>
          </w:p>
        </w:tc>
        <w:tc>
          <w:tcPr>
            <w:tcW w:w="592" w:type="pct"/>
            <w:tcBorders>
              <w:bottom w:val="single" w:sz="4" w:space="0" w:color="999999"/>
              <w:right w:val="single" w:sz="4" w:space="0" w:color="999999"/>
            </w:tcBorders>
          </w:tcPr>
          <w:p w14:paraId="6D9214CD" w14:textId="5E24F13B" w:rsidR="00736932" w:rsidRDefault="00736932" w:rsidP="00D02AE8">
            <w:pPr>
              <w:pStyle w:val="tbltext"/>
              <w:spacing w:before="100" w:line="230" w:lineRule="atLeast"/>
              <w:jc w:val="right"/>
            </w:pPr>
            <w:r>
              <w:t>$2,000</w:t>
            </w:r>
          </w:p>
        </w:tc>
        <w:tc>
          <w:tcPr>
            <w:tcW w:w="591" w:type="pct"/>
            <w:tcBorders>
              <w:bottom w:val="single" w:sz="4" w:space="0" w:color="999999"/>
              <w:right w:val="single" w:sz="4" w:space="0" w:color="999999"/>
            </w:tcBorders>
          </w:tcPr>
          <w:p w14:paraId="73F51316" w14:textId="0E5A0B3D" w:rsidR="00736932" w:rsidRDefault="00736932" w:rsidP="00D02AE8">
            <w:pPr>
              <w:pStyle w:val="tbltext"/>
              <w:spacing w:before="100" w:line="230" w:lineRule="atLeast"/>
              <w:jc w:val="right"/>
            </w:pPr>
            <w:r>
              <w:t>$0</w:t>
            </w:r>
          </w:p>
        </w:tc>
        <w:tc>
          <w:tcPr>
            <w:tcW w:w="591" w:type="pct"/>
            <w:tcBorders>
              <w:left w:val="single" w:sz="4" w:space="0" w:color="999999"/>
              <w:bottom w:val="single" w:sz="4" w:space="0" w:color="999999"/>
            </w:tcBorders>
          </w:tcPr>
          <w:p w14:paraId="1A2EEBEE" w14:textId="24FC0914" w:rsidR="00736932" w:rsidRDefault="00736932" w:rsidP="00D02AE8">
            <w:pPr>
              <w:pStyle w:val="tbltext"/>
              <w:spacing w:before="100" w:line="230" w:lineRule="atLeast"/>
              <w:jc w:val="right"/>
            </w:pPr>
            <w:r>
              <w:t>$28,000</w:t>
            </w:r>
          </w:p>
        </w:tc>
        <w:tc>
          <w:tcPr>
            <w:tcW w:w="591" w:type="pct"/>
            <w:tcBorders>
              <w:bottom w:val="single" w:sz="4" w:space="0" w:color="999999"/>
            </w:tcBorders>
          </w:tcPr>
          <w:p w14:paraId="365C524C" w14:textId="3AE0B2B3" w:rsidR="00736932" w:rsidRDefault="00736932" w:rsidP="00D02AE8">
            <w:pPr>
              <w:pStyle w:val="tbltext"/>
              <w:spacing w:before="100" w:line="230" w:lineRule="atLeast"/>
              <w:jc w:val="right"/>
            </w:pPr>
            <w:r>
              <w:t>$0</w:t>
            </w:r>
          </w:p>
        </w:tc>
        <w:tc>
          <w:tcPr>
            <w:tcW w:w="591" w:type="pct"/>
            <w:tcBorders>
              <w:bottom w:val="single" w:sz="4" w:space="0" w:color="999999"/>
            </w:tcBorders>
          </w:tcPr>
          <w:p w14:paraId="483BBF55" w14:textId="4CC9D593" w:rsidR="00736932" w:rsidRDefault="00736932" w:rsidP="00D02AE8">
            <w:pPr>
              <w:pStyle w:val="tbltext"/>
              <w:spacing w:before="100" w:line="230" w:lineRule="atLeast"/>
              <w:jc w:val="right"/>
            </w:pPr>
            <w:r>
              <w:t>($1,000)</w:t>
            </w:r>
          </w:p>
        </w:tc>
        <w:tc>
          <w:tcPr>
            <w:tcW w:w="587" w:type="pct"/>
            <w:tcBorders>
              <w:bottom w:val="single" w:sz="4" w:space="0" w:color="999999"/>
              <w:right w:val="single" w:sz="4" w:space="0" w:color="999999"/>
            </w:tcBorders>
          </w:tcPr>
          <w:p w14:paraId="151DC1BC" w14:textId="653548EE" w:rsidR="00736932" w:rsidRDefault="00736932" w:rsidP="00D02AE8">
            <w:pPr>
              <w:pStyle w:val="tbltext"/>
              <w:spacing w:before="100" w:line="230" w:lineRule="atLeast"/>
              <w:jc w:val="right"/>
            </w:pPr>
            <w:r>
              <w:t>($1,000)</w:t>
            </w:r>
          </w:p>
        </w:tc>
      </w:tr>
      <w:tr w:rsidR="00895953" w:rsidRPr="000540E1" w14:paraId="7DBAF84A" w14:textId="77777777" w:rsidTr="00D02AE8">
        <w:trPr>
          <w:cantSplit/>
        </w:trPr>
        <w:tc>
          <w:tcPr>
            <w:tcW w:w="0" w:type="auto"/>
            <w:tcBorders>
              <w:bottom w:val="nil"/>
            </w:tcBorders>
          </w:tcPr>
          <w:p w14:paraId="23D28A6D" w14:textId="77777777" w:rsidR="00736932" w:rsidRDefault="00736932" w:rsidP="00D02AE8">
            <w:pPr>
              <w:pStyle w:val="tbltext"/>
              <w:spacing w:before="100" w:line="230" w:lineRule="atLeast"/>
            </w:pPr>
            <w:r>
              <w:t>VS4</w:t>
            </w:r>
          </w:p>
        </w:tc>
        <w:tc>
          <w:tcPr>
            <w:tcW w:w="591" w:type="pct"/>
            <w:tcBorders>
              <w:bottom w:val="nil"/>
              <w:right w:val="single" w:sz="4" w:space="0" w:color="999999"/>
            </w:tcBorders>
          </w:tcPr>
          <w:p w14:paraId="0A96623C" w14:textId="72A1BF48" w:rsidR="00736932" w:rsidRDefault="00736932" w:rsidP="00D02AE8">
            <w:pPr>
              <w:pStyle w:val="tbltext"/>
              <w:spacing w:before="100" w:line="230" w:lineRule="atLeast"/>
              <w:jc w:val="right"/>
            </w:pPr>
            <w:r>
              <w:t>$46,000</w:t>
            </w:r>
          </w:p>
        </w:tc>
        <w:tc>
          <w:tcPr>
            <w:tcW w:w="591" w:type="pct"/>
            <w:tcBorders>
              <w:bottom w:val="nil"/>
              <w:right w:val="single" w:sz="4" w:space="0" w:color="999999"/>
            </w:tcBorders>
          </w:tcPr>
          <w:p w14:paraId="45F05EA7" w14:textId="4DC27415" w:rsidR="00736932" w:rsidRDefault="00736932" w:rsidP="00D02AE8">
            <w:pPr>
              <w:pStyle w:val="tbltext"/>
              <w:spacing w:before="100" w:line="230" w:lineRule="atLeast"/>
              <w:jc w:val="right"/>
            </w:pPr>
            <w:r>
              <w:t>$14,000</w:t>
            </w:r>
          </w:p>
        </w:tc>
        <w:tc>
          <w:tcPr>
            <w:tcW w:w="592" w:type="pct"/>
            <w:tcBorders>
              <w:bottom w:val="nil"/>
              <w:right w:val="single" w:sz="4" w:space="0" w:color="999999"/>
            </w:tcBorders>
          </w:tcPr>
          <w:p w14:paraId="22A11790" w14:textId="4A474CF5" w:rsidR="00736932" w:rsidRDefault="00736932" w:rsidP="00D02AE8">
            <w:pPr>
              <w:pStyle w:val="tbltext"/>
              <w:spacing w:before="100" w:line="230" w:lineRule="atLeast"/>
              <w:jc w:val="right"/>
            </w:pPr>
            <w:r>
              <w:t>$14,000</w:t>
            </w:r>
          </w:p>
        </w:tc>
        <w:tc>
          <w:tcPr>
            <w:tcW w:w="591" w:type="pct"/>
            <w:tcBorders>
              <w:bottom w:val="nil"/>
              <w:right w:val="single" w:sz="4" w:space="0" w:color="999999"/>
            </w:tcBorders>
          </w:tcPr>
          <w:p w14:paraId="63597E64" w14:textId="2F6DE985" w:rsidR="00736932" w:rsidRDefault="00736932" w:rsidP="00D02AE8">
            <w:pPr>
              <w:pStyle w:val="tbltext"/>
              <w:spacing w:before="100" w:line="230" w:lineRule="atLeast"/>
              <w:jc w:val="right"/>
            </w:pPr>
            <w:r>
              <w:t>$23,000</w:t>
            </w:r>
          </w:p>
        </w:tc>
        <w:tc>
          <w:tcPr>
            <w:tcW w:w="591" w:type="pct"/>
            <w:tcBorders>
              <w:left w:val="single" w:sz="4" w:space="0" w:color="999999"/>
              <w:bottom w:val="nil"/>
            </w:tcBorders>
          </w:tcPr>
          <w:p w14:paraId="1B0931FF" w14:textId="48EDBC31" w:rsidR="00736932" w:rsidRDefault="00736932" w:rsidP="00D02AE8">
            <w:pPr>
              <w:pStyle w:val="tbltext"/>
              <w:spacing w:before="100" w:line="230" w:lineRule="atLeast"/>
              <w:jc w:val="right"/>
            </w:pPr>
            <w:r>
              <w:t>$96,000</w:t>
            </w:r>
          </w:p>
        </w:tc>
        <w:tc>
          <w:tcPr>
            <w:tcW w:w="591" w:type="pct"/>
            <w:tcBorders>
              <w:bottom w:val="nil"/>
            </w:tcBorders>
          </w:tcPr>
          <w:p w14:paraId="7B676E56" w14:textId="5934610E" w:rsidR="00736932" w:rsidRDefault="00736932" w:rsidP="00D02AE8">
            <w:pPr>
              <w:pStyle w:val="tbltext"/>
              <w:spacing w:before="100" w:line="230" w:lineRule="atLeast"/>
              <w:jc w:val="right"/>
            </w:pPr>
            <w:r>
              <w:t>$0</w:t>
            </w:r>
          </w:p>
        </w:tc>
        <w:tc>
          <w:tcPr>
            <w:tcW w:w="591" w:type="pct"/>
            <w:tcBorders>
              <w:bottom w:val="nil"/>
            </w:tcBorders>
          </w:tcPr>
          <w:p w14:paraId="1714A44A" w14:textId="761350C6" w:rsidR="00736932" w:rsidRDefault="00736932" w:rsidP="00D02AE8">
            <w:pPr>
              <w:pStyle w:val="tbltext"/>
              <w:spacing w:before="100" w:line="230" w:lineRule="atLeast"/>
              <w:jc w:val="right"/>
            </w:pPr>
            <w:r>
              <w:t>($0)</w:t>
            </w:r>
          </w:p>
        </w:tc>
        <w:tc>
          <w:tcPr>
            <w:tcW w:w="587" w:type="pct"/>
            <w:tcBorders>
              <w:bottom w:val="nil"/>
              <w:right w:val="single" w:sz="4" w:space="0" w:color="999999"/>
            </w:tcBorders>
          </w:tcPr>
          <w:p w14:paraId="4ACFC041" w14:textId="4322549B" w:rsidR="00736932" w:rsidRDefault="00736932" w:rsidP="00D02AE8">
            <w:pPr>
              <w:pStyle w:val="tbltext"/>
              <w:spacing w:before="100" w:line="230" w:lineRule="atLeast"/>
              <w:jc w:val="right"/>
            </w:pPr>
            <w:r>
              <w:t>($0)</w:t>
            </w:r>
          </w:p>
        </w:tc>
      </w:tr>
      <w:tr w:rsidR="00895953" w:rsidRPr="000540E1" w14:paraId="0AEB4B26" w14:textId="77777777" w:rsidTr="00D02AE8">
        <w:trPr>
          <w:cantSplit/>
        </w:trPr>
        <w:tc>
          <w:tcPr>
            <w:tcW w:w="0" w:type="auto"/>
          </w:tcPr>
          <w:p w14:paraId="4FC30232" w14:textId="77777777" w:rsidR="00736932" w:rsidRDefault="00736932" w:rsidP="00D02AE8">
            <w:pPr>
              <w:pStyle w:val="tbltext"/>
              <w:spacing w:before="100" w:line="230" w:lineRule="atLeast"/>
            </w:pPr>
            <w:r>
              <w:t>VS5</w:t>
            </w:r>
          </w:p>
        </w:tc>
        <w:tc>
          <w:tcPr>
            <w:tcW w:w="591" w:type="pct"/>
            <w:tcBorders>
              <w:right w:val="single" w:sz="4" w:space="0" w:color="999999"/>
            </w:tcBorders>
          </w:tcPr>
          <w:p w14:paraId="39C26CF2" w14:textId="42343141" w:rsidR="00736932" w:rsidRDefault="00736932" w:rsidP="00D02AE8">
            <w:pPr>
              <w:pStyle w:val="tbltext"/>
              <w:spacing w:before="100" w:line="230" w:lineRule="atLeast"/>
              <w:jc w:val="right"/>
            </w:pPr>
            <w:r>
              <w:t>$46,000</w:t>
            </w:r>
          </w:p>
        </w:tc>
        <w:tc>
          <w:tcPr>
            <w:tcW w:w="591" w:type="pct"/>
            <w:tcBorders>
              <w:right w:val="single" w:sz="4" w:space="0" w:color="999999"/>
            </w:tcBorders>
          </w:tcPr>
          <w:p w14:paraId="5FC1783F" w14:textId="37EC2232" w:rsidR="00736932" w:rsidRDefault="00736932" w:rsidP="00D02AE8">
            <w:pPr>
              <w:pStyle w:val="tbltext"/>
              <w:spacing w:before="100" w:line="230" w:lineRule="atLeast"/>
              <w:jc w:val="right"/>
            </w:pPr>
            <w:r>
              <w:t>$3,000</w:t>
            </w:r>
          </w:p>
        </w:tc>
        <w:tc>
          <w:tcPr>
            <w:tcW w:w="592" w:type="pct"/>
            <w:tcBorders>
              <w:right w:val="single" w:sz="4" w:space="0" w:color="999999"/>
            </w:tcBorders>
          </w:tcPr>
          <w:p w14:paraId="4392C0E7" w14:textId="2C603BC1" w:rsidR="00736932" w:rsidRDefault="00736932" w:rsidP="00D02AE8">
            <w:pPr>
              <w:pStyle w:val="tbltext"/>
              <w:spacing w:before="100" w:line="230" w:lineRule="atLeast"/>
              <w:jc w:val="right"/>
            </w:pPr>
            <w:r>
              <w:t>$3,000</w:t>
            </w:r>
          </w:p>
        </w:tc>
        <w:tc>
          <w:tcPr>
            <w:tcW w:w="591" w:type="pct"/>
            <w:tcBorders>
              <w:right w:val="single" w:sz="4" w:space="0" w:color="999999"/>
            </w:tcBorders>
          </w:tcPr>
          <w:p w14:paraId="5B433545" w14:textId="26A45C4C" w:rsidR="00736932" w:rsidRDefault="00736932" w:rsidP="00D02AE8">
            <w:pPr>
              <w:pStyle w:val="tbltext"/>
              <w:spacing w:before="100" w:line="230" w:lineRule="atLeast"/>
              <w:jc w:val="right"/>
            </w:pPr>
            <w:r>
              <w:t>$23,000</w:t>
            </w:r>
          </w:p>
        </w:tc>
        <w:tc>
          <w:tcPr>
            <w:tcW w:w="591" w:type="pct"/>
            <w:tcBorders>
              <w:left w:val="single" w:sz="4" w:space="0" w:color="999999"/>
            </w:tcBorders>
          </w:tcPr>
          <w:p w14:paraId="55A87F46" w14:textId="4EACEE6A" w:rsidR="00736932" w:rsidRDefault="00736932" w:rsidP="00D02AE8">
            <w:pPr>
              <w:pStyle w:val="tbltext"/>
              <w:spacing w:before="100" w:line="230" w:lineRule="atLeast"/>
              <w:jc w:val="right"/>
            </w:pPr>
            <w:r>
              <w:t>$75,000</w:t>
            </w:r>
          </w:p>
        </w:tc>
        <w:tc>
          <w:tcPr>
            <w:tcW w:w="591" w:type="pct"/>
          </w:tcPr>
          <w:p w14:paraId="4C674A94" w14:textId="497C42BB" w:rsidR="00736932" w:rsidRDefault="00736932" w:rsidP="00D02AE8">
            <w:pPr>
              <w:pStyle w:val="tbltext"/>
              <w:spacing w:before="100" w:line="230" w:lineRule="atLeast"/>
              <w:jc w:val="right"/>
            </w:pPr>
            <w:r>
              <w:t>$0</w:t>
            </w:r>
          </w:p>
        </w:tc>
        <w:tc>
          <w:tcPr>
            <w:tcW w:w="591" w:type="pct"/>
          </w:tcPr>
          <w:p w14:paraId="1AE41980" w14:textId="5E0EBD1B" w:rsidR="00736932" w:rsidRDefault="00736932" w:rsidP="00D02AE8">
            <w:pPr>
              <w:pStyle w:val="tbltext"/>
              <w:spacing w:before="100" w:line="230" w:lineRule="atLeast"/>
              <w:jc w:val="right"/>
            </w:pPr>
            <w:r>
              <w:t>($0)</w:t>
            </w:r>
          </w:p>
        </w:tc>
        <w:tc>
          <w:tcPr>
            <w:tcW w:w="587" w:type="pct"/>
            <w:tcBorders>
              <w:right w:val="single" w:sz="4" w:space="0" w:color="999999"/>
            </w:tcBorders>
          </w:tcPr>
          <w:p w14:paraId="3C278103" w14:textId="260EA531" w:rsidR="00736932" w:rsidRDefault="00736932" w:rsidP="00D02AE8">
            <w:pPr>
              <w:pStyle w:val="tbltext"/>
              <w:spacing w:before="100" w:line="230" w:lineRule="atLeast"/>
              <w:jc w:val="right"/>
            </w:pPr>
            <w:r>
              <w:t>($0)</w:t>
            </w:r>
          </w:p>
        </w:tc>
      </w:tr>
      <w:tr w:rsidR="00895953" w:rsidRPr="000540E1" w14:paraId="51A6D6B7" w14:textId="77777777" w:rsidTr="00D02AE8">
        <w:trPr>
          <w:cantSplit/>
        </w:trPr>
        <w:tc>
          <w:tcPr>
            <w:tcW w:w="0" w:type="auto"/>
          </w:tcPr>
          <w:p w14:paraId="7FAEAB9F" w14:textId="77777777" w:rsidR="00736932" w:rsidRDefault="00736932" w:rsidP="00D02AE8">
            <w:pPr>
              <w:pStyle w:val="tbltext"/>
              <w:spacing w:before="100" w:line="230" w:lineRule="atLeast"/>
            </w:pPr>
            <w:r>
              <w:t>VS6</w:t>
            </w:r>
          </w:p>
        </w:tc>
        <w:tc>
          <w:tcPr>
            <w:tcW w:w="591" w:type="pct"/>
            <w:tcBorders>
              <w:right w:val="single" w:sz="4" w:space="0" w:color="999999"/>
            </w:tcBorders>
          </w:tcPr>
          <w:p w14:paraId="1EE7A36A" w14:textId="67526D71" w:rsidR="00736932" w:rsidRDefault="00736932" w:rsidP="00D02AE8">
            <w:pPr>
              <w:pStyle w:val="tbltext"/>
              <w:spacing w:before="100" w:line="230" w:lineRule="atLeast"/>
              <w:jc w:val="right"/>
            </w:pPr>
            <w:r>
              <w:t>$23,000</w:t>
            </w:r>
          </w:p>
        </w:tc>
        <w:tc>
          <w:tcPr>
            <w:tcW w:w="591" w:type="pct"/>
            <w:tcBorders>
              <w:right w:val="single" w:sz="4" w:space="0" w:color="999999"/>
            </w:tcBorders>
          </w:tcPr>
          <w:p w14:paraId="6AF844AE" w14:textId="78E8A676" w:rsidR="00736932" w:rsidRDefault="00736932" w:rsidP="00D02AE8">
            <w:pPr>
              <w:pStyle w:val="tbltext"/>
              <w:spacing w:before="100" w:line="230" w:lineRule="atLeast"/>
              <w:jc w:val="right"/>
            </w:pPr>
            <w:r>
              <w:t>$14,000</w:t>
            </w:r>
          </w:p>
        </w:tc>
        <w:tc>
          <w:tcPr>
            <w:tcW w:w="592" w:type="pct"/>
            <w:tcBorders>
              <w:right w:val="single" w:sz="4" w:space="0" w:color="999999"/>
            </w:tcBorders>
          </w:tcPr>
          <w:p w14:paraId="245925DB" w14:textId="02E13269" w:rsidR="00736932" w:rsidRDefault="00736932" w:rsidP="00D02AE8">
            <w:pPr>
              <w:pStyle w:val="tbltext"/>
              <w:spacing w:before="100" w:line="230" w:lineRule="atLeast"/>
              <w:jc w:val="right"/>
            </w:pPr>
            <w:r>
              <w:t>$14,000</w:t>
            </w:r>
          </w:p>
        </w:tc>
        <w:tc>
          <w:tcPr>
            <w:tcW w:w="591" w:type="pct"/>
            <w:tcBorders>
              <w:right w:val="single" w:sz="4" w:space="0" w:color="999999"/>
            </w:tcBorders>
          </w:tcPr>
          <w:p w14:paraId="7D9307BF" w14:textId="0A75A64E" w:rsidR="00736932" w:rsidRDefault="00736932" w:rsidP="00D02AE8">
            <w:pPr>
              <w:pStyle w:val="tbltext"/>
              <w:spacing w:before="100" w:line="230" w:lineRule="atLeast"/>
              <w:jc w:val="right"/>
            </w:pPr>
            <w:r>
              <w:t>$11,000</w:t>
            </w:r>
          </w:p>
        </w:tc>
        <w:tc>
          <w:tcPr>
            <w:tcW w:w="591" w:type="pct"/>
            <w:tcBorders>
              <w:left w:val="single" w:sz="4" w:space="0" w:color="999999"/>
            </w:tcBorders>
          </w:tcPr>
          <w:p w14:paraId="6401729D" w14:textId="49CDF73F" w:rsidR="00736932" w:rsidRDefault="00736932" w:rsidP="00D02AE8">
            <w:pPr>
              <w:pStyle w:val="tbltext"/>
              <w:spacing w:before="100" w:line="230" w:lineRule="atLeast"/>
              <w:jc w:val="right"/>
            </w:pPr>
            <w:r>
              <w:t>$62,000</w:t>
            </w:r>
          </w:p>
        </w:tc>
        <w:tc>
          <w:tcPr>
            <w:tcW w:w="591" w:type="pct"/>
          </w:tcPr>
          <w:p w14:paraId="7F6D7BF5" w14:textId="3F18E84F" w:rsidR="00736932" w:rsidRDefault="00736932" w:rsidP="00D02AE8">
            <w:pPr>
              <w:pStyle w:val="tbltext"/>
              <w:spacing w:before="100" w:line="230" w:lineRule="atLeast"/>
              <w:jc w:val="right"/>
            </w:pPr>
            <w:r>
              <w:t>$0</w:t>
            </w:r>
          </w:p>
        </w:tc>
        <w:tc>
          <w:tcPr>
            <w:tcW w:w="591" w:type="pct"/>
          </w:tcPr>
          <w:p w14:paraId="3C5DEF92" w14:textId="76799457" w:rsidR="00736932" w:rsidRDefault="00736932" w:rsidP="00D02AE8">
            <w:pPr>
              <w:pStyle w:val="tbltext"/>
              <w:spacing w:before="100" w:line="230" w:lineRule="atLeast"/>
              <w:jc w:val="right"/>
            </w:pPr>
            <w:r>
              <w:t>($2,300)</w:t>
            </w:r>
          </w:p>
        </w:tc>
        <w:tc>
          <w:tcPr>
            <w:tcW w:w="587" w:type="pct"/>
            <w:tcBorders>
              <w:right w:val="single" w:sz="4" w:space="0" w:color="999999"/>
            </w:tcBorders>
          </w:tcPr>
          <w:p w14:paraId="2696E926" w14:textId="427FD011" w:rsidR="00736932" w:rsidRDefault="00736932" w:rsidP="00D02AE8">
            <w:pPr>
              <w:pStyle w:val="tbltext"/>
              <w:spacing w:before="100" w:line="230" w:lineRule="atLeast"/>
              <w:jc w:val="right"/>
            </w:pPr>
            <w:r>
              <w:t>($2,300)</w:t>
            </w:r>
          </w:p>
        </w:tc>
      </w:tr>
      <w:tr w:rsidR="00895953" w:rsidRPr="000540E1" w14:paraId="322EEC28" w14:textId="77777777" w:rsidTr="00D02AE8">
        <w:trPr>
          <w:cantSplit/>
        </w:trPr>
        <w:tc>
          <w:tcPr>
            <w:tcW w:w="0" w:type="auto"/>
          </w:tcPr>
          <w:p w14:paraId="088801A0" w14:textId="77777777" w:rsidR="00736932" w:rsidRDefault="00736932" w:rsidP="00D02AE8">
            <w:pPr>
              <w:pStyle w:val="tbltext"/>
              <w:spacing w:before="100" w:line="230" w:lineRule="atLeast"/>
            </w:pPr>
            <w:r>
              <w:t>VS7</w:t>
            </w:r>
          </w:p>
        </w:tc>
        <w:tc>
          <w:tcPr>
            <w:tcW w:w="591" w:type="pct"/>
            <w:tcBorders>
              <w:right w:val="single" w:sz="4" w:space="0" w:color="999999"/>
            </w:tcBorders>
          </w:tcPr>
          <w:p w14:paraId="635D4B86" w14:textId="603D784B" w:rsidR="00736932" w:rsidRDefault="00736932" w:rsidP="00D02AE8">
            <w:pPr>
              <w:pStyle w:val="tbltext"/>
              <w:spacing w:before="100" w:line="230" w:lineRule="atLeast"/>
              <w:jc w:val="right"/>
            </w:pPr>
            <w:r>
              <w:t>$41,000</w:t>
            </w:r>
          </w:p>
        </w:tc>
        <w:tc>
          <w:tcPr>
            <w:tcW w:w="591" w:type="pct"/>
            <w:tcBorders>
              <w:right w:val="single" w:sz="4" w:space="0" w:color="999999"/>
            </w:tcBorders>
          </w:tcPr>
          <w:p w14:paraId="61EAA4C3" w14:textId="1046F5F4" w:rsidR="00736932" w:rsidRDefault="00736932" w:rsidP="00D02AE8">
            <w:pPr>
              <w:pStyle w:val="tbltext"/>
              <w:spacing w:before="100" w:line="230" w:lineRule="atLeast"/>
              <w:jc w:val="right"/>
            </w:pPr>
            <w:r>
              <w:t>$3,000</w:t>
            </w:r>
          </w:p>
        </w:tc>
        <w:tc>
          <w:tcPr>
            <w:tcW w:w="592" w:type="pct"/>
            <w:tcBorders>
              <w:right w:val="single" w:sz="4" w:space="0" w:color="999999"/>
            </w:tcBorders>
          </w:tcPr>
          <w:p w14:paraId="5111F311" w14:textId="14578AB6" w:rsidR="00736932" w:rsidRDefault="00736932" w:rsidP="00D02AE8">
            <w:pPr>
              <w:pStyle w:val="tbltext"/>
              <w:spacing w:before="100" w:line="230" w:lineRule="atLeast"/>
              <w:jc w:val="right"/>
            </w:pPr>
            <w:r>
              <w:t>$3,000</w:t>
            </w:r>
          </w:p>
        </w:tc>
        <w:tc>
          <w:tcPr>
            <w:tcW w:w="591" w:type="pct"/>
            <w:tcBorders>
              <w:right w:val="single" w:sz="4" w:space="0" w:color="999999"/>
            </w:tcBorders>
          </w:tcPr>
          <w:p w14:paraId="7226F267" w14:textId="5E79B7E1" w:rsidR="00736932" w:rsidRDefault="00736932" w:rsidP="00D02AE8">
            <w:pPr>
              <w:pStyle w:val="tbltext"/>
              <w:spacing w:before="100" w:line="230" w:lineRule="atLeast"/>
              <w:jc w:val="right"/>
            </w:pPr>
            <w:r>
              <w:t>$11,000</w:t>
            </w:r>
          </w:p>
        </w:tc>
        <w:tc>
          <w:tcPr>
            <w:tcW w:w="591" w:type="pct"/>
            <w:tcBorders>
              <w:left w:val="single" w:sz="4" w:space="0" w:color="999999"/>
            </w:tcBorders>
          </w:tcPr>
          <w:p w14:paraId="4C4D0EB1" w14:textId="6FE2FD93" w:rsidR="00736932" w:rsidRDefault="00736932" w:rsidP="00D02AE8">
            <w:pPr>
              <w:pStyle w:val="tbltext"/>
              <w:spacing w:before="100" w:line="230" w:lineRule="atLeast"/>
              <w:jc w:val="right"/>
            </w:pPr>
            <w:r>
              <w:t>$41,000</w:t>
            </w:r>
          </w:p>
        </w:tc>
        <w:tc>
          <w:tcPr>
            <w:tcW w:w="591" w:type="pct"/>
          </w:tcPr>
          <w:p w14:paraId="0EADA4CA" w14:textId="3994F983" w:rsidR="00736932" w:rsidRDefault="00736932" w:rsidP="00D02AE8">
            <w:pPr>
              <w:pStyle w:val="tbltext"/>
              <w:spacing w:before="100" w:line="230" w:lineRule="atLeast"/>
              <w:jc w:val="right"/>
            </w:pPr>
            <w:r>
              <w:t>$0</w:t>
            </w:r>
          </w:p>
        </w:tc>
        <w:tc>
          <w:tcPr>
            <w:tcW w:w="591" w:type="pct"/>
          </w:tcPr>
          <w:p w14:paraId="1F804A1A" w14:textId="313CBE26" w:rsidR="00736932" w:rsidRDefault="00736932" w:rsidP="00D02AE8">
            <w:pPr>
              <w:pStyle w:val="tbltext"/>
              <w:spacing w:before="100" w:line="230" w:lineRule="atLeast"/>
              <w:jc w:val="right"/>
            </w:pPr>
            <w:r>
              <w:t>($2,300)</w:t>
            </w:r>
          </w:p>
        </w:tc>
        <w:tc>
          <w:tcPr>
            <w:tcW w:w="587" w:type="pct"/>
            <w:tcBorders>
              <w:right w:val="single" w:sz="4" w:space="0" w:color="999999"/>
            </w:tcBorders>
          </w:tcPr>
          <w:p w14:paraId="433984E7" w14:textId="45DF3851" w:rsidR="00736932" w:rsidRDefault="00736932" w:rsidP="00D02AE8">
            <w:pPr>
              <w:pStyle w:val="tbltext"/>
              <w:spacing w:before="100" w:line="230" w:lineRule="atLeast"/>
              <w:jc w:val="right"/>
            </w:pPr>
            <w:r>
              <w:t>($2,300)</w:t>
            </w:r>
          </w:p>
        </w:tc>
      </w:tr>
      <w:tr w:rsidR="00895953" w:rsidRPr="000540E1" w14:paraId="67FDF28F" w14:textId="77777777" w:rsidTr="00D02AE8">
        <w:trPr>
          <w:cantSplit/>
        </w:trPr>
        <w:tc>
          <w:tcPr>
            <w:tcW w:w="0" w:type="auto"/>
          </w:tcPr>
          <w:p w14:paraId="4D2690FF" w14:textId="77777777" w:rsidR="00736932" w:rsidRDefault="00736932" w:rsidP="00D02AE8">
            <w:pPr>
              <w:pStyle w:val="tbltext"/>
              <w:spacing w:before="100" w:line="230" w:lineRule="atLeast"/>
            </w:pPr>
            <w:r>
              <w:t>VS8</w:t>
            </w:r>
          </w:p>
        </w:tc>
        <w:tc>
          <w:tcPr>
            <w:tcW w:w="591" w:type="pct"/>
            <w:tcBorders>
              <w:right w:val="single" w:sz="4" w:space="0" w:color="999999"/>
            </w:tcBorders>
          </w:tcPr>
          <w:p w14:paraId="7E4EBE62" w14:textId="313CB2D5" w:rsidR="00736932" w:rsidRDefault="00736932" w:rsidP="00D02AE8">
            <w:pPr>
              <w:pStyle w:val="tbltext"/>
              <w:spacing w:before="100" w:line="230" w:lineRule="atLeast"/>
              <w:jc w:val="right"/>
            </w:pPr>
            <w:r>
              <w:t>$11,000</w:t>
            </w:r>
          </w:p>
        </w:tc>
        <w:tc>
          <w:tcPr>
            <w:tcW w:w="591" w:type="pct"/>
            <w:tcBorders>
              <w:right w:val="single" w:sz="4" w:space="0" w:color="999999"/>
            </w:tcBorders>
          </w:tcPr>
          <w:p w14:paraId="70BE5FA1" w14:textId="0D565980" w:rsidR="00736932" w:rsidRDefault="00736932" w:rsidP="00D02AE8">
            <w:pPr>
              <w:pStyle w:val="tbltext"/>
              <w:spacing w:before="100" w:line="230" w:lineRule="atLeast"/>
              <w:jc w:val="right"/>
            </w:pPr>
            <w:r>
              <w:t>$14,000</w:t>
            </w:r>
          </w:p>
        </w:tc>
        <w:tc>
          <w:tcPr>
            <w:tcW w:w="592" w:type="pct"/>
            <w:tcBorders>
              <w:right w:val="single" w:sz="4" w:space="0" w:color="999999"/>
            </w:tcBorders>
          </w:tcPr>
          <w:p w14:paraId="7039A475" w14:textId="7D71342B" w:rsidR="00736932" w:rsidRDefault="00736932" w:rsidP="00D02AE8">
            <w:pPr>
              <w:pStyle w:val="tbltext"/>
              <w:spacing w:before="100" w:line="230" w:lineRule="atLeast"/>
              <w:jc w:val="right"/>
            </w:pPr>
            <w:r>
              <w:t>$14,000</w:t>
            </w:r>
          </w:p>
        </w:tc>
        <w:tc>
          <w:tcPr>
            <w:tcW w:w="591" w:type="pct"/>
            <w:tcBorders>
              <w:right w:val="single" w:sz="4" w:space="0" w:color="999999"/>
            </w:tcBorders>
          </w:tcPr>
          <w:p w14:paraId="67ABE33C" w14:textId="7E901FC1" w:rsidR="00736932" w:rsidRDefault="00736932" w:rsidP="00D02AE8">
            <w:pPr>
              <w:pStyle w:val="tbltext"/>
              <w:spacing w:before="100" w:line="230" w:lineRule="atLeast"/>
              <w:jc w:val="right"/>
            </w:pPr>
            <w:r>
              <w:t>$0</w:t>
            </w:r>
          </w:p>
        </w:tc>
        <w:tc>
          <w:tcPr>
            <w:tcW w:w="591" w:type="pct"/>
            <w:tcBorders>
              <w:left w:val="single" w:sz="4" w:space="0" w:color="999999"/>
            </w:tcBorders>
          </w:tcPr>
          <w:p w14:paraId="33D9EE93" w14:textId="1E4567CD" w:rsidR="00736932" w:rsidRDefault="00736932" w:rsidP="00D02AE8">
            <w:pPr>
              <w:pStyle w:val="tbltext"/>
              <w:spacing w:before="100" w:line="230" w:lineRule="atLeast"/>
              <w:jc w:val="right"/>
            </w:pPr>
            <w:r>
              <w:t>$39,000</w:t>
            </w:r>
          </w:p>
        </w:tc>
        <w:tc>
          <w:tcPr>
            <w:tcW w:w="591" w:type="pct"/>
          </w:tcPr>
          <w:p w14:paraId="0807CD0B" w14:textId="2334F620" w:rsidR="00736932" w:rsidRDefault="00736932" w:rsidP="00D02AE8">
            <w:pPr>
              <w:pStyle w:val="tbltext"/>
              <w:spacing w:before="100" w:line="230" w:lineRule="atLeast"/>
              <w:jc w:val="right"/>
            </w:pPr>
            <w:r>
              <w:t>$0</w:t>
            </w:r>
          </w:p>
        </w:tc>
        <w:tc>
          <w:tcPr>
            <w:tcW w:w="591" w:type="pct"/>
          </w:tcPr>
          <w:p w14:paraId="494AED3C" w14:textId="02578B0E" w:rsidR="00736932" w:rsidRDefault="00736932" w:rsidP="00D02AE8">
            <w:pPr>
              <w:pStyle w:val="tbltext"/>
              <w:spacing w:before="100" w:line="230" w:lineRule="atLeast"/>
              <w:jc w:val="right"/>
            </w:pPr>
            <w:r>
              <w:t>($1,000)</w:t>
            </w:r>
          </w:p>
        </w:tc>
        <w:tc>
          <w:tcPr>
            <w:tcW w:w="587" w:type="pct"/>
            <w:tcBorders>
              <w:right w:val="single" w:sz="4" w:space="0" w:color="999999"/>
            </w:tcBorders>
          </w:tcPr>
          <w:p w14:paraId="4AA244A9" w14:textId="41ED57B7" w:rsidR="00736932" w:rsidRDefault="00736932" w:rsidP="00D02AE8">
            <w:pPr>
              <w:pStyle w:val="tbltext"/>
              <w:spacing w:before="100" w:line="230" w:lineRule="atLeast"/>
              <w:jc w:val="right"/>
            </w:pPr>
            <w:r>
              <w:t>($1,000)</w:t>
            </w:r>
          </w:p>
        </w:tc>
      </w:tr>
      <w:tr w:rsidR="00895953" w:rsidRPr="000540E1" w14:paraId="10AA8027" w14:textId="77777777" w:rsidTr="00D02AE8">
        <w:trPr>
          <w:cantSplit/>
        </w:trPr>
        <w:tc>
          <w:tcPr>
            <w:tcW w:w="0" w:type="auto"/>
          </w:tcPr>
          <w:p w14:paraId="144F548F" w14:textId="77777777" w:rsidR="00736932" w:rsidRDefault="00736932" w:rsidP="00D02AE8">
            <w:pPr>
              <w:pStyle w:val="tbltext"/>
              <w:spacing w:before="100" w:line="230" w:lineRule="atLeast"/>
            </w:pPr>
            <w:r>
              <w:t>VS9</w:t>
            </w:r>
          </w:p>
        </w:tc>
        <w:tc>
          <w:tcPr>
            <w:tcW w:w="591" w:type="pct"/>
            <w:tcBorders>
              <w:right w:val="single" w:sz="4" w:space="0" w:color="999999"/>
            </w:tcBorders>
          </w:tcPr>
          <w:p w14:paraId="174DD325" w14:textId="00A56A34" w:rsidR="00736932" w:rsidRDefault="00736932" w:rsidP="00D02AE8">
            <w:pPr>
              <w:pStyle w:val="tbltext"/>
              <w:spacing w:before="100" w:line="230" w:lineRule="atLeast"/>
              <w:jc w:val="right"/>
            </w:pPr>
            <w:r>
              <w:t>$11,000</w:t>
            </w:r>
          </w:p>
        </w:tc>
        <w:tc>
          <w:tcPr>
            <w:tcW w:w="591" w:type="pct"/>
            <w:tcBorders>
              <w:right w:val="single" w:sz="4" w:space="0" w:color="999999"/>
            </w:tcBorders>
          </w:tcPr>
          <w:p w14:paraId="17183052" w14:textId="44B43E65" w:rsidR="00736932" w:rsidRDefault="00736932" w:rsidP="00D02AE8">
            <w:pPr>
              <w:pStyle w:val="tbltext"/>
              <w:spacing w:before="100" w:line="230" w:lineRule="atLeast"/>
              <w:jc w:val="right"/>
            </w:pPr>
            <w:r>
              <w:t>$3,000</w:t>
            </w:r>
          </w:p>
        </w:tc>
        <w:tc>
          <w:tcPr>
            <w:tcW w:w="592" w:type="pct"/>
            <w:tcBorders>
              <w:right w:val="single" w:sz="4" w:space="0" w:color="999999"/>
            </w:tcBorders>
          </w:tcPr>
          <w:p w14:paraId="1C84D0D6" w14:textId="7AEB5479" w:rsidR="00736932" w:rsidRDefault="00736932" w:rsidP="00D02AE8">
            <w:pPr>
              <w:pStyle w:val="tbltext"/>
              <w:spacing w:before="100" w:line="230" w:lineRule="atLeast"/>
              <w:jc w:val="right"/>
            </w:pPr>
            <w:r>
              <w:t>$3,000</w:t>
            </w:r>
          </w:p>
        </w:tc>
        <w:tc>
          <w:tcPr>
            <w:tcW w:w="591" w:type="pct"/>
            <w:tcBorders>
              <w:right w:val="single" w:sz="4" w:space="0" w:color="999999"/>
            </w:tcBorders>
          </w:tcPr>
          <w:p w14:paraId="4604889A" w14:textId="7A1F3A54" w:rsidR="00736932" w:rsidRDefault="00736932" w:rsidP="00D02AE8">
            <w:pPr>
              <w:pStyle w:val="tbltext"/>
              <w:spacing w:before="100" w:line="230" w:lineRule="atLeast"/>
              <w:jc w:val="right"/>
            </w:pPr>
            <w:r>
              <w:t>$0</w:t>
            </w:r>
          </w:p>
        </w:tc>
        <w:tc>
          <w:tcPr>
            <w:tcW w:w="591" w:type="pct"/>
            <w:tcBorders>
              <w:left w:val="single" w:sz="4" w:space="0" w:color="999999"/>
            </w:tcBorders>
          </w:tcPr>
          <w:p w14:paraId="6B914CA3" w14:textId="47A2A79A" w:rsidR="00736932" w:rsidRDefault="00736932" w:rsidP="00D02AE8">
            <w:pPr>
              <w:pStyle w:val="tbltext"/>
              <w:spacing w:before="100" w:line="230" w:lineRule="atLeast"/>
              <w:jc w:val="right"/>
            </w:pPr>
            <w:r>
              <w:t>$17,000</w:t>
            </w:r>
          </w:p>
        </w:tc>
        <w:tc>
          <w:tcPr>
            <w:tcW w:w="591" w:type="pct"/>
          </w:tcPr>
          <w:p w14:paraId="547C9FFB" w14:textId="41D2F3CE" w:rsidR="00736932" w:rsidRDefault="00736932" w:rsidP="00D02AE8">
            <w:pPr>
              <w:pStyle w:val="tbltext"/>
              <w:spacing w:before="100" w:line="230" w:lineRule="atLeast"/>
              <w:jc w:val="right"/>
            </w:pPr>
            <w:r>
              <w:t>$0</w:t>
            </w:r>
          </w:p>
        </w:tc>
        <w:tc>
          <w:tcPr>
            <w:tcW w:w="591" w:type="pct"/>
          </w:tcPr>
          <w:p w14:paraId="38440450" w14:textId="737E43FE" w:rsidR="00736932" w:rsidRDefault="00736932" w:rsidP="00D02AE8">
            <w:pPr>
              <w:pStyle w:val="tbltext"/>
              <w:spacing w:before="100" w:line="230" w:lineRule="atLeast"/>
              <w:jc w:val="right"/>
            </w:pPr>
            <w:r>
              <w:t>($1,000)</w:t>
            </w:r>
          </w:p>
        </w:tc>
        <w:tc>
          <w:tcPr>
            <w:tcW w:w="587" w:type="pct"/>
            <w:tcBorders>
              <w:right w:val="single" w:sz="4" w:space="0" w:color="999999"/>
            </w:tcBorders>
          </w:tcPr>
          <w:p w14:paraId="4036054C" w14:textId="5FA78271" w:rsidR="00736932" w:rsidRDefault="00736932" w:rsidP="00D02AE8">
            <w:pPr>
              <w:pStyle w:val="tbltext"/>
              <w:spacing w:before="100" w:line="230" w:lineRule="atLeast"/>
              <w:jc w:val="right"/>
            </w:pPr>
            <w:r>
              <w:t>($1,000)</w:t>
            </w:r>
          </w:p>
        </w:tc>
      </w:tr>
    </w:tbl>
    <w:bookmarkEnd w:id="353"/>
    <w:p w14:paraId="66C70E51" w14:textId="0DC445C0" w:rsidR="00DF5C77" w:rsidRPr="005B1B5A" w:rsidRDefault="00BE05B0" w:rsidP="003321F7">
      <w:pPr>
        <w:pStyle w:val="sourcenotefullwidth"/>
      </w:pPr>
      <w:r>
        <w:t>*</w:t>
      </w:r>
      <w:r w:rsidR="00C443A0">
        <w:t xml:space="preserve"> </w:t>
      </w:r>
      <w:r>
        <w:t>I</w:t>
      </w:r>
      <w:r w:rsidR="00C443A0">
        <w:t>ncludes adjustment for the extent of UTI pairing within the group</w:t>
      </w:r>
      <w:r>
        <w:t>.</w:t>
      </w:r>
      <w:r w:rsidR="00DF5C77" w:rsidRPr="00DF5C77">
        <w:t xml:space="preserve"> </w:t>
      </w:r>
    </w:p>
    <w:p w14:paraId="7D7D229F" w14:textId="77777777" w:rsidR="00DF5C77" w:rsidRDefault="00DF5C77" w:rsidP="00DF5C77">
      <w:pPr>
        <w:pStyle w:val="Heading2"/>
        <w:rPr>
          <w:color w:val="FF0000"/>
        </w:rPr>
        <w:sectPr w:rsidR="00DF5C77" w:rsidSect="008D0C3F">
          <w:headerReference w:type="default" r:id="rId187"/>
          <w:footerReference w:type="default" r:id="rId188"/>
          <w:pgSz w:w="16838" w:h="11906" w:orient="landscape" w:code="9"/>
          <w:pgMar w:top="1418" w:right="1644" w:bottom="1418" w:left="1418" w:header="567" w:footer="567" w:gutter="0"/>
          <w:cols w:space="720"/>
          <w:docGrid w:linePitch="299"/>
        </w:sectPr>
      </w:pPr>
    </w:p>
    <w:p w14:paraId="7C2B7B9D" w14:textId="443326F3" w:rsidR="00CE0922" w:rsidRDefault="00E868C9" w:rsidP="00940A24">
      <w:pPr>
        <w:pStyle w:val="BodyText"/>
        <w:numPr>
          <w:ilvl w:val="0"/>
          <w:numId w:val="33"/>
        </w:numPr>
      </w:pPr>
      <w:r>
        <w:t>Only s</w:t>
      </w:r>
      <w:r w:rsidRPr="00E868C9">
        <w:t>ome reporting entities may need to engage with some of their counterparties to communicate LEI requirements and possibly assist in converting from AVOX ID use to LEI use</w:t>
      </w:r>
      <w:r>
        <w:t xml:space="preserve">. In our analysis, these relevant reporting entities are only in seven of the groups and are not always all of the entities in a group. </w:t>
      </w:r>
      <w:r w:rsidR="00E5779B">
        <w:t xml:space="preserve">Our estimates of the first year costs of </w:t>
      </w:r>
      <w:r w:rsidR="00E5779B" w:rsidRPr="00E868C9">
        <w:t>converting from AVOX ID use to LEI use</w:t>
      </w:r>
      <w:r w:rsidR="00E5779B">
        <w:t xml:space="preserve">, averaged across the relevant reporting entities in a group, is set out in </w:t>
      </w:r>
      <w:r w:rsidR="00E5779B">
        <w:fldChar w:fldCharType="begin" w:fldLock="1"/>
      </w:r>
      <w:r w:rsidR="00E5779B">
        <w:instrText xml:space="preserve"> REF _Ref102381147 \h </w:instrText>
      </w:r>
      <w:r w:rsidR="00E5779B">
        <w:fldChar w:fldCharType="separate"/>
      </w:r>
      <w:r w:rsidR="00853A2A">
        <w:t xml:space="preserve">Table </w:t>
      </w:r>
      <w:r w:rsidR="00853A2A">
        <w:rPr>
          <w:noProof/>
        </w:rPr>
        <w:t>49</w:t>
      </w:r>
      <w:r w:rsidR="00E5779B">
        <w:fldChar w:fldCharType="end"/>
      </w:r>
      <w:r w:rsidR="00E5779B">
        <w:t>.</w:t>
      </w:r>
    </w:p>
    <w:p w14:paraId="29E98BD2" w14:textId="6AEFEFB8" w:rsidR="00E5779B" w:rsidRDefault="00E5779B" w:rsidP="005265D7">
      <w:pPr>
        <w:pStyle w:val="tabletitleindented"/>
      </w:pPr>
      <w:bookmarkStart w:id="354" w:name="_Ref102381147"/>
      <w:r>
        <w:t xml:space="preserve">Table </w:t>
      </w:r>
      <w:fldSimple w:instr=" SEQ Table \* ARABIC ">
        <w:r w:rsidR="006679BA">
          <w:rPr>
            <w:noProof/>
          </w:rPr>
          <w:t>49</w:t>
        </w:r>
      </w:fldSimple>
      <w:bookmarkEnd w:id="354"/>
      <w:r>
        <w:t>:</w:t>
      </w:r>
      <w:r>
        <w:tab/>
        <w:t>Average AVOX ID to LEI costs per relevant reporting entity</w:t>
      </w:r>
    </w:p>
    <w:tbl>
      <w:tblPr>
        <w:tblW w:w="6803" w:type="dxa"/>
        <w:tblInd w:w="2268" w:type="dxa"/>
        <w:tblBorders>
          <w:top w:val="single" w:sz="4" w:space="0" w:color="999999"/>
          <w:bottom w:val="single" w:sz="4" w:space="0" w:color="999999"/>
          <w:insideH w:val="single" w:sz="4" w:space="0" w:color="999999"/>
        </w:tblBorders>
        <w:tblLayout w:type="fixed"/>
        <w:tblCellMar>
          <w:bottom w:w="113" w:type="dxa"/>
        </w:tblCellMar>
        <w:tblLook w:val="0620" w:firstRow="1" w:lastRow="0" w:firstColumn="0" w:lastColumn="0" w:noHBand="1" w:noVBand="1"/>
      </w:tblPr>
      <w:tblGrid>
        <w:gridCol w:w="3401"/>
        <w:gridCol w:w="3402"/>
      </w:tblGrid>
      <w:tr w:rsidR="00E5779B" w:rsidRPr="000540E1" w14:paraId="32482601" w14:textId="77777777" w:rsidTr="00903DB8">
        <w:trPr>
          <w:cantSplit/>
          <w:tblHeader/>
        </w:trPr>
        <w:tc>
          <w:tcPr>
            <w:tcW w:w="2500" w:type="pct"/>
            <w:shd w:val="clear" w:color="auto" w:fill="C2E3FA"/>
          </w:tcPr>
          <w:p w14:paraId="638E49E1" w14:textId="59707747" w:rsidR="00E5779B" w:rsidRPr="000540E1" w:rsidRDefault="00E5779B" w:rsidP="00EB77F0">
            <w:pPr>
              <w:pStyle w:val="tablehead"/>
            </w:pPr>
            <w:r>
              <w:t>Group</w:t>
            </w:r>
          </w:p>
        </w:tc>
        <w:tc>
          <w:tcPr>
            <w:tcW w:w="2500" w:type="pct"/>
            <w:shd w:val="clear" w:color="auto" w:fill="C2E3FA"/>
          </w:tcPr>
          <w:p w14:paraId="3C3AAE94" w14:textId="44CE0E9E" w:rsidR="00E5779B" w:rsidRPr="000540E1" w:rsidRDefault="00E5779B" w:rsidP="00EB77F0">
            <w:pPr>
              <w:pStyle w:val="tablehead"/>
            </w:pPr>
            <w:r>
              <w:t>AVOX ID to LEI costs</w:t>
            </w:r>
          </w:p>
        </w:tc>
      </w:tr>
      <w:tr w:rsidR="00E5779B" w:rsidRPr="000540E1" w14:paraId="73090F03" w14:textId="77777777" w:rsidTr="00903DB8">
        <w:trPr>
          <w:cantSplit/>
        </w:trPr>
        <w:tc>
          <w:tcPr>
            <w:tcW w:w="2500" w:type="pct"/>
          </w:tcPr>
          <w:p w14:paraId="56EC6346" w14:textId="121244FC" w:rsidR="00E5779B" w:rsidRPr="000540E1" w:rsidRDefault="00E5779B" w:rsidP="00EB77F0">
            <w:pPr>
              <w:pStyle w:val="tbltext"/>
            </w:pPr>
            <w:r>
              <w:t>L1</w:t>
            </w:r>
          </w:p>
        </w:tc>
        <w:tc>
          <w:tcPr>
            <w:tcW w:w="2500" w:type="pct"/>
          </w:tcPr>
          <w:p w14:paraId="14E6BDB9" w14:textId="4DCBC288" w:rsidR="00E5779B" w:rsidRPr="000540E1" w:rsidRDefault="00E5779B" w:rsidP="00EB77F0">
            <w:pPr>
              <w:pStyle w:val="tbltext"/>
            </w:pPr>
            <w:r>
              <w:t>$50,000</w:t>
            </w:r>
          </w:p>
        </w:tc>
      </w:tr>
      <w:tr w:rsidR="00E5779B" w:rsidRPr="000540E1" w14:paraId="1F0EF616" w14:textId="77777777" w:rsidTr="00903DB8">
        <w:trPr>
          <w:cantSplit/>
        </w:trPr>
        <w:tc>
          <w:tcPr>
            <w:tcW w:w="2500" w:type="pct"/>
          </w:tcPr>
          <w:p w14:paraId="7AF7CEA2" w14:textId="0B5B04EC" w:rsidR="00E5779B" w:rsidRPr="000540E1" w:rsidRDefault="00E5779B" w:rsidP="00EB77F0">
            <w:pPr>
              <w:pStyle w:val="tbltext"/>
            </w:pPr>
            <w:r>
              <w:t>L2</w:t>
            </w:r>
          </w:p>
        </w:tc>
        <w:tc>
          <w:tcPr>
            <w:tcW w:w="2500" w:type="pct"/>
          </w:tcPr>
          <w:p w14:paraId="3D91D7C2" w14:textId="65094A7D" w:rsidR="00E5779B" w:rsidRPr="000540E1" w:rsidRDefault="00E5779B" w:rsidP="00EB77F0">
            <w:pPr>
              <w:pStyle w:val="tbltext"/>
            </w:pPr>
            <w:r>
              <w:t>$25,000</w:t>
            </w:r>
          </w:p>
        </w:tc>
      </w:tr>
      <w:tr w:rsidR="00E5779B" w:rsidRPr="000540E1" w14:paraId="4833F59E" w14:textId="77777777" w:rsidTr="00903DB8">
        <w:trPr>
          <w:cantSplit/>
        </w:trPr>
        <w:tc>
          <w:tcPr>
            <w:tcW w:w="2500" w:type="pct"/>
          </w:tcPr>
          <w:p w14:paraId="0888306D" w14:textId="5F7E7D4C" w:rsidR="00E5779B" w:rsidRPr="000540E1" w:rsidRDefault="00E5779B" w:rsidP="00EB77F0">
            <w:pPr>
              <w:pStyle w:val="tbltext"/>
            </w:pPr>
            <w:r>
              <w:t>L3</w:t>
            </w:r>
          </w:p>
        </w:tc>
        <w:tc>
          <w:tcPr>
            <w:tcW w:w="2500" w:type="pct"/>
          </w:tcPr>
          <w:p w14:paraId="1C035DD8" w14:textId="337B4EBA" w:rsidR="00E5779B" w:rsidRPr="000540E1" w:rsidRDefault="00E5779B" w:rsidP="00EB77F0">
            <w:pPr>
              <w:pStyle w:val="tbltext"/>
            </w:pPr>
            <w:r>
              <w:t>$38,000</w:t>
            </w:r>
          </w:p>
        </w:tc>
      </w:tr>
      <w:tr w:rsidR="00E5779B" w:rsidRPr="000540E1" w14:paraId="00C222CE" w14:textId="77777777" w:rsidTr="00E5779B">
        <w:trPr>
          <w:cantSplit/>
        </w:trPr>
        <w:tc>
          <w:tcPr>
            <w:tcW w:w="2500" w:type="pct"/>
          </w:tcPr>
          <w:p w14:paraId="7323FDC4" w14:textId="397EBD7D" w:rsidR="00E5779B" w:rsidRDefault="00E5779B" w:rsidP="00EB77F0">
            <w:pPr>
              <w:pStyle w:val="tbltext"/>
            </w:pPr>
            <w:r>
              <w:t>M8</w:t>
            </w:r>
          </w:p>
        </w:tc>
        <w:tc>
          <w:tcPr>
            <w:tcW w:w="2500" w:type="pct"/>
          </w:tcPr>
          <w:p w14:paraId="46CB4FD3" w14:textId="4ACFD075" w:rsidR="00E5779B" w:rsidRDefault="00E5779B" w:rsidP="00EB77F0">
            <w:pPr>
              <w:pStyle w:val="tbltext"/>
            </w:pPr>
            <w:r>
              <w:t>$19,000</w:t>
            </w:r>
          </w:p>
        </w:tc>
      </w:tr>
      <w:tr w:rsidR="00E5779B" w:rsidRPr="000540E1" w14:paraId="4C834FBB" w14:textId="77777777" w:rsidTr="00E5779B">
        <w:trPr>
          <w:cantSplit/>
        </w:trPr>
        <w:tc>
          <w:tcPr>
            <w:tcW w:w="2500" w:type="pct"/>
          </w:tcPr>
          <w:p w14:paraId="4DCF4E48" w14:textId="7FF96CFF" w:rsidR="00E5779B" w:rsidRDefault="00E5779B" w:rsidP="00EB77F0">
            <w:pPr>
              <w:pStyle w:val="tbltext"/>
            </w:pPr>
            <w:r>
              <w:t>S7</w:t>
            </w:r>
          </w:p>
        </w:tc>
        <w:tc>
          <w:tcPr>
            <w:tcW w:w="2500" w:type="pct"/>
          </w:tcPr>
          <w:p w14:paraId="24FB01DD" w14:textId="29EE8388" w:rsidR="00E5779B" w:rsidRDefault="00E5779B" w:rsidP="00EB77F0">
            <w:pPr>
              <w:pStyle w:val="tbltext"/>
            </w:pPr>
            <w:r>
              <w:t>$28,000</w:t>
            </w:r>
          </w:p>
        </w:tc>
      </w:tr>
      <w:tr w:rsidR="00E5779B" w:rsidRPr="000540E1" w14:paraId="55854CC9" w14:textId="77777777" w:rsidTr="00E5779B">
        <w:trPr>
          <w:cantSplit/>
        </w:trPr>
        <w:tc>
          <w:tcPr>
            <w:tcW w:w="2500" w:type="pct"/>
          </w:tcPr>
          <w:p w14:paraId="7503051D" w14:textId="405B2A49" w:rsidR="00E5779B" w:rsidRDefault="00E5779B" w:rsidP="00EB77F0">
            <w:pPr>
              <w:pStyle w:val="tbltext"/>
            </w:pPr>
            <w:r>
              <w:t>S9</w:t>
            </w:r>
          </w:p>
        </w:tc>
        <w:tc>
          <w:tcPr>
            <w:tcW w:w="2500" w:type="pct"/>
          </w:tcPr>
          <w:p w14:paraId="0FE81549" w14:textId="5972FE77" w:rsidR="00E5779B" w:rsidRDefault="00E5779B" w:rsidP="00EB77F0">
            <w:pPr>
              <w:pStyle w:val="tbltext"/>
            </w:pPr>
            <w:r>
              <w:t>$19,000</w:t>
            </w:r>
          </w:p>
        </w:tc>
      </w:tr>
      <w:tr w:rsidR="00E5779B" w:rsidRPr="000540E1" w14:paraId="53539D62" w14:textId="77777777" w:rsidTr="00E5779B">
        <w:trPr>
          <w:cantSplit/>
        </w:trPr>
        <w:tc>
          <w:tcPr>
            <w:tcW w:w="2500" w:type="pct"/>
          </w:tcPr>
          <w:p w14:paraId="19C0C32C" w14:textId="170768EB" w:rsidR="00E5779B" w:rsidRDefault="00E5779B" w:rsidP="00E5779B">
            <w:pPr>
              <w:pStyle w:val="tbltext"/>
            </w:pPr>
            <w:r>
              <w:t>VS4</w:t>
            </w:r>
          </w:p>
        </w:tc>
        <w:tc>
          <w:tcPr>
            <w:tcW w:w="2500" w:type="pct"/>
          </w:tcPr>
          <w:p w14:paraId="130C20D1" w14:textId="2AB07DCB" w:rsidR="00E5779B" w:rsidRDefault="00E5779B" w:rsidP="00E5779B">
            <w:pPr>
              <w:pStyle w:val="tbltext"/>
            </w:pPr>
            <w:r>
              <w:t>$19,000</w:t>
            </w:r>
          </w:p>
        </w:tc>
      </w:tr>
    </w:tbl>
    <w:p w14:paraId="6BA73CD1" w14:textId="77777777" w:rsidR="00C443A0" w:rsidRDefault="00C443A0" w:rsidP="00C443A0">
      <w:pPr>
        <w:pStyle w:val="Heading3"/>
      </w:pPr>
      <w:r>
        <w:t>Regulatory compliance burden of alternative options</w:t>
      </w:r>
    </w:p>
    <w:p w14:paraId="09D500FC" w14:textId="2E8895D2" w:rsidR="00C443A0" w:rsidRDefault="00C443A0" w:rsidP="002D0EB6">
      <w:pPr>
        <w:pStyle w:val="BodyText"/>
        <w:numPr>
          <w:ilvl w:val="0"/>
          <w:numId w:val="17"/>
        </w:numPr>
        <w:spacing w:before="220" w:line="310" w:lineRule="atLeast"/>
      </w:pPr>
      <w:r>
        <w:t>We have also estimated the regulatory compliance burden of two alternative options for implementing changes to simplify the ASIC Rules</w:t>
      </w:r>
      <w:r w:rsidR="005265D7">
        <w:t>, and the option of not implementing any changes to the current ASIC Rules</w:t>
      </w:r>
      <w:r>
        <w:t>:</w:t>
      </w:r>
    </w:p>
    <w:p w14:paraId="4B937C1E" w14:textId="6D4B1CA9" w:rsidR="00C443A0" w:rsidRDefault="00C443A0" w:rsidP="002D0EB6">
      <w:pPr>
        <w:pStyle w:val="BodyText"/>
        <w:numPr>
          <w:ilvl w:val="1"/>
          <w:numId w:val="17"/>
        </w:numPr>
        <w:spacing w:before="120" w:line="310" w:lineRule="atLeast"/>
      </w:pPr>
      <w:r w:rsidRPr="002D0EB6">
        <w:rPr>
          <w:i/>
          <w:iCs/>
        </w:rPr>
        <w:t>Option 2</w:t>
      </w:r>
      <w:r w:rsidR="00BE05B0" w:rsidRPr="002D0EB6">
        <w:t>—</w:t>
      </w:r>
      <w:r>
        <w:t>implement the ASIC data elements, UTI, UPI and LEI as proposed in this consultation paper but do not implement ISO 20022 report messaging;</w:t>
      </w:r>
    </w:p>
    <w:p w14:paraId="740D6A0E" w14:textId="75977747" w:rsidR="00C443A0" w:rsidRDefault="00C443A0" w:rsidP="002D0EB6">
      <w:pPr>
        <w:pStyle w:val="BodyText"/>
        <w:numPr>
          <w:ilvl w:val="1"/>
          <w:numId w:val="17"/>
        </w:numPr>
        <w:spacing w:before="120" w:line="310" w:lineRule="atLeast"/>
      </w:pPr>
      <w:r w:rsidRPr="002D0EB6">
        <w:rPr>
          <w:i/>
          <w:iCs/>
        </w:rPr>
        <w:t>Option 3</w:t>
      </w:r>
      <w:r w:rsidR="00271BD6" w:rsidRPr="00B01B13">
        <w:t>—</w:t>
      </w:r>
      <w:r>
        <w:t>implement the ASIC data elements, UTI and LEI as proposed in this consultation paper but implement UPI as a ‘conversion obligation’ imposed on derivative trade repositories, add-back additional ‘non-UPI’ data elements as ASIC data elements and do not implement ISO 20022 report messaging</w:t>
      </w:r>
      <w:r w:rsidR="005265D7">
        <w:t>; and</w:t>
      </w:r>
    </w:p>
    <w:p w14:paraId="6A0FFB11" w14:textId="01A86694" w:rsidR="005265D7" w:rsidRDefault="005265D7" w:rsidP="002D0EB6">
      <w:pPr>
        <w:pStyle w:val="BodyText"/>
        <w:numPr>
          <w:ilvl w:val="1"/>
          <w:numId w:val="17"/>
        </w:numPr>
        <w:spacing w:before="120" w:line="310" w:lineRule="atLeast"/>
      </w:pPr>
      <w:r>
        <w:rPr>
          <w:i/>
          <w:iCs/>
        </w:rPr>
        <w:t>Option 4</w:t>
      </w:r>
      <w:r w:rsidRPr="00B01B13">
        <w:t>—</w:t>
      </w:r>
      <w:r>
        <w:t>remake the ASIC Rules without any changes to the current ASIC Rules</w:t>
      </w:r>
      <w:r w:rsidR="006C6C7E">
        <w:t xml:space="preserve"> (status quo)</w:t>
      </w:r>
      <w:r>
        <w:t>.</w:t>
      </w:r>
    </w:p>
    <w:p w14:paraId="41AA8F26" w14:textId="77777777" w:rsidR="00C443A0" w:rsidRDefault="00C443A0" w:rsidP="002D0EB6">
      <w:pPr>
        <w:pStyle w:val="BodyText"/>
        <w:numPr>
          <w:ilvl w:val="0"/>
          <w:numId w:val="17"/>
        </w:numPr>
        <w:spacing w:before="220" w:line="310" w:lineRule="atLeast"/>
      </w:pPr>
      <w:r>
        <w:t>In relation to Option 2, the G20 initiatives and the FSB’s responses for internationally harmonised approaches to UTI, UPI, the data elements and LEI have a number of benefits, including improving the capability for cross-border aggregation of OTC derivatives transaction data. International conformance to the use of ISO 20022 report messaging is likely highly beneficial, but not essential, as an enabler of ready cross-border aggregation of OTC derivatives transaction data.</w:t>
      </w:r>
    </w:p>
    <w:p w14:paraId="47428C95" w14:textId="08E06100" w:rsidR="00C443A0" w:rsidRDefault="00C443A0" w:rsidP="002D0EB6">
      <w:pPr>
        <w:pStyle w:val="BodyText"/>
        <w:numPr>
          <w:ilvl w:val="0"/>
          <w:numId w:val="17"/>
        </w:numPr>
        <w:spacing w:before="220" w:line="310" w:lineRule="atLeast"/>
      </w:pPr>
      <w:r>
        <w:t xml:space="preserve">Relative to Option 1, reporting entities would not incur the </w:t>
      </w:r>
      <w:r w:rsidR="00271BD6">
        <w:t xml:space="preserve">first </w:t>
      </w:r>
      <w:r>
        <w:t xml:space="preserve">year costs of implementing ISO 20022 but would also not receive the ongoing system synergies cost savings. </w:t>
      </w:r>
    </w:p>
    <w:p w14:paraId="5F17F98F" w14:textId="22F60250" w:rsidR="00C443A0" w:rsidRDefault="00C443A0" w:rsidP="002D0EB6">
      <w:pPr>
        <w:pStyle w:val="BodyText"/>
        <w:numPr>
          <w:ilvl w:val="0"/>
          <w:numId w:val="17"/>
        </w:numPr>
        <w:spacing w:before="220" w:line="310" w:lineRule="atLeast"/>
      </w:pPr>
      <w:r>
        <w:t>We further assume that reporting entities would have fewer bespoke systems to maintain at higher costs per system, as ISO 20022 reporting in other jurisdictions becomes the norm</w:t>
      </w:r>
      <w:r w:rsidR="00A609AA" w:rsidRPr="002D0EB6">
        <w:t>—</w:t>
      </w:r>
      <w:r>
        <w:t>we assume that the cost of maintaining an ASIC bespoke reporting system would rise to be 50% higher than the system synergies cost savings otherwise available.</w:t>
      </w:r>
    </w:p>
    <w:p w14:paraId="35CDBD17" w14:textId="77777777" w:rsidR="00C443A0" w:rsidRDefault="00C443A0" w:rsidP="002D0EB6">
      <w:pPr>
        <w:pStyle w:val="BodyText"/>
        <w:numPr>
          <w:ilvl w:val="0"/>
          <w:numId w:val="17"/>
        </w:numPr>
        <w:spacing w:before="220" w:line="310" w:lineRule="atLeast"/>
      </w:pPr>
      <w:r>
        <w:t>We think that this approach is also applicable to reporting entities that use delegated reporting, as the delegates would likewise be required to maintain fewer bespoke systems at higher costs per system.</w:t>
      </w:r>
    </w:p>
    <w:p w14:paraId="30DBE28A" w14:textId="13CFA045" w:rsidR="00C443A0" w:rsidRDefault="00C443A0" w:rsidP="002D0EB6">
      <w:pPr>
        <w:pStyle w:val="BodyText"/>
        <w:numPr>
          <w:ilvl w:val="0"/>
          <w:numId w:val="17"/>
        </w:numPr>
        <w:spacing w:before="220" w:line="310" w:lineRule="atLeast"/>
      </w:pPr>
      <w:r>
        <w:t>Our estimates of the regulatory compliance burden of implementing Option</w:t>
      </w:r>
      <w:r w:rsidR="00A609AA">
        <w:t> </w:t>
      </w:r>
      <w:r>
        <w:t xml:space="preserve">2 </w:t>
      </w:r>
      <w:r>
        <w:rPr>
          <w:i/>
          <w:iCs/>
        </w:rPr>
        <w:t xml:space="preserve">relative to Option </w:t>
      </w:r>
      <w:r w:rsidRPr="00A54E0C">
        <w:rPr>
          <w:i/>
          <w:iCs/>
        </w:rPr>
        <w:t>1</w:t>
      </w:r>
      <w:r>
        <w:t xml:space="preserve"> for groups of reporting entities is set out in </w:t>
      </w:r>
      <w:r>
        <w:fldChar w:fldCharType="begin" w:fldLock="1"/>
      </w:r>
      <w:r>
        <w:instrText xml:space="preserve"> REF _Ref100734201 \h </w:instrText>
      </w:r>
      <w:r>
        <w:fldChar w:fldCharType="separate"/>
      </w:r>
      <w:r w:rsidR="00853A2A">
        <w:t xml:space="preserve">Table </w:t>
      </w:r>
      <w:r w:rsidR="00853A2A">
        <w:rPr>
          <w:noProof/>
        </w:rPr>
        <w:t>50</w:t>
      </w:r>
      <w:r>
        <w:fldChar w:fldCharType="end"/>
      </w:r>
      <w:r>
        <w:t>.</w:t>
      </w:r>
    </w:p>
    <w:p w14:paraId="7E8E9109" w14:textId="05B8EE6C" w:rsidR="00C443A0" w:rsidRDefault="00C443A0" w:rsidP="00C443A0">
      <w:pPr>
        <w:pStyle w:val="tabletitleindented"/>
      </w:pPr>
      <w:bookmarkStart w:id="355" w:name="_Ref100734201"/>
      <w:r>
        <w:t xml:space="preserve">Table </w:t>
      </w:r>
      <w:fldSimple w:instr=" SEQ Table \* ARABIC ">
        <w:r w:rsidR="006679BA">
          <w:rPr>
            <w:noProof/>
          </w:rPr>
          <w:t>50</w:t>
        </w:r>
      </w:fldSimple>
      <w:bookmarkEnd w:id="355"/>
      <w:r>
        <w:t>:</w:t>
      </w:r>
      <w:r>
        <w:tab/>
        <w:t>R</w:t>
      </w:r>
      <w:r w:rsidRPr="00D94DC2">
        <w:t>egulatory compliance burden</w:t>
      </w:r>
      <w:r>
        <w:t xml:space="preserve"> by reporting entity groups</w:t>
      </w:r>
      <w:r w:rsidR="00A609AA" w:rsidRPr="002D0EB6">
        <w:t>—</w:t>
      </w:r>
      <w:r>
        <w:t>Option 2 relative to Option 1</w:t>
      </w:r>
    </w:p>
    <w:tbl>
      <w:tblPr>
        <w:tblW w:w="6804"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644"/>
        <w:gridCol w:w="2580"/>
        <w:gridCol w:w="2580"/>
      </w:tblGrid>
      <w:tr w:rsidR="00C443A0" w:rsidRPr="000540E1" w14:paraId="0F939898" w14:textId="77777777" w:rsidTr="002D0EB6">
        <w:trPr>
          <w:cantSplit/>
          <w:tblHeader/>
        </w:trPr>
        <w:tc>
          <w:tcPr>
            <w:tcW w:w="1208" w:type="pct"/>
            <w:shd w:val="clear" w:color="auto" w:fill="C2E3FA"/>
          </w:tcPr>
          <w:p w14:paraId="3E5EFC5B" w14:textId="77777777" w:rsidR="00C443A0" w:rsidRDefault="00C443A0" w:rsidP="002D0EB6">
            <w:pPr>
              <w:pStyle w:val="tablehead"/>
              <w:spacing w:line="230" w:lineRule="atLeast"/>
            </w:pPr>
            <w:r>
              <w:t>Group</w:t>
            </w:r>
          </w:p>
        </w:tc>
        <w:tc>
          <w:tcPr>
            <w:tcW w:w="1896" w:type="pct"/>
            <w:shd w:val="clear" w:color="auto" w:fill="C2E3FA"/>
          </w:tcPr>
          <w:p w14:paraId="5D041316" w14:textId="2CE5511D" w:rsidR="00C443A0" w:rsidRPr="000540E1" w:rsidRDefault="00C443A0" w:rsidP="002D0EB6">
            <w:pPr>
              <w:pStyle w:val="tablehead"/>
              <w:spacing w:line="230" w:lineRule="atLeast"/>
              <w:jc w:val="right"/>
            </w:pPr>
            <w:r>
              <w:t>ISO 20022</w:t>
            </w:r>
            <w:r w:rsidR="00A609AA" w:rsidRPr="002D0EB6">
              <w:t>—</w:t>
            </w:r>
            <w:r>
              <w:t>avoided</w:t>
            </w:r>
            <w:r w:rsidR="00B0617B">
              <w:t xml:space="preserve"> first </w:t>
            </w:r>
            <w:r>
              <w:t>year costs</w:t>
            </w:r>
          </w:p>
        </w:tc>
        <w:tc>
          <w:tcPr>
            <w:tcW w:w="1896" w:type="pct"/>
            <w:shd w:val="clear" w:color="auto" w:fill="C2E3FA"/>
          </w:tcPr>
          <w:p w14:paraId="005D1FA4" w14:textId="78190922" w:rsidR="00C443A0" w:rsidRPr="000540E1" w:rsidRDefault="00C443A0" w:rsidP="002D0EB6">
            <w:pPr>
              <w:pStyle w:val="tablehead"/>
              <w:spacing w:line="230" w:lineRule="atLeast"/>
              <w:jc w:val="right"/>
            </w:pPr>
            <w:r>
              <w:t>System synergies</w:t>
            </w:r>
            <w:r w:rsidR="00A609AA" w:rsidRPr="00B01B13">
              <w:t>—</w:t>
            </w:r>
            <w:r>
              <w:t>forgone ongoing savings plus maintenance cost increase</w:t>
            </w:r>
          </w:p>
        </w:tc>
      </w:tr>
      <w:tr w:rsidR="00C443A0" w:rsidRPr="000540E1" w14:paraId="6C356436" w14:textId="77777777" w:rsidTr="002D0EB6">
        <w:trPr>
          <w:cantSplit/>
        </w:trPr>
        <w:tc>
          <w:tcPr>
            <w:tcW w:w="1208" w:type="pct"/>
          </w:tcPr>
          <w:p w14:paraId="2C51B3AC" w14:textId="77777777" w:rsidR="00C443A0" w:rsidRPr="000540E1" w:rsidRDefault="00C443A0" w:rsidP="002D0EB6">
            <w:pPr>
              <w:pStyle w:val="tbltext"/>
              <w:spacing w:line="230" w:lineRule="atLeast"/>
            </w:pPr>
            <w:r>
              <w:t>L1</w:t>
            </w:r>
          </w:p>
        </w:tc>
        <w:tc>
          <w:tcPr>
            <w:tcW w:w="1896" w:type="pct"/>
          </w:tcPr>
          <w:p w14:paraId="55669505" w14:textId="77777777" w:rsidR="00C443A0" w:rsidRPr="000540E1" w:rsidRDefault="00C443A0" w:rsidP="002D0EB6">
            <w:pPr>
              <w:pStyle w:val="tbltext"/>
              <w:spacing w:line="230" w:lineRule="atLeast"/>
              <w:jc w:val="right"/>
            </w:pPr>
            <w:r>
              <w:t>$227,900</w:t>
            </w:r>
          </w:p>
        </w:tc>
        <w:tc>
          <w:tcPr>
            <w:tcW w:w="1896" w:type="pct"/>
          </w:tcPr>
          <w:p w14:paraId="5B6FD46E" w14:textId="77777777" w:rsidR="00C443A0" w:rsidRPr="000540E1" w:rsidRDefault="00C443A0" w:rsidP="002D0EB6">
            <w:pPr>
              <w:pStyle w:val="tbltext"/>
              <w:spacing w:line="230" w:lineRule="atLeast"/>
              <w:jc w:val="right"/>
            </w:pPr>
            <w:r>
              <w:t>($68,400)</w:t>
            </w:r>
          </w:p>
        </w:tc>
      </w:tr>
      <w:tr w:rsidR="00C443A0" w:rsidRPr="000540E1" w14:paraId="4EBF743E" w14:textId="77777777" w:rsidTr="002D0EB6">
        <w:trPr>
          <w:cantSplit/>
        </w:trPr>
        <w:tc>
          <w:tcPr>
            <w:tcW w:w="1208" w:type="pct"/>
          </w:tcPr>
          <w:p w14:paraId="57526D2B" w14:textId="77777777" w:rsidR="00C443A0" w:rsidRPr="000540E1" w:rsidRDefault="00C443A0" w:rsidP="002D0EB6">
            <w:pPr>
              <w:pStyle w:val="tbltext"/>
              <w:spacing w:line="230" w:lineRule="atLeast"/>
            </w:pPr>
            <w:r>
              <w:t>L2</w:t>
            </w:r>
          </w:p>
        </w:tc>
        <w:tc>
          <w:tcPr>
            <w:tcW w:w="1896" w:type="pct"/>
          </w:tcPr>
          <w:p w14:paraId="1032E6B6" w14:textId="77777777" w:rsidR="00C443A0" w:rsidRPr="000540E1" w:rsidRDefault="00C443A0" w:rsidP="002D0EB6">
            <w:pPr>
              <w:pStyle w:val="tbltext"/>
              <w:spacing w:line="230" w:lineRule="atLeast"/>
              <w:jc w:val="right"/>
            </w:pPr>
            <w:r>
              <w:t>$0</w:t>
            </w:r>
          </w:p>
        </w:tc>
        <w:tc>
          <w:tcPr>
            <w:tcW w:w="1896" w:type="pct"/>
          </w:tcPr>
          <w:p w14:paraId="0BC990AA" w14:textId="77777777" w:rsidR="00C443A0" w:rsidRPr="000540E1" w:rsidRDefault="00C443A0" w:rsidP="002D0EB6">
            <w:pPr>
              <w:pStyle w:val="tbltext"/>
              <w:spacing w:line="230" w:lineRule="atLeast"/>
              <w:jc w:val="right"/>
            </w:pPr>
            <w:r>
              <w:t>($8,500)</w:t>
            </w:r>
          </w:p>
        </w:tc>
      </w:tr>
      <w:tr w:rsidR="00C443A0" w:rsidRPr="000540E1" w14:paraId="4027BC67" w14:textId="77777777" w:rsidTr="002D0EB6">
        <w:trPr>
          <w:cantSplit/>
        </w:trPr>
        <w:tc>
          <w:tcPr>
            <w:tcW w:w="1208" w:type="pct"/>
          </w:tcPr>
          <w:p w14:paraId="21DB47FD" w14:textId="77777777" w:rsidR="00C443A0" w:rsidRPr="000540E1" w:rsidRDefault="00C443A0" w:rsidP="002D0EB6">
            <w:pPr>
              <w:pStyle w:val="tbltext"/>
              <w:spacing w:line="230" w:lineRule="atLeast"/>
            </w:pPr>
            <w:r>
              <w:t>L3</w:t>
            </w:r>
          </w:p>
        </w:tc>
        <w:tc>
          <w:tcPr>
            <w:tcW w:w="1896" w:type="pct"/>
          </w:tcPr>
          <w:p w14:paraId="74658A1A" w14:textId="77777777" w:rsidR="00C443A0" w:rsidRPr="000540E1" w:rsidRDefault="00C443A0" w:rsidP="002D0EB6">
            <w:pPr>
              <w:pStyle w:val="tbltext"/>
              <w:spacing w:line="230" w:lineRule="atLeast"/>
              <w:jc w:val="right"/>
            </w:pPr>
            <w:r>
              <w:t>$114,000</w:t>
            </w:r>
          </w:p>
        </w:tc>
        <w:tc>
          <w:tcPr>
            <w:tcW w:w="1896" w:type="pct"/>
          </w:tcPr>
          <w:p w14:paraId="766FF570" w14:textId="77777777" w:rsidR="00C443A0" w:rsidRPr="000540E1" w:rsidRDefault="00C443A0" w:rsidP="002D0EB6">
            <w:pPr>
              <w:pStyle w:val="tbltext"/>
              <w:spacing w:line="230" w:lineRule="atLeast"/>
              <w:jc w:val="right"/>
            </w:pPr>
            <w:r>
              <w:t>($34,200)</w:t>
            </w:r>
          </w:p>
        </w:tc>
      </w:tr>
      <w:tr w:rsidR="00C443A0" w:rsidRPr="000540E1" w14:paraId="6BBFBF9F" w14:textId="77777777" w:rsidTr="002D0EB6">
        <w:trPr>
          <w:cantSplit/>
        </w:trPr>
        <w:tc>
          <w:tcPr>
            <w:tcW w:w="1208" w:type="pct"/>
          </w:tcPr>
          <w:p w14:paraId="4F7398DA" w14:textId="77777777" w:rsidR="00C443A0" w:rsidRDefault="00C443A0" w:rsidP="002D0EB6">
            <w:pPr>
              <w:pStyle w:val="tbltext"/>
              <w:spacing w:line="230" w:lineRule="atLeast"/>
            </w:pPr>
            <w:r>
              <w:t>M1</w:t>
            </w:r>
          </w:p>
        </w:tc>
        <w:tc>
          <w:tcPr>
            <w:tcW w:w="1896" w:type="pct"/>
          </w:tcPr>
          <w:p w14:paraId="20BBD071" w14:textId="77777777" w:rsidR="00C443A0" w:rsidRDefault="00C443A0" w:rsidP="002D0EB6">
            <w:pPr>
              <w:pStyle w:val="tbltext"/>
              <w:spacing w:line="230" w:lineRule="atLeast"/>
              <w:jc w:val="right"/>
            </w:pPr>
            <w:r>
              <w:t>$57,000</w:t>
            </w:r>
          </w:p>
        </w:tc>
        <w:tc>
          <w:tcPr>
            <w:tcW w:w="1896" w:type="pct"/>
          </w:tcPr>
          <w:p w14:paraId="60385272" w14:textId="77777777" w:rsidR="00C443A0" w:rsidRDefault="00C443A0" w:rsidP="002D0EB6">
            <w:pPr>
              <w:pStyle w:val="tbltext"/>
              <w:spacing w:line="230" w:lineRule="atLeast"/>
              <w:jc w:val="right"/>
            </w:pPr>
            <w:r>
              <w:t>($34,200)</w:t>
            </w:r>
          </w:p>
        </w:tc>
      </w:tr>
      <w:tr w:rsidR="00C443A0" w:rsidRPr="000540E1" w14:paraId="3DB1A005" w14:textId="77777777" w:rsidTr="002D0EB6">
        <w:trPr>
          <w:cantSplit/>
        </w:trPr>
        <w:tc>
          <w:tcPr>
            <w:tcW w:w="1208" w:type="pct"/>
          </w:tcPr>
          <w:p w14:paraId="3627194B" w14:textId="77777777" w:rsidR="00C443A0" w:rsidRDefault="00C443A0" w:rsidP="002D0EB6">
            <w:pPr>
              <w:pStyle w:val="tbltext"/>
              <w:spacing w:line="230" w:lineRule="atLeast"/>
            </w:pPr>
            <w:r>
              <w:t>M2</w:t>
            </w:r>
          </w:p>
        </w:tc>
        <w:tc>
          <w:tcPr>
            <w:tcW w:w="1896" w:type="pct"/>
          </w:tcPr>
          <w:p w14:paraId="150226B1" w14:textId="77777777" w:rsidR="00C443A0" w:rsidRDefault="00C443A0" w:rsidP="002D0EB6">
            <w:pPr>
              <w:pStyle w:val="tbltext"/>
              <w:spacing w:line="230" w:lineRule="atLeast"/>
              <w:jc w:val="right"/>
            </w:pPr>
            <w:r>
              <w:t>$57,000</w:t>
            </w:r>
          </w:p>
        </w:tc>
        <w:tc>
          <w:tcPr>
            <w:tcW w:w="1896" w:type="pct"/>
          </w:tcPr>
          <w:p w14:paraId="0E9322FB" w14:textId="77777777" w:rsidR="00C443A0" w:rsidRDefault="00C443A0" w:rsidP="002D0EB6">
            <w:pPr>
              <w:pStyle w:val="tbltext"/>
              <w:spacing w:line="230" w:lineRule="atLeast"/>
              <w:jc w:val="right"/>
            </w:pPr>
            <w:r>
              <w:t>($34,200)</w:t>
            </w:r>
          </w:p>
        </w:tc>
      </w:tr>
      <w:tr w:rsidR="00C443A0" w:rsidRPr="000540E1" w14:paraId="4E732B46" w14:textId="77777777" w:rsidTr="002D0EB6">
        <w:trPr>
          <w:cantSplit/>
        </w:trPr>
        <w:tc>
          <w:tcPr>
            <w:tcW w:w="1208" w:type="pct"/>
          </w:tcPr>
          <w:p w14:paraId="6254B96E" w14:textId="77777777" w:rsidR="00C443A0" w:rsidRDefault="00C443A0" w:rsidP="002D0EB6">
            <w:pPr>
              <w:pStyle w:val="tbltext"/>
              <w:spacing w:line="230" w:lineRule="atLeast"/>
            </w:pPr>
            <w:r>
              <w:t>M3</w:t>
            </w:r>
          </w:p>
        </w:tc>
        <w:tc>
          <w:tcPr>
            <w:tcW w:w="1896" w:type="pct"/>
          </w:tcPr>
          <w:p w14:paraId="675A9417" w14:textId="77777777" w:rsidR="00C443A0" w:rsidRDefault="00C443A0" w:rsidP="002D0EB6">
            <w:pPr>
              <w:pStyle w:val="tbltext"/>
              <w:spacing w:line="230" w:lineRule="atLeast"/>
              <w:jc w:val="right"/>
            </w:pPr>
            <w:r>
              <w:t>$0</w:t>
            </w:r>
          </w:p>
        </w:tc>
        <w:tc>
          <w:tcPr>
            <w:tcW w:w="1896" w:type="pct"/>
          </w:tcPr>
          <w:p w14:paraId="18F01C1C" w14:textId="77777777" w:rsidR="00C443A0" w:rsidRDefault="00C443A0" w:rsidP="002D0EB6">
            <w:pPr>
              <w:pStyle w:val="tbltext"/>
              <w:spacing w:line="230" w:lineRule="atLeast"/>
              <w:jc w:val="right"/>
            </w:pPr>
            <w:r>
              <w:t>($4,300)</w:t>
            </w:r>
          </w:p>
        </w:tc>
      </w:tr>
      <w:tr w:rsidR="00C443A0" w:rsidRPr="000540E1" w14:paraId="6AFF396A" w14:textId="77777777" w:rsidTr="002D0EB6">
        <w:trPr>
          <w:cantSplit/>
        </w:trPr>
        <w:tc>
          <w:tcPr>
            <w:tcW w:w="1208" w:type="pct"/>
          </w:tcPr>
          <w:p w14:paraId="334FF2C0" w14:textId="77777777" w:rsidR="00C443A0" w:rsidRDefault="00C443A0" w:rsidP="002D0EB6">
            <w:pPr>
              <w:pStyle w:val="tbltext"/>
              <w:spacing w:line="230" w:lineRule="atLeast"/>
            </w:pPr>
            <w:r>
              <w:t>M4</w:t>
            </w:r>
          </w:p>
        </w:tc>
        <w:tc>
          <w:tcPr>
            <w:tcW w:w="1896" w:type="pct"/>
          </w:tcPr>
          <w:p w14:paraId="1D206CD2" w14:textId="77777777" w:rsidR="00C443A0" w:rsidRDefault="00C443A0" w:rsidP="002D0EB6">
            <w:pPr>
              <w:pStyle w:val="tbltext"/>
              <w:spacing w:line="230" w:lineRule="atLeast"/>
              <w:jc w:val="right"/>
            </w:pPr>
            <w:r>
              <w:t>$0</w:t>
            </w:r>
          </w:p>
        </w:tc>
        <w:tc>
          <w:tcPr>
            <w:tcW w:w="1896" w:type="pct"/>
          </w:tcPr>
          <w:p w14:paraId="7FFB692F" w14:textId="77777777" w:rsidR="00C443A0" w:rsidRDefault="00C443A0" w:rsidP="002D0EB6">
            <w:pPr>
              <w:pStyle w:val="tbltext"/>
              <w:spacing w:line="230" w:lineRule="atLeast"/>
              <w:jc w:val="right"/>
            </w:pPr>
            <w:r>
              <w:t>($4,300)</w:t>
            </w:r>
          </w:p>
        </w:tc>
      </w:tr>
      <w:tr w:rsidR="00C443A0" w:rsidRPr="000540E1" w14:paraId="15B0A6C7" w14:textId="77777777" w:rsidTr="002D0EB6">
        <w:trPr>
          <w:cantSplit/>
        </w:trPr>
        <w:tc>
          <w:tcPr>
            <w:tcW w:w="1208" w:type="pct"/>
          </w:tcPr>
          <w:p w14:paraId="5C4A95C3" w14:textId="77777777" w:rsidR="00C443A0" w:rsidRDefault="00C443A0" w:rsidP="002D0EB6">
            <w:pPr>
              <w:pStyle w:val="tbltext"/>
              <w:spacing w:line="230" w:lineRule="atLeast"/>
            </w:pPr>
            <w:r>
              <w:t>M5</w:t>
            </w:r>
          </w:p>
        </w:tc>
        <w:tc>
          <w:tcPr>
            <w:tcW w:w="1896" w:type="pct"/>
          </w:tcPr>
          <w:p w14:paraId="3460363A" w14:textId="77777777" w:rsidR="00C443A0" w:rsidRDefault="00C443A0" w:rsidP="002D0EB6">
            <w:pPr>
              <w:pStyle w:val="tbltext"/>
              <w:spacing w:line="230" w:lineRule="atLeast"/>
              <w:jc w:val="right"/>
            </w:pPr>
            <w:r>
              <w:t>$114,000</w:t>
            </w:r>
          </w:p>
        </w:tc>
        <w:tc>
          <w:tcPr>
            <w:tcW w:w="1896" w:type="pct"/>
          </w:tcPr>
          <w:p w14:paraId="6A0D277C" w14:textId="77777777" w:rsidR="00C443A0" w:rsidRDefault="00C443A0" w:rsidP="002D0EB6">
            <w:pPr>
              <w:pStyle w:val="tbltext"/>
              <w:spacing w:line="230" w:lineRule="atLeast"/>
              <w:jc w:val="right"/>
            </w:pPr>
            <w:r>
              <w:t>($0)</w:t>
            </w:r>
          </w:p>
        </w:tc>
      </w:tr>
      <w:tr w:rsidR="00C443A0" w:rsidRPr="000540E1" w14:paraId="4D5CF97D" w14:textId="77777777" w:rsidTr="002D0EB6">
        <w:trPr>
          <w:cantSplit/>
        </w:trPr>
        <w:tc>
          <w:tcPr>
            <w:tcW w:w="1208" w:type="pct"/>
          </w:tcPr>
          <w:p w14:paraId="34FAD4E5" w14:textId="77777777" w:rsidR="00C443A0" w:rsidRDefault="00C443A0" w:rsidP="002D0EB6">
            <w:pPr>
              <w:pStyle w:val="tbltext"/>
              <w:spacing w:line="230" w:lineRule="atLeast"/>
            </w:pPr>
            <w:r>
              <w:t>M6</w:t>
            </w:r>
          </w:p>
        </w:tc>
        <w:tc>
          <w:tcPr>
            <w:tcW w:w="1896" w:type="pct"/>
          </w:tcPr>
          <w:p w14:paraId="15C61C4D" w14:textId="77777777" w:rsidR="00C443A0" w:rsidRDefault="00C443A0" w:rsidP="002D0EB6">
            <w:pPr>
              <w:pStyle w:val="tbltext"/>
              <w:spacing w:line="230" w:lineRule="atLeast"/>
              <w:jc w:val="right"/>
            </w:pPr>
            <w:r>
              <w:t>$57,000</w:t>
            </w:r>
          </w:p>
        </w:tc>
        <w:tc>
          <w:tcPr>
            <w:tcW w:w="1896" w:type="pct"/>
          </w:tcPr>
          <w:p w14:paraId="6C3877E8" w14:textId="77777777" w:rsidR="00C443A0" w:rsidRDefault="00C443A0" w:rsidP="002D0EB6">
            <w:pPr>
              <w:pStyle w:val="tbltext"/>
              <w:spacing w:line="230" w:lineRule="atLeast"/>
              <w:jc w:val="right"/>
            </w:pPr>
            <w:r>
              <w:t>($17,100)</w:t>
            </w:r>
          </w:p>
        </w:tc>
      </w:tr>
      <w:tr w:rsidR="00C443A0" w:rsidRPr="000540E1" w14:paraId="7294E09E" w14:textId="77777777" w:rsidTr="002D0EB6">
        <w:trPr>
          <w:cantSplit/>
        </w:trPr>
        <w:tc>
          <w:tcPr>
            <w:tcW w:w="1208" w:type="pct"/>
          </w:tcPr>
          <w:p w14:paraId="02DC1425" w14:textId="77777777" w:rsidR="00C443A0" w:rsidRDefault="00C443A0" w:rsidP="002D0EB6">
            <w:pPr>
              <w:pStyle w:val="tbltext"/>
              <w:spacing w:line="230" w:lineRule="atLeast"/>
            </w:pPr>
            <w:r>
              <w:t>M7</w:t>
            </w:r>
          </w:p>
        </w:tc>
        <w:tc>
          <w:tcPr>
            <w:tcW w:w="1896" w:type="pct"/>
          </w:tcPr>
          <w:p w14:paraId="4FFD79DA" w14:textId="77777777" w:rsidR="00C443A0" w:rsidRDefault="00C443A0" w:rsidP="002D0EB6">
            <w:pPr>
              <w:pStyle w:val="tbltext"/>
              <w:spacing w:line="230" w:lineRule="atLeast"/>
              <w:jc w:val="right"/>
            </w:pPr>
            <w:r>
              <w:t>$0</w:t>
            </w:r>
          </w:p>
        </w:tc>
        <w:tc>
          <w:tcPr>
            <w:tcW w:w="1896" w:type="pct"/>
          </w:tcPr>
          <w:p w14:paraId="4A3872B2" w14:textId="77777777" w:rsidR="00C443A0" w:rsidRDefault="00C443A0" w:rsidP="002D0EB6">
            <w:pPr>
              <w:pStyle w:val="tbltext"/>
              <w:spacing w:line="230" w:lineRule="atLeast"/>
              <w:jc w:val="right"/>
            </w:pPr>
            <w:r>
              <w:t>($2,100)</w:t>
            </w:r>
          </w:p>
        </w:tc>
      </w:tr>
      <w:tr w:rsidR="00C443A0" w:rsidRPr="000540E1" w14:paraId="60AB0891" w14:textId="77777777" w:rsidTr="002D0EB6">
        <w:trPr>
          <w:cantSplit/>
        </w:trPr>
        <w:tc>
          <w:tcPr>
            <w:tcW w:w="1208" w:type="pct"/>
          </w:tcPr>
          <w:p w14:paraId="5479F1F4" w14:textId="77777777" w:rsidR="00C443A0" w:rsidRDefault="00C443A0" w:rsidP="002D0EB6">
            <w:pPr>
              <w:pStyle w:val="tbltext"/>
              <w:spacing w:line="230" w:lineRule="atLeast"/>
            </w:pPr>
            <w:r>
              <w:t>M8</w:t>
            </w:r>
          </w:p>
        </w:tc>
        <w:tc>
          <w:tcPr>
            <w:tcW w:w="1896" w:type="pct"/>
          </w:tcPr>
          <w:p w14:paraId="6543EE7C" w14:textId="77777777" w:rsidR="00C443A0" w:rsidRDefault="00C443A0" w:rsidP="002D0EB6">
            <w:pPr>
              <w:pStyle w:val="tbltext"/>
              <w:spacing w:line="230" w:lineRule="atLeast"/>
              <w:jc w:val="right"/>
            </w:pPr>
            <w:r>
              <w:t>$0</w:t>
            </w:r>
          </w:p>
        </w:tc>
        <w:tc>
          <w:tcPr>
            <w:tcW w:w="1896" w:type="pct"/>
          </w:tcPr>
          <w:p w14:paraId="7A210ADF" w14:textId="77777777" w:rsidR="00C443A0" w:rsidRDefault="00C443A0" w:rsidP="002D0EB6">
            <w:pPr>
              <w:pStyle w:val="tbltext"/>
              <w:spacing w:line="230" w:lineRule="atLeast"/>
              <w:jc w:val="right"/>
            </w:pPr>
            <w:r>
              <w:t>($2,100)</w:t>
            </w:r>
          </w:p>
        </w:tc>
      </w:tr>
      <w:tr w:rsidR="00C443A0" w:rsidRPr="000540E1" w14:paraId="310360ED" w14:textId="77777777" w:rsidTr="002D0EB6">
        <w:trPr>
          <w:cantSplit/>
        </w:trPr>
        <w:tc>
          <w:tcPr>
            <w:tcW w:w="1208" w:type="pct"/>
          </w:tcPr>
          <w:p w14:paraId="1C7490BF" w14:textId="77777777" w:rsidR="00C443A0" w:rsidRDefault="00C443A0" w:rsidP="002D0EB6">
            <w:pPr>
              <w:pStyle w:val="tbltext"/>
              <w:spacing w:line="230" w:lineRule="atLeast"/>
            </w:pPr>
            <w:r>
              <w:t>S1</w:t>
            </w:r>
          </w:p>
        </w:tc>
        <w:tc>
          <w:tcPr>
            <w:tcW w:w="1896" w:type="pct"/>
          </w:tcPr>
          <w:p w14:paraId="3EE1C2B5" w14:textId="77777777" w:rsidR="00C443A0" w:rsidRDefault="00C443A0" w:rsidP="002D0EB6">
            <w:pPr>
              <w:pStyle w:val="tbltext"/>
              <w:spacing w:line="230" w:lineRule="atLeast"/>
              <w:jc w:val="right"/>
            </w:pPr>
            <w:r>
              <w:t>$57,000</w:t>
            </w:r>
          </w:p>
        </w:tc>
        <w:tc>
          <w:tcPr>
            <w:tcW w:w="1896" w:type="pct"/>
          </w:tcPr>
          <w:p w14:paraId="75F772FE" w14:textId="77777777" w:rsidR="00C443A0" w:rsidRDefault="00C443A0" w:rsidP="002D0EB6">
            <w:pPr>
              <w:pStyle w:val="tbltext"/>
              <w:spacing w:line="230" w:lineRule="atLeast"/>
              <w:jc w:val="right"/>
            </w:pPr>
            <w:r>
              <w:t>($0)</w:t>
            </w:r>
          </w:p>
        </w:tc>
      </w:tr>
      <w:tr w:rsidR="00C443A0" w:rsidRPr="000540E1" w14:paraId="390C21E1" w14:textId="77777777" w:rsidTr="002D0EB6">
        <w:trPr>
          <w:cantSplit/>
        </w:trPr>
        <w:tc>
          <w:tcPr>
            <w:tcW w:w="1208" w:type="pct"/>
          </w:tcPr>
          <w:p w14:paraId="69AA383D" w14:textId="77777777" w:rsidR="00C443A0" w:rsidRDefault="00C443A0" w:rsidP="002D0EB6">
            <w:pPr>
              <w:pStyle w:val="tbltext"/>
              <w:spacing w:line="230" w:lineRule="atLeast"/>
            </w:pPr>
            <w:r>
              <w:t>S2</w:t>
            </w:r>
          </w:p>
        </w:tc>
        <w:tc>
          <w:tcPr>
            <w:tcW w:w="1896" w:type="pct"/>
          </w:tcPr>
          <w:p w14:paraId="423C7BB0" w14:textId="77777777" w:rsidR="00C443A0" w:rsidRDefault="00C443A0" w:rsidP="002D0EB6">
            <w:pPr>
              <w:pStyle w:val="tbltext"/>
              <w:spacing w:line="230" w:lineRule="atLeast"/>
              <w:jc w:val="right"/>
            </w:pPr>
            <w:r>
              <w:t>$57,000</w:t>
            </w:r>
          </w:p>
        </w:tc>
        <w:tc>
          <w:tcPr>
            <w:tcW w:w="1896" w:type="pct"/>
          </w:tcPr>
          <w:p w14:paraId="2561EE9F" w14:textId="77777777" w:rsidR="00C443A0" w:rsidRDefault="00C443A0" w:rsidP="002D0EB6">
            <w:pPr>
              <w:pStyle w:val="tbltext"/>
              <w:spacing w:line="230" w:lineRule="atLeast"/>
              <w:jc w:val="right"/>
            </w:pPr>
            <w:r>
              <w:t>($0)</w:t>
            </w:r>
          </w:p>
        </w:tc>
      </w:tr>
      <w:tr w:rsidR="00C443A0" w:rsidRPr="000540E1" w14:paraId="2D5CFBF0" w14:textId="77777777" w:rsidTr="002D0EB6">
        <w:trPr>
          <w:cantSplit/>
        </w:trPr>
        <w:tc>
          <w:tcPr>
            <w:tcW w:w="1208" w:type="pct"/>
          </w:tcPr>
          <w:p w14:paraId="217C7F98" w14:textId="77777777" w:rsidR="00C443A0" w:rsidRDefault="00C443A0" w:rsidP="002D0EB6">
            <w:pPr>
              <w:pStyle w:val="tbltext"/>
              <w:spacing w:line="230" w:lineRule="atLeast"/>
            </w:pPr>
            <w:r>
              <w:t>S3</w:t>
            </w:r>
          </w:p>
        </w:tc>
        <w:tc>
          <w:tcPr>
            <w:tcW w:w="1896" w:type="pct"/>
          </w:tcPr>
          <w:p w14:paraId="4037AF4E" w14:textId="77777777" w:rsidR="00C443A0" w:rsidRDefault="00C443A0" w:rsidP="002D0EB6">
            <w:pPr>
              <w:pStyle w:val="tbltext"/>
              <w:spacing w:line="230" w:lineRule="atLeast"/>
              <w:jc w:val="right"/>
            </w:pPr>
            <w:r>
              <w:t>$28,500</w:t>
            </w:r>
          </w:p>
        </w:tc>
        <w:tc>
          <w:tcPr>
            <w:tcW w:w="1896" w:type="pct"/>
          </w:tcPr>
          <w:p w14:paraId="334D08F2" w14:textId="77777777" w:rsidR="00C443A0" w:rsidRDefault="00C443A0" w:rsidP="002D0EB6">
            <w:pPr>
              <w:pStyle w:val="tbltext"/>
              <w:spacing w:line="230" w:lineRule="atLeast"/>
              <w:jc w:val="right"/>
            </w:pPr>
            <w:r>
              <w:t>($17,100)</w:t>
            </w:r>
          </w:p>
        </w:tc>
      </w:tr>
      <w:tr w:rsidR="00C443A0" w:rsidRPr="000540E1" w14:paraId="62E872ED" w14:textId="77777777" w:rsidTr="002D0EB6">
        <w:trPr>
          <w:cantSplit/>
        </w:trPr>
        <w:tc>
          <w:tcPr>
            <w:tcW w:w="1208" w:type="pct"/>
          </w:tcPr>
          <w:p w14:paraId="6339FFBA" w14:textId="77777777" w:rsidR="00C443A0" w:rsidRDefault="00C443A0" w:rsidP="002D0EB6">
            <w:pPr>
              <w:pStyle w:val="tbltext"/>
              <w:spacing w:line="230" w:lineRule="atLeast"/>
            </w:pPr>
            <w:r>
              <w:t>S4</w:t>
            </w:r>
          </w:p>
        </w:tc>
        <w:tc>
          <w:tcPr>
            <w:tcW w:w="1896" w:type="pct"/>
          </w:tcPr>
          <w:p w14:paraId="43145EBB" w14:textId="77777777" w:rsidR="00C443A0" w:rsidRDefault="00C443A0" w:rsidP="002D0EB6">
            <w:pPr>
              <w:pStyle w:val="tbltext"/>
              <w:spacing w:line="230" w:lineRule="atLeast"/>
              <w:jc w:val="right"/>
            </w:pPr>
            <w:r>
              <w:t>$0</w:t>
            </w:r>
          </w:p>
        </w:tc>
        <w:tc>
          <w:tcPr>
            <w:tcW w:w="1896" w:type="pct"/>
          </w:tcPr>
          <w:p w14:paraId="7F8315CE" w14:textId="77777777" w:rsidR="00C443A0" w:rsidRDefault="00C443A0" w:rsidP="002D0EB6">
            <w:pPr>
              <w:pStyle w:val="tbltext"/>
              <w:spacing w:line="230" w:lineRule="atLeast"/>
              <w:jc w:val="right"/>
            </w:pPr>
            <w:r>
              <w:t>($2,100)</w:t>
            </w:r>
          </w:p>
        </w:tc>
      </w:tr>
      <w:tr w:rsidR="00C443A0" w:rsidRPr="000540E1" w14:paraId="59F5A35C" w14:textId="77777777" w:rsidTr="002D0EB6">
        <w:trPr>
          <w:cantSplit/>
        </w:trPr>
        <w:tc>
          <w:tcPr>
            <w:tcW w:w="1208" w:type="pct"/>
          </w:tcPr>
          <w:p w14:paraId="0A8DC7F1" w14:textId="77777777" w:rsidR="00C443A0" w:rsidRDefault="00C443A0" w:rsidP="002D0EB6">
            <w:pPr>
              <w:pStyle w:val="tbltext"/>
              <w:spacing w:line="230" w:lineRule="atLeast"/>
            </w:pPr>
            <w:r>
              <w:t>S5</w:t>
            </w:r>
          </w:p>
        </w:tc>
        <w:tc>
          <w:tcPr>
            <w:tcW w:w="1896" w:type="pct"/>
          </w:tcPr>
          <w:p w14:paraId="7C3C13DB" w14:textId="77777777" w:rsidR="00C443A0" w:rsidRDefault="00C443A0" w:rsidP="002D0EB6">
            <w:pPr>
              <w:pStyle w:val="tbltext"/>
              <w:spacing w:line="230" w:lineRule="atLeast"/>
              <w:jc w:val="right"/>
            </w:pPr>
            <w:r>
              <w:t>$0</w:t>
            </w:r>
          </w:p>
        </w:tc>
        <w:tc>
          <w:tcPr>
            <w:tcW w:w="1896" w:type="pct"/>
          </w:tcPr>
          <w:p w14:paraId="27D2B850" w14:textId="77777777" w:rsidR="00C443A0" w:rsidRDefault="00C443A0" w:rsidP="002D0EB6">
            <w:pPr>
              <w:pStyle w:val="tbltext"/>
              <w:spacing w:line="230" w:lineRule="atLeast"/>
              <w:jc w:val="right"/>
            </w:pPr>
            <w:r>
              <w:t>($2,100)</w:t>
            </w:r>
          </w:p>
        </w:tc>
      </w:tr>
      <w:tr w:rsidR="00C443A0" w:rsidRPr="000540E1" w14:paraId="66E57B76" w14:textId="77777777" w:rsidTr="002D0EB6">
        <w:trPr>
          <w:cantSplit/>
        </w:trPr>
        <w:tc>
          <w:tcPr>
            <w:tcW w:w="1208" w:type="pct"/>
          </w:tcPr>
          <w:p w14:paraId="3F88F982" w14:textId="77777777" w:rsidR="00C443A0" w:rsidRDefault="00C443A0" w:rsidP="002D0EB6">
            <w:pPr>
              <w:pStyle w:val="tbltext"/>
              <w:spacing w:line="230" w:lineRule="atLeast"/>
            </w:pPr>
            <w:r>
              <w:t>S6</w:t>
            </w:r>
          </w:p>
        </w:tc>
        <w:tc>
          <w:tcPr>
            <w:tcW w:w="1896" w:type="pct"/>
          </w:tcPr>
          <w:p w14:paraId="04D8B816" w14:textId="77777777" w:rsidR="00C443A0" w:rsidRDefault="00C443A0" w:rsidP="002D0EB6">
            <w:pPr>
              <w:pStyle w:val="tbltext"/>
              <w:spacing w:line="230" w:lineRule="atLeast"/>
              <w:jc w:val="right"/>
            </w:pPr>
            <w:r>
              <w:t>$57,000</w:t>
            </w:r>
          </w:p>
        </w:tc>
        <w:tc>
          <w:tcPr>
            <w:tcW w:w="1896" w:type="pct"/>
          </w:tcPr>
          <w:p w14:paraId="091ADEE4" w14:textId="77777777" w:rsidR="00C443A0" w:rsidRDefault="00C443A0" w:rsidP="002D0EB6">
            <w:pPr>
              <w:pStyle w:val="tbltext"/>
              <w:spacing w:line="230" w:lineRule="atLeast"/>
              <w:jc w:val="right"/>
            </w:pPr>
            <w:r>
              <w:t>($0)</w:t>
            </w:r>
          </w:p>
        </w:tc>
      </w:tr>
      <w:tr w:rsidR="00C443A0" w:rsidRPr="000540E1" w14:paraId="6C8D6EFC" w14:textId="77777777" w:rsidTr="002D0EB6">
        <w:trPr>
          <w:cantSplit/>
        </w:trPr>
        <w:tc>
          <w:tcPr>
            <w:tcW w:w="1208" w:type="pct"/>
          </w:tcPr>
          <w:p w14:paraId="0CBE4546" w14:textId="77777777" w:rsidR="00C443A0" w:rsidRDefault="00C443A0" w:rsidP="002D0EB6">
            <w:pPr>
              <w:pStyle w:val="tbltext"/>
              <w:spacing w:line="230" w:lineRule="atLeast"/>
            </w:pPr>
            <w:r>
              <w:t>S7</w:t>
            </w:r>
          </w:p>
        </w:tc>
        <w:tc>
          <w:tcPr>
            <w:tcW w:w="1896" w:type="pct"/>
          </w:tcPr>
          <w:p w14:paraId="7A743504" w14:textId="77777777" w:rsidR="00C443A0" w:rsidRDefault="00C443A0" w:rsidP="002D0EB6">
            <w:pPr>
              <w:pStyle w:val="tbltext"/>
              <w:spacing w:line="230" w:lineRule="atLeast"/>
              <w:jc w:val="right"/>
            </w:pPr>
            <w:r>
              <w:t>$57,000</w:t>
            </w:r>
          </w:p>
        </w:tc>
        <w:tc>
          <w:tcPr>
            <w:tcW w:w="1896" w:type="pct"/>
          </w:tcPr>
          <w:p w14:paraId="5722C932" w14:textId="77777777" w:rsidR="00C443A0" w:rsidRDefault="00C443A0" w:rsidP="002D0EB6">
            <w:pPr>
              <w:pStyle w:val="tbltext"/>
              <w:spacing w:line="230" w:lineRule="atLeast"/>
              <w:jc w:val="right"/>
            </w:pPr>
            <w:r>
              <w:t>($0)</w:t>
            </w:r>
          </w:p>
        </w:tc>
      </w:tr>
      <w:tr w:rsidR="00C443A0" w:rsidRPr="000540E1" w14:paraId="6C1F5FDA" w14:textId="77777777" w:rsidTr="002D0EB6">
        <w:trPr>
          <w:cantSplit/>
        </w:trPr>
        <w:tc>
          <w:tcPr>
            <w:tcW w:w="1208" w:type="pct"/>
          </w:tcPr>
          <w:p w14:paraId="08E7A200" w14:textId="77777777" w:rsidR="00C443A0" w:rsidRDefault="00C443A0" w:rsidP="002D0EB6">
            <w:pPr>
              <w:pStyle w:val="tbltext"/>
              <w:spacing w:line="230" w:lineRule="atLeast"/>
            </w:pPr>
            <w:r>
              <w:t>S8</w:t>
            </w:r>
          </w:p>
        </w:tc>
        <w:tc>
          <w:tcPr>
            <w:tcW w:w="1896" w:type="pct"/>
          </w:tcPr>
          <w:p w14:paraId="393E9592" w14:textId="77777777" w:rsidR="00C443A0" w:rsidRDefault="00C443A0" w:rsidP="002D0EB6">
            <w:pPr>
              <w:pStyle w:val="tbltext"/>
              <w:spacing w:line="230" w:lineRule="atLeast"/>
              <w:jc w:val="right"/>
            </w:pPr>
            <w:r>
              <w:t>$28,500</w:t>
            </w:r>
          </w:p>
        </w:tc>
        <w:tc>
          <w:tcPr>
            <w:tcW w:w="1896" w:type="pct"/>
          </w:tcPr>
          <w:p w14:paraId="30FCC507" w14:textId="77777777" w:rsidR="00C443A0" w:rsidRDefault="00C443A0" w:rsidP="002D0EB6">
            <w:pPr>
              <w:pStyle w:val="tbltext"/>
              <w:spacing w:line="230" w:lineRule="atLeast"/>
              <w:jc w:val="right"/>
            </w:pPr>
            <w:r>
              <w:t>($8,500)</w:t>
            </w:r>
          </w:p>
        </w:tc>
      </w:tr>
      <w:tr w:rsidR="00C443A0" w:rsidRPr="000540E1" w14:paraId="3B0509D7" w14:textId="77777777" w:rsidTr="002D0EB6">
        <w:trPr>
          <w:cantSplit/>
        </w:trPr>
        <w:tc>
          <w:tcPr>
            <w:tcW w:w="1208" w:type="pct"/>
          </w:tcPr>
          <w:p w14:paraId="0AAD24E3" w14:textId="77777777" w:rsidR="00C443A0" w:rsidRDefault="00C443A0" w:rsidP="002D0EB6">
            <w:pPr>
              <w:pStyle w:val="tbltext"/>
              <w:spacing w:line="230" w:lineRule="atLeast"/>
            </w:pPr>
            <w:r>
              <w:t>S9</w:t>
            </w:r>
          </w:p>
        </w:tc>
        <w:tc>
          <w:tcPr>
            <w:tcW w:w="1896" w:type="pct"/>
          </w:tcPr>
          <w:p w14:paraId="2F6CC127" w14:textId="77777777" w:rsidR="00C443A0" w:rsidRDefault="00C443A0" w:rsidP="002D0EB6">
            <w:pPr>
              <w:pStyle w:val="tbltext"/>
              <w:spacing w:line="230" w:lineRule="atLeast"/>
              <w:jc w:val="right"/>
            </w:pPr>
            <w:r>
              <w:t>$28,500</w:t>
            </w:r>
          </w:p>
        </w:tc>
        <w:tc>
          <w:tcPr>
            <w:tcW w:w="1896" w:type="pct"/>
          </w:tcPr>
          <w:p w14:paraId="7A3AC0D8" w14:textId="77777777" w:rsidR="00C443A0" w:rsidRDefault="00C443A0" w:rsidP="002D0EB6">
            <w:pPr>
              <w:pStyle w:val="tbltext"/>
              <w:spacing w:line="230" w:lineRule="atLeast"/>
              <w:jc w:val="right"/>
            </w:pPr>
            <w:r>
              <w:t>($8,500)</w:t>
            </w:r>
          </w:p>
        </w:tc>
      </w:tr>
      <w:tr w:rsidR="00C443A0" w:rsidRPr="000540E1" w14:paraId="7AFBFCD0" w14:textId="77777777" w:rsidTr="002D0EB6">
        <w:trPr>
          <w:cantSplit/>
        </w:trPr>
        <w:tc>
          <w:tcPr>
            <w:tcW w:w="1208" w:type="pct"/>
          </w:tcPr>
          <w:p w14:paraId="4B57622F" w14:textId="77777777" w:rsidR="00C443A0" w:rsidRDefault="00C443A0" w:rsidP="002D0EB6">
            <w:pPr>
              <w:pStyle w:val="tbltext"/>
              <w:spacing w:line="230" w:lineRule="atLeast"/>
            </w:pPr>
            <w:r>
              <w:t>S10</w:t>
            </w:r>
          </w:p>
        </w:tc>
        <w:tc>
          <w:tcPr>
            <w:tcW w:w="1896" w:type="pct"/>
          </w:tcPr>
          <w:p w14:paraId="725E802F" w14:textId="77777777" w:rsidR="00C443A0" w:rsidRDefault="00C443A0" w:rsidP="002D0EB6">
            <w:pPr>
              <w:pStyle w:val="tbltext"/>
              <w:spacing w:line="230" w:lineRule="atLeast"/>
              <w:jc w:val="right"/>
            </w:pPr>
            <w:r>
              <w:t>$0</w:t>
            </w:r>
          </w:p>
        </w:tc>
        <w:tc>
          <w:tcPr>
            <w:tcW w:w="1896" w:type="pct"/>
          </w:tcPr>
          <w:p w14:paraId="2E68867C" w14:textId="77777777" w:rsidR="00C443A0" w:rsidRDefault="00C443A0" w:rsidP="002D0EB6">
            <w:pPr>
              <w:pStyle w:val="tbltext"/>
              <w:spacing w:line="230" w:lineRule="atLeast"/>
              <w:jc w:val="right"/>
            </w:pPr>
            <w:r>
              <w:t>($1,500)</w:t>
            </w:r>
          </w:p>
        </w:tc>
      </w:tr>
      <w:tr w:rsidR="00C443A0" w:rsidRPr="000540E1" w14:paraId="154BFAE0" w14:textId="77777777" w:rsidTr="002D0EB6">
        <w:trPr>
          <w:cantSplit/>
        </w:trPr>
        <w:tc>
          <w:tcPr>
            <w:tcW w:w="1208" w:type="pct"/>
          </w:tcPr>
          <w:p w14:paraId="301EB97D" w14:textId="77777777" w:rsidR="00C443A0" w:rsidRDefault="00C443A0" w:rsidP="002D0EB6">
            <w:pPr>
              <w:pStyle w:val="tbltext"/>
              <w:spacing w:line="230" w:lineRule="atLeast"/>
            </w:pPr>
            <w:r>
              <w:t>S11</w:t>
            </w:r>
          </w:p>
        </w:tc>
        <w:tc>
          <w:tcPr>
            <w:tcW w:w="1896" w:type="pct"/>
          </w:tcPr>
          <w:p w14:paraId="25BEC90D" w14:textId="77777777" w:rsidR="00C443A0" w:rsidRDefault="00C443A0" w:rsidP="002D0EB6">
            <w:pPr>
              <w:pStyle w:val="tbltext"/>
              <w:spacing w:line="230" w:lineRule="atLeast"/>
              <w:jc w:val="right"/>
            </w:pPr>
            <w:r>
              <w:t>$0</w:t>
            </w:r>
          </w:p>
        </w:tc>
        <w:tc>
          <w:tcPr>
            <w:tcW w:w="1896" w:type="pct"/>
          </w:tcPr>
          <w:p w14:paraId="2333CCFE" w14:textId="77777777" w:rsidR="00C443A0" w:rsidRDefault="00C443A0" w:rsidP="002D0EB6">
            <w:pPr>
              <w:pStyle w:val="tbltext"/>
              <w:spacing w:line="230" w:lineRule="atLeast"/>
              <w:jc w:val="right"/>
            </w:pPr>
            <w:r>
              <w:t>($1,500)</w:t>
            </w:r>
          </w:p>
        </w:tc>
      </w:tr>
      <w:tr w:rsidR="00C443A0" w:rsidRPr="000540E1" w14:paraId="41BCC606" w14:textId="77777777" w:rsidTr="002D0EB6">
        <w:trPr>
          <w:cantSplit/>
        </w:trPr>
        <w:tc>
          <w:tcPr>
            <w:tcW w:w="1208" w:type="pct"/>
          </w:tcPr>
          <w:p w14:paraId="1EE42B9C" w14:textId="77777777" w:rsidR="00C443A0" w:rsidRDefault="00C443A0" w:rsidP="002D0EB6">
            <w:pPr>
              <w:pStyle w:val="tbltext"/>
              <w:spacing w:line="230" w:lineRule="atLeast"/>
            </w:pPr>
            <w:r>
              <w:t>VS1</w:t>
            </w:r>
          </w:p>
        </w:tc>
        <w:tc>
          <w:tcPr>
            <w:tcW w:w="1896" w:type="pct"/>
          </w:tcPr>
          <w:p w14:paraId="3269B70C" w14:textId="77777777" w:rsidR="00C443A0" w:rsidRDefault="00C443A0" w:rsidP="002D0EB6">
            <w:pPr>
              <w:pStyle w:val="tbltext"/>
              <w:spacing w:line="230" w:lineRule="atLeast"/>
              <w:jc w:val="right"/>
            </w:pPr>
            <w:r>
              <w:t>$11,400</w:t>
            </w:r>
          </w:p>
        </w:tc>
        <w:tc>
          <w:tcPr>
            <w:tcW w:w="1896" w:type="pct"/>
          </w:tcPr>
          <w:p w14:paraId="1CA003C1" w14:textId="77777777" w:rsidR="00C443A0" w:rsidRDefault="00C443A0" w:rsidP="002D0EB6">
            <w:pPr>
              <w:pStyle w:val="tbltext"/>
              <w:spacing w:line="230" w:lineRule="atLeast"/>
              <w:jc w:val="right"/>
            </w:pPr>
            <w:r>
              <w:t>($6,800)</w:t>
            </w:r>
          </w:p>
        </w:tc>
      </w:tr>
      <w:tr w:rsidR="00C443A0" w:rsidRPr="000540E1" w14:paraId="54A985FE" w14:textId="77777777" w:rsidTr="002D0EB6">
        <w:trPr>
          <w:cantSplit/>
        </w:trPr>
        <w:tc>
          <w:tcPr>
            <w:tcW w:w="1208" w:type="pct"/>
          </w:tcPr>
          <w:p w14:paraId="0205B5E4" w14:textId="77777777" w:rsidR="00C443A0" w:rsidRDefault="00C443A0" w:rsidP="002D0EB6">
            <w:pPr>
              <w:pStyle w:val="tbltext"/>
              <w:spacing w:line="230" w:lineRule="atLeast"/>
            </w:pPr>
            <w:r>
              <w:t>VS2</w:t>
            </w:r>
          </w:p>
        </w:tc>
        <w:tc>
          <w:tcPr>
            <w:tcW w:w="1896" w:type="pct"/>
          </w:tcPr>
          <w:p w14:paraId="301F99E9" w14:textId="77777777" w:rsidR="00C443A0" w:rsidRDefault="00C443A0" w:rsidP="002D0EB6">
            <w:pPr>
              <w:pStyle w:val="tbltext"/>
              <w:spacing w:line="230" w:lineRule="atLeast"/>
              <w:jc w:val="right"/>
            </w:pPr>
            <w:r>
              <w:t>$0</w:t>
            </w:r>
          </w:p>
        </w:tc>
        <w:tc>
          <w:tcPr>
            <w:tcW w:w="1896" w:type="pct"/>
          </w:tcPr>
          <w:p w14:paraId="47604E52" w14:textId="77777777" w:rsidR="00C443A0" w:rsidRDefault="00C443A0" w:rsidP="002D0EB6">
            <w:pPr>
              <w:pStyle w:val="tbltext"/>
              <w:spacing w:line="230" w:lineRule="atLeast"/>
              <w:jc w:val="right"/>
            </w:pPr>
            <w:r>
              <w:t>($1,500)</w:t>
            </w:r>
          </w:p>
        </w:tc>
      </w:tr>
      <w:tr w:rsidR="00C443A0" w:rsidRPr="000540E1" w14:paraId="50EB3206" w14:textId="77777777" w:rsidTr="002D0EB6">
        <w:trPr>
          <w:cantSplit/>
        </w:trPr>
        <w:tc>
          <w:tcPr>
            <w:tcW w:w="1208" w:type="pct"/>
          </w:tcPr>
          <w:p w14:paraId="068631D3" w14:textId="77777777" w:rsidR="00C443A0" w:rsidRDefault="00C443A0" w:rsidP="002D0EB6">
            <w:pPr>
              <w:pStyle w:val="tbltext"/>
              <w:spacing w:line="230" w:lineRule="atLeast"/>
            </w:pPr>
            <w:r>
              <w:t>VS3</w:t>
            </w:r>
          </w:p>
        </w:tc>
        <w:tc>
          <w:tcPr>
            <w:tcW w:w="1896" w:type="pct"/>
          </w:tcPr>
          <w:p w14:paraId="6532293E" w14:textId="77777777" w:rsidR="00C443A0" w:rsidRDefault="00C443A0" w:rsidP="002D0EB6">
            <w:pPr>
              <w:pStyle w:val="tbltext"/>
              <w:spacing w:line="230" w:lineRule="atLeast"/>
              <w:jc w:val="right"/>
            </w:pPr>
            <w:r>
              <w:t>$0</w:t>
            </w:r>
          </w:p>
        </w:tc>
        <w:tc>
          <w:tcPr>
            <w:tcW w:w="1896" w:type="pct"/>
          </w:tcPr>
          <w:p w14:paraId="50651533" w14:textId="77777777" w:rsidR="00C443A0" w:rsidRDefault="00C443A0" w:rsidP="002D0EB6">
            <w:pPr>
              <w:pStyle w:val="tbltext"/>
              <w:spacing w:line="230" w:lineRule="atLeast"/>
              <w:jc w:val="right"/>
            </w:pPr>
            <w:r>
              <w:t>($1,500)</w:t>
            </w:r>
          </w:p>
        </w:tc>
      </w:tr>
      <w:tr w:rsidR="00C443A0" w:rsidRPr="000540E1" w14:paraId="27193766" w14:textId="77777777" w:rsidTr="002D0EB6">
        <w:trPr>
          <w:cantSplit/>
        </w:trPr>
        <w:tc>
          <w:tcPr>
            <w:tcW w:w="1208" w:type="pct"/>
          </w:tcPr>
          <w:p w14:paraId="69EAEA9E" w14:textId="77777777" w:rsidR="00C443A0" w:rsidRDefault="00C443A0" w:rsidP="002D0EB6">
            <w:pPr>
              <w:pStyle w:val="tbltext"/>
              <w:spacing w:line="230" w:lineRule="atLeast"/>
            </w:pPr>
            <w:r>
              <w:t>VS4</w:t>
            </w:r>
          </w:p>
        </w:tc>
        <w:tc>
          <w:tcPr>
            <w:tcW w:w="1896" w:type="pct"/>
          </w:tcPr>
          <w:p w14:paraId="74379273" w14:textId="77777777" w:rsidR="00C443A0" w:rsidRDefault="00C443A0" w:rsidP="002D0EB6">
            <w:pPr>
              <w:pStyle w:val="tbltext"/>
              <w:spacing w:line="230" w:lineRule="atLeast"/>
              <w:jc w:val="right"/>
            </w:pPr>
            <w:r>
              <w:t>$22,800</w:t>
            </w:r>
          </w:p>
        </w:tc>
        <w:tc>
          <w:tcPr>
            <w:tcW w:w="1896" w:type="pct"/>
          </w:tcPr>
          <w:p w14:paraId="12FA4AEE" w14:textId="77777777" w:rsidR="00C443A0" w:rsidRDefault="00C443A0" w:rsidP="002D0EB6">
            <w:pPr>
              <w:pStyle w:val="tbltext"/>
              <w:spacing w:line="230" w:lineRule="atLeast"/>
              <w:jc w:val="right"/>
            </w:pPr>
            <w:r>
              <w:t>($0)</w:t>
            </w:r>
          </w:p>
        </w:tc>
      </w:tr>
      <w:tr w:rsidR="00C443A0" w:rsidRPr="000540E1" w14:paraId="370B29B8" w14:textId="77777777" w:rsidTr="002D0EB6">
        <w:trPr>
          <w:cantSplit/>
        </w:trPr>
        <w:tc>
          <w:tcPr>
            <w:tcW w:w="1208" w:type="pct"/>
          </w:tcPr>
          <w:p w14:paraId="0D6EFA9B" w14:textId="77777777" w:rsidR="00C443A0" w:rsidRDefault="00C443A0" w:rsidP="002D0EB6">
            <w:pPr>
              <w:pStyle w:val="tbltext"/>
              <w:spacing w:line="230" w:lineRule="atLeast"/>
            </w:pPr>
            <w:r>
              <w:t>VS5</w:t>
            </w:r>
          </w:p>
        </w:tc>
        <w:tc>
          <w:tcPr>
            <w:tcW w:w="1896" w:type="pct"/>
          </w:tcPr>
          <w:p w14:paraId="7590C8C6" w14:textId="77777777" w:rsidR="00C443A0" w:rsidRDefault="00C443A0" w:rsidP="002D0EB6">
            <w:pPr>
              <w:pStyle w:val="tbltext"/>
              <w:spacing w:line="230" w:lineRule="atLeast"/>
              <w:jc w:val="right"/>
            </w:pPr>
            <w:r>
              <w:t>$22,800</w:t>
            </w:r>
          </w:p>
        </w:tc>
        <w:tc>
          <w:tcPr>
            <w:tcW w:w="1896" w:type="pct"/>
          </w:tcPr>
          <w:p w14:paraId="4E73442C" w14:textId="77777777" w:rsidR="00C443A0" w:rsidRDefault="00C443A0" w:rsidP="002D0EB6">
            <w:pPr>
              <w:pStyle w:val="tbltext"/>
              <w:spacing w:line="230" w:lineRule="atLeast"/>
              <w:jc w:val="right"/>
            </w:pPr>
            <w:r>
              <w:t>($0)</w:t>
            </w:r>
          </w:p>
        </w:tc>
      </w:tr>
      <w:tr w:rsidR="00C443A0" w:rsidRPr="000540E1" w14:paraId="5131D426" w14:textId="77777777" w:rsidTr="002D0EB6">
        <w:trPr>
          <w:cantSplit/>
        </w:trPr>
        <w:tc>
          <w:tcPr>
            <w:tcW w:w="1208" w:type="pct"/>
          </w:tcPr>
          <w:p w14:paraId="424C5A99" w14:textId="77777777" w:rsidR="00C443A0" w:rsidRDefault="00C443A0" w:rsidP="002D0EB6">
            <w:pPr>
              <w:pStyle w:val="tbltext"/>
              <w:spacing w:line="230" w:lineRule="atLeast"/>
            </w:pPr>
            <w:r>
              <w:t>VS6</w:t>
            </w:r>
          </w:p>
        </w:tc>
        <w:tc>
          <w:tcPr>
            <w:tcW w:w="1896" w:type="pct"/>
          </w:tcPr>
          <w:p w14:paraId="063C88DC" w14:textId="77777777" w:rsidR="00C443A0" w:rsidRDefault="00C443A0" w:rsidP="002D0EB6">
            <w:pPr>
              <w:pStyle w:val="tbltext"/>
              <w:spacing w:line="230" w:lineRule="atLeast"/>
              <w:jc w:val="right"/>
            </w:pPr>
            <w:r>
              <w:t>$11,400</w:t>
            </w:r>
          </w:p>
        </w:tc>
        <w:tc>
          <w:tcPr>
            <w:tcW w:w="1896" w:type="pct"/>
          </w:tcPr>
          <w:p w14:paraId="5B5B1B44" w14:textId="77777777" w:rsidR="00C443A0" w:rsidRDefault="00C443A0" w:rsidP="002D0EB6">
            <w:pPr>
              <w:pStyle w:val="tbltext"/>
              <w:spacing w:line="230" w:lineRule="atLeast"/>
              <w:jc w:val="right"/>
            </w:pPr>
            <w:r>
              <w:t>($3,400)</w:t>
            </w:r>
          </w:p>
        </w:tc>
      </w:tr>
      <w:tr w:rsidR="00C443A0" w:rsidRPr="000540E1" w14:paraId="1A34237C" w14:textId="77777777" w:rsidTr="002D0EB6">
        <w:trPr>
          <w:cantSplit/>
        </w:trPr>
        <w:tc>
          <w:tcPr>
            <w:tcW w:w="1208" w:type="pct"/>
          </w:tcPr>
          <w:p w14:paraId="7FA4847A" w14:textId="77777777" w:rsidR="00C443A0" w:rsidRDefault="00C443A0" w:rsidP="002D0EB6">
            <w:pPr>
              <w:pStyle w:val="tbltext"/>
              <w:spacing w:line="230" w:lineRule="atLeast"/>
            </w:pPr>
            <w:r>
              <w:t>VS7</w:t>
            </w:r>
          </w:p>
        </w:tc>
        <w:tc>
          <w:tcPr>
            <w:tcW w:w="1896" w:type="pct"/>
          </w:tcPr>
          <w:p w14:paraId="657B31E1" w14:textId="77777777" w:rsidR="00C443A0" w:rsidRDefault="00C443A0" w:rsidP="002D0EB6">
            <w:pPr>
              <w:pStyle w:val="tbltext"/>
              <w:spacing w:line="230" w:lineRule="atLeast"/>
              <w:jc w:val="right"/>
            </w:pPr>
            <w:r>
              <w:t>$11,400</w:t>
            </w:r>
          </w:p>
        </w:tc>
        <w:tc>
          <w:tcPr>
            <w:tcW w:w="1896" w:type="pct"/>
          </w:tcPr>
          <w:p w14:paraId="423584CA" w14:textId="77777777" w:rsidR="00C443A0" w:rsidRDefault="00C443A0" w:rsidP="002D0EB6">
            <w:pPr>
              <w:pStyle w:val="tbltext"/>
              <w:spacing w:line="230" w:lineRule="atLeast"/>
              <w:jc w:val="right"/>
            </w:pPr>
            <w:r>
              <w:t>($3,400)</w:t>
            </w:r>
          </w:p>
        </w:tc>
      </w:tr>
      <w:tr w:rsidR="00C443A0" w:rsidRPr="000540E1" w14:paraId="728A7E4D" w14:textId="77777777" w:rsidTr="002D0EB6">
        <w:trPr>
          <w:cantSplit/>
        </w:trPr>
        <w:tc>
          <w:tcPr>
            <w:tcW w:w="1208" w:type="pct"/>
          </w:tcPr>
          <w:p w14:paraId="5D420750" w14:textId="77777777" w:rsidR="00C443A0" w:rsidRDefault="00C443A0" w:rsidP="002D0EB6">
            <w:pPr>
              <w:pStyle w:val="tbltext"/>
              <w:spacing w:line="230" w:lineRule="atLeast"/>
            </w:pPr>
            <w:r>
              <w:t>VS8</w:t>
            </w:r>
          </w:p>
        </w:tc>
        <w:tc>
          <w:tcPr>
            <w:tcW w:w="1896" w:type="pct"/>
          </w:tcPr>
          <w:p w14:paraId="491F7BE7" w14:textId="77777777" w:rsidR="00C443A0" w:rsidRDefault="00C443A0" w:rsidP="002D0EB6">
            <w:pPr>
              <w:pStyle w:val="tbltext"/>
              <w:spacing w:line="230" w:lineRule="atLeast"/>
              <w:jc w:val="right"/>
            </w:pPr>
            <w:r>
              <w:t>$0</w:t>
            </w:r>
          </w:p>
        </w:tc>
        <w:tc>
          <w:tcPr>
            <w:tcW w:w="1896" w:type="pct"/>
          </w:tcPr>
          <w:p w14:paraId="57E11FB6" w14:textId="77777777" w:rsidR="00C443A0" w:rsidRDefault="00C443A0" w:rsidP="002D0EB6">
            <w:pPr>
              <w:pStyle w:val="tbltext"/>
              <w:spacing w:line="230" w:lineRule="atLeast"/>
              <w:jc w:val="right"/>
            </w:pPr>
            <w:r>
              <w:t>($1,500)</w:t>
            </w:r>
          </w:p>
        </w:tc>
      </w:tr>
      <w:tr w:rsidR="00C443A0" w:rsidRPr="000540E1" w14:paraId="03D9274C" w14:textId="77777777" w:rsidTr="002D0EB6">
        <w:trPr>
          <w:cantSplit/>
        </w:trPr>
        <w:tc>
          <w:tcPr>
            <w:tcW w:w="1208" w:type="pct"/>
          </w:tcPr>
          <w:p w14:paraId="461C5379" w14:textId="77777777" w:rsidR="00C443A0" w:rsidRDefault="00C443A0" w:rsidP="002D0EB6">
            <w:pPr>
              <w:pStyle w:val="tbltext"/>
              <w:spacing w:line="230" w:lineRule="atLeast"/>
            </w:pPr>
            <w:r>
              <w:t>VS9</w:t>
            </w:r>
          </w:p>
        </w:tc>
        <w:tc>
          <w:tcPr>
            <w:tcW w:w="1896" w:type="pct"/>
          </w:tcPr>
          <w:p w14:paraId="47BB1A67" w14:textId="77777777" w:rsidR="00C443A0" w:rsidRDefault="00C443A0" w:rsidP="002D0EB6">
            <w:pPr>
              <w:pStyle w:val="tbltext"/>
              <w:spacing w:line="230" w:lineRule="atLeast"/>
              <w:jc w:val="right"/>
            </w:pPr>
            <w:r>
              <w:t>$0</w:t>
            </w:r>
          </w:p>
        </w:tc>
        <w:tc>
          <w:tcPr>
            <w:tcW w:w="1896" w:type="pct"/>
          </w:tcPr>
          <w:p w14:paraId="6FF0CC43" w14:textId="77777777" w:rsidR="00C443A0" w:rsidRDefault="00C443A0" w:rsidP="002D0EB6">
            <w:pPr>
              <w:pStyle w:val="tbltext"/>
              <w:spacing w:line="230" w:lineRule="atLeast"/>
              <w:jc w:val="right"/>
            </w:pPr>
            <w:r>
              <w:t>($1,500)</w:t>
            </w:r>
          </w:p>
        </w:tc>
      </w:tr>
    </w:tbl>
    <w:p w14:paraId="3CC532F3" w14:textId="5C95AE98" w:rsidR="00C443A0" w:rsidRDefault="00C443A0" w:rsidP="00C443A0">
      <w:pPr>
        <w:pStyle w:val="BodyText"/>
        <w:numPr>
          <w:ilvl w:val="0"/>
          <w:numId w:val="17"/>
        </w:numPr>
      </w:pPr>
      <w:r>
        <w:t xml:space="preserve">From </w:t>
      </w:r>
      <w:r>
        <w:fldChar w:fldCharType="begin" w:fldLock="1"/>
      </w:r>
      <w:r>
        <w:instrText xml:space="preserve"> REF _Ref100734201 \h </w:instrText>
      </w:r>
      <w:r>
        <w:fldChar w:fldCharType="separate"/>
      </w:r>
      <w:r w:rsidR="00853A2A">
        <w:t xml:space="preserve">Table </w:t>
      </w:r>
      <w:r w:rsidR="00853A2A">
        <w:rPr>
          <w:noProof/>
        </w:rPr>
        <w:t>50</w:t>
      </w:r>
      <w:r>
        <w:fldChar w:fldCharType="end"/>
      </w:r>
      <w:r>
        <w:t xml:space="preserve">, over a </w:t>
      </w:r>
      <w:r w:rsidR="00A609AA">
        <w:t>10-</w:t>
      </w:r>
      <w:r>
        <w:t xml:space="preserve">year period, </w:t>
      </w:r>
      <w:r w:rsidR="00A609AA">
        <w:t xml:space="preserve">seven </w:t>
      </w:r>
      <w:r>
        <w:t xml:space="preserve">groups of reporting entities would have lower costs under Option 2 compared </w:t>
      </w:r>
      <w:r w:rsidR="00CA5C96">
        <w:t xml:space="preserve">to </w:t>
      </w:r>
      <w:r>
        <w:t>Option 1, with an average cost reduction of $5,535 per annum. However, 24 groups of reporting entities would have higher costs, with an average cost increase of $8,637 per annum.</w:t>
      </w:r>
    </w:p>
    <w:p w14:paraId="744071C9" w14:textId="11817C54" w:rsidR="00C443A0" w:rsidRDefault="00C443A0" w:rsidP="00C443A0">
      <w:pPr>
        <w:pStyle w:val="BodyText"/>
        <w:numPr>
          <w:ilvl w:val="0"/>
          <w:numId w:val="17"/>
        </w:numPr>
      </w:pPr>
      <w:r>
        <w:t>In relation to Option 3, it is possible that the product identifier requirements would not be the UPI in a jurisdiction, provided the UPI was supported when there is cross-border access to that jurisdiction’s trade repository data to better facilitate the cross-border aggregation of OTC derivatives transaction data.</w:t>
      </w:r>
    </w:p>
    <w:p w14:paraId="675A203B" w14:textId="77777777" w:rsidR="00C443A0" w:rsidRDefault="00C443A0" w:rsidP="00C443A0">
      <w:pPr>
        <w:pStyle w:val="BodyText"/>
        <w:numPr>
          <w:ilvl w:val="0"/>
          <w:numId w:val="17"/>
        </w:numPr>
      </w:pPr>
      <w:r>
        <w:t>This is not our preferred option and is not proposed in this consultation paper, but a means to achieve this could be to require that derivative trade repositories, whenever access to the trade repository data is provided to another jurisdiction, convert the product identifiers to UPIs when they provide the data.</w:t>
      </w:r>
    </w:p>
    <w:p w14:paraId="07936D26" w14:textId="0CE06FF1" w:rsidR="00C443A0" w:rsidRDefault="00C443A0" w:rsidP="00C443A0">
      <w:pPr>
        <w:pStyle w:val="BodyText"/>
        <w:numPr>
          <w:ilvl w:val="0"/>
          <w:numId w:val="17"/>
        </w:numPr>
      </w:pPr>
      <w:r>
        <w:t>A product identifier would be reported according to, for example, the current non-UPI product taxonomy. However, each transaction report from reporting entities would need to include all of the information that a derivative trade repository required in order to obtain a UPI for that transaction report. For this, a number of data elements that have been removed from the draft amended ASIC Rules</w:t>
      </w:r>
      <w:r w:rsidR="00A609AA" w:rsidRPr="002D0EB6">
        <w:t>—</w:t>
      </w:r>
      <w:r>
        <w:t>as otherwise duplicative of ‘UPI-embedded information’</w:t>
      </w:r>
      <w:r w:rsidR="00A609AA" w:rsidRPr="00B01B13">
        <w:t>—</w:t>
      </w:r>
      <w:r>
        <w:t>would need to be added back to the rules.</w:t>
      </w:r>
    </w:p>
    <w:p w14:paraId="3DCF0BFE" w14:textId="19333989" w:rsidR="00C443A0" w:rsidRDefault="00C443A0" w:rsidP="00C443A0">
      <w:pPr>
        <w:pStyle w:val="BodyText"/>
        <w:numPr>
          <w:ilvl w:val="0"/>
          <w:numId w:val="17"/>
        </w:numPr>
      </w:pPr>
      <w:r>
        <w:t>In addition to the regulatory burden costs of not implementing ISO 20022 report messages per Option 2, we think that the implementation elements of Option 3 for reporting entities would be:</w:t>
      </w:r>
    </w:p>
    <w:p w14:paraId="4B0BEA29" w14:textId="00A551EF" w:rsidR="00C443A0" w:rsidRDefault="00C443A0" w:rsidP="00C443A0">
      <w:pPr>
        <w:pStyle w:val="BodyText"/>
        <w:numPr>
          <w:ilvl w:val="1"/>
          <w:numId w:val="17"/>
        </w:numPr>
      </w:pPr>
      <w:r w:rsidRPr="002D0EB6">
        <w:rPr>
          <w:i/>
          <w:iCs/>
        </w:rPr>
        <w:t>ASIC data elements</w:t>
      </w:r>
      <w:r w:rsidR="00A609AA" w:rsidRPr="00B01B13">
        <w:t>—</w:t>
      </w:r>
      <w:r>
        <w:t>the add-back data elements are not new data elements that require sourcing but would no longer be data elements that can be removed from reporting</w:t>
      </w:r>
      <w:r w:rsidR="00044074">
        <w:t>. A</w:t>
      </w:r>
      <w:r>
        <w:t>t least one additional data element would be required to be reported</w:t>
      </w:r>
      <w:r w:rsidR="00044074" w:rsidRPr="00B01B13">
        <w:t>—</w:t>
      </w:r>
      <w:r>
        <w:t>the valuation or payoff descriptor that is a reference data element in the UPI system;</w:t>
      </w:r>
    </w:p>
    <w:p w14:paraId="23230D66" w14:textId="2E9075A3" w:rsidR="00C443A0" w:rsidRDefault="00C443A0" w:rsidP="00C443A0">
      <w:pPr>
        <w:pStyle w:val="BodyText"/>
        <w:numPr>
          <w:ilvl w:val="1"/>
          <w:numId w:val="17"/>
        </w:numPr>
      </w:pPr>
      <w:r w:rsidRPr="002D0EB6">
        <w:rPr>
          <w:i/>
          <w:iCs/>
        </w:rPr>
        <w:t>UPI</w:t>
      </w:r>
      <w:r w:rsidR="00A609AA" w:rsidRPr="00B01B13">
        <w:t>—</w:t>
      </w:r>
      <w:r>
        <w:t>many reporting entities would no longer require systems and processes to obtain UPIs though some may need to do so for reporting in other jurisdictions, including reporting as a delegate, or to provide a UPI to a client as may be permitted by the UPI user policies and agreements.</w:t>
      </w:r>
    </w:p>
    <w:p w14:paraId="12C5C81E" w14:textId="05443E14" w:rsidR="00C443A0" w:rsidRDefault="00C443A0" w:rsidP="00C443A0">
      <w:pPr>
        <w:pStyle w:val="BodyText"/>
        <w:numPr>
          <w:ilvl w:val="0"/>
          <w:numId w:val="17"/>
        </w:numPr>
      </w:pPr>
      <w:r>
        <w:t xml:space="preserve">A derivative trade repository would need to implement systems </w:t>
      </w:r>
      <w:r w:rsidR="00044074">
        <w:t>and/</w:t>
      </w:r>
      <w:r>
        <w:t xml:space="preserve">or processes to obtain and handle UPIs. At this time, we think that such systems </w:t>
      </w:r>
      <w:r w:rsidR="00044074">
        <w:t>and/</w:t>
      </w:r>
      <w:r>
        <w:t>or processes would be solely in support of a requirement related to reporting under the ASIC Rules. They would also need to be applicable to any of the reports of any ASIC reporting entity</w:t>
      </w:r>
      <w:r w:rsidR="00044074" w:rsidRPr="00B01B13">
        <w:t>—</w:t>
      </w:r>
      <w:r>
        <w:t>in our experience, and as we understand it more broadly, cross-border trade repository data is made available to regulators on a variety of factors, such as underlier and currency of notional principal, which are independent of the domiciles of the counterparties to the transaction and whether the transaction is only reported in this jurisdiction.</w:t>
      </w:r>
    </w:p>
    <w:p w14:paraId="489AD401" w14:textId="77777777" w:rsidR="00C443A0" w:rsidRDefault="00C443A0" w:rsidP="00C443A0">
      <w:pPr>
        <w:pStyle w:val="BodyText"/>
        <w:numPr>
          <w:ilvl w:val="0"/>
          <w:numId w:val="17"/>
        </w:numPr>
      </w:pPr>
      <w:r>
        <w:t xml:space="preserve">We have estimated the regulatory compliance burden of implementing Option 3 </w:t>
      </w:r>
      <w:r>
        <w:rPr>
          <w:i/>
          <w:iCs/>
        </w:rPr>
        <w:t xml:space="preserve">relative to Option </w:t>
      </w:r>
      <w:r w:rsidRPr="00A54E0C">
        <w:rPr>
          <w:i/>
          <w:iCs/>
        </w:rPr>
        <w:t>1</w:t>
      </w:r>
      <w:r>
        <w:t xml:space="preserve"> assuming for:</w:t>
      </w:r>
    </w:p>
    <w:p w14:paraId="76C41189" w14:textId="260E3FA3" w:rsidR="00C443A0" w:rsidRDefault="00C443A0" w:rsidP="00C443A0">
      <w:pPr>
        <w:pStyle w:val="BodyText"/>
        <w:numPr>
          <w:ilvl w:val="1"/>
          <w:numId w:val="17"/>
        </w:numPr>
      </w:pPr>
      <w:r w:rsidRPr="008C0C33">
        <w:rPr>
          <w:i/>
          <w:iCs/>
        </w:rPr>
        <w:t>ISO 20022 report messaging</w:t>
      </w:r>
      <w:r w:rsidR="00044074" w:rsidRPr="00B01B13">
        <w:t>—</w:t>
      </w:r>
      <w:r>
        <w:t>the same regulatory compliance burden as Option 2 for this element of not implementing ISO 20022 report messaging;</w:t>
      </w:r>
    </w:p>
    <w:p w14:paraId="5AE1B98B" w14:textId="0CCF99F8" w:rsidR="00C443A0" w:rsidRDefault="00C443A0" w:rsidP="00C443A0">
      <w:pPr>
        <w:pStyle w:val="BodyText"/>
        <w:numPr>
          <w:ilvl w:val="1"/>
          <w:numId w:val="17"/>
        </w:numPr>
      </w:pPr>
      <w:r w:rsidRPr="008C0C33">
        <w:rPr>
          <w:i/>
          <w:iCs/>
        </w:rPr>
        <w:t>ASIC data elements</w:t>
      </w:r>
      <w:r w:rsidR="00044074" w:rsidRPr="00B01B13">
        <w:t>—</w:t>
      </w:r>
      <w:r>
        <w:t xml:space="preserve">any savings in not removing ‘UPI-embedded’ data elements </w:t>
      </w:r>
      <w:r w:rsidR="00044074">
        <w:t xml:space="preserve">are </w:t>
      </w:r>
      <w:r>
        <w:t>equally offset by the need to source and report the additional reference data elements in the UPI systems;</w:t>
      </w:r>
    </w:p>
    <w:p w14:paraId="2097DE3E" w14:textId="5E16104B" w:rsidR="00C443A0" w:rsidRDefault="00C443A0" w:rsidP="00C443A0">
      <w:pPr>
        <w:pStyle w:val="BodyText"/>
        <w:numPr>
          <w:ilvl w:val="1"/>
          <w:numId w:val="17"/>
        </w:numPr>
      </w:pPr>
      <w:r w:rsidRPr="008C0C33">
        <w:rPr>
          <w:i/>
          <w:iCs/>
        </w:rPr>
        <w:t>UPI (direct)</w:t>
      </w:r>
      <w:r w:rsidR="00044074" w:rsidRPr="00B01B13">
        <w:t>—</w:t>
      </w:r>
      <w:r>
        <w:t>large-scale reporting entities would still require UPI handling capabilities and continue to be ‘Power users’ under the UPI system;</w:t>
      </w:r>
    </w:p>
    <w:p w14:paraId="7D35B4B4" w14:textId="31EF7A00" w:rsidR="00C443A0" w:rsidRDefault="00C443A0" w:rsidP="00C443A0">
      <w:pPr>
        <w:pStyle w:val="BodyText"/>
        <w:numPr>
          <w:ilvl w:val="1"/>
          <w:numId w:val="17"/>
        </w:numPr>
      </w:pPr>
      <w:r w:rsidRPr="008C0C33">
        <w:rPr>
          <w:i/>
          <w:iCs/>
        </w:rPr>
        <w:t>UPI (indirect)</w:t>
      </w:r>
      <w:r w:rsidR="00044074" w:rsidRPr="00B01B13">
        <w:t>—</w:t>
      </w:r>
      <w:r>
        <w:t xml:space="preserve">a derivative trade repository would have </w:t>
      </w:r>
      <w:r w:rsidR="00044074">
        <w:t xml:space="preserve">first </w:t>
      </w:r>
      <w:r>
        <w:t>year and ongoing costs equal to the aggregate of these costs under Option 1 for large-scale reporting entities and would increase fees to all reporting entities in proportion to their Option 1 scale and breadth costs for the ASIC data elements (as a proxy for the ongoing scale and breadth of entities reporting).</w:t>
      </w:r>
    </w:p>
    <w:p w14:paraId="106268D6" w14:textId="77D3F87E" w:rsidR="00C443A0" w:rsidRDefault="00C443A0" w:rsidP="00C443A0">
      <w:pPr>
        <w:pStyle w:val="BodyText"/>
        <w:numPr>
          <w:ilvl w:val="0"/>
          <w:numId w:val="17"/>
        </w:numPr>
      </w:pPr>
      <w:r>
        <w:t>Our estimates of the regulatory compliance burden of implementing Option</w:t>
      </w:r>
      <w:r w:rsidR="00044074">
        <w:t> </w:t>
      </w:r>
      <w:r>
        <w:t xml:space="preserve">3 </w:t>
      </w:r>
      <w:r>
        <w:rPr>
          <w:i/>
          <w:iCs/>
        </w:rPr>
        <w:t xml:space="preserve">relative to Option </w:t>
      </w:r>
      <w:r w:rsidRPr="00A54E0C">
        <w:rPr>
          <w:i/>
          <w:iCs/>
        </w:rPr>
        <w:t>1</w:t>
      </w:r>
      <w:r>
        <w:t xml:space="preserve"> for groups of reporting entities is set out in </w:t>
      </w:r>
      <w:r>
        <w:fldChar w:fldCharType="begin" w:fldLock="1"/>
      </w:r>
      <w:r>
        <w:instrText xml:space="preserve"> REF _Ref100751648 \h </w:instrText>
      </w:r>
      <w:r>
        <w:fldChar w:fldCharType="separate"/>
      </w:r>
      <w:r w:rsidR="00853A2A">
        <w:t xml:space="preserve">Table </w:t>
      </w:r>
      <w:r w:rsidR="00853A2A">
        <w:rPr>
          <w:noProof/>
        </w:rPr>
        <w:t>51</w:t>
      </w:r>
      <w:r>
        <w:fldChar w:fldCharType="end"/>
      </w:r>
      <w:r>
        <w:t>.</w:t>
      </w:r>
    </w:p>
    <w:p w14:paraId="09306916" w14:textId="77777777" w:rsidR="00044074" w:rsidRPr="00044074" w:rsidRDefault="00044074" w:rsidP="00F473E5">
      <w:pPr>
        <w:sectPr w:rsidR="00044074" w:rsidRPr="00044074" w:rsidSect="00FC511F">
          <w:headerReference w:type="even" r:id="rId189"/>
          <w:headerReference w:type="default" r:id="rId190"/>
          <w:footerReference w:type="even" r:id="rId191"/>
          <w:footerReference w:type="default" r:id="rId192"/>
          <w:headerReference w:type="first" r:id="rId193"/>
          <w:pgSz w:w="11906" w:h="16838" w:code="9"/>
          <w:pgMar w:top="1644" w:right="1418" w:bottom="1418" w:left="1418" w:header="567" w:footer="567" w:gutter="0"/>
          <w:cols w:space="720"/>
          <w:docGrid w:linePitch="299"/>
        </w:sectPr>
      </w:pPr>
    </w:p>
    <w:p w14:paraId="2A5C8E91" w14:textId="603DBAB9" w:rsidR="00C443A0" w:rsidRDefault="00C443A0" w:rsidP="00C443A0">
      <w:pPr>
        <w:pStyle w:val="tabletitleindented"/>
        <w:ind w:left="992"/>
      </w:pPr>
      <w:bookmarkStart w:id="356" w:name="_Ref100751648"/>
      <w:r>
        <w:t xml:space="preserve">Table </w:t>
      </w:r>
      <w:fldSimple w:instr=" SEQ Table \* ARABIC ">
        <w:r w:rsidR="006679BA">
          <w:rPr>
            <w:noProof/>
          </w:rPr>
          <w:t>51</w:t>
        </w:r>
      </w:fldSimple>
      <w:bookmarkEnd w:id="356"/>
      <w:r>
        <w:t>:</w:t>
      </w:r>
      <w:r>
        <w:tab/>
        <w:t>R</w:t>
      </w:r>
      <w:r w:rsidRPr="00D94DC2">
        <w:t>egulatory compliance burden</w:t>
      </w:r>
      <w:r>
        <w:t xml:space="preserve"> by reporting entity groups</w:t>
      </w:r>
      <w:r w:rsidR="00B0617B" w:rsidRPr="008C0C33">
        <w:t>—</w:t>
      </w:r>
      <w:r>
        <w:t>Option 3 relative to Option 1</w:t>
      </w:r>
    </w:p>
    <w:tbl>
      <w:tblPr>
        <w:tblW w:w="13750"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137"/>
        <w:gridCol w:w="2523"/>
        <w:gridCol w:w="2523"/>
        <w:gridCol w:w="2523"/>
        <w:gridCol w:w="2522"/>
        <w:gridCol w:w="2522"/>
      </w:tblGrid>
      <w:tr w:rsidR="00C443A0" w:rsidRPr="000540E1" w14:paraId="3E36339E" w14:textId="77777777" w:rsidTr="008C0C33">
        <w:trPr>
          <w:cantSplit/>
          <w:tblHeader/>
        </w:trPr>
        <w:tc>
          <w:tcPr>
            <w:tcW w:w="413" w:type="pct"/>
            <w:shd w:val="clear" w:color="auto" w:fill="C2E3FA"/>
          </w:tcPr>
          <w:p w14:paraId="3BD62CB0" w14:textId="77777777" w:rsidR="00C443A0" w:rsidRDefault="00C443A0" w:rsidP="008C0C33">
            <w:pPr>
              <w:pStyle w:val="tablehead"/>
              <w:spacing w:before="100" w:line="228" w:lineRule="atLeast"/>
            </w:pPr>
            <w:r>
              <w:t>Group</w:t>
            </w:r>
          </w:p>
        </w:tc>
        <w:tc>
          <w:tcPr>
            <w:tcW w:w="917" w:type="pct"/>
            <w:shd w:val="clear" w:color="auto" w:fill="C2E3FA"/>
          </w:tcPr>
          <w:p w14:paraId="227D37E0" w14:textId="7EB623F7" w:rsidR="00C443A0" w:rsidRPr="000540E1" w:rsidRDefault="00C443A0" w:rsidP="008C0C33">
            <w:pPr>
              <w:pStyle w:val="tablehead"/>
              <w:spacing w:before="100" w:line="228" w:lineRule="atLeast"/>
              <w:jc w:val="right"/>
            </w:pPr>
            <w:r>
              <w:t>ISO 20022</w:t>
            </w:r>
            <w:r w:rsidR="005E5296" w:rsidRPr="008C0C33">
              <w:t>—</w:t>
            </w:r>
            <w:r>
              <w:t>avoided</w:t>
            </w:r>
            <w:r w:rsidR="005E5296">
              <w:t xml:space="preserve"> first </w:t>
            </w:r>
            <w:r>
              <w:t>year costs</w:t>
            </w:r>
          </w:p>
        </w:tc>
        <w:tc>
          <w:tcPr>
            <w:tcW w:w="917" w:type="pct"/>
            <w:shd w:val="clear" w:color="auto" w:fill="C2E3FA"/>
          </w:tcPr>
          <w:p w14:paraId="38D56158" w14:textId="6B2FCD27" w:rsidR="00C443A0" w:rsidRDefault="00C443A0" w:rsidP="008C0C33">
            <w:pPr>
              <w:pStyle w:val="tablehead"/>
              <w:spacing w:before="100" w:line="228" w:lineRule="atLeast"/>
              <w:jc w:val="right"/>
            </w:pPr>
            <w:r>
              <w:t>UPI (direct)</w:t>
            </w:r>
            <w:r w:rsidR="00B0617B" w:rsidRPr="00B01B13">
              <w:t>—</w:t>
            </w:r>
            <w:r>
              <w:t>avoided</w:t>
            </w:r>
            <w:r w:rsidR="005E5296">
              <w:t xml:space="preserve"> first </w:t>
            </w:r>
            <w:r>
              <w:t>year costs</w:t>
            </w:r>
          </w:p>
        </w:tc>
        <w:tc>
          <w:tcPr>
            <w:tcW w:w="917" w:type="pct"/>
            <w:shd w:val="clear" w:color="auto" w:fill="C2E3FA"/>
          </w:tcPr>
          <w:p w14:paraId="6D04460E" w14:textId="22BF1D04" w:rsidR="00C443A0" w:rsidRDefault="00C443A0" w:rsidP="008C0C33">
            <w:pPr>
              <w:pStyle w:val="tablehead"/>
              <w:spacing w:before="100" w:line="228" w:lineRule="atLeast"/>
              <w:jc w:val="right"/>
            </w:pPr>
            <w:r>
              <w:t>UPI (direct)</w:t>
            </w:r>
            <w:r w:rsidR="00B0617B" w:rsidRPr="00B01B13">
              <w:t>—</w:t>
            </w:r>
            <w:r>
              <w:t>avoided</w:t>
            </w:r>
            <w:r w:rsidR="005E5296">
              <w:t xml:space="preserve"> </w:t>
            </w:r>
            <w:r>
              <w:t>ongoing costs</w:t>
            </w:r>
          </w:p>
        </w:tc>
        <w:tc>
          <w:tcPr>
            <w:tcW w:w="917" w:type="pct"/>
            <w:shd w:val="clear" w:color="auto" w:fill="C2E3FA"/>
          </w:tcPr>
          <w:p w14:paraId="5800862A" w14:textId="7010CB99" w:rsidR="00C443A0" w:rsidRPr="000540E1" w:rsidRDefault="00C443A0" w:rsidP="008C0C33">
            <w:pPr>
              <w:pStyle w:val="tablehead"/>
              <w:spacing w:before="100" w:line="228" w:lineRule="atLeast"/>
              <w:jc w:val="right"/>
            </w:pPr>
            <w:r>
              <w:t>System synergies</w:t>
            </w:r>
            <w:r w:rsidR="00B0617B" w:rsidRPr="00B01B13">
              <w:t>—</w:t>
            </w:r>
            <w:r>
              <w:t>forgone ongoing savings plus maintenance cost increase</w:t>
            </w:r>
          </w:p>
        </w:tc>
        <w:tc>
          <w:tcPr>
            <w:tcW w:w="917" w:type="pct"/>
            <w:shd w:val="clear" w:color="auto" w:fill="C2E3FA"/>
          </w:tcPr>
          <w:p w14:paraId="2727D57F" w14:textId="19BFEE55" w:rsidR="00C443A0" w:rsidRDefault="00C443A0" w:rsidP="008C0C33">
            <w:pPr>
              <w:pStyle w:val="tablehead"/>
              <w:spacing w:before="100" w:line="228" w:lineRule="atLeast"/>
              <w:jc w:val="right"/>
            </w:pPr>
            <w:r>
              <w:t>UPI (indirect)</w:t>
            </w:r>
            <w:r w:rsidR="00B0617B" w:rsidRPr="00B01B13">
              <w:t>—</w:t>
            </w:r>
            <w:r>
              <w:t>increased TR fees</w:t>
            </w:r>
            <w:r w:rsidR="00B0617B">
              <w:t xml:space="preserve"> </w:t>
            </w:r>
            <w:r>
              <w:t>ongoing costs</w:t>
            </w:r>
          </w:p>
        </w:tc>
      </w:tr>
      <w:tr w:rsidR="00C443A0" w:rsidRPr="000540E1" w14:paraId="1E8158AE" w14:textId="77777777" w:rsidTr="008C0C33">
        <w:trPr>
          <w:cantSplit/>
        </w:trPr>
        <w:tc>
          <w:tcPr>
            <w:tcW w:w="413" w:type="pct"/>
          </w:tcPr>
          <w:p w14:paraId="4066FD01" w14:textId="77777777" w:rsidR="00C443A0" w:rsidRPr="000540E1" w:rsidRDefault="00C443A0" w:rsidP="008C0C33">
            <w:pPr>
              <w:pStyle w:val="tbltext"/>
              <w:spacing w:before="100" w:line="228" w:lineRule="atLeast"/>
            </w:pPr>
            <w:r>
              <w:t>L1</w:t>
            </w:r>
          </w:p>
        </w:tc>
        <w:tc>
          <w:tcPr>
            <w:tcW w:w="917" w:type="pct"/>
          </w:tcPr>
          <w:p w14:paraId="4A04E994" w14:textId="77777777" w:rsidR="00C443A0" w:rsidRPr="000540E1" w:rsidRDefault="00C443A0" w:rsidP="008C0C33">
            <w:pPr>
              <w:pStyle w:val="tbltext"/>
              <w:spacing w:before="100" w:line="228" w:lineRule="atLeast"/>
              <w:jc w:val="right"/>
            </w:pPr>
            <w:r>
              <w:t>$228,000</w:t>
            </w:r>
          </w:p>
        </w:tc>
        <w:tc>
          <w:tcPr>
            <w:tcW w:w="917" w:type="pct"/>
          </w:tcPr>
          <w:p w14:paraId="3981A0EB" w14:textId="77777777" w:rsidR="00C443A0" w:rsidRDefault="00C443A0" w:rsidP="008C0C33">
            <w:pPr>
              <w:pStyle w:val="tbltext"/>
              <w:spacing w:before="100" w:line="228" w:lineRule="atLeast"/>
              <w:jc w:val="right"/>
            </w:pPr>
            <w:r>
              <w:t>$0</w:t>
            </w:r>
          </w:p>
        </w:tc>
        <w:tc>
          <w:tcPr>
            <w:tcW w:w="917" w:type="pct"/>
          </w:tcPr>
          <w:p w14:paraId="3D071C28" w14:textId="77777777" w:rsidR="00C443A0" w:rsidRDefault="00C443A0" w:rsidP="008C0C33">
            <w:pPr>
              <w:pStyle w:val="tbltext"/>
              <w:spacing w:before="100" w:line="228" w:lineRule="atLeast"/>
              <w:jc w:val="right"/>
            </w:pPr>
            <w:r>
              <w:t>$0</w:t>
            </w:r>
          </w:p>
        </w:tc>
        <w:tc>
          <w:tcPr>
            <w:tcW w:w="917" w:type="pct"/>
          </w:tcPr>
          <w:p w14:paraId="54CFFAA1" w14:textId="77777777" w:rsidR="00C443A0" w:rsidRPr="000540E1" w:rsidRDefault="00C443A0" w:rsidP="008C0C33">
            <w:pPr>
              <w:pStyle w:val="tbltext"/>
              <w:spacing w:before="100" w:line="228" w:lineRule="atLeast"/>
              <w:jc w:val="right"/>
            </w:pPr>
            <w:r>
              <w:t>($68,400)</w:t>
            </w:r>
          </w:p>
        </w:tc>
        <w:tc>
          <w:tcPr>
            <w:tcW w:w="917" w:type="pct"/>
          </w:tcPr>
          <w:p w14:paraId="49CED2FF" w14:textId="77777777" w:rsidR="00C443A0" w:rsidRDefault="00C443A0" w:rsidP="008C0C33">
            <w:pPr>
              <w:pStyle w:val="tbltext"/>
              <w:spacing w:before="100" w:line="228" w:lineRule="atLeast"/>
              <w:jc w:val="right"/>
            </w:pPr>
            <w:r>
              <w:t>($7,100)</w:t>
            </w:r>
          </w:p>
        </w:tc>
      </w:tr>
      <w:tr w:rsidR="00C443A0" w:rsidRPr="000540E1" w14:paraId="71495305" w14:textId="77777777" w:rsidTr="008C0C33">
        <w:trPr>
          <w:cantSplit/>
        </w:trPr>
        <w:tc>
          <w:tcPr>
            <w:tcW w:w="413" w:type="pct"/>
          </w:tcPr>
          <w:p w14:paraId="6333CF18" w14:textId="77777777" w:rsidR="00C443A0" w:rsidRPr="000540E1" w:rsidRDefault="00C443A0" w:rsidP="008C0C33">
            <w:pPr>
              <w:pStyle w:val="tbltext"/>
              <w:spacing w:before="100" w:line="228" w:lineRule="atLeast"/>
            </w:pPr>
            <w:r>
              <w:t>L2</w:t>
            </w:r>
          </w:p>
        </w:tc>
        <w:tc>
          <w:tcPr>
            <w:tcW w:w="917" w:type="pct"/>
          </w:tcPr>
          <w:p w14:paraId="559CBB49" w14:textId="77777777" w:rsidR="00C443A0" w:rsidRPr="000540E1" w:rsidRDefault="00C443A0" w:rsidP="008C0C33">
            <w:pPr>
              <w:pStyle w:val="tbltext"/>
              <w:spacing w:before="100" w:line="228" w:lineRule="atLeast"/>
              <w:jc w:val="right"/>
            </w:pPr>
            <w:r>
              <w:t>$0</w:t>
            </w:r>
          </w:p>
        </w:tc>
        <w:tc>
          <w:tcPr>
            <w:tcW w:w="917" w:type="pct"/>
          </w:tcPr>
          <w:p w14:paraId="78C9CB1D" w14:textId="77777777" w:rsidR="00C443A0" w:rsidRDefault="00C443A0" w:rsidP="008C0C33">
            <w:pPr>
              <w:pStyle w:val="tbltext"/>
              <w:spacing w:before="100" w:line="228" w:lineRule="atLeast"/>
              <w:jc w:val="right"/>
            </w:pPr>
            <w:r>
              <w:t>$0</w:t>
            </w:r>
          </w:p>
        </w:tc>
        <w:tc>
          <w:tcPr>
            <w:tcW w:w="917" w:type="pct"/>
          </w:tcPr>
          <w:p w14:paraId="70821171" w14:textId="77777777" w:rsidR="00C443A0" w:rsidRDefault="00C443A0" w:rsidP="008C0C33">
            <w:pPr>
              <w:pStyle w:val="tbltext"/>
              <w:spacing w:before="100" w:line="228" w:lineRule="atLeast"/>
              <w:jc w:val="right"/>
            </w:pPr>
            <w:r>
              <w:t>$0</w:t>
            </w:r>
          </w:p>
        </w:tc>
        <w:tc>
          <w:tcPr>
            <w:tcW w:w="917" w:type="pct"/>
          </w:tcPr>
          <w:p w14:paraId="48E40A45" w14:textId="77777777" w:rsidR="00C443A0" w:rsidRPr="000540E1" w:rsidRDefault="00C443A0" w:rsidP="008C0C33">
            <w:pPr>
              <w:pStyle w:val="tbltext"/>
              <w:spacing w:before="100" w:line="228" w:lineRule="atLeast"/>
              <w:jc w:val="right"/>
            </w:pPr>
            <w:r>
              <w:t>($8,500)</w:t>
            </w:r>
          </w:p>
        </w:tc>
        <w:tc>
          <w:tcPr>
            <w:tcW w:w="917" w:type="pct"/>
          </w:tcPr>
          <w:p w14:paraId="6F6ADA65" w14:textId="77777777" w:rsidR="00C443A0" w:rsidRDefault="00C443A0" w:rsidP="008C0C33">
            <w:pPr>
              <w:pStyle w:val="tbltext"/>
              <w:spacing w:before="100" w:line="228" w:lineRule="atLeast"/>
              <w:jc w:val="right"/>
            </w:pPr>
            <w:r>
              <w:t>($7,100)</w:t>
            </w:r>
          </w:p>
        </w:tc>
      </w:tr>
      <w:tr w:rsidR="00C443A0" w:rsidRPr="000540E1" w14:paraId="564D0F8D" w14:textId="77777777" w:rsidTr="008C0C33">
        <w:trPr>
          <w:cantSplit/>
        </w:trPr>
        <w:tc>
          <w:tcPr>
            <w:tcW w:w="413" w:type="pct"/>
          </w:tcPr>
          <w:p w14:paraId="2502CA40" w14:textId="77777777" w:rsidR="00C443A0" w:rsidRPr="000540E1" w:rsidRDefault="00C443A0" w:rsidP="008C0C33">
            <w:pPr>
              <w:pStyle w:val="tbltext"/>
              <w:spacing w:before="100" w:line="228" w:lineRule="atLeast"/>
            </w:pPr>
            <w:r>
              <w:t>L3</w:t>
            </w:r>
          </w:p>
        </w:tc>
        <w:tc>
          <w:tcPr>
            <w:tcW w:w="917" w:type="pct"/>
          </w:tcPr>
          <w:p w14:paraId="7715AE39" w14:textId="77777777" w:rsidR="00C443A0" w:rsidRPr="000540E1" w:rsidRDefault="00C443A0" w:rsidP="008C0C33">
            <w:pPr>
              <w:pStyle w:val="tbltext"/>
              <w:spacing w:before="100" w:line="228" w:lineRule="atLeast"/>
              <w:jc w:val="right"/>
            </w:pPr>
            <w:r>
              <w:t>$114,000</w:t>
            </w:r>
          </w:p>
        </w:tc>
        <w:tc>
          <w:tcPr>
            <w:tcW w:w="917" w:type="pct"/>
          </w:tcPr>
          <w:p w14:paraId="15C9AAA9" w14:textId="77777777" w:rsidR="00C443A0" w:rsidRDefault="00C443A0" w:rsidP="008C0C33">
            <w:pPr>
              <w:pStyle w:val="tbltext"/>
              <w:spacing w:before="100" w:line="228" w:lineRule="atLeast"/>
              <w:jc w:val="right"/>
            </w:pPr>
            <w:r>
              <w:t>$0</w:t>
            </w:r>
          </w:p>
        </w:tc>
        <w:tc>
          <w:tcPr>
            <w:tcW w:w="917" w:type="pct"/>
          </w:tcPr>
          <w:p w14:paraId="74A4C2E0" w14:textId="77777777" w:rsidR="00C443A0" w:rsidRDefault="00C443A0" w:rsidP="008C0C33">
            <w:pPr>
              <w:pStyle w:val="tbltext"/>
              <w:spacing w:before="100" w:line="228" w:lineRule="atLeast"/>
              <w:jc w:val="right"/>
            </w:pPr>
            <w:r>
              <w:t>$0</w:t>
            </w:r>
          </w:p>
        </w:tc>
        <w:tc>
          <w:tcPr>
            <w:tcW w:w="917" w:type="pct"/>
          </w:tcPr>
          <w:p w14:paraId="6FD4EF07" w14:textId="77777777" w:rsidR="00C443A0" w:rsidRPr="000540E1" w:rsidRDefault="00C443A0" w:rsidP="008C0C33">
            <w:pPr>
              <w:pStyle w:val="tbltext"/>
              <w:spacing w:before="100" w:line="228" w:lineRule="atLeast"/>
              <w:jc w:val="right"/>
            </w:pPr>
            <w:r>
              <w:t>($34,200)</w:t>
            </w:r>
          </w:p>
        </w:tc>
        <w:tc>
          <w:tcPr>
            <w:tcW w:w="917" w:type="pct"/>
          </w:tcPr>
          <w:p w14:paraId="56E2CFDC" w14:textId="77777777" w:rsidR="00C443A0" w:rsidRDefault="00C443A0" w:rsidP="008C0C33">
            <w:pPr>
              <w:pStyle w:val="tbltext"/>
              <w:spacing w:before="100" w:line="228" w:lineRule="atLeast"/>
              <w:jc w:val="right"/>
            </w:pPr>
            <w:r>
              <w:t>($3,600)</w:t>
            </w:r>
          </w:p>
        </w:tc>
      </w:tr>
      <w:tr w:rsidR="00C443A0" w:rsidRPr="000540E1" w14:paraId="080B0355" w14:textId="77777777" w:rsidTr="008C0C33">
        <w:trPr>
          <w:cantSplit/>
        </w:trPr>
        <w:tc>
          <w:tcPr>
            <w:tcW w:w="413" w:type="pct"/>
          </w:tcPr>
          <w:p w14:paraId="655A6BE3" w14:textId="77777777" w:rsidR="00C443A0" w:rsidRDefault="00C443A0" w:rsidP="008C0C33">
            <w:pPr>
              <w:pStyle w:val="tbltext"/>
              <w:spacing w:before="100" w:line="228" w:lineRule="atLeast"/>
            </w:pPr>
            <w:r>
              <w:t>M1</w:t>
            </w:r>
          </w:p>
        </w:tc>
        <w:tc>
          <w:tcPr>
            <w:tcW w:w="917" w:type="pct"/>
          </w:tcPr>
          <w:p w14:paraId="58E9D13C" w14:textId="77777777" w:rsidR="00C443A0" w:rsidRDefault="00C443A0" w:rsidP="008C0C33">
            <w:pPr>
              <w:pStyle w:val="tbltext"/>
              <w:spacing w:before="100" w:line="228" w:lineRule="atLeast"/>
              <w:jc w:val="right"/>
            </w:pPr>
            <w:r>
              <w:t>$57,000</w:t>
            </w:r>
          </w:p>
        </w:tc>
        <w:tc>
          <w:tcPr>
            <w:tcW w:w="917" w:type="pct"/>
          </w:tcPr>
          <w:p w14:paraId="1D0CC89C" w14:textId="77777777" w:rsidR="00C443A0" w:rsidRDefault="00C443A0" w:rsidP="008C0C33">
            <w:pPr>
              <w:pStyle w:val="tbltext"/>
              <w:spacing w:before="100" w:line="228" w:lineRule="atLeast"/>
              <w:jc w:val="right"/>
            </w:pPr>
            <w:r>
              <w:t>$38,000</w:t>
            </w:r>
          </w:p>
        </w:tc>
        <w:tc>
          <w:tcPr>
            <w:tcW w:w="917" w:type="pct"/>
          </w:tcPr>
          <w:p w14:paraId="0E78CC09" w14:textId="77777777" w:rsidR="00C443A0" w:rsidRDefault="00C443A0" w:rsidP="008C0C33">
            <w:pPr>
              <w:pStyle w:val="tbltext"/>
              <w:spacing w:before="100" w:line="228" w:lineRule="atLeast"/>
              <w:jc w:val="right"/>
            </w:pPr>
            <w:r>
              <w:t>$2,500</w:t>
            </w:r>
          </w:p>
        </w:tc>
        <w:tc>
          <w:tcPr>
            <w:tcW w:w="917" w:type="pct"/>
          </w:tcPr>
          <w:p w14:paraId="4B38340F" w14:textId="77777777" w:rsidR="00C443A0" w:rsidRDefault="00C443A0" w:rsidP="008C0C33">
            <w:pPr>
              <w:pStyle w:val="tbltext"/>
              <w:spacing w:before="100" w:line="228" w:lineRule="atLeast"/>
              <w:jc w:val="right"/>
            </w:pPr>
            <w:r>
              <w:t>($34,200)</w:t>
            </w:r>
          </w:p>
        </w:tc>
        <w:tc>
          <w:tcPr>
            <w:tcW w:w="917" w:type="pct"/>
          </w:tcPr>
          <w:p w14:paraId="46320588" w14:textId="77777777" w:rsidR="00C443A0" w:rsidRDefault="00C443A0" w:rsidP="008C0C33">
            <w:pPr>
              <w:pStyle w:val="tbltext"/>
              <w:spacing w:before="100" w:line="228" w:lineRule="atLeast"/>
              <w:jc w:val="right"/>
            </w:pPr>
            <w:r>
              <w:t>($3,600)</w:t>
            </w:r>
          </w:p>
        </w:tc>
      </w:tr>
      <w:tr w:rsidR="00C443A0" w:rsidRPr="000540E1" w14:paraId="3DD63DBA" w14:textId="77777777" w:rsidTr="008C0C33">
        <w:trPr>
          <w:cantSplit/>
        </w:trPr>
        <w:tc>
          <w:tcPr>
            <w:tcW w:w="413" w:type="pct"/>
          </w:tcPr>
          <w:p w14:paraId="298B8DF3" w14:textId="77777777" w:rsidR="00C443A0" w:rsidRDefault="00C443A0" w:rsidP="008C0C33">
            <w:pPr>
              <w:pStyle w:val="tbltext"/>
              <w:spacing w:before="100" w:line="228" w:lineRule="atLeast"/>
            </w:pPr>
            <w:r>
              <w:t>M2</w:t>
            </w:r>
          </w:p>
        </w:tc>
        <w:tc>
          <w:tcPr>
            <w:tcW w:w="917" w:type="pct"/>
          </w:tcPr>
          <w:p w14:paraId="69D17459" w14:textId="77777777" w:rsidR="00C443A0" w:rsidRDefault="00C443A0" w:rsidP="008C0C33">
            <w:pPr>
              <w:pStyle w:val="tbltext"/>
              <w:spacing w:before="100" w:line="228" w:lineRule="atLeast"/>
              <w:jc w:val="right"/>
            </w:pPr>
            <w:r>
              <w:t>$57,000</w:t>
            </w:r>
          </w:p>
        </w:tc>
        <w:tc>
          <w:tcPr>
            <w:tcW w:w="917" w:type="pct"/>
          </w:tcPr>
          <w:p w14:paraId="236968B4" w14:textId="77777777" w:rsidR="00C443A0" w:rsidRDefault="00C443A0" w:rsidP="008C0C33">
            <w:pPr>
              <w:pStyle w:val="tbltext"/>
              <w:spacing w:before="100" w:line="228" w:lineRule="atLeast"/>
              <w:jc w:val="right"/>
            </w:pPr>
            <w:r>
              <w:t>$9,000</w:t>
            </w:r>
          </w:p>
        </w:tc>
        <w:tc>
          <w:tcPr>
            <w:tcW w:w="917" w:type="pct"/>
          </w:tcPr>
          <w:p w14:paraId="1DE28A39" w14:textId="77777777" w:rsidR="00C443A0" w:rsidRDefault="00C443A0" w:rsidP="008C0C33">
            <w:pPr>
              <w:pStyle w:val="tbltext"/>
              <w:spacing w:before="100" w:line="228" w:lineRule="atLeast"/>
              <w:jc w:val="right"/>
            </w:pPr>
            <w:r>
              <w:t>$600</w:t>
            </w:r>
          </w:p>
        </w:tc>
        <w:tc>
          <w:tcPr>
            <w:tcW w:w="917" w:type="pct"/>
          </w:tcPr>
          <w:p w14:paraId="16DD7577" w14:textId="77777777" w:rsidR="00C443A0" w:rsidRDefault="00C443A0" w:rsidP="008C0C33">
            <w:pPr>
              <w:pStyle w:val="tbltext"/>
              <w:spacing w:before="100" w:line="228" w:lineRule="atLeast"/>
              <w:jc w:val="right"/>
            </w:pPr>
            <w:r>
              <w:t>($34,200)</w:t>
            </w:r>
          </w:p>
        </w:tc>
        <w:tc>
          <w:tcPr>
            <w:tcW w:w="917" w:type="pct"/>
          </w:tcPr>
          <w:p w14:paraId="48F01804" w14:textId="77777777" w:rsidR="00C443A0" w:rsidRDefault="00C443A0" w:rsidP="008C0C33">
            <w:pPr>
              <w:pStyle w:val="tbltext"/>
              <w:spacing w:before="100" w:line="228" w:lineRule="atLeast"/>
              <w:jc w:val="right"/>
            </w:pPr>
            <w:r>
              <w:t>($3,600)</w:t>
            </w:r>
          </w:p>
        </w:tc>
      </w:tr>
      <w:tr w:rsidR="00C443A0" w:rsidRPr="000540E1" w14:paraId="4D6E0AB7" w14:textId="77777777" w:rsidTr="008C0C33">
        <w:trPr>
          <w:cantSplit/>
        </w:trPr>
        <w:tc>
          <w:tcPr>
            <w:tcW w:w="413" w:type="pct"/>
          </w:tcPr>
          <w:p w14:paraId="5F0ACE1A" w14:textId="77777777" w:rsidR="00C443A0" w:rsidRDefault="00C443A0" w:rsidP="008C0C33">
            <w:pPr>
              <w:pStyle w:val="tbltext"/>
              <w:spacing w:before="100" w:line="228" w:lineRule="atLeast"/>
            </w:pPr>
            <w:r>
              <w:t>M3</w:t>
            </w:r>
          </w:p>
        </w:tc>
        <w:tc>
          <w:tcPr>
            <w:tcW w:w="917" w:type="pct"/>
          </w:tcPr>
          <w:p w14:paraId="3C91AADD" w14:textId="77777777" w:rsidR="00C443A0" w:rsidRDefault="00C443A0" w:rsidP="008C0C33">
            <w:pPr>
              <w:pStyle w:val="tbltext"/>
              <w:spacing w:before="100" w:line="228" w:lineRule="atLeast"/>
              <w:jc w:val="right"/>
            </w:pPr>
            <w:r>
              <w:t>$0</w:t>
            </w:r>
          </w:p>
        </w:tc>
        <w:tc>
          <w:tcPr>
            <w:tcW w:w="917" w:type="pct"/>
          </w:tcPr>
          <w:p w14:paraId="3B54BDF2" w14:textId="77777777" w:rsidR="00C443A0" w:rsidRDefault="00C443A0" w:rsidP="008C0C33">
            <w:pPr>
              <w:pStyle w:val="tbltext"/>
              <w:spacing w:before="100" w:line="228" w:lineRule="atLeast"/>
              <w:jc w:val="right"/>
            </w:pPr>
            <w:r>
              <w:t>$38,000</w:t>
            </w:r>
          </w:p>
        </w:tc>
        <w:tc>
          <w:tcPr>
            <w:tcW w:w="917" w:type="pct"/>
          </w:tcPr>
          <w:p w14:paraId="3D07C8B4" w14:textId="77777777" w:rsidR="00C443A0" w:rsidRDefault="00C443A0" w:rsidP="008C0C33">
            <w:pPr>
              <w:pStyle w:val="tbltext"/>
              <w:spacing w:before="100" w:line="228" w:lineRule="atLeast"/>
              <w:jc w:val="right"/>
            </w:pPr>
            <w:r>
              <w:t>$2,500</w:t>
            </w:r>
          </w:p>
        </w:tc>
        <w:tc>
          <w:tcPr>
            <w:tcW w:w="917" w:type="pct"/>
          </w:tcPr>
          <w:p w14:paraId="6EAB686C" w14:textId="77777777" w:rsidR="00C443A0" w:rsidRDefault="00C443A0" w:rsidP="008C0C33">
            <w:pPr>
              <w:pStyle w:val="tbltext"/>
              <w:spacing w:before="100" w:line="228" w:lineRule="atLeast"/>
              <w:jc w:val="right"/>
            </w:pPr>
            <w:r>
              <w:t>($4,300)</w:t>
            </w:r>
          </w:p>
        </w:tc>
        <w:tc>
          <w:tcPr>
            <w:tcW w:w="917" w:type="pct"/>
          </w:tcPr>
          <w:p w14:paraId="40D1D891" w14:textId="77777777" w:rsidR="00C443A0" w:rsidRDefault="00C443A0" w:rsidP="008C0C33">
            <w:pPr>
              <w:pStyle w:val="tbltext"/>
              <w:spacing w:before="100" w:line="228" w:lineRule="atLeast"/>
              <w:jc w:val="right"/>
            </w:pPr>
            <w:r>
              <w:t>($3,600)</w:t>
            </w:r>
          </w:p>
        </w:tc>
      </w:tr>
      <w:tr w:rsidR="00C443A0" w:rsidRPr="000540E1" w14:paraId="065BBA15" w14:textId="77777777" w:rsidTr="008C0C33">
        <w:trPr>
          <w:cantSplit/>
        </w:trPr>
        <w:tc>
          <w:tcPr>
            <w:tcW w:w="413" w:type="pct"/>
          </w:tcPr>
          <w:p w14:paraId="119DF8BB" w14:textId="77777777" w:rsidR="00C443A0" w:rsidRDefault="00C443A0" w:rsidP="008C0C33">
            <w:pPr>
              <w:pStyle w:val="tbltext"/>
              <w:spacing w:before="100" w:line="228" w:lineRule="atLeast"/>
            </w:pPr>
            <w:r>
              <w:t>M4</w:t>
            </w:r>
          </w:p>
        </w:tc>
        <w:tc>
          <w:tcPr>
            <w:tcW w:w="917" w:type="pct"/>
          </w:tcPr>
          <w:p w14:paraId="745BE723" w14:textId="77777777" w:rsidR="00C443A0" w:rsidRDefault="00C443A0" w:rsidP="008C0C33">
            <w:pPr>
              <w:pStyle w:val="tbltext"/>
              <w:spacing w:before="100" w:line="228" w:lineRule="atLeast"/>
              <w:jc w:val="right"/>
            </w:pPr>
            <w:r>
              <w:t>$0</w:t>
            </w:r>
          </w:p>
        </w:tc>
        <w:tc>
          <w:tcPr>
            <w:tcW w:w="917" w:type="pct"/>
          </w:tcPr>
          <w:p w14:paraId="04BF1551" w14:textId="77777777" w:rsidR="00C443A0" w:rsidRDefault="00C443A0" w:rsidP="008C0C33">
            <w:pPr>
              <w:pStyle w:val="tbltext"/>
              <w:spacing w:before="100" w:line="228" w:lineRule="atLeast"/>
              <w:jc w:val="right"/>
            </w:pPr>
            <w:r>
              <w:t>$5,000</w:t>
            </w:r>
          </w:p>
        </w:tc>
        <w:tc>
          <w:tcPr>
            <w:tcW w:w="917" w:type="pct"/>
          </w:tcPr>
          <w:p w14:paraId="31A1719C" w14:textId="77777777" w:rsidR="00C443A0" w:rsidRDefault="00C443A0" w:rsidP="008C0C33">
            <w:pPr>
              <w:pStyle w:val="tbltext"/>
              <w:spacing w:before="100" w:line="228" w:lineRule="atLeast"/>
              <w:jc w:val="right"/>
            </w:pPr>
            <w:r>
              <w:t>$600</w:t>
            </w:r>
          </w:p>
        </w:tc>
        <w:tc>
          <w:tcPr>
            <w:tcW w:w="917" w:type="pct"/>
          </w:tcPr>
          <w:p w14:paraId="19903575" w14:textId="77777777" w:rsidR="00C443A0" w:rsidRDefault="00C443A0" w:rsidP="008C0C33">
            <w:pPr>
              <w:pStyle w:val="tbltext"/>
              <w:spacing w:before="100" w:line="228" w:lineRule="atLeast"/>
              <w:jc w:val="right"/>
            </w:pPr>
            <w:r>
              <w:t>($4,300)</w:t>
            </w:r>
          </w:p>
        </w:tc>
        <w:tc>
          <w:tcPr>
            <w:tcW w:w="917" w:type="pct"/>
          </w:tcPr>
          <w:p w14:paraId="4C5F7D6E" w14:textId="77777777" w:rsidR="00C443A0" w:rsidRDefault="00C443A0" w:rsidP="008C0C33">
            <w:pPr>
              <w:pStyle w:val="tbltext"/>
              <w:spacing w:before="100" w:line="228" w:lineRule="atLeast"/>
              <w:jc w:val="right"/>
            </w:pPr>
            <w:r>
              <w:t>($3,600)</w:t>
            </w:r>
          </w:p>
        </w:tc>
      </w:tr>
      <w:tr w:rsidR="00C443A0" w:rsidRPr="000540E1" w14:paraId="71FC8910" w14:textId="77777777" w:rsidTr="008C0C33">
        <w:trPr>
          <w:cantSplit/>
        </w:trPr>
        <w:tc>
          <w:tcPr>
            <w:tcW w:w="413" w:type="pct"/>
          </w:tcPr>
          <w:p w14:paraId="07FE784C" w14:textId="77777777" w:rsidR="00C443A0" w:rsidRDefault="00C443A0" w:rsidP="008C0C33">
            <w:pPr>
              <w:pStyle w:val="tbltext"/>
              <w:spacing w:before="100" w:line="228" w:lineRule="atLeast"/>
            </w:pPr>
            <w:r>
              <w:t>M5</w:t>
            </w:r>
          </w:p>
        </w:tc>
        <w:tc>
          <w:tcPr>
            <w:tcW w:w="917" w:type="pct"/>
          </w:tcPr>
          <w:p w14:paraId="4859A5B8" w14:textId="77777777" w:rsidR="00C443A0" w:rsidRDefault="00C443A0" w:rsidP="008C0C33">
            <w:pPr>
              <w:pStyle w:val="tbltext"/>
              <w:spacing w:before="100" w:line="228" w:lineRule="atLeast"/>
              <w:jc w:val="right"/>
            </w:pPr>
            <w:r>
              <w:t>$114,000</w:t>
            </w:r>
          </w:p>
        </w:tc>
        <w:tc>
          <w:tcPr>
            <w:tcW w:w="917" w:type="pct"/>
          </w:tcPr>
          <w:p w14:paraId="323760D5" w14:textId="77777777" w:rsidR="00C443A0" w:rsidRDefault="00C443A0" w:rsidP="008C0C33">
            <w:pPr>
              <w:pStyle w:val="tbltext"/>
              <w:spacing w:before="100" w:line="228" w:lineRule="atLeast"/>
              <w:jc w:val="right"/>
            </w:pPr>
            <w:r>
              <w:t>$38,000</w:t>
            </w:r>
          </w:p>
        </w:tc>
        <w:tc>
          <w:tcPr>
            <w:tcW w:w="917" w:type="pct"/>
          </w:tcPr>
          <w:p w14:paraId="118A8ED1" w14:textId="77777777" w:rsidR="00C443A0" w:rsidRDefault="00C443A0" w:rsidP="008C0C33">
            <w:pPr>
              <w:pStyle w:val="tbltext"/>
              <w:spacing w:before="100" w:line="228" w:lineRule="atLeast"/>
              <w:jc w:val="right"/>
            </w:pPr>
            <w:r>
              <w:t>$2,500</w:t>
            </w:r>
          </w:p>
        </w:tc>
        <w:tc>
          <w:tcPr>
            <w:tcW w:w="917" w:type="pct"/>
          </w:tcPr>
          <w:p w14:paraId="0B95ADB0" w14:textId="77777777" w:rsidR="00C443A0" w:rsidRDefault="00C443A0" w:rsidP="008C0C33">
            <w:pPr>
              <w:pStyle w:val="tbltext"/>
              <w:spacing w:before="100" w:line="228" w:lineRule="atLeast"/>
              <w:jc w:val="right"/>
            </w:pPr>
            <w:r>
              <w:t>($0)</w:t>
            </w:r>
          </w:p>
        </w:tc>
        <w:tc>
          <w:tcPr>
            <w:tcW w:w="917" w:type="pct"/>
          </w:tcPr>
          <w:p w14:paraId="0834F08A" w14:textId="77777777" w:rsidR="00C443A0" w:rsidRDefault="00C443A0" w:rsidP="008C0C33">
            <w:pPr>
              <w:pStyle w:val="tbltext"/>
              <w:spacing w:before="100" w:line="228" w:lineRule="atLeast"/>
              <w:jc w:val="right"/>
            </w:pPr>
            <w:r>
              <w:t>($1,800)</w:t>
            </w:r>
          </w:p>
        </w:tc>
      </w:tr>
      <w:tr w:rsidR="00C443A0" w:rsidRPr="000540E1" w14:paraId="7AD868E6" w14:textId="77777777" w:rsidTr="008C0C33">
        <w:trPr>
          <w:cantSplit/>
        </w:trPr>
        <w:tc>
          <w:tcPr>
            <w:tcW w:w="413" w:type="pct"/>
          </w:tcPr>
          <w:p w14:paraId="00232E17" w14:textId="77777777" w:rsidR="00C443A0" w:rsidRDefault="00C443A0" w:rsidP="008C0C33">
            <w:pPr>
              <w:pStyle w:val="tbltext"/>
              <w:spacing w:before="100" w:line="228" w:lineRule="atLeast"/>
            </w:pPr>
            <w:r>
              <w:t>M6</w:t>
            </w:r>
          </w:p>
        </w:tc>
        <w:tc>
          <w:tcPr>
            <w:tcW w:w="917" w:type="pct"/>
          </w:tcPr>
          <w:p w14:paraId="60ABE4D2" w14:textId="77777777" w:rsidR="00C443A0" w:rsidRDefault="00C443A0" w:rsidP="008C0C33">
            <w:pPr>
              <w:pStyle w:val="tbltext"/>
              <w:spacing w:before="100" w:line="228" w:lineRule="atLeast"/>
              <w:jc w:val="right"/>
            </w:pPr>
            <w:r>
              <w:t>$57,000</w:t>
            </w:r>
          </w:p>
        </w:tc>
        <w:tc>
          <w:tcPr>
            <w:tcW w:w="917" w:type="pct"/>
          </w:tcPr>
          <w:p w14:paraId="3D763C89" w14:textId="77777777" w:rsidR="00C443A0" w:rsidRDefault="00C443A0" w:rsidP="008C0C33">
            <w:pPr>
              <w:pStyle w:val="tbltext"/>
              <w:spacing w:before="100" w:line="228" w:lineRule="atLeast"/>
              <w:jc w:val="right"/>
            </w:pPr>
            <w:r>
              <w:t>$38,000</w:t>
            </w:r>
          </w:p>
        </w:tc>
        <w:tc>
          <w:tcPr>
            <w:tcW w:w="917" w:type="pct"/>
          </w:tcPr>
          <w:p w14:paraId="7BFD1960" w14:textId="77777777" w:rsidR="00C443A0" w:rsidRDefault="00C443A0" w:rsidP="008C0C33">
            <w:pPr>
              <w:pStyle w:val="tbltext"/>
              <w:spacing w:before="100" w:line="228" w:lineRule="atLeast"/>
              <w:jc w:val="right"/>
            </w:pPr>
            <w:r>
              <w:t>$2,500</w:t>
            </w:r>
          </w:p>
        </w:tc>
        <w:tc>
          <w:tcPr>
            <w:tcW w:w="917" w:type="pct"/>
          </w:tcPr>
          <w:p w14:paraId="37C36E43" w14:textId="77777777" w:rsidR="00C443A0" w:rsidRDefault="00C443A0" w:rsidP="008C0C33">
            <w:pPr>
              <w:pStyle w:val="tbltext"/>
              <w:spacing w:before="100" w:line="228" w:lineRule="atLeast"/>
              <w:jc w:val="right"/>
            </w:pPr>
            <w:r>
              <w:t>($17,100)</w:t>
            </w:r>
          </w:p>
        </w:tc>
        <w:tc>
          <w:tcPr>
            <w:tcW w:w="917" w:type="pct"/>
          </w:tcPr>
          <w:p w14:paraId="5F69D9E1" w14:textId="77777777" w:rsidR="00C443A0" w:rsidRDefault="00C443A0" w:rsidP="008C0C33">
            <w:pPr>
              <w:pStyle w:val="tbltext"/>
              <w:spacing w:before="100" w:line="228" w:lineRule="atLeast"/>
              <w:jc w:val="right"/>
            </w:pPr>
            <w:r>
              <w:t>($1,800)</w:t>
            </w:r>
          </w:p>
        </w:tc>
      </w:tr>
      <w:tr w:rsidR="00C443A0" w:rsidRPr="000540E1" w14:paraId="12A47712" w14:textId="77777777" w:rsidTr="008C0C33">
        <w:trPr>
          <w:cantSplit/>
        </w:trPr>
        <w:tc>
          <w:tcPr>
            <w:tcW w:w="413" w:type="pct"/>
          </w:tcPr>
          <w:p w14:paraId="5B3D296D" w14:textId="77777777" w:rsidR="00C443A0" w:rsidRDefault="00C443A0" w:rsidP="008C0C33">
            <w:pPr>
              <w:pStyle w:val="tbltext"/>
              <w:spacing w:before="100" w:line="228" w:lineRule="atLeast"/>
            </w:pPr>
            <w:r>
              <w:t>M7</w:t>
            </w:r>
          </w:p>
        </w:tc>
        <w:tc>
          <w:tcPr>
            <w:tcW w:w="917" w:type="pct"/>
          </w:tcPr>
          <w:p w14:paraId="546B2DC3" w14:textId="77777777" w:rsidR="00C443A0" w:rsidRDefault="00C443A0" w:rsidP="008C0C33">
            <w:pPr>
              <w:pStyle w:val="tbltext"/>
              <w:spacing w:before="100" w:line="228" w:lineRule="atLeast"/>
              <w:jc w:val="right"/>
            </w:pPr>
            <w:r>
              <w:t>$0</w:t>
            </w:r>
          </w:p>
        </w:tc>
        <w:tc>
          <w:tcPr>
            <w:tcW w:w="917" w:type="pct"/>
          </w:tcPr>
          <w:p w14:paraId="2EC772A6" w14:textId="77777777" w:rsidR="00C443A0" w:rsidRDefault="00C443A0" w:rsidP="008C0C33">
            <w:pPr>
              <w:pStyle w:val="tbltext"/>
              <w:spacing w:before="100" w:line="228" w:lineRule="atLeast"/>
              <w:jc w:val="right"/>
            </w:pPr>
            <w:r>
              <w:t>$38,000</w:t>
            </w:r>
          </w:p>
        </w:tc>
        <w:tc>
          <w:tcPr>
            <w:tcW w:w="917" w:type="pct"/>
          </w:tcPr>
          <w:p w14:paraId="348617DB" w14:textId="77777777" w:rsidR="00C443A0" w:rsidRDefault="00C443A0" w:rsidP="008C0C33">
            <w:pPr>
              <w:pStyle w:val="tbltext"/>
              <w:spacing w:before="100" w:line="228" w:lineRule="atLeast"/>
              <w:jc w:val="right"/>
            </w:pPr>
            <w:r>
              <w:t>$2,500</w:t>
            </w:r>
          </w:p>
        </w:tc>
        <w:tc>
          <w:tcPr>
            <w:tcW w:w="917" w:type="pct"/>
          </w:tcPr>
          <w:p w14:paraId="174E0653" w14:textId="77777777" w:rsidR="00C443A0" w:rsidRDefault="00C443A0" w:rsidP="008C0C33">
            <w:pPr>
              <w:pStyle w:val="tbltext"/>
              <w:spacing w:before="100" w:line="228" w:lineRule="atLeast"/>
              <w:jc w:val="right"/>
            </w:pPr>
            <w:r>
              <w:t>($2,100)</w:t>
            </w:r>
          </w:p>
        </w:tc>
        <w:tc>
          <w:tcPr>
            <w:tcW w:w="917" w:type="pct"/>
          </w:tcPr>
          <w:p w14:paraId="275568DC" w14:textId="77777777" w:rsidR="00C443A0" w:rsidRDefault="00C443A0" w:rsidP="008C0C33">
            <w:pPr>
              <w:pStyle w:val="tbltext"/>
              <w:spacing w:before="100" w:line="228" w:lineRule="atLeast"/>
              <w:jc w:val="right"/>
            </w:pPr>
            <w:r>
              <w:t>($1,800)</w:t>
            </w:r>
          </w:p>
        </w:tc>
      </w:tr>
      <w:tr w:rsidR="00C443A0" w:rsidRPr="000540E1" w14:paraId="080D17E1" w14:textId="77777777" w:rsidTr="008C0C33">
        <w:trPr>
          <w:cantSplit/>
        </w:trPr>
        <w:tc>
          <w:tcPr>
            <w:tcW w:w="413" w:type="pct"/>
          </w:tcPr>
          <w:p w14:paraId="4A78BB64" w14:textId="77777777" w:rsidR="00C443A0" w:rsidRDefault="00C443A0" w:rsidP="008C0C33">
            <w:pPr>
              <w:pStyle w:val="tbltext"/>
              <w:spacing w:before="100" w:line="228" w:lineRule="atLeast"/>
            </w:pPr>
            <w:r>
              <w:t>M8</w:t>
            </w:r>
          </w:p>
        </w:tc>
        <w:tc>
          <w:tcPr>
            <w:tcW w:w="917" w:type="pct"/>
          </w:tcPr>
          <w:p w14:paraId="14B9BA9B" w14:textId="77777777" w:rsidR="00C443A0" w:rsidRDefault="00C443A0" w:rsidP="008C0C33">
            <w:pPr>
              <w:pStyle w:val="tbltext"/>
              <w:spacing w:before="100" w:line="228" w:lineRule="atLeast"/>
              <w:jc w:val="right"/>
            </w:pPr>
            <w:r>
              <w:t>$0</w:t>
            </w:r>
          </w:p>
        </w:tc>
        <w:tc>
          <w:tcPr>
            <w:tcW w:w="917" w:type="pct"/>
          </w:tcPr>
          <w:p w14:paraId="34388687" w14:textId="77777777" w:rsidR="00C443A0" w:rsidRDefault="00C443A0" w:rsidP="008C0C33">
            <w:pPr>
              <w:pStyle w:val="tbltext"/>
              <w:spacing w:before="100" w:line="228" w:lineRule="atLeast"/>
              <w:jc w:val="right"/>
            </w:pPr>
            <w:r>
              <w:t>$5,000</w:t>
            </w:r>
          </w:p>
        </w:tc>
        <w:tc>
          <w:tcPr>
            <w:tcW w:w="917" w:type="pct"/>
          </w:tcPr>
          <w:p w14:paraId="778DC80D" w14:textId="77777777" w:rsidR="00C443A0" w:rsidRDefault="00C443A0" w:rsidP="008C0C33">
            <w:pPr>
              <w:pStyle w:val="tbltext"/>
              <w:spacing w:before="100" w:line="228" w:lineRule="atLeast"/>
              <w:jc w:val="right"/>
            </w:pPr>
            <w:r>
              <w:t>$600</w:t>
            </w:r>
          </w:p>
        </w:tc>
        <w:tc>
          <w:tcPr>
            <w:tcW w:w="917" w:type="pct"/>
          </w:tcPr>
          <w:p w14:paraId="154080DA" w14:textId="77777777" w:rsidR="00C443A0" w:rsidRDefault="00C443A0" w:rsidP="008C0C33">
            <w:pPr>
              <w:pStyle w:val="tbltext"/>
              <w:spacing w:before="100" w:line="228" w:lineRule="atLeast"/>
              <w:jc w:val="right"/>
            </w:pPr>
            <w:r>
              <w:t>($2,100)</w:t>
            </w:r>
          </w:p>
        </w:tc>
        <w:tc>
          <w:tcPr>
            <w:tcW w:w="917" w:type="pct"/>
          </w:tcPr>
          <w:p w14:paraId="669BF4D9" w14:textId="77777777" w:rsidR="00C443A0" w:rsidRDefault="00C443A0" w:rsidP="008C0C33">
            <w:pPr>
              <w:pStyle w:val="tbltext"/>
              <w:spacing w:before="100" w:line="228" w:lineRule="atLeast"/>
              <w:jc w:val="right"/>
            </w:pPr>
            <w:r>
              <w:t>($1,800)</w:t>
            </w:r>
          </w:p>
        </w:tc>
      </w:tr>
      <w:tr w:rsidR="00C443A0" w:rsidRPr="000540E1" w14:paraId="6328A2C0" w14:textId="77777777" w:rsidTr="008C0C33">
        <w:trPr>
          <w:cantSplit/>
        </w:trPr>
        <w:tc>
          <w:tcPr>
            <w:tcW w:w="413" w:type="pct"/>
          </w:tcPr>
          <w:p w14:paraId="7959CD8E" w14:textId="77777777" w:rsidR="00C443A0" w:rsidRDefault="00C443A0" w:rsidP="008C0C33">
            <w:pPr>
              <w:pStyle w:val="tbltext"/>
              <w:spacing w:before="100" w:line="228" w:lineRule="atLeast"/>
            </w:pPr>
            <w:r>
              <w:t>S1</w:t>
            </w:r>
          </w:p>
        </w:tc>
        <w:tc>
          <w:tcPr>
            <w:tcW w:w="917" w:type="pct"/>
          </w:tcPr>
          <w:p w14:paraId="052FB0FB" w14:textId="77777777" w:rsidR="00C443A0" w:rsidRDefault="00C443A0" w:rsidP="008C0C33">
            <w:pPr>
              <w:pStyle w:val="tbltext"/>
              <w:spacing w:before="100" w:line="228" w:lineRule="atLeast"/>
              <w:jc w:val="right"/>
            </w:pPr>
            <w:r>
              <w:t>$57,000</w:t>
            </w:r>
          </w:p>
        </w:tc>
        <w:tc>
          <w:tcPr>
            <w:tcW w:w="917" w:type="pct"/>
          </w:tcPr>
          <w:p w14:paraId="11A55258" w14:textId="77777777" w:rsidR="00C443A0" w:rsidRDefault="00C443A0" w:rsidP="008C0C33">
            <w:pPr>
              <w:pStyle w:val="tbltext"/>
              <w:spacing w:before="100" w:line="228" w:lineRule="atLeast"/>
              <w:jc w:val="right"/>
            </w:pPr>
            <w:r>
              <w:t>$19,000</w:t>
            </w:r>
          </w:p>
        </w:tc>
        <w:tc>
          <w:tcPr>
            <w:tcW w:w="917" w:type="pct"/>
          </w:tcPr>
          <w:p w14:paraId="0E54C68C" w14:textId="77777777" w:rsidR="00C443A0" w:rsidRDefault="00C443A0" w:rsidP="008C0C33">
            <w:pPr>
              <w:pStyle w:val="tbltext"/>
              <w:spacing w:before="100" w:line="228" w:lineRule="atLeast"/>
              <w:jc w:val="right"/>
            </w:pPr>
            <w:r>
              <w:t>$0</w:t>
            </w:r>
          </w:p>
        </w:tc>
        <w:tc>
          <w:tcPr>
            <w:tcW w:w="917" w:type="pct"/>
          </w:tcPr>
          <w:p w14:paraId="6551B4C3" w14:textId="77777777" w:rsidR="00C443A0" w:rsidRDefault="00C443A0" w:rsidP="008C0C33">
            <w:pPr>
              <w:pStyle w:val="tbltext"/>
              <w:spacing w:before="100" w:line="228" w:lineRule="atLeast"/>
              <w:jc w:val="right"/>
            </w:pPr>
            <w:r>
              <w:t>($0)</w:t>
            </w:r>
          </w:p>
        </w:tc>
        <w:tc>
          <w:tcPr>
            <w:tcW w:w="917" w:type="pct"/>
          </w:tcPr>
          <w:p w14:paraId="0A9076C2" w14:textId="77777777" w:rsidR="00C443A0" w:rsidRDefault="00C443A0" w:rsidP="008C0C33">
            <w:pPr>
              <w:pStyle w:val="tbltext"/>
              <w:spacing w:before="100" w:line="228" w:lineRule="atLeast"/>
              <w:jc w:val="right"/>
            </w:pPr>
            <w:r>
              <w:t>($1,800)</w:t>
            </w:r>
          </w:p>
        </w:tc>
      </w:tr>
      <w:tr w:rsidR="00C443A0" w:rsidRPr="000540E1" w14:paraId="63E31DA6" w14:textId="77777777" w:rsidTr="008C0C33">
        <w:trPr>
          <w:cantSplit/>
        </w:trPr>
        <w:tc>
          <w:tcPr>
            <w:tcW w:w="413" w:type="pct"/>
          </w:tcPr>
          <w:p w14:paraId="28F89B62" w14:textId="77777777" w:rsidR="00C443A0" w:rsidRDefault="00C443A0" w:rsidP="008C0C33">
            <w:pPr>
              <w:pStyle w:val="tbltext"/>
              <w:spacing w:before="100" w:line="228" w:lineRule="atLeast"/>
            </w:pPr>
            <w:r>
              <w:t>S2</w:t>
            </w:r>
          </w:p>
        </w:tc>
        <w:tc>
          <w:tcPr>
            <w:tcW w:w="917" w:type="pct"/>
          </w:tcPr>
          <w:p w14:paraId="646DCD33" w14:textId="77777777" w:rsidR="00C443A0" w:rsidRDefault="00C443A0" w:rsidP="008C0C33">
            <w:pPr>
              <w:pStyle w:val="tbltext"/>
              <w:spacing w:before="100" w:line="228" w:lineRule="atLeast"/>
              <w:jc w:val="right"/>
            </w:pPr>
            <w:r>
              <w:t>$57,000</w:t>
            </w:r>
          </w:p>
        </w:tc>
        <w:tc>
          <w:tcPr>
            <w:tcW w:w="917" w:type="pct"/>
          </w:tcPr>
          <w:p w14:paraId="63660C1F" w14:textId="77777777" w:rsidR="00C443A0" w:rsidRDefault="00C443A0" w:rsidP="008C0C33">
            <w:pPr>
              <w:pStyle w:val="tbltext"/>
              <w:spacing w:before="100" w:line="228" w:lineRule="atLeast"/>
              <w:jc w:val="right"/>
            </w:pPr>
            <w:r>
              <w:t>$2,000</w:t>
            </w:r>
          </w:p>
        </w:tc>
        <w:tc>
          <w:tcPr>
            <w:tcW w:w="917" w:type="pct"/>
          </w:tcPr>
          <w:p w14:paraId="5CEBDEFF" w14:textId="77777777" w:rsidR="00C443A0" w:rsidRDefault="00C443A0" w:rsidP="008C0C33">
            <w:pPr>
              <w:pStyle w:val="tbltext"/>
              <w:spacing w:before="100" w:line="228" w:lineRule="atLeast"/>
              <w:jc w:val="right"/>
            </w:pPr>
            <w:r>
              <w:t>$0</w:t>
            </w:r>
          </w:p>
        </w:tc>
        <w:tc>
          <w:tcPr>
            <w:tcW w:w="917" w:type="pct"/>
          </w:tcPr>
          <w:p w14:paraId="5FD6BF64" w14:textId="77777777" w:rsidR="00C443A0" w:rsidRDefault="00C443A0" w:rsidP="008C0C33">
            <w:pPr>
              <w:pStyle w:val="tbltext"/>
              <w:spacing w:before="100" w:line="228" w:lineRule="atLeast"/>
              <w:jc w:val="right"/>
            </w:pPr>
            <w:r>
              <w:t>($0)</w:t>
            </w:r>
          </w:p>
        </w:tc>
        <w:tc>
          <w:tcPr>
            <w:tcW w:w="917" w:type="pct"/>
          </w:tcPr>
          <w:p w14:paraId="4C79489A" w14:textId="77777777" w:rsidR="00C443A0" w:rsidRDefault="00C443A0" w:rsidP="008C0C33">
            <w:pPr>
              <w:pStyle w:val="tbltext"/>
              <w:spacing w:before="100" w:line="228" w:lineRule="atLeast"/>
              <w:jc w:val="right"/>
            </w:pPr>
            <w:r>
              <w:t>($1,800)</w:t>
            </w:r>
          </w:p>
        </w:tc>
      </w:tr>
      <w:tr w:rsidR="00C443A0" w:rsidRPr="000540E1" w14:paraId="7E37EAD1" w14:textId="77777777" w:rsidTr="008C0C33">
        <w:trPr>
          <w:cantSplit/>
        </w:trPr>
        <w:tc>
          <w:tcPr>
            <w:tcW w:w="413" w:type="pct"/>
          </w:tcPr>
          <w:p w14:paraId="1AF5641D" w14:textId="77777777" w:rsidR="00C443A0" w:rsidRDefault="00C443A0" w:rsidP="008C0C33">
            <w:pPr>
              <w:pStyle w:val="tbltext"/>
              <w:spacing w:before="100" w:line="228" w:lineRule="atLeast"/>
            </w:pPr>
            <w:r>
              <w:t>S3</w:t>
            </w:r>
          </w:p>
        </w:tc>
        <w:tc>
          <w:tcPr>
            <w:tcW w:w="917" w:type="pct"/>
          </w:tcPr>
          <w:p w14:paraId="530E7B36" w14:textId="77777777" w:rsidR="00C443A0" w:rsidRDefault="00C443A0" w:rsidP="008C0C33">
            <w:pPr>
              <w:pStyle w:val="tbltext"/>
              <w:spacing w:before="100" w:line="228" w:lineRule="atLeast"/>
              <w:jc w:val="right"/>
            </w:pPr>
            <w:r>
              <w:t>$28,500</w:t>
            </w:r>
          </w:p>
        </w:tc>
        <w:tc>
          <w:tcPr>
            <w:tcW w:w="917" w:type="pct"/>
          </w:tcPr>
          <w:p w14:paraId="6D9995D0" w14:textId="77777777" w:rsidR="00C443A0" w:rsidRDefault="00C443A0" w:rsidP="008C0C33">
            <w:pPr>
              <w:pStyle w:val="tbltext"/>
              <w:spacing w:before="100" w:line="228" w:lineRule="atLeast"/>
              <w:jc w:val="right"/>
            </w:pPr>
            <w:r>
              <w:t>$2,000</w:t>
            </w:r>
          </w:p>
        </w:tc>
        <w:tc>
          <w:tcPr>
            <w:tcW w:w="917" w:type="pct"/>
          </w:tcPr>
          <w:p w14:paraId="38154C8A" w14:textId="77777777" w:rsidR="00C443A0" w:rsidRDefault="00C443A0" w:rsidP="008C0C33">
            <w:pPr>
              <w:pStyle w:val="tbltext"/>
              <w:spacing w:before="100" w:line="228" w:lineRule="atLeast"/>
              <w:jc w:val="right"/>
            </w:pPr>
            <w:r>
              <w:t>$0</w:t>
            </w:r>
          </w:p>
        </w:tc>
        <w:tc>
          <w:tcPr>
            <w:tcW w:w="917" w:type="pct"/>
          </w:tcPr>
          <w:p w14:paraId="24262D44" w14:textId="77777777" w:rsidR="00C443A0" w:rsidRDefault="00C443A0" w:rsidP="008C0C33">
            <w:pPr>
              <w:pStyle w:val="tbltext"/>
              <w:spacing w:before="100" w:line="228" w:lineRule="atLeast"/>
              <w:jc w:val="right"/>
            </w:pPr>
            <w:r>
              <w:t>($17,100)</w:t>
            </w:r>
          </w:p>
        </w:tc>
        <w:tc>
          <w:tcPr>
            <w:tcW w:w="917" w:type="pct"/>
          </w:tcPr>
          <w:p w14:paraId="67A34917" w14:textId="77777777" w:rsidR="00C443A0" w:rsidRDefault="00C443A0" w:rsidP="008C0C33">
            <w:pPr>
              <w:pStyle w:val="tbltext"/>
              <w:spacing w:before="100" w:line="228" w:lineRule="atLeast"/>
              <w:jc w:val="right"/>
            </w:pPr>
            <w:r>
              <w:t>($1,800)</w:t>
            </w:r>
          </w:p>
        </w:tc>
      </w:tr>
      <w:tr w:rsidR="00C443A0" w:rsidRPr="000540E1" w14:paraId="5003C835" w14:textId="77777777" w:rsidTr="008C0C33">
        <w:trPr>
          <w:cantSplit/>
        </w:trPr>
        <w:tc>
          <w:tcPr>
            <w:tcW w:w="413" w:type="pct"/>
          </w:tcPr>
          <w:p w14:paraId="4238509B" w14:textId="77777777" w:rsidR="00C443A0" w:rsidRDefault="00C443A0" w:rsidP="008C0C33">
            <w:pPr>
              <w:pStyle w:val="tbltext"/>
              <w:spacing w:before="100" w:line="228" w:lineRule="atLeast"/>
            </w:pPr>
            <w:r>
              <w:t>S4</w:t>
            </w:r>
          </w:p>
        </w:tc>
        <w:tc>
          <w:tcPr>
            <w:tcW w:w="917" w:type="pct"/>
          </w:tcPr>
          <w:p w14:paraId="05792DBE" w14:textId="77777777" w:rsidR="00C443A0" w:rsidRDefault="00C443A0" w:rsidP="008C0C33">
            <w:pPr>
              <w:pStyle w:val="tbltext"/>
              <w:spacing w:before="100" w:line="228" w:lineRule="atLeast"/>
              <w:jc w:val="right"/>
            </w:pPr>
            <w:r>
              <w:t>$0</w:t>
            </w:r>
          </w:p>
        </w:tc>
        <w:tc>
          <w:tcPr>
            <w:tcW w:w="917" w:type="pct"/>
          </w:tcPr>
          <w:p w14:paraId="14DC86ED" w14:textId="77777777" w:rsidR="00C443A0" w:rsidRDefault="00C443A0" w:rsidP="008C0C33">
            <w:pPr>
              <w:pStyle w:val="tbltext"/>
              <w:spacing w:before="100" w:line="228" w:lineRule="atLeast"/>
              <w:jc w:val="right"/>
            </w:pPr>
            <w:r>
              <w:t>$19,000</w:t>
            </w:r>
          </w:p>
        </w:tc>
        <w:tc>
          <w:tcPr>
            <w:tcW w:w="917" w:type="pct"/>
          </w:tcPr>
          <w:p w14:paraId="6B30EEB6" w14:textId="77777777" w:rsidR="00C443A0" w:rsidRDefault="00C443A0" w:rsidP="008C0C33">
            <w:pPr>
              <w:pStyle w:val="tbltext"/>
              <w:spacing w:before="100" w:line="228" w:lineRule="atLeast"/>
              <w:jc w:val="right"/>
            </w:pPr>
            <w:r>
              <w:t>$0</w:t>
            </w:r>
          </w:p>
        </w:tc>
        <w:tc>
          <w:tcPr>
            <w:tcW w:w="917" w:type="pct"/>
          </w:tcPr>
          <w:p w14:paraId="4F42BA4C" w14:textId="77777777" w:rsidR="00C443A0" w:rsidRDefault="00C443A0" w:rsidP="008C0C33">
            <w:pPr>
              <w:pStyle w:val="tbltext"/>
              <w:spacing w:before="100" w:line="228" w:lineRule="atLeast"/>
              <w:jc w:val="right"/>
            </w:pPr>
            <w:r>
              <w:t>($2,100)</w:t>
            </w:r>
          </w:p>
        </w:tc>
        <w:tc>
          <w:tcPr>
            <w:tcW w:w="917" w:type="pct"/>
          </w:tcPr>
          <w:p w14:paraId="4DF1CAF4" w14:textId="77777777" w:rsidR="00C443A0" w:rsidRDefault="00C443A0" w:rsidP="008C0C33">
            <w:pPr>
              <w:pStyle w:val="tbltext"/>
              <w:spacing w:before="100" w:line="228" w:lineRule="atLeast"/>
              <w:jc w:val="right"/>
            </w:pPr>
            <w:r>
              <w:t>($1,800)</w:t>
            </w:r>
          </w:p>
        </w:tc>
      </w:tr>
      <w:tr w:rsidR="00C443A0" w:rsidRPr="000540E1" w14:paraId="2CE93BA9" w14:textId="77777777" w:rsidTr="008C0C33">
        <w:trPr>
          <w:cantSplit/>
        </w:trPr>
        <w:tc>
          <w:tcPr>
            <w:tcW w:w="413" w:type="pct"/>
          </w:tcPr>
          <w:p w14:paraId="3C2483BA" w14:textId="77777777" w:rsidR="00C443A0" w:rsidRDefault="00C443A0" w:rsidP="008C0C33">
            <w:pPr>
              <w:pStyle w:val="tbltext"/>
              <w:spacing w:before="100" w:line="228" w:lineRule="atLeast"/>
            </w:pPr>
            <w:r>
              <w:t>S5</w:t>
            </w:r>
          </w:p>
        </w:tc>
        <w:tc>
          <w:tcPr>
            <w:tcW w:w="917" w:type="pct"/>
          </w:tcPr>
          <w:p w14:paraId="5FDE54AE" w14:textId="77777777" w:rsidR="00C443A0" w:rsidRDefault="00C443A0" w:rsidP="008C0C33">
            <w:pPr>
              <w:pStyle w:val="tbltext"/>
              <w:spacing w:before="100" w:line="228" w:lineRule="atLeast"/>
              <w:jc w:val="right"/>
            </w:pPr>
            <w:r>
              <w:t>$0</w:t>
            </w:r>
          </w:p>
        </w:tc>
        <w:tc>
          <w:tcPr>
            <w:tcW w:w="917" w:type="pct"/>
          </w:tcPr>
          <w:p w14:paraId="6F637671" w14:textId="77777777" w:rsidR="00C443A0" w:rsidRDefault="00C443A0" w:rsidP="008C0C33">
            <w:pPr>
              <w:pStyle w:val="tbltext"/>
              <w:spacing w:before="100" w:line="228" w:lineRule="atLeast"/>
              <w:jc w:val="right"/>
            </w:pPr>
            <w:r>
              <w:t>$3,000</w:t>
            </w:r>
          </w:p>
        </w:tc>
        <w:tc>
          <w:tcPr>
            <w:tcW w:w="917" w:type="pct"/>
          </w:tcPr>
          <w:p w14:paraId="55C3C815" w14:textId="77777777" w:rsidR="00C443A0" w:rsidRDefault="00C443A0" w:rsidP="008C0C33">
            <w:pPr>
              <w:pStyle w:val="tbltext"/>
              <w:spacing w:before="100" w:line="228" w:lineRule="atLeast"/>
              <w:jc w:val="right"/>
            </w:pPr>
            <w:r>
              <w:t>$0</w:t>
            </w:r>
          </w:p>
        </w:tc>
        <w:tc>
          <w:tcPr>
            <w:tcW w:w="917" w:type="pct"/>
          </w:tcPr>
          <w:p w14:paraId="52DFB15C" w14:textId="77777777" w:rsidR="00C443A0" w:rsidRDefault="00C443A0" w:rsidP="008C0C33">
            <w:pPr>
              <w:pStyle w:val="tbltext"/>
              <w:spacing w:before="100" w:line="228" w:lineRule="atLeast"/>
              <w:jc w:val="right"/>
            </w:pPr>
            <w:r>
              <w:t>($2,100)</w:t>
            </w:r>
          </w:p>
        </w:tc>
        <w:tc>
          <w:tcPr>
            <w:tcW w:w="917" w:type="pct"/>
          </w:tcPr>
          <w:p w14:paraId="6AA3E731" w14:textId="77777777" w:rsidR="00C443A0" w:rsidRDefault="00C443A0" w:rsidP="008C0C33">
            <w:pPr>
              <w:pStyle w:val="tbltext"/>
              <w:spacing w:before="100" w:line="228" w:lineRule="atLeast"/>
              <w:jc w:val="right"/>
            </w:pPr>
            <w:r>
              <w:t>($1,800)</w:t>
            </w:r>
          </w:p>
        </w:tc>
      </w:tr>
      <w:tr w:rsidR="00C443A0" w:rsidRPr="000540E1" w14:paraId="608632EA" w14:textId="77777777" w:rsidTr="008C0C33">
        <w:trPr>
          <w:cantSplit/>
        </w:trPr>
        <w:tc>
          <w:tcPr>
            <w:tcW w:w="413" w:type="pct"/>
          </w:tcPr>
          <w:p w14:paraId="0AA29BB6" w14:textId="77777777" w:rsidR="00C443A0" w:rsidRDefault="00C443A0" w:rsidP="008C0C33">
            <w:pPr>
              <w:pStyle w:val="tbltext"/>
              <w:spacing w:before="100" w:line="228" w:lineRule="atLeast"/>
            </w:pPr>
            <w:r>
              <w:t>S6</w:t>
            </w:r>
          </w:p>
        </w:tc>
        <w:tc>
          <w:tcPr>
            <w:tcW w:w="917" w:type="pct"/>
          </w:tcPr>
          <w:p w14:paraId="1B3C5C60" w14:textId="77777777" w:rsidR="00C443A0" w:rsidRDefault="00C443A0" w:rsidP="008C0C33">
            <w:pPr>
              <w:pStyle w:val="tbltext"/>
              <w:spacing w:before="100" w:line="228" w:lineRule="atLeast"/>
              <w:jc w:val="right"/>
            </w:pPr>
            <w:r>
              <w:t>$57,000</w:t>
            </w:r>
          </w:p>
        </w:tc>
        <w:tc>
          <w:tcPr>
            <w:tcW w:w="917" w:type="pct"/>
          </w:tcPr>
          <w:p w14:paraId="75B09EBF" w14:textId="77777777" w:rsidR="00C443A0" w:rsidRDefault="00C443A0" w:rsidP="008C0C33">
            <w:pPr>
              <w:pStyle w:val="tbltext"/>
              <w:spacing w:before="100" w:line="228" w:lineRule="atLeast"/>
              <w:jc w:val="right"/>
            </w:pPr>
            <w:r>
              <w:t>$19,000</w:t>
            </w:r>
          </w:p>
        </w:tc>
        <w:tc>
          <w:tcPr>
            <w:tcW w:w="917" w:type="pct"/>
          </w:tcPr>
          <w:p w14:paraId="13C6F75B" w14:textId="77777777" w:rsidR="00C443A0" w:rsidRDefault="00C443A0" w:rsidP="008C0C33">
            <w:pPr>
              <w:pStyle w:val="tbltext"/>
              <w:spacing w:before="100" w:line="228" w:lineRule="atLeast"/>
              <w:jc w:val="right"/>
            </w:pPr>
            <w:r>
              <w:t>$0</w:t>
            </w:r>
          </w:p>
        </w:tc>
        <w:tc>
          <w:tcPr>
            <w:tcW w:w="917" w:type="pct"/>
          </w:tcPr>
          <w:p w14:paraId="530C1C2C" w14:textId="77777777" w:rsidR="00C443A0" w:rsidRDefault="00C443A0" w:rsidP="008C0C33">
            <w:pPr>
              <w:pStyle w:val="tbltext"/>
              <w:spacing w:before="100" w:line="228" w:lineRule="atLeast"/>
              <w:jc w:val="right"/>
            </w:pPr>
            <w:r>
              <w:t>($0)</w:t>
            </w:r>
          </w:p>
        </w:tc>
        <w:tc>
          <w:tcPr>
            <w:tcW w:w="917" w:type="pct"/>
          </w:tcPr>
          <w:p w14:paraId="12A1B415" w14:textId="77777777" w:rsidR="00C443A0" w:rsidRDefault="00C443A0" w:rsidP="008C0C33">
            <w:pPr>
              <w:pStyle w:val="tbltext"/>
              <w:spacing w:before="100" w:line="228" w:lineRule="atLeast"/>
              <w:jc w:val="right"/>
            </w:pPr>
            <w:r>
              <w:t>($900)</w:t>
            </w:r>
          </w:p>
        </w:tc>
      </w:tr>
      <w:tr w:rsidR="00C443A0" w:rsidRPr="000540E1" w14:paraId="204111F9" w14:textId="77777777" w:rsidTr="008C0C33">
        <w:trPr>
          <w:cantSplit/>
        </w:trPr>
        <w:tc>
          <w:tcPr>
            <w:tcW w:w="413" w:type="pct"/>
          </w:tcPr>
          <w:p w14:paraId="175C1812" w14:textId="77777777" w:rsidR="00C443A0" w:rsidRDefault="00C443A0" w:rsidP="008C0C33">
            <w:pPr>
              <w:pStyle w:val="tbltext"/>
              <w:spacing w:before="100" w:line="228" w:lineRule="atLeast"/>
            </w:pPr>
            <w:r>
              <w:t>S7</w:t>
            </w:r>
          </w:p>
        </w:tc>
        <w:tc>
          <w:tcPr>
            <w:tcW w:w="917" w:type="pct"/>
          </w:tcPr>
          <w:p w14:paraId="431434F1" w14:textId="77777777" w:rsidR="00C443A0" w:rsidRDefault="00C443A0" w:rsidP="008C0C33">
            <w:pPr>
              <w:pStyle w:val="tbltext"/>
              <w:spacing w:before="100" w:line="228" w:lineRule="atLeast"/>
              <w:jc w:val="right"/>
            </w:pPr>
            <w:r>
              <w:t>$57,000</w:t>
            </w:r>
          </w:p>
        </w:tc>
        <w:tc>
          <w:tcPr>
            <w:tcW w:w="917" w:type="pct"/>
          </w:tcPr>
          <w:p w14:paraId="793FE98C" w14:textId="77777777" w:rsidR="00C443A0" w:rsidRDefault="00C443A0" w:rsidP="008C0C33">
            <w:pPr>
              <w:pStyle w:val="tbltext"/>
              <w:spacing w:before="100" w:line="228" w:lineRule="atLeast"/>
              <w:jc w:val="right"/>
            </w:pPr>
            <w:r>
              <w:t>$4,000</w:t>
            </w:r>
          </w:p>
        </w:tc>
        <w:tc>
          <w:tcPr>
            <w:tcW w:w="917" w:type="pct"/>
          </w:tcPr>
          <w:p w14:paraId="23EFA48F" w14:textId="77777777" w:rsidR="00C443A0" w:rsidRDefault="00C443A0" w:rsidP="008C0C33">
            <w:pPr>
              <w:pStyle w:val="tbltext"/>
              <w:spacing w:before="100" w:line="228" w:lineRule="atLeast"/>
              <w:jc w:val="right"/>
            </w:pPr>
            <w:r>
              <w:t>$0</w:t>
            </w:r>
          </w:p>
        </w:tc>
        <w:tc>
          <w:tcPr>
            <w:tcW w:w="917" w:type="pct"/>
          </w:tcPr>
          <w:p w14:paraId="3B88CFCD" w14:textId="77777777" w:rsidR="00C443A0" w:rsidRDefault="00C443A0" w:rsidP="008C0C33">
            <w:pPr>
              <w:pStyle w:val="tbltext"/>
              <w:spacing w:before="100" w:line="228" w:lineRule="atLeast"/>
              <w:jc w:val="right"/>
            </w:pPr>
            <w:r>
              <w:t>($0)</w:t>
            </w:r>
          </w:p>
        </w:tc>
        <w:tc>
          <w:tcPr>
            <w:tcW w:w="917" w:type="pct"/>
          </w:tcPr>
          <w:p w14:paraId="0A98BAC0" w14:textId="77777777" w:rsidR="00C443A0" w:rsidRDefault="00C443A0" w:rsidP="008C0C33">
            <w:pPr>
              <w:pStyle w:val="tbltext"/>
              <w:spacing w:before="100" w:line="228" w:lineRule="atLeast"/>
              <w:jc w:val="right"/>
            </w:pPr>
            <w:r>
              <w:t>($900)</w:t>
            </w:r>
          </w:p>
        </w:tc>
      </w:tr>
      <w:tr w:rsidR="00C443A0" w:rsidRPr="000540E1" w14:paraId="662CF1D0" w14:textId="77777777" w:rsidTr="008C0C33">
        <w:trPr>
          <w:cantSplit/>
        </w:trPr>
        <w:tc>
          <w:tcPr>
            <w:tcW w:w="413" w:type="pct"/>
          </w:tcPr>
          <w:p w14:paraId="7B5B3619" w14:textId="77777777" w:rsidR="00C443A0" w:rsidRDefault="00C443A0" w:rsidP="008C0C33">
            <w:pPr>
              <w:pStyle w:val="tbltext"/>
              <w:spacing w:before="100" w:line="228" w:lineRule="atLeast"/>
            </w:pPr>
            <w:r>
              <w:t>S8</w:t>
            </w:r>
          </w:p>
        </w:tc>
        <w:tc>
          <w:tcPr>
            <w:tcW w:w="917" w:type="pct"/>
          </w:tcPr>
          <w:p w14:paraId="75376992" w14:textId="77777777" w:rsidR="00C443A0" w:rsidRDefault="00C443A0" w:rsidP="008C0C33">
            <w:pPr>
              <w:pStyle w:val="tbltext"/>
              <w:spacing w:before="100" w:line="228" w:lineRule="atLeast"/>
              <w:jc w:val="right"/>
            </w:pPr>
            <w:r>
              <w:t>$28,500</w:t>
            </w:r>
          </w:p>
        </w:tc>
        <w:tc>
          <w:tcPr>
            <w:tcW w:w="917" w:type="pct"/>
          </w:tcPr>
          <w:p w14:paraId="69D9F60E" w14:textId="77777777" w:rsidR="00C443A0" w:rsidRDefault="00C443A0" w:rsidP="008C0C33">
            <w:pPr>
              <w:pStyle w:val="tbltext"/>
              <w:spacing w:before="100" w:line="228" w:lineRule="atLeast"/>
              <w:jc w:val="right"/>
            </w:pPr>
            <w:r>
              <w:t>$19,000</w:t>
            </w:r>
          </w:p>
        </w:tc>
        <w:tc>
          <w:tcPr>
            <w:tcW w:w="917" w:type="pct"/>
          </w:tcPr>
          <w:p w14:paraId="69C16634" w14:textId="77777777" w:rsidR="00C443A0" w:rsidRDefault="00C443A0" w:rsidP="008C0C33">
            <w:pPr>
              <w:pStyle w:val="tbltext"/>
              <w:spacing w:before="100" w:line="228" w:lineRule="atLeast"/>
              <w:jc w:val="right"/>
            </w:pPr>
            <w:r>
              <w:t>$0</w:t>
            </w:r>
          </w:p>
        </w:tc>
        <w:tc>
          <w:tcPr>
            <w:tcW w:w="917" w:type="pct"/>
          </w:tcPr>
          <w:p w14:paraId="3B7AC10B" w14:textId="77777777" w:rsidR="00C443A0" w:rsidRDefault="00C443A0" w:rsidP="008C0C33">
            <w:pPr>
              <w:pStyle w:val="tbltext"/>
              <w:spacing w:before="100" w:line="228" w:lineRule="atLeast"/>
              <w:jc w:val="right"/>
            </w:pPr>
            <w:r>
              <w:t>($8,500)</w:t>
            </w:r>
          </w:p>
        </w:tc>
        <w:tc>
          <w:tcPr>
            <w:tcW w:w="917" w:type="pct"/>
          </w:tcPr>
          <w:p w14:paraId="6F4C88E7" w14:textId="77777777" w:rsidR="00C443A0" w:rsidRDefault="00C443A0" w:rsidP="008C0C33">
            <w:pPr>
              <w:pStyle w:val="tbltext"/>
              <w:spacing w:before="100" w:line="228" w:lineRule="atLeast"/>
              <w:jc w:val="right"/>
            </w:pPr>
            <w:r>
              <w:t>($900)</w:t>
            </w:r>
          </w:p>
        </w:tc>
      </w:tr>
      <w:tr w:rsidR="00C443A0" w:rsidRPr="000540E1" w14:paraId="316D30CA" w14:textId="77777777" w:rsidTr="008C0C33">
        <w:trPr>
          <w:cantSplit/>
        </w:trPr>
        <w:tc>
          <w:tcPr>
            <w:tcW w:w="413" w:type="pct"/>
          </w:tcPr>
          <w:p w14:paraId="6545A7FB" w14:textId="77777777" w:rsidR="00C443A0" w:rsidRDefault="00C443A0" w:rsidP="008C0C33">
            <w:pPr>
              <w:pStyle w:val="tbltext"/>
              <w:spacing w:before="100" w:line="228" w:lineRule="atLeast"/>
            </w:pPr>
            <w:r>
              <w:t>S9</w:t>
            </w:r>
          </w:p>
        </w:tc>
        <w:tc>
          <w:tcPr>
            <w:tcW w:w="917" w:type="pct"/>
          </w:tcPr>
          <w:p w14:paraId="3C4A25D8" w14:textId="77777777" w:rsidR="00C443A0" w:rsidRDefault="00C443A0" w:rsidP="008C0C33">
            <w:pPr>
              <w:pStyle w:val="tbltext"/>
              <w:spacing w:before="100" w:line="228" w:lineRule="atLeast"/>
              <w:jc w:val="right"/>
            </w:pPr>
            <w:r>
              <w:t>$28,500</w:t>
            </w:r>
          </w:p>
        </w:tc>
        <w:tc>
          <w:tcPr>
            <w:tcW w:w="917" w:type="pct"/>
          </w:tcPr>
          <w:p w14:paraId="039AAB43" w14:textId="77777777" w:rsidR="00C443A0" w:rsidRDefault="00C443A0" w:rsidP="008C0C33">
            <w:pPr>
              <w:pStyle w:val="tbltext"/>
              <w:spacing w:before="100" w:line="228" w:lineRule="atLeast"/>
              <w:jc w:val="right"/>
            </w:pPr>
            <w:r>
              <w:t>$4,000</w:t>
            </w:r>
          </w:p>
        </w:tc>
        <w:tc>
          <w:tcPr>
            <w:tcW w:w="917" w:type="pct"/>
          </w:tcPr>
          <w:p w14:paraId="5FA8CA02" w14:textId="77777777" w:rsidR="00C443A0" w:rsidRDefault="00C443A0" w:rsidP="008C0C33">
            <w:pPr>
              <w:pStyle w:val="tbltext"/>
              <w:spacing w:before="100" w:line="228" w:lineRule="atLeast"/>
              <w:jc w:val="right"/>
            </w:pPr>
            <w:r>
              <w:t>$0</w:t>
            </w:r>
          </w:p>
        </w:tc>
        <w:tc>
          <w:tcPr>
            <w:tcW w:w="917" w:type="pct"/>
          </w:tcPr>
          <w:p w14:paraId="695A900E" w14:textId="77777777" w:rsidR="00C443A0" w:rsidRDefault="00C443A0" w:rsidP="008C0C33">
            <w:pPr>
              <w:pStyle w:val="tbltext"/>
              <w:spacing w:before="100" w:line="228" w:lineRule="atLeast"/>
              <w:jc w:val="right"/>
            </w:pPr>
            <w:r>
              <w:t>($8,500)</w:t>
            </w:r>
          </w:p>
        </w:tc>
        <w:tc>
          <w:tcPr>
            <w:tcW w:w="917" w:type="pct"/>
          </w:tcPr>
          <w:p w14:paraId="5255676A" w14:textId="77777777" w:rsidR="00C443A0" w:rsidRDefault="00C443A0" w:rsidP="008C0C33">
            <w:pPr>
              <w:pStyle w:val="tbltext"/>
              <w:spacing w:before="100" w:line="228" w:lineRule="atLeast"/>
              <w:jc w:val="right"/>
            </w:pPr>
            <w:r>
              <w:t>($900)</w:t>
            </w:r>
          </w:p>
        </w:tc>
      </w:tr>
      <w:tr w:rsidR="00C443A0" w:rsidRPr="000540E1" w14:paraId="763FFB04" w14:textId="77777777" w:rsidTr="008C0C33">
        <w:trPr>
          <w:cantSplit/>
        </w:trPr>
        <w:tc>
          <w:tcPr>
            <w:tcW w:w="413" w:type="pct"/>
          </w:tcPr>
          <w:p w14:paraId="44F582B5" w14:textId="77777777" w:rsidR="00C443A0" w:rsidRDefault="00C443A0" w:rsidP="008C0C33">
            <w:pPr>
              <w:pStyle w:val="tbltext"/>
              <w:spacing w:before="100" w:line="228" w:lineRule="atLeast"/>
            </w:pPr>
            <w:r>
              <w:t>S10</w:t>
            </w:r>
          </w:p>
        </w:tc>
        <w:tc>
          <w:tcPr>
            <w:tcW w:w="917" w:type="pct"/>
          </w:tcPr>
          <w:p w14:paraId="19A444FB" w14:textId="77777777" w:rsidR="00C443A0" w:rsidRDefault="00C443A0" w:rsidP="008C0C33">
            <w:pPr>
              <w:pStyle w:val="tbltext"/>
              <w:spacing w:before="100" w:line="228" w:lineRule="atLeast"/>
              <w:jc w:val="right"/>
            </w:pPr>
            <w:r>
              <w:t>$0</w:t>
            </w:r>
          </w:p>
        </w:tc>
        <w:tc>
          <w:tcPr>
            <w:tcW w:w="917" w:type="pct"/>
          </w:tcPr>
          <w:p w14:paraId="4DF701E3" w14:textId="77777777" w:rsidR="00C443A0" w:rsidRDefault="00C443A0" w:rsidP="008C0C33">
            <w:pPr>
              <w:pStyle w:val="tbltext"/>
              <w:spacing w:before="100" w:line="228" w:lineRule="atLeast"/>
              <w:jc w:val="right"/>
            </w:pPr>
            <w:r>
              <w:t>$19,000</w:t>
            </w:r>
          </w:p>
        </w:tc>
        <w:tc>
          <w:tcPr>
            <w:tcW w:w="917" w:type="pct"/>
          </w:tcPr>
          <w:p w14:paraId="18103DDB" w14:textId="77777777" w:rsidR="00C443A0" w:rsidRDefault="00C443A0" w:rsidP="008C0C33">
            <w:pPr>
              <w:pStyle w:val="tbltext"/>
              <w:spacing w:before="100" w:line="228" w:lineRule="atLeast"/>
              <w:jc w:val="right"/>
            </w:pPr>
            <w:r>
              <w:t>$0</w:t>
            </w:r>
          </w:p>
        </w:tc>
        <w:tc>
          <w:tcPr>
            <w:tcW w:w="917" w:type="pct"/>
          </w:tcPr>
          <w:p w14:paraId="4221AC9C" w14:textId="77777777" w:rsidR="00C443A0" w:rsidRDefault="00C443A0" w:rsidP="008C0C33">
            <w:pPr>
              <w:pStyle w:val="tbltext"/>
              <w:spacing w:before="100" w:line="228" w:lineRule="atLeast"/>
              <w:jc w:val="right"/>
            </w:pPr>
            <w:r>
              <w:t>($1,500)</w:t>
            </w:r>
          </w:p>
        </w:tc>
        <w:tc>
          <w:tcPr>
            <w:tcW w:w="917" w:type="pct"/>
          </w:tcPr>
          <w:p w14:paraId="20E7C367" w14:textId="77777777" w:rsidR="00C443A0" w:rsidRDefault="00C443A0" w:rsidP="008C0C33">
            <w:pPr>
              <w:pStyle w:val="tbltext"/>
              <w:spacing w:before="100" w:line="228" w:lineRule="atLeast"/>
              <w:jc w:val="right"/>
            </w:pPr>
            <w:r>
              <w:t>($900)</w:t>
            </w:r>
          </w:p>
        </w:tc>
      </w:tr>
      <w:tr w:rsidR="00C443A0" w:rsidRPr="000540E1" w14:paraId="191EBCF2" w14:textId="77777777" w:rsidTr="008C0C33">
        <w:trPr>
          <w:cantSplit/>
        </w:trPr>
        <w:tc>
          <w:tcPr>
            <w:tcW w:w="413" w:type="pct"/>
          </w:tcPr>
          <w:p w14:paraId="0F8DB5ED" w14:textId="77777777" w:rsidR="00C443A0" w:rsidRDefault="00C443A0" w:rsidP="008C0C33">
            <w:pPr>
              <w:pStyle w:val="tbltext"/>
              <w:spacing w:before="100" w:line="228" w:lineRule="atLeast"/>
            </w:pPr>
            <w:r>
              <w:t>S11</w:t>
            </w:r>
          </w:p>
        </w:tc>
        <w:tc>
          <w:tcPr>
            <w:tcW w:w="917" w:type="pct"/>
          </w:tcPr>
          <w:p w14:paraId="4A89071C" w14:textId="77777777" w:rsidR="00C443A0" w:rsidRDefault="00C443A0" w:rsidP="008C0C33">
            <w:pPr>
              <w:pStyle w:val="tbltext"/>
              <w:spacing w:before="100" w:line="228" w:lineRule="atLeast"/>
              <w:jc w:val="right"/>
            </w:pPr>
            <w:r>
              <w:t>$0</w:t>
            </w:r>
          </w:p>
        </w:tc>
        <w:tc>
          <w:tcPr>
            <w:tcW w:w="917" w:type="pct"/>
          </w:tcPr>
          <w:p w14:paraId="05E297FD" w14:textId="77777777" w:rsidR="00C443A0" w:rsidRDefault="00C443A0" w:rsidP="008C0C33">
            <w:pPr>
              <w:pStyle w:val="tbltext"/>
              <w:spacing w:before="100" w:line="228" w:lineRule="atLeast"/>
              <w:jc w:val="right"/>
            </w:pPr>
            <w:r>
              <w:t>$3,000</w:t>
            </w:r>
          </w:p>
        </w:tc>
        <w:tc>
          <w:tcPr>
            <w:tcW w:w="917" w:type="pct"/>
          </w:tcPr>
          <w:p w14:paraId="60ED7E14" w14:textId="77777777" w:rsidR="00C443A0" w:rsidRDefault="00C443A0" w:rsidP="008C0C33">
            <w:pPr>
              <w:pStyle w:val="tbltext"/>
              <w:spacing w:before="100" w:line="228" w:lineRule="atLeast"/>
              <w:jc w:val="right"/>
            </w:pPr>
            <w:r>
              <w:t>$0</w:t>
            </w:r>
          </w:p>
        </w:tc>
        <w:tc>
          <w:tcPr>
            <w:tcW w:w="917" w:type="pct"/>
          </w:tcPr>
          <w:p w14:paraId="120AB5D0" w14:textId="77777777" w:rsidR="00C443A0" w:rsidRDefault="00C443A0" w:rsidP="008C0C33">
            <w:pPr>
              <w:pStyle w:val="tbltext"/>
              <w:spacing w:before="100" w:line="228" w:lineRule="atLeast"/>
              <w:jc w:val="right"/>
            </w:pPr>
            <w:r>
              <w:t>($1,500)</w:t>
            </w:r>
          </w:p>
        </w:tc>
        <w:tc>
          <w:tcPr>
            <w:tcW w:w="917" w:type="pct"/>
          </w:tcPr>
          <w:p w14:paraId="3FED994C" w14:textId="77777777" w:rsidR="00C443A0" w:rsidRDefault="00C443A0" w:rsidP="008C0C33">
            <w:pPr>
              <w:pStyle w:val="tbltext"/>
              <w:spacing w:before="100" w:line="228" w:lineRule="atLeast"/>
              <w:jc w:val="right"/>
            </w:pPr>
            <w:r>
              <w:t>($900)</w:t>
            </w:r>
          </w:p>
        </w:tc>
      </w:tr>
      <w:tr w:rsidR="00C443A0" w:rsidRPr="000540E1" w14:paraId="6DA2611C" w14:textId="77777777" w:rsidTr="008C0C33">
        <w:trPr>
          <w:cantSplit/>
        </w:trPr>
        <w:tc>
          <w:tcPr>
            <w:tcW w:w="413" w:type="pct"/>
          </w:tcPr>
          <w:p w14:paraId="4B435C91" w14:textId="77777777" w:rsidR="00C443A0" w:rsidRDefault="00C443A0" w:rsidP="008C0C33">
            <w:pPr>
              <w:pStyle w:val="tbltext"/>
              <w:spacing w:before="100" w:line="228" w:lineRule="atLeast"/>
            </w:pPr>
            <w:r>
              <w:t>VS1</w:t>
            </w:r>
          </w:p>
        </w:tc>
        <w:tc>
          <w:tcPr>
            <w:tcW w:w="917" w:type="pct"/>
          </w:tcPr>
          <w:p w14:paraId="7242F98B" w14:textId="77777777" w:rsidR="00C443A0" w:rsidRDefault="00C443A0" w:rsidP="008C0C33">
            <w:pPr>
              <w:pStyle w:val="tbltext"/>
              <w:spacing w:before="100" w:line="228" w:lineRule="atLeast"/>
              <w:jc w:val="right"/>
            </w:pPr>
            <w:r>
              <w:t>$11,000</w:t>
            </w:r>
          </w:p>
        </w:tc>
        <w:tc>
          <w:tcPr>
            <w:tcW w:w="917" w:type="pct"/>
          </w:tcPr>
          <w:p w14:paraId="0E6C45A8" w14:textId="77777777" w:rsidR="00C443A0" w:rsidRDefault="00C443A0" w:rsidP="008C0C33">
            <w:pPr>
              <w:pStyle w:val="tbltext"/>
              <w:spacing w:before="100" w:line="228" w:lineRule="atLeast"/>
              <w:jc w:val="right"/>
            </w:pPr>
            <w:r>
              <w:t>$14,000</w:t>
            </w:r>
          </w:p>
        </w:tc>
        <w:tc>
          <w:tcPr>
            <w:tcW w:w="917" w:type="pct"/>
          </w:tcPr>
          <w:p w14:paraId="6AB8F0C1" w14:textId="77777777" w:rsidR="00C443A0" w:rsidRDefault="00C443A0" w:rsidP="008C0C33">
            <w:pPr>
              <w:pStyle w:val="tbltext"/>
              <w:spacing w:before="100" w:line="228" w:lineRule="atLeast"/>
              <w:jc w:val="right"/>
            </w:pPr>
            <w:r>
              <w:t>$0</w:t>
            </w:r>
          </w:p>
        </w:tc>
        <w:tc>
          <w:tcPr>
            <w:tcW w:w="917" w:type="pct"/>
          </w:tcPr>
          <w:p w14:paraId="53F91B31" w14:textId="77777777" w:rsidR="00C443A0" w:rsidRDefault="00C443A0" w:rsidP="008C0C33">
            <w:pPr>
              <w:pStyle w:val="tbltext"/>
              <w:spacing w:before="100" w:line="228" w:lineRule="atLeast"/>
              <w:jc w:val="right"/>
            </w:pPr>
            <w:r>
              <w:t>($6,800)</w:t>
            </w:r>
          </w:p>
        </w:tc>
        <w:tc>
          <w:tcPr>
            <w:tcW w:w="917" w:type="pct"/>
          </w:tcPr>
          <w:p w14:paraId="1695030A" w14:textId="77777777" w:rsidR="00C443A0" w:rsidRDefault="00C443A0" w:rsidP="008C0C33">
            <w:pPr>
              <w:pStyle w:val="tbltext"/>
              <w:spacing w:before="100" w:line="228" w:lineRule="atLeast"/>
              <w:jc w:val="right"/>
            </w:pPr>
            <w:r>
              <w:t>($700)</w:t>
            </w:r>
          </w:p>
        </w:tc>
      </w:tr>
      <w:tr w:rsidR="00C443A0" w:rsidRPr="000540E1" w14:paraId="43518801" w14:textId="77777777" w:rsidTr="008C0C33">
        <w:trPr>
          <w:cantSplit/>
        </w:trPr>
        <w:tc>
          <w:tcPr>
            <w:tcW w:w="413" w:type="pct"/>
          </w:tcPr>
          <w:p w14:paraId="09745E25" w14:textId="77777777" w:rsidR="00C443A0" w:rsidRDefault="00C443A0" w:rsidP="008C0C33">
            <w:pPr>
              <w:pStyle w:val="tbltext"/>
              <w:spacing w:before="100" w:line="228" w:lineRule="atLeast"/>
            </w:pPr>
            <w:r>
              <w:t>VS2</w:t>
            </w:r>
          </w:p>
        </w:tc>
        <w:tc>
          <w:tcPr>
            <w:tcW w:w="917" w:type="pct"/>
          </w:tcPr>
          <w:p w14:paraId="504C655E" w14:textId="77777777" w:rsidR="00C443A0" w:rsidRDefault="00C443A0" w:rsidP="008C0C33">
            <w:pPr>
              <w:pStyle w:val="tbltext"/>
              <w:spacing w:before="100" w:line="228" w:lineRule="atLeast"/>
              <w:jc w:val="right"/>
            </w:pPr>
            <w:r>
              <w:t>$0</w:t>
            </w:r>
          </w:p>
        </w:tc>
        <w:tc>
          <w:tcPr>
            <w:tcW w:w="917" w:type="pct"/>
          </w:tcPr>
          <w:p w14:paraId="1DD99C45" w14:textId="77777777" w:rsidR="00C443A0" w:rsidRDefault="00C443A0" w:rsidP="008C0C33">
            <w:pPr>
              <w:pStyle w:val="tbltext"/>
              <w:spacing w:before="100" w:line="228" w:lineRule="atLeast"/>
              <w:jc w:val="right"/>
            </w:pPr>
            <w:r>
              <w:t>$14,000</w:t>
            </w:r>
          </w:p>
        </w:tc>
        <w:tc>
          <w:tcPr>
            <w:tcW w:w="917" w:type="pct"/>
          </w:tcPr>
          <w:p w14:paraId="404CC3BB" w14:textId="77777777" w:rsidR="00C443A0" w:rsidRDefault="00C443A0" w:rsidP="008C0C33">
            <w:pPr>
              <w:pStyle w:val="tbltext"/>
              <w:spacing w:before="100" w:line="228" w:lineRule="atLeast"/>
              <w:jc w:val="right"/>
            </w:pPr>
            <w:r>
              <w:t>$0</w:t>
            </w:r>
          </w:p>
        </w:tc>
        <w:tc>
          <w:tcPr>
            <w:tcW w:w="917" w:type="pct"/>
          </w:tcPr>
          <w:p w14:paraId="5BFDAD68" w14:textId="77777777" w:rsidR="00C443A0" w:rsidRDefault="00C443A0" w:rsidP="008C0C33">
            <w:pPr>
              <w:pStyle w:val="tbltext"/>
              <w:spacing w:before="100" w:line="228" w:lineRule="atLeast"/>
              <w:jc w:val="right"/>
            </w:pPr>
            <w:r>
              <w:t>($1,500)</w:t>
            </w:r>
          </w:p>
        </w:tc>
        <w:tc>
          <w:tcPr>
            <w:tcW w:w="917" w:type="pct"/>
          </w:tcPr>
          <w:p w14:paraId="2DF24BC5" w14:textId="77777777" w:rsidR="00C443A0" w:rsidRDefault="00C443A0" w:rsidP="008C0C33">
            <w:pPr>
              <w:pStyle w:val="tbltext"/>
              <w:spacing w:before="100" w:line="228" w:lineRule="atLeast"/>
              <w:jc w:val="right"/>
            </w:pPr>
            <w:r>
              <w:t>($700)</w:t>
            </w:r>
          </w:p>
        </w:tc>
      </w:tr>
      <w:tr w:rsidR="00C443A0" w:rsidRPr="000540E1" w14:paraId="426012F8" w14:textId="77777777" w:rsidTr="008C0C33">
        <w:trPr>
          <w:cantSplit/>
        </w:trPr>
        <w:tc>
          <w:tcPr>
            <w:tcW w:w="413" w:type="pct"/>
          </w:tcPr>
          <w:p w14:paraId="29DB5420" w14:textId="77777777" w:rsidR="00C443A0" w:rsidRDefault="00C443A0" w:rsidP="008C0C33">
            <w:pPr>
              <w:pStyle w:val="tbltext"/>
              <w:spacing w:before="100" w:line="228" w:lineRule="atLeast"/>
            </w:pPr>
            <w:r>
              <w:t>VS3</w:t>
            </w:r>
          </w:p>
        </w:tc>
        <w:tc>
          <w:tcPr>
            <w:tcW w:w="917" w:type="pct"/>
          </w:tcPr>
          <w:p w14:paraId="5E370738" w14:textId="77777777" w:rsidR="00C443A0" w:rsidRDefault="00C443A0" w:rsidP="008C0C33">
            <w:pPr>
              <w:pStyle w:val="tbltext"/>
              <w:spacing w:before="100" w:line="228" w:lineRule="atLeast"/>
              <w:jc w:val="right"/>
            </w:pPr>
            <w:r>
              <w:t>$0</w:t>
            </w:r>
          </w:p>
        </w:tc>
        <w:tc>
          <w:tcPr>
            <w:tcW w:w="917" w:type="pct"/>
          </w:tcPr>
          <w:p w14:paraId="001CE702" w14:textId="77777777" w:rsidR="00C443A0" w:rsidRDefault="00C443A0" w:rsidP="008C0C33">
            <w:pPr>
              <w:pStyle w:val="tbltext"/>
              <w:spacing w:before="100" w:line="228" w:lineRule="atLeast"/>
              <w:jc w:val="right"/>
            </w:pPr>
            <w:r>
              <w:t>$2,000</w:t>
            </w:r>
          </w:p>
        </w:tc>
        <w:tc>
          <w:tcPr>
            <w:tcW w:w="917" w:type="pct"/>
          </w:tcPr>
          <w:p w14:paraId="6FD6EE46" w14:textId="77777777" w:rsidR="00C443A0" w:rsidRDefault="00C443A0" w:rsidP="008C0C33">
            <w:pPr>
              <w:pStyle w:val="tbltext"/>
              <w:spacing w:before="100" w:line="228" w:lineRule="atLeast"/>
              <w:jc w:val="right"/>
            </w:pPr>
            <w:r>
              <w:t>$0</w:t>
            </w:r>
          </w:p>
        </w:tc>
        <w:tc>
          <w:tcPr>
            <w:tcW w:w="917" w:type="pct"/>
          </w:tcPr>
          <w:p w14:paraId="237FD643" w14:textId="77777777" w:rsidR="00C443A0" w:rsidRDefault="00C443A0" w:rsidP="008C0C33">
            <w:pPr>
              <w:pStyle w:val="tbltext"/>
              <w:spacing w:before="100" w:line="228" w:lineRule="atLeast"/>
              <w:jc w:val="right"/>
            </w:pPr>
            <w:r>
              <w:t>($1,500)</w:t>
            </w:r>
          </w:p>
        </w:tc>
        <w:tc>
          <w:tcPr>
            <w:tcW w:w="917" w:type="pct"/>
          </w:tcPr>
          <w:p w14:paraId="7A4BA0AD" w14:textId="77777777" w:rsidR="00C443A0" w:rsidRDefault="00C443A0" w:rsidP="008C0C33">
            <w:pPr>
              <w:pStyle w:val="tbltext"/>
              <w:spacing w:before="100" w:line="228" w:lineRule="atLeast"/>
              <w:jc w:val="right"/>
            </w:pPr>
            <w:r>
              <w:t>($700)</w:t>
            </w:r>
          </w:p>
        </w:tc>
      </w:tr>
      <w:tr w:rsidR="00C443A0" w:rsidRPr="000540E1" w14:paraId="1526A23B" w14:textId="77777777" w:rsidTr="008C0C33">
        <w:trPr>
          <w:cantSplit/>
        </w:trPr>
        <w:tc>
          <w:tcPr>
            <w:tcW w:w="413" w:type="pct"/>
          </w:tcPr>
          <w:p w14:paraId="7AC49353" w14:textId="77777777" w:rsidR="00C443A0" w:rsidRDefault="00C443A0" w:rsidP="008C0C33">
            <w:pPr>
              <w:pStyle w:val="tbltext"/>
              <w:spacing w:before="100" w:line="228" w:lineRule="atLeast"/>
            </w:pPr>
            <w:r>
              <w:t>VS4</w:t>
            </w:r>
          </w:p>
        </w:tc>
        <w:tc>
          <w:tcPr>
            <w:tcW w:w="917" w:type="pct"/>
          </w:tcPr>
          <w:p w14:paraId="6254D22F" w14:textId="77777777" w:rsidR="00C443A0" w:rsidRDefault="00C443A0" w:rsidP="008C0C33">
            <w:pPr>
              <w:pStyle w:val="tbltext"/>
              <w:spacing w:before="100" w:line="228" w:lineRule="atLeast"/>
              <w:jc w:val="right"/>
            </w:pPr>
            <w:r>
              <w:t>$23,000</w:t>
            </w:r>
          </w:p>
        </w:tc>
        <w:tc>
          <w:tcPr>
            <w:tcW w:w="917" w:type="pct"/>
          </w:tcPr>
          <w:p w14:paraId="6B1038CD" w14:textId="77777777" w:rsidR="00C443A0" w:rsidRDefault="00C443A0" w:rsidP="008C0C33">
            <w:pPr>
              <w:pStyle w:val="tbltext"/>
              <w:spacing w:before="100" w:line="228" w:lineRule="atLeast"/>
              <w:jc w:val="right"/>
            </w:pPr>
            <w:r>
              <w:t>$14,000</w:t>
            </w:r>
          </w:p>
        </w:tc>
        <w:tc>
          <w:tcPr>
            <w:tcW w:w="917" w:type="pct"/>
          </w:tcPr>
          <w:p w14:paraId="6860079B" w14:textId="77777777" w:rsidR="00C443A0" w:rsidRDefault="00C443A0" w:rsidP="008C0C33">
            <w:pPr>
              <w:pStyle w:val="tbltext"/>
              <w:spacing w:before="100" w:line="228" w:lineRule="atLeast"/>
              <w:jc w:val="right"/>
            </w:pPr>
            <w:r>
              <w:t>$0</w:t>
            </w:r>
          </w:p>
        </w:tc>
        <w:tc>
          <w:tcPr>
            <w:tcW w:w="917" w:type="pct"/>
          </w:tcPr>
          <w:p w14:paraId="4710BE51" w14:textId="77777777" w:rsidR="00C443A0" w:rsidRDefault="00C443A0" w:rsidP="008C0C33">
            <w:pPr>
              <w:pStyle w:val="tbltext"/>
              <w:spacing w:before="100" w:line="228" w:lineRule="atLeast"/>
              <w:jc w:val="right"/>
            </w:pPr>
            <w:r>
              <w:t>($0)</w:t>
            </w:r>
          </w:p>
        </w:tc>
        <w:tc>
          <w:tcPr>
            <w:tcW w:w="917" w:type="pct"/>
          </w:tcPr>
          <w:p w14:paraId="686210AD" w14:textId="77777777" w:rsidR="00C443A0" w:rsidRDefault="00C443A0" w:rsidP="008C0C33">
            <w:pPr>
              <w:pStyle w:val="tbltext"/>
              <w:spacing w:before="100" w:line="228" w:lineRule="atLeast"/>
              <w:jc w:val="right"/>
            </w:pPr>
            <w:r>
              <w:t>($400)</w:t>
            </w:r>
          </w:p>
        </w:tc>
      </w:tr>
      <w:tr w:rsidR="00C443A0" w:rsidRPr="000540E1" w14:paraId="2E08E014" w14:textId="77777777" w:rsidTr="008C0C33">
        <w:trPr>
          <w:cantSplit/>
        </w:trPr>
        <w:tc>
          <w:tcPr>
            <w:tcW w:w="413" w:type="pct"/>
          </w:tcPr>
          <w:p w14:paraId="062A5BB2" w14:textId="77777777" w:rsidR="00C443A0" w:rsidRDefault="00C443A0" w:rsidP="008C0C33">
            <w:pPr>
              <w:pStyle w:val="tbltext"/>
              <w:spacing w:before="100" w:line="228" w:lineRule="atLeast"/>
            </w:pPr>
            <w:r>
              <w:t>VS5</w:t>
            </w:r>
          </w:p>
        </w:tc>
        <w:tc>
          <w:tcPr>
            <w:tcW w:w="917" w:type="pct"/>
          </w:tcPr>
          <w:p w14:paraId="220C803A" w14:textId="77777777" w:rsidR="00C443A0" w:rsidRDefault="00C443A0" w:rsidP="008C0C33">
            <w:pPr>
              <w:pStyle w:val="tbltext"/>
              <w:spacing w:before="100" w:line="228" w:lineRule="atLeast"/>
              <w:jc w:val="right"/>
            </w:pPr>
            <w:r>
              <w:t>$23,000</w:t>
            </w:r>
          </w:p>
        </w:tc>
        <w:tc>
          <w:tcPr>
            <w:tcW w:w="917" w:type="pct"/>
          </w:tcPr>
          <w:p w14:paraId="549FEC43" w14:textId="77777777" w:rsidR="00C443A0" w:rsidRDefault="00C443A0" w:rsidP="008C0C33">
            <w:pPr>
              <w:pStyle w:val="tbltext"/>
              <w:spacing w:before="100" w:line="228" w:lineRule="atLeast"/>
              <w:jc w:val="right"/>
            </w:pPr>
            <w:r>
              <w:t>$14,000</w:t>
            </w:r>
          </w:p>
        </w:tc>
        <w:tc>
          <w:tcPr>
            <w:tcW w:w="917" w:type="pct"/>
          </w:tcPr>
          <w:p w14:paraId="1637B337" w14:textId="77777777" w:rsidR="00C443A0" w:rsidRDefault="00C443A0" w:rsidP="008C0C33">
            <w:pPr>
              <w:pStyle w:val="tbltext"/>
              <w:spacing w:before="100" w:line="228" w:lineRule="atLeast"/>
              <w:jc w:val="right"/>
            </w:pPr>
            <w:r>
              <w:t>$0</w:t>
            </w:r>
          </w:p>
        </w:tc>
        <w:tc>
          <w:tcPr>
            <w:tcW w:w="917" w:type="pct"/>
          </w:tcPr>
          <w:p w14:paraId="71E2F588" w14:textId="77777777" w:rsidR="00C443A0" w:rsidRDefault="00C443A0" w:rsidP="008C0C33">
            <w:pPr>
              <w:pStyle w:val="tbltext"/>
              <w:spacing w:before="100" w:line="228" w:lineRule="atLeast"/>
              <w:jc w:val="right"/>
            </w:pPr>
            <w:r>
              <w:t>($0)</w:t>
            </w:r>
          </w:p>
        </w:tc>
        <w:tc>
          <w:tcPr>
            <w:tcW w:w="917" w:type="pct"/>
          </w:tcPr>
          <w:p w14:paraId="2AF25739" w14:textId="77777777" w:rsidR="00C443A0" w:rsidRDefault="00C443A0" w:rsidP="008C0C33">
            <w:pPr>
              <w:pStyle w:val="tbltext"/>
              <w:spacing w:before="100" w:line="228" w:lineRule="atLeast"/>
              <w:jc w:val="right"/>
            </w:pPr>
            <w:r>
              <w:t>($400)</w:t>
            </w:r>
          </w:p>
        </w:tc>
      </w:tr>
      <w:tr w:rsidR="00C443A0" w:rsidRPr="000540E1" w14:paraId="73D1A42F" w14:textId="77777777" w:rsidTr="008C0C33">
        <w:trPr>
          <w:cantSplit/>
        </w:trPr>
        <w:tc>
          <w:tcPr>
            <w:tcW w:w="413" w:type="pct"/>
          </w:tcPr>
          <w:p w14:paraId="258925DA" w14:textId="77777777" w:rsidR="00C443A0" w:rsidRDefault="00C443A0" w:rsidP="008C0C33">
            <w:pPr>
              <w:pStyle w:val="tbltext"/>
              <w:spacing w:before="100" w:line="228" w:lineRule="atLeast"/>
            </w:pPr>
            <w:r>
              <w:t>VS6</w:t>
            </w:r>
          </w:p>
        </w:tc>
        <w:tc>
          <w:tcPr>
            <w:tcW w:w="917" w:type="pct"/>
          </w:tcPr>
          <w:p w14:paraId="197DD3B8" w14:textId="77777777" w:rsidR="00C443A0" w:rsidRDefault="00C443A0" w:rsidP="008C0C33">
            <w:pPr>
              <w:pStyle w:val="tbltext"/>
              <w:spacing w:before="100" w:line="228" w:lineRule="atLeast"/>
              <w:jc w:val="right"/>
            </w:pPr>
            <w:r>
              <w:t>$11,000</w:t>
            </w:r>
          </w:p>
        </w:tc>
        <w:tc>
          <w:tcPr>
            <w:tcW w:w="917" w:type="pct"/>
          </w:tcPr>
          <w:p w14:paraId="0B30042D" w14:textId="77777777" w:rsidR="00C443A0" w:rsidRDefault="00C443A0" w:rsidP="008C0C33">
            <w:pPr>
              <w:pStyle w:val="tbltext"/>
              <w:spacing w:before="100" w:line="228" w:lineRule="atLeast"/>
              <w:jc w:val="right"/>
            </w:pPr>
            <w:r>
              <w:t>$14,000</w:t>
            </w:r>
          </w:p>
        </w:tc>
        <w:tc>
          <w:tcPr>
            <w:tcW w:w="917" w:type="pct"/>
          </w:tcPr>
          <w:p w14:paraId="4C1CED04" w14:textId="77777777" w:rsidR="00C443A0" w:rsidRDefault="00C443A0" w:rsidP="008C0C33">
            <w:pPr>
              <w:pStyle w:val="tbltext"/>
              <w:spacing w:before="100" w:line="228" w:lineRule="atLeast"/>
              <w:jc w:val="right"/>
            </w:pPr>
            <w:r>
              <w:t>$0</w:t>
            </w:r>
          </w:p>
        </w:tc>
        <w:tc>
          <w:tcPr>
            <w:tcW w:w="917" w:type="pct"/>
          </w:tcPr>
          <w:p w14:paraId="0CBD94EA" w14:textId="77777777" w:rsidR="00C443A0" w:rsidRDefault="00C443A0" w:rsidP="008C0C33">
            <w:pPr>
              <w:pStyle w:val="tbltext"/>
              <w:spacing w:before="100" w:line="228" w:lineRule="atLeast"/>
              <w:jc w:val="right"/>
            </w:pPr>
            <w:r>
              <w:t>($3,400)</w:t>
            </w:r>
          </w:p>
        </w:tc>
        <w:tc>
          <w:tcPr>
            <w:tcW w:w="917" w:type="pct"/>
          </w:tcPr>
          <w:p w14:paraId="60067C0B" w14:textId="77777777" w:rsidR="00C443A0" w:rsidRDefault="00C443A0" w:rsidP="008C0C33">
            <w:pPr>
              <w:pStyle w:val="tbltext"/>
              <w:spacing w:before="100" w:line="228" w:lineRule="atLeast"/>
              <w:jc w:val="right"/>
            </w:pPr>
            <w:r>
              <w:t>($400)</w:t>
            </w:r>
          </w:p>
        </w:tc>
      </w:tr>
      <w:tr w:rsidR="00C443A0" w:rsidRPr="000540E1" w14:paraId="4F2D1B48" w14:textId="77777777" w:rsidTr="008C0C33">
        <w:trPr>
          <w:cantSplit/>
        </w:trPr>
        <w:tc>
          <w:tcPr>
            <w:tcW w:w="413" w:type="pct"/>
          </w:tcPr>
          <w:p w14:paraId="4C949862" w14:textId="77777777" w:rsidR="00C443A0" w:rsidRDefault="00C443A0" w:rsidP="008C0C33">
            <w:pPr>
              <w:pStyle w:val="tbltext"/>
              <w:spacing w:before="100" w:line="228" w:lineRule="atLeast"/>
            </w:pPr>
            <w:r>
              <w:t>VS7</w:t>
            </w:r>
          </w:p>
        </w:tc>
        <w:tc>
          <w:tcPr>
            <w:tcW w:w="917" w:type="pct"/>
          </w:tcPr>
          <w:p w14:paraId="7BA6C46F" w14:textId="77777777" w:rsidR="00C443A0" w:rsidRDefault="00C443A0" w:rsidP="008C0C33">
            <w:pPr>
              <w:pStyle w:val="tbltext"/>
              <w:spacing w:before="100" w:line="228" w:lineRule="atLeast"/>
              <w:jc w:val="right"/>
            </w:pPr>
            <w:r>
              <w:t>$11,000</w:t>
            </w:r>
          </w:p>
        </w:tc>
        <w:tc>
          <w:tcPr>
            <w:tcW w:w="917" w:type="pct"/>
          </w:tcPr>
          <w:p w14:paraId="47CAD88D" w14:textId="77777777" w:rsidR="00C443A0" w:rsidRDefault="00C443A0" w:rsidP="008C0C33">
            <w:pPr>
              <w:pStyle w:val="tbltext"/>
              <w:spacing w:before="100" w:line="228" w:lineRule="atLeast"/>
              <w:jc w:val="right"/>
            </w:pPr>
            <w:r>
              <w:t>$3,000</w:t>
            </w:r>
          </w:p>
        </w:tc>
        <w:tc>
          <w:tcPr>
            <w:tcW w:w="917" w:type="pct"/>
          </w:tcPr>
          <w:p w14:paraId="4BE2675F" w14:textId="77777777" w:rsidR="00C443A0" w:rsidRDefault="00C443A0" w:rsidP="008C0C33">
            <w:pPr>
              <w:pStyle w:val="tbltext"/>
              <w:spacing w:before="100" w:line="228" w:lineRule="atLeast"/>
              <w:jc w:val="right"/>
            </w:pPr>
            <w:r>
              <w:t>$0</w:t>
            </w:r>
          </w:p>
        </w:tc>
        <w:tc>
          <w:tcPr>
            <w:tcW w:w="917" w:type="pct"/>
          </w:tcPr>
          <w:p w14:paraId="47A492A9" w14:textId="77777777" w:rsidR="00C443A0" w:rsidRDefault="00C443A0" w:rsidP="008C0C33">
            <w:pPr>
              <w:pStyle w:val="tbltext"/>
              <w:spacing w:before="100" w:line="228" w:lineRule="atLeast"/>
              <w:jc w:val="right"/>
            </w:pPr>
            <w:r>
              <w:t>($3,400)</w:t>
            </w:r>
          </w:p>
        </w:tc>
        <w:tc>
          <w:tcPr>
            <w:tcW w:w="917" w:type="pct"/>
          </w:tcPr>
          <w:p w14:paraId="0F9B2D7F" w14:textId="77777777" w:rsidR="00C443A0" w:rsidRDefault="00C443A0" w:rsidP="008C0C33">
            <w:pPr>
              <w:pStyle w:val="tbltext"/>
              <w:spacing w:before="100" w:line="228" w:lineRule="atLeast"/>
              <w:jc w:val="right"/>
            </w:pPr>
            <w:r>
              <w:t>($400)</w:t>
            </w:r>
          </w:p>
        </w:tc>
      </w:tr>
      <w:tr w:rsidR="00C443A0" w:rsidRPr="000540E1" w14:paraId="4DF26F71" w14:textId="77777777" w:rsidTr="008C0C33">
        <w:trPr>
          <w:cantSplit/>
        </w:trPr>
        <w:tc>
          <w:tcPr>
            <w:tcW w:w="413" w:type="pct"/>
          </w:tcPr>
          <w:p w14:paraId="107C7133" w14:textId="77777777" w:rsidR="00C443A0" w:rsidRDefault="00C443A0" w:rsidP="008C0C33">
            <w:pPr>
              <w:pStyle w:val="tbltext"/>
              <w:spacing w:before="100" w:line="228" w:lineRule="atLeast"/>
            </w:pPr>
            <w:r>
              <w:t>VS8</w:t>
            </w:r>
          </w:p>
        </w:tc>
        <w:tc>
          <w:tcPr>
            <w:tcW w:w="917" w:type="pct"/>
          </w:tcPr>
          <w:p w14:paraId="110F756A" w14:textId="77777777" w:rsidR="00C443A0" w:rsidRDefault="00C443A0" w:rsidP="008C0C33">
            <w:pPr>
              <w:pStyle w:val="tbltext"/>
              <w:spacing w:before="100" w:line="228" w:lineRule="atLeast"/>
              <w:jc w:val="right"/>
            </w:pPr>
            <w:r>
              <w:t>$0</w:t>
            </w:r>
          </w:p>
        </w:tc>
        <w:tc>
          <w:tcPr>
            <w:tcW w:w="917" w:type="pct"/>
          </w:tcPr>
          <w:p w14:paraId="19182CB7" w14:textId="77777777" w:rsidR="00C443A0" w:rsidRDefault="00C443A0" w:rsidP="008C0C33">
            <w:pPr>
              <w:pStyle w:val="tbltext"/>
              <w:spacing w:before="100" w:line="228" w:lineRule="atLeast"/>
              <w:jc w:val="right"/>
            </w:pPr>
            <w:r>
              <w:t>$14,000</w:t>
            </w:r>
          </w:p>
        </w:tc>
        <w:tc>
          <w:tcPr>
            <w:tcW w:w="917" w:type="pct"/>
          </w:tcPr>
          <w:p w14:paraId="4F782DB7" w14:textId="77777777" w:rsidR="00C443A0" w:rsidRDefault="00C443A0" w:rsidP="008C0C33">
            <w:pPr>
              <w:pStyle w:val="tbltext"/>
              <w:spacing w:before="100" w:line="228" w:lineRule="atLeast"/>
              <w:jc w:val="right"/>
            </w:pPr>
            <w:r>
              <w:t>$0</w:t>
            </w:r>
          </w:p>
        </w:tc>
        <w:tc>
          <w:tcPr>
            <w:tcW w:w="917" w:type="pct"/>
          </w:tcPr>
          <w:p w14:paraId="507E9906" w14:textId="77777777" w:rsidR="00C443A0" w:rsidRDefault="00C443A0" w:rsidP="008C0C33">
            <w:pPr>
              <w:pStyle w:val="tbltext"/>
              <w:spacing w:before="100" w:line="228" w:lineRule="atLeast"/>
              <w:jc w:val="right"/>
            </w:pPr>
            <w:r>
              <w:t>($1,500)</w:t>
            </w:r>
          </w:p>
        </w:tc>
        <w:tc>
          <w:tcPr>
            <w:tcW w:w="917" w:type="pct"/>
          </w:tcPr>
          <w:p w14:paraId="23C16954" w14:textId="77777777" w:rsidR="00C443A0" w:rsidRDefault="00C443A0" w:rsidP="008C0C33">
            <w:pPr>
              <w:pStyle w:val="tbltext"/>
              <w:spacing w:before="100" w:line="228" w:lineRule="atLeast"/>
              <w:jc w:val="right"/>
            </w:pPr>
            <w:r>
              <w:t>($400)</w:t>
            </w:r>
          </w:p>
        </w:tc>
      </w:tr>
      <w:tr w:rsidR="00C443A0" w:rsidRPr="000540E1" w14:paraId="7E71B7C7" w14:textId="77777777" w:rsidTr="008C0C33">
        <w:trPr>
          <w:cantSplit/>
        </w:trPr>
        <w:tc>
          <w:tcPr>
            <w:tcW w:w="413" w:type="pct"/>
          </w:tcPr>
          <w:p w14:paraId="68AA172B" w14:textId="77777777" w:rsidR="00C443A0" w:rsidRDefault="00C443A0" w:rsidP="008C0C33">
            <w:pPr>
              <w:pStyle w:val="tbltext"/>
              <w:spacing w:before="100" w:line="228" w:lineRule="atLeast"/>
            </w:pPr>
            <w:r>
              <w:t>VS9</w:t>
            </w:r>
          </w:p>
        </w:tc>
        <w:tc>
          <w:tcPr>
            <w:tcW w:w="917" w:type="pct"/>
          </w:tcPr>
          <w:p w14:paraId="6047B3A5" w14:textId="77777777" w:rsidR="00C443A0" w:rsidRDefault="00C443A0" w:rsidP="008C0C33">
            <w:pPr>
              <w:pStyle w:val="tbltext"/>
              <w:spacing w:before="100" w:line="228" w:lineRule="atLeast"/>
              <w:jc w:val="right"/>
            </w:pPr>
            <w:r>
              <w:t>$0</w:t>
            </w:r>
          </w:p>
        </w:tc>
        <w:tc>
          <w:tcPr>
            <w:tcW w:w="917" w:type="pct"/>
          </w:tcPr>
          <w:p w14:paraId="39C3B7C7" w14:textId="77777777" w:rsidR="00C443A0" w:rsidRDefault="00C443A0" w:rsidP="008C0C33">
            <w:pPr>
              <w:pStyle w:val="tbltext"/>
              <w:spacing w:before="100" w:line="228" w:lineRule="atLeast"/>
              <w:jc w:val="right"/>
            </w:pPr>
            <w:r>
              <w:t>$3,000</w:t>
            </w:r>
          </w:p>
        </w:tc>
        <w:tc>
          <w:tcPr>
            <w:tcW w:w="917" w:type="pct"/>
          </w:tcPr>
          <w:p w14:paraId="246E2A48" w14:textId="77777777" w:rsidR="00C443A0" w:rsidRDefault="00C443A0" w:rsidP="008C0C33">
            <w:pPr>
              <w:pStyle w:val="tbltext"/>
              <w:spacing w:before="100" w:line="228" w:lineRule="atLeast"/>
              <w:jc w:val="right"/>
            </w:pPr>
            <w:r>
              <w:t>$0</w:t>
            </w:r>
          </w:p>
        </w:tc>
        <w:tc>
          <w:tcPr>
            <w:tcW w:w="917" w:type="pct"/>
          </w:tcPr>
          <w:p w14:paraId="3158CF98" w14:textId="77777777" w:rsidR="00C443A0" w:rsidRDefault="00C443A0" w:rsidP="008C0C33">
            <w:pPr>
              <w:pStyle w:val="tbltext"/>
              <w:spacing w:before="100" w:line="228" w:lineRule="atLeast"/>
              <w:jc w:val="right"/>
            </w:pPr>
            <w:r>
              <w:t>($1,500)</w:t>
            </w:r>
          </w:p>
        </w:tc>
        <w:tc>
          <w:tcPr>
            <w:tcW w:w="917" w:type="pct"/>
          </w:tcPr>
          <w:p w14:paraId="3720BFFA" w14:textId="77777777" w:rsidR="00C443A0" w:rsidRDefault="00C443A0" w:rsidP="008C0C33">
            <w:pPr>
              <w:pStyle w:val="tbltext"/>
              <w:spacing w:before="100" w:line="228" w:lineRule="atLeast"/>
              <w:jc w:val="right"/>
            </w:pPr>
            <w:r>
              <w:t>($400)</w:t>
            </w:r>
          </w:p>
        </w:tc>
      </w:tr>
    </w:tbl>
    <w:p w14:paraId="74D397F3" w14:textId="77777777" w:rsidR="005E5296" w:rsidRDefault="005E5296" w:rsidP="005E5296">
      <w:pPr>
        <w:pStyle w:val="BodyText"/>
        <w:numPr>
          <w:ilvl w:val="0"/>
          <w:numId w:val="0"/>
        </w:numPr>
        <w:ind w:left="2268"/>
      </w:pPr>
    </w:p>
    <w:p w14:paraId="74793F08" w14:textId="77777777" w:rsidR="005E5296" w:rsidRDefault="005E5296" w:rsidP="005E5296">
      <w:pPr>
        <w:pStyle w:val="BodyText"/>
        <w:numPr>
          <w:ilvl w:val="0"/>
          <w:numId w:val="0"/>
        </w:numPr>
        <w:ind w:left="2268"/>
        <w:sectPr w:rsidR="005E5296" w:rsidSect="008C0C33">
          <w:headerReference w:type="even" r:id="rId194"/>
          <w:headerReference w:type="default" r:id="rId195"/>
          <w:footerReference w:type="even" r:id="rId196"/>
          <w:footerReference w:type="default" r:id="rId197"/>
          <w:headerReference w:type="first" r:id="rId198"/>
          <w:pgSz w:w="16838" w:h="11906" w:orient="landscape" w:code="9"/>
          <w:pgMar w:top="1418" w:right="1644" w:bottom="1418" w:left="1418" w:header="567" w:footer="567" w:gutter="0"/>
          <w:cols w:space="720"/>
          <w:docGrid w:linePitch="299"/>
        </w:sectPr>
      </w:pPr>
    </w:p>
    <w:p w14:paraId="17F621A1" w14:textId="7F1D9C26" w:rsidR="00C443A0" w:rsidRDefault="00C443A0" w:rsidP="00483A70">
      <w:pPr>
        <w:pStyle w:val="BodyText"/>
        <w:numPr>
          <w:ilvl w:val="0"/>
          <w:numId w:val="17"/>
        </w:numPr>
        <w:spacing w:line="290" w:lineRule="atLeast"/>
      </w:pPr>
      <w:r>
        <w:t xml:space="preserve">From </w:t>
      </w:r>
      <w:r>
        <w:fldChar w:fldCharType="begin" w:fldLock="1"/>
      </w:r>
      <w:r>
        <w:instrText xml:space="preserve"> REF _Ref100751648 \h </w:instrText>
      </w:r>
      <w:r>
        <w:fldChar w:fldCharType="separate"/>
      </w:r>
      <w:r w:rsidR="00853A2A">
        <w:t xml:space="preserve">Table </w:t>
      </w:r>
      <w:r w:rsidR="00853A2A">
        <w:rPr>
          <w:noProof/>
        </w:rPr>
        <w:t>51</w:t>
      </w:r>
      <w:r>
        <w:fldChar w:fldCharType="end"/>
      </w:r>
      <w:r>
        <w:t xml:space="preserve">, over a </w:t>
      </w:r>
      <w:r w:rsidR="00D371EA">
        <w:t>10-</w:t>
      </w:r>
      <w:r>
        <w:t xml:space="preserve">year period, </w:t>
      </w:r>
      <w:r w:rsidR="00D371EA">
        <w:t xml:space="preserve">eight </w:t>
      </w:r>
      <w:r>
        <w:t xml:space="preserve">groups of reporting entities would have lower costs under Option 3 compared </w:t>
      </w:r>
      <w:r w:rsidR="00675FEB">
        <w:t xml:space="preserve">to </w:t>
      </w:r>
      <w:r>
        <w:t>Option 1, with an average cost reduction of $5,718 per annum. However, 23 groups of reporting entities would have higher costs, with an average cost increase of $9,448 per annum.</w:t>
      </w:r>
    </w:p>
    <w:p w14:paraId="16E889BB" w14:textId="404B7564" w:rsidR="00C443A0" w:rsidRDefault="00C443A0" w:rsidP="00483A70">
      <w:pPr>
        <w:pStyle w:val="BodyText"/>
        <w:numPr>
          <w:ilvl w:val="0"/>
          <w:numId w:val="17"/>
        </w:numPr>
        <w:spacing w:line="290" w:lineRule="atLeast"/>
      </w:pPr>
      <w:r>
        <w:t>We also think that Option 3 is a complex option with considerable uncertainty about the technical feasibility of implementing a product identifier-to-UPI conversion process whenever access to the trade repository data is provided to another jurisdiction’s regulator.</w:t>
      </w:r>
    </w:p>
    <w:p w14:paraId="246C5D30" w14:textId="0E200A97" w:rsidR="009A7A1F" w:rsidRDefault="005265D7" w:rsidP="00483A70">
      <w:pPr>
        <w:pStyle w:val="BodyText"/>
        <w:numPr>
          <w:ilvl w:val="0"/>
          <w:numId w:val="17"/>
        </w:numPr>
        <w:spacing w:line="290" w:lineRule="atLeast"/>
      </w:pPr>
      <w:r>
        <w:t xml:space="preserve">In relation to Option 4, </w:t>
      </w:r>
      <w:r w:rsidR="005220EB">
        <w:t xml:space="preserve">which is not our preferred option, </w:t>
      </w:r>
      <w:r>
        <w:t xml:space="preserve">the ASIC Rules would not be further harmonised to international standards any more than they are </w:t>
      </w:r>
      <w:r w:rsidR="009A7A1F">
        <w:t xml:space="preserve">in the </w:t>
      </w:r>
      <w:r>
        <w:t>current</w:t>
      </w:r>
      <w:r w:rsidR="009A7A1F">
        <w:t xml:space="preserve"> ASIC Rules, which is as:</w:t>
      </w:r>
    </w:p>
    <w:p w14:paraId="5BF6E089" w14:textId="31579D29" w:rsidR="009A7A1F" w:rsidRDefault="009A7A1F" w:rsidP="00483A70">
      <w:pPr>
        <w:pStyle w:val="BodyText"/>
        <w:numPr>
          <w:ilvl w:val="1"/>
          <w:numId w:val="17"/>
        </w:numPr>
        <w:spacing w:line="290" w:lineRule="atLeast"/>
      </w:pPr>
      <w:r w:rsidRPr="00A72C41">
        <w:rPr>
          <w:i/>
          <w:iCs/>
        </w:rPr>
        <w:t>UTI</w:t>
      </w:r>
      <w:r w:rsidRPr="00B01B13">
        <w:t>—</w:t>
      </w:r>
      <w:r>
        <w:t xml:space="preserve">at </w:t>
      </w:r>
      <w:r w:rsidR="006357D9">
        <w:t xml:space="preserve">item </w:t>
      </w:r>
      <w:r>
        <w:t xml:space="preserve">1 of Table S2.1(1) </w:t>
      </w:r>
      <w:r w:rsidR="0041021C">
        <w:t>‘</w:t>
      </w:r>
      <w:r>
        <w:t>Common data</w:t>
      </w:r>
      <w:r w:rsidR="0041021C">
        <w:t>’</w:t>
      </w:r>
      <w:r>
        <w:t>, the unique transaction identifier is defined as ‘</w:t>
      </w:r>
      <w:r w:rsidR="00646FB4">
        <w:t>[t]</w:t>
      </w:r>
      <w:r>
        <w:t>he universal transaction identifier for the Reportable Transaction’ followed by provisions applicable if no universal transaction identifier is available;</w:t>
      </w:r>
    </w:p>
    <w:p w14:paraId="36A122B1" w14:textId="233933B9" w:rsidR="009A7A1F" w:rsidRDefault="009A7A1F" w:rsidP="00483A70">
      <w:pPr>
        <w:pStyle w:val="BodyText"/>
        <w:numPr>
          <w:ilvl w:val="1"/>
          <w:numId w:val="17"/>
        </w:numPr>
        <w:spacing w:line="290" w:lineRule="atLeast"/>
      </w:pPr>
      <w:r w:rsidRPr="00A72C41">
        <w:rPr>
          <w:i/>
          <w:iCs/>
        </w:rPr>
        <w:t>UPI</w:t>
      </w:r>
      <w:r w:rsidRPr="00B01B13">
        <w:t>—</w:t>
      </w:r>
      <w:r>
        <w:t xml:space="preserve">at </w:t>
      </w:r>
      <w:r w:rsidR="006357D9">
        <w:t xml:space="preserve">item </w:t>
      </w:r>
      <w:r>
        <w:t xml:space="preserve">2 of Table S2.1(1) </w:t>
      </w:r>
      <w:r w:rsidR="006357D9">
        <w:t>‘</w:t>
      </w:r>
      <w:r>
        <w:t>Common data</w:t>
      </w:r>
      <w:r w:rsidR="006357D9">
        <w:t>’</w:t>
      </w:r>
      <w:r>
        <w:t>, the unique product identifier is defined as ‘</w:t>
      </w:r>
      <w:r w:rsidR="006357D9">
        <w:t>[t]</w:t>
      </w:r>
      <w:r>
        <w:t>he universal product identification code for the Derivative to which the Reportable Transaction relates’ followed by provisions applicable if no universal product identification code is available;</w:t>
      </w:r>
    </w:p>
    <w:p w14:paraId="0A00C9DA" w14:textId="6481F7A7" w:rsidR="005220EB" w:rsidRDefault="009A7A1F" w:rsidP="00483A70">
      <w:pPr>
        <w:pStyle w:val="BodyText"/>
        <w:numPr>
          <w:ilvl w:val="1"/>
          <w:numId w:val="17"/>
        </w:numPr>
        <w:spacing w:line="290" w:lineRule="atLeast"/>
      </w:pPr>
      <w:r w:rsidRPr="00A72C41">
        <w:rPr>
          <w:i/>
          <w:iCs/>
        </w:rPr>
        <w:t>LEI</w:t>
      </w:r>
      <w:r w:rsidRPr="00B01B13">
        <w:t>—</w:t>
      </w:r>
      <w:r>
        <w:t>for the various entity identifier data elements</w:t>
      </w:r>
      <w:r w:rsidR="005220EB">
        <w:t xml:space="preserve"> in Table S2.1(1) </w:t>
      </w:r>
      <w:r w:rsidR="00754B5C">
        <w:t>‘</w:t>
      </w:r>
      <w:r w:rsidR="005220EB">
        <w:t>Common data</w:t>
      </w:r>
      <w:r w:rsidR="00754B5C">
        <w:t>’</w:t>
      </w:r>
      <w:r w:rsidR="005220EB">
        <w:t>, an LEI is specified, but if an LEI is not available for an entity other types of entity identifiers may be reported; and</w:t>
      </w:r>
    </w:p>
    <w:p w14:paraId="25FAC3BC" w14:textId="2CA3FDAF" w:rsidR="005265D7" w:rsidRDefault="005220EB" w:rsidP="00483A70">
      <w:pPr>
        <w:pStyle w:val="BodyText"/>
        <w:numPr>
          <w:ilvl w:val="1"/>
          <w:numId w:val="17"/>
        </w:numPr>
        <w:spacing w:line="290" w:lineRule="atLeast"/>
      </w:pPr>
      <w:r w:rsidRPr="00A72C41">
        <w:rPr>
          <w:i/>
          <w:iCs/>
        </w:rPr>
        <w:t>ASIC data elements</w:t>
      </w:r>
      <w:r w:rsidRPr="00B01B13">
        <w:t>—</w:t>
      </w:r>
      <w:r>
        <w:t>there is limited alignment of the ASIC data elements with the CDE Guidance and the data elements of other jurisdictions.</w:t>
      </w:r>
    </w:p>
    <w:p w14:paraId="4D441F8C" w14:textId="77777777" w:rsidR="00667685" w:rsidRDefault="005220EB" w:rsidP="00483A70">
      <w:pPr>
        <w:pStyle w:val="BodyText"/>
        <w:numPr>
          <w:ilvl w:val="0"/>
          <w:numId w:val="17"/>
        </w:numPr>
        <w:spacing w:line="290" w:lineRule="atLeast"/>
      </w:pPr>
      <w:r>
        <w:t>The UTI of the current ASIC Rules could be read as referring to a UTI</w:t>
      </w:r>
      <w:r w:rsidR="00AC3897">
        <w:t xml:space="preserve"> as intended by the UTI Guidance, but unchanged ASIC Rules would not include the requirements of Rule 2.2.9, in particular the requirement on reporting entities to generate a UTI and provide it to other counterparties.</w:t>
      </w:r>
    </w:p>
    <w:p w14:paraId="4FE57544" w14:textId="77777777" w:rsidR="00DA6B13" w:rsidRDefault="00667685" w:rsidP="00483A70">
      <w:pPr>
        <w:pStyle w:val="BodyText"/>
        <w:numPr>
          <w:ilvl w:val="0"/>
          <w:numId w:val="17"/>
        </w:numPr>
        <w:spacing w:line="290" w:lineRule="atLeast"/>
      </w:pPr>
      <w:r>
        <w:t>In the absence of an ASIC Rules requirement, reporting entities could adopt common conventions that would provide for UTI generation in the manner intended by the UTI Guidance, but we think there is a material risk that there would not be a comprehensive adoption of such conventions. This would lead to a lack of cohesion</w:t>
      </w:r>
      <w:r w:rsidR="00DA6B13">
        <w:t xml:space="preserve">, </w:t>
      </w:r>
      <w:r>
        <w:t xml:space="preserve">predictability </w:t>
      </w:r>
      <w:r w:rsidR="00DA6B13">
        <w:t xml:space="preserve">and efficiency </w:t>
      </w:r>
      <w:r>
        <w:t>in UTI generation and reporting</w:t>
      </w:r>
      <w:r w:rsidR="00DA6B13">
        <w:t>, particularly for cross-border transactions.</w:t>
      </w:r>
    </w:p>
    <w:p w14:paraId="19905556" w14:textId="3FEA007B" w:rsidR="00CD77D4" w:rsidRPr="00742CD5" w:rsidRDefault="00DA6B13" w:rsidP="00483A70">
      <w:pPr>
        <w:pStyle w:val="BodyText"/>
        <w:numPr>
          <w:ilvl w:val="0"/>
          <w:numId w:val="17"/>
        </w:numPr>
        <w:spacing w:line="290" w:lineRule="atLeast"/>
        <w:rPr>
          <w:spacing w:val="-2"/>
        </w:rPr>
      </w:pPr>
      <w:r w:rsidRPr="00742CD5">
        <w:rPr>
          <w:spacing w:val="-2"/>
        </w:rPr>
        <w:t>Similarly, the UPI of the current ASIC Rules could be read as referring to a UPI code as intended by the UPI Guidance and in accordance with ISO 4914, and industry stakeholders</w:t>
      </w:r>
      <w:r w:rsidR="00F8397E" w:rsidRPr="00B01B13">
        <w:t>—</w:t>
      </w:r>
      <w:r w:rsidRPr="00742CD5">
        <w:rPr>
          <w:spacing w:val="-2"/>
        </w:rPr>
        <w:t xml:space="preserve">reporting entities and derivative trade repositories </w:t>
      </w:r>
      <w:r w:rsidR="00F8397E" w:rsidRPr="00B01B13">
        <w:t>—</w:t>
      </w:r>
      <w:r w:rsidRPr="00742CD5">
        <w:rPr>
          <w:spacing w:val="-2"/>
        </w:rPr>
        <w:t xml:space="preserve">could adopt using UPI codes from the UPI system. However, there is a lack of certainty </w:t>
      </w:r>
      <w:r w:rsidR="00400F34" w:rsidRPr="00742CD5">
        <w:rPr>
          <w:spacing w:val="-2"/>
        </w:rPr>
        <w:t>that a ‘universal product identification code’ refers to a UPI code from the UPI system</w:t>
      </w:r>
      <w:r w:rsidR="00CD77D4" w:rsidRPr="00742CD5">
        <w:rPr>
          <w:spacing w:val="-2"/>
        </w:rPr>
        <w:t xml:space="preserve"> and industry stakeholders may decide to continue with existing reporting practices of UPIs.</w:t>
      </w:r>
    </w:p>
    <w:p w14:paraId="586BA5D6" w14:textId="76C797AB" w:rsidR="004B6BB8" w:rsidRDefault="004B6BB8" w:rsidP="005220EB">
      <w:pPr>
        <w:pStyle w:val="BodyText"/>
        <w:numPr>
          <w:ilvl w:val="0"/>
          <w:numId w:val="17"/>
        </w:numPr>
      </w:pPr>
      <w:r>
        <w:t xml:space="preserve">If UPI codes from the UPI system was not adopted for reporting, this would </w:t>
      </w:r>
      <w:r w:rsidR="001613B4">
        <w:t xml:space="preserve">likely </w:t>
      </w:r>
      <w:r>
        <w:t>lead to:</w:t>
      </w:r>
    </w:p>
    <w:p w14:paraId="3A2F4EF6" w14:textId="33415943" w:rsidR="001613B4" w:rsidRDefault="004B6BB8" w:rsidP="004B6BB8">
      <w:pPr>
        <w:pStyle w:val="BodyText"/>
        <w:numPr>
          <w:ilvl w:val="1"/>
          <w:numId w:val="17"/>
        </w:numPr>
      </w:pPr>
      <w:r>
        <w:t xml:space="preserve">the need </w:t>
      </w:r>
      <w:r w:rsidR="001613B4">
        <w:t xml:space="preserve">for reporting entities </w:t>
      </w:r>
      <w:r>
        <w:t xml:space="preserve">to continue to report data elements that </w:t>
      </w:r>
      <w:r w:rsidR="001613B4">
        <w:t>are otherwise embedded in the reference data for a UPI code;</w:t>
      </w:r>
    </w:p>
    <w:p w14:paraId="5B9D3280" w14:textId="57A3C9A6" w:rsidR="006C6C7E" w:rsidRDefault="001613B4" w:rsidP="004B6BB8">
      <w:pPr>
        <w:pStyle w:val="BodyText"/>
        <w:numPr>
          <w:ilvl w:val="1"/>
          <w:numId w:val="17"/>
        </w:numPr>
      </w:pPr>
      <w:r>
        <w:t>the need for reporting entities to continue to use and maintain a bespoke system for transaction reporting under the ASIC Rules; and</w:t>
      </w:r>
    </w:p>
    <w:p w14:paraId="417BC1D7" w14:textId="0FE7F9ED" w:rsidR="001613B4" w:rsidRDefault="001613B4" w:rsidP="00414F9A">
      <w:pPr>
        <w:pStyle w:val="BodyText"/>
        <w:numPr>
          <w:ilvl w:val="1"/>
          <w:numId w:val="17"/>
        </w:numPr>
      </w:pPr>
      <w:r>
        <w:t>a material barrier to the ready aggregation of cross-jurisdictional data.</w:t>
      </w:r>
    </w:p>
    <w:p w14:paraId="0DEA1610" w14:textId="77777777" w:rsidR="00BF3870" w:rsidRDefault="001613B4" w:rsidP="005220EB">
      <w:pPr>
        <w:pStyle w:val="BodyText"/>
        <w:numPr>
          <w:ilvl w:val="0"/>
          <w:numId w:val="17"/>
        </w:numPr>
      </w:pPr>
      <w:r>
        <w:t>In relation to the reporting of LEIs as entity identifiers, current reporting practices indicate that an LEI is not the voluntary first choice for a material number of reporting entities</w:t>
      </w:r>
      <w:r w:rsidR="00AC7DAA">
        <w:t xml:space="preserve"> as the entity identifier of their counterparties</w:t>
      </w:r>
      <w:r>
        <w:t xml:space="preserve">. </w:t>
      </w:r>
      <w:r w:rsidR="005220EB">
        <w:t xml:space="preserve">In </w:t>
      </w:r>
      <w:r w:rsidR="00AC7DAA">
        <w:t>the absence of an ASIC Rules requirement, it seems unlikely that LEIs would be universally reported</w:t>
      </w:r>
      <w:r w:rsidR="00BF3870">
        <w:t xml:space="preserve"> as entity identifiers.</w:t>
      </w:r>
    </w:p>
    <w:p w14:paraId="59997F05" w14:textId="77777777" w:rsidR="00BF3870" w:rsidRDefault="00BF3870" w:rsidP="00BF3870">
      <w:pPr>
        <w:pStyle w:val="BodyText"/>
        <w:numPr>
          <w:ilvl w:val="0"/>
          <w:numId w:val="17"/>
        </w:numPr>
      </w:pPr>
      <w:r>
        <w:t xml:space="preserve">Finally, in the current ASIC Rules </w:t>
      </w:r>
      <w:r w:rsidRPr="00BF3870">
        <w:t>there is limited alignment of the ASIC data elements with the CDE Guidance and the data elements of other jurisdictions.</w:t>
      </w:r>
      <w:r>
        <w:t xml:space="preserve"> In addition to these ASIC data elements being less than fit-for-purpose for our regulatory purposes, a very significant issue with this misalignment is </w:t>
      </w:r>
      <w:r w:rsidRPr="00BF3870">
        <w:t>the need for reporting entities to continue to use and maintain a bespoke system for transaction reporting under the ASIC Rules</w:t>
      </w:r>
      <w:r>
        <w:t>.</w:t>
      </w:r>
    </w:p>
    <w:p w14:paraId="2138B7CE" w14:textId="2DFC662D" w:rsidR="005220EB" w:rsidRDefault="003F1C4B" w:rsidP="005220EB">
      <w:pPr>
        <w:pStyle w:val="BodyText"/>
        <w:numPr>
          <w:ilvl w:val="0"/>
          <w:numId w:val="17"/>
        </w:numPr>
      </w:pPr>
      <w:r>
        <w:t xml:space="preserve">The </w:t>
      </w:r>
      <w:hyperlink r:id="rId199" w:history="1">
        <w:r w:rsidRPr="003F1C4B">
          <w:rPr>
            <w:rStyle w:val="Hyperlink"/>
          </w:rPr>
          <w:t>Regulation Impact Statement</w:t>
        </w:r>
      </w:hyperlink>
      <w:r>
        <w:t xml:space="preserve"> accompanying the introduction of the current ASIC Rules described a number of </w:t>
      </w:r>
      <w:r w:rsidR="004D09E6">
        <w:t xml:space="preserve">potential </w:t>
      </w:r>
      <w:r>
        <w:t>negative impacts of not implementing a transaction reporting rule framework and allowing the industry to self-regulate. Th</w:t>
      </w:r>
      <w:r w:rsidR="004D09E6">
        <w:t>ese</w:t>
      </w:r>
      <w:r>
        <w:t xml:space="preserve"> included </w:t>
      </w:r>
      <w:r w:rsidR="004D09E6">
        <w:t>potential negative impacts of market access, increased implementation and compliance burdens and regulatory and legal uncertainty related to remaining unaligned with derivative transaction reporting changes introduced in other jurisdictions.</w:t>
      </w:r>
    </w:p>
    <w:p w14:paraId="3F6C67C3" w14:textId="5C015A79" w:rsidR="004D09E6" w:rsidRDefault="004D09E6" w:rsidP="005220EB">
      <w:pPr>
        <w:pStyle w:val="BodyText"/>
        <w:numPr>
          <w:ilvl w:val="0"/>
          <w:numId w:val="17"/>
        </w:numPr>
      </w:pPr>
      <w:r>
        <w:t xml:space="preserve">This is also relevant to the current circumstances of the adoption of </w:t>
      </w:r>
      <w:r w:rsidR="00662BFE">
        <w:t xml:space="preserve">the </w:t>
      </w:r>
      <w:r>
        <w:t xml:space="preserve">international standards for </w:t>
      </w:r>
      <w:r w:rsidR="00662BFE">
        <w:t xml:space="preserve">UTI, UPI, LEI and data elements for </w:t>
      </w:r>
      <w:r>
        <w:t xml:space="preserve">derivatives transaction reporting </w:t>
      </w:r>
      <w:r w:rsidR="00662BFE">
        <w:t>in other jurisdictions, but which, under Option 4, would not be adopted, or fully adopted, in this jurisdiction.</w:t>
      </w:r>
    </w:p>
    <w:p w14:paraId="723A5DF0" w14:textId="07915B21" w:rsidR="00FC511F" w:rsidRDefault="00FC511F" w:rsidP="008C0C33">
      <w:pPr>
        <w:pStyle w:val="Heading1nonumber"/>
        <w:spacing w:after="400"/>
        <w:rPr>
          <w:rStyle w:val="CommentReference"/>
          <w:rFonts w:ascii="Times New Roman" w:hAnsi="Times New Roman" w:cs="Times New Roman"/>
          <w:b w:val="0"/>
          <w:kern w:val="0"/>
        </w:rPr>
      </w:pPr>
      <w:bookmarkStart w:id="357" w:name="_Toc152037863"/>
      <w:bookmarkStart w:id="358" w:name="_Toc158520483"/>
      <w:bookmarkStart w:id="359" w:name="_Toc164436801"/>
      <w:bookmarkStart w:id="360" w:name="_Toc103174663"/>
      <w:r>
        <w:t xml:space="preserve">Appendix 1: </w:t>
      </w:r>
      <w:bookmarkEnd w:id="357"/>
      <w:bookmarkEnd w:id="358"/>
      <w:bookmarkEnd w:id="359"/>
      <w:r w:rsidR="00061A2D" w:rsidRPr="00061A2D">
        <w:t>Data elements by rules version</w:t>
      </w:r>
      <w:bookmarkEnd w:id="360"/>
    </w:p>
    <w:p w14:paraId="73F5037A" w14:textId="405BCCE6" w:rsidR="00061A2D" w:rsidRDefault="005D0735" w:rsidP="008C0C33">
      <w:pPr>
        <w:pStyle w:val="BodyText"/>
        <w:numPr>
          <w:ilvl w:val="0"/>
          <w:numId w:val="17"/>
        </w:numPr>
      </w:pPr>
      <w:r w:rsidRPr="008C0C33">
        <w:fldChar w:fldCharType="begin" w:fldLock="1"/>
      </w:r>
      <w:r w:rsidRPr="008C0C33">
        <w:instrText xml:space="preserve"> REF _Ref100910801 \h </w:instrText>
      </w:r>
      <w:r w:rsidR="00D371EA">
        <w:instrText xml:space="preserve"> \* MERGEFORMAT </w:instrText>
      </w:r>
      <w:r w:rsidRPr="008C0C33">
        <w:fldChar w:fldCharType="separate"/>
      </w:r>
      <w:r w:rsidR="00853A2A">
        <w:t>Table 52</w:t>
      </w:r>
      <w:r w:rsidRPr="008C0C33">
        <w:fldChar w:fldCharType="end"/>
      </w:r>
      <w:r w:rsidR="00061A2D">
        <w:t xml:space="preserve"> lists the data elements in the current ASIC Rules and their equivalent, or near</w:t>
      </w:r>
      <w:r w:rsidR="004B3F11">
        <w:t xml:space="preserve"> </w:t>
      </w:r>
      <w:r w:rsidR="00061A2D">
        <w:t>equivalent, in the draft remade ASIC Rules and the draft amended ASIC Rules.</w:t>
      </w:r>
      <w:r w:rsidR="004B3F11">
        <w:t xml:space="preserve"> Please note that:</w:t>
      </w:r>
    </w:p>
    <w:p w14:paraId="199358EE" w14:textId="4EC503F8" w:rsidR="00061A2D" w:rsidRPr="004B3F11" w:rsidRDefault="004B3F11" w:rsidP="008C0C33">
      <w:pPr>
        <w:pStyle w:val="BodyText"/>
        <w:numPr>
          <w:ilvl w:val="1"/>
          <w:numId w:val="17"/>
        </w:numPr>
        <w:spacing w:before="100"/>
      </w:pPr>
      <w:r>
        <w:t>t</w:t>
      </w:r>
      <w:r w:rsidRPr="004B3F11">
        <w:t xml:space="preserve">he </w:t>
      </w:r>
      <w:r w:rsidR="00061A2D" w:rsidRPr="004B3F11">
        <w:t xml:space="preserve">data elements are listed in the order </w:t>
      </w:r>
      <w:r>
        <w:t xml:space="preserve">they appear </w:t>
      </w:r>
      <w:r w:rsidR="00061A2D" w:rsidRPr="004B3F11">
        <w:t>in the current ASIC Rules;</w:t>
      </w:r>
    </w:p>
    <w:p w14:paraId="44C774CF" w14:textId="77361CCE" w:rsidR="00061A2D" w:rsidRPr="004B3F11" w:rsidRDefault="004B3F11" w:rsidP="008C0C33">
      <w:pPr>
        <w:pStyle w:val="BodyText"/>
        <w:numPr>
          <w:ilvl w:val="1"/>
          <w:numId w:val="17"/>
        </w:numPr>
        <w:spacing w:before="100"/>
      </w:pPr>
      <w:r>
        <w:t>a</w:t>
      </w:r>
      <w:r w:rsidRPr="004B3F11">
        <w:t xml:space="preserve"> </w:t>
      </w:r>
      <w:r w:rsidR="00061A2D" w:rsidRPr="004B3F11">
        <w:t>change in ‘Table’ is indicated by an inserted table heading row;</w:t>
      </w:r>
    </w:p>
    <w:p w14:paraId="32D8F494" w14:textId="28BA2F49" w:rsidR="00061A2D" w:rsidRPr="004B3F11" w:rsidRDefault="004B3F11" w:rsidP="008C0C33">
      <w:pPr>
        <w:pStyle w:val="BodyText"/>
        <w:numPr>
          <w:ilvl w:val="1"/>
          <w:numId w:val="17"/>
        </w:numPr>
        <w:spacing w:before="100"/>
      </w:pPr>
      <w:r>
        <w:t>s</w:t>
      </w:r>
      <w:r w:rsidRPr="004B3F11">
        <w:t xml:space="preserve">ome </w:t>
      </w:r>
      <w:r w:rsidR="00061A2D" w:rsidRPr="004B3F11">
        <w:t>data elements of the draft amended ASIC Rules</w:t>
      </w:r>
      <w:r>
        <w:t xml:space="preserve"> (</w:t>
      </w:r>
      <w:r w:rsidR="00061A2D" w:rsidRPr="004B3F11">
        <w:t>e.g. Notional amount—Leg 1</w:t>
      </w:r>
      <w:r>
        <w:t xml:space="preserve">) </w:t>
      </w:r>
      <w:r w:rsidR="00061A2D" w:rsidRPr="004B3F11">
        <w:t>are listed multiple times because they map from multiple data elements in the current ASIC Rules and the draft remade ASIC Rules but are only one data element in the draft amended ASIC Rules;</w:t>
      </w:r>
      <w:r>
        <w:t xml:space="preserve"> and</w:t>
      </w:r>
    </w:p>
    <w:p w14:paraId="482BA144" w14:textId="68F9ECCE" w:rsidR="00061A2D" w:rsidRPr="004B3F11" w:rsidRDefault="004B3F11" w:rsidP="008C0C33">
      <w:pPr>
        <w:pStyle w:val="BodyText"/>
        <w:numPr>
          <w:ilvl w:val="1"/>
          <w:numId w:val="17"/>
        </w:numPr>
        <w:spacing w:before="100"/>
      </w:pPr>
      <w:r>
        <w:t>n</w:t>
      </w:r>
      <w:r w:rsidRPr="004B3F11">
        <w:t xml:space="preserve">ew </w:t>
      </w:r>
      <w:r w:rsidR="00061A2D" w:rsidRPr="004B3F11">
        <w:t>data elements in the draft amended ASIC Rules that are not equivalent, or near</w:t>
      </w:r>
      <w:r>
        <w:t xml:space="preserve"> </w:t>
      </w:r>
      <w:r w:rsidR="00061A2D" w:rsidRPr="004B3F11">
        <w:t>equivalent, to a data element in the current ASIC Rules or the draft remade ASIC Rules are listed at the end of</w:t>
      </w:r>
      <w:r w:rsidR="001C7A0C">
        <w:t xml:space="preserve"> </w:t>
      </w:r>
      <w:r w:rsidR="001C7A0C">
        <w:fldChar w:fldCharType="begin" w:fldLock="1"/>
      </w:r>
      <w:r w:rsidR="001C7A0C">
        <w:instrText xml:space="preserve"> REF _Ref100910801 \h </w:instrText>
      </w:r>
      <w:r w:rsidR="001C7A0C">
        <w:fldChar w:fldCharType="separate"/>
      </w:r>
      <w:r w:rsidR="00853A2A">
        <w:t xml:space="preserve">Table </w:t>
      </w:r>
      <w:r w:rsidR="00853A2A">
        <w:rPr>
          <w:noProof/>
        </w:rPr>
        <w:t>52</w:t>
      </w:r>
      <w:r w:rsidR="001C7A0C">
        <w:fldChar w:fldCharType="end"/>
      </w:r>
      <w:r w:rsidR="00640244">
        <w:t>.</w:t>
      </w:r>
    </w:p>
    <w:p w14:paraId="4CD67CD4" w14:textId="300F5A5F" w:rsidR="00061A2D" w:rsidRDefault="00061A2D" w:rsidP="00061A2D">
      <w:pPr>
        <w:pStyle w:val="tabletitlefullwidth"/>
      </w:pPr>
      <w:bookmarkStart w:id="361" w:name="_Ref100910801"/>
      <w:r>
        <w:t xml:space="preserve">Table </w:t>
      </w:r>
      <w:fldSimple w:instr=" SEQ Table \* ARABIC ">
        <w:r w:rsidR="006679BA">
          <w:rPr>
            <w:noProof/>
          </w:rPr>
          <w:t>52</w:t>
        </w:r>
      </w:fldSimple>
      <w:bookmarkEnd w:id="361"/>
      <w:r>
        <w:t>:</w:t>
      </w:r>
      <w:r>
        <w:tab/>
        <w:t>Data elements for each version of the rules</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023"/>
        <w:gridCol w:w="3023"/>
        <w:gridCol w:w="3024"/>
      </w:tblGrid>
      <w:tr w:rsidR="00061A2D" w:rsidRPr="000540E1" w14:paraId="761B98CD" w14:textId="77777777" w:rsidTr="008D0C3F">
        <w:trPr>
          <w:cantSplit/>
          <w:tblHeader/>
        </w:trPr>
        <w:tc>
          <w:tcPr>
            <w:tcW w:w="1666" w:type="pct"/>
            <w:shd w:val="clear" w:color="auto" w:fill="C2E3FA"/>
          </w:tcPr>
          <w:p w14:paraId="5B7FA3A9" w14:textId="77777777" w:rsidR="00061A2D" w:rsidRDefault="00061A2D" w:rsidP="008D0C3F">
            <w:pPr>
              <w:pStyle w:val="tablehead"/>
            </w:pPr>
            <w:r>
              <w:t>Current ASIC Rules</w:t>
            </w:r>
          </w:p>
          <w:p w14:paraId="4AB671A5" w14:textId="77777777" w:rsidR="00061A2D" w:rsidRDefault="00061A2D" w:rsidP="008D0C3F">
            <w:pPr>
              <w:pStyle w:val="tablehead"/>
            </w:pPr>
            <w:r>
              <w:t>From now</w:t>
            </w:r>
            <w:r>
              <w:br/>
              <w:t>to 30 September 2023</w:t>
            </w:r>
          </w:p>
        </w:tc>
        <w:tc>
          <w:tcPr>
            <w:tcW w:w="1666" w:type="pct"/>
            <w:shd w:val="clear" w:color="auto" w:fill="C2E3FA"/>
          </w:tcPr>
          <w:p w14:paraId="5432AC52" w14:textId="77777777" w:rsidR="00061A2D" w:rsidRDefault="00061A2D" w:rsidP="008D0C3F">
            <w:pPr>
              <w:pStyle w:val="tablehead"/>
            </w:pPr>
            <w:r>
              <w:t>Draft remade ASIC Rules</w:t>
            </w:r>
          </w:p>
          <w:p w14:paraId="3709966A" w14:textId="77777777" w:rsidR="00061A2D" w:rsidRPr="000540E1" w:rsidRDefault="00061A2D" w:rsidP="008D0C3F">
            <w:pPr>
              <w:pStyle w:val="tablehead"/>
            </w:pPr>
            <w:r>
              <w:t>From 1 October 2023</w:t>
            </w:r>
            <w:r>
              <w:br/>
              <w:t>to 31 March 2024</w:t>
            </w:r>
          </w:p>
        </w:tc>
        <w:tc>
          <w:tcPr>
            <w:tcW w:w="1667" w:type="pct"/>
            <w:shd w:val="clear" w:color="auto" w:fill="C2E3FA"/>
          </w:tcPr>
          <w:p w14:paraId="05DC2512" w14:textId="77777777" w:rsidR="00061A2D" w:rsidRDefault="00061A2D" w:rsidP="008D0C3F">
            <w:pPr>
              <w:pStyle w:val="tablehead"/>
            </w:pPr>
            <w:r>
              <w:t>Draft amended ASIC Rules</w:t>
            </w:r>
          </w:p>
          <w:p w14:paraId="6986DEBB" w14:textId="77777777" w:rsidR="00061A2D" w:rsidRPr="000540E1" w:rsidRDefault="00061A2D" w:rsidP="008D0C3F">
            <w:pPr>
              <w:pStyle w:val="tablehead"/>
            </w:pPr>
            <w:r>
              <w:t>From 1 April 2024</w:t>
            </w:r>
          </w:p>
        </w:tc>
      </w:tr>
      <w:tr w:rsidR="00061A2D" w:rsidRPr="000540E1" w14:paraId="5EF4DF38" w14:textId="77777777" w:rsidTr="008D0C3F">
        <w:trPr>
          <w:cantSplit/>
        </w:trPr>
        <w:tc>
          <w:tcPr>
            <w:tcW w:w="1666" w:type="pct"/>
            <w:shd w:val="clear" w:color="auto" w:fill="D9D9D9" w:themeFill="background1" w:themeFillShade="D9"/>
          </w:tcPr>
          <w:p w14:paraId="1BC1EDC1" w14:textId="471CC505" w:rsidR="00061A2D" w:rsidRPr="000540E1" w:rsidRDefault="00061A2D" w:rsidP="008D0C3F">
            <w:pPr>
              <w:pStyle w:val="tbltext"/>
            </w:pPr>
            <w:r>
              <w:t>Table S2.1(1) Common data</w:t>
            </w:r>
          </w:p>
        </w:tc>
        <w:tc>
          <w:tcPr>
            <w:tcW w:w="1666" w:type="pct"/>
            <w:shd w:val="clear" w:color="auto" w:fill="D9D9D9" w:themeFill="background1" w:themeFillShade="D9"/>
          </w:tcPr>
          <w:p w14:paraId="79CAD38F" w14:textId="35BF215E" w:rsidR="00061A2D" w:rsidRPr="000540E1" w:rsidRDefault="00061A2D" w:rsidP="008D0C3F">
            <w:pPr>
              <w:pStyle w:val="tbltext"/>
            </w:pPr>
            <w:r>
              <w:t>Table S1.1(1) Common data</w:t>
            </w:r>
          </w:p>
        </w:tc>
        <w:tc>
          <w:tcPr>
            <w:tcW w:w="1667" w:type="pct"/>
            <w:shd w:val="clear" w:color="auto" w:fill="D9D9D9" w:themeFill="background1" w:themeFillShade="D9"/>
          </w:tcPr>
          <w:p w14:paraId="75231BF8" w14:textId="006FD0BE" w:rsidR="00061A2D" w:rsidRPr="000540E1" w:rsidRDefault="00061A2D" w:rsidP="008D0C3F">
            <w:pPr>
              <w:pStyle w:val="tbltext"/>
            </w:pPr>
            <w:r>
              <w:t>Table S1.1(1) Transaction information</w:t>
            </w:r>
          </w:p>
        </w:tc>
      </w:tr>
      <w:tr w:rsidR="00061A2D" w:rsidRPr="000540E1" w14:paraId="26CEB548" w14:textId="77777777" w:rsidTr="008D0C3F">
        <w:trPr>
          <w:cantSplit/>
        </w:trPr>
        <w:tc>
          <w:tcPr>
            <w:tcW w:w="1666" w:type="pct"/>
          </w:tcPr>
          <w:p w14:paraId="7324575C" w14:textId="77777777" w:rsidR="00061A2D" w:rsidRPr="000540E1" w:rsidRDefault="00061A2D" w:rsidP="008D0C3F">
            <w:pPr>
              <w:pStyle w:val="tbltext"/>
            </w:pPr>
            <w:r w:rsidRPr="006B2D18">
              <w:t>Unique transaction identifier</w:t>
            </w:r>
          </w:p>
        </w:tc>
        <w:tc>
          <w:tcPr>
            <w:tcW w:w="1666" w:type="pct"/>
          </w:tcPr>
          <w:p w14:paraId="54385377" w14:textId="77777777" w:rsidR="00061A2D" w:rsidRPr="000540E1" w:rsidRDefault="00061A2D" w:rsidP="008D0C3F">
            <w:pPr>
              <w:pStyle w:val="tbltext"/>
            </w:pPr>
            <w:r w:rsidRPr="00F76596">
              <w:t>Unique transaction identifier</w:t>
            </w:r>
          </w:p>
        </w:tc>
        <w:tc>
          <w:tcPr>
            <w:tcW w:w="1667" w:type="pct"/>
          </w:tcPr>
          <w:p w14:paraId="0FE6DD91" w14:textId="77777777" w:rsidR="00061A2D" w:rsidRPr="000540E1" w:rsidRDefault="00061A2D" w:rsidP="008D0C3F">
            <w:pPr>
              <w:pStyle w:val="tbltext"/>
            </w:pPr>
            <w:r w:rsidRPr="00F76596">
              <w:t>Unique transaction identifier</w:t>
            </w:r>
          </w:p>
        </w:tc>
      </w:tr>
      <w:tr w:rsidR="00061A2D" w:rsidRPr="000540E1" w14:paraId="75737E4F" w14:textId="77777777" w:rsidTr="008D0C3F">
        <w:trPr>
          <w:cantSplit/>
        </w:trPr>
        <w:tc>
          <w:tcPr>
            <w:tcW w:w="1666" w:type="pct"/>
          </w:tcPr>
          <w:p w14:paraId="630D4812" w14:textId="77777777" w:rsidR="00061A2D" w:rsidRPr="000540E1" w:rsidRDefault="00061A2D" w:rsidP="008D0C3F">
            <w:pPr>
              <w:pStyle w:val="tbltext"/>
            </w:pPr>
            <w:r w:rsidRPr="00F76596">
              <w:t>Unique product identifier</w:t>
            </w:r>
          </w:p>
        </w:tc>
        <w:tc>
          <w:tcPr>
            <w:tcW w:w="1666" w:type="pct"/>
          </w:tcPr>
          <w:p w14:paraId="0F92CE3B" w14:textId="77777777" w:rsidR="00061A2D" w:rsidRPr="000540E1" w:rsidRDefault="00061A2D" w:rsidP="008D0C3F">
            <w:pPr>
              <w:pStyle w:val="tbltext"/>
            </w:pPr>
            <w:r w:rsidRPr="00F76596">
              <w:t>Unique product identifier</w:t>
            </w:r>
          </w:p>
        </w:tc>
        <w:tc>
          <w:tcPr>
            <w:tcW w:w="1667" w:type="pct"/>
          </w:tcPr>
          <w:p w14:paraId="0DFE724C" w14:textId="77777777" w:rsidR="00061A2D" w:rsidRPr="000540E1" w:rsidRDefault="00061A2D" w:rsidP="008D0C3F">
            <w:pPr>
              <w:pStyle w:val="tbltext"/>
            </w:pPr>
            <w:r w:rsidRPr="00F76596">
              <w:t>Unique product identifier</w:t>
            </w:r>
          </w:p>
        </w:tc>
      </w:tr>
      <w:tr w:rsidR="00061A2D" w:rsidRPr="000540E1" w14:paraId="3357D4E6" w14:textId="77777777" w:rsidTr="008D0C3F">
        <w:trPr>
          <w:cantSplit/>
        </w:trPr>
        <w:tc>
          <w:tcPr>
            <w:tcW w:w="1666" w:type="pct"/>
          </w:tcPr>
          <w:p w14:paraId="6AC19F72" w14:textId="77777777" w:rsidR="00061A2D" w:rsidRPr="000540E1" w:rsidRDefault="00061A2D" w:rsidP="008D0C3F">
            <w:pPr>
              <w:pStyle w:val="tbltext"/>
            </w:pPr>
            <w:r w:rsidRPr="00F76596">
              <w:t>Contract type</w:t>
            </w:r>
          </w:p>
        </w:tc>
        <w:tc>
          <w:tcPr>
            <w:tcW w:w="1666" w:type="pct"/>
          </w:tcPr>
          <w:p w14:paraId="210ED745" w14:textId="5CA7C856" w:rsidR="00061A2D" w:rsidRPr="000540E1" w:rsidRDefault="002D0EB6" w:rsidP="008D0C3F">
            <w:pPr>
              <w:pStyle w:val="tbltext"/>
            </w:pPr>
            <w:r>
              <w:t>Not applicable</w:t>
            </w:r>
          </w:p>
        </w:tc>
        <w:tc>
          <w:tcPr>
            <w:tcW w:w="1667" w:type="pct"/>
          </w:tcPr>
          <w:p w14:paraId="51653966" w14:textId="2BBD77BE" w:rsidR="00061A2D" w:rsidRPr="000540E1" w:rsidRDefault="002D0EB6" w:rsidP="008D0C3F">
            <w:pPr>
              <w:pStyle w:val="tbltext"/>
            </w:pPr>
            <w:r>
              <w:t>Not applicable</w:t>
            </w:r>
          </w:p>
        </w:tc>
      </w:tr>
      <w:tr w:rsidR="00061A2D" w:rsidRPr="000540E1" w14:paraId="40E70CE5" w14:textId="77777777" w:rsidTr="008D0C3F">
        <w:trPr>
          <w:cantSplit/>
        </w:trPr>
        <w:tc>
          <w:tcPr>
            <w:tcW w:w="1666" w:type="pct"/>
          </w:tcPr>
          <w:p w14:paraId="4B8F4309" w14:textId="77777777" w:rsidR="00061A2D" w:rsidRPr="00F76596" w:rsidRDefault="00061A2D" w:rsidP="008D0C3F">
            <w:pPr>
              <w:pStyle w:val="tbltext"/>
            </w:pPr>
            <w:r w:rsidRPr="00F76596">
              <w:t>Underlying</w:t>
            </w:r>
          </w:p>
        </w:tc>
        <w:tc>
          <w:tcPr>
            <w:tcW w:w="1666" w:type="pct"/>
          </w:tcPr>
          <w:p w14:paraId="520B950C" w14:textId="77777777" w:rsidR="00061A2D" w:rsidRPr="000540E1" w:rsidRDefault="00061A2D" w:rsidP="008D0C3F">
            <w:pPr>
              <w:pStyle w:val="tbltext"/>
            </w:pPr>
            <w:r w:rsidRPr="00DB1C95">
              <w:rPr>
                <w:color w:val="000000" w:themeColor="text1"/>
              </w:rPr>
              <w:t>Underl</w:t>
            </w:r>
            <w:r>
              <w:rPr>
                <w:color w:val="000000" w:themeColor="text1"/>
              </w:rPr>
              <w:t>ying</w:t>
            </w:r>
          </w:p>
        </w:tc>
        <w:tc>
          <w:tcPr>
            <w:tcW w:w="1667" w:type="pct"/>
          </w:tcPr>
          <w:p w14:paraId="2161D2F7" w14:textId="77777777" w:rsidR="00061A2D" w:rsidRPr="000540E1" w:rsidRDefault="00061A2D" w:rsidP="008D0C3F">
            <w:pPr>
              <w:pStyle w:val="tbltext"/>
              <w:ind w:left="170" w:hanging="170"/>
            </w:pPr>
            <w:r w:rsidRPr="00DB1C95">
              <w:rPr>
                <w:color w:val="000000" w:themeColor="text1"/>
              </w:rPr>
              <w:t>Underlier ID–non</w:t>
            </w:r>
            <w:r>
              <w:rPr>
                <w:color w:val="000000" w:themeColor="text1"/>
              </w:rPr>
              <w:t>-</w:t>
            </w:r>
            <w:r w:rsidRPr="00DB1C95">
              <w:rPr>
                <w:color w:val="000000" w:themeColor="text1"/>
              </w:rPr>
              <w:t>UPI</w:t>
            </w:r>
            <w:r>
              <w:rPr>
                <w:color w:val="000000" w:themeColor="text1"/>
              </w:rPr>
              <w:br/>
              <w:t>for commodity &amp; equity asset classes only</w:t>
            </w:r>
          </w:p>
        </w:tc>
      </w:tr>
      <w:tr w:rsidR="00061A2D" w:rsidRPr="000540E1" w14:paraId="518EBB7A" w14:textId="77777777" w:rsidTr="008D0C3F">
        <w:trPr>
          <w:cantSplit/>
        </w:trPr>
        <w:tc>
          <w:tcPr>
            <w:tcW w:w="1666" w:type="pct"/>
          </w:tcPr>
          <w:p w14:paraId="7AE68BBF" w14:textId="1EA77391" w:rsidR="00061A2D" w:rsidRPr="00F76596" w:rsidRDefault="002D0EB6" w:rsidP="008D0C3F">
            <w:pPr>
              <w:pStyle w:val="tbltext"/>
            </w:pPr>
            <w:r>
              <w:t>Not applicable</w:t>
            </w:r>
          </w:p>
        </w:tc>
        <w:tc>
          <w:tcPr>
            <w:tcW w:w="1666" w:type="pct"/>
          </w:tcPr>
          <w:p w14:paraId="798C276D" w14:textId="1909365A" w:rsidR="00061A2D" w:rsidRPr="00F76596" w:rsidRDefault="002D0EB6" w:rsidP="008D0C3F">
            <w:pPr>
              <w:pStyle w:val="tbltext"/>
            </w:pPr>
            <w:r>
              <w:t>Not applicable</w:t>
            </w:r>
          </w:p>
        </w:tc>
        <w:tc>
          <w:tcPr>
            <w:tcW w:w="1667" w:type="pct"/>
          </w:tcPr>
          <w:p w14:paraId="10D18958" w14:textId="77777777" w:rsidR="00061A2D" w:rsidRPr="000A2678" w:rsidRDefault="00061A2D" w:rsidP="008D0C3F">
            <w:pPr>
              <w:pStyle w:val="tbltext"/>
              <w:ind w:left="170" w:hanging="170"/>
              <w:rPr>
                <w:color w:val="000000" w:themeColor="text1"/>
              </w:rPr>
            </w:pPr>
            <w:r w:rsidRPr="00FA37D3">
              <w:rPr>
                <w:color w:val="000000" w:themeColor="text1"/>
              </w:rPr>
              <w:t>Underlier ID source–non-UPI</w:t>
            </w:r>
            <w:r>
              <w:rPr>
                <w:color w:val="000000" w:themeColor="text1"/>
              </w:rPr>
              <w:br/>
              <w:t>for commodity &amp; equity asset classes only</w:t>
            </w:r>
          </w:p>
        </w:tc>
      </w:tr>
      <w:tr w:rsidR="00061A2D" w:rsidRPr="000540E1" w14:paraId="266A415E" w14:textId="77777777" w:rsidTr="008D0C3F">
        <w:trPr>
          <w:cantSplit/>
        </w:trPr>
        <w:tc>
          <w:tcPr>
            <w:tcW w:w="1666" w:type="pct"/>
          </w:tcPr>
          <w:p w14:paraId="6BBB0E3C" w14:textId="1176E8C6" w:rsidR="00061A2D" w:rsidRPr="00F76596" w:rsidRDefault="002D0EB6" w:rsidP="008D0C3F">
            <w:pPr>
              <w:pStyle w:val="tbltext"/>
            </w:pPr>
            <w:r>
              <w:t>Not applicable</w:t>
            </w:r>
          </w:p>
        </w:tc>
        <w:tc>
          <w:tcPr>
            <w:tcW w:w="1666" w:type="pct"/>
          </w:tcPr>
          <w:p w14:paraId="021E089D" w14:textId="19CCB1C0" w:rsidR="00061A2D" w:rsidRPr="00F76596" w:rsidRDefault="002D0EB6" w:rsidP="008D0C3F">
            <w:pPr>
              <w:pStyle w:val="tbltext"/>
            </w:pPr>
            <w:r>
              <w:t>Not applicable</w:t>
            </w:r>
          </w:p>
        </w:tc>
        <w:tc>
          <w:tcPr>
            <w:tcW w:w="1667" w:type="pct"/>
          </w:tcPr>
          <w:p w14:paraId="553D2967" w14:textId="77777777" w:rsidR="00061A2D" w:rsidRPr="000540E1" w:rsidRDefault="00061A2D" w:rsidP="008D0C3F">
            <w:pPr>
              <w:pStyle w:val="tbltext"/>
            </w:pPr>
            <w:r>
              <w:t>Reporting Entity</w:t>
            </w:r>
          </w:p>
        </w:tc>
      </w:tr>
      <w:tr w:rsidR="00061A2D" w:rsidRPr="000540E1" w14:paraId="5D9B55EC" w14:textId="77777777" w:rsidTr="008D0C3F">
        <w:trPr>
          <w:cantSplit/>
        </w:trPr>
        <w:tc>
          <w:tcPr>
            <w:tcW w:w="1666" w:type="pct"/>
          </w:tcPr>
          <w:p w14:paraId="555A81AC" w14:textId="77777777" w:rsidR="00061A2D" w:rsidRPr="00F76596" w:rsidRDefault="00061A2D" w:rsidP="008D0C3F">
            <w:pPr>
              <w:pStyle w:val="tbltext"/>
            </w:pPr>
            <w:r w:rsidRPr="00F76596">
              <w:t>Identifier of Reporting Counterparty</w:t>
            </w:r>
          </w:p>
        </w:tc>
        <w:tc>
          <w:tcPr>
            <w:tcW w:w="1666" w:type="pct"/>
          </w:tcPr>
          <w:p w14:paraId="0C2D8B1D" w14:textId="77777777" w:rsidR="00061A2D" w:rsidRPr="000540E1" w:rsidRDefault="00061A2D" w:rsidP="008D0C3F">
            <w:pPr>
              <w:pStyle w:val="tbltext"/>
            </w:pPr>
            <w:r>
              <w:t>Counterparty 1</w:t>
            </w:r>
          </w:p>
        </w:tc>
        <w:tc>
          <w:tcPr>
            <w:tcW w:w="1667" w:type="pct"/>
          </w:tcPr>
          <w:p w14:paraId="4A3E9307" w14:textId="77777777" w:rsidR="00061A2D" w:rsidRPr="000540E1" w:rsidRDefault="00061A2D" w:rsidP="008D0C3F">
            <w:pPr>
              <w:pStyle w:val="tbltext"/>
            </w:pPr>
            <w:r>
              <w:t>Counterparty 1</w:t>
            </w:r>
          </w:p>
        </w:tc>
      </w:tr>
      <w:tr w:rsidR="00061A2D" w:rsidRPr="000540E1" w14:paraId="0920D1C6" w14:textId="77777777" w:rsidTr="008D0C3F">
        <w:trPr>
          <w:cantSplit/>
        </w:trPr>
        <w:tc>
          <w:tcPr>
            <w:tcW w:w="1666" w:type="pct"/>
          </w:tcPr>
          <w:p w14:paraId="2B3C2B88" w14:textId="77777777" w:rsidR="00061A2D" w:rsidRPr="00F76596" w:rsidRDefault="00061A2D" w:rsidP="008D0C3F">
            <w:pPr>
              <w:pStyle w:val="tbltext"/>
            </w:pPr>
            <w:r w:rsidRPr="00F76596">
              <w:t>Name of Reporting Counterparty</w:t>
            </w:r>
          </w:p>
        </w:tc>
        <w:tc>
          <w:tcPr>
            <w:tcW w:w="1666" w:type="pct"/>
          </w:tcPr>
          <w:p w14:paraId="3E5ED05B" w14:textId="5CCBC09B" w:rsidR="00061A2D" w:rsidRPr="000540E1" w:rsidRDefault="002D0EB6" w:rsidP="008D0C3F">
            <w:pPr>
              <w:pStyle w:val="tbltext"/>
            </w:pPr>
            <w:r>
              <w:t>Not applicable</w:t>
            </w:r>
          </w:p>
        </w:tc>
        <w:tc>
          <w:tcPr>
            <w:tcW w:w="1667" w:type="pct"/>
          </w:tcPr>
          <w:p w14:paraId="566C05A1" w14:textId="0FA8DA72" w:rsidR="00061A2D" w:rsidRPr="000540E1" w:rsidRDefault="002D0EB6" w:rsidP="008D0C3F">
            <w:pPr>
              <w:pStyle w:val="tbltext"/>
            </w:pPr>
            <w:r>
              <w:t>Not applicable</w:t>
            </w:r>
          </w:p>
        </w:tc>
      </w:tr>
      <w:tr w:rsidR="00061A2D" w:rsidRPr="000540E1" w14:paraId="74717402" w14:textId="77777777" w:rsidTr="008D0C3F">
        <w:trPr>
          <w:cantSplit/>
        </w:trPr>
        <w:tc>
          <w:tcPr>
            <w:tcW w:w="1666" w:type="pct"/>
          </w:tcPr>
          <w:p w14:paraId="4B1C5C11" w14:textId="77777777" w:rsidR="00061A2D" w:rsidRPr="00F76596" w:rsidRDefault="00061A2D" w:rsidP="008D0C3F">
            <w:pPr>
              <w:pStyle w:val="tbltext"/>
            </w:pPr>
            <w:r w:rsidRPr="00F76596">
              <w:t>Identifier of Non</w:t>
            </w:r>
            <w:r w:rsidRPr="00F76596">
              <w:noBreakHyphen/>
              <w:t>Reporting Counterparty</w:t>
            </w:r>
          </w:p>
        </w:tc>
        <w:tc>
          <w:tcPr>
            <w:tcW w:w="1666" w:type="pct"/>
          </w:tcPr>
          <w:p w14:paraId="1A04C86D" w14:textId="77777777" w:rsidR="00061A2D" w:rsidRPr="000540E1" w:rsidRDefault="00061A2D" w:rsidP="008D0C3F">
            <w:pPr>
              <w:pStyle w:val="tbltext"/>
            </w:pPr>
            <w:r>
              <w:t>Counterparty 2</w:t>
            </w:r>
          </w:p>
        </w:tc>
        <w:tc>
          <w:tcPr>
            <w:tcW w:w="1667" w:type="pct"/>
          </w:tcPr>
          <w:p w14:paraId="4489C5AE" w14:textId="77777777" w:rsidR="00061A2D" w:rsidRPr="000540E1" w:rsidRDefault="00061A2D" w:rsidP="008D0C3F">
            <w:pPr>
              <w:pStyle w:val="tbltext"/>
            </w:pPr>
            <w:r>
              <w:t>Counterparty 2</w:t>
            </w:r>
          </w:p>
        </w:tc>
      </w:tr>
      <w:tr w:rsidR="00061A2D" w:rsidRPr="000540E1" w14:paraId="62A2B6DD" w14:textId="77777777" w:rsidTr="008D0C3F">
        <w:trPr>
          <w:cantSplit/>
        </w:trPr>
        <w:tc>
          <w:tcPr>
            <w:tcW w:w="1666" w:type="pct"/>
          </w:tcPr>
          <w:p w14:paraId="3F7C5BB9" w14:textId="5BD0FC9D" w:rsidR="00061A2D" w:rsidRPr="00F76596" w:rsidRDefault="00797914" w:rsidP="008D0C3F">
            <w:pPr>
              <w:pStyle w:val="tbltext"/>
            </w:pPr>
            <w:r>
              <w:t>Not applicable</w:t>
            </w:r>
          </w:p>
        </w:tc>
        <w:tc>
          <w:tcPr>
            <w:tcW w:w="1666" w:type="pct"/>
          </w:tcPr>
          <w:p w14:paraId="20D7B0BC" w14:textId="7B77EB86" w:rsidR="00061A2D" w:rsidRDefault="00797914" w:rsidP="008D0C3F">
            <w:pPr>
              <w:pStyle w:val="tbltext"/>
            </w:pPr>
            <w:r>
              <w:t>Not applicable</w:t>
            </w:r>
          </w:p>
        </w:tc>
        <w:tc>
          <w:tcPr>
            <w:tcW w:w="1667" w:type="pct"/>
          </w:tcPr>
          <w:p w14:paraId="0DA3DEB0" w14:textId="77777777" w:rsidR="00061A2D" w:rsidRPr="000540E1" w:rsidRDefault="00061A2D" w:rsidP="008D0C3F">
            <w:pPr>
              <w:pStyle w:val="tbltext"/>
            </w:pPr>
            <w:r>
              <w:t>Counterparty 2 identifier type</w:t>
            </w:r>
          </w:p>
        </w:tc>
      </w:tr>
      <w:tr w:rsidR="00061A2D" w:rsidRPr="000540E1" w14:paraId="10AAB9B2" w14:textId="77777777" w:rsidTr="008D0C3F">
        <w:trPr>
          <w:cantSplit/>
        </w:trPr>
        <w:tc>
          <w:tcPr>
            <w:tcW w:w="1666" w:type="pct"/>
          </w:tcPr>
          <w:p w14:paraId="174E2D94" w14:textId="42936160" w:rsidR="00061A2D" w:rsidRPr="00F76596" w:rsidRDefault="00797914" w:rsidP="008D0C3F">
            <w:pPr>
              <w:pStyle w:val="tbltext"/>
            </w:pPr>
            <w:r>
              <w:t>Not applicable</w:t>
            </w:r>
          </w:p>
        </w:tc>
        <w:tc>
          <w:tcPr>
            <w:tcW w:w="1666" w:type="pct"/>
          </w:tcPr>
          <w:p w14:paraId="2D3752D2" w14:textId="2B0B76B8" w:rsidR="00061A2D" w:rsidRDefault="00797914" w:rsidP="008D0C3F">
            <w:pPr>
              <w:pStyle w:val="tbltext"/>
            </w:pPr>
            <w:r>
              <w:t>Not applicable</w:t>
            </w:r>
          </w:p>
        </w:tc>
        <w:tc>
          <w:tcPr>
            <w:tcW w:w="1667" w:type="pct"/>
          </w:tcPr>
          <w:p w14:paraId="3E7103C7" w14:textId="77777777" w:rsidR="00061A2D" w:rsidRPr="000540E1" w:rsidRDefault="00061A2D" w:rsidP="008D0C3F">
            <w:pPr>
              <w:pStyle w:val="tbltext"/>
            </w:pPr>
            <w:r>
              <w:t>Country of Counterparty 2</w:t>
            </w:r>
          </w:p>
        </w:tc>
      </w:tr>
      <w:tr w:rsidR="00061A2D" w:rsidRPr="000540E1" w14:paraId="52565680" w14:textId="77777777" w:rsidTr="008D0C3F">
        <w:trPr>
          <w:cantSplit/>
        </w:trPr>
        <w:tc>
          <w:tcPr>
            <w:tcW w:w="1666" w:type="pct"/>
          </w:tcPr>
          <w:p w14:paraId="00A29153" w14:textId="77777777" w:rsidR="00061A2D" w:rsidRPr="00F76596" w:rsidRDefault="00061A2D" w:rsidP="008D0C3F">
            <w:pPr>
              <w:pStyle w:val="tbltext"/>
            </w:pPr>
            <w:r w:rsidRPr="00F76596">
              <w:t>Name of Non-Reporting Counterparty</w:t>
            </w:r>
          </w:p>
        </w:tc>
        <w:tc>
          <w:tcPr>
            <w:tcW w:w="1666" w:type="pct"/>
          </w:tcPr>
          <w:p w14:paraId="77ADBE58" w14:textId="71D63853" w:rsidR="00061A2D" w:rsidRPr="000540E1" w:rsidRDefault="00797914" w:rsidP="008D0C3F">
            <w:pPr>
              <w:pStyle w:val="tbltext"/>
            </w:pPr>
            <w:r>
              <w:t>Not applicable</w:t>
            </w:r>
          </w:p>
        </w:tc>
        <w:tc>
          <w:tcPr>
            <w:tcW w:w="1667" w:type="pct"/>
          </w:tcPr>
          <w:p w14:paraId="5F6C21B7" w14:textId="423BACEE" w:rsidR="00061A2D" w:rsidRPr="000540E1" w:rsidRDefault="00797914" w:rsidP="008D0C3F">
            <w:pPr>
              <w:pStyle w:val="tbltext"/>
            </w:pPr>
            <w:r>
              <w:t>Not applicable</w:t>
            </w:r>
          </w:p>
        </w:tc>
      </w:tr>
      <w:tr w:rsidR="00061A2D" w:rsidRPr="000540E1" w14:paraId="71EEA11A" w14:textId="77777777" w:rsidTr="008D0C3F">
        <w:trPr>
          <w:cantSplit/>
        </w:trPr>
        <w:tc>
          <w:tcPr>
            <w:tcW w:w="1666" w:type="pct"/>
          </w:tcPr>
          <w:p w14:paraId="5541515A" w14:textId="77777777" w:rsidR="00061A2D" w:rsidRPr="00F76596" w:rsidRDefault="00061A2D" w:rsidP="008D0C3F">
            <w:pPr>
              <w:pStyle w:val="tbltext"/>
            </w:pPr>
            <w:r w:rsidRPr="00F76596">
              <w:t>Trading capacity of Reporting Counterparty</w:t>
            </w:r>
          </w:p>
        </w:tc>
        <w:tc>
          <w:tcPr>
            <w:tcW w:w="1666" w:type="pct"/>
          </w:tcPr>
          <w:p w14:paraId="45DAD644" w14:textId="06660C24" w:rsidR="00061A2D" w:rsidRPr="000540E1" w:rsidRDefault="00797914" w:rsidP="008D0C3F">
            <w:pPr>
              <w:pStyle w:val="tbltext"/>
            </w:pPr>
            <w:r>
              <w:t>Not applicable</w:t>
            </w:r>
          </w:p>
        </w:tc>
        <w:tc>
          <w:tcPr>
            <w:tcW w:w="1667" w:type="pct"/>
          </w:tcPr>
          <w:p w14:paraId="775AD01B" w14:textId="13EC8737" w:rsidR="00061A2D" w:rsidRPr="000540E1" w:rsidRDefault="00797914" w:rsidP="008D0C3F">
            <w:pPr>
              <w:pStyle w:val="tbltext"/>
            </w:pPr>
            <w:r>
              <w:t>Not applicable</w:t>
            </w:r>
          </w:p>
        </w:tc>
      </w:tr>
      <w:tr w:rsidR="00061A2D" w:rsidRPr="000540E1" w14:paraId="2312D156" w14:textId="77777777" w:rsidTr="008D0C3F">
        <w:trPr>
          <w:cantSplit/>
        </w:trPr>
        <w:tc>
          <w:tcPr>
            <w:tcW w:w="1666" w:type="pct"/>
          </w:tcPr>
          <w:p w14:paraId="6AA7680A" w14:textId="77777777" w:rsidR="00061A2D" w:rsidRPr="00F76596" w:rsidRDefault="00061A2D" w:rsidP="008D0C3F">
            <w:pPr>
              <w:pStyle w:val="tbltext"/>
            </w:pPr>
            <w:r w:rsidRPr="00F76596">
              <w:t>Identifier of beneficiary</w:t>
            </w:r>
          </w:p>
        </w:tc>
        <w:tc>
          <w:tcPr>
            <w:tcW w:w="1666" w:type="pct"/>
          </w:tcPr>
          <w:p w14:paraId="334F42BE" w14:textId="77777777" w:rsidR="00061A2D" w:rsidRPr="000540E1" w:rsidRDefault="00061A2D" w:rsidP="008D0C3F">
            <w:pPr>
              <w:pStyle w:val="tbltext"/>
            </w:pPr>
            <w:r>
              <w:t>Beneficiary 1</w:t>
            </w:r>
          </w:p>
        </w:tc>
        <w:tc>
          <w:tcPr>
            <w:tcW w:w="1667" w:type="pct"/>
          </w:tcPr>
          <w:p w14:paraId="02C03736" w14:textId="77777777" w:rsidR="00061A2D" w:rsidRPr="000540E1" w:rsidRDefault="00061A2D" w:rsidP="008D0C3F">
            <w:pPr>
              <w:pStyle w:val="tbltext"/>
            </w:pPr>
            <w:r>
              <w:t>Beneficiary 1</w:t>
            </w:r>
          </w:p>
        </w:tc>
      </w:tr>
      <w:tr w:rsidR="00061A2D" w:rsidRPr="000540E1" w14:paraId="000ADE14" w14:textId="77777777" w:rsidTr="008D0C3F">
        <w:trPr>
          <w:cantSplit/>
        </w:trPr>
        <w:tc>
          <w:tcPr>
            <w:tcW w:w="1666" w:type="pct"/>
          </w:tcPr>
          <w:p w14:paraId="23F584FF" w14:textId="740BFD0E" w:rsidR="00061A2D" w:rsidRPr="00F76596" w:rsidRDefault="00797914" w:rsidP="008D0C3F">
            <w:pPr>
              <w:pStyle w:val="tbltext"/>
            </w:pPr>
            <w:r>
              <w:t>Not applicable</w:t>
            </w:r>
          </w:p>
        </w:tc>
        <w:tc>
          <w:tcPr>
            <w:tcW w:w="1666" w:type="pct"/>
          </w:tcPr>
          <w:p w14:paraId="1CFBF053" w14:textId="0AF7E525" w:rsidR="00061A2D" w:rsidRDefault="00797914" w:rsidP="008D0C3F">
            <w:pPr>
              <w:pStyle w:val="tbltext"/>
            </w:pPr>
            <w:r>
              <w:t>Not applicable</w:t>
            </w:r>
          </w:p>
        </w:tc>
        <w:tc>
          <w:tcPr>
            <w:tcW w:w="1667" w:type="pct"/>
          </w:tcPr>
          <w:p w14:paraId="083F50C9" w14:textId="77777777" w:rsidR="00061A2D" w:rsidRPr="000540E1" w:rsidRDefault="00061A2D" w:rsidP="008D0C3F">
            <w:pPr>
              <w:pStyle w:val="tbltext"/>
            </w:pPr>
            <w:r w:rsidRPr="006D6DF8">
              <w:t>Beneficiary 1</w:t>
            </w:r>
            <w:r>
              <w:t xml:space="preserve"> identifier</w:t>
            </w:r>
            <w:r w:rsidRPr="006D6DF8">
              <w:t xml:space="preserve"> type</w:t>
            </w:r>
          </w:p>
        </w:tc>
      </w:tr>
      <w:tr w:rsidR="00061A2D" w:rsidRPr="000540E1" w14:paraId="7CB1D725" w14:textId="77777777" w:rsidTr="008D0C3F">
        <w:trPr>
          <w:cantSplit/>
        </w:trPr>
        <w:tc>
          <w:tcPr>
            <w:tcW w:w="1666" w:type="pct"/>
          </w:tcPr>
          <w:p w14:paraId="3BF65B70" w14:textId="77777777" w:rsidR="00061A2D" w:rsidRPr="00F76596" w:rsidRDefault="00061A2D" w:rsidP="008D0C3F">
            <w:pPr>
              <w:pStyle w:val="tbltext"/>
            </w:pPr>
            <w:r w:rsidRPr="00F76596">
              <w:t>Name of beneficiary or structure</w:t>
            </w:r>
          </w:p>
        </w:tc>
        <w:tc>
          <w:tcPr>
            <w:tcW w:w="1666" w:type="pct"/>
          </w:tcPr>
          <w:p w14:paraId="751EBE0A" w14:textId="631E7503" w:rsidR="00061A2D" w:rsidRPr="000540E1" w:rsidRDefault="00797914" w:rsidP="008D0C3F">
            <w:pPr>
              <w:pStyle w:val="tbltext"/>
            </w:pPr>
            <w:r>
              <w:t>Not applicable</w:t>
            </w:r>
          </w:p>
        </w:tc>
        <w:tc>
          <w:tcPr>
            <w:tcW w:w="1667" w:type="pct"/>
          </w:tcPr>
          <w:p w14:paraId="376D71C1" w14:textId="227BD340" w:rsidR="00061A2D" w:rsidRPr="000540E1" w:rsidRDefault="00797914" w:rsidP="008D0C3F">
            <w:pPr>
              <w:pStyle w:val="tbltext"/>
            </w:pPr>
            <w:r>
              <w:t>Not applicable</w:t>
            </w:r>
          </w:p>
        </w:tc>
      </w:tr>
      <w:tr w:rsidR="00061A2D" w:rsidRPr="000540E1" w14:paraId="019DA45A" w14:textId="77777777" w:rsidTr="008D0C3F">
        <w:trPr>
          <w:cantSplit/>
        </w:trPr>
        <w:tc>
          <w:tcPr>
            <w:tcW w:w="1666" w:type="pct"/>
          </w:tcPr>
          <w:p w14:paraId="4D97A512" w14:textId="77777777" w:rsidR="00061A2D" w:rsidRPr="00F76596" w:rsidRDefault="00061A2D" w:rsidP="008D0C3F">
            <w:pPr>
              <w:pStyle w:val="tbltext"/>
            </w:pPr>
            <w:r w:rsidRPr="00F76596">
              <w:t>Identifier of person making report</w:t>
            </w:r>
          </w:p>
        </w:tc>
        <w:tc>
          <w:tcPr>
            <w:tcW w:w="1666" w:type="pct"/>
          </w:tcPr>
          <w:p w14:paraId="4DA47C7A" w14:textId="77777777" w:rsidR="00061A2D" w:rsidRPr="000540E1" w:rsidRDefault="00061A2D" w:rsidP="008D0C3F">
            <w:pPr>
              <w:pStyle w:val="tbltext"/>
            </w:pPr>
            <w:r w:rsidRPr="00B46519">
              <w:rPr>
                <w:color w:val="000000" w:themeColor="text1"/>
              </w:rPr>
              <w:t>Report submitting entity</w:t>
            </w:r>
          </w:p>
        </w:tc>
        <w:tc>
          <w:tcPr>
            <w:tcW w:w="1667" w:type="pct"/>
          </w:tcPr>
          <w:p w14:paraId="3A484576" w14:textId="77777777" w:rsidR="00061A2D" w:rsidRPr="000540E1" w:rsidRDefault="00061A2D" w:rsidP="008D0C3F">
            <w:pPr>
              <w:pStyle w:val="tbltext"/>
            </w:pPr>
            <w:r w:rsidRPr="00FA37D3">
              <w:rPr>
                <w:color w:val="000000" w:themeColor="text1"/>
              </w:rPr>
              <w:t>Report submitting entity</w:t>
            </w:r>
          </w:p>
        </w:tc>
      </w:tr>
      <w:tr w:rsidR="00061A2D" w:rsidRPr="000540E1" w14:paraId="12E750FB" w14:textId="77777777" w:rsidTr="008D0C3F">
        <w:trPr>
          <w:cantSplit/>
        </w:trPr>
        <w:tc>
          <w:tcPr>
            <w:tcW w:w="1666" w:type="pct"/>
          </w:tcPr>
          <w:p w14:paraId="17B6B410" w14:textId="77777777" w:rsidR="00061A2D" w:rsidRPr="00F76596" w:rsidRDefault="00061A2D" w:rsidP="008D0C3F">
            <w:pPr>
              <w:pStyle w:val="tbltext"/>
            </w:pPr>
            <w:r w:rsidRPr="00F76596">
              <w:t>Name of person making report</w:t>
            </w:r>
          </w:p>
        </w:tc>
        <w:tc>
          <w:tcPr>
            <w:tcW w:w="1666" w:type="pct"/>
          </w:tcPr>
          <w:p w14:paraId="57269976" w14:textId="03640BF4" w:rsidR="00061A2D" w:rsidRPr="000540E1" w:rsidRDefault="00797914" w:rsidP="008D0C3F">
            <w:pPr>
              <w:pStyle w:val="tbltext"/>
            </w:pPr>
            <w:r>
              <w:t>Not applicable</w:t>
            </w:r>
          </w:p>
        </w:tc>
        <w:tc>
          <w:tcPr>
            <w:tcW w:w="1667" w:type="pct"/>
          </w:tcPr>
          <w:p w14:paraId="7EDA2C6D" w14:textId="302B50FB" w:rsidR="00061A2D" w:rsidRPr="000540E1" w:rsidRDefault="00797914" w:rsidP="008D0C3F">
            <w:pPr>
              <w:pStyle w:val="tbltext"/>
            </w:pPr>
            <w:r>
              <w:t>Not applicable</w:t>
            </w:r>
          </w:p>
        </w:tc>
      </w:tr>
      <w:tr w:rsidR="00061A2D" w:rsidRPr="000540E1" w14:paraId="304E5101" w14:textId="77777777" w:rsidTr="008D0C3F">
        <w:trPr>
          <w:cantSplit/>
        </w:trPr>
        <w:tc>
          <w:tcPr>
            <w:tcW w:w="1666" w:type="pct"/>
          </w:tcPr>
          <w:p w14:paraId="4F1A5891" w14:textId="77777777" w:rsidR="00061A2D" w:rsidRPr="00F76596" w:rsidRDefault="00061A2D" w:rsidP="008D0C3F">
            <w:pPr>
              <w:pStyle w:val="tbltext"/>
            </w:pPr>
            <w:r w:rsidRPr="00F76596">
              <w:t>Domicile of Reporting Counterparty</w:t>
            </w:r>
          </w:p>
        </w:tc>
        <w:tc>
          <w:tcPr>
            <w:tcW w:w="1666" w:type="pct"/>
          </w:tcPr>
          <w:p w14:paraId="40C49309" w14:textId="08CE6FA6" w:rsidR="00061A2D" w:rsidRPr="000540E1" w:rsidRDefault="00797914" w:rsidP="008D0C3F">
            <w:pPr>
              <w:pStyle w:val="tbltext"/>
            </w:pPr>
            <w:r>
              <w:t>Not applicable</w:t>
            </w:r>
          </w:p>
        </w:tc>
        <w:tc>
          <w:tcPr>
            <w:tcW w:w="1667" w:type="pct"/>
          </w:tcPr>
          <w:p w14:paraId="50498A5F" w14:textId="729DEB33" w:rsidR="00061A2D" w:rsidRPr="000540E1" w:rsidRDefault="00797914" w:rsidP="008D0C3F">
            <w:pPr>
              <w:pStyle w:val="tbltext"/>
            </w:pPr>
            <w:r>
              <w:t>Not applicable</w:t>
            </w:r>
          </w:p>
        </w:tc>
      </w:tr>
      <w:tr w:rsidR="00061A2D" w:rsidRPr="000540E1" w14:paraId="35D14E93" w14:textId="77777777" w:rsidTr="008D0C3F">
        <w:trPr>
          <w:cantSplit/>
        </w:trPr>
        <w:tc>
          <w:tcPr>
            <w:tcW w:w="1666" w:type="pct"/>
          </w:tcPr>
          <w:p w14:paraId="47865BD2" w14:textId="77777777" w:rsidR="00061A2D" w:rsidRPr="00F76596" w:rsidRDefault="00061A2D" w:rsidP="008D0C3F">
            <w:pPr>
              <w:pStyle w:val="tbltext"/>
            </w:pPr>
            <w:r w:rsidRPr="00F76596">
              <w:t>Identifier of broker</w:t>
            </w:r>
          </w:p>
        </w:tc>
        <w:tc>
          <w:tcPr>
            <w:tcW w:w="1666" w:type="pct"/>
          </w:tcPr>
          <w:p w14:paraId="087D5392" w14:textId="77777777" w:rsidR="00061A2D" w:rsidRPr="000540E1" w:rsidRDefault="00061A2D" w:rsidP="008D0C3F">
            <w:pPr>
              <w:pStyle w:val="tbltext"/>
            </w:pPr>
            <w:r>
              <w:t>Broker</w:t>
            </w:r>
          </w:p>
        </w:tc>
        <w:tc>
          <w:tcPr>
            <w:tcW w:w="1667" w:type="pct"/>
          </w:tcPr>
          <w:p w14:paraId="4AFBB811" w14:textId="77777777" w:rsidR="00061A2D" w:rsidRPr="000540E1" w:rsidRDefault="00061A2D" w:rsidP="008D0C3F">
            <w:pPr>
              <w:pStyle w:val="tbltext"/>
            </w:pPr>
            <w:r>
              <w:t>Broker</w:t>
            </w:r>
          </w:p>
        </w:tc>
      </w:tr>
      <w:tr w:rsidR="00061A2D" w:rsidRPr="000540E1" w14:paraId="1B757884" w14:textId="77777777" w:rsidTr="008D0C3F">
        <w:trPr>
          <w:cantSplit/>
        </w:trPr>
        <w:tc>
          <w:tcPr>
            <w:tcW w:w="1666" w:type="pct"/>
          </w:tcPr>
          <w:p w14:paraId="39C0348B" w14:textId="77777777" w:rsidR="00061A2D" w:rsidRPr="00F76596" w:rsidRDefault="00061A2D" w:rsidP="008D0C3F">
            <w:pPr>
              <w:pStyle w:val="tbltext"/>
            </w:pPr>
            <w:r w:rsidRPr="00F76596">
              <w:t>Name of broker</w:t>
            </w:r>
          </w:p>
        </w:tc>
        <w:tc>
          <w:tcPr>
            <w:tcW w:w="1666" w:type="pct"/>
          </w:tcPr>
          <w:p w14:paraId="1DAC9BDA" w14:textId="2F54F0B3" w:rsidR="00061A2D" w:rsidRPr="000540E1" w:rsidRDefault="00797914" w:rsidP="008D0C3F">
            <w:pPr>
              <w:pStyle w:val="tbltext"/>
            </w:pPr>
            <w:r>
              <w:t>Not applicable</w:t>
            </w:r>
          </w:p>
        </w:tc>
        <w:tc>
          <w:tcPr>
            <w:tcW w:w="1667" w:type="pct"/>
          </w:tcPr>
          <w:p w14:paraId="01E3CE7E" w14:textId="68A2CF87" w:rsidR="00061A2D" w:rsidRPr="000540E1" w:rsidRDefault="00797914" w:rsidP="008D0C3F">
            <w:pPr>
              <w:pStyle w:val="tbltext"/>
            </w:pPr>
            <w:r>
              <w:t>Not applicable</w:t>
            </w:r>
          </w:p>
        </w:tc>
      </w:tr>
      <w:tr w:rsidR="00061A2D" w:rsidRPr="000540E1" w14:paraId="24FD82B2" w14:textId="77777777" w:rsidTr="008D0C3F">
        <w:trPr>
          <w:cantSplit/>
        </w:trPr>
        <w:tc>
          <w:tcPr>
            <w:tcW w:w="1666" w:type="pct"/>
          </w:tcPr>
          <w:p w14:paraId="049D110A" w14:textId="49005957" w:rsidR="00061A2D" w:rsidRPr="00F76596" w:rsidRDefault="00797914" w:rsidP="008D0C3F">
            <w:pPr>
              <w:pStyle w:val="tbltext"/>
            </w:pPr>
            <w:r>
              <w:t>Not applicable</w:t>
            </w:r>
          </w:p>
        </w:tc>
        <w:tc>
          <w:tcPr>
            <w:tcW w:w="1666" w:type="pct"/>
          </w:tcPr>
          <w:p w14:paraId="18A34FC7" w14:textId="2D703CA4" w:rsidR="00061A2D" w:rsidRDefault="00797914" w:rsidP="008D0C3F">
            <w:pPr>
              <w:pStyle w:val="tbltext"/>
            </w:pPr>
            <w:r>
              <w:t>Not applicable</w:t>
            </w:r>
          </w:p>
        </w:tc>
        <w:tc>
          <w:tcPr>
            <w:tcW w:w="1667" w:type="pct"/>
          </w:tcPr>
          <w:p w14:paraId="4C384009" w14:textId="77777777" w:rsidR="00061A2D" w:rsidRPr="000540E1" w:rsidRDefault="00061A2D" w:rsidP="008D0C3F">
            <w:pPr>
              <w:pStyle w:val="tbltext"/>
            </w:pPr>
            <w:r>
              <w:t>Execution agent of Counterparty 1</w:t>
            </w:r>
          </w:p>
        </w:tc>
      </w:tr>
      <w:tr w:rsidR="00061A2D" w:rsidRPr="000540E1" w14:paraId="40BE894F" w14:textId="77777777" w:rsidTr="008D0C3F">
        <w:trPr>
          <w:cantSplit/>
        </w:trPr>
        <w:tc>
          <w:tcPr>
            <w:tcW w:w="1666" w:type="pct"/>
          </w:tcPr>
          <w:p w14:paraId="2C8BAFF2" w14:textId="77777777" w:rsidR="00061A2D" w:rsidRPr="00F76596" w:rsidRDefault="00061A2D" w:rsidP="008D0C3F">
            <w:pPr>
              <w:pStyle w:val="tbltext"/>
            </w:pPr>
            <w:r w:rsidRPr="00F76596">
              <w:t>Whether the Derivative has been centrally cleared (to be amended if cleared after initial report made)</w:t>
            </w:r>
          </w:p>
        </w:tc>
        <w:tc>
          <w:tcPr>
            <w:tcW w:w="1666" w:type="pct"/>
          </w:tcPr>
          <w:p w14:paraId="05E9A31F" w14:textId="77777777" w:rsidR="00061A2D" w:rsidRPr="000540E1" w:rsidRDefault="00061A2D" w:rsidP="008D0C3F">
            <w:pPr>
              <w:pStyle w:val="tbltext"/>
            </w:pPr>
            <w:r>
              <w:t>Cleared</w:t>
            </w:r>
          </w:p>
        </w:tc>
        <w:tc>
          <w:tcPr>
            <w:tcW w:w="1667" w:type="pct"/>
          </w:tcPr>
          <w:p w14:paraId="6F238552" w14:textId="77777777" w:rsidR="00061A2D" w:rsidRPr="000540E1" w:rsidRDefault="00061A2D" w:rsidP="008D0C3F">
            <w:pPr>
              <w:pStyle w:val="tbltext"/>
            </w:pPr>
            <w:r>
              <w:t>Cleared</w:t>
            </w:r>
          </w:p>
        </w:tc>
      </w:tr>
      <w:tr w:rsidR="00061A2D" w:rsidRPr="000540E1" w14:paraId="4212CF2F" w14:textId="77777777" w:rsidTr="008D0C3F">
        <w:trPr>
          <w:cantSplit/>
        </w:trPr>
        <w:tc>
          <w:tcPr>
            <w:tcW w:w="1666" w:type="pct"/>
          </w:tcPr>
          <w:p w14:paraId="68A6728A" w14:textId="77777777" w:rsidR="00061A2D" w:rsidRPr="00F76596" w:rsidRDefault="00061A2D" w:rsidP="008D0C3F">
            <w:pPr>
              <w:pStyle w:val="tbltext"/>
            </w:pPr>
            <w:r w:rsidRPr="00F76596">
              <w:t>Name of central clearing facility</w:t>
            </w:r>
          </w:p>
        </w:tc>
        <w:tc>
          <w:tcPr>
            <w:tcW w:w="1666" w:type="pct"/>
          </w:tcPr>
          <w:p w14:paraId="548505FA" w14:textId="77777777" w:rsidR="00061A2D" w:rsidRPr="000540E1" w:rsidRDefault="00061A2D" w:rsidP="008D0C3F">
            <w:pPr>
              <w:pStyle w:val="tbltext"/>
            </w:pPr>
            <w:r>
              <w:t>Central counterparty</w:t>
            </w:r>
          </w:p>
        </w:tc>
        <w:tc>
          <w:tcPr>
            <w:tcW w:w="1667" w:type="pct"/>
          </w:tcPr>
          <w:p w14:paraId="0E432C9A" w14:textId="77777777" w:rsidR="00061A2D" w:rsidRPr="000540E1" w:rsidRDefault="00061A2D" w:rsidP="008D0C3F">
            <w:pPr>
              <w:pStyle w:val="tbltext"/>
            </w:pPr>
            <w:r>
              <w:t>Central counterparty</w:t>
            </w:r>
          </w:p>
        </w:tc>
      </w:tr>
      <w:tr w:rsidR="00061A2D" w:rsidRPr="000540E1" w14:paraId="726A62CD" w14:textId="77777777" w:rsidTr="008D0C3F">
        <w:trPr>
          <w:cantSplit/>
        </w:trPr>
        <w:tc>
          <w:tcPr>
            <w:tcW w:w="1666" w:type="pct"/>
          </w:tcPr>
          <w:p w14:paraId="66A3239A" w14:textId="77777777" w:rsidR="00061A2D" w:rsidRPr="00F76596" w:rsidRDefault="00061A2D" w:rsidP="008D0C3F">
            <w:pPr>
              <w:pStyle w:val="tbltext"/>
            </w:pPr>
            <w:r w:rsidRPr="00F76596">
              <w:t>Identifier of clearing member</w:t>
            </w:r>
          </w:p>
        </w:tc>
        <w:tc>
          <w:tcPr>
            <w:tcW w:w="1666" w:type="pct"/>
          </w:tcPr>
          <w:p w14:paraId="1B99A982" w14:textId="77777777" w:rsidR="00061A2D" w:rsidRPr="000540E1" w:rsidRDefault="00061A2D" w:rsidP="008D0C3F">
            <w:pPr>
              <w:pStyle w:val="tbltext"/>
            </w:pPr>
            <w:r>
              <w:t>Clearing member</w:t>
            </w:r>
          </w:p>
        </w:tc>
        <w:tc>
          <w:tcPr>
            <w:tcW w:w="1667" w:type="pct"/>
          </w:tcPr>
          <w:p w14:paraId="71089C8B" w14:textId="77777777" w:rsidR="00061A2D" w:rsidRPr="000540E1" w:rsidRDefault="00061A2D" w:rsidP="008D0C3F">
            <w:pPr>
              <w:pStyle w:val="tbltext"/>
            </w:pPr>
            <w:r>
              <w:t>Clearing member</w:t>
            </w:r>
          </w:p>
        </w:tc>
      </w:tr>
      <w:tr w:rsidR="00061A2D" w:rsidRPr="000540E1" w14:paraId="34890371" w14:textId="77777777" w:rsidTr="008D0C3F">
        <w:trPr>
          <w:cantSplit/>
        </w:trPr>
        <w:tc>
          <w:tcPr>
            <w:tcW w:w="1666" w:type="pct"/>
          </w:tcPr>
          <w:p w14:paraId="765D384C" w14:textId="77777777" w:rsidR="00061A2D" w:rsidRPr="00F76596" w:rsidRDefault="00061A2D" w:rsidP="008D0C3F">
            <w:pPr>
              <w:pStyle w:val="tbltext"/>
            </w:pPr>
            <w:r w:rsidRPr="00F76596">
              <w:t>Name of clearing member</w:t>
            </w:r>
          </w:p>
        </w:tc>
        <w:tc>
          <w:tcPr>
            <w:tcW w:w="1666" w:type="pct"/>
          </w:tcPr>
          <w:p w14:paraId="7145B61D" w14:textId="45D337D8" w:rsidR="00061A2D" w:rsidRPr="000540E1" w:rsidRDefault="00797914" w:rsidP="008D0C3F">
            <w:pPr>
              <w:pStyle w:val="tbltext"/>
            </w:pPr>
            <w:r>
              <w:t>Not applicable</w:t>
            </w:r>
          </w:p>
        </w:tc>
        <w:tc>
          <w:tcPr>
            <w:tcW w:w="1667" w:type="pct"/>
          </w:tcPr>
          <w:p w14:paraId="1A687624" w14:textId="53123242" w:rsidR="00061A2D" w:rsidRPr="000540E1" w:rsidRDefault="00797914" w:rsidP="008D0C3F">
            <w:pPr>
              <w:pStyle w:val="tbltext"/>
            </w:pPr>
            <w:r>
              <w:t>Not applicable</w:t>
            </w:r>
          </w:p>
        </w:tc>
      </w:tr>
      <w:tr w:rsidR="00061A2D" w:rsidRPr="000540E1" w14:paraId="7C296E17" w14:textId="77777777" w:rsidTr="008D0C3F">
        <w:trPr>
          <w:cantSplit/>
        </w:trPr>
        <w:tc>
          <w:tcPr>
            <w:tcW w:w="1666" w:type="pct"/>
          </w:tcPr>
          <w:p w14:paraId="0755E104" w14:textId="77777777" w:rsidR="00061A2D" w:rsidRPr="00F76596" w:rsidRDefault="00061A2D" w:rsidP="008D0C3F">
            <w:pPr>
              <w:pStyle w:val="tbltext"/>
            </w:pPr>
            <w:r w:rsidRPr="00F76596">
              <w:t>Whether the Derivative has been confirmed</w:t>
            </w:r>
          </w:p>
        </w:tc>
        <w:tc>
          <w:tcPr>
            <w:tcW w:w="1666" w:type="pct"/>
          </w:tcPr>
          <w:p w14:paraId="04A61D90" w14:textId="7C1EF12E" w:rsidR="00061A2D" w:rsidRPr="000540E1" w:rsidRDefault="00797914" w:rsidP="008D0C3F">
            <w:pPr>
              <w:pStyle w:val="tbltext"/>
            </w:pPr>
            <w:r>
              <w:t>Not applicable</w:t>
            </w:r>
          </w:p>
        </w:tc>
        <w:tc>
          <w:tcPr>
            <w:tcW w:w="1667" w:type="pct"/>
          </w:tcPr>
          <w:p w14:paraId="73C8DF3F" w14:textId="4A175E6E" w:rsidR="00061A2D" w:rsidRPr="000540E1" w:rsidRDefault="00797914" w:rsidP="008D0C3F">
            <w:pPr>
              <w:pStyle w:val="tbltext"/>
            </w:pPr>
            <w:r>
              <w:t>Not applicable</w:t>
            </w:r>
          </w:p>
        </w:tc>
      </w:tr>
      <w:tr w:rsidR="00061A2D" w:rsidRPr="000540E1" w14:paraId="4190C30D" w14:textId="77777777" w:rsidTr="008D0C3F">
        <w:trPr>
          <w:cantSplit/>
        </w:trPr>
        <w:tc>
          <w:tcPr>
            <w:tcW w:w="1666" w:type="pct"/>
          </w:tcPr>
          <w:p w14:paraId="5C717272" w14:textId="77777777" w:rsidR="00061A2D" w:rsidRPr="00F76596" w:rsidRDefault="00061A2D" w:rsidP="008D0C3F">
            <w:pPr>
              <w:pStyle w:val="tbltext"/>
            </w:pPr>
            <w:r w:rsidRPr="00F76596">
              <w:t>Form of confirmation</w:t>
            </w:r>
          </w:p>
        </w:tc>
        <w:tc>
          <w:tcPr>
            <w:tcW w:w="1666" w:type="pct"/>
          </w:tcPr>
          <w:p w14:paraId="074076A1" w14:textId="7D8E9160" w:rsidR="00061A2D" w:rsidRPr="000540E1" w:rsidRDefault="00797914" w:rsidP="008D0C3F">
            <w:pPr>
              <w:pStyle w:val="tbltext"/>
            </w:pPr>
            <w:r>
              <w:t>Not applicable</w:t>
            </w:r>
          </w:p>
        </w:tc>
        <w:tc>
          <w:tcPr>
            <w:tcW w:w="1667" w:type="pct"/>
          </w:tcPr>
          <w:p w14:paraId="4F13B197" w14:textId="616C13E6" w:rsidR="00061A2D" w:rsidRPr="000540E1" w:rsidRDefault="00797914" w:rsidP="008D0C3F">
            <w:pPr>
              <w:pStyle w:val="tbltext"/>
            </w:pPr>
            <w:r>
              <w:t>Not applicable</w:t>
            </w:r>
          </w:p>
        </w:tc>
      </w:tr>
      <w:tr w:rsidR="00061A2D" w:rsidRPr="000540E1" w14:paraId="4C2BCC4A" w14:textId="77777777" w:rsidTr="008D0C3F">
        <w:trPr>
          <w:cantSplit/>
        </w:trPr>
        <w:tc>
          <w:tcPr>
            <w:tcW w:w="1666" w:type="pct"/>
          </w:tcPr>
          <w:p w14:paraId="6997915A" w14:textId="77777777" w:rsidR="00061A2D" w:rsidRPr="00F76596" w:rsidRDefault="00061A2D" w:rsidP="008D0C3F">
            <w:pPr>
              <w:pStyle w:val="tbltext"/>
            </w:pPr>
            <w:r w:rsidRPr="00F76596">
              <w:t>Confirmation timestamp</w:t>
            </w:r>
          </w:p>
        </w:tc>
        <w:tc>
          <w:tcPr>
            <w:tcW w:w="1666" w:type="pct"/>
          </w:tcPr>
          <w:p w14:paraId="76B01C68" w14:textId="0A443A7F" w:rsidR="00061A2D" w:rsidRPr="000540E1" w:rsidRDefault="00797914" w:rsidP="008D0C3F">
            <w:pPr>
              <w:pStyle w:val="tbltext"/>
            </w:pPr>
            <w:r>
              <w:t>Not applicable</w:t>
            </w:r>
          </w:p>
        </w:tc>
        <w:tc>
          <w:tcPr>
            <w:tcW w:w="1667" w:type="pct"/>
          </w:tcPr>
          <w:p w14:paraId="5D3EC581" w14:textId="7684C8BD" w:rsidR="00061A2D" w:rsidRPr="000540E1" w:rsidRDefault="00797914" w:rsidP="008D0C3F">
            <w:pPr>
              <w:pStyle w:val="tbltext"/>
            </w:pPr>
            <w:r>
              <w:t>Not applicable</w:t>
            </w:r>
          </w:p>
        </w:tc>
      </w:tr>
      <w:tr w:rsidR="00061A2D" w:rsidRPr="000540E1" w14:paraId="743A92A4" w14:textId="77777777" w:rsidTr="008D0C3F">
        <w:trPr>
          <w:cantSplit/>
        </w:trPr>
        <w:tc>
          <w:tcPr>
            <w:tcW w:w="1666" w:type="pct"/>
          </w:tcPr>
          <w:p w14:paraId="47491856" w14:textId="77777777" w:rsidR="00061A2D" w:rsidRPr="00F76596" w:rsidRDefault="00061A2D" w:rsidP="008D0C3F">
            <w:pPr>
              <w:pStyle w:val="tbltext"/>
            </w:pPr>
            <w:r w:rsidRPr="00F76596">
              <w:t>Execution venue</w:t>
            </w:r>
          </w:p>
        </w:tc>
        <w:tc>
          <w:tcPr>
            <w:tcW w:w="1666" w:type="pct"/>
          </w:tcPr>
          <w:p w14:paraId="5A3772D5" w14:textId="77777777" w:rsidR="00061A2D" w:rsidRPr="000540E1" w:rsidRDefault="00061A2D" w:rsidP="008D0C3F">
            <w:pPr>
              <w:pStyle w:val="tbltext"/>
            </w:pPr>
            <w:r w:rsidRPr="001F550B">
              <w:t>Platform identifier</w:t>
            </w:r>
          </w:p>
        </w:tc>
        <w:tc>
          <w:tcPr>
            <w:tcW w:w="1667" w:type="pct"/>
          </w:tcPr>
          <w:p w14:paraId="1C3D3C2F" w14:textId="77777777" w:rsidR="00061A2D" w:rsidRPr="000540E1" w:rsidRDefault="00061A2D" w:rsidP="008D0C3F">
            <w:pPr>
              <w:pStyle w:val="tbltext"/>
            </w:pPr>
            <w:r w:rsidRPr="00B03981">
              <w:t>Platform identifier</w:t>
            </w:r>
          </w:p>
        </w:tc>
      </w:tr>
      <w:tr w:rsidR="00061A2D" w:rsidRPr="000540E1" w14:paraId="0A65D699" w14:textId="77777777" w:rsidTr="008D0C3F">
        <w:trPr>
          <w:cantSplit/>
        </w:trPr>
        <w:tc>
          <w:tcPr>
            <w:tcW w:w="1666" w:type="pct"/>
          </w:tcPr>
          <w:p w14:paraId="061886EE" w14:textId="77777777" w:rsidR="00061A2D" w:rsidRPr="00F76596" w:rsidRDefault="00061A2D" w:rsidP="008D0C3F">
            <w:pPr>
              <w:pStyle w:val="tbltext"/>
            </w:pPr>
            <w:r w:rsidRPr="00F76596">
              <w:t>Master agreement type</w:t>
            </w:r>
          </w:p>
        </w:tc>
        <w:tc>
          <w:tcPr>
            <w:tcW w:w="1666" w:type="pct"/>
          </w:tcPr>
          <w:p w14:paraId="75FD1AEB" w14:textId="5F15FA1D" w:rsidR="00061A2D" w:rsidRPr="000540E1" w:rsidRDefault="00797914" w:rsidP="008D0C3F">
            <w:pPr>
              <w:pStyle w:val="tbltext"/>
            </w:pPr>
            <w:r>
              <w:t>Not applicable</w:t>
            </w:r>
          </w:p>
        </w:tc>
        <w:tc>
          <w:tcPr>
            <w:tcW w:w="1667" w:type="pct"/>
          </w:tcPr>
          <w:p w14:paraId="09FEADFF" w14:textId="69290353" w:rsidR="00061A2D" w:rsidRPr="000540E1" w:rsidRDefault="00797914" w:rsidP="008D0C3F">
            <w:pPr>
              <w:pStyle w:val="tbltext"/>
            </w:pPr>
            <w:r>
              <w:t>Not applicable</w:t>
            </w:r>
          </w:p>
        </w:tc>
      </w:tr>
      <w:tr w:rsidR="00061A2D" w:rsidRPr="000540E1" w14:paraId="7466E02E" w14:textId="77777777" w:rsidTr="008D0C3F">
        <w:trPr>
          <w:cantSplit/>
        </w:trPr>
        <w:tc>
          <w:tcPr>
            <w:tcW w:w="1666" w:type="pct"/>
          </w:tcPr>
          <w:p w14:paraId="7FE65F94" w14:textId="77777777" w:rsidR="00061A2D" w:rsidRPr="00F76596" w:rsidRDefault="00061A2D" w:rsidP="008D0C3F">
            <w:pPr>
              <w:pStyle w:val="tbltext"/>
            </w:pPr>
            <w:r w:rsidRPr="00F76596">
              <w:t>Master agreement date</w:t>
            </w:r>
          </w:p>
        </w:tc>
        <w:tc>
          <w:tcPr>
            <w:tcW w:w="1666" w:type="pct"/>
          </w:tcPr>
          <w:p w14:paraId="43EDB337" w14:textId="65716A5B" w:rsidR="00061A2D" w:rsidRPr="000540E1" w:rsidRDefault="00797914" w:rsidP="008D0C3F">
            <w:pPr>
              <w:pStyle w:val="tbltext"/>
            </w:pPr>
            <w:r>
              <w:t>Not applicable</w:t>
            </w:r>
          </w:p>
        </w:tc>
        <w:tc>
          <w:tcPr>
            <w:tcW w:w="1667" w:type="pct"/>
          </w:tcPr>
          <w:p w14:paraId="110127F7" w14:textId="4B0A11C7" w:rsidR="00061A2D" w:rsidRPr="000540E1" w:rsidRDefault="00797914" w:rsidP="008D0C3F">
            <w:pPr>
              <w:pStyle w:val="tbltext"/>
            </w:pPr>
            <w:r>
              <w:t>Not applicable</w:t>
            </w:r>
          </w:p>
        </w:tc>
      </w:tr>
      <w:tr w:rsidR="00061A2D" w:rsidRPr="000540E1" w14:paraId="21C601E6" w14:textId="77777777" w:rsidTr="008D0C3F">
        <w:trPr>
          <w:cantSplit/>
        </w:trPr>
        <w:tc>
          <w:tcPr>
            <w:tcW w:w="1666" w:type="pct"/>
          </w:tcPr>
          <w:p w14:paraId="29B3406B" w14:textId="77777777" w:rsidR="00061A2D" w:rsidRPr="00F76596" w:rsidRDefault="00061A2D" w:rsidP="008D0C3F">
            <w:pPr>
              <w:pStyle w:val="tbltext"/>
            </w:pPr>
            <w:r w:rsidRPr="00F76596">
              <w:t>Derivative-effective date or start date</w:t>
            </w:r>
          </w:p>
        </w:tc>
        <w:tc>
          <w:tcPr>
            <w:tcW w:w="1666" w:type="pct"/>
          </w:tcPr>
          <w:p w14:paraId="5CBB1E83" w14:textId="77777777" w:rsidR="00061A2D" w:rsidRPr="000540E1" w:rsidRDefault="00061A2D" w:rsidP="008D0C3F">
            <w:pPr>
              <w:pStyle w:val="tbltext"/>
            </w:pPr>
            <w:r w:rsidRPr="00B03981">
              <w:t>Effective date</w:t>
            </w:r>
          </w:p>
        </w:tc>
        <w:tc>
          <w:tcPr>
            <w:tcW w:w="1667" w:type="pct"/>
          </w:tcPr>
          <w:p w14:paraId="118E7909" w14:textId="77777777" w:rsidR="00061A2D" w:rsidRPr="000540E1" w:rsidRDefault="00061A2D" w:rsidP="008D0C3F">
            <w:pPr>
              <w:pStyle w:val="tbltext"/>
            </w:pPr>
            <w:r w:rsidRPr="00B03981">
              <w:t>Effective date</w:t>
            </w:r>
          </w:p>
        </w:tc>
      </w:tr>
      <w:tr w:rsidR="00061A2D" w:rsidRPr="000540E1" w14:paraId="6A514384" w14:textId="77777777" w:rsidTr="008D0C3F">
        <w:trPr>
          <w:cantSplit/>
        </w:trPr>
        <w:tc>
          <w:tcPr>
            <w:tcW w:w="1666" w:type="pct"/>
          </w:tcPr>
          <w:p w14:paraId="44438DCD" w14:textId="77777777" w:rsidR="00061A2D" w:rsidRPr="00F76596" w:rsidRDefault="00061A2D" w:rsidP="008D0C3F">
            <w:pPr>
              <w:pStyle w:val="tbltext"/>
              <w:ind w:left="170" w:hanging="170"/>
            </w:pPr>
            <w:r w:rsidRPr="00F76596">
              <w:t>Maturity, termination or end date</w:t>
            </w:r>
            <w:r>
              <w:br/>
              <w:t>including end date of swap underlying a swaption</w:t>
            </w:r>
          </w:p>
        </w:tc>
        <w:tc>
          <w:tcPr>
            <w:tcW w:w="1666" w:type="pct"/>
          </w:tcPr>
          <w:p w14:paraId="6EA3C29E" w14:textId="77777777" w:rsidR="00061A2D" w:rsidRPr="000540E1" w:rsidRDefault="00061A2D" w:rsidP="008D0C3F">
            <w:pPr>
              <w:pStyle w:val="tbltext"/>
              <w:ind w:left="170" w:hanging="170"/>
            </w:pPr>
            <w:r w:rsidRPr="00B03981">
              <w:t>Expiration date</w:t>
            </w:r>
            <w:r>
              <w:br/>
              <w:t>including end date of swap underlying a swaption</w:t>
            </w:r>
          </w:p>
        </w:tc>
        <w:tc>
          <w:tcPr>
            <w:tcW w:w="1667" w:type="pct"/>
          </w:tcPr>
          <w:p w14:paraId="1B6E1CBD" w14:textId="77777777" w:rsidR="00061A2D" w:rsidRPr="000540E1" w:rsidRDefault="00061A2D" w:rsidP="008D0C3F">
            <w:pPr>
              <w:pStyle w:val="tbltext"/>
              <w:ind w:left="170" w:hanging="170"/>
            </w:pPr>
            <w:r w:rsidRPr="00B03981">
              <w:t>Expiration date</w:t>
            </w:r>
            <w:r>
              <w:br/>
            </w:r>
            <w:r w:rsidRPr="00430FFE">
              <w:t>excl</w:t>
            </w:r>
            <w:r>
              <w:t>uding end date of swap underlying a swaption</w:t>
            </w:r>
            <w:r>
              <w:br/>
            </w:r>
            <w:r w:rsidRPr="00430FFE">
              <w:t>incl</w:t>
            </w:r>
            <w:r>
              <w:t>uding option expiration date</w:t>
            </w:r>
          </w:p>
        </w:tc>
      </w:tr>
      <w:tr w:rsidR="00061A2D" w:rsidRPr="000540E1" w14:paraId="376D7FE1" w14:textId="77777777" w:rsidTr="008D0C3F">
        <w:trPr>
          <w:cantSplit/>
        </w:trPr>
        <w:tc>
          <w:tcPr>
            <w:tcW w:w="1666" w:type="pct"/>
          </w:tcPr>
          <w:p w14:paraId="4A981C62" w14:textId="5C58EEA3" w:rsidR="00061A2D" w:rsidRPr="00F76596" w:rsidRDefault="00797914" w:rsidP="008D0C3F">
            <w:pPr>
              <w:pStyle w:val="tbltext"/>
            </w:pPr>
            <w:r>
              <w:t>Not applicable</w:t>
            </w:r>
          </w:p>
        </w:tc>
        <w:tc>
          <w:tcPr>
            <w:tcW w:w="1666" w:type="pct"/>
          </w:tcPr>
          <w:p w14:paraId="4885B7FD" w14:textId="5AC7B9E8" w:rsidR="00061A2D" w:rsidRPr="000540E1" w:rsidRDefault="00797914" w:rsidP="008D0C3F">
            <w:pPr>
              <w:pStyle w:val="tbltext"/>
            </w:pPr>
            <w:r>
              <w:t>Not applicable</w:t>
            </w:r>
          </w:p>
        </w:tc>
        <w:tc>
          <w:tcPr>
            <w:tcW w:w="1667" w:type="pct"/>
          </w:tcPr>
          <w:p w14:paraId="4CF03D53" w14:textId="77777777" w:rsidR="00061A2D" w:rsidRPr="000540E1" w:rsidRDefault="00061A2D" w:rsidP="008D0C3F">
            <w:pPr>
              <w:pStyle w:val="tbltext"/>
            </w:pPr>
            <w:r w:rsidRPr="00FA37D3">
              <w:rPr>
                <w:color w:val="000000" w:themeColor="text1"/>
              </w:rPr>
              <w:t>Maturity date of the underlying</w:t>
            </w:r>
          </w:p>
        </w:tc>
      </w:tr>
      <w:tr w:rsidR="00061A2D" w:rsidRPr="000540E1" w14:paraId="0CC6F568" w14:textId="77777777" w:rsidTr="008D0C3F">
        <w:trPr>
          <w:cantSplit/>
        </w:trPr>
        <w:tc>
          <w:tcPr>
            <w:tcW w:w="1666" w:type="pct"/>
          </w:tcPr>
          <w:p w14:paraId="7ECFB5B3" w14:textId="77777777" w:rsidR="00061A2D" w:rsidRPr="00F76596" w:rsidRDefault="00061A2D" w:rsidP="008D0C3F">
            <w:pPr>
              <w:pStyle w:val="tbltext"/>
            </w:pPr>
            <w:r w:rsidRPr="00F76596">
              <w:t>Delivery type</w:t>
            </w:r>
          </w:p>
        </w:tc>
        <w:tc>
          <w:tcPr>
            <w:tcW w:w="1666" w:type="pct"/>
          </w:tcPr>
          <w:p w14:paraId="017A8180" w14:textId="3B33D931" w:rsidR="00061A2D" w:rsidRPr="000540E1" w:rsidRDefault="00797914" w:rsidP="008D0C3F">
            <w:pPr>
              <w:pStyle w:val="tbltext"/>
            </w:pPr>
            <w:r>
              <w:t>Not applicable</w:t>
            </w:r>
          </w:p>
        </w:tc>
        <w:tc>
          <w:tcPr>
            <w:tcW w:w="1667" w:type="pct"/>
          </w:tcPr>
          <w:p w14:paraId="53C6CD83" w14:textId="4F1FF375" w:rsidR="00061A2D" w:rsidRPr="000540E1" w:rsidRDefault="00797914" w:rsidP="008D0C3F">
            <w:pPr>
              <w:pStyle w:val="tbltext"/>
            </w:pPr>
            <w:r>
              <w:t>Not applicable</w:t>
            </w:r>
          </w:p>
        </w:tc>
      </w:tr>
      <w:tr w:rsidR="00061A2D" w:rsidRPr="000540E1" w14:paraId="7EA0FD52" w14:textId="77777777" w:rsidTr="008D0C3F">
        <w:trPr>
          <w:cantSplit/>
        </w:trPr>
        <w:tc>
          <w:tcPr>
            <w:tcW w:w="1666" w:type="pct"/>
            <w:shd w:val="clear" w:color="auto" w:fill="auto"/>
          </w:tcPr>
          <w:p w14:paraId="47C15B6A" w14:textId="21F9DD23" w:rsidR="00061A2D" w:rsidRPr="009C6F38" w:rsidRDefault="00797914" w:rsidP="008D0C3F">
            <w:pPr>
              <w:pStyle w:val="tbltext"/>
              <w:rPr>
                <w:color w:val="FFFFFF" w:themeColor="background1"/>
              </w:rPr>
            </w:pPr>
            <w:r w:rsidRPr="009C6F38">
              <w:rPr>
                <w:color w:val="FFFFFF" w:themeColor="background1"/>
              </w:rPr>
              <w:t>Blank cell</w:t>
            </w:r>
          </w:p>
        </w:tc>
        <w:tc>
          <w:tcPr>
            <w:tcW w:w="1666" w:type="pct"/>
            <w:shd w:val="clear" w:color="auto" w:fill="auto"/>
          </w:tcPr>
          <w:p w14:paraId="5FDCDA08" w14:textId="6465D111" w:rsidR="00061A2D" w:rsidRPr="009C6F38" w:rsidRDefault="00797914" w:rsidP="008D0C3F">
            <w:pPr>
              <w:pStyle w:val="tbltext"/>
              <w:rPr>
                <w:color w:val="FFFFFF" w:themeColor="background1"/>
              </w:rPr>
            </w:pPr>
            <w:r w:rsidRPr="009C6F38">
              <w:rPr>
                <w:color w:val="FFFFFF" w:themeColor="background1"/>
              </w:rPr>
              <w:t>Blank cell</w:t>
            </w:r>
          </w:p>
        </w:tc>
        <w:tc>
          <w:tcPr>
            <w:tcW w:w="1667" w:type="pct"/>
            <w:shd w:val="clear" w:color="auto" w:fill="D9D9D9" w:themeFill="background1" w:themeFillShade="D9"/>
          </w:tcPr>
          <w:p w14:paraId="36A54DA8" w14:textId="17CBB45C" w:rsidR="00061A2D" w:rsidRPr="000540E1" w:rsidRDefault="00061A2D" w:rsidP="008D0C3F">
            <w:pPr>
              <w:pStyle w:val="tbltext"/>
            </w:pPr>
            <w:r>
              <w:t>Table S1.1(2) Valuation information</w:t>
            </w:r>
          </w:p>
        </w:tc>
      </w:tr>
      <w:tr w:rsidR="00061A2D" w:rsidRPr="000540E1" w14:paraId="3ABB5DAD" w14:textId="77777777" w:rsidTr="008D0C3F">
        <w:trPr>
          <w:cantSplit/>
        </w:trPr>
        <w:tc>
          <w:tcPr>
            <w:tcW w:w="1666" w:type="pct"/>
          </w:tcPr>
          <w:p w14:paraId="01232416" w14:textId="7CD2F3A0" w:rsidR="00061A2D" w:rsidRPr="000540E1" w:rsidRDefault="00797914" w:rsidP="008D0C3F">
            <w:pPr>
              <w:pStyle w:val="tbltext"/>
            </w:pPr>
            <w:r>
              <w:t>Not applicable</w:t>
            </w:r>
          </w:p>
        </w:tc>
        <w:tc>
          <w:tcPr>
            <w:tcW w:w="1666" w:type="pct"/>
          </w:tcPr>
          <w:p w14:paraId="3C2C05AF" w14:textId="43D948E5" w:rsidR="00061A2D" w:rsidRPr="000540E1" w:rsidRDefault="00797914" w:rsidP="008D0C3F">
            <w:pPr>
              <w:pStyle w:val="tbltext"/>
            </w:pPr>
            <w:r>
              <w:t>Not applicable</w:t>
            </w:r>
          </w:p>
        </w:tc>
        <w:tc>
          <w:tcPr>
            <w:tcW w:w="1667" w:type="pct"/>
          </w:tcPr>
          <w:p w14:paraId="7FE2CC0F" w14:textId="77777777" w:rsidR="00061A2D" w:rsidRPr="000540E1" w:rsidRDefault="00061A2D" w:rsidP="008D0C3F">
            <w:pPr>
              <w:pStyle w:val="tbltext"/>
            </w:pPr>
            <w:r w:rsidRPr="00F76596">
              <w:t>Unique transaction identifier</w:t>
            </w:r>
          </w:p>
        </w:tc>
      </w:tr>
      <w:tr w:rsidR="00061A2D" w:rsidRPr="000540E1" w14:paraId="1F19AA69" w14:textId="77777777" w:rsidTr="008D0C3F">
        <w:trPr>
          <w:cantSplit/>
        </w:trPr>
        <w:tc>
          <w:tcPr>
            <w:tcW w:w="1666" w:type="pct"/>
          </w:tcPr>
          <w:p w14:paraId="41058400" w14:textId="01CE5821" w:rsidR="00061A2D" w:rsidRPr="00F76596" w:rsidRDefault="00797914" w:rsidP="008D0C3F">
            <w:pPr>
              <w:pStyle w:val="tbltext"/>
            </w:pPr>
            <w:r>
              <w:t>Not applicable</w:t>
            </w:r>
          </w:p>
        </w:tc>
        <w:tc>
          <w:tcPr>
            <w:tcW w:w="1666" w:type="pct"/>
          </w:tcPr>
          <w:p w14:paraId="0BA5B8CA" w14:textId="6417A2C8" w:rsidR="00061A2D" w:rsidRPr="00F76596" w:rsidRDefault="00797914" w:rsidP="008D0C3F">
            <w:pPr>
              <w:pStyle w:val="tbltext"/>
            </w:pPr>
            <w:r>
              <w:t>Not applicable</w:t>
            </w:r>
          </w:p>
        </w:tc>
        <w:tc>
          <w:tcPr>
            <w:tcW w:w="1667" w:type="pct"/>
          </w:tcPr>
          <w:p w14:paraId="6FAEC71E" w14:textId="77777777" w:rsidR="00061A2D" w:rsidRPr="000540E1" w:rsidRDefault="00061A2D" w:rsidP="008D0C3F">
            <w:pPr>
              <w:pStyle w:val="tbltext"/>
            </w:pPr>
            <w:r>
              <w:t>Reporting Entity</w:t>
            </w:r>
          </w:p>
        </w:tc>
      </w:tr>
      <w:tr w:rsidR="00061A2D" w:rsidRPr="000540E1" w14:paraId="312EE6D7" w14:textId="77777777" w:rsidTr="008D0C3F">
        <w:trPr>
          <w:cantSplit/>
        </w:trPr>
        <w:tc>
          <w:tcPr>
            <w:tcW w:w="1666" w:type="pct"/>
          </w:tcPr>
          <w:p w14:paraId="36AB2FD3" w14:textId="79CCC6B8" w:rsidR="00061A2D" w:rsidRPr="00F76596" w:rsidRDefault="00797914" w:rsidP="008D0C3F">
            <w:pPr>
              <w:pStyle w:val="tbltext"/>
            </w:pPr>
            <w:r>
              <w:t>Not applicable</w:t>
            </w:r>
          </w:p>
        </w:tc>
        <w:tc>
          <w:tcPr>
            <w:tcW w:w="1666" w:type="pct"/>
          </w:tcPr>
          <w:p w14:paraId="60567589" w14:textId="3FF07F8C" w:rsidR="00061A2D" w:rsidRPr="00F76596" w:rsidRDefault="00797914" w:rsidP="008D0C3F">
            <w:pPr>
              <w:pStyle w:val="tbltext"/>
            </w:pPr>
            <w:r>
              <w:t>Not applicable</w:t>
            </w:r>
          </w:p>
        </w:tc>
        <w:tc>
          <w:tcPr>
            <w:tcW w:w="1667" w:type="pct"/>
          </w:tcPr>
          <w:p w14:paraId="6FE7F856" w14:textId="77777777" w:rsidR="00061A2D" w:rsidRPr="000540E1" w:rsidRDefault="00061A2D" w:rsidP="008D0C3F">
            <w:pPr>
              <w:pStyle w:val="tbltext"/>
            </w:pPr>
            <w:r>
              <w:t>Counterparty 1</w:t>
            </w:r>
          </w:p>
        </w:tc>
      </w:tr>
      <w:tr w:rsidR="00061A2D" w:rsidRPr="000540E1" w14:paraId="6758DA09" w14:textId="77777777" w:rsidTr="008D0C3F">
        <w:trPr>
          <w:cantSplit/>
        </w:trPr>
        <w:tc>
          <w:tcPr>
            <w:tcW w:w="1666" w:type="pct"/>
          </w:tcPr>
          <w:p w14:paraId="6F5A99A6" w14:textId="0859FDB2" w:rsidR="00061A2D" w:rsidRPr="00F76596" w:rsidRDefault="00797914" w:rsidP="008D0C3F">
            <w:pPr>
              <w:pStyle w:val="tbltext"/>
            </w:pPr>
            <w:r>
              <w:t>Not applicable</w:t>
            </w:r>
          </w:p>
        </w:tc>
        <w:tc>
          <w:tcPr>
            <w:tcW w:w="1666" w:type="pct"/>
          </w:tcPr>
          <w:p w14:paraId="01C56374" w14:textId="7F665559" w:rsidR="00061A2D" w:rsidRPr="00F76596" w:rsidRDefault="00797914" w:rsidP="008D0C3F">
            <w:pPr>
              <w:pStyle w:val="tbltext"/>
            </w:pPr>
            <w:r>
              <w:t>Not applicable</w:t>
            </w:r>
          </w:p>
        </w:tc>
        <w:tc>
          <w:tcPr>
            <w:tcW w:w="1667" w:type="pct"/>
          </w:tcPr>
          <w:p w14:paraId="0C850D38" w14:textId="77777777" w:rsidR="00061A2D" w:rsidRPr="000540E1" w:rsidRDefault="00061A2D" w:rsidP="008D0C3F">
            <w:pPr>
              <w:pStyle w:val="tbltext"/>
            </w:pPr>
            <w:r>
              <w:t>Counterparty 2</w:t>
            </w:r>
          </w:p>
        </w:tc>
      </w:tr>
      <w:tr w:rsidR="00061A2D" w:rsidRPr="000540E1" w14:paraId="1922FF32" w14:textId="77777777" w:rsidTr="008D0C3F">
        <w:trPr>
          <w:cantSplit/>
        </w:trPr>
        <w:tc>
          <w:tcPr>
            <w:tcW w:w="1666" w:type="pct"/>
          </w:tcPr>
          <w:p w14:paraId="56B1810C" w14:textId="77777777" w:rsidR="00061A2D" w:rsidRPr="00F76596" w:rsidRDefault="00061A2D" w:rsidP="008D0C3F">
            <w:pPr>
              <w:pStyle w:val="tbltext"/>
            </w:pPr>
            <w:r w:rsidRPr="00F76596">
              <w:t>Mark-to-market/mark-to-model/other value of Derivative</w:t>
            </w:r>
          </w:p>
        </w:tc>
        <w:tc>
          <w:tcPr>
            <w:tcW w:w="1666" w:type="pct"/>
          </w:tcPr>
          <w:p w14:paraId="72B08897" w14:textId="77777777" w:rsidR="00061A2D" w:rsidRPr="000540E1" w:rsidRDefault="00061A2D" w:rsidP="008D0C3F">
            <w:pPr>
              <w:pStyle w:val="tbltext"/>
            </w:pPr>
            <w:r w:rsidRPr="00C06D33">
              <w:t>Valuation amount</w:t>
            </w:r>
          </w:p>
        </w:tc>
        <w:tc>
          <w:tcPr>
            <w:tcW w:w="1667" w:type="pct"/>
          </w:tcPr>
          <w:p w14:paraId="797503E2" w14:textId="77777777" w:rsidR="00061A2D" w:rsidRPr="000540E1" w:rsidRDefault="00061A2D" w:rsidP="008D0C3F">
            <w:pPr>
              <w:pStyle w:val="tbltext"/>
            </w:pPr>
            <w:r w:rsidRPr="00C06D33">
              <w:t>Valuation amount</w:t>
            </w:r>
          </w:p>
        </w:tc>
      </w:tr>
      <w:tr w:rsidR="00061A2D" w:rsidRPr="000540E1" w14:paraId="45921207" w14:textId="77777777" w:rsidTr="008D0C3F">
        <w:trPr>
          <w:cantSplit/>
        </w:trPr>
        <w:tc>
          <w:tcPr>
            <w:tcW w:w="1666" w:type="pct"/>
          </w:tcPr>
          <w:p w14:paraId="6EA4F202" w14:textId="77777777" w:rsidR="00061A2D" w:rsidRPr="00F76596" w:rsidRDefault="00061A2D" w:rsidP="008D0C3F">
            <w:pPr>
              <w:pStyle w:val="tbltext"/>
            </w:pPr>
            <w:r w:rsidRPr="00F76596">
              <w:t>Currency used for mark-to-market/mark-to-model/other valuation</w:t>
            </w:r>
          </w:p>
        </w:tc>
        <w:tc>
          <w:tcPr>
            <w:tcW w:w="1666" w:type="pct"/>
          </w:tcPr>
          <w:p w14:paraId="48E5368E" w14:textId="77777777" w:rsidR="00061A2D" w:rsidRPr="000540E1" w:rsidRDefault="00061A2D" w:rsidP="008D0C3F">
            <w:pPr>
              <w:pStyle w:val="tbltext"/>
            </w:pPr>
            <w:r w:rsidRPr="00C06D33">
              <w:t>Valuation currency</w:t>
            </w:r>
          </w:p>
        </w:tc>
        <w:tc>
          <w:tcPr>
            <w:tcW w:w="1667" w:type="pct"/>
          </w:tcPr>
          <w:p w14:paraId="1C6ABAEF" w14:textId="77777777" w:rsidR="00061A2D" w:rsidRPr="000540E1" w:rsidRDefault="00061A2D" w:rsidP="008D0C3F">
            <w:pPr>
              <w:pStyle w:val="tbltext"/>
            </w:pPr>
            <w:r w:rsidRPr="00C06D33">
              <w:t>Valuation currency</w:t>
            </w:r>
          </w:p>
        </w:tc>
      </w:tr>
      <w:tr w:rsidR="00061A2D" w:rsidRPr="000540E1" w14:paraId="61E18A87" w14:textId="77777777" w:rsidTr="008D0C3F">
        <w:trPr>
          <w:cantSplit/>
        </w:trPr>
        <w:tc>
          <w:tcPr>
            <w:tcW w:w="1666" w:type="pct"/>
          </w:tcPr>
          <w:p w14:paraId="0FCA8105" w14:textId="77777777" w:rsidR="00061A2D" w:rsidRPr="00F76596" w:rsidRDefault="00061A2D" w:rsidP="008D0C3F">
            <w:pPr>
              <w:pStyle w:val="tbltext"/>
            </w:pPr>
            <w:r w:rsidRPr="00F76596">
              <w:t>Valuation type (mark-to-market/mark-to-model/other)</w:t>
            </w:r>
          </w:p>
        </w:tc>
        <w:tc>
          <w:tcPr>
            <w:tcW w:w="1666" w:type="pct"/>
          </w:tcPr>
          <w:p w14:paraId="66C45490" w14:textId="77777777" w:rsidR="00061A2D" w:rsidRPr="000540E1" w:rsidRDefault="00061A2D" w:rsidP="008D0C3F">
            <w:pPr>
              <w:pStyle w:val="tbltext"/>
            </w:pPr>
            <w:r w:rsidRPr="00C06D33">
              <w:t>Valuation method</w:t>
            </w:r>
          </w:p>
        </w:tc>
        <w:tc>
          <w:tcPr>
            <w:tcW w:w="1667" w:type="pct"/>
          </w:tcPr>
          <w:p w14:paraId="14ECF78D" w14:textId="77777777" w:rsidR="00061A2D" w:rsidRPr="000540E1" w:rsidRDefault="00061A2D" w:rsidP="008D0C3F">
            <w:pPr>
              <w:pStyle w:val="tbltext"/>
            </w:pPr>
            <w:r w:rsidRPr="00C06D33">
              <w:t>Valuation method</w:t>
            </w:r>
          </w:p>
        </w:tc>
      </w:tr>
      <w:tr w:rsidR="00061A2D" w:rsidRPr="000540E1" w14:paraId="18D19860" w14:textId="77777777" w:rsidTr="008D0C3F">
        <w:trPr>
          <w:cantSplit/>
        </w:trPr>
        <w:tc>
          <w:tcPr>
            <w:tcW w:w="1666" w:type="pct"/>
          </w:tcPr>
          <w:p w14:paraId="248C40A0" w14:textId="13E546AC" w:rsidR="00061A2D" w:rsidRPr="00F76596" w:rsidRDefault="00797914" w:rsidP="008D0C3F">
            <w:pPr>
              <w:pStyle w:val="tbltext"/>
            </w:pPr>
            <w:r>
              <w:t>Not applicable</w:t>
            </w:r>
          </w:p>
        </w:tc>
        <w:tc>
          <w:tcPr>
            <w:tcW w:w="1666" w:type="pct"/>
          </w:tcPr>
          <w:p w14:paraId="3397FCF6" w14:textId="5DD4FA64" w:rsidR="00061A2D" w:rsidRPr="00F76596" w:rsidRDefault="00797914" w:rsidP="008D0C3F">
            <w:pPr>
              <w:pStyle w:val="tbltext"/>
            </w:pPr>
            <w:r>
              <w:t>Not applicable</w:t>
            </w:r>
          </w:p>
        </w:tc>
        <w:tc>
          <w:tcPr>
            <w:tcW w:w="1667" w:type="pct"/>
          </w:tcPr>
          <w:p w14:paraId="68D0441A" w14:textId="77777777" w:rsidR="00061A2D" w:rsidRDefault="00061A2D" w:rsidP="008D0C3F">
            <w:pPr>
              <w:pStyle w:val="tbltext"/>
            </w:pPr>
            <w:r>
              <w:t>Valuation timestamp</w:t>
            </w:r>
          </w:p>
        </w:tc>
      </w:tr>
      <w:tr w:rsidR="00061A2D" w:rsidRPr="000540E1" w14:paraId="5F563BF2" w14:textId="77777777" w:rsidTr="008D0C3F">
        <w:trPr>
          <w:cantSplit/>
        </w:trPr>
        <w:tc>
          <w:tcPr>
            <w:tcW w:w="1666" w:type="pct"/>
          </w:tcPr>
          <w:p w14:paraId="3BCF692D" w14:textId="4E96BA39" w:rsidR="00061A2D" w:rsidRPr="00F76596" w:rsidRDefault="00797914" w:rsidP="008D0C3F">
            <w:pPr>
              <w:pStyle w:val="tbltext"/>
              <w:ind w:left="284" w:hanging="284"/>
            </w:pPr>
            <w:r>
              <w:t>Not applicable</w:t>
            </w:r>
          </w:p>
        </w:tc>
        <w:tc>
          <w:tcPr>
            <w:tcW w:w="1666" w:type="pct"/>
          </w:tcPr>
          <w:p w14:paraId="1F02B612" w14:textId="07730C21" w:rsidR="00061A2D" w:rsidRDefault="00797914" w:rsidP="008D0C3F">
            <w:pPr>
              <w:pStyle w:val="tbltext"/>
              <w:ind w:left="284" w:hanging="284"/>
            </w:pPr>
            <w:r>
              <w:t>Not applicable</w:t>
            </w:r>
          </w:p>
        </w:tc>
        <w:tc>
          <w:tcPr>
            <w:tcW w:w="1667" w:type="pct"/>
          </w:tcPr>
          <w:p w14:paraId="460F9865" w14:textId="77777777" w:rsidR="00061A2D" w:rsidRDefault="00061A2D" w:rsidP="008D0C3F">
            <w:pPr>
              <w:pStyle w:val="tbltext"/>
            </w:pPr>
            <w:r w:rsidRPr="00C06D33">
              <w:t>Delta</w:t>
            </w:r>
          </w:p>
        </w:tc>
      </w:tr>
      <w:tr w:rsidR="00061A2D" w:rsidRPr="000540E1" w14:paraId="2ABA56CD" w14:textId="77777777" w:rsidTr="008D0C3F">
        <w:trPr>
          <w:cantSplit/>
        </w:trPr>
        <w:tc>
          <w:tcPr>
            <w:tcW w:w="1666" w:type="pct"/>
          </w:tcPr>
          <w:p w14:paraId="0A46AA47" w14:textId="63A50549" w:rsidR="00061A2D" w:rsidRPr="00F76596" w:rsidRDefault="00797914" w:rsidP="008D0C3F">
            <w:pPr>
              <w:pStyle w:val="tbltext"/>
              <w:ind w:left="284" w:hanging="284"/>
            </w:pPr>
            <w:r>
              <w:t>Not applicable</w:t>
            </w:r>
          </w:p>
        </w:tc>
        <w:tc>
          <w:tcPr>
            <w:tcW w:w="1666" w:type="pct"/>
          </w:tcPr>
          <w:p w14:paraId="53FF26D4" w14:textId="4CC89D4E" w:rsidR="00061A2D" w:rsidRDefault="00797914" w:rsidP="008D0C3F">
            <w:pPr>
              <w:pStyle w:val="tbltext"/>
              <w:ind w:left="284" w:hanging="284"/>
            </w:pPr>
            <w:r>
              <w:t>Not applicable</w:t>
            </w:r>
          </w:p>
        </w:tc>
        <w:tc>
          <w:tcPr>
            <w:tcW w:w="1667" w:type="pct"/>
          </w:tcPr>
          <w:p w14:paraId="7E818654" w14:textId="77777777" w:rsidR="00061A2D" w:rsidRDefault="00061A2D" w:rsidP="008D0C3F">
            <w:pPr>
              <w:pStyle w:val="tbltext"/>
              <w:ind w:left="170" w:hanging="170"/>
            </w:pPr>
            <w:r w:rsidRPr="00EA4732">
              <w:t>Next floating reference reset date–Leg 1</w:t>
            </w:r>
          </w:p>
          <w:p w14:paraId="4A0B3342" w14:textId="77777777" w:rsidR="00061A2D" w:rsidRPr="00C06D33" w:rsidRDefault="00061A2D" w:rsidP="008D0C3F">
            <w:pPr>
              <w:pStyle w:val="tbltext"/>
              <w:ind w:left="170" w:hanging="170"/>
            </w:pPr>
            <w:r w:rsidRPr="00EA4732">
              <w:t>Next floating reference reset date–Leg 2</w:t>
            </w:r>
          </w:p>
        </w:tc>
      </w:tr>
      <w:tr w:rsidR="00061A2D" w:rsidRPr="000540E1" w14:paraId="45807CE3" w14:textId="77777777" w:rsidTr="008D0C3F">
        <w:trPr>
          <w:cantSplit/>
        </w:trPr>
        <w:tc>
          <w:tcPr>
            <w:tcW w:w="1666" w:type="pct"/>
          </w:tcPr>
          <w:p w14:paraId="49A0B88F" w14:textId="4747A6BB" w:rsidR="00061A2D" w:rsidRPr="00F76596" w:rsidRDefault="00797914" w:rsidP="008D0C3F">
            <w:pPr>
              <w:pStyle w:val="tbltext"/>
              <w:ind w:left="284" w:hanging="284"/>
            </w:pPr>
            <w:r>
              <w:t>Not applicable</w:t>
            </w:r>
          </w:p>
        </w:tc>
        <w:tc>
          <w:tcPr>
            <w:tcW w:w="1666" w:type="pct"/>
          </w:tcPr>
          <w:p w14:paraId="35D527BB" w14:textId="22D43544" w:rsidR="00061A2D" w:rsidRDefault="00797914" w:rsidP="008D0C3F">
            <w:pPr>
              <w:pStyle w:val="tbltext"/>
              <w:ind w:left="284" w:hanging="284"/>
            </w:pPr>
            <w:r>
              <w:t>Not applicable</w:t>
            </w:r>
          </w:p>
        </w:tc>
        <w:tc>
          <w:tcPr>
            <w:tcW w:w="1667" w:type="pct"/>
          </w:tcPr>
          <w:p w14:paraId="4D620C58" w14:textId="77777777" w:rsidR="00061A2D" w:rsidRDefault="00061A2D" w:rsidP="008D0C3F">
            <w:pPr>
              <w:pStyle w:val="tbltext"/>
            </w:pPr>
            <w:r w:rsidRPr="00FA37D3">
              <w:rPr>
                <w:color w:val="000000" w:themeColor="text1"/>
              </w:rPr>
              <w:t>Action type</w:t>
            </w:r>
          </w:p>
        </w:tc>
      </w:tr>
      <w:tr w:rsidR="00061A2D" w:rsidRPr="000540E1" w14:paraId="0A03B338" w14:textId="77777777" w:rsidTr="008D0C3F">
        <w:trPr>
          <w:cantSplit/>
        </w:trPr>
        <w:tc>
          <w:tcPr>
            <w:tcW w:w="1666" w:type="pct"/>
          </w:tcPr>
          <w:p w14:paraId="6D43E009" w14:textId="420C49AB" w:rsidR="00061A2D" w:rsidRPr="00F76596" w:rsidRDefault="00797914" w:rsidP="008D0C3F">
            <w:pPr>
              <w:pStyle w:val="tbltext"/>
              <w:ind w:left="284" w:hanging="284"/>
            </w:pPr>
            <w:r>
              <w:t>Not applicable</w:t>
            </w:r>
          </w:p>
        </w:tc>
        <w:tc>
          <w:tcPr>
            <w:tcW w:w="1666" w:type="pct"/>
          </w:tcPr>
          <w:p w14:paraId="5FF6B5B9" w14:textId="6C730866" w:rsidR="00061A2D" w:rsidRDefault="00797914" w:rsidP="008D0C3F">
            <w:pPr>
              <w:pStyle w:val="tbltext"/>
              <w:ind w:left="284" w:hanging="284"/>
            </w:pPr>
            <w:r>
              <w:t>Not applicable</w:t>
            </w:r>
          </w:p>
        </w:tc>
        <w:tc>
          <w:tcPr>
            <w:tcW w:w="1667" w:type="pct"/>
          </w:tcPr>
          <w:p w14:paraId="16A66F2C" w14:textId="77777777" w:rsidR="00061A2D" w:rsidRPr="00C06D33" w:rsidRDefault="00061A2D" w:rsidP="008D0C3F">
            <w:pPr>
              <w:pStyle w:val="tbltext"/>
              <w:ind w:left="170" w:hanging="170"/>
            </w:pPr>
            <w:r w:rsidRPr="00B03981">
              <w:t>Reporting timestamp</w:t>
            </w:r>
          </w:p>
        </w:tc>
      </w:tr>
      <w:tr w:rsidR="00061A2D" w:rsidRPr="000540E1" w14:paraId="07D33040" w14:textId="77777777" w:rsidTr="008D0C3F">
        <w:trPr>
          <w:cantSplit/>
        </w:trPr>
        <w:tc>
          <w:tcPr>
            <w:tcW w:w="1666" w:type="pct"/>
          </w:tcPr>
          <w:p w14:paraId="4AFF22B7" w14:textId="141624BF" w:rsidR="00061A2D" w:rsidRPr="00F76596" w:rsidRDefault="00797914" w:rsidP="008D0C3F">
            <w:pPr>
              <w:pStyle w:val="tbltext"/>
              <w:ind w:left="284" w:hanging="284"/>
            </w:pPr>
            <w:r>
              <w:t>Not applicable</w:t>
            </w:r>
          </w:p>
        </w:tc>
        <w:tc>
          <w:tcPr>
            <w:tcW w:w="1666" w:type="pct"/>
          </w:tcPr>
          <w:p w14:paraId="38E3A93D" w14:textId="308C783F" w:rsidR="00061A2D" w:rsidRDefault="00797914" w:rsidP="008D0C3F">
            <w:pPr>
              <w:pStyle w:val="tbltext"/>
              <w:ind w:left="284" w:hanging="284"/>
            </w:pPr>
            <w:r>
              <w:t>Not applicable</w:t>
            </w:r>
          </w:p>
        </w:tc>
        <w:tc>
          <w:tcPr>
            <w:tcW w:w="1667" w:type="pct"/>
          </w:tcPr>
          <w:p w14:paraId="10E04C13" w14:textId="77777777" w:rsidR="00061A2D" w:rsidRPr="00C06D33" w:rsidRDefault="00061A2D" w:rsidP="008D0C3F">
            <w:pPr>
              <w:pStyle w:val="tbltext"/>
              <w:ind w:left="170" w:hanging="170"/>
            </w:pPr>
            <w:r w:rsidRPr="00B46519">
              <w:rPr>
                <w:color w:val="000000" w:themeColor="text1"/>
              </w:rPr>
              <w:t>Report submitting entity</w:t>
            </w:r>
          </w:p>
        </w:tc>
      </w:tr>
      <w:tr w:rsidR="00061A2D" w:rsidRPr="000540E1" w14:paraId="058FA2A3" w14:textId="77777777" w:rsidTr="008D0C3F">
        <w:trPr>
          <w:cantSplit/>
        </w:trPr>
        <w:tc>
          <w:tcPr>
            <w:tcW w:w="1666" w:type="pct"/>
            <w:shd w:val="clear" w:color="auto" w:fill="auto"/>
          </w:tcPr>
          <w:p w14:paraId="4BEEB555" w14:textId="787ED6E4" w:rsidR="00061A2D" w:rsidRPr="009C6F38" w:rsidRDefault="00797914" w:rsidP="008D0C3F">
            <w:pPr>
              <w:pStyle w:val="tbltext"/>
              <w:rPr>
                <w:color w:val="FFFFFF" w:themeColor="background1"/>
              </w:rPr>
            </w:pPr>
            <w:r w:rsidRPr="009C6F38">
              <w:rPr>
                <w:color w:val="FFFFFF" w:themeColor="background1"/>
              </w:rPr>
              <w:t>Blank cell</w:t>
            </w:r>
          </w:p>
        </w:tc>
        <w:tc>
          <w:tcPr>
            <w:tcW w:w="1666" w:type="pct"/>
            <w:shd w:val="clear" w:color="auto" w:fill="auto"/>
          </w:tcPr>
          <w:p w14:paraId="1FAF4C8E" w14:textId="2FA6137C" w:rsidR="00061A2D" w:rsidRPr="009C6F38" w:rsidRDefault="00797914" w:rsidP="008D0C3F">
            <w:pPr>
              <w:pStyle w:val="tbltext"/>
              <w:rPr>
                <w:color w:val="FFFFFF" w:themeColor="background1"/>
              </w:rPr>
            </w:pPr>
            <w:r w:rsidRPr="009C6F38">
              <w:rPr>
                <w:color w:val="FFFFFF" w:themeColor="background1"/>
              </w:rPr>
              <w:t>Blank cell</w:t>
            </w:r>
          </w:p>
        </w:tc>
        <w:tc>
          <w:tcPr>
            <w:tcW w:w="1667" w:type="pct"/>
            <w:shd w:val="clear" w:color="auto" w:fill="D9D9D9" w:themeFill="background1" w:themeFillShade="D9"/>
          </w:tcPr>
          <w:p w14:paraId="2318B2CA" w14:textId="17EDDFF5" w:rsidR="00061A2D" w:rsidRPr="000540E1" w:rsidRDefault="00061A2D" w:rsidP="008D0C3F">
            <w:pPr>
              <w:pStyle w:val="tbltext"/>
            </w:pPr>
            <w:r>
              <w:t>Table S1.1(1) Transaction information</w:t>
            </w:r>
          </w:p>
        </w:tc>
      </w:tr>
      <w:tr w:rsidR="00061A2D" w:rsidRPr="000540E1" w14:paraId="4AC201F1" w14:textId="77777777" w:rsidTr="008D0C3F">
        <w:trPr>
          <w:cantSplit/>
        </w:trPr>
        <w:tc>
          <w:tcPr>
            <w:tcW w:w="1666" w:type="pct"/>
          </w:tcPr>
          <w:p w14:paraId="725F03FB" w14:textId="77777777" w:rsidR="00061A2D" w:rsidRPr="00F76596" w:rsidRDefault="00061A2D" w:rsidP="008D0C3F">
            <w:pPr>
              <w:pStyle w:val="tbltext"/>
            </w:pPr>
            <w:r w:rsidRPr="00F76596">
              <w:t>Counterparty side (buy/sell)</w:t>
            </w:r>
          </w:p>
        </w:tc>
        <w:tc>
          <w:tcPr>
            <w:tcW w:w="1666" w:type="pct"/>
          </w:tcPr>
          <w:p w14:paraId="422899F0" w14:textId="77777777" w:rsidR="00061A2D" w:rsidRPr="000540E1" w:rsidRDefault="00061A2D" w:rsidP="008D0C3F">
            <w:pPr>
              <w:pStyle w:val="tbltext"/>
            </w:pPr>
            <w:r w:rsidRPr="00F76596">
              <w:t>Counterparty side (buy/sell)</w:t>
            </w:r>
          </w:p>
        </w:tc>
        <w:tc>
          <w:tcPr>
            <w:tcW w:w="1667" w:type="pct"/>
          </w:tcPr>
          <w:p w14:paraId="2AA65971" w14:textId="77777777" w:rsidR="00061A2D" w:rsidRPr="000540E1" w:rsidRDefault="00061A2D" w:rsidP="008D0C3F">
            <w:pPr>
              <w:pStyle w:val="tbltext"/>
            </w:pPr>
            <w:r>
              <w:t>Direction 1</w:t>
            </w:r>
          </w:p>
        </w:tc>
      </w:tr>
      <w:tr w:rsidR="00061A2D" w:rsidRPr="000540E1" w14:paraId="28FBA548" w14:textId="77777777" w:rsidTr="008D0C3F">
        <w:trPr>
          <w:cantSplit/>
        </w:trPr>
        <w:tc>
          <w:tcPr>
            <w:tcW w:w="1666" w:type="pct"/>
          </w:tcPr>
          <w:p w14:paraId="0FD155BE" w14:textId="1BB57008" w:rsidR="00061A2D" w:rsidRPr="00F76596" w:rsidRDefault="00797914" w:rsidP="008D0C3F">
            <w:pPr>
              <w:pStyle w:val="tbltext"/>
            </w:pPr>
            <w:r>
              <w:t>Not applicable</w:t>
            </w:r>
          </w:p>
        </w:tc>
        <w:tc>
          <w:tcPr>
            <w:tcW w:w="1666" w:type="pct"/>
          </w:tcPr>
          <w:p w14:paraId="6CD30FAB" w14:textId="1A9794F6" w:rsidR="00061A2D" w:rsidRPr="000540E1" w:rsidRDefault="00797914" w:rsidP="008D0C3F">
            <w:pPr>
              <w:pStyle w:val="tbltext"/>
            </w:pPr>
            <w:r>
              <w:t>Not applicable</w:t>
            </w:r>
          </w:p>
        </w:tc>
        <w:tc>
          <w:tcPr>
            <w:tcW w:w="1667" w:type="pct"/>
          </w:tcPr>
          <w:p w14:paraId="780D156B" w14:textId="77777777" w:rsidR="00061A2D" w:rsidRPr="000540E1" w:rsidRDefault="00061A2D" w:rsidP="008D0C3F">
            <w:pPr>
              <w:pStyle w:val="tbltext"/>
            </w:pPr>
            <w:r>
              <w:t>Direction 2</w:t>
            </w:r>
            <w:r w:rsidRPr="00584F15">
              <w:t xml:space="preserve">—Leg </w:t>
            </w:r>
            <w:r>
              <w:t>1</w:t>
            </w:r>
            <w:r>
              <w:br/>
              <w:t>Direction 2</w:t>
            </w:r>
            <w:r w:rsidRPr="00584F15">
              <w:t xml:space="preserve">—Leg </w:t>
            </w:r>
            <w:r>
              <w:t>2</w:t>
            </w:r>
          </w:p>
        </w:tc>
      </w:tr>
      <w:tr w:rsidR="00061A2D" w:rsidRPr="000540E1" w14:paraId="462E45CC" w14:textId="77777777" w:rsidTr="008D0C3F">
        <w:trPr>
          <w:cantSplit/>
        </w:trPr>
        <w:tc>
          <w:tcPr>
            <w:tcW w:w="1666" w:type="pct"/>
            <w:shd w:val="clear" w:color="auto" w:fill="auto"/>
          </w:tcPr>
          <w:p w14:paraId="590074ED" w14:textId="212A0BD9" w:rsidR="00061A2D" w:rsidRPr="000540E1" w:rsidRDefault="00797914" w:rsidP="008D0C3F">
            <w:pPr>
              <w:pStyle w:val="tbltext"/>
            </w:pPr>
            <w:r w:rsidRPr="009C6F38">
              <w:rPr>
                <w:color w:val="FFFFFF" w:themeColor="background1"/>
              </w:rPr>
              <w:t>Blank cell</w:t>
            </w:r>
          </w:p>
        </w:tc>
        <w:tc>
          <w:tcPr>
            <w:tcW w:w="1666" w:type="pct"/>
            <w:shd w:val="clear" w:color="auto" w:fill="D9D9D9" w:themeFill="background1" w:themeFillShade="D9"/>
          </w:tcPr>
          <w:p w14:paraId="019283AA" w14:textId="443A61BB" w:rsidR="00061A2D" w:rsidRPr="000540E1" w:rsidRDefault="00061A2D" w:rsidP="008D0C3F">
            <w:pPr>
              <w:pStyle w:val="tbltext"/>
            </w:pPr>
            <w:r>
              <w:t xml:space="preserve">Table S1.1(3) </w:t>
            </w:r>
            <w:r w:rsidRPr="007724EE">
              <w:t>Equity derivative and credit derivative data</w:t>
            </w:r>
          </w:p>
        </w:tc>
        <w:tc>
          <w:tcPr>
            <w:tcW w:w="1667" w:type="pct"/>
            <w:shd w:val="clear" w:color="auto" w:fill="auto"/>
          </w:tcPr>
          <w:p w14:paraId="6CD1C2E2" w14:textId="430C30EA" w:rsidR="00061A2D" w:rsidRPr="000540E1" w:rsidRDefault="00797914" w:rsidP="008D0C3F">
            <w:pPr>
              <w:pStyle w:val="tbltext"/>
            </w:pPr>
            <w:r w:rsidRPr="009C6F38">
              <w:rPr>
                <w:color w:val="FFFFFF" w:themeColor="background1"/>
              </w:rPr>
              <w:t>Blank cell</w:t>
            </w:r>
          </w:p>
        </w:tc>
      </w:tr>
      <w:tr w:rsidR="00061A2D" w:rsidRPr="000540E1" w14:paraId="292A3B77" w14:textId="77777777" w:rsidTr="008D0C3F">
        <w:trPr>
          <w:cantSplit/>
        </w:trPr>
        <w:tc>
          <w:tcPr>
            <w:tcW w:w="1666" w:type="pct"/>
          </w:tcPr>
          <w:p w14:paraId="7838857D" w14:textId="77777777" w:rsidR="00061A2D" w:rsidRPr="00F76596" w:rsidRDefault="00061A2D" w:rsidP="008D0C3F">
            <w:pPr>
              <w:pStyle w:val="tbltext"/>
            </w:pPr>
            <w:r w:rsidRPr="00F76596">
              <w:t>Basis</w:t>
            </w:r>
          </w:p>
        </w:tc>
        <w:tc>
          <w:tcPr>
            <w:tcW w:w="1666" w:type="pct"/>
          </w:tcPr>
          <w:p w14:paraId="2B65F935" w14:textId="77777777" w:rsidR="00061A2D" w:rsidRPr="000540E1" w:rsidRDefault="00061A2D" w:rsidP="008D0C3F">
            <w:pPr>
              <w:pStyle w:val="tbltext"/>
            </w:pPr>
            <w:r w:rsidRPr="00584F15">
              <w:t xml:space="preserve">Day count convention—Leg </w:t>
            </w:r>
            <w:r>
              <w:t>2</w:t>
            </w:r>
          </w:p>
        </w:tc>
        <w:tc>
          <w:tcPr>
            <w:tcW w:w="1667" w:type="pct"/>
          </w:tcPr>
          <w:p w14:paraId="02163635" w14:textId="77777777" w:rsidR="00061A2D" w:rsidRPr="000540E1" w:rsidRDefault="00061A2D" w:rsidP="008D0C3F">
            <w:pPr>
              <w:pStyle w:val="tbltext"/>
              <w:ind w:left="170" w:hanging="170"/>
            </w:pPr>
            <w:r w:rsidRPr="00584F15">
              <w:t xml:space="preserve">Day count convention—Leg </w:t>
            </w:r>
            <w:r>
              <w:t>2</w:t>
            </w:r>
            <w:r>
              <w:br/>
              <w:t>for all asset classes</w:t>
            </w:r>
          </w:p>
        </w:tc>
      </w:tr>
      <w:tr w:rsidR="00061A2D" w:rsidRPr="000540E1" w14:paraId="350D6803" w14:textId="77777777" w:rsidTr="008D0C3F">
        <w:trPr>
          <w:cantSplit/>
        </w:trPr>
        <w:tc>
          <w:tcPr>
            <w:tcW w:w="1666" w:type="pct"/>
            <w:shd w:val="clear" w:color="auto" w:fill="auto"/>
          </w:tcPr>
          <w:p w14:paraId="5437FE27" w14:textId="54CC3DAE" w:rsidR="00061A2D" w:rsidRPr="009C6F38" w:rsidRDefault="00797914" w:rsidP="008D0C3F">
            <w:pPr>
              <w:pStyle w:val="tbltext"/>
              <w:rPr>
                <w:color w:val="FFFFFF" w:themeColor="background1"/>
              </w:rPr>
            </w:pPr>
            <w:r w:rsidRPr="009C6F38">
              <w:rPr>
                <w:color w:val="FFFFFF" w:themeColor="background1"/>
              </w:rPr>
              <w:t>Blank cell</w:t>
            </w:r>
          </w:p>
        </w:tc>
        <w:tc>
          <w:tcPr>
            <w:tcW w:w="1666" w:type="pct"/>
            <w:shd w:val="clear" w:color="auto" w:fill="D9D9D9" w:themeFill="background1" w:themeFillShade="D9"/>
          </w:tcPr>
          <w:p w14:paraId="031DF850" w14:textId="0EC41DE6" w:rsidR="00061A2D" w:rsidRPr="000540E1" w:rsidRDefault="00061A2D" w:rsidP="008D0C3F">
            <w:pPr>
              <w:pStyle w:val="tbltext"/>
            </w:pPr>
            <w:r>
              <w:t>Table S1.1(2) Commodity derivative data</w:t>
            </w:r>
          </w:p>
        </w:tc>
        <w:tc>
          <w:tcPr>
            <w:tcW w:w="1667" w:type="pct"/>
            <w:shd w:val="clear" w:color="auto" w:fill="auto"/>
          </w:tcPr>
          <w:p w14:paraId="2FCBB5E2" w14:textId="31020C80" w:rsidR="00061A2D" w:rsidRPr="009C6F38" w:rsidRDefault="00797914" w:rsidP="008D0C3F">
            <w:pPr>
              <w:pStyle w:val="tbltext"/>
              <w:rPr>
                <w:color w:val="FFFFFF" w:themeColor="background1"/>
              </w:rPr>
            </w:pPr>
            <w:r w:rsidRPr="009C6F38">
              <w:rPr>
                <w:color w:val="FFFFFF" w:themeColor="background1"/>
              </w:rPr>
              <w:t>Blank cell</w:t>
            </w:r>
          </w:p>
        </w:tc>
      </w:tr>
      <w:tr w:rsidR="00061A2D" w:rsidRPr="000540E1" w14:paraId="25230F4F" w14:textId="77777777" w:rsidTr="008D0C3F">
        <w:trPr>
          <w:cantSplit/>
        </w:trPr>
        <w:tc>
          <w:tcPr>
            <w:tcW w:w="1666" w:type="pct"/>
          </w:tcPr>
          <w:p w14:paraId="5E5BFB74" w14:textId="77777777" w:rsidR="00061A2D" w:rsidRPr="00F76596" w:rsidRDefault="00061A2D" w:rsidP="008D0C3F">
            <w:pPr>
              <w:pStyle w:val="tbltext"/>
            </w:pPr>
            <w:r w:rsidRPr="00F76596">
              <w:t>Settlement rate or index</w:t>
            </w:r>
          </w:p>
        </w:tc>
        <w:tc>
          <w:tcPr>
            <w:tcW w:w="1666" w:type="pct"/>
          </w:tcPr>
          <w:p w14:paraId="09CA6C1B" w14:textId="77777777" w:rsidR="00061A2D" w:rsidRPr="000540E1" w:rsidRDefault="00061A2D" w:rsidP="008D0C3F">
            <w:pPr>
              <w:pStyle w:val="tbltext"/>
            </w:pPr>
            <w:r w:rsidRPr="00F76596">
              <w:t>Settlement rate or index</w:t>
            </w:r>
          </w:p>
        </w:tc>
        <w:tc>
          <w:tcPr>
            <w:tcW w:w="1667" w:type="pct"/>
          </w:tcPr>
          <w:p w14:paraId="35A20EEB" w14:textId="14BBC7AA" w:rsidR="00061A2D" w:rsidRPr="000540E1" w:rsidRDefault="00797914" w:rsidP="008D0C3F">
            <w:pPr>
              <w:pStyle w:val="tbltext"/>
            </w:pPr>
            <w:r>
              <w:t>Not applicable</w:t>
            </w:r>
          </w:p>
        </w:tc>
      </w:tr>
      <w:tr w:rsidR="00061A2D" w:rsidRPr="000540E1" w14:paraId="6621AD12" w14:textId="77777777" w:rsidTr="008D0C3F">
        <w:trPr>
          <w:cantSplit/>
        </w:trPr>
        <w:tc>
          <w:tcPr>
            <w:tcW w:w="1666" w:type="pct"/>
            <w:shd w:val="clear" w:color="auto" w:fill="auto"/>
          </w:tcPr>
          <w:p w14:paraId="4D0F1D8B" w14:textId="642C8073" w:rsidR="00061A2D" w:rsidRPr="000540E1" w:rsidRDefault="00797914" w:rsidP="008D0C3F">
            <w:pPr>
              <w:pStyle w:val="tbltext"/>
            </w:pPr>
            <w:r w:rsidRPr="009C6F38">
              <w:rPr>
                <w:color w:val="FFFFFF" w:themeColor="background1"/>
              </w:rPr>
              <w:t>Blank cell</w:t>
            </w:r>
          </w:p>
        </w:tc>
        <w:tc>
          <w:tcPr>
            <w:tcW w:w="1666" w:type="pct"/>
            <w:shd w:val="clear" w:color="auto" w:fill="D9D9D9" w:themeFill="background1" w:themeFillShade="D9"/>
          </w:tcPr>
          <w:p w14:paraId="57ED4126" w14:textId="02E786B3" w:rsidR="00061A2D" w:rsidRPr="000540E1" w:rsidRDefault="00061A2D" w:rsidP="008D0C3F">
            <w:pPr>
              <w:pStyle w:val="tbltext"/>
            </w:pPr>
            <w:r>
              <w:t xml:space="preserve">Table S1.1(3) </w:t>
            </w:r>
            <w:r w:rsidRPr="007724EE">
              <w:t>Equity derivative and credit derivative data</w:t>
            </w:r>
          </w:p>
        </w:tc>
        <w:tc>
          <w:tcPr>
            <w:tcW w:w="1667" w:type="pct"/>
            <w:shd w:val="clear" w:color="auto" w:fill="auto"/>
          </w:tcPr>
          <w:p w14:paraId="43E93EF9" w14:textId="4246B075" w:rsidR="00061A2D" w:rsidRPr="000540E1" w:rsidRDefault="00797914" w:rsidP="008D0C3F">
            <w:pPr>
              <w:pStyle w:val="tbltext"/>
            </w:pPr>
            <w:r w:rsidRPr="009C6F38">
              <w:rPr>
                <w:color w:val="FFFFFF" w:themeColor="background1"/>
              </w:rPr>
              <w:t>Blank cell</w:t>
            </w:r>
          </w:p>
        </w:tc>
      </w:tr>
      <w:tr w:rsidR="00061A2D" w:rsidRPr="000540E1" w14:paraId="423FA3E1" w14:textId="77777777" w:rsidTr="008D0C3F">
        <w:trPr>
          <w:cantSplit/>
        </w:trPr>
        <w:tc>
          <w:tcPr>
            <w:tcW w:w="1666" w:type="pct"/>
          </w:tcPr>
          <w:p w14:paraId="34F98AD8" w14:textId="77777777" w:rsidR="00061A2D" w:rsidRPr="00F76596" w:rsidRDefault="00061A2D" w:rsidP="008D0C3F">
            <w:pPr>
              <w:pStyle w:val="tbltext"/>
            </w:pPr>
            <w:r w:rsidRPr="00F76596">
              <w:t>Settlement rate or index</w:t>
            </w:r>
          </w:p>
        </w:tc>
        <w:tc>
          <w:tcPr>
            <w:tcW w:w="1666" w:type="pct"/>
          </w:tcPr>
          <w:p w14:paraId="64504B3F" w14:textId="77777777" w:rsidR="00061A2D" w:rsidRPr="000540E1" w:rsidRDefault="00061A2D" w:rsidP="008D0C3F">
            <w:pPr>
              <w:pStyle w:val="tbltext"/>
            </w:pPr>
            <w:r w:rsidRPr="00DB1C95">
              <w:rPr>
                <w:color w:val="000000" w:themeColor="text1"/>
              </w:rPr>
              <w:t>Identifier of the floating rate–Leg 2</w:t>
            </w:r>
          </w:p>
        </w:tc>
        <w:tc>
          <w:tcPr>
            <w:tcW w:w="1667" w:type="pct"/>
          </w:tcPr>
          <w:p w14:paraId="7763945D" w14:textId="29544F32" w:rsidR="00061A2D" w:rsidRPr="000540E1" w:rsidRDefault="00061A2D" w:rsidP="008D0C3F">
            <w:pPr>
              <w:pStyle w:val="tbltext"/>
              <w:ind w:left="170" w:hanging="170"/>
            </w:pPr>
            <w:r w:rsidRPr="004C5330">
              <w:rPr>
                <w:color w:val="000000" w:themeColor="text1"/>
                <w:spacing w:val="-2"/>
              </w:rPr>
              <w:t>Identifier of the floating rate</w:t>
            </w:r>
            <w:r w:rsidR="00907A72" w:rsidRPr="004C5330">
              <w:rPr>
                <w:color w:val="000000" w:themeColor="text1"/>
                <w:spacing w:val="-2"/>
              </w:rPr>
              <w:t>—</w:t>
            </w:r>
            <w:r w:rsidRPr="004C5330">
              <w:rPr>
                <w:color w:val="000000" w:themeColor="text1"/>
                <w:spacing w:val="-2"/>
              </w:rPr>
              <w:t>Leg</w:t>
            </w:r>
            <w:r w:rsidR="004C5330" w:rsidRPr="004C5330">
              <w:rPr>
                <w:color w:val="000000" w:themeColor="text1"/>
                <w:spacing w:val="-2"/>
              </w:rPr>
              <w:t xml:space="preserve"> </w:t>
            </w:r>
            <w:r w:rsidRPr="004C5330">
              <w:rPr>
                <w:color w:val="000000" w:themeColor="text1"/>
                <w:spacing w:val="-2"/>
              </w:rPr>
              <w:t>2</w:t>
            </w:r>
            <w:r w:rsidRPr="004C5330">
              <w:rPr>
                <w:color w:val="000000" w:themeColor="text1"/>
                <w:spacing w:val="-2"/>
              </w:rPr>
              <w:br/>
            </w:r>
            <w:r>
              <w:t>for all asset classes, except interest rates</w:t>
            </w:r>
          </w:p>
        </w:tc>
      </w:tr>
      <w:tr w:rsidR="00061A2D" w:rsidRPr="000540E1" w14:paraId="3F9A1137" w14:textId="77777777" w:rsidTr="008D0C3F">
        <w:trPr>
          <w:cantSplit/>
        </w:trPr>
        <w:tc>
          <w:tcPr>
            <w:tcW w:w="1666" w:type="pct"/>
          </w:tcPr>
          <w:p w14:paraId="1E7EBE64" w14:textId="209E02E7" w:rsidR="00061A2D" w:rsidRPr="00F76596" w:rsidRDefault="00907A72" w:rsidP="008D0C3F">
            <w:pPr>
              <w:pStyle w:val="tbltext"/>
            </w:pPr>
            <w:r>
              <w:t>Not applicable</w:t>
            </w:r>
          </w:p>
        </w:tc>
        <w:tc>
          <w:tcPr>
            <w:tcW w:w="1666" w:type="pct"/>
          </w:tcPr>
          <w:p w14:paraId="7F5AB906" w14:textId="68E21636" w:rsidR="00061A2D" w:rsidRPr="00F76596" w:rsidRDefault="00907A72" w:rsidP="008D0C3F">
            <w:pPr>
              <w:pStyle w:val="tbltext"/>
            </w:pPr>
            <w:r>
              <w:t>Not applicable</w:t>
            </w:r>
          </w:p>
        </w:tc>
        <w:tc>
          <w:tcPr>
            <w:tcW w:w="1667" w:type="pct"/>
          </w:tcPr>
          <w:p w14:paraId="56790BF2" w14:textId="447AF4B4" w:rsidR="00061A2D" w:rsidRDefault="00061A2D" w:rsidP="008D0C3F">
            <w:pPr>
              <w:pStyle w:val="tbltext"/>
              <w:ind w:left="170" w:hanging="170"/>
              <w:rPr>
                <w:color w:val="000000" w:themeColor="text1"/>
              </w:rPr>
            </w:pPr>
            <w:r w:rsidRPr="00DB1C95">
              <w:rPr>
                <w:color w:val="000000" w:themeColor="text1"/>
              </w:rPr>
              <w:t>Floating rate re</w:t>
            </w:r>
            <w:r>
              <w:rPr>
                <w:color w:val="000000" w:themeColor="text1"/>
              </w:rPr>
              <w:t>ference period</w:t>
            </w:r>
            <w:r w:rsidR="00907A72" w:rsidRPr="009C6F38">
              <w:rPr>
                <w:color w:val="000000" w:themeColor="text1"/>
              </w:rPr>
              <w:t>—</w:t>
            </w:r>
            <w:r w:rsidRPr="00DB1C95">
              <w:rPr>
                <w:color w:val="000000" w:themeColor="text1"/>
              </w:rPr>
              <w:t>Leg 2</w:t>
            </w:r>
          </w:p>
          <w:p w14:paraId="7CCC2AFC" w14:textId="0F2150C5" w:rsidR="00061A2D" w:rsidRPr="00B26AED" w:rsidRDefault="00061A2D" w:rsidP="008D0C3F">
            <w:pPr>
              <w:pStyle w:val="tbltext"/>
              <w:ind w:left="170" w:hanging="170"/>
              <w:rPr>
                <w:color w:val="000000" w:themeColor="text1"/>
              </w:rPr>
            </w:pPr>
            <w:r w:rsidRPr="00DB1C95">
              <w:rPr>
                <w:color w:val="000000" w:themeColor="text1"/>
              </w:rPr>
              <w:t>Floating rate</w:t>
            </w:r>
            <w:r>
              <w:rPr>
                <w:color w:val="000000" w:themeColor="text1"/>
              </w:rPr>
              <w:t xml:space="preserve"> reference period </w:t>
            </w:r>
            <w:r w:rsidRPr="00DB1C95">
              <w:rPr>
                <w:color w:val="000000" w:themeColor="text1"/>
              </w:rPr>
              <w:t>multiplier</w:t>
            </w:r>
            <w:r w:rsidR="008D3A2E" w:rsidRPr="009C6F38">
              <w:rPr>
                <w:color w:val="000000" w:themeColor="text1"/>
              </w:rPr>
              <w:t>—</w:t>
            </w:r>
            <w:r w:rsidRPr="00DB1C95">
              <w:rPr>
                <w:color w:val="000000" w:themeColor="text1"/>
              </w:rPr>
              <w:t>Leg 2</w:t>
            </w:r>
          </w:p>
        </w:tc>
      </w:tr>
      <w:tr w:rsidR="00061A2D" w:rsidRPr="000540E1" w14:paraId="1383F7FB" w14:textId="77777777" w:rsidTr="008D0C3F">
        <w:trPr>
          <w:cantSplit/>
        </w:trPr>
        <w:tc>
          <w:tcPr>
            <w:tcW w:w="1666" w:type="pct"/>
            <w:shd w:val="clear" w:color="auto" w:fill="auto"/>
          </w:tcPr>
          <w:p w14:paraId="149334A3" w14:textId="3F8D6FD5" w:rsidR="00061A2D" w:rsidRPr="000540E1" w:rsidRDefault="00A31561" w:rsidP="008D0C3F">
            <w:pPr>
              <w:pStyle w:val="tbltext"/>
            </w:pPr>
            <w:r w:rsidRPr="009C6F38">
              <w:rPr>
                <w:color w:val="FFFFFF" w:themeColor="background1"/>
              </w:rPr>
              <w:t>Blank cell</w:t>
            </w:r>
          </w:p>
        </w:tc>
        <w:tc>
          <w:tcPr>
            <w:tcW w:w="1666" w:type="pct"/>
            <w:shd w:val="clear" w:color="auto" w:fill="D9D9D9" w:themeFill="background1" w:themeFillShade="D9"/>
          </w:tcPr>
          <w:p w14:paraId="6E5719E5" w14:textId="3C0A6420" w:rsidR="00061A2D" w:rsidRPr="000540E1" w:rsidRDefault="00061A2D" w:rsidP="008D0C3F">
            <w:pPr>
              <w:pStyle w:val="tbltext"/>
            </w:pPr>
            <w:r>
              <w:t>Table S1.1(1) Common data</w:t>
            </w:r>
          </w:p>
        </w:tc>
        <w:tc>
          <w:tcPr>
            <w:tcW w:w="1667" w:type="pct"/>
            <w:shd w:val="clear" w:color="auto" w:fill="auto"/>
          </w:tcPr>
          <w:p w14:paraId="1E894760" w14:textId="73E5127B" w:rsidR="00061A2D" w:rsidRPr="009C6F38" w:rsidRDefault="00A31561" w:rsidP="008D0C3F">
            <w:pPr>
              <w:pStyle w:val="tbltext"/>
              <w:rPr>
                <w:color w:val="FFFFFF" w:themeColor="background1"/>
              </w:rPr>
            </w:pPr>
            <w:r w:rsidRPr="009C6F38">
              <w:rPr>
                <w:color w:val="FFFFFF" w:themeColor="background1"/>
              </w:rPr>
              <w:t>Blank cell</w:t>
            </w:r>
          </w:p>
        </w:tc>
      </w:tr>
      <w:tr w:rsidR="00061A2D" w:rsidRPr="000540E1" w14:paraId="38A8909D" w14:textId="77777777" w:rsidTr="008D0C3F">
        <w:trPr>
          <w:cantSplit/>
        </w:trPr>
        <w:tc>
          <w:tcPr>
            <w:tcW w:w="1666" w:type="pct"/>
          </w:tcPr>
          <w:p w14:paraId="48CD244F" w14:textId="77777777" w:rsidR="00061A2D" w:rsidRPr="00F76596" w:rsidRDefault="00061A2D" w:rsidP="008D0C3F">
            <w:pPr>
              <w:pStyle w:val="tbltext"/>
            </w:pPr>
            <w:r w:rsidRPr="00F76596">
              <w:t>Expiry conventions/cut</w:t>
            </w:r>
          </w:p>
        </w:tc>
        <w:tc>
          <w:tcPr>
            <w:tcW w:w="1666" w:type="pct"/>
          </w:tcPr>
          <w:p w14:paraId="00F6D986" w14:textId="75AFE515" w:rsidR="00061A2D" w:rsidRPr="000540E1" w:rsidRDefault="00A31561" w:rsidP="008D0C3F">
            <w:pPr>
              <w:pStyle w:val="tbltext"/>
            </w:pPr>
            <w:r>
              <w:t>Not applicable</w:t>
            </w:r>
          </w:p>
        </w:tc>
        <w:tc>
          <w:tcPr>
            <w:tcW w:w="1667" w:type="pct"/>
          </w:tcPr>
          <w:p w14:paraId="19038F99" w14:textId="77F43F13" w:rsidR="00061A2D" w:rsidRPr="000540E1" w:rsidRDefault="00A31561" w:rsidP="008D0C3F">
            <w:pPr>
              <w:pStyle w:val="tbltext"/>
            </w:pPr>
            <w:r>
              <w:t>Not applicable</w:t>
            </w:r>
          </w:p>
        </w:tc>
      </w:tr>
      <w:tr w:rsidR="00061A2D" w:rsidRPr="000540E1" w14:paraId="791F6725" w14:textId="77777777" w:rsidTr="008D0C3F">
        <w:trPr>
          <w:cantSplit/>
        </w:trPr>
        <w:tc>
          <w:tcPr>
            <w:tcW w:w="1666" w:type="pct"/>
          </w:tcPr>
          <w:p w14:paraId="35C0A693" w14:textId="77777777" w:rsidR="00061A2D" w:rsidRPr="00F76596" w:rsidRDefault="00061A2D" w:rsidP="008D0C3F">
            <w:pPr>
              <w:pStyle w:val="tbltext"/>
            </w:pPr>
            <w:r w:rsidRPr="00F76596">
              <w:t>Execution timestamp</w:t>
            </w:r>
          </w:p>
        </w:tc>
        <w:tc>
          <w:tcPr>
            <w:tcW w:w="1666" w:type="pct"/>
          </w:tcPr>
          <w:p w14:paraId="3AC314CB" w14:textId="77777777" w:rsidR="00061A2D" w:rsidRPr="000540E1" w:rsidRDefault="00061A2D" w:rsidP="008D0C3F">
            <w:pPr>
              <w:pStyle w:val="tbltext"/>
            </w:pPr>
            <w:r w:rsidRPr="00F76596">
              <w:t>Execution timestamp</w:t>
            </w:r>
          </w:p>
        </w:tc>
        <w:tc>
          <w:tcPr>
            <w:tcW w:w="1667" w:type="pct"/>
          </w:tcPr>
          <w:p w14:paraId="69017CD8" w14:textId="77777777" w:rsidR="00061A2D" w:rsidRPr="000540E1" w:rsidRDefault="00061A2D" w:rsidP="008D0C3F">
            <w:pPr>
              <w:pStyle w:val="tbltext"/>
            </w:pPr>
            <w:r>
              <w:t>Execution timestamp</w:t>
            </w:r>
          </w:p>
        </w:tc>
      </w:tr>
      <w:tr w:rsidR="00061A2D" w:rsidRPr="000540E1" w14:paraId="292478AB" w14:textId="77777777" w:rsidTr="008D0C3F">
        <w:trPr>
          <w:cantSplit/>
        </w:trPr>
        <w:tc>
          <w:tcPr>
            <w:tcW w:w="1666" w:type="pct"/>
          </w:tcPr>
          <w:p w14:paraId="44C5003C" w14:textId="7024C432" w:rsidR="00061A2D" w:rsidRPr="00F76596" w:rsidRDefault="00A31561" w:rsidP="008D0C3F">
            <w:pPr>
              <w:pStyle w:val="tbltext"/>
            </w:pPr>
            <w:r>
              <w:t>Not applicable</w:t>
            </w:r>
          </w:p>
        </w:tc>
        <w:tc>
          <w:tcPr>
            <w:tcW w:w="1666" w:type="pct"/>
          </w:tcPr>
          <w:p w14:paraId="54A6D922" w14:textId="4D879B96" w:rsidR="00061A2D" w:rsidRPr="00F76596" w:rsidRDefault="00A31561" w:rsidP="008D0C3F">
            <w:pPr>
              <w:pStyle w:val="tbltext"/>
            </w:pPr>
            <w:r>
              <w:t>Not applicable</w:t>
            </w:r>
          </w:p>
        </w:tc>
        <w:tc>
          <w:tcPr>
            <w:tcW w:w="1667" w:type="pct"/>
          </w:tcPr>
          <w:p w14:paraId="1FE4D74D" w14:textId="77777777" w:rsidR="00061A2D" w:rsidRPr="000540E1" w:rsidRDefault="00061A2D" w:rsidP="008D0C3F">
            <w:pPr>
              <w:pStyle w:val="tbltext"/>
            </w:pPr>
            <w:r>
              <w:t>Event timestamp</w:t>
            </w:r>
          </w:p>
        </w:tc>
      </w:tr>
      <w:tr w:rsidR="00061A2D" w:rsidRPr="000540E1" w14:paraId="08A36A34" w14:textId="77777777" w:rsidTr="008D0C3F">
        <w:trPr>
          <w:cantSplit/>
        </w:trPr>
        <w:tc>
          <w:tcPr>
            <w:tcW w:w="1666" w:type="pct"/>
          </w:tcPr>
          <w:p w14:paraId="77360DD6" w14:textId="77777777" w:rsidR="00061A2D" w:rsidRPr="00F76596" w:rsidRDefault="00061A2D" w:rsidP="008D0C3F">
            <w:pPr>
              <w:pStyle w:val="tbltext"/>
            </w:pPr>
            <w:r w:rsidRPr="00F76596">
              <w:t>Clearing timestamp</w:t>
            </w:r>
          </w:p>
        </w:tc>
        <w:tc>
          <w:tcPr>
            <w:tcW w:w="1666" w:type="pct"/>
          </w:tcPr>
          <w:p w14:paraId="6FBDC326" w14:textId="77777777" w:rsidR="00061A2D" w:rsidRPr="000540E1" w:rsidRDefault="00061A2D" w:rsidP="008D0C3F">
            <w:pPr>
              <w:pStyle w:val="tbltext"/>
            </w:pPr>
            <w:r w:rsidRPr="00F76596">
              <w:t>Clearing timestamp</w:t>
            </w:r>
          </w:p>
        </w:tc>
        <w:tc>
          <w:tcPr>
            <w:tcW w:w="1667" w:type="pct"/>
          </w:tcPr>
          <w:p w14:paraId="5DF4851C" w14:textId="77777777" w:rsidR="00061A2D" w:rsidRPr="000540E1" w:rsidRDefault="00061A2D" w:rsidP="008D0C3F">
            <w:pPr>
              <w:pStyle w:val="tbltext"/>
            </w:pPr>
            <w:r w:rsidRPr="00F76596">
              <w:t>Clearing timestamp</w:t>
            </w:r>
          </w:p>
        </w:tc>
      </w:tr>
      <w:tr w:rsidR="00061A2D" w:rsidRPr="000540E1" w14:paraId="6093927A" w14:textId="77777777" w:rsidTr="008D0C3F">
        <w:trPr>
          <w:cantSplit/>
        </w:trPr>
        <w:tc>
          <w:tcPr>
            <w:tcW w:w="1666" w:type="pct"/>
          </w:tcPr>
          <w:p w14:paraId="002DF701" w14:textId="77777777" w:rsidR="00061A2D" w:rsidRPr="00F76596" w:rsidRDefault="00061A2D" w:rsidP="008D0C3F">
            <w:pPr>
              <w:pStyle w:val="tbltext"/>
            </w:pPr>
            <w:r w:rsidRPr="00F76596">
              <w:t>Reporting timestamp</w:t>
            </w:r>
          </w:p>
        </w:tc>
        <w:tc>
          <w:tcPr>
            <w:tcW w:w="1666" w:type="pct"/>
          </w:tcPr>
          <w:p w14:paraId="7E6997FC" w14:textId="77777777" w:rsidR="00061A2D" w:rsidRPr="000540E1" w:rsidRDefault="00061A2D" w:rsidP="008D0C3F">
            <w:pPr>
              <w:pStyle w:val="tbltext"/>
            </w:pPr>
            <w:r w:rsidRPr="00F76596">
              <w:t>Reporting timestamp</w:t>
            </w:r>
          </w:p>
        </w:tc>
        <w:tc>
          <w:tcPr>
            <w:tcW w:w="1667" w:type="pct"/>
          </w:tcPr>
          <w:p w14:paraId="33F88859" w14:textId="77777777" w:rsidR="00061A2D" w:rsidRPr="000540E1" w:rsidRDefault="00061A2D" w:rsidP="008D0C3F">
            <w:pPr>
              <w:pStyle w:val="tbltext"/>
            </w:pPr>
            <w:r w:rsidRPr="00F76596">
              <w:t>Reporting timestamp</w:t>
            </w:r>
          </w:p>
        </w:tc>
      </w:tr>
      <w:tr w:rsidR="00061A2D" w:rsidRPr="000540E1" w14:paraId="1ECD4E94" w14:textId="77777777" w:rsidTr="008D0C3F">
        <w:trPr>
          <w:cantSplit/>
        </w:trPr>
        <w:tc>
          <w:tcPr>
            <w:tcW w:w="1666" w:type="pct"/>
            <w:shd w:val="clear" w:color="auto" w:fill="auto"/>
          </w:tcPr>
          <w:p w14:paraId="18672B7D" w14:textId="4877B78F" w:rsidR="00061A2D" w:rsidRPr="000540E1" w:rsidRDefault="00A31561" w:rsidP="008D0C3F">
            <w:pPr>
              <w:pStyle w:val="tbltext"/>
            </w:pPr>
            <w:r w:rsidRPr="009C6F38">
              <w:rPr>
                <w:color w:val="FFFFFF" w:themeColor="background1"/>
              </w:rPr>
              <w:t>Blank cell</w:t>
            </w:r>
          </w:p>
        </w:tc>
        <w:tc>
          <w:tcPr>
            <w:tcW w:w="1666" w:type="pct"/>
            <w:shd w:val="clear" w:color="auto" w:fill="auto"/>
          </w:tcPr>
          <w:p w14:paraId="48FC13BB" w14:textId="51D25D53" w:rsidR="00061A2D" w:rsidRPr="009C6F38" w:rsidRDefault="00A31561" w:rsidP="008D0C3F">
            <w:pPr>
              <w:pStyle w:val="tbltext"/>
              <w:rPr>
                <w:color w:val="FFFFFF" w:themeColor="background1"/>
              </w:rPr>
            </w:pPr>
            <w:r w:rsidRPr="009C6F38">
              <w:rPr>
                <w:color w:val="FFFFFF" w:themeColor="background1"/>
              </w:rPr>
              <w:t>Blank cell</w:t>
            </w:r>
          </w:p>
        </w:tc>
        <w:tc>
          <w:tcPr>
            <w:tcW w:w="1667" w:type="pct"/>
            <w:shd w:val="clear" w:color="auto" w:fill="D9D9D9" w:themeFill="background1" w:themeFillShade="D9"/>
          </w:tcPr>
          <w:p w14:paraId="098DC50E" w14:textId="6668B935" w:rsidR="00061A2D" w:rsidRPr="000540E1" w:rsidRDefault="00061A2D" w:rsidP="008D0C3F">
            <w:pPr>
              <w:pStyle w:val="tbltext"/>
            </w:pPr>
            <w:r>
              <w:t>Table S1.1(3) Collateral information</w:t>
            </w:r>
          </w:p>
        </w:tc>
      </w:tr>
      <w:tr w:rsidR="00061A2D" w:rsidRPr="000540E1" w14:paraId="32FA5F76" w14:textId="77777777" w:rsidTr="008D0C3F">
        <w:trPr>
          <w:cantSplit/>
        </w:trPr>
        <w:tc>
          <w:tcPr>
            <w:tcW w:w="1666" w:type="pct"/>
          </w:tcPr>
          <w:p w14:paraId="454C48D9" w14:textId="5A961FC9" w:rsidR="00061A2D" w:rsidRPr="000540E1" w:rsidRDefault="00A31561" w:rsidP="008D0C3F">
            <w:pPr>
              <w:pStyle w:val="tbltext"/>
            </w:pPr>
            <w:r>
              <w:t>Not applicable</w:t>
            </w:r>
          </w:p>
        </w:tc>
        <w:tc>
          <w:tcPr>
            <w:tcW w:w="1666" w:type="pct"/>
          </w:tcPr>
          <w:p w14:paraId="1A9398CE" w14:textId="4C4E53AF" w:rsidR="00061A2D" w:rsidRPr="000540E1" w:rsidRDefault="00A31561" w:rsidP="008D0C3F">
            <w:pPr>
              <w:pStyle w:val="tbltext"/>
            </w:pPr>
            <w:r>
              <w:t>Not applicable</w:t>
            </w:r>
          </w:p>
        </w:tc>
        <w:tc>
          <w:tcPr>
            <w:tcW w:w="1667" w:type="pct"/>
          </w:tcPr>
          <w:p w14:paraId="2B59E6DC" w14:textId="77777777" w:rsidR="00061A2D" w:rsidRPr="000540E1" w:rsidRDefault="00061A2D" w:rsidP="008D0C3F">
            <w:pPr>
              <w:pStyle w:val="tbltext"/>
            </w:pPr>
            <w:r w:rsidRPr="00F76596">
              <w:t>Unique transaction identifier</w:t>
            </w:r>
          </w:p>
        </w:tc>
      </w:tr>
      <w:tr w:rsidR="00061A2D" w:rsidRPr="000540E1" w14:paraId="02A0946D" w14:textId="77777777" w:rsidTr="008D0C3F">
        <w:trPr>
          <w:cantSplit/>
        </w:trPr>
        <w:tc>
          <w:tcPr>
            <w:tcW w:w="1666" w:type="pct"/>
          </w:tcPr>
          <w:p w14:paraId="4A2D0E07" w14:textId="73ED4F77" w:rsidR="00061A2D" w:rsidRPr="00F76596" w:rsidRDefault="00A31561" w:rsidP="008D0C3F">
            <w:pPr>
              <w:pStyle w:val="tbltext"/>
            </w:pPr>
            <w:r>
              <w:t>Not applicable</w:t>
            </w:r>
          </w:p>
        </w:tc>
        <w:tc>
          <w:tcPr>
            <w:tcW w:w="1666" w:type="pct"/>
          </w:tcPr>
          <w:p w14:paraId="3D800C6B" w14:textId="720E81D6" w:rsidR="00061A2D" w:rsidRPr="00F76596" w:rsidRDefault="00A31561" w:rsidP="008D0C3F">
            <w:pPr>
              <w:pStyle w:val="tbltext"/>
            </w:pPr>
            <w:r>
              <w:t>Not applicable</w:t>
            </w:r>
          </w:p>
        </w:tc>
        <w:tc>
          <w:tcPr>
            <w:tcW w:w="1667" w:type="pct"/>
          </w:tcPr>
          <w:p w14:paraId="74693198" w14:textId="77777777" w:rsidR="00061A2D" w:rsidRPr="000540E1" w:rsidRDefault="00061A2D" w:rsidP="008D0C3F">
            <w:pPr>
              <w:pStyle w:val="tbltext"/>
            </w:pPr>
            <w:r>
              <w:t>Reporting Entity</w:t>
            </w:r>
          </w:p>
        </w:tc>
      </w:tr>
      <w:tr w:rsidR="00061A2D" w:rsidRPr="000540E1" w14:paraId="4B63B75E" w14:textId="77777777" w:rsidTr="008D0C3F">
        <w:trPr>
          <w:cantSplit/>
        </w:trPr>
        <w:tc>
          <w:tcPr>
            <w:tcW w:w="1666" w:type="pct"/>
          </w:tcPr>
          <w:p w14:paraId="656AC4FB" w14:textId="3197E774" w:rsidR="00061A2D" w:rsidRPr="00F76596" w:rsidRDefault="00A31561" w:rsidP="008D0C3F">
            <w:pPr>
              <w:pStyle w:val="tbltext"/>
            </w:pPr>
            <w:r>
              <w:t>Not applicable</w:t>
            </w:r>
          </w:p>
        </w:tc>
        <w:tc>
          <w:tcPr>
            <w:tcW w:w="1666" w:type="pct"/>
          </w:tcPr>
          <w:p w14:paraId="4C13B18B" w14:textId="2B971898" w:rsidR="00061A2D" w:rsidRPr="00F76596" w:rsidRDefault="00A31561" w:rsidP="008D0C3F">
            <w:pPr>
              <w:pStyle w:val="tbltext"/>
            </w:pPr>
            <w:r>
              <w:t>Not applicable</w:t>
            </w:r>
          </w:p>
        </w:tc>
        <w:tc>
          <w:tcPr>
            <w:tcW w:w="1667" w:type="pct"/>
          </w:tcPr>
          <w:p w14:paraId="2A8F029B" w14:textId="77777777" w:rsidR="00061A2D" w:rsidRPr="000540E1" w:rsidRDefault="00061A2D" w:rsidP="008D0C3F">
            <w:pPr>
              <w:pStyle w:val="tbltext"/>
            </w:pPr>
            <w:r>
              <w:t>Counterparty 1</w:t>
            </w:r>
          </w:p>
        </w:tc>
      </w:tr>
      <w:tr w:rsidR="00061A2D" w:rsidRPr="000540E1" w14:paraId="5D81258C" w14:textId="77777777" w:rsidTr="008D0C3F">
        <w:trPr>
          <w:cantSplit/>
        </w:trPr>
        <w:tc>
          <w:tcPr>
            <w:tcW w:w="1666" w:type="pct"/>
          </w:tcPr>
          <w:p w14:paraId="4B7E80CB" w14:textId="5E9755AF" w:rsidR="00061A2D" w:rsidRPr="00F76596" w:rsidRDefault="00A31561" w:rsidP="008D0C3F">
            <w:pPr>
              <w:pStyle w:val="tbltext"/>
            </w:pPr>
            <w:r>
              <w:t>Not applicable</w:t>
            </w:r>
          </w:p>
        </w:tc>
        <w:tc>
          <w:tcPr>
            <w:tcW w:w="1666" w:type="pct"/>
          </w:tcPr>
          <w:p w14:paraId="4F1FB7F3" w14:textId="6EBF0BF0" w:rsidR="00061A2D" w:rsidRPr="00F76596" w:rsidRDefault="00A31561" w:rsidP="008D0C3F">
            <w:pPr>
              <w:pStyle w:val="tbltext"/>
            </w:pPr>
            <w:r>
              <w:t>Not applicable</w:t>
            </w:r>
          </w:p>
        </w:tc>
        <w:tc>
          <w:tcPr>
            <w:tcW w:w="1667" w:type="pct"/>
          </w:tcPr>
          <w:p w14:paraId="0EE0B4B4" w14:textId="77777777" w:rsidR="00061A2D" w:rsidRPr="000540E1" w:rsidRDefault="00061A2D" w:rsidP="008D0C3F">
            <w:pPr>
              <w:pStyle w:val="tbltext"/>
            </w:pPr>
            <w:r>
              <w:t>Counterparty 2</w:t>
            </w:r>
          </w:p>
        </w:tc>
      </w:tr>
      <w:tr w:rsidR="00061A2D" w:rsidRPr="000540E1" w14:paraId="64A497C8" w14:textId="77777777" w:rsidTr="008D0C3F">
        <w:trPr>
          <w:cantSplit/>
        </w:trPr>
        <w:tc>
          <w:tcPr>
            <w:tcW w:w="1666" w:type="pct"/>
          </w:tcPr>
          <w:p w14:paraId="3E8A42A0" w14:textId="3239EF93" w:rsidR="00061A2D" w:rsidRPr="00F76596" w:rsidRDefault="00A31561" w:rsidP="008D0C3F">
            <w:pPr>
              <w:pStyle w:val="tbltext"/>
            </w:pPr>
            <w:r>
              <w:t>Not applicable</w:t>
            </w:r>
          </w:p>
        </w:tc>
        <w:tc>
          <w:tcPr>
            <w:tcW w:w="1666" w:type="pct"/>
          </w:tcPr>
          <w:p w14:paraId="592ADB00" w14:textId="73A897C4" w:rsidR="00061A2D" w:rsidRDefault="00A31561" w:rsidP="008D0C3F">
            <w:pPr>
              <w:pStyle w:val="tbltext"/>
            </w:pPr>
            <w:r>
              <w:t>Not applicable</w:t>
            </w:r>
          </w:p>
        </w:tc>
        <w:tc>
          <w:tcPr>
            <w:tcW w:w="1667" w:type="pct"/>
          </w:tcPr>
          <w:p w14:paraId="5C2077E6" w14:textId="77777777" w:rsidR="00061A2D" w:rsidRPr="000540E1" w:rsidRDefault="00061A2D" w:rsidP="008D0C3F">
            <w:pPr>
              <w:pStyle w:val="tbltext"/>
            </w:pPr>
            <w:r w:rsidRPr="00730E4B">
              <w:t>Collateral timestamp</w:t>
            </w:r>
          </w:p>
        </w:tc>
      </w:tr>
      <w:tr w:rsidR="00061A2D" w:rsidRPr="000540E1" w14:paraId="25C7703E" w14:textId="77777777" w:rsidTr="008D0C3F">
        <w:trPr>
          <w:cantSplit/>
        </w:trPr>
        <w:tc>
          <w:tcPr>
            <w:tcW w:w="1666" w:type="pct"/>
          </w:tcPr>
          <w:p w14:paraId="195FBCB5" w14:textId="77777777" w:rsidR="00061A2D" w:rsidRPr="00F76596" w:rsidRDefault="00061A2D" w:rsidP="008D0C3F">
            <w:pPr>
              <w:pStyle w:val="tbltext"/>
            </w:pPr>
            <w:r w:rsidRPr="00F76596">
              <w:t>Collateralisation</w:t>
            </w:r>
          </w:p>
        </w:tc>
        <w:tc>
          <w:tcPr>
            <w:tcW w:w="1666" w:type="pct"/>
          </w:tcPr>
          <w:p w14:paraId="08D7388F" w14:textId="77777777" w:rsidR="00061A2D" w:rsidRPr="000540E1" w:rsidRDefault="00061A2D" w:rsidP="008D0C3F">
            <w:pPr>
              <w:pStyle w:val="tbltext"/>
            </w:pPr>
            <w:r w:rsidRPr="00730E4B">
              <w:t>Collateralisation category</w:t>
            </w:r>
          </w:p>
        </w:tc>
        <w:tc>
          <w:tcPr>
            <w:tcW w:w="1667" w:type="pct"/>
          </w:tcPr>
          <w:p w14:paraId="43A18065" w14:textId="77777777" w:rsidR="00061A2D" w:rsidRPr="000540E1" w:rsidRDefault="00061A2D" w:rsidP="008D0C3F">
            <w:pPr>
              <w:pStyle w:val="tbltext"/>
            </w:pPr>
            <w:r w:rsidRPr="00730E4B">
              <w:t>Collateralisation category</w:t>
            </w:r>
          </w:p>
        </w:tc>
      </w:tr>
      <w:tr w:rsidR="00061A2D" w:rsidRPr="000540E1" w14:paraId="11449916" w14:textId="77777777" w:rsidTr="008D0C3F">
        <w:trPr>
          <w:cantSplit/>
        </w:trPr>
        <w:tc>
          <w:tcPr>
            <w:tcW w:w="1666" w:type="pct"/>
          </w:tcPr>
          <w:p w14:paraId="6F29D449" w14:textId="77777777" w:rsidR="00061A2D" w:rsidRPr="00F76596" w:rsidRDefault="00061A2D" w:rsidP="008D0C3F">
            <w:pPr>
              <w:pStyle w:val="tbltext"/>
            </w:pPr>
            <w:r w:rsidRPr="00F76596">
              <w:t>Collateral portfolio</w:t>
            </w:r>
          </w:p>
        </w:tc>
        <w:tc>
          <w:tcPr>
            <w:tcW w:w="1666" w:type="pct"/>
          </w:tcPr>
          <w:p w14:paraId="32C1E596" w14:textId="77777777" w:rsidR="00061A2D" w:rsidRPr="000540E1" w:rsidRDefault="00061A2D" w:rsidP="008D0C3F">
            <w:pPr>
              <w:pStyle w:val="tbltext"/>
            </w:pPr>
            <w:r w:rsidRPr="00730E4B">
              <w:t>Collateral portfolio indicator</w:t>
            </w:r>
          </w:p>
        </w:tc>
        <w:tc>
          <w:tcPr>
            <w:tcW w:w="1667" w:type="pct"/>
          </w:tcPr>
          <w:p w14:paraId="53918914" w14:textId="77777777" w:rsidR="00061A2D" w:rsidRPr="000540E1" w:rsidRDefault="00061A2D" w:rsidP="008D0C3F">
            <w:pPr>
              <w:pStyle w:val="tbltext"/>
            </w:pPr>
            <w:r w:rsidRPr="00730E4B">
              <w:t>Collateral portfolio indicator</w:t>
            </w:r>
          </w:p>
        </w:tc>
      </w:tr>
      <w:tr w:rsidR="00061A2D" w:rsidRPr="000540E1" w14:paraId="71BDE204" w14:textId="77777777" w:rsidTr="008D0C3F">
        <w:trPr>
          <w:cantSplit/>
        </w:trPr>
        <w:tc>
          <w:tcPr>
            <w:tcW w:w="1666" w:type="pct"/>
          </w:tcPr>
          <w:p w14:paraId="0FB1AC26" w14:textId="25D33157" w:rsidR="00061A2D" w:rsidRPr="00F76596" w:rsidRDefault="00A31561" w:rsidP="008D0C3F">
            <w:pPr>
              <w:pStyle w:val="tbltext"/>
            </w:pPr>
            <w:r>
              <w:t>Not applicable</w:t>
            </w:r>
          </w:p>
        </w:tc>
        <w:tc>
          <w:tcPr>
            <w:tcW w:w="1666" w:type="pct"/>
          </w:tcPr>
          <w:p w14:paraId="2E25E866" w14:textId="3218A941" w:rsidR="00061A2D" w:rsidRPr="00F76596" w:rsidRDefault="00A31561" w:rsidP="008D0C3F">
            <w:pPr>
              <w:pStyle w:val="tbltext"/>
            </w:pPr>
            <w:r>
              <w:t>Not applicable</w:t>
            </w:r>
          </w:p>
        </w:tc>
        <w:tc>
          <w:tcPr>
            <w:tcW w:w="1667" w:type="pct"/>
          </w:tcPr>
          <w:p w14:paraId="7F516C8A" w14:textId="77777777" w:rsidR="00061A2D" w:rsidRPr="000540E1" w:rsidRDefault="00061A2D" w:rsidP="008D0C3F">
            <w:pPr>
              <w:pStyle w:val="tbltext"/>
            </w:pPr>
            <w:r w:rsidRPr="00730E4B">
              <w:t>Portfolio containing non-reportable component indicator</w:t>
            </w:r>
          </w:p>
        </w:tc>
      </w:tr>
      <w:tr w:rsidR="00061A2D" w:rsidRPr="000540E1" w14:paraId="5DAE5C35" w14:textId="77777777" w:rsidTr="008D0C3F">
        <w:trPr>
          <w:cantSplit/>
        </w:trPr>
        <w:tc>
          <w:tcPr>
            <w:tcW w:w="1666" w:type="pct"/>
          </w:tcPr>
          <w:p w14:paraId="1C94A546" w14:textId="77777777" w:rsidR="00061A2D" w:rsidRPr="00F76596" w:rsidRDefault="00061A2D" w:rsidP="008D0C3F">
            <w:pPr>
              <w:pStyle w:val="tbltext"/>
            </w:pPr>
            <w:r w:rsidRPr="00F76596">
              <w:t>Collateral portfolio code</w:t>
            </w:r>
          </w:p>
        </w:tc>
        <w:tc>
          <w:tcPr>
            <w:tcW w:w="1666" w:type="pct"/>
          </w:tcPr>
          <w:p w14:paraId="0D951E9D" w14:textId="77777777" w:rsidR="00061A2D" w:rsidRPr="000540E1" w:rsidRDefault="00061A2D" w:rsidP="008D0C3F">
            <w:pPr>
              <w:pStyle w:val="tbltext"/>
            </w:pPr>
            <w:r w:rsidRPr="00F76596">
              <w:t>Collateral portfolio code</w:t>
            </w:r>
          </w:p>
        </w:tc>
        <w:tc>
          <w:tcPr>
            <w:tcW w:w="1667" w:type="pct"/>
          </w:tcPr>
          <w:p w14:paraId="2CC418A5" w14:textId="77777777" w:rsidR="00061A2D" w:rsidRDefault="00061A2D" w:rsidP="008D0C3F">
            <w:pPr>
              <w:pStyle w:val="tbltext"/>
              <w:ind w:left="170" w:hanging="170"/>
              <w:rPr>
                <w:color w:val="000000" w:themeColor="text1"/>
              </w:rPr>
            </w:pPr>
            <w:r w:rsidRPr="00730E4B">
              <w:rPr>
                <w:color w:val="000000" w:themeColor="text1"/>
              </w:rPr>
              <w:t>Collateral portfolio code (initial margin)</w:t>
            </w:r>
          </w:p>
          <w:p w14:paraId="79F240D6" w14:textId="77777777" w:rsidR="00061A2D" w:rsidRPr="000540E1" w:rsidRDefault="00061A2D" w:rsidP="008D0C3F">
            <w:pPr>
              <w:pStyle w:val="tbltext"/>
              <w:ind w:left="170" w:hanging="170"/>
            </w:pPr>
            <w:r w:rsidRPr="00730E4B">
              <w:rPr>
                <w:color w:val="000000" w:themeColor="text1"/>
              </w:rPr>
              <w:t>Collateral portfolio code (</w:t>
            </w:r>
            <w:r>
              <w:rPr>
                <w:color w:val="000000" w:themeColor="text1"/>
              </w:rPr>
              <w:t>variation</w:t>
            </w:r>
            <w:r w:rsidRPr="00730E4B">
              <w:rPr>
                <w:color w:val="000000" w:themeColor="text1"/>
              </w:rPr>
              <w:t xml:space="preserve"> margin)</w:t>
            </w:r>
          </w:p>
        </w:tc>
      </w:tr>
      <w:tr w:rsidR="00061A2D" w:rsidRPr="000540E1" w14:paraId="2B88F36F" w14:textId="77777777" w:rsidTr="008D0C3F">
        <w:trPr>
          <w:cantSplit/>
        </w:trPr>
        <w:tc>
          <w:tcPr>
            <w:tcW w:w="1666" w:type="pct"/>
          </w:tcPr>
          <w:p w14:paraId="051450DF" w14:textId="77777777" w:rsidR="00061A2D" w:rsidRPr="00F76596" w:rsidRDefault="00061A2D" w:rsidP="008D0C3F">
            <w:pPr>
              <w:pStyle w:val="tbltext"/>
            </w:pPr>
            <w:r w:rsidRPr="00F76596">
              <w:t>Value of collateral</w:t>
            </w:r>
          </w:p>
        </w:tc>
        <w:tc>
          <w:tcPr>
            <w:tcW w:w="1666" w:type="pct"/>
          </w:tcPr>
          <w:p w14:paraId="776F38E6" w14:textId="77777777" w:rsidR="00061A2D" w:rsidRPr="000540E1" w:rsidRDefault="00061A2D" w:rsidP="008D0C3F">
            <w:pPr>
              <w:pStyle w:val="tbltext"/>
            </w:pPr>
            <w:r w:rsidRPr="00F76596">
              <w:t>Value of collateral</w:t>
            </w:r>
          </w:p>
        </w:tc>
        <w:tc>
          <w:tcPr>
            <w:tcW w:w="1667" w:type="pct"/>
          </w:tcPr>
          <w:p w14:paraId="00E6D11C" w14:textId="77777777" w:rsidR="00061A2D" w:rsidRDefault="00061A2D" w:rsidP="008D0C3F">
            <w:pPr>
              <w:pStyle w:val="tbltext"/>
              <w:ind w:left="170" w:hanging="170"/>
              <w:rPr>
                <w:bCs/>
              </w:rPr>
            </w:pPr>
            <w:r w:rsidRPr="003143E5">
              <w:rPr>
                <w:bCs/>
              </w:rPr>
              <w:t xml:space="preserve">Initial margin posted by the </w:t>
            </w:r>
            <w:r>
              <w:rPr>
                <w:bCs/>
              </w:rPr>
              <w:t>Reporting Entity</w:t>
            </w:r>
            <w:r w:rsidRPr="003143E5">
              <w:rPr>
                <w:bCs/>
              </w:rPr>
              <w:t xml:space="preserve"> (pre-haircut)</w:t>
            </w:r>
          </w:p>
          <w:p w14:paraId="31F0D4E6" w14:textId="77777777" w:rsidR="00061A2D" w:rsidRDefault="00061A2D" w:rsidP="008D0C3F">
            <w:pPr>
              <w:pStyle w:val="tbltext"/>
              <w:ind w:left="170" w:hanging="170"/>
              <w:rPr>
                <w:bCs/>
              </w:rPr>
            </w:pPr>
            <w:r w:rsidRPr="003143E5">
              <w:rPr>
                <w:bCs/>
              </w:rPr>
              <w:t xml:space="preserve">Initial margin posted by the </w:t>
            </w:r>
            <w:r>
              <w:rPr>
                <w:bCs/>
              </w:rPr>
              <w:t>Reporting Entity</w:t>
            </w:r>
            <w:r w:rsidRPr="003143E5">
              <w:rPr>
                <w:bCs/>
              </w:rPr>
              <w:t xml:space="preserve"> (post-haircut)</w:t>
            </w:r>
          </w:p>
          <w:p w14:paraId="7F243818" w14:textId="77777777" w:rsidR="00061A2D" w:rsidRPr="003143E5" w:rsidRDefault="00061A2D" w:rsidP="008D0C3F">
            <w:pPr>
              <w:pStyle w:val="tbltext"/>
              <w:ind w:left="170" w:hanging="170"/>
              <w:rPr>
                <w:bCs/>
              </w:rPr>
            </w:pPr>
            <w:r w:rsidRPr="00730E4B">
              <w:t xml:space="preserve">Variation margin posted by the </w:t>
            </w:r>
            <w:r>
              <w:t>Reporting Entity</w:t>
            </w:r>
            <w:r w:rsidRPr="00730E4B">
              <w:t xml:space="preserve"> (pre-haircut)</w:t>
            </w:r>
          </w:p>
        </w:tc>
      </w:tr>
      <w:tr w:rsidR="00061A2D" w:rsidRPr="000540E1" w14:paraId="725ED8D3" w14:textId="77777777" w:rsidTr="008D0C3F">
        <w:trPr>
          <w:cantSplit/>
        </w:trPr>
        <w:tc>
          <w:tcPr>
            <w:tcW w:w="1666" w:type="pct"/>
          </w:tcPr>
          <w:p w14:paraId="3FEFAB30" w14:textId="7721E380" w:rsidR="00061A2D" w:rsidRPr="00F76596" w:rsidRDefault="00A31561" w:rsidP="008D0C3F">
            <w:pPr>
              <w:pStyle w:val="tbltext"/>
            </w:pPr>
            <w:r>
              <w:t>Not applicable</w:t>
            </w:r>
          </w:p>
        </w:tc>
        <w:tc>
          <w:tcPr>
            <w:tcW w:w="1666" w:type="pct"/>
          </w:tcPr>
          <w:p w14:paraId="68871D50" w14:textId="6A218AE0" w:rsidR="00061A2D" w:rsidRPr="00F76596" w:rsidRDefault="00A31561" w:rsidP="008D0C3F">
            <w:pPr>
              <w:pStyle w:val="tbltext"/>
            </w:pPr>
            <w:r>
              <w:t>Not applicable</w:t>
            </w:r>
          </w:p>
        </w:tc>
        <w:tc>
          <w:tcPr>
            <w:tcW w:w="1667" w:type="pct"/>
          </w:tcPr>
          <w:p w14:paraId="227C6DD7" w14:textId="77777777" w:rsidR="00061A2D" w:rsidRDefault="00061A2D" w:rsidP="008D0C3F">
            <w:pPr>
              <w:pStyle w:val="tbltext"/>
              <w:ind w:left="170" w:hanging="170"/>
            </w:pPr>
            <w:r w:rsidRPr="00730E4B">
              <w:t xml:space="preserve">Initial margin collected by the </w:t>
            </w:r>
            <w:r>
              <w:t>Reporting Entity</w:t>
            </w:r>
            <w:r w:rsidRPr="00730E4B">
              <w:t xml:space="preserve"> (pre-haircut)</w:t>
            </w:r>
          </w:p>
          <w:p w14:paraId="1A8E9A8A" w14:textId="77777777" w:rsidR="00061A2D" w:rsidRDefault="00061A2D" w:rsidP="008D0C3F">
            <w:pPr>
              <w:pStyle w:val="tbltext"/>
              <w:spacing w:before="60"/>
              <w:ind w:left="170" w:hanging="170"/>
            </w:pPr>
            <w:r w:rsidRPr="00730E4B">
              <w:t xml:space="preserve">Initial margin collected by the </w:t>
            </w:r>
            <w:r>
              <w:t>Reporting Entity</w:t>
            </w:r>
            <w:r w:rsidRPr="00730E4B">
              <w:t xml:space="preserve"> (post-haircut)</w:t>
            </w:r>
          </w:p>
          <w:p w14:paraId="6BCB53E8" w14:textId="77777777" w:rsidR="00061A2D" w:rsidRPr="00730E4B" w:rsidRDefault="00061A2D" w:rsidP="008D0C3F">
            <w:pPr>
              <w:pStyle w:val="tbltext"/>
              <w:spacing w:before="60"/>
              <w:ind w:left="170" w:hanging="170"/>
            </w:pPr>
            <w:r w:rsidRPr="00730E4B">
              <w:t xml:space="preserve">Variation margin collected by the </w:t>
            </w:r>
            <w:r>
              <w:t>Reporting Entity</w:t>
            </w:r>
            <w:r w:rsidRPr="00730E4B">
              <w:t xml:space="preserve"> (pre-haircut)</w:t>
            </w:r>
          </w:p>
        </w:tc>
      </w:tr>
      <w:tr w:rsidR="00061A2D" w:rsidRPr="000540E1" w14:paraId="2389F20A" w14:textId="77777777" w:rsidTr="008D0C3F">
        <w:trPr>
          <w:cantSplit/>
        </w:trPr>
        <w:tc>
          <w:tcPr>
            <w:tcW w:w="1666" w:type="pct"/>
          </w:tcPr>
          <w:p w14:paraId="3BB10612" w14:textId="77777777" w:rsidR="00061A2D" w:rsidRPr="00F76596" w:rsidRDefault="00061A2D" w:rsidP="008D0C3F">
            <w:pPr>
              <w:pStyle w:val="tbltext"/>
            </w:pPr>
            <w:r w:rsidRPr="00F76596">
              <w:t>Currency of collateral value</w:t>
            </w:r>
          </w:p>
        </w:tc>
        <w:tc>
          <w:tcPr>
            <w:tcW w:w="1666" w:type="pct"/>
          </w:tcPr>
          <w:p w14:paraId="1142BE47" w14:textId="77777777" w:rsidR="00061A2D" w:rsidRPr="000540E1" w:rsidRDefault="00061A2D" w:rsidP="008D0C3F">
            <w:pPr>
              <w:pStyle w:val="tbltext"/>
            </w:pPr>
            <w:r w:rsidRPr="00F76596">
              <w:t>Currency of collateral value</w:t>
            </w:r>
          </w:p>
        </w:tc>
        <w:tc>
          <w:tcPr>
            <w:tcW w:w="1667" w:type="pct"/>
          </w:tcPr>
          <w:p w14:paraId="488A662F" w14:textId="77777777" w:rsidR="00061A2D" w:rsidRDefault="00061A2D" w:rsidP="008D0C3F">
            <w:pPr>
              <w:pStyle w:val="tbltext"/>
              <w:ind w:left="170" w:hanging="170"/>
            </w:pPr>
            <w:r w:rsidRPr="00730E4B">
              <w:t>Currency of initial margin posted</w:t>
            </w:r>
          </w:p>
          <w:p w14:paraId="007F025A" w14:textId="77777777" w:rsidR="00061A2D" w:rsidRPr="000540E1" w:rsidRDefault="00061A2D" w:rsidP="008D0C3F">
            <w:pPr>
              <w:pStyle w:val="tbltext"/>
              <w:ind w:left="170" w:hanging="170"/>
            </w:pPr>
            <w:r w:rsidRPr="00730E4B">
              <w:t>Currency of variation margin posted</w:t>
            </w:r>
          </w:p>
        </w:tc>
      </w:tr>
      <w:tr w:rsidR="00061A2D" w:rsidRPr="000540E1" w14:paraId="0540CCFD" w14:textId="77777777" w:rsidTr="008D0C3F">
        <w:trPr>
          <w:cantSplit/>
        </w:trPr>
        <w:tc>
          <w:tcPr>
            <w:tcW w:w="1666" w:type="pct"/>
          </w:tcPr>
          <w:p w14:paraId="7E173E13" w14:textId="23D9AA70" w:rsidR="00061A2D" w:rsidRPr="00F76596" w:rsidRDefault="00A31561" w:rsidP="008D0C3F">
            <w:pPr>
              <w:pStyle w:val="tbltext"/>
            </w:pPr>
            <w:r>
              <w:t>Not applicable</w:t>
            </w:r>
          </w:p>
        </w:tc>
        <w:tc>
          <w:tcPr>
            <w:tcW w:w="1666" w:type="pct"/>
          </w:tcPr>
          <w:p w14:paraId="5CB55F71" w14:textId="706C5636" w:rsidR="00061A2D" w:rsidRDefault="00A31561" w:rsidP="008D0C3F">
            <w:pPr>
              <w:pStyle w:val="tbltext"/>
            </w:pPr>
            <w:r>
              <w:t>Not applicable</w:t>
            </w:r>
          </w:p>
        </w:tc>
        <w:tc>
          <w:tcPr>
            <w:tcW w:w="1667" w:type="pct"/>
          </w:tcPr>
          <w:p w14:paraId="351B4FF0" w14:textId="77777777" w:rsidR="00061A2D" w:rsidRDefault="00061A2D" w:rsidP="008D0C3F">
            <w:pPr>
              <w:pStyle w:val="tbltext"/>
              <w:ind w:left="170" w:hanging="170"/>
            </w:pPr>
            <w:r w:rsidRPr="00730E4B">
              <w:t>Currency of initial margin collected</w:t>
            </w:r>
          </w:p>
          <w:p w14:paraId="73D67483" w14:textId="77777777" w:rsidR="00061A2D" w:rsidRPr="000540E1" w:rsidRDefault="00061A2D" w:rsidP="008D0C3F">
            <w:pPr>
              <w:pStyle w:val="tbltext"/>
              <w:ind w:left="170" w:hanging="170"/>
            </w:pPr>
            <w:r w:rsidRPr="00730E4B">
              <w:t xml:space="preserve">Currency of </w:t>
            </w:r>
            <w:r>
              <w:t>variation</w:t>
            </w:r>
            <w:r w:rsidRPr="00730E4B">
              <w:t xml:space="preserve"> margin collected</w:t>
            </w:r>
          </w:p>
        </w:tc>
      </w:tr>
      <w:tr w:rsidR="00061A2D" w:rsidRPr="000540E1" w14:paraId="20478A0F" w14:textId="77777777" w:rsidTr="008D0C3F">
        <w:trPr>
          <w:cantSplit/>
        </w:trPr>
        <w:tc>
          <w:tcPr>
            <w:tcW w:w="1666" w:type="pct"/>
          </w:tcPr>
          <w:p w14:paraId="2204C214" w14:textId="0734596B" w:rsidR="00061A2D" w:rsidRPr="00F76596" w:rsidRDefault="00A31561" w:rsidP="008D0C3F">
            <w:pPr>
              <w:pStyle w:val="tbltext"/>
              <w:ind w:left="284" w:hanging="284"/>
            </w:pPr>
            <w:r>
              <w:t>Not applicable</w:t>
            </w:r>
          </w:p>
        </w:tc>
        <w:tc>
          <w:tcPr>
            <w:tcW w:w="1666" w:type="pct"/>
          </w:tcPr>
          <w:p w14:paraId="2B964DA3" w14:textId="7E5724D3" w:rsidR="00061A2D" w:rsidRDefault="00A31561" w:rsidP="008D0C3F">
            <w:pPr>
              <w:pStyle w:val="tbltext"/>
              <w:ind w:left="284" w:hanging="284"/>
            </w:pPr>
            <w:r>
              <w:t>Not applicable</w:t>
            </w:r>
          </w:p>
        </w:tc>
        <w:tc>
          <w:tcPr>
            <w:tcW w:w="1667" w:type="pct"/>
          </w:tcPr>
          <w:p w14:paraId="402D2DEC" w14:textId="77777777" w:rsidR="00061A2D" w:rsidRDefault="00061A2D" w:rsidP="008D0C3F">
            <w:pPr>
              <w:pStyle w:val="tbltext"/>
            </w:pPr>
            <w:r w:rsidRPr="00FA37D3">
              <w:rPr>
                <w:color w:val="000000" w:themeColor="text1"/>
              </w:rPr>
              <w:t>Action type</w:t>
            </w:r>
          </w:p>
        </w:tc>
      </w:tr>
      <w:tr w:rsidR="00061A2D" w:rsidRPr="000540E1" w14:paraId="29290A5A" w14:textId="77777777" w:rsidTr="008D0C3F">
        <w:trPr>
          <w:cantSplit/>
        </w:trPr>
        <w:tc>
          <w:tcPr>
            <w:tcW w:w="1666" w:type="pct"/>
          </w:tcPr>
          <w:p w14:paraId="73881453" w14:textId="702CB360" w:rsidR="00061A2D" w:rsidRPr="00F76596" w:rsidRDefault="00A31561" w:rsidP="008D0C3F">
            <w:pPr>
              <w:pStyle w:val="tbltext"/>
              <w:ind w:left="284" w:hanging="284"/>
            </w:pPr>
            <w:r>
              <w:t>Not applicable</w:t>
            </w:r>
          </w:p>
        </w:tc>
        <w:tc>
          <w:tcPr>
            <w:tcW w:w="1666" w:type="pct"/>
          </w:tcPr>
          <w:p w14:paraId="46809ACE" w14:textId="7DEA6C79" w:rsidR="00061A2D" w:rsidRDefault="00A31561" w:rsidP="008D0C3F">
            <w:pPr>
              <w:pStyle w:val="tbltext"/>
              <w:ind w:left="284" w:hanging="284"/>
            </w:pPr>
            <w:r>
              <w:t>Not applicable</w:t>
            </w:r>
          </w:p>
        </w:tc>
        <w:tc>
          <w:tcPr>
            <w:tcW w:w="1667" w:type="pct"/>
          </w:tcPr>
          <w:p w14:paraId="4EBFA4FB" w14:textId="77777777" w:rsidR="00061A2D" w:rsidRPr="00C06D33" w:rsidRDefault="00061A2D" w:rsidP="008D0C3F">
            <w:pPr>
              <w:pStyle w:val="tbltext"/>
              <w:ind w:left="170" w:hanging="170"/>
            </w:pPr>
            <w:r w:rsidRPr="00B03981">
              <w:t>Reporting timestamp</w:t>
            </w:r>
          </w:p>
        </w:tc>
      </w:tr>
      <w:tr w:rsidR="00061A2D" w:rsidRPr="000540E1" w14:paraId="765E2659" w14:textId="77777777" w:rsidTr="008D0C3F">
        <w:trPr>
          <w:cantSplit/>
        </w:trPr>
        <w:tc>
          <w:tcPr>
            <w:tcW w:w="1666" w:type="pct"/>
          </w:tcPr>
          <w:p w14:paraId="267ED804" w14:textId="25504EE0" w:rsidR="00061A2D" w:rsidRPr="00F76596" w:rsidRDefault="00A31561" w:rsidP="008D0C3F">
            <w:pPr>
              <w:pStyle w:val="tbltext"/>
              <w:ind w:left="284" w:hanging="284"/>
            </w:pPr>
            <w:r>
              <w:t>Not applicable</w:t>
            </w:r>
          </w:p>
        </w:tc>
        <w:tc>
          <w:tcPr>
            <w:tcW w:w="1666" w:type="pct"/>
          </w:tcPr>
          <w:p w14:paraId="6B31E991" w14:textId="14EEB707" w:rsidR="00061A2D" w:rsidRDefault="00A31561" w:rsidP="008D0C3F">
            <w:pPr>
              <w:pStyle w:val="tbltext"/>
              <w:ind w:left="284" w:hanging="284"/>
            </w:pPr>
            <w:r>
              <w:t>Not applicable</w:t>
            </w:r>
          </w:p>
        </w:tc>
        <w:tc>
          <w:tcPr>
            <w:tcW w:w="1667" w:type="pct"/>
          </w:tcPr>
          <w:p w14:paraId="74DA50E4" w14:textId="77777777" w:rsidR="00061A2D" w:rsidRPr="00C06D33" w:rsidRDefault="00061A2D" w:rsidP="008D0C3F">
            <w:pPr>
              <w:pStyle w:val="tbltext"/>
              <w:ind w:left="170" w:hanging="170"/>
            </w:pPr>
            <w:r w:rsidRPr="00B46519">
              <w:rPr>
                <w:color w:val="000000" w:themeColor="text1"/>
              </w:rPr>
              <w:t>Report submitting entity</w:t>
            </w:r>
          </w:p>
        </w:tc>
      </w:tr>
      <w:tr w:rsidR="00061A2D" w:rsidRPr="000540E1" w14:paraId="1E2D407B" w14:textId="77777777" w:rsidTr="008D0C3F">
        <w:trPr>
          <w:cantSplit/>
        </w:trPr>
        <w:tc>
          <w:tcPr>
            <w:tcW w:w="1666" w:type="pct"/>
            <w:shd w:val="clear" w:color="auto" w:fill="auto"/>
          </w:tcPr>
          <w:p w14:paraId="14F2175A" w14:textId="45A51CA0" w:rsidR="00061A2D" w:rsidRPr="000540E1" w:rsidRDefault="00A31561" w:rsidP="008D0C3F">
            <w:pPr>
              <w:pStyle w:val="tbltext"/>
            </w:pPr>
            <w:r w:rsidRPr="009C6F38">
              <w:rPr>
                <w:color w:val="FFFFFF" w:themeColor="background1"/>
              </w:rPr>
              <w:t>Blank cell</w:t>
            </w:r>
          </w:p>
        </w:tc>
        <w:tc>
          <w:tcPr>
            <w:tcW w:w="1666" w:type="pct"/>
            <w:shd w:val="clear" w:color="auto" w:fill="auto"/>
          </w:tcPr>
          <w:p w14:paraId="26768448" w14:textId="3724C5B0" w:rsidR="00061A2D" w:rsidRPr="000540E1" w:rsidRDefault="00A31561" w:rsidP="008D0C3F">
            <w:pPr>
              <w:pStyle w:val="tbltext"/>
            </w:pPr>
            <w:r w:rsidRPr="009C6F38">
              <w:rPr>
                <w:color w:val="FFFFFF" w:themeColor="background1"/>
              </w:rPr>
              <w:t>Blank cell</w:t>
            </w:r>
          </w:p>
        </w:tc>
        <w:tc>
          <w:tcPr>
            <w:tcW w:w="1667" w:type="pct"/>
            <w:shd w:val="clear" w:color="auto" w:fill="D9D9D9" w:themeFill="background1" w:themeFillShade="D9"/>
          </w:tcPr>
          <w:p w14:paraId="2BBD748E" w14:textId="24F03E3E" w:rsidR="00061A2D" w:rsidRPr="000540E1" w:rsidRDefault="00061A2D" w:rsidP="008D0C3F">
            <w:pPr>
              <w:pStyle w:val="tbltext"/>
            </w:pPr>
            <w:r>
              <w:t>Table S1.1(1) Transaction information</w:t>
            </w:r>
          </w:p>
        </w:tc>
      </w:tr>
      <w:tr w:rsidR="00061A2D" w:rsidRPr="000540E1" w14:paraId="60E1517B" w14:textId="77777777" w:rsidTr="008D0C3F">
        <w:trPr>
          <w:cantSplit/>
        </w:trPr>
        <w:tc>
          <w:tcPr>
            <w:tcW w:w="1666" w:type="pct"/>
          </w:tcPr>
          <w:p w14:paraId="490F80CE" w14:textId="77777777" w:rsidR="00061A2D" w:rsidRPr="00F76596" w:rsidRDefault="00061A2D" w:rsidP="008D0C3F">
            <w:pPr>
              <w:pStyle w:val="tbltext"/>
            </w:pPr>
            <w:r w:rsidRPr="00F76596">
              <w:t>Option type</w:t>
            </w:r>
          </w:p>
        </w:tc>
        <w:tc>
          <w:tcPr>
            <w:tcW w:w="1666" w:type="pct"/>
          </w:tcPr>
          <w:p w14:paraId="72CD3BAB" w14:textId="77777777" w:rsidR="00061A2D" w:rsidRPr="000540E1" w:rsidRDefault="00061A2D" w:rsidP="008D0C3F">
            <w:pPr>
              <w:pStyle w:val="tbltext"/>
            </w:pPr>
            <w:r>
              <w:t>Option type</w:t>
            </w:r>
          </w:p>
        </w:tc>
        <w:tc>
          <w:tcPr>
            <w:tcW w:w="1667" w:type="pct"/>
          </w:tcPr>
          <w:p w14:paraId="46771159" w14:textId="59945E19" w:rsidR="00061A2D" w:rsidRPr="000540E1" w:rsidRDefault="00A31561" w:rsidP="008D0C3F">
            <w:pPr>
              <w:pStyle w:val="tbltext"/>
            </w:pPr>
            <w:r>
              <w:t>Not applicable</w:t>
            </w:r>
            <w:r w:rsidRPr="009C6F38">
              <w:t>—</w:t>
            </w:r>
            <w:r w:rsidR="00061A2D">
              <w:t>in UPI</w:t>
            </w:r>
          </w:p>
        </w:tc>
      </w:tr>
      <w:tr w:rsidR="00061A2D" w:rsidRPr="000540E1" w14:paraId="364AD60F" w14:textId="77777777" w:rsidTr="008D0C3F">
        <w:trPr>
          <w:cantSplit/>
        </w:trPr>
        <w:tc>
          <w:tcPr>
            <w:tcW w:w="1666" w:type="pct"/>
          </w:tcPr>
          <w:p w14:paraId="3EFFC6D5" w14:textId="77777777" w:rsidR="00061A2D" w:rsidRPr="00F76596" w:rsidRDefault="00061A2D" w:rsidP="008D0C3F">
            <w:pPr>
              <w:pStyle w:val="tbltext"/>
            </w:pPr>
            <w:r w:rsidRPr="00F76596">
              <w:t>Option expiration date</w:t>
            </w:r>
          </w:p>
        </w:tc>
        <w:tc>
          <w:tcPr>
            <w:tcW w:w="1666" w:type="pct"/>
          </w:tcPr>
          <w:p w14:paraId="757BA979" w14:textId="77777777" w:rsidR="00061A2D" w:rsidRPr="000540E1" w:rsidRDefault="00061A2D" w:rsidP="008D0C3F">
            <w:pPr>
              <w:pStyle w:val="tbltext"/>
            </w:pPr>
            <w:r w:rsidRPr="00F76596">
              <w:t>Option expiration date</w:t>
            </w:r>
          </w:p>
        </w:tc>
        <w:tc>
          <w:tcPr>
            <w:tcW w:w="1667" w:type="pct"/>
          </w:tcPr>
          <w:p w14:paraId="24218DD4" w14:textId="6857ADA5" w:rsidR="00061A2D" w:rsidRPr="000540E1" w:rsidRDefault="00A31561" w:rsidP="008D0C3F">
            <w:pPr>
              <w:pStyle w:val="tbltext"/>
            </w:pPr>
            <w:r>
              <w:t>Not applicable</w:t>
            </w:r>
            <w:r w:rsidRPr="009C6F38">
              <w:t>—</w:t>
            </w:r>
            <w:r w:rsidR="00061A2D">
              <w:t xml:space="preserve">reported in </w:t>
            </w:r>
            <w:r w:rsidR="00061A2D" w:rsidRPr="00B03981">
              <w:t>Expiration date</w:t>
            </w:r>
          </w:p>
        </w:tc>
      </w:tr>
      <w:tr w:rsidR="00061A2D" w:rsidRPr="000540E1" w14:paraId="62165481" w14:textId="77777777" w:rsidTr="008D0C3F">
        <w:trPr>
          <w:cantSplit/>
        </w:trPr>
        <w:tc>
          <w:tcPr>
            <w:tcW w:w="1666" w:type="pct"/>
          </w:tcPr>
          <w:p w14:paraId="7002C155" w14:textId="77777777" w:rsidR="00061A2D" w:rsidRPr="00F76596" w:rsidRDefault="00061A2D" w:rsidP="008D0C3F">
            <w:pPr>
              <w:pStyle w:val="tbltext"/>
            </w:pPr>
            <w:r w:rsidRPr="00F76596">
              <w:t>Option premium</w:t>
            </w:r>
          </w:p>
        </w:tc>
        <w:tc>
          <w:tcPr>
            <w:tcW w:w="1666" w:type="pct"/>
          </w:tcPr>
          <w:p w14:paraId="34BFC973" w14:textId="77777777" w:rsidR="00061A2D" w:rsidRPr="000540E1" w:rsidRDefault="00061A2D" w:rsidP="008D0C3F">
            <w:pPr>
              <w:pStyle w:val="tbltext"/>
            </w:pPr>
            <w:r>
              <w:t>Option premium amount</w:t>
            </w:r>
          </w:p>
        </w:tc>
        <w:tc>
          <w:tcPr>
            <w:tcW w:w="1667" w:type="pct"/>
          </w:tcPr>
          <w:p w14:paraId="3CA00616" w14:textId="77777777" w:rsidR="00061A2D" w:rsidRPr="000540E1" w:rsidRDefault="00061A2D" w:rsidP="008D0C3F">
            <w:pPr>
              <w:pStyle w:val="tbltext"/>
            </w:pPr>
            <w:r>
              <w:t>Option premium amount</w:t>
            </w:r>
          </w:p>
        </w:tc>
      </w:tr>
      <w:tr w:rsidR="00061A2D" w:rsidRPr="000540E1" w14:paraId="491104EA" w14:textId="77777777" w:rsidTr="008D0C3F">
        <w:trPr>
          <w:cantSplit/>
        </w:trPr>
        <w:tc>
          <w:tcPr>
            <w:tcW w:w="1666" w:type="pct"/>
          </w:tcPr>
          <w:p w14:paraId="0DB4C2E4" w14:textId="77777777" w:rsidR="00061A2D" w:rsidRPr="00F76596" w:rsidRDefault="00061A2D" w:rsidP="008D0C3F">
            <w:pPr>
              <w:pStyle w:val="tbltext"/>
            </w:pPr>
            <w:r w:rsidRPr="00F76596">
              <w:t>Option premium currency</w:t>
            </w:r>
          </w:p>
        </w:tc>
        <w:tc>
          <w:tcPr>
            <w:tcW w:w="1666" w:type="pct"/>
          </w:tcPr>
          <w:p w14:paraId="6AA55920" w14:textId="77777777" w:rsidR="00061A2D" w:rsidRPr="000540E1" w:rsidRDefault="00061A2D" w:rsidP="008D0C3F">
            <w:pPr>
              <w:pStyle w:val="tbltext"/>
            </w:pPr>
            <w:r w:rsidRPr="00F76596">
              <w:t>Option premium currency</w:t>
            </w:r>
          </w:p>
        </w:tc>
        <w:tc>
          <w:tcPr>
            <w:tcW w:w="1667" w:type="pct"/>
          </w:tcPr>
          <w:p w14:paraId="64591895" w14:textId="77777777" w:rsidR="00061A2D" w:rsidRPr="000540E1" w:rsidRDefault="00061A2D" w:rsidP="008D0C3F">
            <w:pPr>
              <w:pStyle w:val="tbltext"/>
            </w:pPr>
            <w:r w:rsidRPr="00202C30">
              <w:t>Option premium currency</w:t>
            </w:r>
          </w:p>
        </w:tc>
      </w:tr>
      <w:tr w:rsidR="00061A2D" w:rsidRPr="000540E1" w14:paraId="40224990" w14:textId="77777777" w:rsidTr="008D0C3F">
        <w:trPr>
          <w:cantSplit/>
        </w:trPr>
        <w:tc>
          <w:tcPr>
            <w:tcW w:w="1666" w:type="pct"/>
          </w:tcPr>
          <w:p w14:paraId="2CF6575B" w14:textId="06AD819D" w:rsidR="00061A2D" w:rsidRPr="00F76596" w:rsidRDefault="00A31561" w:rsidP="008D0C3F">
            <w:pPr>
              <w:pStyle w:val="tbltext"/>
            </w:pPr>
            <w:r>
              <w:t>Not applicable</w:t>
            </w:r>
          </w:p>
        </w:tc>
        <w:tc>
          <w:tcPr>
            <w:tcW w:w="1666" w:type="pct"/>
          </w:tcPr>
          <w:p w14:paraId="01820971" w14:textId="49522260" w:rsidR="00061A2D" w:rsidRDefault="00A31561" w:rsidP="008D0C3F">
            <w:pPr>
              <w:pStyle w:val="tbltext"/>
            </w:pPr>
            <w:r>
              <w:t>Not applicable</w:t>
            </w:r>
          </w:p>
        </w:tc>
        <w:tc>
          <w:tcPr>
            <w:tcW w:w="1667" w:type="pct"/>
          </w:tcPr>
          <w:p w14:paraId="74B0DD2F" w14:textId="77777777" w:rsidR="00061A2D" w:rsidRPr="000540E1" w:rsidRDefault="00061A2D" w:rsidP="008D0C3F">
            <w:pPr>
              <w:pStyle w:val="tbltext"/>
            </w:pPr>
            <w:r w:rsidRPr="00E51A7B">
              <w:t>Option premium payment date</w:t>
            </w:r>
          </w:p>
        </w:tc>
      </w:tr>
      <w:tr w:rsidR="00061A2D" w:rsidRPr="00B57B1F" w14:paraId="68B39F1F" w14:textId="77777777" w:rsidTr="008D0C3F">
        <w:trPr>
          <w:cantSplit/>
        </w:trPr>
        <w:tc>
          <w:tcPr>
            <w:tcW w:w="1666" w:type="pct"/>
          </w:tcPr>
          <w:p w14:paraId="7E6CF77E" w14:textId="77777777" w:rsidR="00061A2D" w:rsidRPr="00B57B1F" w:rsidRDefault="00061A2D" w:rsidP="008D0C3F">
            <w:pPr>
              <w:pStyle w:val="tbltext"/>
            </w:pPr>
            <w:r w:rsidRPr="00B57B1F">
              <w:t>Option style</w:t>
            </w:r>
          </w:p>
        </w:tc>
        <w:tc>
          <w:tcPr>
            <w:tcW w:w="1666" w:type="pct"/>
          </w:tcPr>
          <w:p w14:paraId="355FA957" w14:textId="77777777" w:rsidR="00061A2D" w:rsidRPr="00B57B1F" w:rsidRDefault="00061A2D" w:rsidP="008D0C3F">
            <w:pPr>
              <w:pStyle w:val="tbltext"/>
            </w:pPr>
            <w:r>
              <w:t>Option style</w:t>
            </w:r>
          </w:p>
        </w:tc>
        <w:tc>
          <w:tcPr>
            <w:tcW w:w="1667" w:type="pct"/>
          </w:tcPr>
          <w:p w14:paraId="31F03F28" w14:textId="1243B3E1" w:rsidR="00061A2D" w:rsidRPr="00B57B1F" w:rsidRDefault="00A31561" w:rsidP="008D0C3F">
            <w:pPr>
              <w:pStyle w:val="tbltext"/>
            </w:pPr>
            <w:r>
              <w:t>Not applicable</w:t>
            </w:r>
            <w:r w:rsidRPr="009C6F38">
              <w:t>—</w:t>
            </w:r>
            <w:r w:rsidR="00061A2D">
              <w:t>in UPI</w:t>
            </w:r>
          </w:p>
        </w:tc>
      </w:tr>
      <w:tr w:rsidR="00061A2D" w:rsidRPr="000540E1" w14:paraId="2BF65639" w14:textId="77777777" w:rsidTr="008D0C3F">
        <w:trPr>
          <w:cantSplit/>
        </w:trPr>
        <w:tc>
          <w:tcPr>
            <w:tcW w:w="1666" w:type="pct"/>
          </w:tcPr>
          <w:p w14:paraId="4DEC4DF0" w14:textId="77777777" w:rsidR="00061A2D" w:rsidRPr="00F76596" w:rsidRDefault="00061A2D" w:rsidP="008D0C3F">
            <w:pPr>
              <w:pStyle w:val="tbltext"/>
            </w:pPr>
            <w:r w:rsidRPr="00F76596">
              <w:t>Strike price (cap/floor rate)</w:t>
            </w:r>
          </w:p>
        </w:tc>
        <w:tc>
          <w:tcPr>
            <w:tcW w:w="1666" w:type="pct"/>
          </w:tcPr>
          <w:p w14:paraId="7D76DCAE" w14:textId="77777777" w:rsidR="00061A2D" w:rsidRPr="000540E1" w:rsidRDefault="00061A2D" w:rsidP="008D0C3F">
            <w:pPr>
              <w:pStyle w:val="tbltext"/>
            </w:pPr>
            <w:r w:rsidRPr="00F76596">
              <w:t>Strike price</w:t>
            </w:r>
          </w:p>
        </w:tc>
        <w:tc>
          <w:tcPr>
            <w:tcW w:w="1667" w:type="pct"/>
          </w:tcPr>
          <w:p w14:paraId="53FD0003" w14:textId="77777777" w:rsidR="00061A2D" w:rsidRPr="000540E1" w:rsidRDefault="00061A2D" w:rsidP="008D0C3F">
            <w:pPr>
              <w:pStyle w:val="tbltext"/>
            </w:pPr>
            <w:r>
              <w:t>Strike price</w:t>
            </w:r>
          </w:p>
        </w:tc>
      </w:tr>
      <w:tr w:rsidR="00061A2D" w:rsidRPr="000540E1" w14:paraId="3A2C5DBD" w14:textId="77777777" w:rsidTr="008D0C3F">
        <w:trPr>
          <w:cantSplit/>
        </w:trPr>
        <w:tc>
          <w:tcPr>
            <w:tcW w:w="1666" w:type="pct"/>
          </w:tcPr>
          <w:p w14:paraId="24568819" w14:textId="4A5876B6" w:rsidR="00061A2D" w:rsidRPr="00F76596" w:rsidRDefault="00A31561" w:rsidP="008D0C3F">
            <w:pPr>
              <w:pStyle w:val="tbltext"/>
            </w:pPr>
            <w:r>
              <w:t>Not applicable</w:t>
            </w:r>
          </w:p>
        </w:tc>
        <w:tc>
          <w:tcPr>
            <w:tcW w:w="1666" w:type="pct"/>
          </w:tcPr>
          <w:p w14:paraId="26AFF42F" w14:textId="3ECEF1E5" w:rsidR="00061A2D" w:rsidRDefault="00A31561" w:rsidP="008D0C3F">
            <w:pPr>
              <w:pStyle w:val="tbltext"/>
            </w:pPr>
            <w:r>
              <w:t>Not applicable</w:t>
            </w:r>
          </w:p>
        </w:tc>
        <w:tc>
          <w:tcPr>
            <w:tcW w:w="1667" w:type="pct"/>
          </w:tcPr>
          <w:p w14:paraId="47378564" w14:textId="77777777" w:rsidR="00061A2D" w:rsidRDefault="00061A2D" w:rsidP="008D0C3F">
            <w:pPr>
              <w:pStyle w:val="tbltext"/>
              <w:ind w:left="170" w:hanging="170"/>
            </w:pPr>
            <w:r w:rsidRPr="00D36BA6">
              <w:t>Strike price currency/currency pair</w:t>
            </w:r>
          </w:p>
          <w:p w14:paraId="380530C2" w14:textId="77777777" w:rsidR="00061A2D" w:rsidRPr="000540E1" w:rsidRDefault="00061A2D" w:rsidP="008D0C3F">
            <w:pPr>
              <w:pStyle w:val="tbltext"/>
              <w:ind w:left="170" w:hanging="170"/>
            </w:pPr>
            <w:r>
              <w:t>Strike price notation</w:t>
            </w:r>
          </w:p>
        </w:tc>
      </w:tr>
      <w:tr w:rsidR="00061A2D" w:rsidRPr="000540E1" w14:paraId="40403FD7" w14:textId="77777777" w:rsidTr="008D0C3F">
        <w:trPr>
          <w:cantSplit/>
        </w:trPr>
        <w:tc>
          <w:tcPr>
            <w:tcW w:w="1666" w:type="pct"/>
          </w:tcPr>
          <w:p w14:paraId="5314FEA4" w14:textId="77777777" w:rsidR="00061A2D" w:rsidRPr="00F76596" w:rsidRDefault="00061A2D" w:rsidP="008D0C3F">
            <w:pPr>
              <w:pStyle w:val="tbltext"/>
            </w:pPr>
            <w:r w:rsidRPr="00F76596">
              <w:t>Barrier type</w:t>
            </w:r>
          </w:p>
        </w:tc>
        <w:tc>
          <w:tcPr>
            <w:tcW w:w="1666" w:type="pct"/>
          </w:tcPr>
          <w:p w14:paraId="6779B164" w14:textId="2422A680" w:rsidR="00061A2D" w:rsidRPr="000540E1" w:rsidRDefault="00A31561" w:rsidP="008D0C3F">
            <w:pPr>
              <w:pStyle w:val="tbltext"/>
            </w:pPr>
            <w:r>
              <w:t>Not applicable</w:t>
            </w:r>
          </w:p>
        </w:tc>
        <w:tc>
          <w:tcPr>
            <w:tcW w:w="1667" w:type="pct"/>
          </w:tcPr>
          <w:p w14:paraId="42974509" w14:textId="605A3AD7" w:rsidR="00061A2D" w:rsidRPr="000540E1" w:rsidRDefault="00A31561" w:rsidP="008D0C3F">
            <w:pPr>
              <w:pStyle w:val="tbltext"/>
            </w:pPr>
            <w:r>
              <w:t>Not applicable</w:t>
            </w:r>
          </w:p>
        </w:tc>
      </w:tr>
      <w:tr w:rsidR="00061A2D" w:rsidRPr="000540E1" w14:paraId="27E33987" w14:textId="77777777" w:rsidTr="008D0C3F">
        <w:trPr>
          <w:cantSplit/>
        </w:trPr>
        <w:tc>
          <w:tcPr>
            <w:tcW w:w="1666" w:type="pct"/>
          </w:tcPr>
          <w:p w14:paraId="7BDDDF36" w14:textId="77777777" w:rsidR="00061A2D" w:rsidRPr="00F76596" w:rsidRDefault="00061A2D" w:rsidP="008D0C3F">
            <w:pPr>
              <w:pStyle w:val="tbltext"/>
            </w:pPr>
            <w:r w:rsidRPr="00F76596">
              <w:t>Barrier value</w:t>
            </w:r>
          </w:p>
        </w:tc>
        <w:tc>
          <w:tcPr>
            <w:tcW w:w="1666" w:type="pct"/>
          </w:tcPr>
          <w:p w14:paraId="09C91F18" w14:textId="009028BE" w:rsidR="00061A2D" w:rsidRPr="000540E1" w:rsidRDefault="00A31561" w:rsidP="008D0C3F">
            <w:pPr>
              <w:pStyle w:val="tbltext"/>
            </w:pPr>
            <w:r>
              <w:t>Not applicable</w:t>
            </w:r>
          </w:p>
        </w:tc>
        <w:tc>
          <w:tcPr>
            <w:tcW w:w="1667" w:type="pct"/>
          </w:tcPr>
          <w:p w14:paraId="03BA9498" w14:textId="3577C44F" w:rsidR="00061A2D" w:rsidRPr="000540E1" w:rsidRDefault="00A31561" w:rsidP="008D0C3F">
            <w:pPr>
              <w:pStyle w:val="tbltext"/>
            </w:pPr>
            <w:r>
              <w:t>Not applicable</w:t>
            </w:r>
          </w:p>
        </w:tc>
      </w:tr>
      <w:tr w:rsidR="00061A2D" w:rsidRPr="000540E1" w14:paraId="34FA0FA2" w14:textId="77777777" w:rsidTr="008D0C3F">
        <w:trPr>
          <w:cantSplit/>
        </w:trPr>
        <w:tc>
          <w:tcPr>
            <w:tcW w:w="1666" w:type="pct"/>
            <w:shd w:val="clear" w:color="auto" w:fill="auto"/>
          </w:tcPr>
          <w:p w14:paraId="5322AD42" w14:textId="3B9AD518" w:rsidR="00061A2D" w:rsidRPr="000540E1" w:rsidRDefault="00A31561" w:rsidP="008D0C3F">
            <w:pPr>
              <w:pStyle w:val="tbltext"/>
            </w:pPr>
            <w:r w:rsidRPr="009C6F38">
              <w:rPr>
                <w:color w:val="FFFFFF" w:themeColor="background1"/>
              </w:rPr>
              <w:t>Blank cell</w:t>
            </w:r>
          </w:p>
        </w:tc>
        <w:tc>
          <w:tcPr>
            <w:tcW w:w="1666" w:type="pct"/>
            <w:shd w:val="clear" w:color="auto" w:fill="D9D9D9" w:themeFill="background1" w:themeFillShade="D9"/>
          </w:tcPr>
          <w:p w14:paraId="745DA62C" w14:textId="4EB2E8E2" w:rsidR="00061A2D" w:rsidRPr="000540E1" w:rsidRDefault="00061A2D" w:rsidP="008D0C3F">
            <w:pPr>
              <w:pStyle w:val="tbltext"/>
            </w:pPr>
            <w:r>
              <w:t xml:space="preserve">Table S1.1(3) </w:t>
            </w:r>
            <w:r w:rsidRPr="007724EE">
              <w:t>Equity derivative and credit derivative data</w:t>
            </w:r>
          </w:p>
        </w:tc>
        <w:tc>
          <w:tcPr>
            <w:tcW w:w="1667" w:type="pct"/>
            <w:shd w:val="clear" w:color="auto" w:fill="auto"/>
          </w:tcPr>
          <w:p w14:paraId="47BCE716" w14:textId="74B9A96D" w:rsidR="00061A2D" w:rsidRPr="000540E1" w:rsidRDefault="00A31561" w:rsidP="008D0C3F">
            <w:pPr>
              <w:pStyle w:val="tbltext"/>
            </w:pPr>
            <w:r w:rsidRPr="009C6F38">
              <w:rPr>
                <w:color w:val="FFFFFF" w:themeColor="background1"/>
              </w:rPr>
              <w:t>Blank cell</w:t>
            </w:r>
          </w:p>
        </w:tc>
      </w:tr>
      <w:tr w:rsidR="00061A2D" w:rsidRPr="000540E1" w14:paraId="10572990" w14:textId="77777777" w:rsidTr="008D0C3F">
        <w:trPr>
          <w:cantSplit/>
        </w:trPr>
        <w:tc>
          <w:tcPr>
            <w:tcW w:w="1666" w:type="pct"/>
          </w:tcPr>
          <w:p w14:paraId="78368F1E" w14:textId="77777777" w:rsidR="00061A2D" w:rsidRPr="00F76596" w:rsidRDefault="00061A2D" w:rsidP="008D0C3F">
            <w:pPr>
              <w:pStyle w:val="tbltext"/>
            </w:pPr>
            <w:r w:rsidRPr="00F76596">
              <w:t>Rate reset frequency</w:t>
            </w:r>
          </w:p>
        </w:tc>
        <w:tc>
          <w:tcPr>
            <w:tcW w:w="1666" w:type="pct"/>
          </w:tcPr>
          <w:p w14:paraId="601D66DC" w14:textId="77777777" w:rsidR="00061A2D" w:rsidRPr="000540E1" w:rsidRDefault="00061A2D" w:rsidP="008D0C3F">
            <w:pPr>
              <w:pStyle w:val="tbltext"/>
            </w:pPr>
            <w:r w:rsidRPr="00F76596">
              <w:t>Rate reset frequency</w:t>
            </w:r>
          </w:p>
        </w:tc>
        <w:tc>
          <w:tcPr>
            <w:tcW w:w="1667" w:type="pct"/>
          </w:tcPr>
          <w:p w14:paraId="62FFF497" w14:textId="409D17C5" w:rsidR="00061A2D" w:rsidRPr="000540E1" w:rsidRDefault="00AF6B4B" w:rsidP="008D0C3F">
            <w:pPr>
              <w:pStyle w:val="tbltext"/>
            </w:pPr>
            <w:r>
              <w:t>Not applicable</w:t>
            </w:r>
          </w:p>
        </w:tc>
      </w:tr>
      <w:tr w:rsidR="00061A2D" w:rsidRPr="000540E1" w14:paraId="252DB844" w14:textId="77777777" w:rsidTr="008D0C3F">
        <w:trPr>
          <w:cantSplit/>
        </w:trPr>
        <w:tc>
          <w:tcPr>
            <w:tcW w:w="1666" w:type="pct"/>
            <w:shd w:val="clear" w:color="auto" w:fill="auto"/>
          </w:tcPr>
          <w:p w14:paraId="7AE23195" w14:textId="0FC9D038" w:rsidR="00061A2D" w:rsidRPr="009C6F38" w:rsidRDefault="00AF6B4B" w:rsidP="008D0C3F">
            <w:pPr>
              <w:pStyle w:val="tbltext"/>
              <w:rPr>
                <w:color w:val="FFFFFF" w:themeColor="background1"/>
              </w:rPr>
            </w:pPr>
            <w:r w:rsidRPr="009C6F38">
              <w:rPr>
                <w:color w:val="FFFFFF" w:themeColor="background1"/>
              </w:rPr>
              <w:t>Blank cell</w:t>
            </w:r>
          </w:p>
        </w:tc>
        <w:tc>
          <w:tcPr>
            <w:tcW w:w="1666" w:type="pct"/>
            <w:shd w:val="clear" w:color="auto" w:fill="D9D9D9" w:themeFill="background1" w:themeFillShade="D9"/>
          </w:tcPr>
          <w:p w14:paraId="52950AC7" w14:textId="65A5A918" w:rsidR="00061A2D" w:rsidRPr="000540E1" w:rsidRDefault="00061A2D" w:rsidP="008D0C3F">
            <w:pPr>
              <w:pStyle w:val="tbltext"/>
            </w:pPr>
            <w:r>
              <w:t>Table S1.1(1) Common data</w:t>
            </w:r>
          </w:p>
        </w:tc>
        <w:tc>
          <w:tcPr>
            <w:tcW w:w="1667" w:type="pct"/>
            <w:shd w:val="clear" w:color="auto" w:fill="auto"/>
          </w:tcPr>
          <w:p w14:paraId="3ACB52A1" w14:textId="72E71525" w:rsidR="00061A2D" w:rsidRPr="009C6F38" w:rsidRDefault="00AF6B4B" w:rsidP="008D0C3F">
            <w:pPr>
              <w:pStyle w:val="tbltext"/>
              <w:rPr>
                <w:color w:val="FFFFFF" w:themeColor="background1"/>
              </w:rPr>
            </w:pPr>
            <w:r w:rsidRPr="009C6F38">
              <w:rPr>
                <w:color w:val="FFFFFF" w:themeColor="background1"/>
              </w:rPr>
              <w:t>Blank cell</w:t>
            </w:r>
          </w:p>
        </w:tc>
      </w:tr>
      <w:tr w:rsidR="00061A2D" w:rsidRPr="000540E1" w14:paraId="4E07F0DE" w14:textId="77777777" w:rsidTr="008D0C3F">
        <w:trPr>
          <w:cantSplit/>
        </w:trPr>
        <w:tc>
          <w:tcPr>
            <w:tcW w:w="1666" w:type="pct"/>
          </w:tcPr>
          <w:p w14:paraId="6602D102" w14:textId="77777777" w:rsidR="00061A2D" w:rsidRPr="00F76596" w:rsidRDefault="00061A2D" w:rsidP="008D0C3F">
            <w:pPr>
              <w:pStyle w:val="tbltext"/>
            </w:pPr>
            <w:r w:rsidRPr="00F76596">
              <w:t>Hedging transaction</w:t>
            </w:r>
          </w:p>
        </w:tc>
        <w:tc>
          <w:tcPr>
            <w:tcW w:w="1666" w:type="pct"/>
          </w:tcPr>
          <w:p w14:paraId="15191E6F" w14:textId="1F54F754" w:rsidR="00061A2D" w:rsidRPr="000540E1" w:rsidRDefault="00AF6B4B" w:rsidP="008D0C3F">
            <w:pPr>
              <w:pStyle w:val="tbltext"/>
            </w:pPr>
            <w:r>
              <w:t>Not applicable</w:t>
            </w:r>
          </w:p>
        </w:tc>
        <w:tc>
          <w:tcPr>
            <w:tcW w:w="1667" w:type="pct"/>
          </w:tcPr>
          <w:p w14:paraId="7FB14098" w14:textId="19A123CA" w:rsidR="00061A2D" w:rsidRPr="000540E1" w:rsidRDefault="00AF6B4B" w:rsidP="008D0C3F">
            <w:pPr>
              <w:pStyle w:val="tbltext"/>
            </w:pPr>
            <w:r>
              <w:t>Not applicable</w:t>
            </w:r>
          </w:p>
        </w:tc>
      </w:tr>
      <w:tr w:rsidR="00061A2D" w:rsidRPr="000540E1" w14:paraId="0EDA3836" w14:textId="77777777" w:rsidTr="008D0C3F">
        <w:trPr>
          <w:cantSplit/>
        </w:trPr>
        <w:tc>
          <w:tcPr>
            <w:tcW w:w="1666" w:type="pct"/>
          </w:tcPr>
          <w:p w14:paraId="21B052FC" w14:textId="77777777" w:rsidR="00061A2D" w:rsidRPr="00F76596" w:rsidRDefault="00061A2D" w:rsidP="008D0C3F">
            <w:pPr>
              <w:pStyle w:val="tbltext"/>
            </w:pPr>
            <w:r w:rsidRPr="00F76596">
              <w:t>Action type</w:t>
            </w:r>
          </w:p>
        </w:tc>
        <w:tc>
          <w:tcPr>
            <w:tcW w:w="1666" w:type="pct"/>
          </w:tcPr>
          <w:p w14:paraId="046C5B54" w14:textId="77777777" w:rsidR="00061A2D" w:rsidRPr="000540E1" w:rsidRDefault="00061A2D" w:rsidP="008D0C3F">
            <w:pPr>
              <w:pStyle w:val="tbltext"/>
            </w:pPr>
            <w:r w:rsidRPr="00F76596">
              <w:t>Action type</w:t>
            </w:r>
          </w:p>
        </w:tc>
        <w:tc>
          <w:tcPr>
            <w:tcW w:w="1667" w:type="pct"/>
          </w:tcPr>
          <w:p w14:paraId="4BF84775" w14:textId="77777777" w:rsidR="00061A2D" w:rsidRPr="000540E1" w:rsidRDefault="00061A2D" w:rsidP="008D0C3F">
            <w:pPr>
              <w:pStyle w:val="tbltext"/>
            </w:pPr>
            <w:r w:rsidRPr="00F76596">
              <w:t>Action type</w:t>
            </w:r>
          </w:p>
        </w:tc>
      </w:tr>
      <w:tr w:rsidR="00061A2D" w:rsidRPr="000540E1" w14:paraId="60CBB80B" w14:textId="77777777" w:rsidTr="008D0C3F">
        <w:trPr>
          <w:cantSplit/>
        </w:trPr>
        <w:tc>
          <w:tcPr>
            <w:tcW w:w="1666" w:type="pct"/>
          </w:tcPr>
          <w:p w14:paraId="64AB27E3" w14:textId="55E6C0CB" w:rsidR="00061A2D" w:rsidRPr="00F76596" w:rsidRDefault="00AF6B4B" w:rsidP="008D0C3F">
            <w:pPr>
              <w:pStyle w:val="tbltext"/>
              <w:ind w:left="284" w:hanging="284"/>
            </w:pPr>
            <w:r>
              <w:t>Not applicable</w:t>
            </w:r>
          </w:p>
        </w:tc>
        <w:tc>
          <w:tcPr>
            <w:tcW w:w="1666" w:type="pct"/>
          </w:tcPr>
          <w:p w14:paraId="1526191E" w14:textId="107EFF5F" w:rsidR="00061A2D" w:rsidRPr="00F76596" w:rsidRDefault="00AF6B4B" w:rsidP="008D0C3F">
            <w:pPr>
              <w:pStyle w:val="tbltext"/>
              <w:ind w:left="284" w:hanging="284"/>
            </w:pPr>
            <w:r>
              <w:t>Not applicable</w:t>
            </w:r>
          </w:p>
        </w:tc>
        <w:tc>
          <w:tcPr>
            <w:tcW w:w="1667" w:type="pct"/>
          </w:tcPr>
          <w:p w14:paraId="719E4BB8" w14:textId="77777777" w:rsidR="00061A2D" w:rsidRPr="000540E1" w:rsidRDefault="00061A2D" w:rsidP="008D0C3F">
            <w:pPr>
              <w:pStyle w:val="tbltext"/>
            </w:pPr>
            <w:r w:rsidRPr="00FA37D3">
              <w:rPr>
                <w:color w:val="000000" w:themeColor="text1"/>
              </w:rPr>
              <w:t>Event type</w:t>
            </w:r>
          </w:p>
        </w:tc>
      </w:tr>
      <w:tr w:rsidR="00061A2D" w:rsidRPr="000540E1" w14:paraId="13B9C876" w14:textId="77777777" w:rsidTr="008D0C3F">
        <w:trPr>
          <w:cantSplit/>
        </w:trPr>
        <w:tc>
          <w:tcPr>
            <w:tcW w:w="1666" w:type="pct"/>
            <w:shd w:val="clear" w:color="auto" w:fill="D9D9D9" w:themeFill="background1" w:themeFillShade="D9"/>
          </w:tcPr>
          <w:p w14:paraId="026074E9" w14:textId="731787E5" w:rsidR="00061A2D" w:rsidRPr="000540E1" w:rsidRDefault="00061A2D" w:rsidP="008D0C3F">
            <w:pPr>
              <w:pStyle w:val="tbltext"/>
            </w:pPr>
            <w:r>
              <w:t>Table S2.1(2) Commodity derivative data</w:t>
            </w:r>
          </w:p>
        </w:tc>
        <w:tc>
          <w:tcPr>
            <w:tcW w:w="1666" w:type="pct"/>
            <w:shd w:val="clear" w:color="auto" w:fill="D9D9D9" w:themeFill="background1" w:themeFillShade="D9"/>
          </w:tcPr>
          <w:p w14:paraId="4971CC3C" w14:textId="68C558B8" w:rsidR="00061A2D" w:rsidRPr="000540E1" w:rsidRDefault="00061A2D" w:rsidP="008D0C3F">
            <w:pPr>
              <w:pStyle w:val="tbltext"/>
            </w:pPr>
            <w:r>
              <w:t>Table S2.1(2) Commodity derivative data</w:t>
            </w:r>
          </w:p>
        </w:tc>
        <w:tc>
          <w:tcPr>
            <w:tcW w:w="1667" w:type="pct"/>
            <w:shd w:val="clear" w:color="auto" w:fill="auto"/>
          </w:tcPr>
          <w:p w14:paraId="2DB4FF7A" w14:textId="07CF9210" w:rsidR="00061A2D" w:rsidRPr="009C6F38" w:rsidRDefault="00AF6B4B" w:rsidP="008D0C3F">
            <w:pPr>
              <w:pStyle w:val="tbltext"/>
              <w:rPr>
                <w:color w:val="FFFFFF" w:themeColor="background1"/>
              </w:rPr>
            </w:pPr>
            <w:r w:rsidRPr="009C6F38">
              <w:rPr>
                <w:color w:val="FFFFFF" w:themeColor="background1"/>
              </w:rPr>
              <w:t>Blank cell</w:t>
            </w:r>
          </w:p>
        </w:tc>
      </w:tr>
      <w:tr w:rsidR="00061A2D" w:rsidRPr="000540E1" w14:paraId="2E96C868" w14:textId="77777777" w:rsidTr="008D0C3F">
        <w:trPr>
          <w:cantSplit/>
        </w:trPr>
        <w:tc>
          <w:tcPr>
            <w:tcW w:w="1666" w:type="pct"/>
          </w:tcPr>
          <w:p w14:paraId="594C01E0" w14:textId="77777777" w:rsidR="00061A2D" w:rsidRPr="00A261A9" w:rsidRDefault="00061A2D" w:rsidP="008D0C3F">
            <w:pPr>
              <w:pStyle w:val="tbltext"/>
              <w:ind w:left="284" w:hanging="284"/>
            </w:pPr>
            <w:r w:rsidRPr="00F76596">
              <w:t>Notional amount</w:t>
            </w:r>
          </w:p>
        </w:tc>
        <w:tc>
          <w:tcPr>
            <w:tcW w:w="1666" w:type="pct"/>
          </w:tcPr>
          <w:p w14:paraId="53F0D241" w14:textId="77777777" w:rsidR="00061A2D" w:rsidRPr="000540E1" w:rsidRDefault="00061A2D" w:rsidP="008D0C3F">
            <w:pPr>
              <w:pStyle w:val="tbltext"/>
              <w:ind w:left="284" w:hanging="284"/>
            </w:pPr>
            <w:r w:rsidRPr="00470166">
              <w:t>Notional amount—Leg 1</w:t>
            </w:r>
          </w:p>
        </w:tc>
        <w:tc>
          <w:tcPr>
            <w:tcW w:w="1667" w:type="pct"/>
          </w:tcPr>
          <w:p w14:paraId="58BEE652" w14:textId="77777777" w:rsidR="00061A2D" w:rsidRPr="000540E1" w:rsidRDefault="00061A2D" w:rsidP="008D0C3F">
            <w:pPr>
              <w:pStyle w:val="tbltext"/>
            </w:pPr>
            <w:r w:rsidRPr="00B95D2B">
              <w:rPr>
                <w:color w:val="000000" w:themeColor="text1"/>
              </w:rPr>
              <w:t>Notional amount—Leg 1</w:t>
            </w:r>
          </w:p>
        </w:tc>
      </w:tr>
      <w:tr w:rsidR="00061A2D" w:rsidRPr="000540E1" w14:paraId="4672DA50" w14:textId="77777777" w:rsidTr="008D0C3F">
        <w:trPr>
          <w:cantSplit/>
        </w:trPr>
        <w:tc>
          <w:tcPr>
            <w:tcW w:w="1666" w:type="pct"/>
          </w:tcPr>
          <w:p w14:paraId="699317D8" w14:textId="75E986D9" w:rsidR="00061A2D" w:rsidRPr="00F76596" w:rsidRDefault="00AF6B4B" w:rsidP="008D0C3F">
            <w:pPr>
              <w:pStyle w:val="tbltext"/>
              <w:ind w:left="284" w:hanging="284"/>
            </w:pPr>
            <w:r>
              <w:t>Not applicable</w:t>
            </w:r>
          </w:p>
        </w:tc>
        <w:tc>
          <w:tcPr>
            <w:tcW w:w="1666" w:type="pct"/>
          </w:tcPr>
          <w:p w14:paraId="4B06A00C" w14:textId="1AE72447" w:rsidR="00061A2D" w:rsidRPr="00F76596" w:rsidRDefault="00AF6B4B" w:rsidP="008D0C3F">
            <w:pPr>
              <w:pStyle w:val="tbltext"/>
              <w:ind w:left="284" w:hanging="284"/>
            </w:pPr>
            <w:r>
              <w:t>Not applicable</w:t>
            </w:r>
          </w:p>
        </w:tc>
        <w:tc>
          <w:tcPr>
            <w:tcW w:w="1667" w:type="pct"/>
          </w:tcPr>
          <w:p w14:paraId="5836B962" w14:textId="77777777" w:rsidR="00061A2D" w:rsidRPr="000540E1" w:rsidRDefault="00061A2D" w:rsidP="008D0C3F">
            <w:pPr>
              <w:pStyle w:val="tbltext"/>
            </w:pPr>
            <w:r w:rsidRPr="00B95D2B">
              <w:rPr>
                <w:color w:val="000000" w:themeColor="text1"/>
              </w:rPr>
              <w:t xml:space="preserve">Notional amount—Leg </w:t>
            </w:r>
            <w:r>
              <w:rPr>
                <w:color w:val="000000" w:themeColor="text1"/>
              </w:rPr>
              <w:t>2</w:t>
            </w:r>
          </w:p>
        </w:tc>
      </w:tr>
      <w:tr w:rsidR="00061A2D" w:rsidRPr="000540E1" w14:paraId="0EFA3539" w14:textId="77777777" w:rsidTr="008D0C3F">
        <w:trPr>
          <w:cantSplit/>
        </w:trPr>
        <w:tc>
          <w:tcPr>
            <w:tcW w:w="1666" w:type="pct"/>
          </w:tcPr>
          <w:p w14:paraId="3F2E169D" w14:textId="77777777" w:rsidR="00061A2D" w:rsidRPr="00F76596" w:rsidRDefault="00061A2D" w:rsidP="008D0C3F">
            <w:pPr>
              <w:pStyle w:val="tbltext"/>
              <w:ind w:left="284" w:hanging="284"/>
            </w:pPr>
            <w:r w:rsidRPr="00F76596">
              <w:t>Notional currency</w:t>
            </w:r>
          </w:p>
        </w:tc>
        <w:tc>
          <w:tcPr>
            <w:tcW w:w="1666" w:type="pct"/>
          </w:tcPr>
          <w:p w14:paraId="66265FEC" w14:textId="77777777" w:rsidR="00061A2D" w:rsidRPr="000540E1" w:rsidRDefault="00061A2D" w:rsidP="008D0C3F">
            <w:pPr>
              <w:pStyle w:val="tbltext"/>
              <w:ind w:left="284" w:hanging="284"/>
            </w:pPr>
            <w:r w:rsidRPr="00262DA3">
              <w:t>Notional currency—Leg 1</w:t>
            </w:r>
          </w:p>
        </w:tc>
        <w:tc>
          <w:tcPr>
            <w:tcW w:w="1667" w:type="pct"/>
          </w:tcPr>
          <w:p w14:paraId="693AC73C" w14:textId="77777777" w:rsidR="00061A2D" w:rsidRPr="000540E1" w:rsidRDefault="00061A2D" w:rsidP="008D0C3F">
            <w:pPr>
              <w:pStyle w:val="tbltext"/>
              <w:ind w:left="284" w:hanging="284"/>
            </w:pPr>
            <w:r w:rsidRPr="007A28FD">
              <w:rPr>
                <w:color w:val="000000" w:themeColor="text1"/>
              </w:rPr>
              <w:t>Notional currency—Leg 1</w:t>
            </w:r>
          </w:p>
        </w:tc>
      </w:tr>
      <w:tr w:rsidR="00061A2D" w:rsidRPr="000540E1" w14:paraId="582ACE48" w14:textId="77777777" w:rsidTr="008D0C3F">
        <w:trPr>
          <w:cantSplit/>
        </w:trPr>
        <w:tc>
          <w:tcPr>
            <w:tcW w:w="1666" w:type="pct"/>
          </w:tcPr>
          <w:p w14:paraId="2FD878D1" w14:textId="30676B92" w:rsidR="00061A2D" w:rsidRPr="00F76596" w:rsidRDefault="00AF6B4B" w:rsidP="008D0C3F">
            <w:pPr>
              <w:pStyle w:val="tbltext"/>
              <w:ind w:left="284" w:hanging="284"/>
            </w:pPr>
            <w:r>
              <w:t>Not applicable</w:t>
            </w:r>
          </w:p>
        </w:tc>
        <w:tc>
          <w:tcPr>
            <w:tcW w:w="1666" w:type="pct"/>
          </w:tcPr>
          <w:p w14:paraId="1E9FAABE" w14:textId="0A968739" w:rsidR="00061A2D" w:rsidRPr="00F76596" w:rsidRDefault="00AF6B4B" w:rsidP="008D0C3F">
            <w:pPr>
              <w:pStyle w:val="tbltext"/>
              <w:ind w:left="284" w:hanging="284"/>
            </w:pPr>
            <w:r>
              <w:t>Not applicable</w:t>
            </w:r>
          </w:p>
        </w:tc>
        <w:tc>
          <w:tcPr>
            <w:tcW w:w="1667" w:type="pct"/>
          </w:tcPr>
          <w:p w14:paraId="6E65F311" w14:textId="77777777" w:rsidR="00061A2D" w:rsidRPr="000540E1" w:rsidRDefault="00061A2D" w:rsidP="008D0C3F">
            <w:pPr>
              <w:pStyle w:val="tbltext"/>
            </w:pPr>
            <w:r w:rsidRPr="00B95D2B">
              <w:rPr>
                <w:color w:val="000000" w:themeColor="text1"/>
              </w:rPr>
              <w:t xml:space="preserve">Notional </w:t>
            </w:r>
            <w:r>
              <w:rPr>
                <w:color w:val="000000" w:themeColor="text1"/>
              </w:rPr>
              <w:t>currency</w:t>
            </w:r>
            <w:r w:rsidRPr="00B95D2B">
              <w:rPr>
                <w:color w:val="000000" w:themeColor="text1"/>
              </w:rPr>
              <w:t xml:space="preserve">—Leg </w:t>
            </w:r>
            <w:r>
              <w:rPr>
                <w:color w:val="000000" w:themeColor="text1"/>
              </w:rPr>
              <w:t>2</w:t>
            </w:r>
          </w:p>
        </w:tc>
      </w:tr>
      <w:tr w:rsidR="00061A2D" w:rsidRPr="000540E1" w14:paraId="4B8FC2D1" w14:textId="77777777" w:rsidTr="008D0C3F">
        <w:trPr>
          <w:cantSplit/>
        </w:trPr>
        <w:tc>
          <w:tcPr>
            <w:tcW w:w="1666" w:type="pct"/>
          </w:tcPr>
          <w:p w14:paraId="7D388AC7" w14:textId="77777777" w:rsidR="00061A2D" w:rsidRPr="00F76596" w:rsidRDefault="00061A2D" w:rsidP="008D0C3F">
            <w:pPr>
              <w:pStyle w:val="tbltext"/>
              <w:ind w:left="284" w:hanging="284"/>
            </w:pPr>
            <w:r w:rsidRPr="00F76596">
              <w:t>Grade</w:t>
            </w:r>
          </w:p>
        </w:tc>
        <w:tc>
          <w:tcPr>
            <w:tcW w:w="1666" w:type="pct"/>
          </w:tcPr>
          <w:p w14:paraId="7D30E056" w14:textId="4BCE5E9D" w:rsidR="00061A2D" w:rsidRPr="000540E1" w:rsidRDefault="00AF6B4B" w:rsidP="008D0C3F">
            <w:pPr>
              <w:pStyle w:val="tbltext"/>
              <w:ind w:left="284" w:hanging="284"/>
            </w:pPr>
            <w:r>
              <w:t>Not applicable</w:t>
            </w:r>
          </w:p>
        </w:tc>
        <w:tc>
          <w:tcPr>
            <w:tcW w:w="1667" w:type="pct"/>
          </w:tcPr>
          <w:p w14:paraId="571B40BF" w14:textId="47107CC2" w:rsidR="00061A2D" w:rsidRPr="000540E1" w:rsidRDefault="00AF6B4B" w:rsidP="008D0C3F">
            <w:pPr>
              <w:pStyle w:val="tbltext"/>
              <w:ind w:left="284" w:hanging="284"/>
            </w:pPr>
            <w:r>
              <w:t>Not applicable</w:t>
            </w:r>
          </w:p>
        </w:tc>
      </w:tr>
      <w:tr w:rsidR="00061A2D" w:rsidRPr="000540E1" w14:paraId="28DC8C48" w14:textId="77777777" w:rsidTr="008D0C3F">
        <w:trPr>
          <w:cantSplit/>
        </w:trPr>
        <w:tc>
          <w:tcPr>
            <w:tcW w:w="1666" w:type="pct"/>
          </w:tcPr>
          <w:p w14:paraId="6531A730" w14:textId="77777777" w:rsidR="00061A2D" w:rsidRPr="00F76596" w:rsidRDefault="00061A2D" w:rsidP="008D0C3F">
            <w:pPr>
              <w:pStyle w:val="tbltext"/>
              <w:ind w:left="284" w:hanging="284"/>
            </w:pPr>
            <w:r w:rsidRPr="00F76596">
              <w:t>Amount of upfront payment, if any</w:t>
            </w:r>
          </w:p>
        </w:tc>
        <w:tc>
          <w:tcPr>
            <w:tcW w:w="1666" w:type="pct"/>
          </w:tcPr>
          <w:p w14:paraId="3CE7BF6B" w14:textId="77777777" w:rsidR="00061A2D" w:rsidRPr="000540E1" w:rsidRDefault="00061A2D" w:rsidP="008D0C3F">
            <w:pPr>
              <w:pStyle w:val="tbltext"/>
              <w:ind w:left="170" w:hanging="170"/>
            </w:pPr>
            <w:r w:rsidRPr="00262DA3">
              <w:t>Other payment amount</w:t>
            </w:r>
            <w:r>
              <w:br/>
              <w:t>upfront payments only</w:t>
            </w:r>
          </w:p>
        </w:tc>
        <w:tc>
          <w:tcPr>
            <w:tcW w:w="1667" w:type="pct"/>
          </w:tcPr>
          <w:p w14:paraId="21A743B0" w14:textId="77777777" w:rsidR="00061A2D" w:rsidRPr="000540E1" w:rsidRDefault="00061A2D" w:rsidP="008D0C3F">
            <w:pPr>
              <w:pStyle w:val="tbltext"/>
              <w:ind w:left="170" w:hanging="170"/>
            </w:pPr>
            <w:r w:rsidRPr="00FA37D3">
              <w:rPr>
                <w:color w:val="000000" w:themeColor="text1"/>
              </w:rPr>
              <w:t>Other payment amount</w:t>
            </w:r>
            <w:r>
              <w:rPr>
                <w:color w:val="000000" w:themeColor="text1"/>
              </w:rPr>
              <w:br/>
            </w:r>
            <w:r>
              <w:t>upfront &amp; unwind payments</w:t>
            </w:r>
          </w:p>
        </w:tc>
      </w:tr>
      <w:tr w:rsidR="00061A2D" w:rsidRPr="000540E1" w14:paraId="222A72DA" w14:textId="77777777" w:rsidTr="008D0C3F">
        <w:trPr>
          <w:cantSplit/>
        </w:trPr>
        <w:tc>
          <w:tcPr>
            <w:tcW w:w="1666" w:type="pct"/>
          </w:tcPr>
          <w:p w14:paraId="2FFE7BBA" w14:textId="77777777" w:rsidR="00061A2D" w:rsidRPr="00F76596" w:rsidRDefault="00061A2D" w:rsidP="008D0C3F">
            <w:pPr>
              <w:pStyle w:val="tbltext"/>
              <w:ind w:left="284" w:hanging="284"/>
            </w:pPr>
            <w:r w:rsidRPr="00F76596">
              <w:t>Payment frequency</w:t>
            </w:r>
          </w:p>
        </w:tc>
        <w:tc>
          <w:tcPr>
            <w:tcW w:w="1666" w:type="pct"/>
          </w:tcPr>
          <w:p w14:paraId="50DD52AE" w14:textId="77777777" w:rsidR="00061A2D" w:rsidRPr="000540E1" w:rsidRDefault="00061A2D" w:rsidP="008D0C3F">
            <w:pPr>
              <w:pStyle w:val="tbltext"/>
              <w:ind w:left="284" w:hanging="284"/>
            </w:pPr>
            <w:r w:rsidRPr="00F76596">
              <w:t>Payment frequency</w:t>
            </w:r>
          </w:p>
        </w:tc>
        <w:tc>
          <w:tcPr>
            <w:tcW w:w="1667" w:type="pct"/>
          </w:tcPr>
          <w:p w14:paraId="55B9BB52" w14:textId="77777777" w:rsidR="00061A2D" w:rsidRDefault="00061A2D" w:rsidP="008D0C3F">
            <w:pPr>
              <w:pStyle w:val="tbltext"/>
              <w:ind w:left="170" w:hanging="170"/>
              <w:rPr>
                <w:color w:val="000000" w:themeColor="text1"/>
              </w:rPr>
            </w:pPr>
            <w:r w:rsidRPr="00262DA3">
              <w:rPr>
                <w:color w:val="000000" w:themeColor="text1"/>
              </w:rPr>
              <w:t>Payment frequency period—Leg 1</w:t>
            </w:r>
          </w:p>
          <w:p w14:paraId="51541806" w14:textId="77777777" w:rsidR="00061A2D" w:rsidRPr="00262DA3" w:rsidRDefault="00061A2D" w:rsidP="008D0C3F">
            <w:pPr>
              <w:pStyle w:val="tbltext"/>
              <w:ind w:left="170" w:hanging="170"/>
              <w:rPr>
                <w:color w:val="000000" w:themeColor="text1"/>
              </w:rPr>
            </w:pPr>
            <w:r w:rsidRPr="00262DA3">
              <w:rPr>
                <w:color w:val="000000" w:themeColor="text1"/>
              </w:rPr>
              <w:t>Payment frequency period multiplier—Leg 1</w:t>
            </w:r>
          </w:p>
        </w:tc>
      </w:tr>
      <w:tr w:rsidR="00061A2D" w:rsidRPr="000540E1" w14:paraId="4D104165" w14:textId="77777777" w:rsidTr="008D0C3F">
        <w:trPr>
          <w:cantSplit/>
        </w:trPr>
        <w:tc>
          <w:tcPr>
            <w:tcW w:w="1666" w:type="pct"/>
          </w:tcPr>
          <w:p w14:paraId="5184D269" w14:textId="77777777" w:rsidR="00061A2D" w:rsidRPr="00F76596" w:rsidRDefault="00061A2D" w:rsidP="008D0C3F">
            <w:pPr>
              <w:pStyle w:val="tbltext"/>
              <w:ind w:left="284" w:hanging="284"/>
            </w:pPr>
            <w:r w:rsidRPr="00F76596">
              <w:t>Quantity unit</w:t>
            </w:r>
          </w:p>
        </w:tc>
        <w:tc>
          <w:tcPr>
            <w:tcW w:w="1666" w:type="pct"/>
          </w:tcPr>
          <w:p w14:paraId="6F88EF57" w14:textId="77777777" w:rsidR="00061A2D" w:rsidRPr="000540E1" w:rsidRDefault="00061A2D" w:rsidP="008D0C3F">
            <w:pPr>
              <w:pStyle w:val="tbltext"/>
              <w:ind w:left="284" w:hanging="284"/>
            </w:pPr>
            <w:r w:rsidRPr="00262DA3">
              <w:t>Quantity unit of measure</w:t>
            </w:r>
          </w:p>
        </w:tc>
        <w:tc>
          <w:tcPr>
            <w:tcW w:w="1667" w:type="pct"/>
          </w:tcPr>
          <w:p w14:paraId="7352DDB4" w14:textId="77777777" w:rsidR="00061A2D" w:rsidRPr="000540E1" w:rsidRDefault="00061A2D" w:rsidP="008D0C3F">
            <w:pPr>
              <w:pStyle w:val="tbltext"/>
              <w:ind w:left="284" w:hanging="284"/>
            </w:pPr>
            <w:r w:rsidRPr="00113E06">
              <w:rPr>
                <w:color w:val="000000" w:themeColor="text1"/>
              </w:rPr>
              <w:t>Quantity unit of measure—Leg 1</w:t>
            </w:r>
          </w:p>
        </w:tc>
      </w:tr>
      <w:tr w:rsidR="00061A2D" w:rsidRPr="000540E1" w14:paraId="0DA4AF18" w14:textId="77777777" w:rsidTr="008D0C3F">
        <w:trPr>
          <w:cantSplit/>
        </w:trPr>
        <w:tc>
          <w:tcPr>
            <w:tcW w:w="1666" w:type="pct"/>
          </w:tcPr>
          <w:p w14:paraId="03A9950A" w14:textId="5E8F0281" w:rsidR="00061A2D" w:rsidRPr="00F76596" w:rsidRDefault="00AF6B4B" w:rsidP="008D0C3F">
            <w:pPr>
              <w:pStyle w:val="tbltext"/>
              <w:ind w:left="284" w:hanging="284"/>
            </w:pPr>
            <w:r>
              <w:t>Not applicable</w:t>
            </w:r>
          </w:p>
        </w:tc>
        <w:tc>
          <w:tcPr>
            <w:tcW w:w="1666" w:type="pct"/>
          </w:tcPr>
          <w:p w14:paraId="1BC74FD7" w14:textId="2F5FFB83" w:rsidR="00061A2D" w:rsidRPr="00F76596" w:rsidRDefault="00AF6B4B" w:rsidP="008D0C3F">
            <w:pPr>
              <w:pStyle w:val="tbltext"/>
              <w:ind w:left="284" w:hanging="284"/>
            </w:pPr>
            <w:r>
              <w:t>Not applicable</w:t>
            </w:r>
          </w:p>
        </w:tc>
        <w:tc>
          <w:tcPr>
            <w:tcW w:w="1667" w:type="pct"/>
          </w:tcPr>
          <w:p w14:paraId="484EAF37" w14:textId="77777777" w:rsidR="00061A2D" w:rsidRPr="000540E1" w:rsidRDefault="00061A2D" w:rsidP="008D0C3F">
            <w:pPr>
              <w:pStyle w:val="tbltext"/>
            </w:pPr>
            <w:r w:rsidRPr="00113E06">
              <w:rPr>
                <w:color w:val="000000" w:themeColor="text1"/>
              </w:rPr>
              <w:t xml:space="preserve">Quantity unit of measure—Leg </w:t>
            </w:r>
            <w:r>
              <w:rPr>
                <w:color w:val="000000" w:themeColor="text1"/>
              </w:rPr>
              <w:t>2</w:t>
            </w:r>
          </w:p>
        </w:tc>
      </w:tr>
      <w:tr w:rsidR="00061A2D" w:rsidRPr="000540E1" w14:paraId="718E4D2D" w14:textId="77777777" w:rsidTr="008D0C3F">
        <w:trPr>
          <w:cantSplit/>
        </w:trPr>
        <w:tc>
          <w:tcPr>
            <w:tcW w:w="1666" w:type="pct"/>
          </w:tcPr>
          <w:p w14:paraId="01DDE498" w14:textId="77777777" w:rsidR="00061A2D" w:rsidRPr="00F76596" w:rsidRDefault="00061A2D" w:rsidP="008D0C3F">
            <w:pPr>
              <w:pStyle w:val="tbltext"/>
              <w:ind w:left="284" w:hanging="284"/>
            </w:pPr>
            <w:r w:rsidRPr="00F76596">
              <w:t>Quantity</w:t>
            </w:r>
          </w:p>
        </w:tc>
        <w:tc>
          <w:tcPr>
            <w:tcW w:w="1666" w:type="pct"/>
          </w:tcPr>
          <w:p w14:paraId="38974986" w14:textId="77777777" w:rsidR="00061A2D" w:rsidRPr="000540E1" w:rsidRDefault="00061A2D" w:rsidP="008D0C3F">
            <w:pPr>
              <w:pStyle w:val="tbltext"/>
              <w:ind w:left="284" w:hanging="284"/>
            </w:pPr>
            <w:r w:rsidRPr="00F76596">
              <w:t>Quantity</w:t>
            </w:r>
          </w:p>
        </w:tc>
        <w:tc>
          <w:tcPr>
            <w:tcW w:w="1667" w:type="pct"/>
          </w:tcPr>
          <w:p w14:paraId="1EEC7D44" w14:textId="77777777" w:rsidR="00061A2D" w:rsidRPr="000540E1" w:rsidRDefault="00061A2D" w:rsidP="008D0C3F">
            <w:pPr>
              <w:pStyle w:val="tbltext"/>
              <w:ind w:left="284" w:hanging="284"/>
            </w:pPr>
            <w:r w:rsidRPr="00B95D2B">
              <w:rPr>
                <w:color w:val="000000" w:themeColor="text1"/>
              </w:rPr>
              <w:t>Notional quantity—Leg 1</w:t>
            </w:r>
          </w:p>
        </w:tc>
      </w:tr>
      <w:tr w:rsidR="00061A2D" w:rsidRPr="000540E1" w14:paraId="7FDE86E7" w14:textId="77777777" w:rsidTr="008D0C3F">
        <w:trPr>
          <w:cantSplit/>
        </w:trPr>
        <w:tc>
          <w:tcPr>
            <w:tcW w:w="1666" w:type="pct"/>
          </w:tcPr>
          <w:p w14:paraId="7B33AF61" w14:textId="1040929B" w:rsidR="00061A2D" w:rsidRPr="00F76596" w:rsidRDefault="00AF6B4B" w:rsidP="008D0C3F">
            <w:pPr>
              <w:pStyle w:val="tbltext"/>
              <w:ind w:left="284" w:hanging="284"/>
            </w:pPr>
            <w:r>
              <w:t>Not applicable</w:t>
            </w:r>
          </w:p>
        </w:tc>
        <w:tc>
          <w:tcPr>
            <w:tcW w:w="1666" w:type="pct"/>
          </w:tcPr>
          <w:p w14:paraId="08DC1C25" w14:textId="1844F8C3" w:rsidR="00061A2D" w:rsidRPr="00F76596" w:rsidRDefault="00AF6B4B" w:rsidP="008D0C3F">
            <w:pPr>
              <w:pStyle w:val="tbltext"/>
              <w:ind w:left="284" w:hanging="284"/>
            </w:pPr>
            <w:r>
              <w:t>Not applicable</w:t>
            </w:r>
          </w:p>
        </w:tc>
        <w:tc>
          <w:tcPr>
            <w:tcW w:w="1667" w:type="pct"/>
          </w:tcPr>
          <w:p w14:paraId="7F306D50" w14:textId="77777777" w:rsidR="00061A2D" w:rsidRPr="000540E1" w:rsidRDefault="00061A2D" w:rsidP="008D0C3F">
            <w:pPr>
              <w:pStyle w:val="tbltext"/>
            </w:pPr>
            <w:r>
              <w:t>N</w:t>
            </w:r>
            <w:r w:rsidRPr="00736680">
              <w:t xml:space="preserve">otional quantity—Leg </w:t>
            </w:r>
            <w:r>
              <w:t>2</w:t>
            </w:r>
          </w:p>
        </w:tc>
      </w:tr>
      <w:tr w:rsidR="00061A2D" w:rsidRPr="000540E1" w14:paraId="0414EBDF" w14:textId="77777777" w:rsidTr="008D0C3F">
        <w:trPr>
          <w:cantSplit/>
        </w:trPr>
        <w:tc>
          <w:tcPr>
            <w:tcW w:w="1666" w:type="pct"/>
          </w:tcPr>
          <w:p w14:paraId="16EA3B0A" w14:textId="77777777" w:rsidR="00061A2D" w:rsidRPr="00F76596" w:rsidRDefault="00061A2D" w:rsidP="008D0C3F">
            <w:pPr>
              <w:pStyle w:val="tbltext"/>
              <w:ind w:left="284" w:hanging="284"/>
            </w:pPr>
            <w:r w:rsidRPr="00F76596">
              <w:t>Quantity frequency</w:t>
            </w:r>
          </w:p>
        </w:tc>
        <w:tc>
          <w:tcPr>
            <w:tcW w:w="1666" w:type="pct"/>
          </w:tcPr>
          <w:p w14:paraId="32E7B07F" w14:textId="29080A03" w:rsidR="00061A2D" w:rsidRPr="000540E1" w:rsidRDefault="00AF6B4B" w:rsidP="008D0C3F">
            <w:pPr>
              <w:pStyle w:val="tbltext"/>
              <w:ind w:left="284" w:hanging="284"/>
            </w:pPr>
            <w:r>
              <w:t>Not applicable</w:t>
            </w:r>
          </w:p>
        </w:tc>
        <w:tc>
          <w:tcPr>
            <w:tcW w:w="1667" w:type="pct"/>
          </w:tcPr>
          <w:p w14:paraId="7D6AC502" w14:textId="3474DF45" w:rsidR="00061A2D" w:rsidRPr="000540E1" w:rsidRDefault="00AF6B4B" w:rsidP="008D0C3F">
            <w:pPr>
              <w:pStyle w:val="tbltext"/>
              <w:ind w:left="284" w:hanging="284"/>
            </w:pPr>
            <w:r>
              <w:t>Not applicable</w:t>
            </w:r>
          </w:p>
        </w:tc>
      </w:tr>
      <w:tr w:rsidR="00061A2D" w:rsidRPr="000540E1" w14:paraId="33910AD7" w14:textId="77777777" w:rsidTr="008D0C3F">
        <w:trPr>
          <w:cantSplit/>
        </w:trPr>
        <w:tc>
          <w:tcPr>
            <w:tcW w:w="1666" w:type="pct"/>
          </w:tcPr>
          <w:p w14:paraId="31A96D27" w14:textId="77777777" w:rsidR="00061A2D" w:rsidRPr="00F76596" w:rsidRDefault="00061A2D" w:rsidP="008D0C3F">
            <w:pPr>
              <w:pStyle w:val="tbltext"/>
              <w:ind w:left="284" w:hanging="284"/>
            </w:pPr>
            <w:r w:rsidRPr="00F76596">
              <w:t>Total quantity</w:t>
            </w:r>
          </w:p>
        </w:tc>
        <w:tc>
          <w:tcPr>
            <w:tcW w:w="1666" w:type="pct"/>
          </w:tcPr>
          <w:p w14:paraId="4BCD5246" w14:textId="77777777" w:rsidR="00061A2D" w:rsidRPr="000540E1" w:rsidRDefault="00061A2D" w:rsidP="008D0C3F">
            <w:pPr>
              <w:pStyle w:val="tbltext"/>
              <w:ind w:left="284" w:hanging="284"/>
            </w:pPr>
            <w:r w:rsidRPr="00F76596">
              <w:t>Total quantity</w:t>
            </w:r>
          </w:p>
        </w:tc>
        <w:tc>
          <w:tcPr>
            <w:tcW w:w="1667" w:type="pct"/>
          </w:tcPr>
          <w:p w14:paraId="1EDA30DB" w14:textId="77777777" w:rsidR="00061A2D" w:rsidRPr="000540E1" w:rsidRDefault="00061A2D" w:rsidP="008D0C3F">
            <w:pPr>
              <w:pStyle w:val="tbltext"/>
              <w:ind w:left="284" w:hanging="284"/>
            </w:pPr>
            <w:r w:rsidRPr="00736680">
              <w:t>Total notional quantity—Leg 1</w:t>
            </w:r>
          </w:p>
        </w:tc>
      </w:tr>
      <w:tr w:rsidR="00061A2D" w:rsidRPr="000540E1" w14:paraId="12B7CA6D" w14:textId="77777777" w:rsidTr="008D0C3F">
        <w:trPr>
          <w:cantSplit/>
        </w:trPr>
        <w:tc>
          <w:tcPr>
            <w:tcW w:w="1666" w:type="pct"/>
          </w:tcPr>
          <w:p w14:paraId="5E59A64E" w14:textId="02A62D2A" w:rsidR="00061A2D" w:rsidRPr="00F76596" w:rsidRDefault="00AF6B4B" w:rsidP="008D0C3F">
            <w:pPr>
              <w:pStyle w:val="tbltext"/>
              <w:ind w:left="284" w:hanging="284"/>
            </w:pPr>
            <w:r>
              <w:t>Not applicable</w:t>
            </w:r>
          </w:p>
        </w:tc>
        <w:tc>
          <w:tcPr>
            <w:tcW w:w="1666" w:type="pct"/>
          </w:tcPr>
          <w:p w14:paraId="304DF420" w14:textId="3C1F6898" w:rsidR="00061A2D" w:rsidRPr="00F76596" w:rsidRDefault="00AF6B4B" w:rsidP="008D0C3F">
            <w:pPr>
              <w:pStyle w:val="tbltext"/>
              <w:ind w:left="284" w:hanging="284"/>
            </w:pPr>
            <w:r>
              <w:t>Not applicable</w:t>
            </w:r>
          </w:p>
        </w:tc>
        <w:tc>
          <w:tcPr>
            <w:tcW w:w="1667" w:type="pct"/>
          </w:tcPr>
          <w:p w14:paraId="399B37C8" w14:textId="77777777" w:rsidR="00061A2D" w:rsidRPr="000540E1" w:rsidRDefault="00061A2D" w:rsidP="008D0C3F">
            <w:pPr>
              <w:pStyle w:val="tbltext"/>
            </w:pPr>
            <w:r w:rsidRPr="00736680">
              <w:t xml:space="preserve">Total notional quantity—Leg </w:t>
            </w:r>
            <w:r>
              <w:t>2</w:t>
            </w:r>
          </w:p>
        </w:tc>
      </w:tr>
      <w:tr w:rsidR="00061A2D" w:rsidRPr="000540E1" w14:paraId="23AEAE41" w14:textId="77777777" w:rsidTr="008D0C3F">
        <w:trPr>
          <w:cantSplit/>
        </w:trPr>
        <w:tc>
          <w:tcPr>
            <w:tcW w:w="1666" w:type="pct"/>
          </w:tcPr>
          <w:p w14:paraId="2FDD781D" w14:textId="77777777" w:rsidR="00061A2D" w:rsidRPr="00F76596" w:rsidRDefault="00061A2D" w:rsidP="008D0C3F">
            <w:pPr>
              <w:pStyle w:val="tbltext"/>
              <w:ind w:left="284" w:hanging="284"/>
            </w:pPr>
            <w:r w:rsidRPr="00F76596">
              <w:t>Delivery point or zone</w:t>
            </w:r>
          </w:p>
        </w:tc>
        <w:tc>
          <w:tcPr>
            <w:tcW w:w="1666" w:type="pct"/>
          </w:tcPr>
          <w:p w14:paraId="5E55B312" w14:textId="1BFC5BE0" w:rsidR="00061A2D" w:rsidRPr="000540E1" w:rsidRDefault="00AF6B4B" w:rsidP="008D0C3F">
            <w:pPr>
              <w:pStyle w:val="tbltext"/>
              <w:ind w:left="284" w:hanging="284"/>
            </w:pPr>
            <w:r>
              <w:t>Not applicable</w:t>
            </w:r>
          </w:p>
        </w:tc>
        <w:tc>
          <w:tcPr>
            <w:tcW w:w="1667" w:type="pct"/>
          </w:tcPr>
          <w:p w14:paraId="18C39EC5" w14:textId="3B5D63E3" w:rsidR="00061A2D" w:rsidRPr="000540E1" w:rsidRDefault="00AF6B4B" w:rsidP="008D0C3F">
            <w:pPr>
              <w:pStyle w:val="tbltext"/>
              <w:ind w:left="284" w:hanging="284"/>
            </w:pPr>
            <w:r>
              <w:t>Not applicable</w:t>
            </w:r>
          </w:p>
        </w:tc>
      </w:tr>
      <w:tr w:rsidR="00061A2D" w:rsidRPr="000540E1" w14:paraId="344C5B96" w14:textId="77777777" w:rsidTr="008D0C3F">
        <w:trPr>
          <w:cantSplit/>
        </w:trPr>
        <w:tc>
          <w:tcPr>
            <w:tcW w:w="1666" w:type="pct"/>
          </w:tcPr>
          <w:p w14:paraId="7F5FC069" w14:textId="77777777" w:rsidR="00061A2D" w:rsidRPr="00F76596" w:rsidRDefault="00061A2D" w:rsidP="008D0C3F">
            <w:pPr>
              <w:pStyle w:val="tbltext"/>
              <w:ind w:left="284" w:hanging="284"/>
            </w:pPr>
            <w:r w:rsidRPr="00F76596">
              <w:t>Delivery start date and time</w:t>
            </w:r>
          </w:p>
        </w:tc>
        <w:tc>
          <w:tcPr>
            <w:tcW w:w="1666" w:type="pct"/>
          </w:tcPr>
          <w:p w14:paraId="17658351" w14:textId="08CDC832" w:rsidR="00061A2D" w:rsidRPr="000540E1" w:rsidRDefault="00AF6B4B" w:rsidP="008D0C3F">
            <w:pPr>
              <w:pStyle w:val="tbltext"/>
              <w:ind w:left="284" w:hanging="284"/>
            </w:pPr>
            <w:r>
              <w:t>Not applicable</w:t>
            </w:r>
          </w:p>
        </w:tc>
        <w:tc>
          <w:tcPr>
            <w:tcW w:w="1667" w:type="pct"/>
          </w:tcPr>
          <w:p w14:paraId="2C6B87FA" w14:textId="5985D9A3" w:rsidR="00061A2D" w:rsidRPr="000540E1" w:rsidRDefault="00AF6B4B" w:rsidP="008D0C3F">
            <w:pPr>
              <w:pStyle w:val="tbltext"/>
              <w:ind w:left="284" w:hanging="284"/>
            </w:pPr>
            <w:r>
              <w:t>Not applicable</w:t>
            </w:r>
          </w:p>
        </w:tc>
      </w:tr>
      <w:tr w:rsidR="00061A2D" w:rsidRPr="000540E1" w14:paraId="268B4B4E" w14:textId="77777777" w:rsidTr="008D0C3F">
        <w:trPr>
          <w:cantSplit/>
        </w:trPr>
        <w:tc>
          <w:tcPr>
            <w:tcW w:w="1666" w:type="pct"/>
          </w:tcPr>
          <w:p w14:paraId="70625431" w14:textId="77777777" w:rsidR="00061A2D" w:rsidRPr="00F76596" w:rsidRDefault="00061A2D" w:rsidP="008D0C3F">
            <w:pPr>
              <w:pStyle w:val="tbltext"/>
              <w:ind w:left="284" w:hanging="284"/>
            </w:pPr>
            <w:r w:rsidRPr="00F76596">
              <w:t>Delivery end date and time</w:t>
            </w:r>
          </w:p>
        </w:tc>
        <w:tc>
          <w:tcPr>
            <w:tcW w:w="1666" w:type="pct"/>
          </w:tcPr>
          <w:p w14:paraId="0744DFAE" w14:textId="7EFB3A3F" w:rsidR="00061A2D" w:rsidRPr="000540E1" w:rsidRDefault="00AF6B4B" w:rsidP="008D0C3F">
            <w:pPr>
              <w:pStyle w:val="tbltext"/>
              <w:ind w:left="284" w:hanging="284"/>
            </w:pPr>
            <w:r>
              <w:t>Not applicable</w:t>
            </w:r>
          </w:p>
        </w:tc>
        <w:tc>
          <w:tcPr>
            <w:tcW w:w="1667" w:type="pct"/>
          </w:tcPr>
          <w:p w14:paraId="7845BDB2" w14:textId="06F682A5" w:rsidR="00061A2D" w:rsidRPr="000540E1" w:rsidRDefault="00AF6B4B" w:rsidP="008D0C3F">
            <w:pPr>
              <w:pStyle w:val="tbltext"/>
              <w:ind w:left="284" w:hanging="284"/>
            </w:pPr>
            <w:r>
              <w:t>Not applicable</w:t>
            </w:r>
          </w:p>
        </w:tc>
      </w:tr>
      <w:tr w:rsidR="00061A2D" w:rsidRPr="000540E1" w14:paraId="0263BC52" w14:textId="77777777" w:rsidTr="008D0C3F">
        <w:trPr>
          <w:cantSplit/>
        </w:trPr>
        <w:tc>
          <w:tcPr>
            <w:tcW w:w="1666" w:type="pct"/>
          </w:tcPr>
          <w:p w14:paraId="48D4A9B4" w14:textId="77777777" w:rsidR="00061A2D" w:rsidRPr="00F76596" w:rsidRDefault="00061A2D" w:rsidP="008D0C3F">
            <w:pPr>
              <w:pStyle w:val="tbltext"/>
              <w:ind w:left="284" w:hanging="284"/>
            </w:pPr>
            <w:r w:rsidRPr="00F76596">
              <w:t>Derivative capacity</w:t>
            </w:r>
          </w:p>
        </w:tc>
        <w:tc>
          <w:tcPr>
            <w:tcW w:w="1666" w:type="pct"/>
          </w:tcPr>
          <w:p w14:paraId="217F4B57" w14:textId="39FE9BE1" w:rsidR="00061A2D" w:rsidRPr="000540E1" w:rsidRDefault="00AF6B4B" w:rsidP="008D0C3F">
            <w:pPr>
              <w:pStyle w:val="tbltext"/>
              <w:ind w:left="284" w:hanging="284"/>
            </w:pPr>
            <w:r>
              <w:t>Not applicable</w:t>
            </w:r>
          </w:p>
        </w:tc>
        <w:tc>
          <w:tcPr>
            <w:tcW w:w="1667" w:type="pct"/>
          </w:tcPr>
          <w:p w14:paraId="2B7A0021" w14:textId="77AED975" w:rsidR="00061A2D" w:rsidRPr="000540E1" w:rsidRDefault="00AF6B4B" w:rsidP="008D0C3F">
            <w:pPr>
              <w:pStyle w:val="tbltext"/>
              <w:ind w:left="284" w:hanging="284"/>
            </w:pPr>
            <w:r>
              <w:t>Not applicable</w:t>
            </w:r>
          </w:p>
        </w:tc>
      </w:tr>
      <w:tr w:rsidR="00061A2D" w:rsidRPr="000540E1" w14:paraId="26B455B1" w14:textId="77777777" w:rsidTr="008D0C3F">
        <w:trPr>
          <w:cantSplit/>
        </w:trPr>
        <w:tc>
          <w:tcPr>
            <w:tcW w:w="1666" w:type="pct"/>
          </w:tcPr>
          <w:p w14:paraId="473C5075" w14:textId="77777777" w:rsidR="00061A2D" w:rsidRPr="00F76596" w:rsidRDefault="00061A2D" w:rsidP="008D0C3F">
            <w:pPr>
              <w:pStyle w:val="tbltext"/>
              <w:ind w:left="284" w:hanging="284"/>
            </w:pPr>
            <w:r w:rsidRPr="00F76596">
              <w:t>Commodity base</w:t>
            </w:r>
          </w:p>
        </w:tc>
        <w:tc>
          <w:tcPr>
            <w:tcW w:w="1666" w:type="pct"/>
          </w:tcPr>
          <w:p w14:paraId="6FE77AF6" w14:textId="09D94BBA" w:rsidR="00061A2D" w:rsidRPr="000540E1" w:rsidRDefault="00AF6B4B" w:rsidP="008D0C3F">
            <w:pPr>
              <w:pStyle w:val="tbltext"/>
              <w:ind w:left="284" w:hanging="284"/>
            </w:pPr>
            <w:r>
              <w:t>Not applicable</w:t>
            </w:r>
          </w:p>
        </w:tc>
        <w:tc>
          <w:tcPr>
            <w:tcW w:w="1667" w:type="pct"/>
          </w:tcPr>
          <w:p w14:paraId="1E6513C6" w14:textId="703AD989" w:rsidR="00061A2D" w:rsidRPr="000540E1" w:rsidRDefault="00AF6B4B" w:rsidP="008D0C3F">
            <w:pPr>
              <w:pStyle w:val="tbltext"/>
              <w:ind w:left="284" w:hanging="284"/>
            </w:pPr>
            <w:r>
              <w:t>Not applicable</w:t>
            </w:r>
          </w:p>
        </w:tc>
      </w:tr>
      <w:tr w:rsidR="00061A2D" w:rsidRPr="000540E1" w14:paraId="4B0420C0" w14:textId="77777777" w:rsidTr="008D0C3F">
        <w:trPr>
          <w:cantSplit/>
        </w:trPr>
        <w:tc>
          <w:tcPr>
            <w:tcW w:w="1666" w:type="pct"/>
            <w:shd w:val="clear" w:color="auto" w:fill="D9D9D9" w:themeFill="background1" w:themeFillShade="D9"/>
          </w:tcPr>
          <w:p w14:paraId="6F483B11" w14:textId="1CB85B1A" w:rsidR="00061A2D" w:rsidRPr="000540E1" w:rsidRDefault="00061A2D" w:rsidP="008D0C3F">
            <w:pPr>
              <w:pStyle w:val="tbltext"/>
            </w:pPr>
            <w:r>
              <w:t xml:space="preserve">Table S2.1(3) </w:t>
            </w:r>
            <w:r w:rsidRPr="007724EE">
              <w:t>Equity derivative and credit derivative data</w:t>
            </w:r>
          </w:p>
        </w:tc>
        <w:tc>
          <w:tcPr>
            <w:tcW w:w="1666" w:type="pct"/>
            <w:shd w:val="clear" w:color="auto" w:fill="D9D9D9" w:themeFill="background1" w:themeFillShade="D9"/>
          </w:tcPr>
          <w:p w14:paraId="410EFE3A" w14:textId="678BB183" w:rsidR="00061A2D" w:rsidRPr="000540E1" w:rsidRDefault="00061A2D" w:rsidP="008D0C3F">
            <w:pPr>
              <w:pStyle w:val="tbltext"/>
            </w:pPr>
            <w:r>
              <w:t xml:space="preserve">Table S1.1(3) </w:t>
            </w:r>
            <w:r w:rsidRPr="007724EE">
              <w:t>Equity derivative and credit derivative data</w:t>
            </w:r>
          </w:p>
        </w:tc>
        <w:tc>
          <w:tcPr>
            <w:tcW w:w="1667" w:type="pct"/>
            <w:shd w:val="clear" w:color="auto" w:fill="auto"/>
          </w:tcPr>
          <w:p w14:paraId="773BC511" w14:textId="1E5FDC85" w:rsidR="00061A2D" w:rsidRPr="000540E1" w:rsidRDefault="00AF6B4B" w:rsidP="008D0C3F">
            <w:pPr>
              <w:pStyle w:val="tbltext"/>
            </w:pPr>
            <w:r w:rsidRPr="009C6F38">
              <w:rPr>
                <w:color w:val="FFFFFF" w:themeColor="background1"/>
              </w:rPr>
              <w:t>Blank cell</w:t>
            </w:r>
          </w:p>
        </w:tc>
      </w:tr>
      <w:tr w:rsidR="00061A2D" w:rsidRPr="000540E1" w14:paraId="256DED50" w14:textId="77777777" w:rsidTr="008D0C3F">
        <w:trPr>
          <w:cantSplit/>
        </w:trPr>
        <w:tc>
          <w:tcPr>
            <w:tcW w:w="1666" w:type="pct"/>
          </w:tcPr>
          <w:p w14:paraId="78693E16" w14:textId="77777777" w:rsidR="00061A2D" w:rsidRPr="00F76596" w:rsidRDefault="00061A2D" w:rsidP="008D0C3F">
            <w:pPr>
              <w:pStyle w:val="tbltext"/>
              <w:ind w:left="170" w:hanging="170"/>
            </w:pPr>
            <w:r w:rsidRPr="00F76596">
              <w:t>Identifier of counterparty purchasing protection</w:t>
            </w:r>
          </w:p>
        </w:tc>
        <w:tc>
          <w:tcPr>
            <w:tcW w:w="1666" w:type="pct"/>
          </w:tcPr>
          <w:p w14:paraId="787FD81C" w14:textId="7525C9D9" w:rsidR="00061A2D" w:rsidRPr="000540E1" w:rsidRDefault="00AF6B4B" w:rsidP="008D0C3F">
            <w:pPr>
              <w:pStyle w:val="tbltext"/>
              <w:ind w:left="170" w:hanging="170"/>
            </w:pPr>
            <w:r>
              <w:t>Not applicable</w:t>
            </w:r>
          </w:p>
        </w:tc>
        <w:tc>
          <w:tcPr>
            <w:tcW w:w="1667" w:type="pct"/>
          </w:tcPr>
          <w:p w14:paraId="5B92AFC5" w14:textId="45BD932D" w:rsidR="00061A2D" w:rsidRPr="000540E1" w:rsidRDefault="00AF6B4B" w:rsidP="008D0C3F">
            <w:pPr>
              <w:pStyle w:val="tbltext"/>
              <w:ind w:left="170" w:hanging="170"/>
            </w:pPr>
            <w:r>
              <w:t>Not applicable</w:t>
            </w:r>
          </w:p>
        </w:tc>
      </w:tr>
      <w:tr w:rsidR="00061A2D" w:rsidRPr="000540E1" w14:paraId="69E5D883" w14:textId="77777777" w:rsidTr="008D0C3F">
        <w:trPr>
          <w:cantSplit/>
        </w:trPr>
        <w:tc>
          <w:tcPr>
            <w:tcW w:w="1666" w:type="pct"/>
          </w:tcPr>
          <w:p w14:paraId="0535DA40" w14:textId="77777777" w:rsidR="00061A2D" w:rsidRPr="00F76596" w:rsidRDefault="00061A2D" w:rsidP="008D0C3F">
            <w:pPr>
              <w:pStyle w:val="tbltext"/>
              <w:ind w:left="170" w:hanging="170"/>
            </w:pPr>
            <w:r w:rsidRPr="00F76596">
              <w:t>Name of counterparty purchasing protection</w:t>
            </w:r>
          </w:p>
        </w:tc>
        <w:tc>
          <w:tcPr>
            <w:tcW w:w="1666" w:type="pct"/>
          </w:tcPr>
          <w:p w14:paraId="7E0287F6" w14:textId="14C3FD3E" w:rsidR="00061A2D" w:rsidRPr="000540E1" w:rsidRDefault="00AF6B4B" w:rsidP="008D0C3F">
            <w:pPr>
              <w:pStyle w:val="tbltext"/>
              <w:ind w:left="170" w:hanging="170"/>
            </w:pPr>
            <w:r>
              <w:t>Not applicable</w:t>
            </w:r>
          </w:p>
        </w:tc>
        <w:tc>
          <w:tcPr>
            <w:tcW w:w="1667" w:type="pct"/>
          </w:tcPr>
          <w:p w14:paraId="4226E9D8" w14:textId="3DD6E979" w:rsidR="00061A2D" w:rsidRPr="000540E1" w:rsidRDefault="00AF6B4B" w:rsidP="008D0C3F">
            <w:pPr>
              <w:pStyle w:val="tbltext"/>
              <w:ind w:left="170" w:hanging="170"/>
            </w:pPr>
            <w:r>
              <w:t>Not applicable</w:t>
            </w:r>
          </w:p>
        </w:tc>
      </w:tr>
      <w:tr w:rsidR="00061A2D" w:rsidRPr="000540E1" w14:paraId="2232ED95" w14:textId="77777777" w:rsidTr="008D0C3F">
        <w:trPr>
          <w:cantSplit/>
        </w:trPr>
        <w:tc>
          <w:tcPr>
            <w:tcW w:w="1666" w:type="pct"/>
          </w:tcPr>
          <w:p w14:paraId="31AFF9A6" w14:textId="77777777" w:rsidR="00061A2D" w:rsidRPr="00F76596" w:rsidRDefault="00061A2D" w:rsidP="008D0C3F">
            <w:pPr>
              <w:pStyle w:val="tbltext"/>
              <w:ind w:left="170" w:hanging="170"/>
            </w:pPr>
            <w:r w:rsidRPr="00F76596">
              <w:t>Identifier of counterparty selling protection</w:t>
            </w:r>
          </w:p>
        </w:tc>
        <w:tc>
          <w:tcPr>
            <w:tcW w:w="1666" w:type="pct"/>
          </w:tcPr>
          <w:p w14:paraId="470929E6" w14:textId="78C79867" w:rsidR="00061A2D" w:rsidRPr="000540E1" w:rsidRDefault="00AF6B4B" w:rsidP="008D0C3F">
            <w:pPr>
              <w:pStyle w:val="tbltext"/>
              <w:ind w:left="170" w:hanging="170"/>
            </w:pPr>
            <w:r>
              <w:t>Not applicable</w:t>
            </w:r>
          </w:p>
        </w:tc>
        <w:tc>
          <w:tcPr>
            <w:tcW w:w="1667" w:type="pct"/>
          </w:tcPr>
          <w:p w14:paraId="4599392B" w14:textId="1C2E9245" w:rsidR="00061A2D" w:rsidRPr="000540E1" w:rsidRDefault="00AF6B4B" w:rsidP="008D0C3F">
            <w:pPr>
              <w:pStyle w:val="tbltext"/>
              <w:ind w:left="170" w:hanging="170"/>
            </w:pPr>
            <w:r>
              <w:t>Not applicable</w:t>
            </w:r>
          </w:p>
        </w:tc>
      </w:tr>
      <w:tr w:rsidR="00061A2D" w:rsidRPr="000540E1" w14:paraId="6493280C" w14:textId="77777777" w:rsidTr="008D0C3F">
        <w:trPr>
          <w:cantSplit/>
        </w:trPr>
        <w:tc>
          <w:tcPr>
            <w:tcW w:w="1666" w:type="pct"/>
          </w:tcPr>
          <w:p w14:paraId="16D12122" w14:textId="77777777" w:rsidR="00061A2D" w:rsidRPr="00F76596" w:rsidRDefault="00061A2D" w:rsidP="008D0C3F">
            <w:pPr>
              <w:pStyle w:val="tbltext"/>
              <w:ind w:left="170" w:hanging="170"/>
            </w:pPr>
            <w:r w:rsidRPr="00F76596">
              <w:t>Name of counterparty selling protection</w:t>
            </w:r>
          </w:p>
        </w:tc>
        <w:tc>
          <w:tcPr>
            <w:tcW w:w="1666" w:type="pct"/>
          </w:tcPr>
          <w:p w14:paraId="6FF0CB13" w14:textId="41AE1571" w:rsidR="00061A2D" w:rsidRPr="000540E1" w:rsidRDefault="00AF6B4B" w:rsidP="008D0C3F">
            <w:pPr>
              <w:pStyle w:val="tbltext"/>
              <w:ind w:left="170" w:hanging="170"/>
            </w:pPr>
            <w:r>
              <w:t>Not applicable</w:t>
            </w:r>
          </w:p>
        </w:tc>
        <w:tc>
          <w:tcPr>
            <w:tcW w:w="1667" w:type="pct"/>
          </w:tcPr>
          <w:p w14:paraId="03AB7AD0" w14:textId="4E79689E" w:rsidR="00061A2D" w:rsidRPr="000540E1" w:rsidRDefault="00AF6B4B" w:rsidP="008D0C3F">
            <w:pPr>
              <w:pStyle w:val="tbltext"/>
              <w:ind w:left="170" w:hanging="170"/>
            </w:pPr>
            <w:r>
              <w:t>Not applicable</w:t>
            </w:r>
          </w:p>
        </w:tc>
      </w:tr>
      <w:tr w:rsidR="00061A2D" w:rsidRPr="000540E1" w14:paraId="70184973" w14:textId="77777777" w:rsidTr="008D0C3F">
        <w:trPr>
          <w:cantSplit/>
        </w:trPr>
        <w:tc>
          <w:tcPr>
            <w:tcW w:w="1666" w:type="pct"/>
          </w:tcPr>
          <w:p w14:paraId="7C742DD2" w14:textId="77777777" w:rsidR="00061A2D" w:rsidRPr="00F76596" w:rsidRDefault="00061A2D" w:rsidP="008D0C3F">
            <w:pPr>
              <w:pStyle w:val="tbltext"/>
              <w:ind w:left="170" w:hanging="170"/>
            </w:pPr>
            <w:r w:rsidRPr="00F76596">
              <w:t>Information identifying the reference entity</w:t>
            </w:r>
          </w:p>
        </w:tc>
        <w:tc>
          <w:tcPr>
            <w:tcW w:w="1666" w:type="pct"/>
          </w:tcPr>
          <w:p w14:paraId="100ECCD9" w14:textId="22AF43B3" w:rsidR="00061A2D" w:rsidRPr="000540E1" w:rsidRDefault="00AF6B4B" w:rsidP="008D0C3F">
            <w:pPr>
              <w:pStyle w:val="tbltext"/>
              <w:ind w:left="170" w:hanging="170"/>
            </w:pPr>
            <w:r>
              <w:t>Not applicable</w:t>
            </w:r>
          </w:p>
        </w:tc>
        <w:tc>
          <w:tcPr>
            <w:tcW w:w="1667" w:type="pct"/>
          </w:tcPr>
          <w:p w14:paraId="22D5688A" w14:textId="38C4FCC0" w:rsidR="00061A2D" w:rsidRPr="000540E1" w:rsidRDefault="00AF6B4B" w:rsidP="008D0C3F">
            <w:pPr>
              <w:pStyle w:val="tbltext"/>
              <w:ind w:left="170" w:hanging="170"/>
            </w:pPr>
            <w:r>
              <w:t>Not applicable</w:t>
            </w:r>
          </w:p>
        </w:tc>
      </w:tr>
      <w:tr w:rsidR="00061A2D" w:rsidRPr="000540E1" w14:paraId="6D9AE0A4" w14:textId="77777777" w:rsidTr="008D0C3F">
        <w:trPr>
          <w:cantSplit/>
        </w:trPr>
        <w:tc>
          <w:tcPr>
            <w:tcW w:w="1666" w:type="pct"/>
          </w:tcPr>
          <w:p w14:paraId="6EC6C061" w14:textId="77777777" w:rsidR="00061A2D" w:rsidRPr="00F76596" w:rsidRDefault="00061A2D" w:rsidP="008D0C3F">
            <w:pPr>
              <w:pStyle w:val="tbltext"/>
              <w:ind w:left="170" w:hanging="170"/>
            </w:pPr>
            <w:r w:rsidRPr="00F76596">
              <w:t>Name of the reference entity</w:t>
            </w:r>
          </w:p>
        </w:tc>
        <w:tc>
          <w:tcPr>
            <w:tcW w:w="1666" w:type="pct"/>
          </w:tcPr>
          <w:p w14:paraId="59CF2FF7" w14:textId="7821199A" w:rsidR="00061A2D" w:rsidRPr="000540E1" w:rsidRDefault="00AF6B4B" w:rsidP="008D0C3F">
            <w:pPr>
              <w:pStyle w:val="tbltext"/>
              <w:ind w:left="170" w:hanging="170"/>
            </w:pPr>
            <w:r>
              <w:t>Not applicable</w:t>
            </w:r>
          </w:p>
        </w:tc>
        <w:tc>
          <w:tcPr>
            <w:tcW w:w="1667" w:type="pct"/>
          </w:tcPr>
          <w:p w14:paraId="7C6FF1C4" w14:textId="28E03091" w:rsidR="00061A2D" w:rsidRPr="000540E1" w:rsidRDefault="00AF6B4B" w:rsidP="008D0C3F">
            <w:pPr>
              <w:pStyle w:val="tbltext"/>
              <w:ind w:left="170" w:hanging="170"/>
            </w:pPr>
            <w:r>
              <w:t>Not applicable</w:t>
            </w:r>
          </w:p>
        </w:tc>
      </w:tr>
      <w:tr w:rsidR="00061A2D" w:rsidRPr="000540E1" w14:paraId="56281CF8" w14:textId="77777777" w:rsidTr="008D0C3F">
        <w:trPr>
          <w:cantSplit/>
        </w:trPr>
        <w:tc>
          <w:tcPr>
            <w:tcW w:w="1666" w:type="pct"/>
          </w:tcPr>
          <w:p w14:paraId="69A8D7E8" w14:textId="77777777" w:rsidR="00061A2D" w:rsidRPr="00F76596" w:rsidRDefault="00061A2D" w:rsidP="008D0C3F">
            <w:pPr>
              <w:pStyle w:val="tbltext"/>
              <w:ind w:left="170" w:hanging="170"/>
            </w:pPr>
            <w:r w:rsidRPr="00F76596">
              <w:t>Notional amount</w:t>
            </w:r>
          </w:p>
        </w:tc>
        <w:tc>
          <w:tcPr>
            <w:tcW w:w="1666" w:type="pct"/>
          </w:tcPr>
          <w:p w14:paraId="0D6FC184" w14:textId="77777777" w:rsidR="00061A2D" w:rsidRPr="000540E1" w:rsidRDefault="00061A2D" w:rsidP="008D0C3F">
            <w:pPr>
              <w:pStyle w:val="tbltext"/>
              <w:ind w:left="170" w:hanging="170"/>
            </w:pPr>
            <w:r w:rsidRPr="007724EE">
              <w:t>Notional amount—Leg 1</w:t>
            </w:r>
          </w:p>
        </w:tc>
        <w:tc>
          <w:tcPr>
            <w:tcW w:w="1667" w:type="pct"/>
          </w:tcPr>
          <w:p w14:paraId="135F9D74" w14:textId="77777777" w:rsidR="00061A2D" w:rsidRPr="000540E1" w:rsidRDefault="00061A2D" w:rsidP="008D0C3F">
            <w:pPr>
              <w:pStyle w:val="tbltext"/>
              <w:ind w:left="170" w:hanging="170"/>
            </w:pPr>
            <w:r w:rsidRPr="007724EE">
              <w:t>Notional amount—Leg 1</w:t>
            </w:r>
          </w:p>
        </w:tc>
      </w:tr>
      <w:tr w:rsidR="00061A2D" w:rsidRPr="000540E1" w14:paraId="7C545D92" w14:textId="77777777" w:rsidTr="008D0C3F">
        <w:trPr>
          <w:cantSplit/>
        </w:trPr>
        <w:tc>
          <w:tcPr>
            <w:tcW w:w="1666" w:type="pct"/>
          </w:tcPr>
          <w:p w14:paraId="5BEC27EA" w14:textId="307D8396" w:rsidR="00061A2D" w:rsidRPr="009C6F38" w:rsidRDefault="00AF6B4B" w:rsidP="008D0C3F">
            <w:pPr>
              <w:pStyle w:val="tbltext"/>
              <w:ind w:left="170" w:hanging="170"/>
              <w:rPr>
                <w:color w:val="FFFFFF" w:themeColor="background1"/>
              </w:rPr>
            </w:pPr>
            <w:r w:rsidRPr="009C6F38">
              <w:rPr>
                <w:color w:val="FFFFFF" w:themeColor="background1"/>
              </w:rPr>
              <w:t>Blank cell</w:t>
            </w:r>
          </w:p>
        </w:tc>
        <w:tc>
          <w:tcPr>
            <w:tcW w:w="1666" w:type="pct"/>
          </w:tcPr>
          <w:p w14:paraId="0DC42356" w14:textId="24A94258" w:rsidR="00061A2D" w:rsidRPr="009C6F38" w:rsidRDefault="00AF6B4B" w:rsidP="008D0C3F">
            <w:pPr>
              <w:pStyle w:val="tbltext"/>
              <w:ind w:left="170" w:hanging="170"/>
              <w:rPr>
                <w:color w:val="FFFFFF" w:themeColor="background1"/>
              </w:rPr>
            </w:pPr>
            <w:r w:rsidRPr="009C6F38">
              <w:rPr>
                <w:color w:val="FFFFFF" w:themeColor="background1"/>
              </w:rPr>
              <w:t>Blank cell</w:t>
            </w:r>
          </w:p>
        </w:tc>
        <w:tc>
          <w:tcPr>
            <w:tcW w:w="1667" w:type="pct"/>
          </w:tcPr>
          <w:p w14:paraId="388C603A" w14:textId="77777777" w:rsidR="00061A2D" w:rsidRPr="000540E1" w:rsidRDefault="00061A2D" w:rsidP="008D0C3F">
            <w:pPr>
              <w:pStyle w:val="tbltext"/>
              <w:ind w:left="170" w:hanging="170"/>
            </w:pPr>
            <w:r w:rsidRPr="007724EE">
              <w:t>Notional amount—Leg 2</w:t>
            </w:r>
          </w:p>
        </w:tc>
      </w:tr>
      <w:tr w:rsidR="00061A2D" w:rsidRPr="000540E1" w14:paraId="260D9664" w14:textId="77777777" w:rsidTr="008D0C3F">
        <w:trPr>
          <w:cantSplit/>
        </w:trPr>
        <w:tc>
          <w:tcPr>
            <w:tcW w:w="1666" w:type="pct"/>
          </w:tcPr>
          <w:p w14:paraId="4B969556" w14:textId="3BB3FBD3" w:rsidR="00061A2D" w:rsidRPr="00F76596" w:rsidRDefault="00AF6B4B" w:rsidP="008D0C3F">
            <w:pPr>
              <w:pStyle w:val="tbltext"/>
              <w:ind w:left="170" w:hanging="170"/>
            </w:pPr>
            <w:r>
              <w:t>Not applicable</w:t>
            </w:r>
          </w:p>
        </w:tc>
        <w:tc>
          <w:tcPr>
            <w:tcW w:w="1666" w:type="pct"/>
          </w:tcPr>
          <w:p w14:paraId="6AEBE246" w14:textId="02D09CA1" w:rsidR="00061A2D" w:rsidRPr="00F76596" w:rsidRDefault="00AF6B4B" w:rsidP="008D0C3F">
            <w:pPr>
              <w:pStyle w:val="tbltext"/>
              <w:ind w:left="170" w:hanging="170"/>
            </w:pPr>
            <w:r>
              <w:t>Not applicable</w:t>
            </w:r>
          </w:p>
        </w:tc>
        <w:tc>
          <w:tcPr>
            <w:tcW w:w="1667" w:type="pct"/>
          </w:tcPr>
          <w:p w14:paraId="7654960E" w14:textId="77777777" w:rsidR="00061A2D" w:rsidRPr="000540E1" w:rsidRDefault="00061A2D" w:rsidP="008D0C3F">
            <w:pPr>
              <w:pStyle w:val="tbltext"/>
            </w:pPr>
            <w:r w:rsidRPr="00736680">
              <w:t xml:space="preserve">Total notional quantity—Leg </w:t>
            </w:r>
            <w:r>
              <w:t>1</w:t>
            </w:r>
            <w:r>
              <w:br/>
            </w:r>
            <w:r w:rsidRPr="00736680">
              <w:t xml:space="preserve">Total notional quantity—Leg </w:t>
            </w:r>
            <w:r>
              <w:t>2</w:t>
            </w:r>
            <w:r>
              <w:br/>
              <w:t>N</w:t>
            </w:r>
            <w:r w:rsidRPr="00736680">
              <w:t xml:space="preserve">otional quantity—Leg </w:t>
            </w:r>
            <w:r>
              <w:t>1</w:t>
            </w:r>
            <w:r>
              <w:br/>
              <w:t>N</w:t>
            </w:r>
            <w:r w:rsidRPr="00736680">
              <w:t xml:space="preserve">otional quantity—Leg </w:t>
            </w:r>
            <w:r>
              <w:t>2</w:t>
            </w:r>
            <w:r>
              <w:br/>
            </w:r>
            <w:r w:rsidRPr="007724EE">
              <w:t>Quantity unit of measure—Leg 1</w:t>
            </w:r>
            <w:r w:rsidRPr="007724EE">
              <w:br/>
              <w:t>Quantity unit of measure—Leg 2</w:t>
            </w:r>
          </w:p>
        </w:tc>
      </w:tr>
      <w:tr w:rsidR="00061A2D" w:rsidRPr="000540E1" w14:paraId="5B538FA0" w14:textId="77777777" w:rsidTr="008D0C3F">
        <w:trPr>
          <w:cantSplit/>
        </w:trPr>
        <w:tc>
          <w:tcPr>
            <w:tcW w:w="1666" w:type="pct"/>
          </w:tcPr>
          <w:p w14:paraId="724F452E" w14:textId="77777777" w:rsidR="00061A2D" w:rsidRPr="00F76596" w:rsidRDefault="00061A2D" w:rsidP="008D0C3F">
            <w:pPr>
              <w:pStyle w:val="tbltext"/>
              <w:ind w:left="170" w:hanging="170"/>
            </w:pPr>
            <w:r w:rsidRPr="00F76596">
              <w:t>Notional currency</w:t>
            </w:r>
          </w:p>
        </w:tc>
        <w:tc>
          <w:tcPr>
            <w:tcW w:w="1666" w:type="pct"/>
          </w:tcPr>
          <w:p w14:paraId="661DE128" w14:textId="77777777" w:rsidR="00061A2D" w:rsidRPr="000540E1" w:rsidRDefault="00061A2D" w:rsidP="008D0C3F">
            <w:pPr>
              <w:pStyle w:val="tbltext"/>
              <w:ind w:left="170" w:hanging="170"/>
            </w:pPr>
            <w:r w:rsidRPr="007724EE">
              <w:t>Notional currency—Leg 1</w:t>
            </w:r>
          </w:p>
        </w:tc>
        <w:tc>
          <w:tcPr>
            <w:tcW w:w="1667" w:type="pct"/>
          </w:tcPr>
          <w:p w14:paraId="2353A7A8" w14:textId="77777777" w:rsidR="00061A2D" w:rsidRPr="000540E1" w:rsidRDefault="00061A2D" w:rsidP="008D0C3F">
            <w:pPr>
              <w:pStyle w:val="tbltext"/>
              <w:ind w:left="170" w:hanging="170"/>
            </w:pPr>
            <w:r w:rsidRPr="007724EE">
              <w:t>Notional currency—Leg 1</w:t>
            </w:r>
          </w:p>
        </w:tc>
      </w:tr>
      <w:tr w:rsidR="00061A2D" w:rsidRPr="000540E1" w14:paraId="1A78C721" w14:textId="77777777" w:rsidTr="008D0C3F">
        <w:trPr>
          <w:cantSplit/>
        </w:trPr>
        <w:tc>
          <w:tcPr>
            <w:tcW w:w="1666" w:type="pct"/>
          </w:tcPr>
          <w:p w14:paraId="2FB9E4C9" w14:textId="18159133" w:rsidR="00061A2D" w:rsidRPr="00F76596" w:rsidRDefault="00AF6B4B" w:rsidP="008D0C3F">
            <w:pPr>
              <w:pStyle w:val="tbltext"/>
              <w:ind w:left="170" w:hanging="170"/>
            </w:pPr>
            <w:r>
              <w:t>Not applicable</w:t>
            </w:r>
          </w:p>
        </w:tc>
        <w:tc>
          <w:tcPr>
            <w:tcW w:w="1666" w:type="pct"/>
          </w:tcPr>
          <w:p w14:paraId="098ACFEF" w14:textId="0E701AAA" w:rsidR="00061A2D" w:rsidRPr="00F76596" w:rsidRDefault="00AF6B4B" w:rsidP="008D0C3F">
            <w:pPr>
              <w:pStyle w:val="tbltext"/>
              <w:ind w:left="170" w:hanging="170"/>
            </w:pPr>
            <w:r>
              <w:t>Not applicable</w:t>
            </w:r>
          </w:p>
        </w:tc>
        <w:tc>
          <w:tcPr>
            <w:tcW w:w="1667" w:type="pct"/>
          </w:tcPr>
          <w:p w14:paraId="2D57C04B" w14:textId="77777777" w:rsidR="00061A2D" w:rsidRPr="000540E1" w:rsidRDefault="00061A2D" w:rsidP="008D0C3F">
            <w:pPr>
              <w:pStyle w:val="tbltext"/>
              <w:ind w:left="170" w:hanging="170"/>
            </w:pPr>
            <w:r w:rsidRPr="007724EE">
              <w:t>Notional currency—Leg 2</w:t>
            </w:r>
          </w:p>
        </w:tc>
      </w:tr>
      <w:tr w:rsidR="00061A2D" w:rsidRPr="000540E1" w14:paraId="55729023" w14:textId="77777777" w:rsidTr="008D0C3F">
        <w:trPr>
          <w:cantSplit/>
        </w:trPr>
        <w:tc>
          <w:tcPr>
            <w:tcW w:w="1666" w:type="pct"/>
          </w:tcPr>
          <w:p w14:paraId="267BF436" w14:textId="77777777" w:rsidR="00061A2D" w:rsidRPr="00F76596" w:rsidRDefault="00061A2D" w:rsidP="008D0C3F">
            <w:pPr>
              <w:pStyle w:val="tbltext"/>
              <w:ind w:left="170" w:hanging="170"/>
            </w:pPr>
            <w:r w:rsidRPr="00F76596">
              <w:t>Amount of upfront payment, if any</w:t>
            </w:r>
          </w:p>
        </w:tc>
        <w:tc>
          <w:tcPr>
            <w:tcW w:w="1666" w:type="pct"/>
          </w:tcPr>
          <w:p w14:paraId="7C54906F" w14:textId="77777777" w:rsidR="00061A2D" w:rsidRPr="000540E1" w:rsidRDefault="00061A2D" w:rsidP="008D0C3F">
            <w:pPr>
              <w:pStyle w:val="tbltext"/>
              <w:ind w:left="170" w:hanging="170"/>
            </w:pPr>
            <w:r w:rsidRPr="00262DA3">
              <w:t>Other payment amount</w:t>
            </w:r>
            <w:r>
              <w:br/>
              <w:t>upfront payments only</w:t>
            </w:r>
          </w:p>
        </w:tc>
        <w:tc>
          <w:tcPr>
            <w:tcW w:w="1667" w:type="pct"/>
          </w:tcPr>
          <w:p w14:paraId="5335E3D7" w14:textId="77777777" w:rsidR="00061A2D" w:rsidRPr="000540E1" w:rsidRDefault="00061A2D" w:rsidP="008D0C3F">
            <w:pPr>
              <w:pStyle w:val="tbltext"/>
              <w:ind w:left="170" w:hanging="170"/>
            </w:pPr>
            <w:r w:rsidRPr="00FA37D3">
              <w:rPr>
                <w:color w:val="000000" w:themeColor="text1"/>
              </w:rPr>
              <w:t>Other payment amount</w:t>
            </w:r>
            <w:r>
              <w:rPr>
                <w:color w:val="000000" w:themeColor="text1"/>
              </w:rPr>
              <w:br/>
            </w:r>
            <w:r>
              <w:t>upfront &amp; unwind payments</w:t>
            </w:r>
          </w:p>
        </w:tc>
      </w:tr>
      <w:tr w:rsidR="00061A2D" w:rsidRPr="000540E1" w14:paraId="3B803DB1" w14:textId="77777777" w:rsidTr="008D0C3F">
        <w:trPr>
          <w:cantSplit/>
        </w:trPr>
        <w:tc>
          <w:tcPr>
            <w:tcW w:w="1666" w:type="pct"/>
          </w:tcPr>
          <w:p w14:paraId="2710712C" w14:textId="77777777" w:rsidR="00061A2D" w:rsidRPr="00F76596" w:rsidRDefault="00061A2D" w:rsidP="008D0C3F">
            <w:pPr>
              <w:pStyle w:val="tbltext"/>
              <w:ind w:left="170" w:hanging="170"/>
            </w:pPr>
            <w:r w:rsidRPr="00F76596">
              <w:t>Description of the payment stream of Reporting Counterparty</w:t>
            </w:r>
          </w:p>
        </w:tc>
        <w:tc>
          <w:tcPr>
            <w:tcW w:w="1666" w:type="pct"/>
          </w:tcPr>
          <w:p w14:paraId="3CD27263" w14:textId="7DBB9AA9" w:rsidR="00061A2D" w:rsidRPr="000540E1" w:rsidRDefault="00AF6B4B" w:rsidP="008D0C3F">
            <w:pPr>
              <w:pStyle w:val="tbltext"/>
              <w:ind w:left="170" w:hanging="170"/>
            </w:pPr>
            <w:r>
              <w:t>Not applicable</w:t>
            </w:r>
          </w:p>
        </w:tc>
        <w:tc>
          <w:tcPr>
            <w:tcW w:w="1667" w:type="pct"/>
          </w:tcPr>
          <w:p w14:paraId="707B0BCA" w14:textId="21293A5C" w:rsidR="00061A2D" w:rsidRPr="000540E1" w:rsidRDefault="00AF6B4B" w:rsidP="008D0C3F">
            <w:pPr>
              <w:pStyle w:val="tbltext"/>
              <w:ind w:left="170" w:hanging="170"/>
            </w:pPr>
            <w:r>
              <w:t>Not applicable</w:t>
            </w:r>
          </w:p>
        </w:tc>
      </w:tr>
      <w:tr w:rsidR="00061A2D" w:rsidRPr="000540E1" w14:paraId="5EE3916A" w14:textId="77777777" w:rsidTr="008D0C3F">
        <w:trPr>
          <w:cantSplit/>
        </w:trPr>
        <w:tc>
          <w:tcPr>
            <w:tcW w:w="1666" w:type="pct"/>
          </w:tcPr>
          <w:p w14:paraId="41CB8C23" w14:textId="77777777" w:rsidR="00061A2D" w:rsidRPr="00F76596" w:rsidRDefault="00061A2D" w:rsidP="008D0C3F">
            <w:pPr>
              <w:pStyle w:val="tbltext"/>
              <w:ind w:left="170" w:hanging="170"/>
            </w:pPr>
            <w:r w:rsidRPr="00F76596">
              <w:t>Description of the payment stream of Non-Reporting Counterparty</w:t>
            </w:r>
          </w:p>
        </w:tc>
        <w:tc>
          <w:tcPr>
            <w:tcW w:w="1666" w:type="pct"/>
          </w:tcPr>
          <w:p w14:paraId="38CBF694" w14:textId="45B0A3BA" w:rsidR="00061A2D" w:rsidRPr="000540E1" w:rsidRDefault="00AF6B4B" w:rsidP="008D0C3F">
            <w:pPr>
              <w:pStyle w:val="tbltext"/>
              <w:ind w:left="170" w:hanging="170"/>
            </w:pPr>
            <w:r>
              <w:t>Not applicable</w:t>
            </w:r>
          </w:p>
        </w:tc>
        <w:tc>
          <w:tcPr>
            <w:tcW w:w="1667" w:type="pct"/>
          </w:tcPr>
          <w:p w14:paraId="03BF59C5" w14:textId="2485FB47" w:rsidR="00061A2D" w:rsidRPr="000540E1" w:rsidRDefault="00AF6B4B" w:rsidP="008D0C3F">
            <w:pPr>
              <w:pStyle w:val="tbltext"/>
              <w:ind w:left="170" w:hanging="170"/>
            </w:pPr>
            <w:r>
              <w:t>Not applicable</w:t>
            </w:r>
          </w:p>
        </w:tc>
      </w:tr>
      <w:tr w:rsidR="00061A2D" w:rsidRPr="000540E1" w14:paraId="62CA4BFA" w14:textId="77777777" w:rsidTr="008D0C3F">
        <w:trPr>
          <w:cantSplit/>
        </w:trPr>
        <w:tc>
          <w:tcPr>
            <w:tcW w:w="1666" w:type="pct"/>
          </w:tcPr>
          <w:p w14:paraId="5B4E67D9" w14:textId="77777777" w:rsidR="00061A2D" w:rsidRPr="00F76596" w:rsidRDefault="00061A2D" w:rsidP="008D0C3F">
            <w:pPr>
              <w:pStyle w:val="tbltext"/>
              <w:ind w:left="170" w:hanging="170"/>
            </w:pPr>
            <w:r w:rsidRPr="00F76596">
              <w:t>Payment frequency</w:t>
            </w:r>
          </w:p>
        </w:tc>
        <w:tc>
          <w:tcPr>
            <w:tcW w:w="1666" w:type="pct"/>
          </w:tcPr>
          <w:p w14:paraId="69F2CF97" w14:textId="77777777" w:rsidR="00061A2D" w:rsidRPr="000540E1" w:rsidRDefault="00061A2D" w:rsidP="008D0C3F">
            <w:pPr>
              <w:pStyle w:val="tbltext"/>
              <w:ind w:left="170" w:hanging="170"/>
            </w:pPr>
            <w:r w:rsidRPr="00F76596">
              <w:t>Payment frequency</w:t>
            </w:r>
          </w:p>
        </w:tc>
        <w:tc>
          <w:tcPr>
            <w:tcW w:w="1667" w:type="pct"/>
          </w:tcPr>
          <w:p w14:paraId="2312B2F1" w14:textId="77777777" w:rsidR="00061A2D" w:rsidRDefault="00061A2D" w:rsidP="008D0C3F">
            <w:pPr>
              <w:pStyle w:val="tbltext"/>
              <w:ind w:left="170" w:hanging="170"/>
              <w:rPr>
                <w:color w:val="000000" w:themeColor="text1"/>
              </w:rPr>
            </w:pPr>
            <w:r w:rsidRPr="00262DA3">
              <w:rPr>
                <w:color w:val="000000" w:themeColor="text1"/>
              </w:rPr>
              <w:t>Payment frequency period—Leg 1</w:t>
            </w:r>
          </w:p>
          <w:p w14:paraId="1F678E49" w14:textId="77777777" w:rsidR="00061A2D" w:rsidRPr="000540E1" w:rsidRDefault="00061A2D" w:rsidP="008D0C3F">
            <w:pPr>
              <w:pStyle w:val="tbltext"/>
              <w:ind w:left="170" w:hanging="170"/>
            </w:pPr>
            <w:r w:rsidRPr="00262DA3">
              <w:rPr>
                <w:color w:val="000000" w:themeColor="text1"/>
              </w:rPr>
              <w:t>Payment frequency period multiplier—Leg 1</w:t>
            </w:r>
          </w:p>
        </w:tc>
      </w:tr>
      <w:tr w:rsidR="00061A2D" w:rsidRPr="000540E1" w14:paraId="02ED2972" w14:textId="77777777" w:rsidTr="008D0C3F">
        <w:trPr>
          <w:cantSplit/>
        </w:trPr>
        <w:tc>
          <w:tcPr>
            <w:tcW w:w="1666" w:type="pct"/>
          </w:tcPr>
          <w:p w14:paraId="05D19E46" w14:textId="43058B10" w:rsidR="00061A2D" w:rsidRPr="00F76596" w:rsidRDefault="00AF6B4B" w:rsidP="008D0C3F">
            <w:pPr>
              <w:pStyle w:val="tbltext"/>
              <w:ind w:left="170" w:hanging="170"/>
            </w:pPr>
            <w:r>
              <w:t>Not applicable</w:t>
            </w:r>
          </w:p>
        </w:tc>
        <w:tc>
          <w:tcPr>
            <w:tcW w:w="1666" w:type="pct"/>
          </w:tcPr>
          <w:p w14:paraId="55B19ED9" w14:textId="46B4CE76" w:rsidR="00061A2D" w:rsidRPr="00F76596" w:rsidRDefault="00AF6B4B" w:rsidP="008D0C3F">
            <w:pPr>
              <w:pStyle w:val="tbltext"/>
              <w:ind w:left="170" w:hanging="170"/>
            </w:pPr>
            <w:r>
              <w:t>Not applicable</w:t>
            </w:r>
          </w:p>
        </w:tc>
        <w:tc>
          <w:tcPr>
            <w:tcW w:w="1667" w:type="pct"/>
          </w:tcPr>
          <w:p w14:paraId="1A27C63F" w14:textId="77777777" w:rsidR="00061A2D" w:rsidRPr="000540E1" w:rsidRDefault="00061A2D" w:rsidP="008D0C3F">
            <w:pPr>
              <w:pStyle w:val="tbltext"/>
            </w:pPr>
            <w:r w:rsidRPr="007724EE">
              <w:t>CDS index attachment point</w:t>
            </w:r>
            <w:r w:rsidRPr="007724EE">
              <w:br/>
              <w:t>CDS index detachment point</w:t>
            </w:r>
            <w:r w:rsidRPr="007724EE">
              <w:br/>
              <w:t>Index factor</w:t>
            </w:r>
          </w:p>
        </w:tc>
      </w:tr>
      <w:tr w:rsidR="00061A2D" w:rsidRPr="000540E1" w14:paraId="15594D93" w14:textId="77777777" w:rsidTr="008D0C3F">
        <w:trPr>
          <w:cantSplit/>
        </w:trPr>
        <w:tc>
          <w:tcPr>
            <w:tcW w:w="1666" w:type="pct"/>
            <w:shd w:val="clear" w:color="auto" w:fill="D9D9D9" w:themeFill="background1" w:themeFillShade="D9"/>
          </w:tcPr>
          <w:p w14:paraId="5F5BA39F" w14:textId="2161630E" w:rsidR="00061A2D" w:rsidRPr="000540E1" w:rsidRDefault="00061A2D" w:rsidP="008D0C3F">
            <w:pPr>
              <w:pStyle w:val="tbltext"/>
            </w:pPr>
            <w:r>
              <w:t xml:space="preserve">Table S2.1(4) </w:t>
            </w:r>
            <w:r w:rsidRPr="00526BA1">
              <w:t>Foreign exchange derivative data</w:t>
            </w:r>
          </w:p>
        </w:tc>
        <w:tc>
          <w:tcPr>
            <w:tcW w:w="1666" w:type="pct"/>
            <w:shd w:val="clear" w:color="auto" w:fill="D9D9D9" w:themeFill="background1" w:themeFillShade="D9"/>
          </w:tcPr>
          <w:p w14:paraId="59A10738" w14:textId="3021CFED" w:rsidR="00061A2D" w:rsidRPr="000540E1" w:rsidRDefault="00061A2D" w:rsidP="008D0C3F">
            <w:pPr>
              <w:pStyle w:val="tbltext"/>
            </w:pPr>
            <w:r>
              <w:t xml:space="preserve">Table S1.1(4) </w:t>
            </w:r>
            <w:r w:rsidRPr="00F76596">
              <w:t>Foreign exchange derivative data</w:t>
            </w:r>
          </w:p>
        </w:tc>
        <w:tc>
          <w:tcPr>
            <w:tcW w:w="1667" w:type="pct"/>
            <w:shd w:val="clear" w:color="auto" w:fill="auto"/>
          </w:tcPr>
          <w:p w14:paraId="119ED4E0" w14:textId="2355E588" w:rsidR="00061A2D" w:rsidRPr="000540E1" w:rsidRDefault="00AF6B4B" w:rsidP="008D0C3F">
            <w:pPr>
              <w:pStyle w:val="tbltext"/>
            </w:pPr>
            <w:r w:rsidRPr="009C6F38">
              <w:rPr>
                <w:color w:val="FFFFFF" w:themeColor="background1"/>
              </w:rPr>
              <w:t>Blank cell</w:t>
            </w:r>
          </w:p>
        </w:tc>
      </w:tr>
      <w:tr w:rsidR="00061A2D" w:rsidRPr="000540E1" w14:paraId="145D7EED" w14:textId="77777777" w:rsidTr="008D0C3F">
        <w:trPr>
          <w:cantSplit/>
        </w:trPr>
        <w:tc>
          <w:tcPr>
            <w:tcW w:w="1666" w:type="pct"/>
          </w:tcPr>
          <w:p w14:paraId="1E01BCB9" w14:textId="77777777" w:rsidR="00061A2D" w:rsidRPr="00F76596" w:rsidRDefault="00061A2D" w:rsidP="008D0C3F">
            <w:pPr>
              <w:pStyle w:val="tbltext"/>
              <w:ind w:left="170" w:hanging="170"/>
            </w:pPr>
            <w:r w:rsidRPr="00F76596">
              <w:t>Notional amount 1</w:t>
            </w:r>
          </w:p>
        </w:tc>
        <w:tc>
          <w:tcPr>
            <w:tcW w:w="1666" w:type="pct"/>
          </w:tcPr>
          <w:p w14:paraId="43B1C126" w14:textId="77777777" w:rsidR="00061A2D" w:rsidRPr="000540E1" w:rsidRDefault="00061A2D" w:rsidP="008D0C3F">
            <w:pPr>
              <w:pStyle w:val="tbltext"/>
              <w:ind w:left="170" w:hanging="170"/>
            </w:pPr>
            <w:r w:rsidRPr="007724EE">
              <w:t>Notional amount—Leg 1</w:t>
            </w:r>
          </w:p>
        </w:tc>
        <w:tc>
          <w:tcPr>
            <w:tcW w:w="1667" w:type="pct"/>
          </w:tcPr>
          <w:p w14:paraId="154BB4A3" w14:textId="77777777" w:rsidR="00061A2D" w:rsidRPr="000540E1" w:rsidRDefault="00061A2D" w:rsidP="008D0C3F">
            <w:pPr>
              <w:pStyle w:val="tbltext"/>
              <w:ind w:left="170" w:hanging="170"/>
            </w:pPr>
            <w:r w:rsidRPr="007724EE">
              <w:t>Notional amount—Leg 1</w:t>
            </w:r>
          </w:p>
        </w:tc>
      </w:tr>
      <w:tr w:rsidR="00061A2D" w:rsidRPr="000540E1" w14:paraId="695012C9" w14:textId="77777777" w:rsidTr="008D0C3F">
        <w:trPr>
          <w:cantSplit/>
        </w:trPr>
        <w:tc>
          <w:tcPr>
            <w:tcW w:w="1666" w:type="pct"/>
          </w:tcPr>
          <w:p w14:paraId="61DAF5EE" w14:textId="77777777" w:rsidR="00061A2D" w:rsidRPr="00F76596" w:rsidRDefault="00061A2D" w:rsidP="008D0C3F">
            <w:pPr>
              <w:pStyle w:val="tbltext"/>
              <w:ind w:left="170" w:hanging="170"/>
            </w:pPr>
            <w:r w:rsidRPr="00F76596">
              <w:t>Notional amount 2</w:t>
            </w:r>
          </w:p>
        </w:tc>
        <w:tc>
          <w:tcPr>
            <w:tcW w:w="1666" w:type="pct"/>
          </w:tcPr>
          <w:p w14:paraId="28198F44" w14:textId="77777777" w:rsidR="00061A2D" w:rsidRPr="000540E1" w:rsidRDefault="00061A2D" w:rsidP="008D0C3F">
            <w:pPr>
              <w:pStyle w:val="tbltext"/>
              <w:ind w:left="170" w:hanging="170"/>
            </w:pPr>
            <w:r w:rsidRPr="007724EE">
              <w:t xml:space="preserve">Notional amount—Leg </w:t>
            </w:r>
            <w:r>
              <w:t>2</w:t>
            </w:r>
          </w:p>
        </w:tc>
        <w:tc>
          <w:tcPr>
            <w:tcW w:w="1667" w:type="pct"/>
          </w:tcPr>
          <w:p w14:paraId="7799FB71" w14:textId="77777777" w:rsidR="00061A2D" w:rsidRPr="000540E1" w:rsidRDefault="00061A2D" w:rsidP="008D0C3F">
            <w:pPr>
              <w:pStyle w:val="tbltext"/>
              <w:ind w:left="170" w:hanging="170"/>
            </w:pPr>
            <w:r w:rsidRPr="007724EE">
              <w:t>Notional amount—Leg 2</w:t>
            </w:r>
          </w:p>
        </w:tc>
      </w:tr>
      <w:tr w:rsidR="00061A2D" w:rsidRPr="000540E1" w14:paraId="680111B6" w14:textId="77777777" w:rsidTr="008D0C3F">
        <w:trPr>
          <w:cantSplit/>
        </w:trPr>
        <w:tc>
          <w:tcPr>
            <w:tcW w:w="1666" w:type="pct"/>
          </w:tcPr>
          <w:p w14:paraId="3FEDA939" w14:textId="77777777" w:rsidR="00061A2D" w:rsidRPr="00F76596" w:rsidRDefault="00061A2D" w:rsidP="008D0C3F">
            <w:pPr>
              <w:pStyle w:val="tbltext"/>
              <w:ind w:left="170" w:hanging="170"/>
            </w:pPr>
            <w:r w:rsidRPr="00F76596">
              <w:t>Currency 1</w:t>
            </w:r>
          </w:p>
        </w:tc>
        <w:tc>
          <w:tcPr>
            <w:tcW w:w="1666" w:type="pct"/>
          </w:tcPr>
          <w:p w14:paraId="1B81C162" w14:textId="77777777" w:rsidR="00061A2D" w:rsidRPr="000540E1" w:rsidRDefault="00061A2D" w:rsidP="008D0C3F">
            <w:pPr>
              <w:pStyle w:val="tbltext"/>
              <w:ind w:left="170" w:hanging="170"/>
            </w:pPr>
            <w:r w:rsidRPr="00F76596">
              <w:t>Currency 1</w:t>
            </w:r>
          </w:p>
        </w:tc>
        <w:tc>
          <w:tcPr>
            <w:tcW w:w="1667" w:type="pct"/>
          </w:tcPr>
          <w:p w14:paraId="5BE47FA0" w14:textId="77777777" w:rsidR="00061A2D" w:rsidRPr="000540E1" w:rsidRDefault="00061A2D" w:rsidP="008D0C3F">
            <w:pPr>
              <w:pStyle w:val="tbltext"/>
              <w:ind w:left="170" w:hanging="170"/>
            </w:pPr>
            <w:r w:rsidRPr="007724EE">
              <w:t>Notional currency—Leg 1</w:t>
            </w:r>
          </w:p>
        </w:tc>
      </w:tr>
      <w:tr w:rsidR="00061A2D" w:rsidRPr="000540E1" w14:paraId="2D27A615" w14:textId="77777777" w:rsidTr="008D0C3F">
        <w:trPr>
          <w:cantSplit/>
        </w:trPr>
        <w:tc>
          <w:tcPr>
            <w:tcW w:w="1666" w:type="pct"/>
          </w:tcPr>
          <w:p w14:paraId="0C11653D" w14:textId="77777777" w:rsidR="00061A2D" w:rsidRPr="00F76596" w:rsidRDefault="00061A2D" w:rsidP="008D0C3F">
            <w:pPr>
              <w:pStyle w:val="tbltext"/>
              <w:ind w:left="170" w:hanging="170"/>
            </w:pPr>
            <w:r w:rsidRPr="00F76596">
              <w:t xml:space="preserve">Currency </w:t>
            </w:r>
            <w:r>
              <w:t>2</w:t>
            </w:r>
          </w:p>
        </w:tc>
        <w:tc>
          <w:tcPr>
            <w:tcW w:w="1666" w:type="pct"/>
          </w:tcPr>
          <w:p w14:paraId="12657AC7" w14:textId="77777777" w:rsidR="00061A2D" w:rsidRPr="000540E1" w:rsidRDefault="00061A2D" w:rsidP="008D0C3F">
            <w:pPr>
              <w:pStyle w:val="tbltext"/>
              <w:ind w:left="170" w:hanging="170"/>
            </w:pPr>
            <w:r w:rsidRPr="00F76596">
              <w:t xml:space="preserve">Currency </w:t>
            </w:r>
            <w:r>
              <w:t>2</w:t>
            </w:r>
          </w:p>
        </w:tc>
        <w:tc>
          <w:tcPr>
            <w:tcW w:w="1667" w:type="pct"/>
          </w:tcPr>
          <w:p w14:paraId="5A23DED0" w14:textId="77777777" w:rsidR="00061A2D" w:rsidRPr="000540E1" w:rsidRDefault="00061A2D" w:rsidP="008D0C3F">
            <w:pPr>
              <w:pStyle w:val="tbltext"/>
              <w:ind w:left="170" w:hanging="170"/>
            </w:pPr>
            <w:r w:rsidRPr="007724EE">
              <w:t>Notional currency—Leg 2</w:t>
            </w:r>
          </w:p>
        </w:tc>
      </w:tr>
      <w:tr w:rsidR="00061A2D" w:rsidRPr="000540E1" w14:paraId="6571F396" w14:textId="77777777" w:rsidTr="008D0C3F">
        <w:trPr>
          <w:cantSplit/>
        </w:trPr>
        <w:tc>
          <w:tcPr>
            <w:tcW w:w="1666" w:type="pct"/>
          </w:tcPr>
          <w:p w14:paraId="651B4945" w14:textId="1C3287A6" w:rsidR="00061A2D" w:rsidRPr="00F76596" w:rsidRDefault="00AF6B4B" w:rsidP="008D0C3F">
            <w:pPr>
              <w:pStyle w:val="tbltext"/>
              <w:ind w:left="170" w:hanging="170"/>
            </w:pPr>
            <w:r>
              <w:t>Not applicable</w:t>
            </w:r>
          </w:p>
        </w:tc>
        <w:tc>
          <w:tcPr>
            <w:tcW w:w="1666" w:type="pct"/>
          </w:tcPr>
          <w:p w14:paraId="62D6CD82" w14:textId="598AA8E5" w:rsidR="00061A2D" w:rsidRPr="00F76596" w:rsidRDefault="00AF6B4B" w:rsidP="008D0C3F">
            <w:pPr>
              <w:pStyle w:val="tbltext"/>
              <w:ind w:left="170" w:hanging="170"/>
            </w:pPr>
            <w:r>
              <w:t>Not applicable</w:t>
            </w:r>
          </w:p>
        </w:tc>
        <w:tc>
          <w:tcPr>
            <w:tcW w:w="1667" w:type="pct"/>
          </w:tcPr>
          <w:p w14:paraId="6596CE37" w14:textId="77777777" w:rsidR="00061A2D" w:rsidRPr="000540E1" w:rsidRDefault="00061A2D" w:rsidP="008D0C3F">
            <w:pPr>
              <w:pStyle w:val="tbltext"/>
            </w:pPr>
            <w:r>
              <w:t>Call amount</w:t>
            </w:r>
            <w:r>
              <w:br/>
              <w:t>Put amount</w:t>
            </w:r>
            <w:r>
              <w:br/>
              <w:t>Call currency</w:t>
            </w:r>
            <w:r>
              <w:br/>
              <w:t>Put currency</w:t>
            </w:r>
          </w:p>
        </w:tc>
      </w:tr>
      <w:tr w:rsidR="00061A2D" w:rsidRPr="000540E1" w14:paraId="1AA7BC8F" w14:textId="77777777" w:rsidTr="008D0C3F">
        <w:trPr>
          <w:cantSplit/>
        </w:trPr>
        <w:tc>
          <w:tcPr>
            <w:tcW w:w="1666" w:type="pct"/>
          </w:tcPr>
          <w:p w14:paraId="5F9AB900" w14:textId="77777777" w:rsidR="00061A2D" w:rsidRPr="00F76596" w:rsidRDefault="00061A2D" w:rsidP="008D0C3F">
            <w:pPr>
              <w:pStyle w:val="tbltext"/>
              <w:ind w:left="170" w:hanging="170"/>
            </w:pPr>
            <w:r w:rsidRPr="00F76596">
              <w:t>Exchange rate</w:t>
            </w:r>
          </w:p>
        </w:tc>
        <w:tc>
          <w:tcPr>
            <w:tcW w:w="1666" w:type="pct"/>
          </w:tcPr>
          <w:p w14:paraId="4DB82A56" w14:textId="77777777" w:rsidR="00061A2D" w:rsidRPr="000540E1" w:rsidRDefault="00061A2D" w:rsidP="008D0C3F">
            <w:pPr>
              <w:pStyle w:val="tbltext"/>
              <w:ind w:left="170" w:hanging="170"/>
            </w:pPr>
            <w:r w:rsidRPr="00F76596">
              <w:t>Exchange rate</w:t>
            </w:r>
          </w:p>
        </w:tc>
        <w:tc>
          <w:tcPr>
            <w:tcW w:w="1667" w:type="pct"/>
          </w:tcPr>
          <w:p w14:paraId="2D3D1051" w14:textId="77777777" w:rsidR="00061A2D" w:rsidRPr="000540E1" w:rsidRDefault="00061A2D" w:rsidP="008D0C3F">
            <w:pPr>
              <w:pStyle w:val="tbltext"/>
              <w:ind w:left="170" w:hanging="170"/>
            </w:pPr>
            <w:r w:rsidRPr="00D94A5F">
              <w:t>Exchange rate</w:t>
            </w:r>
          </w:p>
        </w:tc>
      </w:tr>
      <w:tr w:rsidR="00061A2D" w:rsidRPr="000540E1" w14:paraId="4B4DA3ED" w14:textId="77777777" w:rsidTr="008D0C3F">
        <w:trPr>
          <w:cantSplit/>
        </w:trPr>
        <w:tc>
          <w:tcPr>
            <w:tcW w:w="1666" w:type="pct"/>
          </w:tcPr>
          <w:p w14:paraId="2FF97837" w14:textId="377E3EDF" w:rsidR="00061A2D" w:rsidRPr="00F76596" w:rsidRDefault="00AF6B4B" w:rsidP="008D0C3F">
            <w:pPr>
              <w:pStyle w:val="tbltext"/>
              <w:ind w:left="170" w:hanging="170"/>
            </w:pPr>
            <w:r>
              <w:t>Not applicable</w:t>
            </w:r>
          </w:p>
        </w:tc>
        <w:tc>
          <w:tcPr>
            <w:tcW w:w="1666" w:type="pct"/>
          </w:tcPr>
          <w:p w14:paraId="1085ADA6" w14:textId="013EB726" w:rsidR="00061A2D" w:rsidRDefault="00AF6B4B" w:rsidP="008D0C3F">
            <w:pPr>
              <w:pStyle w:val="tbltext"/>
              <w:ind w:left="170" w:hanging="170"/>
            </w:pPr>
            <w:r>
              <w:t>Not applicable</w:t>
            </w:r>
          </w:p>
        </w:tc>
        <w:tc>
          <w:tcPr>
            <w:tcW w:w="1667" w:type="pct"/>
          </w:tcPr>
          <w:p w14:paraId="736380B5" w14:textId="77777777" w:rsidR="00061A2D" w:rsidRPr="000540E1" w:rsidRDefault="00061A2D" w:rsidP="008D0C3F">
            <w:pPr>
              <w:pStyle w:val="tbltext"/>
              <w:ind w:left="170" w:hanging="170"/>
            </w:pPr>
            <w:r>
              <w:t>Exchange rate basis</w:t>
            </w:r>
          </w:p>
        </w:tc>
      </w:tr>
      <w:tr w:rsidR="00061A2D" w:rsidRPr="000540E1" w14:paraId="2681CF04" w14:textId="77777777" w:rsidTr="008D0C3F">
        <w:trPr>
          <w:cantSplit/>
        </w:trPr>
        <w:tc>
          <w:tcPr>
            <w:tcW w:w="1666" w:type="pct"/>
          </w:tcPr>
          <w:p w14:paraId="7C96A4D1" w14:textId="77777777" w:rsidR="00061A2D" w:rsidRPr="00F76596" w:rsidRDefault="00061A2D" w:rsidP="008D0C3F">
            <w:pPr>
              <w:pStyle w:val="tbltext"/>
              <w:ind w:left="170" w:hanging="170"/>
            </w:pPr>
            <w:r w:rsidRPr="00F76596">
              <w:t>Forward exchange rate</w:t>
            </w:r>
          </w:p>
        </w:tc>
        <w:tc>
          <w:tcPr>
            <w:tcW w:w="1666" w:type="pct"/>
          </w:tcPr>
          <w:p w14:paraId="3A3DF171" w14:textId="5E04E0E1" w:rsidR="00061A2D" w:rsidRPr="000540E1" w:rsidRDefault="00AF6B4B" w:rsidP="008D0C3F">
            <w:pPr>
              <w:pStyle w:val="tbltext"/>
              <w:ind w:left="170" w:hanging="170"/>
            </w:pPr>
            <w:r>
              <w:t>Not applicable</w:t>
            </w:r>
          </w:p>
        </w:tc>
        <w:tc>
          <w:tcPr>
            <w:tcW w:w="1667" w:type="pct"/>
          </w:tcPr>
          <w:p w14:paraId="75645E47" w14:textId="7C33FACB" w:rsidR="00061A2D" w:rsidRPr="000540E1" w:rsidRDefault="00AF6B4B" w:rsidP="008D0C3F">
            <w:pPr>
              <w:pStyle w:val="tbltext"/>
              <w:ind w:left="170" w:hanging="170"/>
            </w:pPr>
            <w:r>
              <w:t>Not applicable</w:t>
            </w:r>
          </w:p>
        </w:tc>
      </w:tr>
      <w:tr w:rsidR="00061A2D" w:rsidRPr="000540E1" w14:paraId="32A0CF16" w14:textId="77777777" w:rsidTr="008D0C3F">
        <w:trPr>
          <w:cantSplit/>
        </w:trPr>
        <w:tc>
          <w:tcPr>
            <w:tcW w:w="1666" w:type="pct"/>
            <w:shd w:val="clear" w:color="auto" w:fill="D9D9D9" w:themeFill="background1" w:themeFillShade="D9"/>
          </w:tcPr>
          <w:p w14:paraId="5CEFA4CB" w14:textId="712927FE" w:rsidR="00061A2D" w:rsidRPr="000540E1" w:rsidRDefault="00061A2D" w:rsidP="008D0C3F">
            <w:pPr>
              <w:pStyle w:val="tbltext"/>
            </w:pPr>
            <w:r>
              <w:t xml:space="preserve">Table S2.1(5) </w:t>
            </w:r>
            <w:r w:rsidRPr="00F76596">
              <w:t>Interest rate derivative data</w:t>
            </w:r>
          </w:p>
        </w:tc>
        <w:tc>
          <w:tcPr>
            <w:tcW w:w="1666" w:type="pct"/>
            <w:shd w:val="clear" w:color="auto" w:fill="D9D9D9" w:themeFill="background1" w:themeFillShade="D9"/>
          </w:tcPr>
          <w:p w14:paraId="7091DF80" w14:textId="52F02AFE" w:rsidR="00061A2D" w:rsidRPr="000540E1" w:rsidRDefault="00061A2D" w:rsidP="008D0C3F">
            <w:pPr>
              <w:pStyle w:val="tbltext"/>
            </w:pPr>
            <w:r>
              <w:t xml:space="preserve">Table S1.1(5) </w:t>
            </w:r>
            <w:r w:rsidRPr="00F76596">
              <w:t>Interest rate derivative data</w:t>
            </w:r>
          </w:p>
        </w:tc>
        <w:tc>
          <w:tcPr>
            <w:tcW w:w="1667" w:type="pct"/>
            <w:shd w:val="clear" w:color="auto" w:fill="auto"/>
          </w:tcPr>
          <w:p w14:paraId="273836F3" w14:textId="05F59048" w:rsidR="00061A2D" w:rsidRPr="000540E1" w:rsidRDefault="002323E1" w:rsidP="008D0C3F">
            <w:pPr>
              <w:pStyle w:val="tbltext"/>
            </w:pPr>
            <w:r w:rsidRPr="009C6F38">
              <w:rPr>
                <w:color w:val="FFFFFF" w:themeColor="background1"/>
              </w:rPr>
              <w:t>Blank cell</w:t>
            </w:r>
          </w:p>
        </w:tc>
      </w:tr>
      <w:tr w:rsidR="00061A2D" w:rsidRPr="000540E1" w14:paraId="3FD14B77" w14:textId="77777777" w:rsidTr="008D0C3F">
        <w:trPr>
          <w:cantSplit/>
        </w:trPr>
        <w:tc>
          <w:tcPr>
            <w:tcW w:w="1666" w:type="pct"/>
          </w:tcPr>
          <w:p w14:paraId="5E354B6B" w14:textId="77777777" w:rsidR="00061A2D" w:rsidRPr="00F76596" w:rsidRDefault="00061A2D" w:rsidP="008D0C3F">
            <w:pPr>
              <w:pStyle w:val="tbltext"/>
              <w:ind w:left="170" w:hanging="170"/>
            </w:pPr>
            <w:r w:rsidRPr="00F76596">
              <w:t>Notional amount for leg 1</w:t>
            </w:r>
          </w:p>
        </w:tc>
        <w:tc>
          <w:tcPr>
            <w:tcW w:w="1666" w:type="pct"/>
          </w:tcPr>
          <w:p w14:paraId="3D9B2C33" w14:textId="77777777" w:rsidR="00061A2D" w:rsidRPr="000540E1" w:rsidRDefault="00061A2D" w:rsidP="008D0C3F">
            <w:pPr>
              <w:pStyle w:val="tbltext"/>
              <w:ind w:left="170" w:hanging="170"/>
            </w:pPr>
            <w:r w:rsidRPr="007724EE">
              <w:t>Notional amount—Leg 1</w:t>
            </w:r>
          </w:p>
        </w:tc>
        <w:tc>
          <w:tcPr>
            <w:tcW w:w="1667" w:type="pct"/>
          </w:tcPr>
          <w:p w14:paraId="04FB82B0" w14:textId="77777777" w:rsidR="00061A2D" w:rsidRPr="000540E1" w:rsidRDefault="00061A2D" w:rsidP="008D0C3F">
            <w:pPr>
              <w:pStyle w:val="tbltext"/>
              <w:ind w:left="170" w:hanging="170"/>
            </w:pPr>
            <w:r w:rsidRPr="007724EE">
              <w:t>Notional amount—Leg 1</w:t>
            </w:r>
          </w:p>
        </w:tc>
      </w:tr>
      <w:tr w:rsidR="00061A2D" w:rsidRPr="000540E1" w14:paraId="164448A5" w14:textId="77777777" w:rsidTr="008D0C3F">
        <w:trPr>
          <w:cantSplit/>
        </w:trPr>
        <w:tc>
          <w:tcPr>
            <w:tcW w:w="1666" w:type="pct"/>
          </w:tcPr>
          <w:p w14:paraId="5B48F08A" w14:textId="77777777" w:rsidR="00061A2D" w:rsidRPr="00F76596" w:rsidRDefault="00061A2D" w:rsidP="008D0C3F">
            <w:pPr>
              <w:pStyle w:val="tbltext"/>
              <w:ind w:left="170" w:hanging="170"/>
            </w:pPr>
            <w:r w:rsidRPr="00F76596">
              <w:t>Notional amount for leg 2</w:t>
            </w:r>
          </w:p>
        </w:tc>
        <w:tc>
          <w:tcPr>
            <w:tcW w:w="1666" w:type="pct"/>
          </w:tcPr>
          <w:p w14:paraId="1840D5F2" w14:textId="77777777" w:rsidR="00061A2D" w:rsidRPr="000540E1" w:rsidRDefault="00061A2D" w:rsidP="008D0C3F">
            <w:pPr>
              <w:pStyle w:val="tbltext"/>
              <w:ind w:left="170" w:hanging="170"/>
            </w:pPr>
            <w:r w:rsidRPr="007724EE">
              <w:t>Notional amount—Leg 2</w:t>
            </w:r>
          </w:p>
        </w:tc>
        <w:tc>
          <w:tcPr>
            <w:tcW w:w="1667" w:type="pct"/>
          </w:tcPr>
          <w:p w14:paraId="0A5C6967" w14:textId="77777777" w:rsidR="00061A2D" w:rsidRPr="000540E1" w:rsidRDefault="00061A2D" w:rsidP="008D0C3F">
            <w:pPr>
              <w:pStyle w:val="tbltext"/>
              <w:ind w:left="170" w:hanging="170"/>
            </w:pPr>
            <w:r w:rsidRPr="007724EE">
              <w:t>Notional amount—Leg 2</w:t>
            </w:r>
          </w:p>
        </w:tc>
      </w:tr>
      <w:tr w:rsidR="00061A2D" w:rsidRPr="000540E1" w14:paraId="70688D58" w14:textId="77777777" w:rsidTr="008D0C3F">
        <w:trPr>
          <w:cantSplit/>
        </w:trPr>
        <w:tc>
          <w:tcPr>
            <w:tcW w:w="1666" w:type="pct"/>
          </w:tcPr>
          <w:p w14:paraId="54A3AC92" w14:textId="77777777" w:rsidR="00061A2D" w:rsidRPr="00F76596" w:rsidRDefault="00061A2D" w:rsidP="008D0C3F">
            <w:pPr>
              <w:pStyle w:val="tbltext"/>
              <w:ind w:left="170" w:hanging="170"/>
            </w:pPr>
            <w:r w:rsidRPr="00F76596">
              <w:t>Notional currency for leg 1</w:t>
            </w:r>
          </w:p>
        </w:tc>
        <w:tc>
          <w:tcPr>
            <w:tcW w:w="1666" w:type="pct"/>
          </w:tcPr>
          <w:p w14:paraId="26203395" w14:textId="77777777" w:rsidR="00061A2D" w:rsidRPr="000540E1" w:rsidRDefault="00061A2D" w:rsidP="008D0C3F">
            <w:pPr>
              <w:pStyle w:val="tbltext"/>
              <w:ind w:left="170" w:hanging="170"/>
            </w:pPr>
            <w:r w:rsidRPr="007724EE">
              <w:t>Notional currency—Leg 1</w:t>
            </w:r>
          </w:p>
        </w:tc>
        <w:tc>
          <w:tcPr>
            <w:tcW w:w="1667" w:type="pct"/>
          </w:tcPr>
          <w:p w14:paraId="3C67AD1A" w14:textId="77777777" w:rsidR="00061A2D" w:rsidRPr="000540E1" w:rsidRDefault="00061A2D" w:rsidP="008D0C3F">
            <w:pPr>
              <w:pStyle w:val="tbltext"/>
              <w:ind w:left="170" w:hanging="170"/>
            </w:pPr>
            <w:r w:rsidRPr="007724EE">
              <w:t>Notional currency—Leg 1</w:t>
            </w:r>
          </w:p>
        </w:tc>
      </w:tr>
      <w:tr w:rsidR="00061A2D" w:rsidRPr="000540E1" w14:paraId="38E60D5E" w14:textId="77777777" w:rsidTr="008D0C3F">
        <w:trPr>
          <w:cantSplit/>
        </w:trPr>
        <w:tc>
          <w:tcPr>
            <w:tcW w:w="1666" w:type="pct"/>
          </w:tcPr>
          <w:p w14:paraId="76034D12" w14:textId="77777777" w:rsidR="00061A2D" w:rsidRPr="00F76596" w:rsidRDefault="00061A2D" w:rsidP="008D0C3F">
            <w:pPr>
              <w:pStyle w:val="tbltext"/>
              <w:ind w:left="170" w:hanging="170"/>
            </w:pPr>
            <w:r w:rsidRPr="00F76596">
              <w:t xml:space="preserve">Notional currency for leg </w:t>
            </w:r>
            <w:r>
              <w:t>2</w:t>
            </w:r>
          </w:p>
        </w:tc>
        <w:tc>
          <w:tcPr>
            <w:tcW w:w="1666" w:type="pct"/>
          </w:tcPr>
          <w:p w14:paraId="77B09F26" w14:textId="77777777" w:rsidR="00061A2D" w:rsidRPr="000540E1" w:rsidRDefault="00061A2D" w:rsidP="008D0C3F">
            <w:pPr>
              <w:pStyle w:val="tbltext"/>
              <w:ind w:left="170" w:hanging="170"/>
            </w:pPr>
            <w:r w:rsidRPr="007724EE">
              <w:t>Notional currency—Leg 2</w:t>
            </w:r>
          </w:p>
        </w:tc>
        <w:tc>
          <w:tcPr>
            <w:tcW w:w="1667" w:type="pct"/>
          </w:tcPr>
          <w:p w14:paraId="4DD67F7F" w14:textId="77777777" w:rsidR="00061A2D" w:rsidRPr="000540E1" w:rsidRDefault="00061A2D" w:rsidP="008D0C3F">
            <w:pPr>
              <w:pStyle w:val="tbltext"/>
              <w:ind w:left="170" w:hanging="170"/>
            </w:pPr>
            <w:r w:rsidRPr="007724EE">
              <w:t>Notional currency—Leg 2</w:t>
            </w:r>
          </w:p>
        </w:tc>
      </w:tr>
      <w:tr w:rsidR="00061A2D" w:rsidRPr="000540E1" w14:paraId="12C00E00" w14:textId="77777777" w:rsidTr="008D0C3F">
        <w:trPr>
          <w:cantSplit/>
        </w:trPr>
        <w:tc>
          <w:tcPr>
            <w:tcW w:w="1666" w:type="pct"/>
          </w:tcPr>
          <w:p w14:paraId="6C9BAE01" w14:textId="77777777" w:rsidR="00061A2D" w:rsidRPr="00F76596" w:rsidRDefault="00061A2D" w:rsidP="008D0C3F">
            <w:pPr>
              <w:pStyle w:val="tbltext"/>
              <w:ind w:left="170" w:hanging="170"/>
            </w:pPr>
            <w:r w:rsidRPr="00F76596">
              <w:t>Amount of upfront payment, if any</w:t>
            </w:r>
          </w:p>
        </w:tc>
        <w:tc>
          <w:tcPr>
            <w:tcW w:w="1666" w:type="pct"/>
          </w:tcPr>
          <w:p w14:paraId="2B6F5AEB" w14:textId="77777777" w:rsidR="00061A2D" w:rsidRPr="000540E1" w:rsidRDefault="00061A2D" w:rsidP="008D0C3F">
            <w:pPr>
              <w:pStyle w:val="tbltext"/>
              <w:ind w:left="170" w:hanging="170"/>
            </w:pPr>
            <w:r w:rsidRPr="00262DA3">
              <w:t>Other payment amount</w:t>
            </w:r>
            <w:r>
              <w:br/>
              <w:t>upfront payments only</w:t>
            </w:r>
          </w:p>
        </w:tc>
        <w:tc>
          <w:tcPr>
            <w:tcW w:w="1667" w:type="pct"/>
          </w:tcPr>
          <w:p w14:paraId="69FFBB44" w14:textId="77777777" w:rsidR="00061A2D" w:rsidRPr="000540E1" w:rsidRDefault="00061A2D" w:rsidP="008D0C3F">
            <w:pPr>
              <w:pStyle w:val="tbltext"/>
              <w:ind w:left="170" w:hanging="170"/>
            </w:pPr>
            <w:r w:rsidRPr="00FA37D3">
              <w:rPr>
                <w:color w:val="000000" w:themeColor="text1"/>
              </w:rPr>
              <w:t>Other payment amount</w:t>
            </w:r>
            <w:r>
              <w:rPr>
                <w:color w:val="000000" w:themeColor="text1"/>
              </w:rPr>
              <w:br/>
            </w:r>
            <w:r>
              <w:t>upfront &amp; unwind payments</w:t>
            </w:r>
          </w:p>
        </w:tc>
      </w:tr>
      <w:tr w:rsidR="00061A2D" w:rsidRPr="000540E1" w14:paraId="3CE161A8" w14:textId="77777777" w:rsidTr="008D0C3F">
        <w:trPr>
          <w:cantSplit/>
        </w:trPr>
        <w:tc>
          <w:tcPr>
            <w:tcW w:w="1666" w:type="pct"/>
          </w:tcPr>
          <w:p w14:paraId="6CE5D7DC" w14:textId="77777777" w:rsidR="00061A2D" w:rsidRPr="00F76596" w:rsidRDefault="00061A2D" w:rsidP="008D0C3F">
            <w:pPr>
              <w:pStyle w:val="tbltext"/>
              <w:ind w:left="170" w:hanging="170"/>
            </w:pPr>
            <w:r w:rsidRPr="00F76596">
              <w:t>Payer (fixed rate)</w:t>
            </w:r>
          </w:p>
        </w:tc>
        <w:tc>
          <w:tcPr>
            <w:tcW w:w="1666" w:type="pct"/>
          </w:tcPr>
          <w:p w14:paraId="48970629" w14:textId="77777777" w:rsidR="00061A2D" w:rsidRPr="000540E1" w:rsidRDefault="00061A2D" w:rsidP="008D0C3F">
            <w:pPr>
              <w:pStyle w:val="tbltext"/>
              <w:ind w:left="170" w:hanging="170"/>
            </w:pPr>
            <w:r w:rsidRPr="00F76596">
              <w:t>Payer (fixed rate</w:t>
            </w:r>
            <w:r>
              <w:t xml:space="preserve"> leg 1</w:t>
            </w:r>
            <w:r w:rsidRPr="00F76596">
              <w:t>)</w:t>
            </w:r>
          </w:p>
        </w:tc>
        <w:tc>
          <w:tcPr>
            <w:tcW w:w="1667" w:type="pct"/>
          </w:tcPr>
          <w:p w14:paraId="64D43AD1" w14:textId="77777777" w:rsidR="00061A2D" w:rsidRPr="000540E1" w:rsidRDefault="00061A2D" w:rsidP="008D0C3F">
            <w:pPr>
              <w:pStyle w:val="tbltext"/>
              <w:ind w:left="170" w:hanging="170"/>
            </w:pPr>
            <w:r w:rsidRPr="00C61351">
              <w:t xml:space="preserve">Direction </w:t>
            </w:r>
            <w:r>
              <w:t>2</w:t>
            </w:r>
            <w:r w:rsidRPr="004270E6">
              <w:t>—</w:t>
            </w:r>
            <w:r>
              <w:t>Leg 1</w:t>
            </w:r>
          </w:p>
        </w:tc>
      </w:tr>
      <w:tr w:rsidR="00061A2D" w:rsidRPr="000540E1" w14:paraId="55849176" w14:textId="77777777" w:rsidTr="008D0C3F">
        <w:trPr>
          <w:cantSplit/>
        </w:trPr>
        <w:tc>
          <w:tcPr>
            <w:tcW w:w="1666" w:type="pct"/>
          </w:tcPr>
          <w:p w14:paraId="2D6C3BEE" w14:textId="62AE2584" w:rsidR="00061A2D" w:rsidRPr="00F76596" w:rsidRDefault="002323E1" w:rsidP="008D0C3F">
            <w:pPr>
              <w:pStyle w:val="tbltext"/>
              <w:ind w:left="170" w:hanging="170"/>
            </w:pPr>
            <w:r>
              <w:t>Not applicable</w:t>
            </w:r>
          </w:p>
        </w:tc>
        <w:tc>
          <w:tcPr>
            <w:tcW w:w="1666" w:type="pct"/>
          </w:tcPr>
          <w:p w14:paraId="2C43E165" w14:textId="77777777" w:rsidR="00061A2D" w:rsidRPr="000540E1" w:rsidRDefault="00061A2D" w:rsidP="008D0C3F">
            <w:pPr>
              <w:pStyle w:val="tbltext"/>
              <w:ind w:left="170" w:hanging="170"/>
            </w:pPr>
            <w:r w:rsidRPr="00F76596">
              <w:t>Payer (fixed rate</w:t>
            </w:r>
            <w:r>
              <w:t xml:space="preserve"> leg 2</w:t>
            </w:r>
            <w:r w:rsidRPr="00F76596">
              <w:t>)</w:t>
            </w:r>
          </w:p>
        </w:tc>
        <w:tc>
          <w:tcPr>
            <w:tcW w:w="1667" w:type="pct"/>
          </w:tcPr>
          <w:p w14:paraId="432AA18E" w14:textId="77777777" w:rsidR="00061A2D" w:rsidRPr="000540E1" w:rsidRDefault="00061A2D" w:rsidP="008D0C3F">
            <w:pPr>
              <w:pStyle w:val="tbltext"/>
              <w:ind w:left="170" w:hanging="170"/>
            </w:pPr>
            <w:r w:rsidRPr="00C61351">
              <w:t xml:space="preserve">Direction </w:t>
            </w:r>
            <w:r>
              <w:t>2</w:t>
            </w:r>
            <w:r w:rsidRPr="004270E6">
              <w:t>—</w:t>
            </w:r>
            <w:r>
              <w:t>Leg 2</w:t>
            </w:r>
          </w:p>
        </w:tc>
      </w:tr>
      <w:tr w:rsidR="00061A2D" w:rsidRPr="000540E1" w14:paraId="0EC5F5DA" w14:textId="77777777" w:rsidTr="008D0C3F">
        <w:trPr>
          <w:cantSplit/>
        </w:trPr>
        <w:tc>
          <w:tcPr>
            <w:tcW w:w="1666" w:type="pct"/>
          </w:tcPr>
          <w:p w14:paraId="59CD43A4" w14:textId="77777777" w:rsidR="00061A2D" w:rsidRPr="00F76596" w:rsidRDefault="00061A2D" w:rsidP="008D0C3F">
            <w:pPr>
              <w:pStyle w:val="tbltext"/>
              <w:ind w:left="170" w:hanging="170"/>
            </w:pPr>
            <w:r w:rsidRPr="00F76596">
              <w:t>Name of payer (fixed rate)</w:t>
            </w:r>
          </w:p>
        </w:tc>
        <w:tc>
          <w:tcPr>
            <w:tcW w:w="1666" w:type="pct"/>
          </w:tcPr>
          <w:p w14:paraId="32A8DA5F" w14:textId="4DE23196" w:rsidR="00061A2D" w:rsidRPr="000540E1" w:rsidRDefault="002323E1" w:rsidP="008D0C3F">
            <w:pPr>
              <w:pStyle w:val="tbltext"/>
              <w:ind w:left="170" w:hanging="170"/>
            </w:pPr>
            <w:r>
              <w:t>Not applicable</w:t>
            </w:r>
          </w:p>
        </w:tc>
        <w:tc>
          <w:tcPr>
            <w:tcW w:w="1667" w:type="pct"/>
          </w:tcPr>
          <w:p w14:paraId="12CE48A7" w14:textId="79953243" w:rsidR="00061A2D" w:rsidRPr="000540E1" w:rsidRDefault="002323E1" w:rsidP="008D0C3F">
            <w:pPr>
              <w:pStyle w:val="tbltext"/>
              <w:ind w:left="170" w:hanging="170"/>
            </w:pPr>
            <w:r>
              <w:t>Not applicable</w:t>
            </w:r>
          </w:p>
        </w:tc>
      </w:tr>
      <w:tr w:rsidR="00061A2D" w:rsidRPr="000540E1" w14:paraId="6C3C13F3" w14:textId="77777777" w:rsidTr="008D0C3F">
        <w:trPr>
          <w:cantSplit/>
        </w:trPr>
        <w:tc>
          <w:tcPr>
            <w:tcW w:w="1666" w:type="pct"/>
          </w:tcPr>
          <w:p w14:paraId="5B757519" w14:textId="77777777" w:rsidR="00061A2D" w:rsidRPr="00F76596" w:rsidRDefault="00061A2D" w:rsidP="008D0C3F">
            <w:pPr>
              <w:pStyle w:val="tbltext"/>
              <w:ind w:left="170" w:hanging="170"/>
            </w:pPr>
            <w:r w:rsidRPr="00F76596">
              <w:t>Payer (floating rate leg 1)</w:t>
            </w:r>
          </w:p>
        </w:tc>
        <w:tc>
          <w:tcPr>
            <w:tcW w:w="1666" w:type="pct"/>
          </w:tcPr>
          <w:p w14:paraId="441A362B" w14:textId="77777777" w:rsidR="00061A2D" w:rsidRPr="000540E1" w:rsidRDefault="00061A2D" w:rsidP="008D0C3F">
            <w:pPr>
              <w:pStyle w:val="tbltext"/>
              <w:ind w:left="170" w:hanging="170"/>
            </w:pPr>
            <w:r w:rsidRPr="00F76596">
              <w:t>Payer (floating rate leg 1)</w:t>
            </w:r>
          </w:p>
        </w:tc>
        <w:tc>
          <w:tcPr>
            <w:tcW w:w="1667" w:type="pct"/>
          </w:tcPr>
          <w:p w14:paraId="3C9CF3A7" w14:textId="77777777" w:rsidR="00061A2D" w:rsidRPr="000540E1" w:rsidRDefault="00061A2D" w:rsidP="008D0C3F">
            <w:pPr>
              <w:pStyle w:val="tbltext"/>
              <w:ind w:left="170" w:hanging="170"/>
            </w:pPr>
            <w:r w:rsidRPr="00C61351">
              <w:t xml:space="preserve">Direction </w:t>
            </w:r>
            <w:r>
              <w:t>2</w:t>
            </w:r>
            <w:r w:rsidRPr="004270E6">
              <w:t>—</w:t>
            </w:r>
            <w:r>
              <w:t>Leg 1</w:t>
            </w:r>
          </w:p>
        </w:tc>
      </w:tr>
      <w:tr w:rsidR="00061A2D" w:rsidRPr="000540E1" w14:paraId="3EE0B46A" w14:textId="77777777" w:rsidTr="008D0C3F">
        <w:trPr>
          <w:cantSplit/>
        </w:trPr>
        <w:tc>
          <w:tcPr>
            <w:tcW w:w="1666" w:type="pct"/>
          </w:tcPr>
          <w:p w14:paraId="57D639A7" w14:textId="77777777" w:rsidR="00061A2D" w:rsidRPr="00F76596" w:rsidRDefault="00061A2D" w:rsidP="008D0C3F">
            <w:pPr>
              <w:pStyle w:val="tbltext"/>
              <w:ind w:left="170" w:hanging="170"/>
            </w:pPr>
            <w:r w:rsidRPr="00F76596">
              <w:t>Name of payer (floating rate leg 1)</w:t>
            </w:r>
          </w:p>
        </w:tc>
        <w:tc>
          <w:tcPr>
            <w:tcW w:w="1666" w:type="pct"/>
          </w:tcPr>
          <w:p w14:paraId="506E968E" w14:textId="6BB62E52" w:rsidR="00061A2D" w:rsidRPr="000540E1" w:rsidRDefault="009457D5" w:rsidP="008D0C3F">
            <w:pPr>
              <w:pStyle w:val="tbltext"/>
              <w:ind w:left="170" w:hanging="170"/>
            </w:pPr>
            <w:r>
              <w:t>Not applicable</w:t>
            </w:r>
          </w:p>
        </w:tc>
        <w:tc>
          <w:tcPr>
            <w:tcW w:w="1667" w:type="pct"/>
          </w:tcPr>
          <w:p w14:paraId="3D92AC17" w14:textId="471BF4E7" w:rsidR="00061A2D" w:rsidRPr="000540E1" w:rsidRDefault="009457D5" w:rsidP="008D0C3F">
            <w:pPr>
              <w:pStyle w:val="tbltext"/>
              <w:ind w:left="170" w:hanging="170"/>
            </w:pPr>
            <w:r>
              <w:t>Not applicable</w:t>
            </w:r>
          </w:p>
        </w:tc>
      </w:tr>
      <w:tr w:rsidR="00061A2D" w:rsidRPr="000540E1" w14:paraId="5FC5C41A" w14:textId="77777777" w:rsidTr="008D0C3F">
        <w:trPr>
          <w:cantSplit/>
        </w:trPr>
        <w:tc>
          <w:tcPr>
            <w:tcW w:w="1666" w:type="pct"/>
          </w:tcPr>
          <w:p w14:paraId="4D7619FA" w14:textId="77777777" w:rsidR="00061A2D" w:rsidRPr="00F76596" w:rsidRDefault="00061A2D" w:rsidP="008D0C3F">
            <w:pPr>
              <w:pStyle w:val="tbltext"/>
              <w:ind w:left="170" w:hanging="170"/>
            </w:pPr>
            <w:r w:rsidRPr="00F76596">
              <w:t>Payer (floating rate leg 2)</w:t>
            </w:r>
          </w:p>
        </w:tc>
        <w:tc>
          <w:tcPr>
            <w:tcW w:w="1666" w:type="pct"/>
          </w:tcPr>
          <w:p w14:paraId="46CF72FF" w14:textId="77777777" w:rsidR="00061A2D" w:rsidRPr="000540E1" w:rsidRDefault="00061A2D" w:rsidP="008D0C3F">
            <w:pPr>
              <w:pStyle w:val="tbltext"/>
              <w:ind w:left="170" w:hanging="170"/>
            </w:pPr>
            <w:r w:rsidRPr="00F76596">
              <w:t>Payer (floating rate leg 2)</w:t>
            </w:r>
          </w:p>
        </w:tc>
        <w:tc>
          <w:tcPr>
            <w:tcW w:w="1667" w:type="pct"/>
          </w:tcPr>
          <w:p w14:paraId="1F7B7F0C" w14:textId="77777777" w:rsidR="00061A2D" w:rsidRPr="000540E1" w:rsidRDefault="00061A2D" w:rsidP="008D0C3F">
            <w:pPr>
              <w:pStyle w:val="tbltext"/>
            </w:pPr>
            <w:r w:rsidRPr="00C61351">
              <w:t xml:space="preserve">Direction </w:t>
            </w:r>
            <w:r>
              <w:t>2</w:t>
            </w:r>
            <w:r w:rsidRPr="004270E6">
              <w:t>—</w:t>
            </w:r>
            <w:r>
              <w:t>Leg 2</w:t>
            </w:r>
          </w:p>
        </w:tc>
      </w:tr>
      <w:tr w:rsidR="00061A2D" w:rsidRPr="000540E1" w14:paraId="29E7E13F" w14:textId="77777777" w:rsidTr="008D0C3F">
        <w:trPr>
          <w:cantSplit/>
        </w:trPr>
        <w:tc>
          <w:tcPr>
            <w:tcW w:w="1666" w:type="pct"/>
          </w:tcPr>
          <w:p w14:paraId="410103FE" w14:textId="77777777" w:rsidR="00061A2D" w:rsidRPr="00F76596" w:rsidRDefault="00061A2D" w:rsidP="008D0C3F">
            <w:pPr>
              <w:pStyle w:val="tbltext"/>
              <w:ind w:left="170" w:hanging="170"/>
            </w:pPr>
            <w:r w:rsidRPr="00F76596">
              <w:t>Name of payer (floating rate leg 2)</w:t>
            </w:r>
          </w:p>
        </w:tc>
        <w:tc>
          <w:tcPr>
            <w:tcW w:w="1666" w:type="pct"/>
          </w:tcPr>
          <w:p w14:paraId="5F030C5A" w14:textId="168F182A" w:rsidR="00061A2D" w:rsidRPr="000540E1" w:rsidRDefault="009457D5" w:rsidP="008D0C3F">
            <w:pPr>
              <w:pStyle w:val="tbltext"/>
              <w:ind w:left="170" w:hanging="170"/>
            </w:pPr>
            <w:r>
              <w:t>Not applicable</w:t>
            </w:r>
          </w:p>
        </w:tc>
        <w:tc>
          <w:tcPr>
            <w:tcW w:w="1667" w:type="pct"/>
          </w:tcPr>
          <w:p w14:paraId="12FDB3D0" w14:textId="0A9EB95C" w:rsidR="00061A2D" w:rsidRPr="000540E1" w:rsidRDefault="009457D5" w:rsidP="008D0C3F">
            <w:pPr>
              <w:pStyle w:val="tbltext"/>
              <w:ind w:left="170" w:hanging="170"/>
            </w:pPr>
            <w:r>
              <w:t>Not applicable</w:t>
            </w:r>
          </w:p>
        </w:tc>
      </w:tr>
      <w:tr w:rsidR="00061A2D" w:rsidRPr="000540E1" w14:paraId="323F4B3F" w14:textId="77777777" w:rsidTr="008D0C3F">
        <w:trPr>
          <w:cantSplit/>
        </w:trPr>
        <w:tc>
          <w:tcPr>
            <w:tcW w:w="1666" w:type="pct"/>
          </w:tcPr>
          <w:p w14:paraId="3FB8E795" w14:textId="77777777" w:rsidR="00061A2D" w:rsidRPr="00F76596" w:rsidRDefault="00061A2D" w:rsidP="008D0C3F">
            <w:pPr>
              <w:pStyle w:val="tbltext"/>
              <w:ind w:left="170" w:hanging="170"/>
            </w:pPr>
            <w:r w:rsidRPr="00F76596">
              <w:t>Direction</w:t>
            </w:r>
          </w:p>
        </w:tc>
        <w:tc>
          <w:tcPr>
            <w:tcW w:w="1666" w:type="pct"/>
          </w:tcPr>
          <w:p w14:paraId="339913B9" w14:textId="0639B772" w:rsidR="00061A2D" w:rsidRPr="000540E1" w:rsidRDefault="009457D5" w:rsidP="008D0C3F">
            <w:pPr>
              <w:pStyle w:val="tbltext"/>
              <w:ind w:left="170" w:hanging="170"/>
            </w:pPr>
            <w:r>
              <w:t>Not applicable</w:t>
            </w:r>
          </w:p>
        </w:tc>
        <w:tc>
          <w:tcPr>
            <w:tcW w:w="1667" w:type="pct"/>
          </w:tcPr>
          <w:p w14:paraId="12967CD2" w14:textId="6F3F4CA7" w:rsidR="00061A2D" w:rsidRPr="000540E1" w:rsidRDefault="009457D5" w:rsidP="008D0C3F">
            <w:pPr>
              <w:pStyle w:val="tbltext"/>
              <w:ind w:left="170" w:hanging="170"/>
            </w:pPr>
            <w:r>
              <w:t>Not applicable</w:t>
            </w:r>
          </w:p>
        </w:tc>
      </w:tr>
      <w:tr w:rsidR="00061A2D" w:rsidRPr="000540E1" w14:paraId="0B3B6DA8" w14:textId="77777777" w:rsidTr="008D0C3F">
        <w:trPr>
          <w:cantSplit/>
        </w:trPr>
        <w:tc>
          <w:tcPr>
            <w:tcW w:w="1666" w:type="pct"/>
          </w:tcPr>
          <w:p w14:paraId="41368A40" w14:textId="77777777" w:rsidR="00061A2D" w:rsidRPr="00F76596" w:rsidRDefault="00061A2D" w:rsidP="008D0C3F">
            <w:pPr>
              <w:pStyle w:val="tbltext"/>
              <w:ind w:left="170" w:hanging="170"/>
            </w:pPr>
            <w:r w:rsidRPr="00F76596">
              <w:t>Fixed rate</w:t>
            </w:r>
          </w:p>
        </w:tc>
        <w:tc>
          <w:tcPr>
            <w:tcW w:w="1666" w:type="pct"/>
          </w:tcPr>
          <w:p w14:paraId="64629556" w14:textId="77777777" w:rsidR="00061A2D" w:rsidRPr="000540E1" w:rsidRDefault="00061A2D" w:rsidP="008D0C3F">
            <w:pPr>
              <w:pStyle w:val="tbltext"/>
              <w:ind w:left="170" w:hanging="170"/>
            </w:pPr>
            <w:r w:rsidRPr="00F76596">
              <w:t>Fixed rate</w:t>
            </w:r>
            <w:r>
              <w:t xml:space="preserve"> (leg 1)</w:t>
            </w:r>
          </w:p>
        </w:tc>
        <w:tc>
          <w:tcPr>
            <w:tcW w:w="1667" w:type="pct"/>
          </w:tcPr>
          <w:p w14:paraId="3507E726" w14:textId="77777777" w:rsidR="00061A2D" w:rsidRPr="000540E1" w:rsidRDefault="00061A2D" w:rsidP="008D0C3F">
            <w:pPr>
              <w:pStyle w:val="tbltext"/>
              <w:ind w:left="170" w:hanging="170"/>
            </w:pPr>
            <w:r>
              <w:t>Fixed rate—Leg 1</w:t>
            </w:r>
          </w:p>
        </w:tc>
      </w:tr>
      <w:tr w:rsidR="00061A2D" w:rsidRPr="000540E1" w14:paraId="3C57B121" w14:textId="77777777" w:rsidTr="008D0C3F">
        <w:trPr>
          <w:cantSplit/>
        </w:trPr>
        <w:tc>
          <w:tcPr>
            <w:tcW w:w="1666" w:type="pct"/>
          </w:tcPr>
          <w:p w14:paraId="01EA7923" w14:textId="6A6CA45E" w:rsidR="00061A2D" w:rsidRPr="00F76596" w:rsidRDefault="009457D5" w:rsidP="008D0C3F">
            <w:pPr>
              <w:pStyle w:val="tbltext"/>
              <w:ind w:left="170" w:hanging="170"/>
            </w:pPr>
            <w:r>
              <w:t>Not applicable</w:t>
            </w:r>
          </w:p>
        </w:tc>
        <w:tc>
          <w:tcPr>
            <w:tcW w:w="1666" w:type="pct"/>
          </w:tcPr>
          <w:p w14:paraId="1B35E28C" w14:textId="77777777" w:rsidR="00061A2D" w:rsidRPr="00F76596" w:rsidRDefault="00061A2D" w:rsidP="008D0C3F">
            <w:pPr>
              <w:pStyle w:val="tbltext"/>
              <w:ind w:left="170" w:hanging="170"/>
            </w:pPr>
            <w:r w:rsidRPr="00F76596">
              <w:t>Fixed rate</w:t>
            </w:r>
            <w:r>
              <w:t xml:space="preserve"> (leg 2)</w:t>
            </w:r>
          </w:p>
        </w:tc>
        <w:tc>
          <w:tcPr>
            <w:tcW w:w="1667" w:type="pct"/>
          </w:tcPr>
          <w:p w14:paraId="7D40DC7D" w14:textId="77777777" w:rsidR="00061A2D" w:rsidRPr="000540E1" w:rsidRDefault="00061A2D" w:rsidP="008D0C3F">
            <w:pPr>
              <w:pStyle w:val="tbltext"/>
              <w:ind w:left="170" w:hanging="170"/>
            </w:pPr>
            <w:r>
              <w:t>Fixed rate—Leg 2</w:t>
            </w:r>
          </w:p>
        </w:tc>
      </w:tr>
      <w:tr w:rsidR="00061A2D" w:rsidRPr="000540E1" w14:paraId="72D7C924" w14:textId="77777777" w:rsidTr="008D0C3F">
        <w:trPr>
          <w:cantSplit/>
        </w:trPr>
        <w:tc>
          <w:tcPr>
            <w:tcW w:w="1666" w:type="pct"/>
          </w:tcPr>
          <w:p w14:paraId="0B331370" w14:textId="77777777" w:rsidR="00061A2D" w:rsidRPr="00F76596" w:rsidRDefault="00061A2D" w:rsidP="008D0C3F">
            <w:pPr>
              <w:pStyle w:val="tbltext"/>
              <w:ind w:left="170" w:hanging="170"/>
            </w:pPr>
            <w:r w:rsidRPr="00F76596">
              <w:t>Fixed rate day count fraction</w:t>
            </w:r>
          </w:p>
        </w:tc>
        <w:tc>
          <w:tcPr>
            <w:tcW w:w="1666" w:type="pct"/>
          </w:tcPr>
          <w:p w14:paraId="417D5800" w14:textId="77777777" w:rsidR="00061A2D" w:rsidRPr="000540E1" w:rsidRDefault="00061A2D" w:rsidP="008D0C3F">
            <w:pPr>
              <w:pStyle w:val="tbltext"/>
              <w:ind w:left="170" w:hanging="170"/>
            </w:pPr>
            <w:r w:rsidRPr="00F76596">
              <w:t>Fixed rate day count fraction</w:t>
            </w:r>
          </w:p>
        </w:tc>
        <w:tc>
          <w:tcPr>
            <w:tcW w:w="1667" w:type="pct"/>
          </w:tcPr>
          <w:p w14:paraId="00A5C734" w14:textId="77777777" w:rsidR="00061A2D" w:rsidRPr="000540E1" w:rsidRDefault="00061A2D" w:rsidP="008D0C3F">
            <w:pPr>
              <w:pStyle w:val="tbltext"/>
              <w:ind w:left="170" w:hanging="170"/>
            </w:pPr>
            <w:r w:rsidRPr="00584F15">
              <w:t>Day count convention—Leg 1</w:t>
            </w:r>
          </w:p>
        </w:tc>
      </w:tr>
      <w:tr w:rsidR="00061A2D" w:rsidRPr="000540E1" w14:paraId="08E82FBE" w14:textId="77777777" w:rsidTr="008D0C3F">
        <w:trPr>
          <w:cantSplit/>
        </w:trPr>
        <w:tc>
          <w:tcPr>
            <w:tcW w:w="1666" w:type="pct"/>
          </w:tcPr>
          <w:p w14:paraId="5B4C4D35" w14:textId="77777777" w:rsidR="00061A2D" w:rsidRPr="00F76596" w:rsidRDefault="00061A2D" w:rsidP="008D0C3F">
            <w:pPr>
              <w:pStyle w:val="tbltext"/>
              <w:ind w:left="170" w:hanging="170"/>
            </w:pPr>
            <w:r w:rsidRPr="00F76596">
              <w:t>Fixed leg payment frequency</w:t>
            </w:r>
          </w:p>
        </w:tc>
        <w:tc>
          <w:tcPr>
            <w:tcW w:w="1666" w:type="pct"/>
          </w:tcPr>
          <w:p w14:paraId="193ADBA0" w14:textId="64EA942C" w:rsidR="00061A2D" w:rsidRPr="000540E1" w:rsidRDefault="00061A2D" w:rsidP="008D0C3F">
            <w:pPr>
              <w:pStyle w:val="tbltext"/>
              <w:ind w:left="170" w:hanging="170"/>
            </w:pPr>
            <w:r w:rsidRPr="00F76596">
              <w:t>Fixed leg payment frequency</w:t>
            </w:r>
            <w:r>
              <w:t xml:space="preserve"> (leg</w:t>
            </w:r>
            <w:r w:rsidR="009457D5">
              <w:t> </w:t>
            </w:r>
            <w:r>
              <w:t>1)</w:t>
            </w:r>
          </w:p>
        </w:tc>
        <w:tc>
          <w:tcPr>
            <w:tcW w:w="1667" w:type="pct"/>
          </w:tcPr>
          <w:p w14:paraId="020835C9" w14:textId="77777777" w:rsidR="00061A2D" w:rsidRDefault="00061A2D" w:rsidP="008D0C3F">
            <w:pPr>
              <w:pStyle w:val="tbltext"/>
              <w:ind w:left="170" w:hanging="170"/>
            </w:pPr>
            <w:r>
              <w:t>Payment frequency period</w:t>
            </w:r>
            <w:r w:rsidRPr="007724EE">
              <w:t>—</w:t>
            </w:r>
            <w:r>
              <w:t>Leg 1</w:t>
            </w:r>
          </w:p>
          <w:p w14:paraId="10041D64" w14:textId="77777777" w:rsidR="00061A2D" w:rsidRPr="000540E1" w:rsidRDefault="00061A2D" w:rsidP="008D0C3F">
            <w:pPr>
              <w:pStyle w:val="tbltext"/>
              <w:ind w:left="170" w:hanging="170"/>
            </w:pPr>
            <w:r w:rsidRPr="005C46CC">
              <w:t>Payment frequency period multiplier</w:t>
            </w:r>
            <w:r w:rsidRPr="007724EE">
              <w:t>—</w:t>
            </w:r>
            <w:r>
              <w:t>Leg 1</w:t>
            </w:r>
          </w:p>
        </w:tc>
      </w:tr>
      <w:tr w:rsidR="00061A2D" w:rsidRPr="000540E1" w14:paraId="4AA07A51" w14:textId="77777777" w:rsidTr="008D0C3F">
        <w:trPr>
          <w:cantSplit/>
        </w:trPr>
        <w:tc>
          <w:tcPr>
            <w:tcW w:w="1666" w:type="pct"/>
          </w:tcPr>
          <w:p w14:paraId="4E7C4F29" w14:textId="164336A7" w:rsidR="00061A2D" w:rsidRPr="00F76596" w:rsidRDefault="009457D5" w:rsidP="008D0C3F">
            <w:pPr>
              <w:pStyle w:val="tbltext"/>
              <w:ind w:left="170" w:hanging="170"/>
            </w:pPr>
            <w:r>
              <w:t>Not applicable</w:t>
            </w:r>
          </w:p>
        </w:tc>
        <w:tc>
          <w:tcPr>
            <w:tcW w:w="1666" w:type="pct"/>
          </w:tcPr>
          <w:p w14:paraId="11F5A825" w14:textId="2B944FE7" w:rsidR="00061A2D" w:rsidRPr="000540E1" w:rsidRDefault="00061A2D" w:rsidP="008D0C3F">
            <w:pPr>
              <w:pStyle w:val="tbltext"/>
              <w:ind w:left="170" w:hanging="170"/>
            </w:pPr>
            <w:r w:rsidRPr="00F76596">
              <w:t>Fixed leg payment frequency</w:t>
            </w:r>
            <w:r>
              <w:t xml:space="preserve"> (leg</w:t>
            </w:r>
            <w:r w:rsidR="009457D5">
              <w:t> </w:t>
            </w:r>
            <w:r>
              <w:t>2)</w:t>
            </w:r>
          </w:p>
        </w:tc>
        <w:tc>
          <w:tcPr>
            <w:tcW w:w="1667" w:type="pct"/>
          </w:tcPr>
          <w:p w14:paraId="18405B86" w14:textId="77777777" w:rsidR="00061A2D" w:rsidRDefault="00061A2D" w:rsidP="008D0C3F">
            <w:pPr>
              <w:pStyle w:val="tbltext"/>
              <w:ind w:left="170" w:hanging="170"/>
            </w:pPr>
            <w:r>
              <w:t>Payment frequency period</w:t>
            </w:r>
            <w:r w:rsidRPr="007724EE">
              <w:t>—</w:t>
            </w:r>
            <w:r>
              <w:t>Leg 2</w:t>
            </w:r>
          </w:p>
          <w:p w14:paraId="7803F37A" w14:textId="77777777" w:rsidR="00061A2D" w:rsidRPr="000540E1" w:rsidRDefault="00061A2D" w:rsidP="008D0C3F">
            <w:pPr>
              <w:pStyle w:val="tbltext"/>
              <w:ind w:left="170" w:hanging="170"/>
            </w:pPr>
            <w:r w:rsidRPr="005C46CC">
              <w:t>Payment frequency period multiplier</w:t>
            </w:r>
            <w:r w:rsidRPr="007724EE">
              <w:t>—</w:t>
            </w:r>
            <w:r>
              <w:t>Leg 2</w:t>
            </w:r>
          </w:p>
        </w:tc>
      </w:tr>
      <w:tr w:rsidR="00061A2D" w:rsidRPr="000540E1" w14:paraId="676F4589" w14:textId="77777777" w:rsidTr="008D0C3F">
        <w:trPr>
          <w:cantSplit/>
        </w:trPr>
        <w:tc>
          <w:tcPr>
            <w:tcW w:w="1666" w:type="pct"/>
          </w:tcPr>
          <w:p w14:paraId="09815DF4" w14:textId="77777777" w:rsidR="00061A2D" w:rsidRPr="00F76596" w:rsidRDefault="00061A2D" w:rsidP="008D0C3F">
            <w:pPr>
              <w:pStyle w:val="tbltext"/>
              <w:ind w:left="170" w:hanging="170"/>
            </w:pPr>
            <w:r w:rsidRPr="00F76596">
              <w:t>Floating rate payment frequency</w:t>
            </w:r>
          </w:p>
        </w:tc>
        <w:tc>
          <w:tcPr>
            <w:tcW w:w="1666" w:type="pct"/>
          </w:tcPr>
          <w:p w14:paraId="42FE1C07" w14:textId="77777777" w:rsidR="00061A2D" w:rsidRPr="000540E1" w:rsidRDefault="00061A2D" w:rsidP="008D0C3F">
            <w:pPr>
              <w:pStyle w:val="tbltext"/>
              <w:ind w:left="170" w:hanging="170"/>
            </w:pPr>
            <w:r w:rsidRPr="00F76596">
              <w:t>Floating rate payment frequency</w:t>
            </w:r>
            <w:r>
              <w:t xml:space="preserve"> (leg 1)</w:t>
            </w:r>
          </w:p>
        </w:tc>
        <w:tc>
          <w:tcPr>
            <w:tcW w:w="1667" w:type="pct"/>
          </w:tcPr>
          <w:p w14:paraId="29860FD6" w14:textId="77777777" w:rsidR="00061A2D" w:rsidRDefault="00061A2D" w:rsidP="008D0C3F">
            <w:pPr>
              <w:pStyle w:val="tbltext"/>
              <w:ind w:left="170" w:hanging="170"/>
            </w:pPr>
            <w:r>
              <w:t>Payment frequency period</w:t>
            </w:r>
            <w:r w:rsidRPr="007724EE">
              <w:t>—</w:t>
            </w:r>
            <w:r>
              <w:t>Leg 1</w:t>
            </w:r>
          </w:p>
          <w:p w14:paraId="171A4FAC" w14:textId="77777777" w:rsidR="00061A2D" w:rsidRPr="000540E1" w:rsidRDefault="00061A2D" w:rsidP="008D0C3F">
            <w:pPr>
              <w:pStyle w:val="tbltext"/>
              <w:ind w:left="170" w:hanging="170"/>
            </w:pPr>
            <w:r w:rsidRPr="005C46CC">
              <w:t>Payment frequency period multiplier</w:t>
            </w:r>
            <w:r w:rsidRPr="007724EE">
              <w:t>—</w:t>
            </w:r>
            <w:r>
              <w:t>Leg 1</w:t>
            </w:r>
          </w:p>
        </w:tc>
      </w:tr>
      <w:tr w:rsidR="00061A2D" w:rsidRPr="000540E1" w14:paraId="0C86F610" w14:textId="77777777" w:rsidTr="008D0C3F">
        <w:trPr>
          <w:cantSplit/>
        </w:trPr>
        <w:tc>
          <w:tcPr>
            <w:tcW w:w="1666" w:type="pct"/>
          </w:tcPr>
          <w:p w14:paraId="32CB809F" w14:textId="73CA2356" w:rsidR="00061A2D" w:rsidRPr="00F76596" w:rsidRDefault="009457D5" w:rsidP="008D0C3F">
            <w:pPr>
              <w:pStyle w:val="tbltext"/>
              <w:ind w:left="170" w:hanging="170"/>
            </w:pPr>
            <w:r>
              <w:t>Not applicable</w:t>
            </w:r>
          </w:p>
        </w:tc>
        <w:tc>
          <w:tcPr>
            <w:tcW w:w="1666" w:type="pct"/>
          </w:tcPr>
          <w:p w14:paraId="44122429" w14:textId="77777777" w:rsidR="00061A2D" w:rsidRPr="000540E1" w:rsidRDefault="00061A2D" w:rsidP="008D0C3F">
            <w:pPr>
              <w:pStyle w:val="tbltext"/>
              <w:ind w:left="170" w:hanging="170"/>
            </w:pPr>
            <w:r w:rsidRPr="00F76596">
              <w:t>Floating rate payment frequency</w:t>
            </w:r>
            <w:r>
              <w:t xml:space="preserve"> (leg 2)</w:t>
            </w:r>
          </w:p>
        </w:tc>
        <w:tc>
          <w:tcPr>
            <w:tcW w:w="1667" w:type="pct"/>
          </w:tcPr>
          <w:p w14:paraId="07020EEA" w14:textId="77777777" w:rsidR="00061A2D" w:rsidRDefault="00061A2D" w:rsidP="008D0C3F">
            <w:pPr>
              <w:pStyle w:val="tbltext"/>
              <w:ind w:left="170" w:hanging="170"/>
            </w:pPr>
            <w:r>
              <w:t>Payment frequency period</w:t>
            </w:r>
            <w:r w:rsidRPr="007724EE">
              <w:t>—</w:t>
            </w:r>
            <w:r>
              <w:t>Leg 2</w:t>
            </w:r>
          </w:p>
          <w:p w14:paraId="7502EE90" w14:textId="77777777" w:rsidR="00061A2D" w:rsidRPr="000540E1" w:rsidRDefault="00061A2D" w:rsidP="008D0C3F">
            <w:pPr>
              <w:pStyle w:val="tbltext"/>
              <w:ind w:left="170" w:hanging="170"/>
            </w:pPr>
            <w:r w:rsidRPr="005C46CC">
              <w:t>Payment frequency period multiplier</w:t>
            </w:r>
            <w:r w:rsidRPr="007724EE">
              <w:t>—</w:t>
            </w:r>
            <w:r>
              <w:t>Leg 2</w:t>
            </w:r>
          </w:p>
        </w:tc>
      </w:tr>
      <w:tr w:rsidR="00061A2D" w:rsidRPr="000540E1" w14:paraId="1761F523" w14:textId="77777777" w:rsidTr="008D0C3F">
        <w:trPr>
          <w:cantSplit/>
        </w:trPr>
        <w:tc>
          <w:tcPr>
            <w:tcW w:w="1666" w:type="pct"/>
          </w:tcPr>
          <w:p w14:paraId="309A7F15" w14:textId="77777777" w:rsidR="00061A2D" w:rsidRPr="00F76596" w:rsidRDefault="00061A2D" w:rsidP="008D0C3F">
            <w:pPr>
              <w:pStyle w:val="tbltext"/>
              <w:ind w:left="170" w:hanging="170"/>
            </w:pPr>
            <w:r w:rsidRPr="00F76596">
              <w:t>Floating rate index name (leg 1)</w:t>
            </w:r>
          </w:p>
        </w:tc>
        <w:tc>
          <w:tcPr>
            <w:tcW w:w="1666" w:type="pct"/>
          </w:tcPr>
          <w:p w14:paraId="320A161B" w14:textId="77777777" w:rsidR="00061A2D" w:rsidRPr="000540E1" w:rsidRDefault="00061A2D" w:rsidP="008D0C3F">
            <w:pPr>
              <w:pStyle w:val="tbltext"/>
              <w:ind w:left="170" w:hanging="170"/>
            </w:pPr>
            <w:r w:rsidRPr="00F76596">
              <w:t xml:space="preserve">Floating rate index </w:t>
            </w:r>
            <w:r>
              <w:t>identifier</w:t>
            </w:r>
            <w:r w:rsidRPr="00F76596">
              <w:t xml:space="preserve"> (leg 1)</w:t>
            </w:r>
          </w:p>
        </w:tc>
        <w:tc>
          <w:tcPr>
            <w:tcW w:w="1667" w:type="pct"/>
          </w:tcPr>
          <w:p w14:paraId="47FEDC9B" w14:textId="0CA46619" w:rsidR="00061A2D" w:rsidRPr="000540E1" w:rsidRDefault="009457D5" w:rsidP="008D0C3F">
            <w:pPr>
              <w:pStyle w:val="tbltext"/>
              <w:ind w:left="170" w:hanging="170"/>
            </w:pPr>
            <w:r>
              <w:t>Not applicable</w:t>
            </w:r>
            <w:r w:rsidRPr="009C6F38">
              <w:t>—</w:t>
            </w:r>
            <w:r w:rsidR="00061A2D">
              <w:t>in UPI</w:t>
            </w:r>
          </w:p>
        </w:tc>
      </w:tr>
      <w:tr w:rsidR="00061A2D" w:rsidRPr="000540E1" w14:paraId="7ECA0C7A" w14:textId="77777777" w:rsidTr="008D0C3F">
        <w:trPr>
          <w:cantSplit/>
        </w:trPr>
        <w:tc>
          <w:tcPr>
            <w:tcW w:w="1666" w:type="pct"/>
          </w:tcPr>
          <w:p w14:paraId="2405F67D" w14:textId="77777777" w:rsidR="00061A2D" w:rsidRPr="00F76596" w:rsidRDefault="00061A2D" w:rsidP="008D0C3F">
            <w:pPr>
              <w:pStyle w:val="tbltext"/>
              <w:ind w:left="170" w:hanging="170"/>
            </w:pPr>
            <w:r w:rsidRPr="00F76596">
              <w:t>Floating rate index name (leg 2)</w:t>
            </w:r>
          </w:p>
        </w:tc>
        <w:tc>
          <w:tcPr>
            <w:tcW w:w="1666" w:type="pct"/>
          </w:tcPr>
          <w:p w14:paraId="13CDEAC9" w14:textId="77777777" w:rsidR="00061A2D" w:rsidRPr="000540E1" w:rsidRDefault="00061A2D" w:rsidP="008D0C3F">
            <w:pPr>
              <w:pStyle w:val="tbltext"/>
              <w:ind w:left="170" w:hanging="170"/>
            </w:pPr>
            <w:r w:rsidRPr="00F76596">
              <w:t xml:space="preserve">Floating rate index </w:t>
            </w:r>
            <w:r>
              <w:t>identifier</w:t>
            </w:r>
            <w:r w:rsidRPr="00F76596">
              <w:t xml:space="preserve"> (leg </w:t>
            </w:r>
            <w:r>
              <w:t>2</w:t>
            </w:r>
            <w:r w:rsidRPr="00F76596">
              <w:t>)</w:t>
            </w:r>
          </w:p>
        </w:tc>
        <w:tc>
          <w:tcPr>
            <w:tcW w:w="1667" w:type="pct"/>
          </w:tcPr>
          <w:p w14:paraId="5DB4DE89" w14:textId="5C887312" w:rsidR="00061A2D" w:rsidRPr="000540E1" w:rsidRDefault="009457D5" w:rsidP="008D0C3F">
            <w:pPr>
              <w:pStyle w:val="tbltext"/>
              <w:ind w:left="170" w:hanging="170"/>
            </w:pPr>
            <w:r>
              <w:t>Not applicable</w:t>
            </w:r>
            <w:r w:rsidRPr="009C6F38">
              <w:t>—</w:t>
            </w:r>
            <w:r w:rsidR="00061A2D">
              <w:t>in UPI</w:t>
            </w:r>
          </w:p>
        </w:tc>
      </w:tr>
      <w:tr w:rsidR="00061A2D" w:rsidRPr="000540E1" w14:paraId="6AF161EE" w14:textId="77777777" w:rsidTr="008D0C3F">
        <w:trPr>
          <w:cantSplit/>
        </w:trPr>
        <w:tc>
          <w:tcPr>
            <w:tcW w:w="1666" w:type="pct"/>
          </w:tcPr>
          <w:p w14:paraId="284D94F0" w14:textId="77777777" w:rsidR="00061A2D" w:rsidRPr="00F76596" w:rsidRDefault="00061A2D" w:rsidP="008D0C3F">
            <w:pPr>
              <w:pStyle w:val="tbltext"/>
              <w:ind w:left="170" w:hanging="170"/>
            </w:pPr>
            <w:r w:rsidRPr="00F76596">
              <w:t>Floating rate reset frequency</w:t>
            </w:r>
          </w:p>
        </w:tc>
        <w:tc>
          <w:tcPr>
            <w:tcW w:w="1666" w:type="pct"/>
          </w:tcPr>
          <w:p w14:paraId="43579554" w14:textId="79B35D44" w:rsidR="00061A2D" w:rsidRPr="000540E1" w:rsidRDefault="00061A2D" w:rsidP="008D0C3F">
            <w:pPr>
              <w:pStyle w:val="tbltext"/>
              <w:ind w:left="170" w:hanging="170"/>
            </w:pPr>
            <w:r w:rsidRPr="00F76596">
              <w:t>Floating rate reset frequency</w:t>
            </w:r>
            <w:r>
              <w:t xml:space="preserve"> (leg</w:t>
            </w:r>
            <w:r w:rsidR="009457D5">
              <w:t> </w:t>
            </w:r>
            <w:r>
              <w:t>1)</w:t>
            </w:r>
          </w:p>
        </w:tc>
        <w:tc>
          <w:tcPr>
            <w:tcW w:w="1667" w:type="pct"/>
          </w:tcPr>
          <w:p w14:paraId="12087EB3" w14:textId="710DF0D6" w:rsidR="00061A2D" w:rsidRPr="000540E1" w:rsidRDefault="009457D5" w:rsidP="008D0C3F">
            <w:pPr>
              <w:pStyle w:val="tbltext"/>
              <w:ind w:left="170" w:hanging="170"/>
            </w:pPr>
            <w:r>
              <w:t>Not applicable</w:t>
            </w:r>
          </w:p>
        </w:tc>
      </w:tr>
      <w:tr w:rsidR="00061A2D" w:rsidRPr="000540E1" w14:paraId="556C468C" w14:textId="77777777" w:rsidTr="008D0C3F">
        <w:trPr>
          <w:cantSplit/>
        </w:trPr>
        <w:tc>
          <w:tcPr>
            <w:tcW w:w="1666" w:type="pct"/>
          </w:tcPr>
          <w:p w14:paraId="4946DD8C" w14:textId="3EDD3AC0" w:rsidR="00061A2D" w:rsidRPr="00F76596" w:rsidRDefault="009457D5" w:rsidP="008D0C3F">
            <w:pPr>
              <w:pStyle w:val="tbltext"/>
              <w:ind w:left="170" w:hanging="170"/>
            </w:pPr>
            <w:r>
              <w:t>Not applicable</w:t>
            </w:r>
          </w:p>
        </w:tc>
        <w:tc>
          <w:tcPr>
            <w:tcW w:w="1666" w:type="pct"/>
          </w:tcPr>
          <w:p w14:paraId="3EAE27E4" w14:textId="4823BF13" w:rsidR="00061A2D" w:rsidRPr="000540E1" w:rsidRDefault="00061A2D" w:rsidP="008D0C3F">
            <w:pPr>
              <w:pStyle w:val="tbltext"/>
              <w:ind w:left="170" w:hanging="170"/>
            </w:pPr>
            <w:r w:rsidRPr="00F76596">
              <w:t>Floating rate reset frequency</w:t>
            </w:r>
            <w:r>
              <w:t xml:space="preserve"> (leg</w:t>
            </w:r>
            <w:r w:rsidR="009457D5">
              <w:t> </w:t>
            </w:r>
            <w:r>
              <w:t>2)</w:t>
            </w:r>
          </w:p>
        </w:tc>
        <w:tc>
          <w:tcPr>
            <w:tcW w:w="1667" w:type="pct"/>
          </w:tcPr>
          <w:p w14:paraId="3A3D1C1D" w14:textId="1E662840" w:rsidR="00061A2D" w:rsidRPr="000540E1" w:rsidRDefault="009457D5" w:rsidP="008D0C3F">
            <w:pPr>
              <w:pStyle w:val="tbltext"/>
              <w:ind w:left="170" w:hanging="170"/>
            </w:pPr>
            <w:r>
              <w:t>Not applicable</w:t>
            </w:r>
          </w:p>
        </w:tc>
      </w:tr>
      <w:tr w:rsidR="00061A2D" w:rsidRPr="000540E1" w14:paraId="37FA73BC" w14:textId="77777777" w:rsidTr="008D0C3F">
        <w:trPr>
          <w:cantSplit/>
        </w:trPr>
        <w:tc>
          <w:tcPr>
            <w:tcW w:w="1666" w:type="pct"/>
            <w:shd w:val="clear" w:color="auto" w:fill="auto"/>
          </w:tcPr>
          <w:p w14:paraId="35DB43AC" w14:textId="0E07EA37" w:rsidR="00061A2D" w:rsidRPr="009C6F38" w:rsidRDefault="009457D5" w:rsidP="008D0C3F">
            <w:pPr>
              <w:pStyle w:val="tbltext"/>
              <w:rPr>
                <w:color w:val="FFFFFF" w:themeColor="background1"/>
              </w:rPr>
            </w:pPr>
            <w:r w:rsidRPr="009C6F38">
              <w:rPr>
                <w:color w:val="FFFFFF" w:themeColor="background1"/>
              </w:rPr>
              <w:t>Blank cell</w:t>
            </w:r>
          </w:p>
        </w:tc>
        <w:tc>
          <w:tcPr>
            <w:tcW w:w="1666" w:type="pct"/>
            <w:shd w:val="clear" w:color="auto" w:fill="auto"/>
          </w:tcPr>
          <w:p w14:paraId="37BFFD05" w14:textId="4AF6A3FA" w:rsidR="00061A2D" w:rsidRPr="009C6F38" w:rsidRDefault="009457D5" w:rsidP="008D0C3F">
            <w:pPr>
              <w:pStyle w:val="tbltext"/>
              <w:rPr>
                <w:color w:val="FFFFFF" w:themeColor="background1"/>
              </w:rPr>
            </w:pPr>
            <w:r w:rsidRPr="009C6F38">
              <w:rPr>
                <w:color w:val="FFFFFF" w:themeColor="background1"/>
              </w:rPr>
              <w:t>Blank cell</w:t>
            </w:r>
          </w:p>
        </w:tc>
        <w:tc>
          <w:tcPr>
            <w:tcW w:w="1667" w:type="pct"/>
            <w:shd w:val="clear" w:color="auto" w:fill="D9D9D9" w:themeFill="background1" w:themeFillShade="D9"/>
          </w:tcPr>
          <w:p w14:paraId="5B5A72FE" w14:textId="5022EBC0" w:rsidR="00061A2D" w:rsidRPr="000540E1" w:rsidRDefault="00061A2D" w:rsidP="008D0C3F">
            <w:pPr>
              <w:pStyle w:val="tbltext"/>
            </w:pPr>
            <w:r>
              <w:t>Table S1.1(1) Transaction information</w:t>
            </w:r>
          </w:p>
        </w:tc>
      </w:tr>
      <w:tr w:rsidR="00061A2D" w:rsidRPr="000540E1" w14:paraId="699CAF75" w14:textId="77777777" w:rsidTr="008D0C3F">
        <w:trPr>
          <w:cantSplit/>
        </w:trPr>
        <w:tc>
          <w:tcPr>
            <w:tcW w:w="1666" w:type="pct"/>
          </w:tcPr>
          <w:p w14:paraId="1E36B7A2" w14:textId="66BB100C" w:rsidR="00061A2D" w:rsidRPr="00F76596" w:rsidRDefault="009457D5" w:rsidP="008D0C3F">
            <w:pPr>
              <w:pStyle w:val="tbltext"/>
              <w:ind w:left="170" w:hanging="170"/>
            </w:pPr>
            <w:r>
              <w:t>Not applicable</w:t>
            </w:r>
          </w:p>
        </w:tc>
        <w:tc>
          <w:tcPr>
            <w:tcW w:w="1666" w:type="pct"/>
          </w:tcPr>
          <w:p w14:paraId="342F8E81" w14:textId="31637A65" w:rsidR="00061A2D" w:rsidRDefault="009457D5" w:rsidP="008D0C3F">
            <w:pPr>
              <w:pStyle w:val="tbltext"/>
              <w:ind w:left="170" w:hanging="170"/>
            </w:pPr>
            <w:r>
              <w:t>Not applicable</w:t>
            </w:r>
          </w:p>
        </w:tc>
        <w:tc>
          <w:tcPr>
            <w:tcW w:w="1667" w:type="pct"/>
          </w:tcPr>
          <w:p w14:paraId="1F7ABDBC" w14:textId="77777777" w:rsidR="00061A2D" w:rsidRDefault="00061A2D" w:rsidP="008D0C3F">
            <w:pPr>
              <w:pStyle w:val="tbltext"/>
              <w:ind w:left="170" w:hanging="170"/>
            </w:pPr>
            <w:r w:rsidRPr="007724EE">
              <w:t>Notional amount schedule effective date—Leg 1</w:t>
            </w:r>
          </w:p>
          <w:p w14:paraId="42CDAB17" w14:textId="77777777" w:rsidR="00061A2D" w:rsidRDefault="00061A2D" w:rsidP="008D0C3F">
            <w:pPr>
              <w:pStyle w:val="tbltext"/>
              <w:ind w:left="170" w:hanging="170"/>
            </w:pPr>
            <w:r w:rsidRPr="007724EE">
              <w:t>Notional amount schedule end date—Leg 1</w:t>
            </w:r>
          </w:p>
          <w:p w14:paraId="67296A5E" w14:textId="77777777" w:rsidR="00061A2D" w:rsidRDefault="00061A2D" w:rsidP="008D0C3F">
            <w:pPr>
              <w:pStyle w:val="tbltext"/>
              <w:ind w:left="170" w:hanging="170"/>
            </w:pPr>
            <w:r w:rsidRPr="007724EE">
              <w:t>Notional amount schedule amount—Leg 1</w:t>
            </w:r>
          </w:p>
          <w:p w14:paraId="3AE29042" w14:textId="77777777" w:rsidR="00061A2D" w:rsidRDefault="00061A2D" w:rsidP="008D0C3F">
            <w:pPr>
              <w:pStyle w:val="tbltext"/>
              <w:ind w:left="170" w:hanging="170"/>
            </w:pPr>
            <w:r w:rsidRPr="007724EE">
              <w:t>Notional amount schedule effective date—Leg 2</w:t>
            </w:r>
          </w:p>
          <w:p w14:paraId="20C51456" w14:textId="77777777" w:rsidR="00061A2D" w:rsidRDefault="00061A2D" w:rsidP="008D0C3F">
            <w:pPr>
              <w:pStyle w:val="tbltext"/>
              <w:ind w:left="170" w:hanging="170"/>
            </w:pPr>
            <w:r w:rsidRPr="007724EE">
              <w:t>Notional amount schedule end date—Leg 2</w:t>
            </w:r>
          </w:p>
          <w:p w14:paraId="43A9F159" w14:textId="77777777" w:rsidR="00061A2D" w:rsidRPr="000540E1" w:rsidRDefault="00061A2D" w:rsidP="008D0C3F">
            <w:pPr>
              <w:pStyle w:val="tbltext"/>
              <w:ind w:left="170" w:hanging="170"/>
            </w:pPr>
            <w:r w:rsidRPr="007724EE">
              <w:t>Notional amount schedule amount—Leg 2</w:t>
            </w:r>
          </w:p>
        </w:tc>
      </w:tr>
      <w:tr w:rsidR="00061A2D" w:rsidRPr="000540E1" w14:paraId="07ED7F19" w14:textId="77777777" w:rsidTr="008D0C3F">
        <w:trPr>
          <w:cantSplit/>
        </w:trPr>
        <w:tc>
          <w:tcPr>
            <w:tcW w:w="1666" w:type="pct"/>
          </w:tcPr>
          <w:p w14:paraId="3B040A53" w14:textId="505B4CF5" w:rsidR="00061A2D" w:rsidRPr="00F76596" w:rsidRDefault="009457D5" w:rsidP="008D0C3F">
            <w:pPr>
              <w:pStyle w:val="tbltext"/>
              <w:ind w:left="170" w:hanging="170"/>
            </w:pPr>
            <w:r>
              <w:t>Not applicable</w:t>
            </w:r>
          </w:p>
        </w:tc>
        <w:tc>
          <w:tcPr>
            <w:tcW w:w="1666" w:type="pct"/>
          </w:tcPr>
          <w:p w14:paraId="250CDE6E" w14:textId="59A42BCB" w:rsidR="00061A2D" w:rsidRDefault="009457D5" w:rsidP="008D0C3F">
            <w:pPr>
              <w:pStyle w:val="tbltext"/>
              <w:ind w:left="170" w:hanging="170"/>
            </w:pPr>
            <w:r>
              <w:t>Not applicable</w:t>
            </w:r>
          </w:p>
        </w:tc>
        <w:tc>
          <w:tcPr>
            <w:tcW w:w="1667" w:type="pct"/>
          </w:tcPr>
          <w:p w14:paraId="79BDF85A" w14:textId="77777777" w:rsidR="00061A2D" w:rsidRDefault="00061A2D" w:rsidP="008D0C3F">
            <w:pPr>
              <w:pStyle w:val="tbltext"/>
            </w:pPr>
            <w:r>
              <w:t>Price</w:t>
            </w:r>
            <w:r>
              <w:br/>
              <w:t>Price currency</w:t>
            </w:r>
            <w:r>
              <w:br/>
              <w:t>Price notation</w:t>
            </w:r>
            <w:r>
              <w:br/>
            </w:r>
            <w:r w:rsidRPr="007914A5">
              <w:t>Price unit of measure</w:t>
            </w:r>
          </w:p>
        </w:tc>
      </w:tr>
      <w:tr w:rsidR="00061A2D" w:rsidRPr="000540E1" w14:paraId="471E9818" w14:textId="77777777" w:rsidTr="008D0C3F">
        <w:trPr>
          <w:cantSplit/>
        </w:trPr>
        <w:tc>
          <w:tcPr>
            <w:tcW w:w="1666" w:type="pct"/>
          </w:tcPr>
          <w:p w14:paraId="3D3192DC" w14:textId="0A30EDF4" w:rsidR="00061A2D" w:rsidRPr="00F76596" w:rsidRDefault="009457D5" w:rsidP="008D0C3F">
            <w:pPr>
              <w:pStyle w:val="tbltext"/>
              <w:ind w:left="170" w:hanging="170"/>
            </w:pPr>
            <w:r>
              <w:t>Not applicable</w:t>
            </w:r>
          </w:p>
        </w:tc>
        <w:tc>
          <w:tcPr>
            <w:tcW w:w="1666" w:type="pct"/>
          </w:tcPr>
          <w:p w14:paraId="31DBE547" w14:textId="12257000" w:rsidR="00061A2D" w:rsidRDefault="009457D5" w:rsidP="008D0C3F">
            <w:pPr>
              <w:pStyle w:val="tbltext"/>
              <w:ind w:left="170" w:hanging="170"/>
            </w:pPr>
            <w:r>
              <w:t>Not applicable</w:t>
            </w:r>
          </w:p>
        </w:tc>
        <w:tc>
          <w:tcPr>
            <w:tcW w:w="1667" w:type="pct"/>
          </w:tcPr>
          <w:p w14:paraId="5BF7A916" w14:textId="77777777" w:rsidR="00061A2D" w:rsidRDefault="00061A2D" w:rsidP="008D0C3F">
            <w:pPr>
              <w:pStyle w:val="tbltext"/>
            </w:pPr>
            <w:r>
              <w:t>Spread—Leg 1</w:t>
            </w:r>
            <w:r>
              <w:br/>
              <w:t>Spread—Leg 2</w:t>
            </w:r>
            <w:r>
              <w:br/>
              <w:t>Spread currency—Leg 1</w:t>
            </w:r>
            <w:r>
              <w:br/>
              <w:t>Spread currency—Leg 2</w:t>
            </w:r>
            <w:r>
              <w:br/>
              <w:t>Spread notation—Leg 1</w:t>
            </w:r>
            <w:r>
              <w:br/>
              <w:t>Spread notation—Leg 2</w:t>
            </w:r>
          </w:p>
        </w:tc>
      </w:tr>
      <w:tr w:rsidR="00061A2D" w:rsidRPr="000540E1" w14:paraId="4C7A01A5" w14:textId="77777777" w:rsidTr="008D0C3F">
        <w:trPr>
          <w:cantSplit/>
        </w:trPr>
        <w:tc>
          <w:tcPr>
            <w:tcW w:w="1666" w:type="pct"/>
          </w:tcPr>
          <w:p w14:paraId="7BBDA828" w14:textId="414678FB" w:rsidR="00061A2D" w:rsidRPr="00F76596" w:rsidRDefault="009457D5" w:rsidP="008D0C3F">
            <w:pPr>
              <w:pStyle w:val="tbltext"/>
              <w:ind w:left="170" w:hanging="170"/>
            </w:pPr>
            <w:r>
              <w:t>Not applicable</w:t>
            </w:r>
          </w:p>
        </w:tc>
        <w:tc>
          <w:tcPr>
            <w:tcW w:w="1666" w:type="pct"/>
          </w:tcPr>
          <w:p w14:paraId="35E905C3" w14:textId="479C0BE0" w:rsidR="00061A2D" w:rsidRDefault="009457D5" w:rsidP="008D0C3F">
            <w:pPr>
              <w:pStyle w:val="tbltext"/>
              <w:ind w:left="170" w:hanging="170"/>
            </w:pPr>
            <w:r>
              <w:t>Not applicable</w:t>
            </w:r>
          </w:p>
        </w:tc>
        <w:tc>
          <w:tcPr>
            <w:tcW w:w="1667" w:type="pct"/>
          </w:tcPr>
          <w:p w14:paraId="478ECDCD" w14:textId="77777777" w:rsidR="00061A2D" w:rsidRDefault="00061A2D" w:rsidP="008D0C3F">
            <w:pPr>
              <w:pStyle w:val="tbltext"/>
            </w:pPr>
            <w:r w:rsidRPr="00584F15">
              <w:t>Day count convention—Leg 1</w:t>
            </w:r>
            <w:r>
              <w:br/>
            </w:r>
            <w:r w:rsidRPr="00584F15">
              <w:t xml:space="preserve">Day count convention—Leg </w:t>
            </w:r>
            <w:r>
              <w:t>2</w:t>
            </w:r>
          </w:p>
        </w:tc>
      </w:tr>
      <w:tr w:rsidR="00061A2D" w:rsidRPr="000540E1" w14:paraId="4F825702" w14:textId="77777777" w:rsidTr="008D0C3F">
        <w:trPr>
          <w:cantSplit/>
        </w:trPr>
        <w:tc>
          <w:tcPr>
            <w:tcW w:w="1666" w:type="pct"/>
          </w:tcPr>
          <w:p w14:paraId="7F9DFE6A" w14:textId="48807048" w:rsidR="00061A2D" w:rsidRPr="00F76596" w:rsidRDefault="009457D5" w:rsidP="008D0C3F">
            <w:pPr>
              <w:pStyle w:val="tbltext"/>
              <w:ind w:left="170" w:hanging="170"/>
            </w:pPr>
            <w:r>
              <w:t>Not applicable</w:t>
            </w:r>
          </w:p>
        </w:tc>
        <w:tc>
          <w:tcPr>
            <w:tcW w:w="1666" w:type="pct"/>
          </w:tcPr>
          <w:p w14:paraId="6B3622CA" w14:textId="0260672E" w:rsidR="00061A2D" w:rsidRDefault="009457D5" w:rsidP="008D0C3F">
            <w:pPr>
              <w:pStyle w:val="tbltext"/>
              <w:ind w:left="170" w:hanging="170"/>
            </w:pPr>
            <w:r>
              <w:t>Not applicable</w:t>
            </w:r>
          </w:p>
        </w:tc>
        <w:tc>
          <w:tcPr>
            <w:tcW w:w="1667" w:type="pct"/>
          </w:tcPr>
          <w:p w14:paraId="16E18A02" w14:textId="77777777" w:rsidR="00061A2D" w:rsidRDefault="00061A2D" w:rsidP="008D0C3F">
            <w:pPr>
              <w:pStyle w:val="tbltext"/>
              <w:ind w:left="170" w:hanging="170"/>
            </w:pPr>
            <w:r>
              <w:t>Payment frequency period</w:t>
            </w:r>
            <w:r w:rsidRPr="007724EE">
              <w:t>—</w:t>
            </w:r>
            <w:r>
              <w:t>Leg 2</w:t>
            </w:r>
          </w:p>
          <w:p w14:paraId="6578347C" w14:textId="77777777" w:rsidR="00061A2D" w:rsidRPr="00584F15" w:rsidRDefault="00061A2D" w:rsidP="008D0C3F">
            <w:pPr>
              <w:pStyle w:val="tbltext"/>
              <w:ind w:left="170" w:hanging="170"/>
            </w:pPr>
            <w:r w:rsidRPr="005C46CC">
              <w:t>Payment frequency period multiplier</w:t>
            </w:r>
            <w:r w:rsidRPr="007724EE">
              <w:t>—</w:t>
            </w:r>
            <w:r>
              <w:t>Leg 2</w:t>
            </w:r>
          </w:p>
        </w:tc>
      </w:tr>
      <w:tr w:rsidR="00061A2D" w:rsidRPr="000540E1" w14:paraId="7B819463" w14:textId="77777777" w:rsidTr="008D0C3F">
        <w:trPr>
          <w:cantSplit/>
        </w:trPr>
        <w:tc>
          <w:tcPr>
            <w:tcW w:w="1666" w:type="pct"/>
          </w:tcPr>
          <w:p w14:paraId="5650B906" w14:textId="47630E33" w:rsidR="00061A2D" w:rsidRPr="00F76596" w:rsidRDefault="009457D5" w:rsidP="008D0C3F">
            <w:pPr>
              <w:pStyle w:val="tbltext"/>
              <w:ind w:left="170" w:hanging="170"/>
            </w:pPr>
            <w:r>
              <w:t>Not applicable</w:t>
            </w:r>
          </w:p>
        </w:tc>
        <w:tc>
          <w:tcPr>
            <w:tcW w:w="1666" w:type="pct"/>
          </w:tcPr>
          <w:p w14:paraId="71D6F817" w14:textId="3E24A71A" w:rsidR="00061A2D" w:rsidRDefault="009457D5" w:rsidP="008D0C3F">
            <w:pPr>
              <w:pStyle w:val="tbltext"/>
              <w:ind w:left="170" w:hanging="170"/>
            </w:pPr>
            <w:r>
              <w:t>Not applicable</w:t>
            </w:r>
          </w:p>
        </w:tc>
        <w:tc>
          <w:tcPr>
            <w:tcW w:w="1667" w:type="pct"/>
          </w:tcPr>
          <w:p w14:paraId="5EF86D2F" w14:textId="77777777" w:rsidR="00061A2D" w:rsidRDefault="00061A2D" w:rsidP="008D0C3F">
            <w:pPr>
              <w:pStyle w:val="tbltext"/>
            </w:pPr>
            <w:r>
              <w:t>Settlement currency</w:t>
            </w:r>
            <w:r w:rsidRPr="004270E6">
              <w:t>—</w:t>
            </w:r>
            <w:r>
              <w:t>Leg 1</w:t>
            </w:r>
            <w:r>
              <w:br/>
              <w:t>Settlement currency</w:t>
            </w:r>
            <w:r w:rsidRPr="004270E6">
              <w:t>—</w:t>
            </w:r>
            <w:r>
              <w:t>Leg 2</w:t>
            </w:r>
          </w:p>
        </w:tc>
      </w:tr>
      <w:tr w:rsidR="00061A2D" w:rsidRPr="000540E1" w14:paraId="51FE7737" w14:textId="77777777" w:rsidTr="008D0C3F">
        <w:trPr>
          <w:cantSplit/>
        </w:trPr>
        <w:tc>
          <w:tcPr>
            <w:tcW w:w="1666" w:type="pct"/>
          </w:tcPr>
          <w:p w14:paraId="3526A4E2" w14:textId="1F2B627E" w:rsidR="00061A2D" w:rsidRPr="00F76596" w:rsidRDefault="009457D5" w:rsidP="008D0C3F">
            <w:pPr>
              <w:pStyle w:val="tbltext"/>
              <w:ind w:left="284" w:hanging="284"/>
            </w:pPr>
            <w:r>
              <w:t>Not applicable</w:t>
            </w:r>
          </w:p>
        </w:tc>
        <w:tc>
          <w:tcPr>
            <w:tcW w:w="1666" w:type="pct"/>
          </w:tcPr>
          <w:p w14:paraId="269042F3" w14:textId="5E6E51A4" w:rsidR="00061A2D" w:rsidRDefault="009457D5" w:rsidP="008D0C3F">
            <w:pPr>
              <w:pStyle w:val="tbltext"/>
              <w:ind w:left="284" w:hanging="284"/>
            </w:pPr>
            <w:r>
              <w:t>Not applicable</w:t>
            </w:r>
          </w:p>
        </w:tc>
        <w:tc>
          <w:tcPr>
            <w:tcW w:w="1667" w:type="pct"/>
          </w:tcPr>
          <w:p w14:paraId="07653DBF" w14:textId="77777777" w:rsidR="00061A2D" w:rsidRDefault="00061A2D" w:rsidP="008D0C3F">
            <w:pPr>
              <w:pStyle w:val="tbltext"/>
            </w:pPr>
            <w:r>
              <w:t>Other payment amount</w:t>
            </w:r>
            <w:r>
              <w:br/>
            </w:r>
            <w:r w:rsidRPr="00085161">
              <w:rPr>
                <w:color w:val="000000" w:themeColor="text1"/>
              </w:rPr>
              <w:t>Other payment type</w:t>
            </w:r>
            <w:r>
              <w:rPr>
                <w:color w:val="000000" w:themeColor="text1"/>
              </w:rPr>
              <w:br/>
            </w:r>
            <w:r w:rsidRPr="00085161">
              <w:rPr>
                <w:color w:val="000000" w:themeColor="text1"/>
              </w:rPr>
              <w:t xml:space="preserve">Other payment </w:t>
            </w:r>
            <w:r>
              <w:rPr>
                <w:color w:val="000000" w:themeColor="text1"/>
              </w:rPr>
              <w:t>currency</w:t>
            </w:r>
            <w:r>
              <w:rPr>
                <w:color w:val="000000" w:themeColor="text1"/>
              </w:rPr>
              <w:br/>
            </w:r>
            <w:r w:rsidRPr="00FA37D3">
              <w:rPr>
                <w:color w:val="000000" w:themeColor="text1"/>
              </w:rPr>
              <w:t>Other payment date</w:t>
            </w:r>
            <w:r>
              <w:rPr>
                <w:color w:val="000000" w:themeColor="text1"/>
              </w:rPr>
              <w:br/>
            </w:r>
            <w:r w:rsidRPr="00FA37D3">
              <w:t>Other payment payer</w:t>
            </w:r>
            <w:r>
              <w:br/>
            </w:r>
            <w:r w:rsidRPr="00FA37D3">
              <w:t>Other payment receiver</w:t>
            </w:r>
          </w:p>
        </w:tc>
      </w:tr>
      <w:tr w:rsidR="00061A2D" w:rsidRPr="000540E1" w14:paraId="191B2741" w14:textId="77777777" w:rsidTr="008D0C3F">
        <w:trPr>
          <w:cantSplit/>
        </w:trPr>
        <w:tc>
          <w:tcPr>
            <w:tcW w:w="1666" w:type="pct"/>
          </w:tcPr>
          <w:p w14:paraId="2A3066FA" w14:textId="493EE090" w:rsidR="00061A2D" w:rsidRPr="00F76596" w:rsidRDefault="009457D5" w:rsidP="008D0C3F">
            <w:pPr>
              <w:pStyle w:val="tbltext"/>
              <w:ind w:left="284" w:hanging="284"/>
            </w:pPr>
            <w:r>
              <w:t>Not applicable</w:t>
            </w:r>
          </w:p>
        </w:tc>
        <w:tc>
          <w:tcPr>
            <w:tcW w:w="1666" w:type="pct"/>
          </w:tcPr>
          <w:p w14:paraId="1DEB512D" w14:textId="0C39C1F1" w:rsidR="00061A2D" w:rsidRDefault="009457D5" w:rsidP="008D0C3F">
            <w:pPr>
              <w:pStyle w:val="tbltext"/>
              <w:ind w:left="284" w:hanging="284"/>
            </w:pPr>
            <w:r>
              <w:t>Not applicable</w:t>
            </w:r>
          </w:p>
        </w:tc>
        <w:tc>
          <w:tcPr>
            <w:tcW w:w="1667" w:type="pct"/>
          </w:tcPr>
          <w:p w14:paraId="6795E258" w14:textId="77777777" w:rsidR="00061A2D" w:rsidRDefault="00061A2D" w:rsidP="008D0C3F">
            <w:pPr>
              <w:pStyle w:val="tbltext"/>
              <w:ind w:left="170" w:hanging="170"/>
            </w:pPr>
            <w:r w:rsidRPr="00BC1543">
              <w:t>Custom basket code</w:t>
            </w:r>
          </w:p>
          <w:p w14:paraId="7C19303E" w14:textId="77777777" w:rsidR="00061A2D" w:rsidRDefault="00061A2D" w:rsidP="008D0C3F">
            <w:pPr>
              <w:pStyle w:val="tbltext"/>
              <w:ind w:left="170" w:hanging="170"/>
            </w:pPr>
            <w:r w:rsidRPr="00BC1543">
              <w:t>Identifier of the basket’s constituents</w:t>
            </w:r>
          </w:p>
          <w:p w14:paraId="6D5CB867" w14:textId="77777777" w:rsidR="00061A2D" w:rsidRDefault="00061A2D" w:rsidP="008D0C3F">
            <w:pPr>
              <w:pStyle w:val="tbltext"/>
              <w:ind w:left="170" w:hanging="170"/>
            </w:pPr>
            <w:r w:rsidRPr="00BC1543">
              <w:t>Source of the identifier of the basket constituents</w:t>
            </w:r>
          </w:p>
        </w:tc>
      </w:tr>
      <w:tr w:rsidR="00061A2D" w:rsidRPr="000540E1" w14:paraId="3A6D31E0" w14:textId="77777777" w:rsidTr="008D0C3F">
        <w:trPr>
          <w:cantSplit/>
        </w:trPr>
        <w:tc>
          <w:tcPr>
            <w:tcW w:w="1666" w:type="pct"/>
          </w:tcPr>
          <w:p w14:paraId="41BDA861" w14:textId="1ED1F4EC" w:rsidR="00061A2D" w:rsidRPr="00F76596" w:rsidRDefault="009457D5" w:rsidP="008D0C3F">
            <w:pPr>
              <w:pStyle w:val="tbltext"/>
              <w:ind w:left="284" w:hanging="284"/>
            </w:pPr>
            <w:r>
              <w:t>Not applicable</w:t>
            </w:r>
          </w:p>
        </w:tc>
        <w:tc>
          <w:tcPr>
            <w:tcW w:w="1666" w:type="pct"/>
          </w:tcPr>
          <w:p w14:paraId="23F15AD2" w14:textId="77ADC850" w:rsidR="00061A2D" w:rsidRDefault="009457D5" w:rsidP="008D0C3F">
            <w:pPr>
              <w:pStyle w:val="tbltext"/>
              <w:ind w:left="284" w:hanging="284"/>
            </w:pPr>
            <w:r>
              <w:t>Not applicable</w:t>
            </w:r>
          </w:p>
        </w:tc>
        <w:tc>
          <w:tcPr>
            <w:tcW w:w="1667" w:type="pct"/>
          </w:tcPr>
          <w:p w14:paraId="7D35EBFF" w14:textId="77777777" w:rsidR="00061A2D" w:rsidRDefault="00061A2D" w:rsidP="008D0C3F">
            <w:pPr>
              <w:pStyle w:val="tbltext"/>
              <w:ind w:left="170" w:hanging="170"/>
            </w:pPr>
            <w:r w:rsidRPr="00BC1543">
              <w:t>Package identifier</w:t>
            </w:r>
          </w:p>
          <w:p w14:paraId="18ABA14E" w14:textId="77777777" w:rsidR="00061A2D" w:rsidRDefault="00061A2D" w:rsidP="008D0C3F">
            <w:pPr>
              <w:pStyle w:val="tbltext"/>
              <w:ind w:left="170" w:hanging="170"/>
            </w:pPr>
            <w:r w:rsidRPr="00BC1543">
              <w:t>Package transaction price</w:t>
            </w:r>
          </w:p>
          <w:p w14:paraId="0B57F6FE" w14:textId="77777777" w:rsidR="00061A2D" w:rsidRDefault="00061A2D" w:rsidP="008D0C3F">
            <w:pPr>
              <w:pStyle w:val="tbltext"/>
              <w:ind w:left="170" w:hanging="170"/>
            </w:pPr>
            <w:r w:rsidRPr="00BC1543">
              <w:t>Package transaction price currency</w:t>
            </w:r>
          </w:p>
          <w:p w14:paraId="48AB36F4" w14:textId="77777777" w:rsidR="00061A2D" w:rsidRDefault="00061A2D" w:rsidP="008D0C3F">
            <w:pPr>
              <w:pStyle w:val="tbltext"/>
              <w:ind w:left="170" w:hanging="170"/>
            </w:pPr>
            <w:r w:rsidRPr="00BC1543">
              <w:t>Package transaction price notation</w:t>
            </w:r>
          </w:p>
          <w:p w14:paraId="6B680FD2" w14:textId="77777777" w:rsidR="00061A2D" w:rsidRDefault="00061A2D" w:rsidP="008D0C3F">
            <w:pPr>
              <w:pStyle w:val="tbltext"/>
              <w:ind w:left="170" w:hanging="170"/>
            </w:pPr>
            <w:r w:rsidRPr="00BC1543">
              <w:t>Package transaction spread</w:t>
            </w:r>
          </w:p>
          <w:p w14:paraId="1233DBAF" w14:textId="77777777" w:rsidR="00061A2D" w:rsidRDefault="00061A2D" w:rsidP="008D0C3F">
            <w:pPr>
              <w:pStyle w:val="tbltext"/>
              <w:ind w:left="170" w:hanging="170"/>
            </w:pPr>
            <w:r w:rsidRPr="00BC1543">
              <w:t>Package transaction spread currency</w:t>
            </w:r>
          </w:p>
          <w:p w14:paraId="6A7F8DBB" w14:textId="77777777" w:rsidR="00061A2D" w:rsidRPr="00BC1543" w:rsidRDefault="00061A2D" w:rsidP="008D0C3F">
            <w:pPr>
              <w:pStyle w:val="tbltext"/>
              <w:ind w:left="170" w:hanging="170"/>
            </w:pPr>
            <w:r w:rsidRPr="00BC1543">
              <w:t>Package transaction spread notation</w:t>
            </w:r>
          </w:p>
        </w:tc>
      </w:tr>
      <w:tr w:rsidR="00061A2D" w:rsidRPr="000540E1" w14:paraId="709706F5" w14:textId="77777777" w:rsidTr="008D0C3F">
        <w:trPr>
          <w:cantSplit/>
        </w:trPr>
        <w:tc>
          <w:tcPr>
            <w:tcW w:w="1666" w:type="pct"/>
          </w:tcPr>
          <w:p w14:paraId="0A1F2A48" w14:textId="60EAA94F" w:rsidR="00061A2D" w:rsidRPr="00F76596" w:rsidRDefault="009457D5" w:rsidP="008D0C3F">
            <w:pPr>
              <w:pStyle w:val="tbltext"/>
              <w:ind w:left="284" w:hanging="284"/>
            </w:pPr>
            <w:r>
              <w:t>Not applicable</w:t>
            </w:r>
          </w:p>
        </w:tc>
        <w:tc>
          <w:tcPr>
            <w:tcW w:w="1666" w:type="pct"/>
          </w:tcPr>
          <w:p w14:paraId="68A5BFB4" w14:textId="256E2C78" w:rsidR="00061A2D" w:rsidRDefault="009457D5" w:rsidP="008D0C3F">
            <w:pPr>
              <w:pStyle w:val="tbltext"/>
              <w:ind w:left="284" w:hanging="284"/>
            </w:pPr>
            <w:r>
              <w:t>Not applicable</w:t>
            </w:r>
          </w:p>
        </w:tc>
        <w:tc>
          <w:tcPr>
            <w:tcW w:w="1667" w:type="pct"/>
          </w:tcPr>
          <w:p w14:paraId="39B85B65" w14:textId="77777777" w:rsidR="00061A2D" w:rsidRPr="001D67D2" w:rsidRDefault="00061A2D" w:rsidP="008D0C3F">
            <w:pPr>
              <w:pStyle w:val="tbltext"/>
              <w:rPr>
                <w:color w:val="000000" w:themeColor="text1"/>
              </w:rPr>
            </w:pPr>
            <w:r>
              <w:t>Prior UTI</w:t>
            </w:r>
            <w:r>
              <w:br/>
            </w:r>
            <w:r w:rsidRPr="00F92BCC">
              <w:rPr>
                <w:color w:val="000000" w:themeColor="text1"/>
              </w:rPr>
              <w:t>Event identifier</w:t>
            </w:r>
          </w:p>
        </w:tc>
      </w:tr>
    </w:tbl>
    <w:p w14:paraId="4432BDD8" w14:textId="77777777" w:rsidR="00FC511F" w:rsidRDefault="00FC511F" w:rsidP="00414BEA">
      <w:pPr>
        <w:pStyle w:val="Heading1nonumber"/>
      </w:pPr>
      <w:bookmarkStart w:id="362" w:name="_Toc164436802"/>
      <w:bookmarkStart w:id="363" w:name="_Toc103174664"/>
      <w:r>
        <w:t>Key terms</w:t>
      </w:r>
      <w:bookmarkEnd w:id="362"/>
      <w:bookmarkEnd w:id="363"/>
    </w:p>
    <w:tbl>
      <w:tblPr>
        <w:tblW w:w="6804" w:type="dxa"/>
        <w:tblInd w:w="2268" w:type="dxa"/>
        <w:tblLayout w:type="fixed"/>
        <w:tblCellMar>
          <w:bottom w:w="85" w:type="dxa"/>
        </w:tblCellMar>
        <w:tblLook w:val="0020" w:firstRow="1" w:lastRow="0" w:firstColumn="0" w:lastColumn="0" w:noHBand="0" w:noVBand="0"/>
      </w:tblPr>
      <w:tblGrid>
        <w:gridCol w:w="1985"/>
        <w:gridCol w:w="4819"/>
      </w:tblGrid>
      <w:tr w:rsidR="00FC511F" w14:paraId="1208E08E" w14:textId="77777777" w:rsidTr="00FB610A">
        <w:trPr>
          <w:cantSplit/>
          <w:tblHeader/>
        </w:trPr>
        <w:tc>
          <w:tcPr>
            <w:tcW w:w="1985" w:type="dxa"/>
            <w:tcBorders>
              <w:top w:val="single" w:sz="4" w:space="0" w:color="999999"/>
              <w:bottom w:val="single" w:sz="4" w:space="0" w:color="999999"/>
            </w:tcBorders>
            <w:shd w:val="clear" w:color="auto" w:fill="C2E3FA"/>
          </w:tcPr>
          <w:p w14:paraId="69A9D278" w14:textId="77777777" w:rsidR="00FC511F" w:rsidRDefault="00FC511F">
            <w:pPr>
              <w:pStyle w:val="tablehead"/>
            </w:pPr>
            <w:r>
              <w:t>Term</w:t>
            </w:r>
          </w:p>
        </w:tc>
        <w:tc>
          <w:tcPr>
            <w:tcW w:w="4819" w:type="dxa"/>
            <w:tcBorders>
              <w:top w:val="single" w:sz="4" w:space="0" w:color="999999"/>
              <w:bottom w:val="single" w:sz="4" w:space="0" w:color="999999"/>
            </w:tcBorders>
            <w:shd w:val="clear" w:color="auto" w:fill="C2E3FA"/>
          </w:tcPr>
          <w:p w14:paraId="32FC3EFB" w14:textId="77777777" w:rsidR="00FC511F" w:rsidRDefault="00FC511F">
            <w:pPr>
              <w:pStyle w:val="tablehead"/>
            </w:pPr>
            <w:r>
              <w:t>Meaning in this document</w:t>
            </w:r>
          </w:p>
        </w:tc>
      </w:tr>
      <w:tr w:rsidR="00FB610A" w14:paraId="24B1CFBE" w14:textId="77777777" w:rsidTr="00FB610A">
        <w:trPr>
          <w:cantSplit/>
        </w:trPr>
        <w:tc>
          <w:tcPr>
            <w:tcW w:w="1985" w:type="dxa"/>
            <w:tcBorders>
              <w:top w:val="single" w:sz="4" w:space="0" w:color="999999"/>
            </w:tcBorders>
          </w:tcPr>
          <w:p w14:paraId="799B51FE" w14:textId="0918A855" w:rsidR="00FB610A" w:rsidRDefault="00FB610A" w:rsidP="00FB610A">
            <w:pPr>
              <w:pStyle w:val="tabletext"/>
            </w:pPr>
            <w:r w:rsidRPr="00D8236C">
              <w:t>ABN</w:t>
            </w:r>
          </w:p>
        </w:tc>
        <w:tc>
          <w:tcPr>
            <w:tcW w:w="4819" w:type="dxa"/>
            <w:tcBorders>
              <w:top w:val="single" w:sz="4" w:space="0" w:color="999999"/>
            </w:tcBorders>
          </w:tcPr>
          <w:p w14:paraId="56A57622" w14:textId="11FE804D" w:rsidR="00FB610A" w:rsidRDefault="00FB610A" w:rsidP="00FB610A">
            <w:pPr>
              <w:pStyle w:val="tabletext"/>
            </w:pPr>
            <w:r w:rsidRPr="00D8236C">
              <w:t>Australian Business Number</w:t>
            </w:r>
          </w:p>
        </w:tc>
      </w:tr>
      <w:tr w:rsidR="00FB610A" w14:paraId="48E5B357" w14:textId="77777777" w:rsidTr="00FB610A">
        <w:trPr>
          <w:cantSplit/>
        </w:trPr>
        <w:tc>
          <w:tcPr>
            <w:tcW w:w="1985" w:type="dxa"/>
          </w:tcPr>
          <w:p w14:paraId="547B7A3F" w14:textId="6B8CBF05" w:rsidR="00FB610A" w:rsidRDefault="00FB610A" w:rsidP="00FB610A">
            <w:pPr>
              <w:pStyle w:val="tabletext"/>
            </w:pPr>
            <w:r w:rsidRPr="00D8236C">
              <w:t>ADI</w:t>
            </w:r>
          </w:p>
        </w:tc>
        <w:tc>
          <w:tcPr>
            <w:tcW w:w="4819" w:type="dxa"/>
          </w:tcPr>
          <w:p w14:paraId="118913BD" w14:textId="77777777" w:rsidR="00FB610A" w:rsidRPr="00D8236C" w:rsidRDefault="00FB610A" w:rsidP="00FB610A">
            <w:pPr>
              <w:pStyle w:val="tbltext"/>
            </w:pPr>
            <w:r w:rsidRPr="00D8236C">
              <w:t xml:space="preserve">An authorised deposit-taking institution—a corporation that is authorised under the </w:t>
            </w:r>
            <w:r w:rsidRPr="00D8236C">
              <w:rPr>
                <w:i/>
              </w:rPr>
              <w:t>Banking Act 1959</w:t>
            </w:r>
            <w:r w:rsidRPr="00D8236C">
              <w:t>. ADIs include:</w:t>
            </w:r>
          </w:p>
          <w:p w14:paraId="52C6E2F2" w14:textId="77777777" w:rsidR="00FB610A" w:rsidRPr="00D8236C" w:rsidRDefault="00FB610A" w:rsidP="00FB610A">
            <w:pPr>
              <w:pStyle w:val="tablebullet"/>
            </w:pPr>
            <w:r w:rsidRPr="00D8236C">
              <w:t>banks;</w:t>
            </w:r>
          </w:p>
          <w:p w14:paraId="32FD3AFA" w14:textId="77777777" w:rsidR="00FB610A" w:rsidRPr="00D8236C" w:rsidRDefault="00FB610A" w:rsidP="00FB610A">
            <w:pPr>
              <w:pStyle w:val="tablebullet"/>
            </w:pPr>
            <w:r w:rsidRPr="00D8236C">
              <w:t>building societies; and</w:t>
            </w:r>
          </w:p>
          <w:p w14:paraId="200DB501" w14:textId="37CC533A" w:rsidR="00FB610A" w:rsidRDefault="00FB610A" w:rsidP="009C6F38">
            <w:pPr>
              <w:pStyle w:val="tablebullet"/>
            </w:pPr>
            <w:r w:rsidRPr="00D8236C">
              <w:t>credit unions</w:t>
            </w:r>
          </w:p>
        </w:tc>
      </w:tr>
      <w:tr w:rsidR="00FB610A" w14:paraId="0D50AC1B" w14:textId="77777777" w:rsidTr="00FB610A">
        <w:trPr>
          <w:cantSplit/>
        </w:trPr>
        <w:tc>
          <w:tcPr>
            <w:tcW w:w="1985" w:type="dxa"/>
          </w:tcPr>
          <w:p w14:paraId="2F1DF17D" w14:textId="34A199B5" w:rsidR="00FB610A" w:rsidRDefault="00FB610A" w:rsidP="00FB610A">
            <w:pPr>
              <w:pStyle w:val="tabletext"/>
            </w:pPr>
            <w:r w:rsidRPr="00D8236C">
              <w:t>AFS licence</w:t>
            </w:r>
          </w:p>
        </w:tc>
        <w:tc>
          <w:tcPr>
            <w:tcW w:w="4819" w:type="dxa"/>
          </w:tcPr>
          <w:p w14:paraId="36929317" w14:textId="77777777" w:rsidR="00FB610A" w:rsidRPr="00D8236C" w:rsidRDefault="00FB610A" w:rsidP="00FB610A">
            <w:pPr>
              <w:pStyle w:val="tbltext"/>
            </w:pPr>
            <w:r w:rsidRPr="00D8236C">
              <w:t>An Australian financial services licence under s913B of the Corporations Act that authorises a person who carries on a financial services business to provide financial services</w:t>
            </w:r>
          </w:p>
          <w:p w14:paraId="2AC61CEE" w14:textId="3021A722" w:rsidR="00FB610A" w:rsidRDefault="00FB610A" w:rsidP="009C6F38">
            <w:pPr>
              <w:pStyle w:val="tblnote"/>
            </w:pPr>
            <w:r w:rsidRPr="00D8236C">
              <w:t>Note: This is a definition contained in s761A.</w:t>
            </w:r>
          </w:p>
        </w:tc>
      </w:tr>
      <w:tr w:rsidR="00FB610A" w14:paraId="554249D3" w14:textId="77777777" w:rsidTr="00FB610A">
        <w:trPr>
          <w:cantSplit/>
        </w:trPr>
        <w:tc>
          <w:tcPr>
            <w:tcW w:w="1985" w:type="dxa"/>
          </w:tcPr>
          <w:p w14:paraId="6AE752E2" w14:textId="16158BA9" w:rsidR="00FB610A" w:rsidRDefault="00FB610A" w:rsidP="00FB610A">
            <w:pPr>
              <w:pStyle w:val="tabletext"/>
            </w:pPr>
            <w:r w:rsidRPr="00D8236C">
              <w:t>AFS licensee</w:t>
            </w:r>
          </w:p>
        </w:tc>
        <w:tc>
          <w:tcPr>
            <w:tcW w:w="4819" w:type="dxa"/>
          </w:tcPr>
          <w:p w14:paraId="4763A874" w14:textId="539B90BC" w:rsidR="00FB610A" w:rsidRDefault="00FB610A" w:rsidP="00FB610A">
            <w:pPr>
              <w:pStyle w:val="tabletext"/>
            </w:pPr>
            <w:r w:rsidRPr="00D8236C">
              <w:t>A person who holds an AFS licence under s913B of the Corporations Act</w:t>
            </w:r>
          </w:p>
        </w:tc>
      </w:tr>
      <w:tr w:rsidR="00FB610A" w14:paraId="12B61765" w14:textId="77777777" w:rsidTr="00FB610A">
        <w:trPr>
          <w:cantSplit/>
        </w:trPr>
        <w:tc>
          <w:tcPr>
            <w:tcW w:w="1985" w:type="dxa"/>
          </w:tcPr>
          <w:p w14:paraId="6B16FBC4" w14:textId="120C5AEF" w:rsidR="00FB610A" w:rsidRDefault="00FB610A" w:rsidP="00FB610A">
            <w:pPr>
              <w:pStyle w:val="tabletext"/>
            </w:pPr>
            <w:r w:rsidRPr="00D8236C">
              <w:t>alternative reporting</w:t>
            </w:r>
          </w:p>
        </w:tc>
        <w:tc>
          <w:tcPr>
            <w:tcW w:w="4819" w:type="dxa"/>
          </w:tcPr>
          <w:p w14:paraId="6BC57F6B" w14:textId="7F09461B" w:rsidR="00FB610A" w:rsidRDefault="00FB610A" w:rsidP="00FB610A">
            <w:pPr>
              <w:pStyle w:val="tabletext"/>
            </w:pPr>
            <w:r w:rsidRPr="00D8236C">
              <w:t>A form of substituted compliance, under Rule 2.2.1(3) of the ASIC Rules, for foreign reporting entities by taking their reporting under a foreign jurisdiction’s substantially equivalent reporting requirements (alternative reporting requirements) as satisfying their ASIC Rules reporting requirements</w:t>
            </w:r>
          </w:p>
        </w:tc>
      </w:tr>
      <w:tr w:rsidR="00FB610A" w14:paraId="1DD3E20D" w14:textId="77777777" w:rsidTr="00FB610A">
        <w:trPr>
          <w:cantSplit/>
        </w:trPr>
        <w:tc>
          <w:tcPr>
            <w:tcW w:w="1985" w:type="dxa"/>
          </w:tcPr>
          <w:p w14:paraId="6EAC4A57" w14:textId="21D37E5C" w:rsidR="00FB610A" w:rsidRDefault="00FB610A" w:rsidP="00FB610A">
            <w:pPr>
              <w:pStyle w:val="tabletext"/>
            </w:pPr>
            <w:r w:rsidRPr="00D8236C">
              <w:t>ANNA</w:t>
            </w:r>
          </w:p>
        </w:tc>
        <w:tc>
          <w:tcPr>
            <w:tcW w:w="4819" w:type="dxa"/>
          </w:tcPr>
          <w:p w14:paraId="62ACE4D6" w14:textId="49A34F56" w:rsidR="00FB610A" w:rsidRDefault="00FB610A" w:rsidP="00FB610A">
            <w:pPr>
              <w:pStyle w:val="tabletext"/>
            </w:pPr>
            <w:r w:rsidRPr="00D8236C">
              <w:t>Association of National Numbering Agencies</w:t>
            </w:r>
          </w:p>
        </w:tc>
      </w:tr>
      <w:tr w:rsidR="00FB610A" w14:paraId="29EB7EC9" w14:textId="77777777" w:rsidTr="00FB610A">
        <w:trPr>
          <w:cantSplit/>
        </w:trPr>
        <w:tc>
          <w:tcPr>
            <w:tcW w:w="1985" w:type="dxa"/>
          </w:tcPr>
          <w:p w14:paraId="6493CD4F" w14:textId="19276DC3" w:rsidR="00FB610A" w:rsidRDefault="00FB610A" w:rsidP="00FB610A">
            <w:pPr>
              <w:pStyle w:val="tabletext"/>
            </w:pPr>
            <w:r w:rsidRPr="00D8236C">
              <w:t>ASATP</w:t>
            </w:r>
          </w:p>
        </w:tc>
        <w:tc>
          <w:tcPr>
            <w:tcW w:w="4819" w:type="dxa"/>
          </w:tcPr>
          <w:p w14:paraId="15383F92" w14:textId="18AA8B50" w:rsidR="00FB610A" w:rsidRDefault="00FB610A" w:rsidP="00FB610A">
            <w:pPr>
              <w:pStyle w:val="tabletext"/>
            </w:pPr>
            <w:r w:rsidRPr="00D8236C">
              <w:t>As soon as technologically possible</w:t>
            </w:r>
          </w:p>
        </w:tc>
      </w:tr>
      <w:tr w:rsidR="00FB610A" w14:paraId="0EDC14DA" w14:textId="77777777" w:rsidTr="00FB610A">
        <w:trPr>
          <w:cantSplit/>
        </w:trPr>
        <w:tc>
          <w:tcPr>
            <w:tcW w:w="1985" w:type="dxa"/>
          </w:tcPr>
          <w:p w14:paraId="4A6BA814" w14:textId="61AF3BC0" w:rsidR="00FB610A" w:rsidRDefault="00FB610A" w:rsidP="00FB610A">
            <w:pPr>
              <w:pStyle w:val="tabletext"/>
            </w:pPr>
            <w:r w:rsidRPr="00D8236C">
              <w:t>ASIC</w:t>
            </w:r>
          </w:p>
        </w:tc>
        <w:tc>
          <w:tcPr>
            <w:tcW w:w="4819" w:type="dxa"/>
          </w:tcPr>
          <w:p w14:paraId="1F1BF6E9" w14:textId="1A941DBA" w:rsidR="00FB610A" w:rsidRDefault="00FB610A" w:rsidP="00FB610A">
            <w:pPr>
              <w:pStyle w:val="tabletext"/>
            </w:pPr>
            <w:r w:rsidRPr="00D8236C">
              <w:t>Australian Securities and Investments Commission</w:t>
            </w:r>
          </w:p>
        </w:tc>
      </w:tr>
      <w:tr w:rsidR="00FB610A" w14:paraId="7F5DC31D" w14:textId="77777777" w:rsidTr="00FB610A">
        <w:trPr>
          <w:cantSplit/>
        </w:trPr>
        <w:tc>
          <w:tcPr>
            <w:tcW w:w="1985" w:type="dxa"/>
          </w:tcPr>
          <w:p w14:paraId="2C189842" w14:textId="3F452E67" w:rsidR="00FB610A" w:rsidRDefault="00FB610A" w:rsidP="00FB610A">
            <w:pPr>
              <w:pStyle w:val="tabletext"/>
            </w:pPr>
            <w:r w:rsidRPr="00D8236C">
              <w:t>ASIC Rules</w:t>
            </w:r>
          </w:p>
        </w:tc>
        <w:tc>
          <w:tcPr>
            <w:tcW w:w="4819" w:type="dxa"/>
          </w:tcPr>
          <w:p w14:paraId="4695E422" w14:textId="5C120A58" w:rsidR="00FB610A" w:rsidRPr="00A72C41" w:rsidRDefault="00FB610A" w:rsidP="00FB610A">
            <w:pPr>
              <w:pStyle w:val="tabletext"/>
              <w:rPr>
                <w:i/>
                <w:iCs/>
              </w:rPr>
            </w:pPr>
            <w:r w:rsidRPr="00A72C41">
              <w:rPr>
                <w:i/>
                <w:iCs/>
              </w:rPr>
              <w:t>ASIC Derivative Transaction Rules (Reporting) 2013</w:t>
            </w:r>
          </w:p>
        </w:tc>
      </w:tr>
      <w:tr w:rsidR="00FB610A" w14:paraId="6D746B42" w14:textId="77777777" w:rsidTr="00FB610A">
        <w:trPr>
          <w:cantSplit/>
        </w:trPr>
        <w:tc>
          <w:tcPr>
            <w:tcW w:w="1985" w:type="dxa"/>
          </w:tcPr>
          <w:p w14:paraId="157725E7" w14:textId="2643AC8D" w:rsidR="00FB610A" w:rsidRPr="00D8236C" w:rsidRDefault="00FB610A" w:rsidP="00FB610A">
            <w:pPr>
              <w:pStyle w:val="tabletext"/>
            </w:pPr>
            <w:r w:rsidRPr="00D8236C">
              <w:t>AVID</w:t>
            </w:r>
          </w:p>
        </w:tc>
        <w:tc>
          <w:tcPr>
            <w:tcW w:w="4819" w:type="dxa"/>
          </w:tcPr>
          <w:p w14:paraId="16F5C432" w14:textId="0D3F7484" w:rsidR="00FB610A" w:rsidRPr="00D8236C" w:rsidRDefault="00FB610A" w:rsidP="00FB610A">
            <w:pPr>
              <w:pStyle w:val="tabletext"/>
            </w:pPr>
            <w:r w:rsidRPr="00D8236C">
              <w:t>An entity identifier issued by Avox Limited</w:t>
            </w:r>
          </w:p>
        </w:tc>
      </w:tr>
      <w:tr w:rsidR="00FB610A" w14:paraId="1BD80C00" w14:textId="77777777" w:rsidTr="00FB610A">
        <w:trPr>
          <w:cantSplit/>
        </w:trPr>
        <w:tc>
          <w:tcPr>
            <w:tcW w:w="1985" w:type="dxa"/>
          </w:tcPr>
          <w:p w14:paraId="1F7C6805" w14:textId="4A51238F" w:rsidR="00FB610A" w:rsidRPr="00D8236C" w:rsidRDefault="00FB610A" w:rsidP="00FB610A">
            <w:pPr>
              <w:pStyle w:val="tabletext"/>
            </w:pPr>
            <w:r w:rsidRPr="00D8236C">
              <w:t>BIC</w:t>
            </w:r>
          </w:p>
        </w:tc>
        <w:tc>
          <w:tcPr>
            <w:tcW w:w="4819" w:type="dxa"/>
          </w:tcPr>
          <w:p w14:paraId="02AF5838" w14:textId="25CE0156" w:rsidR="00FB610A" w:rsidRPr="00D8236C" w:rsidRDefault="00FB610A" w:rsidP="00FB610A">
            <w:pPr>
              <w:pStyle w:val="tabletext"/>
            </w:pPr>
            <w:r w:rsidRPr="00D8236C">
              <w:t>An entity identifier issued by SWIFT, the Society for Worldwide Interbank Financial Telecommunication</w:t>
            </w:r>
          </w:p>
        </w:tc>
      </w:tr>
      <w:tr w:rsidR="00FB610A" w14:paraId="27547AE0" w14:textId="77777777" w:rsidTr="00FB610A">
        <w:trPr>
          <w:cantSplit/>
        </w:trPr>
        <w:tc>
          <w:tcPr>
            <w:tcW w:w="1985" w:type="dxa"/>
          </w:tcPr>
          <w:p w14:paraId="6AE1AC83" w14:textId="6EFA9F3D" w:rsidR="00FB610A" w:rsidRPr="00D8236C" w:rsidRDefault="00FB610A" w:rsidP="00FB610A">
            <w:pPr>
              <w:pStyle w:val="tabletext"/>
            </w:pPr>
            <w:r w:rsidRPr="00D8236C">
              <w:t>CCP (central counterparty)</w:t>
            </w:r>
          </w:p>
        </w:tc>
        <w:tc>
          <w:tcPr>
            <w:tcW w:w="4819" w:type="dxa"/>
          </w:tcPr>
          <w:p w14:paraId="6EA41207" w14:textId="1FBBEC63" w:rsidR="00FB610A" w:rsidRPr="00D8236C" w:rsidRDefault="00FB610A" w:rsidP="00FB610A">
            <w:pPr>
              <w:pStyle w:val="tabletext"/>
            </w:pPr>
            <w:r w:rsidRPr="00D8236C">
              <w:rPr>
                <w:rFonts w:eastAsia="Calibri"/>
              </w:rPr>
              <w:t>An entity that interposes itself between counterparties to trades, becoming the buyer to every seller and the seller to every buyer</w:t>
            </w:r>
          </w:p>
        </w:tc>
      </w:tr>
      <w:tr w:rsidR="00FB610A" w14:paraId="1A74A393" w14:textId="77777777" w:rsidTr="00FB610A">
        <w:trPr>
          <w:cantSplit/>
        </w:trPr>
        <w:tc>
          <w:tcPr>
            <w:tcW w:w="1985" w:type="dxa"/>
          </w:tcPr>
          <w:p w14:paraId="08C639C9" w14:textId="07B4007E" w:rsidR="00FB610A" w:rsidRPr="00D8236C" w:rsidRDefault="00FB610A" w:rsidP="00FB610A">
            <w:pPr>
              <w:pStyle w:val="tabletext"/>
            </w:pPr>
            <w:r w:rsidRPr="00D8236C">
              <w:t>CDE</w:t>
            </w:r>
          </w:p>
        </w:tc>
        <w:tc>
          <w:tcPr>
            <w:tcW w:w="4819" w:type="dxa"/>
          </w:tcPr>
          <w:p w14:paraId="37A39AC1" w14:textId="1F839D32" w:rsidR="00FB610A" w:rsidRPr="00D8236C" w:rsidRDefault="00FB610A" w:rsidP="00FB610A">
            <w:pPr>
              <w:pStyle w:val="tabletext"/>
              <w:rPr>
                <w:rFonts w:eastAsia="Calibri"/>
              </w:rPr>
            </w:pPr>
            <w:r w:rsidRPr="00D8236C">
              <w:t>Critical data elements</w:t>
            </w:r>
          </w:p>
        </w:tc>
      </w:tr>
      <w:tr w:rsidR="00FB610A" w14:paraId="57A59514" w14:textId="77777777" w:rsidTr="00FB610A">
        <w:trPr>
          <w:cantSplit/>
        </w:trPr>
        <w:tc>
          <w:tcPr>
            <w:tcW w:w="1985" w:type="dxa"/>
          </w:tcPr>
          <w:p w14:paraId="21B25B58" w14:textId="0654FFA7" w:rsidR="00FB610A" w:rsidRPr="00D8236C" w:rsidRDefault="00FB610A" w:rsidP="00FB610A">
            <w:pPr>
              <w:pStyle w:val="tabletext"/>
            </w:pPr>
            <w:r w:rsidRPr="00D8236C">
              <w:t>CDE Guidance</w:t>
            </w:r>
          </w:p>
        </w:tc>
        <w:tc>
          <w:tcPr>
            <w:tcW w:w="4819" w:type="dxa"/>
          </w:tcPr>
          <w:p w14:paraId="52671536" w14:textId="56FE9A10" w:rsidR="00FB610A" w:rsidRPr="00D8236C" w:rsidRDefault="00FB610A" w:rsidP="00FB610A">
            <w:pPr>
              <w:pStyle w:val="tabletext"/>
            </w:pPr>
            <w:r w:rsidRPr="00D8236C">
              <w:t xml:space="preserve">CPMI IOSCO, </w:t>
            </w:r>
            <w:hyperlink r:id="rId200" w:history="1">
              <w:r w:rsidRPr="00BC19B3">
                <w:rPr>
                  <w:rStyle w:val="Hyperlink"/>
                  <w:i/>
                  <w:iCs/>
                </w:rPr>
                <w:t>Technical guidance:</w:t>
              </w:r>
              <w:r w:rsidRPr="00BC19B3">
                <w:rPr>
                  <w:rStyle w:val="Hyperlink"/>
                </w:rPr>
                <w:t xml:space="preserve"> </w:t>
              </w:r>
              <w:r w:rsidRPr="00BC19B3">
                <w:rPr>
                  <w:rStyle w:val="Hyperlink"/>
                  <w:i/>
                  <w:iCs/>
                </w:rPr>
                <w:t>Harmonisation of critical OTC derivatives data elements (other than UTI and UPI)</w:t>
              </w:r>
            </w:hyperlink>
            <w:r>
              <w:rPr>
                <w:i/>
                <w:iCs/>
              </w:rPr>
              <w:t xml:space="preserve"> </w:t>
            </w:r>
            <w:r>
              <w:t>(PDF 1.01 MB)</w:t>
            </w:r>
          </w:p>
        </w:tc>
      </w:tr>
      <w:tr w:rsidR="00FB610A" w14:paraId="5D5BF050" w14:textId="77777777" w:rsidTr="00FB610A">
        <w:trPr>
          <w:cantSplit/>
        </w:trPr>
        <w:tc>
          <w:tcPr>
            <w:tcW w:w="1985" w:type="dxa"/>
          </w:tcPr>
          <w:p w14:paraId="3FB39D0C" w14:textId="2B1F02EF" w:rsidR="00FB610A" w:rsidRPr="00D8236C" w:rsidRDefault="00FB610A" w:rsidP="00FB610A">
            <w:pPr>
              <w:pStyle w:val="tabletext"/>
            </w:pPr>
            <w:r w:rsidRPr="00D8236C">
              <w:t>CDIDE</w:t>
            </w:r>
          </w:p>
        </w:tc>
        <w:tc>
          <w:tcPr>
            <w:tcW w:w="4819" w:type="dxa"/>
          </w:tcPr>
          <w:p w14:paraId="689CAB13" w14:textId="5FC04471" w:rsidR="00FB610A" w:rsidRPr="00D8236C" w:rsidRDefault="00FB610A" w:rsidP="00FB610A">
            <w:pPr>
              <w:pStyle w:val="tabletext"/>
            </w:pPr>
            <w:r w:rsidRPr="00D8236C">
              <w:t>Committee on Derivative Identifiers and Data Elements of the ROC</w:t>
            </w:r>
          </w:p>
        </w:tc>
      </w:tr>
      <w:tr w:rsidR="00FB610A" w14:paraId="34740682" w14:textId="77777777" w:rsidTr="00FB610A">
        <w:trPr>
          <w:cantSplit/>
        </w:trPr>
        <w:tc>
          <w:tcPr>
            <w:tcW w:w="1985" w:type="dxa"/>
          </w:tcPr>
          <w:p w14:paraId="69834BCE" w14:textId="622A8AB5" w:rsidR="00FB610A" w:rsidRPr="00D8236C" w:rsidRDefault="00FB610A" w:rsidP="00FB610A">
            <w:pPr>
              <w:pStyle w:val="tabletext"/>
            </w:pPr>
            <w:r w:rsidRPr="00D8236C">
              <w:t>CFD</w:t>
            </w:r>
          </w:p>
        </w:tc>
        <w:tc>
          <w:tcPr>
            <w:tcW w:w="4819" w:type="dxa"/>
          </w:tcPr>
          <w:p w14:paraId="6D0002B0" w14:textId="151827A9" w:rsidR="00FB610A" w:rsidRPr="00D8236C" w:rsidRDefault="00FB610A" w:rsidP="00FB610A">
            <w:pPr>
              <w:pStyle w:val="tabletext"/>
            </w:pPr>
            <w:r w:rsidRPr="00D8236C">
              <w:t>A contract for difference</w:t>
            </w:r>
          </w:p>
        </w:tc>
      </w:tr>
      <w:tr w:rsidR="00FB610A" w14:paraId="7A9134A8" w14:textId="77777777" w:rsidTr="00FB610A">
        <w:trPr>
          <w:cantSplit/>
        </w:trPr>
        <w:tc>
          <w:tcPr>
            <w:tcW w:w="1985" w:type="dxa"/>
          </w:tcPr>
          <w:p w14:paraId="067AF638" w14:textId="2F9E12F5" w:rsidR="00FB610A" w:rsidRPr="00D8236C" w:rsidRDefault="00FB610A" w:rsidP="00FB610A">
            <w:pPr>
              <w:pStyle w:val="tabletext"/>
            </w:pPr>
            <w:r w:rsidRPr="00D8236C">
              <w:t>CFI</w:t>
            </w:r>
          </w:p>
        </w:tc>
        <w:tc>
          <w:tcPr>
            <w:tcW w:w="4819" w:type="dxa"/>
          </w:tcPr>
          <w:p w14:paraId="36447033" w14:textId="5E4A19A4" w:rsidR="00FB610A" w:rsidRPr="00D8236C" w:rsidRDefault="00FB610A" w:rsidP="00FB610A">
            <w:pPr>
              <w:pStyle w:val="tabletext"/>
            </w:pPr>
            <w:r w:rsidRPr="00D8236C">
              <w:t>ISO Classification of Financial Instruments</w:t>
            </w:r>
          </w:p>
        </w:tc>
      </w:tr>
      <w:tr w:rsidR="00FB610A" w14:paraId="24194079" w14:textId="77777777" w:rsidTr="00FB610A">
        <w:trPr>
          <w:cantSplit/>
        </w:trPr>
        <w:tc>
          <w:tcPr>
            <w:tcW w:w="1985" w:type="dxa"/>
          </w:tcPr>
          <w:p w14:paraId="1DDB7E94" w14:textId="77CB24DD" w:rsidR="00FB610A" w:rsidRPr="00D8236C" w:rsidRDefault="00FB610A" w:rsidP="00FB610A">
            <w:pPr>
              <w:pStyle w:val="tabletext"/>
            </w:pPr>
            <w:r w:rsidRPr="00D8236C">
              <w:t>CFTC</w:t>
            </w:r>
          </w:p>
        </w:tc>
        <w:tc>
          <w:tcPr>
            <w:tcW w:w="4819" w:type="dxa"/>
          </w:tcPr>
          <w:p w14:paraId="0893AB24" w14:textId="47523A5B" w:rsidR="00FB610A" w:rsidRPr="00D8236C" w:rsidRDefault="00FB610A" w:rsidP="00FB610A">
            <w:pPr>
              <w:pStyle w:val="tabletext"/>
            </w:pPr>
            <w:r w:rsidRPr="00D8236C">
              <w:t>US Commodity Futures Trading Commission</w:t>
            </w:r>
          </w:p>
        </w:tc>
      </w:tr>
      <w:tr w:rsidR="00FB610A" w14:paraId="016FEFE8" w14:textId="77777777" w:rsidTr="00FB610A">
        <w:trPr>
          <w:cantSplit/>
        </w:trPr>
        <w:tc>
          <w:tcPr>
            <w:tcW w:w="1985" w:type="dxa"/>
          </w:tcPr>
          <w:p w14:paraId="458DC555" w14:textId="3E5356BF" w:rsidR="00FB610A" w:rsidRPr="00D8236C" w:rsidRDefault="00FB610A" w:rsidP="00FB610A">
            <w:pPr>
              <w:pStyle w:val="tabletext"/>
            </w:pPr>
            <w:r w:rsidRPr="00D8236C">
              <w:t>clearing member</w:t>
            </w:r>
          </w:p>
        </w:tc>
        <w:tc>
          <w:tcPr>
            <w:tcW w:w="4819" w:type="dxa"/>
          </w:tcPr>
          <w:p w14:paraId="6AD8277E" w14:textId="1E33B176" w:rsidR="00FB610A" w:rsidRPr="00D8236C" w:rsidRDefault="00FB610A" w:rsidP="00FB610A">
            <w:pPr>
              <w:pStyle w:val="tabletext"/>
            </w:pPr>
            <w:r w:rsidRPr="00D8236C">
              <w:t>A person who is allowed to directly participate in a CS</w:t>
            </w:r>
            <w:r>
              <w:t> </w:t>
            </w:r>
            <w:r w:rsidRPr="00D8236C">
              <w:t>facility under the facility’s operating rules</w:t>
            </w:r>
          </w:p>
        </w:tc>
      </w:tr>
      <w:tr w:rsidR="00FB610A" w14:paraId="4095C570" w14:textId="77777777" w:rsidTr="00FB610A">
        <w:trPr>
          <w:cantSplit/>
        </w:trPr>
        <w:tc>
          <w:tcPr>
            <w:tcW w:w="1985" w:type="dxa"/>
          </w:tcPr>
          <w:p w14:paraId="7B444963" w14:textId="4CC41D92" w:rsidR="00FB610A" w:rsidRPr="00D8236C" w:rsidRDefault="00FB610A" w:rsidP="00FB610A">
            <w:pPr>
              <w:pStyle w:val="tabletext"/>
            </w:pPr>
            <w:r w:rsidRPr="00D8236C">
              <w:t>confirmation platform</w:t>
            </w:r>
          </w:p>
        </w:tc>
        <w:tc>
          <w:tcPr>
            <w:tcW w:w="4819" w:type="dxa"/>
          </w:tcPr>
          <w:p w14:paraId="05C062AA" w14:textId="1AAF599C" w:rsidR="00FB610A" w:rsidRPr="00D8236C" w:rsidRDefault="00FB610A" w:rsidP="00FB610A">
            <w:pPr>
              <w:pStyle w:val="tabletext"/>
            </w:pPr>
            <w:r w:rsidRPr="00D8236C">
              <w:t>An electronic trade confirmation platform</w:t>
            </w:r>
          </w:p>
        </w:tc>
      </w:tr>
      <w:tr w:rsidR="00FB610A" w14:paraId="0F3CD32D" w14:textId="77777777" w:rsidTr="00FB610A">
        <w:trPr>
          <w:cantSplit/>
        </w:trPr>
        <w:tc>
          <w:tcPr>
            <w:tcW w:w="1985" w:type="dxa"/>
          </w:tcPr>
          <w:p w14:paraId="038731CD" w14:textId="2B7E2603" w:rsidR="00FB610A" w:rsidRPr="00D8236C" w:rsidRDefault="00FB610A" w:rsidP="00FB610A">
            <w:pPr>
              <w:pStyle w:val="tabletext"/>
            </w:pPr>
            <w:r w:rsidRPr="00D8236C">
              <w:t>Corporations Act</w:t>
            </w:r>
          </w:p>
        </w:tc>
        <w:tc>
          <w:tcPr>
            <w:tcW w:w="4819" w:type="dxa"/>
          </w:tcPr>
          <w:p w14:paraId="748E3965" w14:textId="21851191" w:rsidR="00FB610A" w:rsidRPr="00D8236C" w:rsidRDefault="00FB610A" w:rsidP="00FB610A">
            <w:pPr>
              <w:pStyle w:val="tabletext"/>
            </w:pPr>
            <w:r w:rsidRPr="00D8236C">
              <w:rPr>
                <w:i/>
                <w:iCs/>
              </w:rPr>
              <w:t>Corporations Act 2001</w:t>
            </w:r>
            <w:r w:rsidRPr="00D8236C">
              <w:t xml:space="preserve">, including regulations made for the purposes of that Act </w:t>
            </w:r>
          </w:p>
        </w:tc>
      </w:tr>
      <w:tr w:rsidR="00FB610A" w14:paraId="0732000A" w14:textId="77777777" w:rsidTr="00FB610A">
        <w:trPr>
          <w:cantSplit/>
        </w:trPr>
        <w:tc>
          <w:tcPr>
            <w:tcW w:w="1985" w:type="dxa"/>
          </w:tcPr>
          <w:p w14:paraId="38B788E7" w14:textId="24383642" w:rsidR="00FB610A" w:rsidRPr="00D8236C" w:rsidRDefault="00FB610A" w:rsidP="00FB610A">
            <w:pPr>
              <w:pStyle w:val="tabletext"/>
            </w:pPr>
            <w:r w:rsidRPr="00D8236C">
              <w:t>Corporations Regulations</w:t>
            </w:r>
          </w:p>
        </w:tc>
        <w:tc>
          <w:tcPr>
            <w:tcW w:w="4819" w:type="dxa"/>
          </w:tcPr>
          <w:p w14:paraId="740BE3E0" w14:textId="1B86456A" w:rsidR="00FB610A" w:rsidRPr="00F81CAF" w:rsidRDefault="00FB610A" w:rsidP="00FB610A">
            <w:pPr>
              <w:pStyle w:val="tabletext"/>
              <w:rPr>
                <w:i/>
                <w:iCs/>
              </w:rPr>
            </w:pPr>
            <w:r w:rsidRPr="00B13182">
              <w:rPr>
                <w:i/>
                <w:iCs/>
              </w:rPr>
              <w:t>Corporations Regulations 2001</w:t>
            </w:r>
          </w:p>
        </w:tc>
      </w:tr>
      <w:tr w:rsidR="00FB610A" w14:paraId="6DCD2C69" w14:textId="77777777" w:rsidTr="00FB610A">
        <w:trPr>
          <w:cantSplit/>
        </w:trPr>
        <w:tc>
          <w:tcPr>
            <w:tcW w:w="1985" w:type="dxa"/>
          </w:tcPr>
          <w:p w14:paraId="76A9A20D" w14:textId="732DAB3B" w:rsidR="00FB610A" w:rsidRPr="00D8236C" w:rsidRDefault="00FB610A" w:rsidP="00FB610A">
            <w:pPr>
              <w:pStyle w:val="tabletext"/>
            </w:pPr>
            <w:r w:rsidRPr="00D8236C">
              <w:t>CPMI</w:t>
            </w:r>
          </w:p>
        </w:tc>
        <w:tc>
          <w:tcPr>
            <w:tcW w:w="4819" w:type="dxa"/>
          </w:tcPr>
          <w:p w14:paraId="64BAD012" w14:textId="3A0EF6A3" w:rsidR="00FB610A" w:rsidRPr="00D8236C" w:rsidRDefault="00FB610A" w:rsidP="00FB610A">
            <w:pPr>
              <w:pStyle w:val="tabletext"/>
            </w:pPr>
            <w:r w:rsidRPr="00D8236C">
              <w:t>Committee on Payments and Market Infrastructures of the Bank for International Settlements</w:t>
            </w:r>
          </w:p>
        </w:tc>
      </w:tr>
      <w:tr w:rsidR="00FB610A" w14:paraId="034DA910" w14:textId="77777777" w:rsidTr="00FB610A">
        <w:trPr>
          <w:cantSplit/>
        </w:trPr>
        <w:tc>
          <w:tcPr>
            <w:tcW w:w="1985" w:type="dxa"/>
          </w:tcPr>
          <w:p w14:paraId="03C6CED4" w14:textId="555B718D" w:rsidR="00FB610A" w:rsidRPr="00D8236C" w:rsidRDefault="00FB610A" w:rsidP="00FB610A">
            <w:pPr>
              <w:pStyle w:val="tabletext"/>
            </w:pPr>
            <w:r w:rsidRPr="00D8236C">
              <w:t>CPMI IOSCO</w:t>
            </w:r>
          </w:p>
        </w:tc>
        <w:tc>
          <w:tcPr>
            <w:tcW w:w="4819" w:type="dxa"/>
          </w:tcPr>
          <w:p w14:paraId="7CF94EB6" w14:textId="3020048B" w:rsidR="00FB610A" w:rsidRPr="00D8236C" w:rsidRDefault="00FB610A" w:rsidP="00FB610A">
            <w:pPr>
              <w:pStyle w:val="tabletext"/>
            </w:pPr>
            <w:r w:rsidRPr="00D8236C">
              <w:t>CPMI and IOSCO acting as joint publishers</w:t>
            </w:r>
          </w:p>
        </w:tc>
      </w:tr>
      <w:tr w:rsidR="00FB610A" w14:paraId="23EB2980" w14:textId="77777777" w:rsidTr="00FB610A">
        <w:trPr>
          <w:cantSplit/>
        </w:trPr>
        <w:tc>
          <w:tcPr>
            <w:tcW w:w="1985" w:type="dxa"/>
          </w:tcPr>
          <w:p w14:paraId="55B826D1" w14:textId="0FA3C6D4" w:rsidR="00FB610A" w:rsidRPr="00D8236C" w:rsidRDefault="00FB610A" w:rsidP="00FB610A">
            <w:pPr>
              <w:pStyle w:val="tabletext"/>
            </w:pPr>
            <w:r w:rsidRPr="00D8236C">
              <w:t>cross-jurisdictional transaction</w:t>
            </w:r>
          </w:p>
        </w:tc>
        <w:tc>
          <w:tcPr>
            <w:tcW w:w="4819" w:type="dxa"/>
          </w:tcPr>
          <w:p w14:paraId="14B5F7AB" w14:textId="190F76C1" w:rsidR="00FB610A" w:rsidRPr="00D8236C" w:rsidRDefault="00FB610A" w:rsidP="00FB610A">
            <w:pPr>
              <w:pStyle w:val="tabletext"/>
            </w:pPr>
            <w:r w:rsidRPr="00D8236C">
              <w:t>A transaction that is reportable under the rules of two or more jurisdictions</w:t>
            </w:r>
          </w:p>
        </w:tc>
      </w:tr>
      <w:tr w:rsidR="00FB610A" w14:paraId="67ECE290" w14:textId="77777777" w:rsidTr="00FB610A">
        <w:trPr>
          <w:cantSplit/>
        </w:trPr>
        <w:tc>
          <w:tcPr>
            <w:tcW w:w="1985" w:type="dxa"/>
          </w:tcPr>
          <w:p w14:paraId="0916A811" w14:textId="05BC9558" w:rsidR="00FB610A" w:rsidRPr="00D8236C" w:rsidRDefault="00FB610A" w:rsidP="00FB610A">
            <w:pPr>
              <w:pStyle w:val="tabletext"/>
            </w:pPr>
            <w:r w:rsidRPr="00D8236C">
              <w:t>CS facility</w:t>
            </w:r>
          </w:p>
        </w:tc>
        <w:tc>
          <w:tcPr>
            <w:tcW w:w="4819" w:type="dxa"/>
          </w:tcPr>
          <w:p w14:paraId="453A481A" w14:textId="2EB9FB14" w:rsidR="00FB610A" w:rsidRPr="00D8236C" w:rsidRDefault="00FB610A" w:rsidP="00FB610A">
            <w:pPr>
              <w:pStyle w:val="tabletext"/>
            </w:pPr>
            <w:r w:rsidRPr="00D8236C">
              <w:t>A clearing and settlement facility as defined in s768A of the Corporations Act</w:t>
            </w:r>
          </w:p>
        </w:tc>
      </w:tr>
      <w:tr w:rsidR="00FB610A" w14:paraId="58631F63" w14:textId="77777777" w:rsidTr="00FB610A">
        <w:trPr>
          <w:cantSplit/>
        </w:trPr>
        <w:tc>
          <w:tcPr>
            <w:tcW w:w="1985" w:type="dxa"/>
          </w:tcPr>
          <w:p w14:paraId="78FB387A" w14:textId="6DB803CF" w:rsidR="00FB610A" w:rsidRPr="00D8236C" w:rsidRDefault="00FB610A" w:rsidP="00FB610A">
            <w:pPr>
              <w:pStyle w:val="tabletext"/>
            </w:pPr>
            <w:r w:rsidRPr="00D8236C">
              <w:t>delegated reporting</w:t>
            </w:r>
          </w:p>
        </w:tc>
        <w:tc>
          <w:tcPr>
            <w:tcW w:w="4819" w:type="dxa"/>
          </w:tcPr>
          <w:p w14:paraId="58B2A4A4" w14:textId="47771D27" w:rsidR="00FB610A" w:rsidRPr="00D8236C" w:rsidRDefault="00FB610A" w:rsidP="00FB610A">
            <w:pPr>
              <w:pStyle w:val="tabletext"/>
            </w:pPr>
            <w:r w:rsidRPr="00D8236C">
              <w:t>The reporting by a person (a delegate) on behalf of a reporting entity under Rule 2.2.7 of the ASIC Rules</w:t>
            </w:r>
          </w:p>
        </w:tc>
      </w:tr>
      <w:tr w:rsidR="00FB610A" w14:paraId="4F1E58CB" w14:textId="77777777" w:rsidTr="00FB610A">
        <w:trPr>
          <w:cantSplit/>
        </w:trPr>
        <w:tc>
          <w:tcPr>
            <w:tcW w:w="1985" w:type="dxa"/>
          </w:tcPr>
          <w:p w14:paraId="15D7CD88" w14:textId="5A4142C1" w:rsidR="00FB610A" w:rsidRPr="00D8236C" w:rsidRDefault="00FB610A" w:rsidP="00FB610A">
            <w:pPr>
              <w:pStyle w:val="tabletext"/>
            </w:pPr>
            <w:r w:rsidRPr="00D8236C">
              <w:t>DSB</w:t>
            </w:r>
          </w:p>
        </w:tc>
        <w:tc>
          <w:tcPr>
            <w:tcW w:w="4819" w:type="dxa"/>
          </w:tcPr>
          <w:p w14:paraId="12F4A9AF" w14:textId="14AACC3E" w:rsidR="00FB610A" w:rsidRPr="00D8236C" w:rsidRDefault="00FB610A" w:rsidP="00FB610A">
            <w:pPr>
              <w:pStyle w:val="tabletext"/>
            </w:pPr>
            <w:r w:rsidRPr="00D8236C">
              <w:t>The Derivatives Service Bureau (DSB) Limited</w:t>
            </w:r>
          </w:p>
        </w:tc>
      </w:tr>
      <w:tr w:rsidR="00FB610A" w14:paraId="20082072" w14:textId="77777777" w:rsidTr="00FB610A">
        <w:trPr>
          <w:cantSplit/>
        </w:trPr>
        <w:tc>
          <w:tcPr>
            <w:tcW w:w="1985" w:type="dxa"/>
          </w:tcPr>
          <w:p w14:paraId="6678FCB1" w14:textId="72D1709B" w:rsidR="00FB610A" w:rsidRPr="00D8236C" w:rsidRDefault="00FB610A" w:rsidP="00FB610A">
            <w:pPr>
              <w:pStyle w:val="tabletext"/>
            </w:pPr>
            <w:r w:rsidRPr="00D8236C">
              <w:t>ESMA</w:t>
            </w:r>
          </w:p>
        </w:tc>
        <w:tc>
          <w:tcPr>
            <w:tcW w:w="4819" w:type="dxa"/>
          </w:tcPr>
          <w:p w14:paraId="4A830949" w14:textId="67D9D72D" w:rsidR="00FB610A" w:rsidRPr="00D8236C" w:rsidRDefault="00FB610A" w:rsidP="00FB610A">
            <w:pPr>
              <w:pStyle w:val="tabletext"/>
            </w:pPr>
            <w:r w:rsidRPr="00D8236C">
              <w:t>European Securities and Markets Authority</w:t>
            </w:r>
          </w:p>
        </w:tc>
      </w:tr>
      <w:tr w:rsidR="00FB610A" w14:paraId="41EDADCA" w14:textId="77777777" w:rsidTr="00FB610A">
        <w:trPr>
          <w:cantSplit/>
        </w:trPr>
        <w:tc>
          <w:tcPr>
            <w:tcW w:w="1985" w:type="dxa"/>
          </w:tcPr>
          <w:p w14:paraId="25FBBDBD" w14:textId="5630FA18" w:rsidR="00FB610A" w:rsidRPr="00D8236C" w:rsidRDefault="00FB610A" w:rsidP="00FB610A">
            <w:pPr>
              <w:pStyle w:val="tabletext"/>
            </w:pPr>
            <w:r w:rsidRPr="00D8236C">
              <w:t>FSB</w:t>
            </w:r>
          </w:p>
        </w:tc>
        <w:tc>
          <w:tcPr>
            <w:tcW w:w="4819" w:type="dxa"/>
          </w:tcPr>
          <w:p w14:paraId="45AABBA6" w14:textId="2FF75126" w:rsidR="00FB610A" w:rsidRPr="00D8236C" w:rsidRDefault="00FB610A" w:rsidP="00FB610A">
            <w:pPr>
              <w:pStyle w:val="tabletext"/>
            </w:pPr>
            <w:r w:rsidRPr="00D8236C">
              <w:t>Financial Stability Board</w:t>
            </w:r>
          </w:p>
        </w:tc>
      </w:tr>
      <w:tr w:rsidR="00FB610A" w14:paraId="46ED59AC" w14:textId="77777777" w:rsidTr="00FB610A">
        <w:trPr>
          <w:cantSplit/>
        </w:trPr>
        <w:tc>
          <w:tcPr>
            <w:tcW w:w="1985" w:type="dxa"/>
          </w:tcPr>
          <w:p w14:paraId="5382EC75" w14:textId="1A960429" w:rsidR="00FB610A" w:rsidRPr="00D8236C" w:rsidRDefault="00FB610A" w:rsidP="00FB610A">
            <w:pPr>
              <w:pStyle w:val="tabletext"/>
            </w:pPr>
            <w:r w:rsidRPr="00D8236C">
              <w:t>FX</w:t>
            </w:r>
          </w:p>
        </w:tc>
        <w:tc>
          <w:tcPr>
            <w:tcW w:w="4819" w:type="dxa"/>
          </w:tcPr>
          <w:p w14:paraId="60B6266F" w14:textId="082A6939" w:rsidR="00FB610A" w:rsidRPr="00D8236C" w:rsidRDefault="00FB610A" w:rsidP="00FB610A">
            <w:pPr>
              <w:pStyle w:val="tabletext"/>
            </w:pPr>
            <w:r w:rsidRPr="00D8236C">
              <w:t>Foreign exchange</w:t>
            </w:r>
          </w:p>
        </w:tc>
      </w:tr>
      <w:tr w:rsidR="00FB610A" w14:paraId="65F70BEE" w14:textId="77777777" w:rsidTr="00FB610A">
        <w:trPr>
          <w:cantSplit/>
        </w:trPr>
        <w:tc>
          <w:tcPr>
            <w:tcW w:w="1985" w:type="dxa"/>
          </w:tcPr>
          <w:p w14:paraId="66BC8F85" w14:textId="5191A910" w:rsidR="00FB610A" w:rsidRPr="00D8236C" w:rsidRDefault="00FB610A" w:rsidP="00FB610A">
            <w:pPr>
              <w:pStyle w:val="tabletext"/>
            </w:pPr>
            <w:r w:rsidRPr="00D8236C">
              <w:t>G20</w:t>
            </w:r>
          </w:p>
        </w:tc>
        <w:tc>
          <w:tcPr>
            <w:tcW w:w="4819" w:type="dxa"/>
          </w:tcPr>
          <w:p w14:paraId="6ADAC651" w14:textId="5C0FB176" w:rsidR="00FB610A" w:rsidRPr="00D8236C" w:rsidRDefault="00FB610A" w:rsidP="00FB610A">
            <w:pPr>
              <w:pStyle w:val="tabletext"/>
            </w:pPr>
            <w:r w:rsidRPr="00D8236C">
              <w:t>Group of Twenty</w:t>
            </w:r>
          </w:p>
        </w:tc>
      </w:tr>
      <w:tr w:rsidR="00FB610A" w14:paraId="4195987B" w14:textId="77777777" w:rsidTr="00FB610A">
        <w:trPr>
          <w:cantSplit/>
        </w:trPr>
        <w:tc>
          <w:tcPr>
            <w:tcW w:w="1985" w:type="dxa"/>
          </w:tcPr>
          <w:p w14:paraId="18BC7D8A" w14:textId="230790DC" w:rsidR="00FB610A" w:rsidRPr="00D8236C" w:rsidRDefault="00FB610A" w:rsidP="00FB610A">
            <w:pPr>
              <w:pStyle w:val="tabletext"/>
            </w:pPr>
            <w:r w:rsidRPr="00D8236C">
              <w:t>GLEIF</w:t>
            </w:r>
          </w:p>
        </w:tc>
        <w:tc>
          <w:tcPr>
            <w:tcW w:w="4819" w:type="dxa"/>
          </w:tcPr>
          <w:p w14:paraId="1228C837" w14:textId="744D0A28" w:rsidR="00FB610A" w:rsidRPr="00D8236C" w:rsidRDefault="00FB610A" w:rsidP="00FB610A">
            <w:pPr>
              <w:pStyle w:val="tabletext"/>
            </w:pPr>
            <w:r w:rsidRPr="00D8236C">
              <w:t>Global Legal Entity Identifier Foundation</w:t>
            </w:r>
          </w:p>
        </w:tc>
      </w:tr>
      <w:tr w:rsidR="00FB610A" w14:paraId="10916736" w14:textId="77777777" w:rsidTr="00FB610A">
        <w:trPr>
          <w:cantSplit/>
        </w:trPr>
        <w:tc>
          <w:tcPr>
            <w:tcW w:w="1985" w:type="dxa"/>
          </w:tcPr>
          <w:p w14:paraId="46E46C68" w14:textId="35312B01" w:rsidR="00FB610A" w:rsidRPr="00D8236C" w:rsidRDefault="00FB610A" w:rsidP="00FB610A">
            <w:pPr>
              <w:pStyle w:val="tabletext"/>
            </w:pPr>
            <w:r w:rsidRPr="00D8236C">
              <w:t>GLEIS</w:t>
            </w:r>
          </w:p>
        </w:tc>
        <w:tc>
          <w:tcPr>
            <w:tcW w:w="4819" w:type="dxa"/>
          </w:tcPr>
          <w:p w14:paraId="441FBC8E" w14:textId="3A4B9B88" w:rsidR="00FB610A" w:rsidRPr="00D8236C" w:rsidRDefault="00FB610A" w:rsidP="00FB610A">
            <w:pPr>
              <w:pStyle w:val="tabletext"/>
            </w:pPr>
            <w:r w:rsidRPr="00D8236C">
              <w:t>Global LEI system</w:t>
            </w:r>
          </w:p>
        </w:tc>
      </w:tr>
      <w:tr w:rsidR="00FB610A" w14:paraId="6DC6F5E0" w14:textId="77777777" w:rsidTr="00FB610A">
        <w:trPr>
          <w:cantSplit/>
        </w:trPr>
        <w:tc>
          <w:tcPr>
            <w:tcW w:w="1985" w:type="dxa"/>
          </w:tcPr>
          <w:p w14:paraId="14489DAF" w14:textId="04D38B03" w:rsidR="00FB610A" w:rsidRPr="00D8236C" w:rsidRDefault="00FB610A" w:rsidP="00FB610A">
            <w:pPr>
              <w:pStyle w:val="tabletext"/>
            </w:pPr>
            <w:r w:rsidRPr="00D8236C">
              <w:t>IGB</w:t>
            </w:r>
          </w:p>
        </w:tc>
        <w:tc>
          <w:tcPr>
            <w:tcW w:w="4819" w:type="dxa"/>
          </w:tcPr>
          <w:p w14:paraId="40D60692" w14:textId="4288B6A6" w:rsidR="00FB610A" w:rsidRPr="00D8236C" w:rsidRDefault="00FB610A" w:rsidP="00FB610A">
            <w:pPr>
              <w:pStyle w:val="tabletext"/>
            </w:pPr>
            <w:r w:rsidRPr="00D8236C">
              <w:t>International governance body</w:t>
            </w:r>
          </w:p>
        </w:tc>
      </w:tr>
      <w:tr w:rsidR="00FB610A" w14:paraId="24154EEA" w14:textId="77777777" w:rsidTr="00FB610A">
        <w:trPr>
          <w:cantSplit/>
        </w:trPr>
        <w:tc>
          <w:tcPr>
            <w:tcW w:w="1985" w:type="dxa"/>
          </w:tcPr>
          <w:p w14:paraId="16AC2DAA" w14:textId="6081269F" w:rsidR="00FB610A" w:rsidRPr="00D8236C" w:rsidRDefault="00FB610A" w:rsidP="00FB610A">
            <w:pPr>
              <w:pStyle w:val="tabletext"/>
            </w:pPr>
            <w:r w:rsidRPr="00D8236C">
              <w:t>IOSCO</w:t>
            </w:r>
          </w:p>
        </w:tc>
        <w:tc>
          <w:tcPr>
            <w:tcW w:w="4819" w:type="dxa"/>
          </w:tcPr>
          <w:p w14:paraId="6660A135" w14:textId="55B383C4" w:rsidR="00FB610A" w:rsidRPr="00D8236C" w:rsidRDefault="00FB610A" w:rsidP="00FB610A">
            <w:pPr>
              <w:pStyle w:val="tabletext"/>
            </w:pPr>
            <w:r w:rsidRPr="00D8236C">
              <w:t>International Organization of Securities Commissions</w:t>
            </w:r>
          </w:p>
        </w:tc>
      </w:tr>
      <w:tr w:rsidR="00FB610A" w14:paraId="7380F760" w14:textId="77777777" w:rsidTr="00FB610A">
        <w:trPr>
          <w:cantSplit/>
        </w:trPr>
        <w:tc>
          <w:tcPr>
            <w:tcW w:w="1985" w:type="dxa"/>
          </w:tcPr>
          <w:p w14:paraId="3AAB1BB6" w14:textId="359F0B1F" w:rsidR="00FB610A" w:rsidRPr="00D8236C" w:rsidRDefault="00FB610A" w:rsidP="00FB610A">
            <w:pPr>
              <w:pStyle w:val="tabletext"/>
            </w:pPr>
            <w:r w:rsidRPr="00D8236C">
              <w:t>ISDA</w:t>
            </w:r>
          </w:p>
        </w:tc>
        <w:tc>
          <w:tcPr>
            <w:tcW w:w="4819" w:type="dxa"/>
          </w:tcPr>
          <w:p w14:paraId="5152E0A5" w14:textId="317A77CF" w:rsidR="00FB610A" w:rsidRPr="00D8236C" w:rsidRDefault="00FB610A" w:rsidP="00FB610A">
            <w:pPr>
              <w:pStyle w:val="tabletext"/>
            </w:pPr>
            <w:r w:rsidRPr="00D8236C">
              <w:t>International Swaps and Derivatives Association</w:t>
            </w:r>
          </w:p>
        </w:tc>
      </w:tr>
      <w:tr w:rsidR="00FB610A" w14:paraId="2E7BD6EF" w14:textId="77777777" w:rsidTr="00FB610A">
        <w:trPr>
          <w:cantSplit/>
        </w:trPr>
        <w:tc>
          <w:tcPr>
            <w:tcW w:w="1985" w:type="dxa"/>
          </w:tcPr>
          <w:p w14:paraId="1279B114" w14:textId="5FF16BCF" w:rsidR="00FB610A" w:rsidRPr="00D8236C" w:rsidRDefault="00FB610A" w:rsidP="00FB610A">
            <w:pPr>
              <w:pStyle w:val="tabletext"/>
            </w:pPr>
            <w:r w:rsidRPr="00D8236C">
              <w:t>ISIN</w:t>
            </w:r>
          </w:p>
        </w:tc>
        <w:tc>
          <w:tcPr>
            <w:tcW w:w="4819" w:type="dxa"/>
          </w:tcPr>
          <w:p w14:paraId="618B0CED" w14:textId="4BC1CDFF" w:rsidR="00FB610A" w:rsidRPr="00D8236C" w:rsidRDefault="00FB610A" w:rsidP="00FB610A">
            <w:pPr>
              <w:pStyle w:val="tabletext"/>
            </w:pPr>
            <w:r w:rsidRPr="00D8236C">
              <w:t>International securities identification number</w:t>
            </w:r>
          </w:p>
        </w:tc>
      </w:tr>
      <w:tr w:rsidR="00FB610A" w14:paraId="3929E756" w14:textId="77777777" w:rsidTr="00FB610A">
        <w:trPr>
          <w:cantSplit/>
        </w:trPr>
        <w:tc>
          <w:tcPr>
            <w:tcW w:w="1985" w:type="dxa"/>
          </w:tcPr>
          <w:p w14:paraId="062A7CFD" w14:textId="179C9820" w:rsidR="00FB610A" w:rsidRPr="00D8236C" w:rsidRDefault="00FB610A" w:rsidP="00FB610A">
            <w:pPr>
              <w:pStyle w:val="tabletext"/>
            </w:pPr>
            <w:r w:rsidRPr="00D8236C">
              <w:t>ISO</w:t>
            </w:r>
          </w:p>
        </w:tc>
        <w:tc>
          <w:tcPr>
            <w:tcW w:w="4819" w:type="dxa"/>
          </w:tcPr>
          <w:p w14:paraId="2709AC76" w14:textId="6D84BAD8" w:rsidR="00FB610A" w:rsidRPr="00D8236C" w:rsidRDefault="00FB610A" w:rsidP="00FB610A">
            <w:pPr>
              <w:pStyle w:val="tabletext"/>
            </w:pPr>
            <w:r w:rsidRPr="00D8236C">
              <w:t>International Organization for Standardization</w:t>
            </w:r>
          </w:p>
        </w:tc>
      </w:tr>
      <w:tr w:rsidR="00FB610A" w14:paraId="695B6136" w14:textId="77777777" w:rsidTr="00FB610A">
        <w:trPr>
          <w:cantSplit/>
        </w:trPr>
        <w:tc>
          <w:tcPr>
            <w:tcW w:w="1985" w:type="dxa"/>
          </w:tcPr>
          <w:p w14:paraId="7026C93E" w14:textId="71AD4528" w:rsidR="00FB610A" w:rsidRPr="00D8236C" w:rsidRDefault="00FB610A" w:rsidP="00FB610A">
            <w:pPr>
              <w:pStyle w:val="tabletext"/>
            </w:pPr>
            <w:r w:rsidRPr="00D8236C">
              <w:t>ISO 23897 (for example)</w:t>
            </w:r>
          </w:p>
        </w:tc>
        <w:tc>
          <w:tcPr>
            <w:tcW w:w="4819" w:type="dxa"/>
          </w:tcPr>
          <w:p w14:paraId="1B035187" w14:textId="1F4308FE" w:rsidR="00FB610A" w:rsidRPr="00D8236C" w:rsidRDefault="00FB610A" w:rsidP="00FB610A">
            <w:pPr>
              <w:pStyle w:val="tabletext"/>
            </w:pPr>
            <w:r w:rsidRPr="00D8236C">
              <w:t xml:space="preserve">A standard maintained and published by ISO (in this example numbered 23897), unless otherwise specified </w:t>
            </w:r>
          </w:p>
        </w:tc>
      </w:tr>
      <w:tr w:rsidR="00FB610A" w14:paraId="0E74E7D8" w14:textId="77777777" w:rsidTr="00FB610A">
        <w:trPr>
          <w:cantSplit/>
        </w:trPr>
        <w:tc>
          <w:tcPr>
            <w:tcW w:w="1985" w:type="dxa"/>
          </w:tcPr>
          <w:p w14:paraId="642DA1E9" w14:textId="35EF069C" w:rsidR="00FB610A" w:rsidRPr="00D8236C" w:rsidRDefault="00FB610A" w:rsidP="00FB610A">
            <w:pPr>
              <w:pStyle w:val="tabletext"/>
            </w:pPr>
            <w:r w:rsidRPr="00D8236C">
              <w:t>LEI</w:t>
            </w:r>
          </w:p>
        </w:tc>
        <w:tc>
          <w:tcPr>
            <w:tcW w:w="4819" w:type="dxa"/>
          </w:tcPr>
          <w:p w14:paraId="45A9642D" w14:textId="2DDD70E8" w:rsidR="00FB610A" w:rsidRPr="00D8236C" w:rsidRDefault="00FB610A" w:rsidP="00FB610A">
            <w:pPr>
              <w:pStyle w:val="tabletext"/>
            </w:pPr>
            <w:r w:rsidRPr="00D8236C">
              <w:t>Legal entity identifier</w:t>
            </w:r>
          </w:p>
        </w:tc>
      </w:tr>
      <w:tr w:rsidR="00FB610A" w14:paraId="64DD2FE0" w14:textId="77777777" w:rsidTr="00FB610A">
        <w:trPr>
          <w:cantSplit/>
        </w:trPr>
        <w:tc>
          <w:tcPr>
            <w:tcW w:w="1985" w:type="dxa"/>
          </w:tcPr>
          <w:p w14:paraId="6E82B4DE" w14:textId="14829E36" w:rsidR="00FB610A" w:rsidRPr="00D8236C" w:rsidRDefault="00FB610A" w:rsidP="00FB610A">
            <w:pPr>
              <w:pStyle w:val="tabletext"/>
            </w:pPr>
            <w:r w:rsidRPr="00D8236C">
              <w:t>lifecycle reporting</w:t>
            </w:r>
          </w:p>
        </w:tc>
        <w:tc>
          <w:tcPr>
            <w:tcW w:w="4819" w:type="dxa"/>
          </w:tcPr>
          <w:p w14:paraId="27618FFA" w14:textId="71FC3E6D" w:rsidR="00FB610A" w:rsidRPr="00D8236C" w:rsidRDefault="00FB610A" w:rsidP="00FB610A">
            <w:pPr>
              <w:pStyle w:val="tabletext"/>
            </w:pPr>
            <w:r>
              <w:t>R</w:t>
            </w:r>
            <w:r w:rsidRPr="00D8236C">
              <w:t>eporting derivative transaction information separately for each reportable transaction in the relevant OTC derivative, including where there are multiple reportable transactions on a day</w:t>
            </w:r>
          </w:p>
        </w:tc>
      </w:tr>
      <w:tr w:rsidR="00FB610A" w14:paraId="5393F79C" w14:textId="77777777" w:rsidTr="00FB610A">
        <w:trPr>
          <w:cantSplit/>
        </w:trPr>
        <w:tc>
          <w:tcPr>
            <w:tcW w:w="1985" w:type="dxa"/>
          </w:tcPr>
          <w:p w14:paraId="784CB53C" w14:textId="6E8EFF06" w:rsidR="00FB610A" w:rsidRPr="00D8236C" w:rsidRDefault="00FB610A" w:rsidP="00FB610A">
            <w:pPr>
              <w:pStyle w:val="tabletext"/>
            </w:pPr>
            <w:r w:rsidRPr="00D8236C">
              <w:t>LOU</w:t>
            </w:r>
          </w:p>
        </w:tc>
        <w:tc>
          <w:tcPr>
            <w:tcW w:w="4819" w:type="dxa"/>
          </w:tcPr>
          <w:p w14:paraId="31D1AAD8" w14:textId="7EDA83D5" w:rsidR="00FB610A" w:rsidRDefault="00FB610A" w:rsidP="00FB610A">
            <w:pPr>
              <w:pStyle w:val="tabletext"/>
            </w:pPr>
            <w:r w:rsidRPr="00D8236C">
              <w:t>Local operating unit accredited by the GLEIF to register and renew LEIs</w:t>
            </w:r>
          </w:p>
        </w:tc>
      </w:tr>
      <w:tr w:rsidR="00FB610A" w14:paraId="298AED3A" w14:textId="77777777" w:rsidTr="00FB610A">
        <w:trPr>
          <w:cantSplit/>
        </w:trPr>
        <w:tc>
          <w:tcPr>
            <w:tcW w:w="1985" w:type="dxa"/>
          </w:tcPr>
          <w:p w14:paraId="59C69545" w14:textId="51BBA1A9" w:rsidR="00FB610A" w:rsidRPr="00D8236C" w:rsidRDefault="00FB610A" w:rsidP="00FB610A">
            <w:pPr>
              <w:pStyle w:val="tabletext"/>
            </w:pPr>
            <w:r w:rsidRPr="00D8236C">
              <w:t>NRCP</w:t>
            </w:r>
          </w:p>
        </w:tc>
        <w:tc>
          <w:tcPr>
            <w:tcW w:w="4819" w:type="dxa"/>
          </w:tcPr>
          <w:p w14:paraId="32595E7F" w14:textId="2635B733" w:rsidR="00FB610A" w:rsidRPr="00D8236C" w:rsidRDefault="00FB610A" w:rsidP="00FB610A">
            <w:pPr>
              <w:pStyle w:val="tabletext"/>
            </w:pPr>
            <w:r w:rsidRPr="00D8236C">
              <w:t>Non-reporting counterparty (counterparty 2)</w:t>
            </w:r>
          </w:p>
        </w:tc>
      </w:tr>
      <w:tr w:rsidR="00FB610A" w14:paraId="607EA925" w14:textId="77777777" w:rsidTr="00FB610A">
        <w:trPr>
          <w:cantSplit/>
        </w:trPr>
        <w:tc>
          <w:tcPr>
            <w:tcW w:w="1985" w:type="dxa"/>
          </w:tcPr>
          <w:p w14:paraId="5C3EA200" w14:textId="762BE33B" w:rsidR="00FB610A" w:rsidRPr="00D8236C" w:rsidRDefault="00FB610A" w:rsidP="00FB610A">
            <w:pPr>
              <w:pStyle w:val="tabletext"/>
            </w:pPr>
            <w:r w:rsidRPr="00D8236C">
              <w:t>OTC</w:t>
            </w:r>
          </w:p>
        </w:tc>
        <w:tc>
          <w:tcPr>
            <w:tcW w:w="4819" w:type="dxa"/>
          </w:tcPr>
          <w:p w14:paraId="69D9B842" w14:textId="0CB932C4" w:rsidR="00FB610A" w:rsidRPr="00D8236C" w:rsidRDefault="00FB610A" w:rsidP="00FB610A">
            <w:pPr>
              <w:pStyle w:val="tabletext"/>
            </w:pPr>
            <w:r w:rsidRPr="00D8236C">
              <w:t>Over the counter</w:t>
            </w:r>
          </w:p>
        </w:tc>
      </w:tr>
      <w:tr w:rsidR="00FB610A" w14:paraId="627B1414" w14:textId="77777777" w:rsidTr="00FB610A">
        <w:trPr>
          <w:cantSplit/>
        </w:trPr>
        <w:tc>
          <w:tcPr>
            <w:tcW w:w="1985" w:type="dxa"/>
          </w:tcPr>
          <w:p w14:paraId="72F5FB3E" w14:textId="26BE2F9D" w:rsidR="00FB610A" w:rsidRPr="00D8236C" w:rsidRDefault="00FB610A" w:rsidP="00FB610A">
            <w:pPr>
              <w:pStyle w:val="tabletext"/>
            </w:pPr>
            <w:r w:rsidRPr="00D8236C">
              <w:t>OTC derivative</w:t>
            </w:r>
          </w:p>
        </w:tc>
        <w:tc>
          <w:tcPr>
            <w:tcW w:w="4819" w:type="dxa"/>
          </w:tcPr>
          <w:p w14:paraId="61B471B5" w14:textId="69356689" w:rsidR="00FB610A" w:rsidRPr="00D8236C" w:rsidRDefault="00FB610A" w:rsidP="00FB610A">
            <w:pPr>
              <w:pStyle w:val="tabletext"/>
            </w:pPr>
            <w:r w:rsidRPr="00D8236C">
              <w:rPr>
                <w:szCs w:val="22"/>
              </w:rPr>
              <w:t>A derivative that has the meaning given by Rule 1.2.4 of the ASIC Rules</w:t>
            </w:r>
          </w:p>
        </w:tc>
      </w:tr>
      <w:tr w:rsidR="00FB610A" w14:paraId="50163608" w14:textId="77777777" w:rsidTr="00FB610A">
        <w:trPr>
          <w:cantSplit/>
        </w:trPr>
        <w:tc>
          <w:tcPr>
            <w:tcW w:w="1985" w:type="dxa"/>
          </w:tcPr>
          <w:p w14:paraId="5D4FBAE2" w14:textId="7F23BDA0" w:rsidR="00FB610A" w:rsidRPr="00D8236C" w:rsidRDefault="00FB610A" w:rsidP="00FB610A">
            <w:pPr>
              <w:pStyle w:val="tabletext"/>
            </w:pPr>
            <w:r w:rsidRPr="00D8236C">
              <w:t>Part 2.2 (for example)</w:t>
            </w:r>
          </w:p>
        </w:tc>
        <w:tc>
          <w:tcPr>
            <w:tcW w:w="4819" w:type="dxa"/>
          </w:tcPr>
          <w:p w14:paraId="56C148E4" w14:textId="192E9279" w:rsidR="00FB610A" w:rsidRPr="00D8236C" w:rsidRDefault="00FB610A" w:rsidP="00FB610A">
            <w:pPr>
              <w:pStyle w:val="tabletext"/>
              <w:rPr>
                <w:szCs w:val="22"/>
              </w:rPr>
            </w:pPr>
            <w:r w:rsidRPr="00D8236C">
              <w:t>A part of the ASIC Rules (in this example numbered 2.2)</w:t>
            </w:r>
          </w:p>
        </w:tc>
      </w:tr>
      <w:tr w:rsidR="00FB610A" w14:paraId="2FF3BA8F" w14:textId="77777777" w:rsidTr="00FB610A">
        <w:trPr>
          <w:cantSplit/>
        </w:trPr>
        <w:tc>
          <w:tcPr>
            <w:tcW w:w="1985" w:type="dxa"/>
          </w:tcPr>
          <w:p w14:paraId="48666266" w14:textId="3448DE82" w:rsidR="00FB610A" w:rsidRPr="00D8236C" w:rsidRDefault="00FB610A" w:rsidP="00FB610A">
            <w:pPr>
              <w:pStyle w:val="tabletext"/>
            </w:pPr>
            <w:r w:rsidRPr="00D8236C">
              <w:t>phase 3 reporting entity</w:t>
            </w:r>
          </w:p>
        </w:tc>
        <w:tc>
          <w:tcPr>
            <w:tcW w:w="4819" w:type="dxa"/>
          </w:tcPr>
          <w:p w14:paraId="6A8D03E8" w14:textId="00694D74" w:rsidR="00FB610A" w:rsidRPr="00D8236C" w:rsidRDefault="00FB610A" w:rsidP="00FB610A">
            <w:pPr>
              <w:pStyle w:val="tabletext"/>
            </w:pPr>
            <w:r w:rsidRPr="00D8236C">
              <w:t xml:space="preserve">A Phase 3 Reporting Entity within the meaning of </w:t>
            </w:r>
            <w:hyperlink r:id="rId201" w:history="1">
              <w:r w:rsidRPr="001E787C">
                <w:rPr>
                  <w:rStyle w:val="Hyperlink"/>
                </w:rPr>
                <w:t>ASIC Instrument [14/0633]</w:t>
              </w:r>
            </w:hyperlink>
            <w:r w:rsidRPr="00D8236C">
              <w:t xml:space="preserve"> as in force on 1 October 2015</w:t>
            </w:r>
          </w:p>
          <w:p w14:paraId="1AD9C8A9" w14:textId="3EDBBD96" w:rsidR="00FB610A" w:rsidRPr="00D8236C" w:rsidRDefault="00FB610A" w:rsidP="00FB610A">
            <w:pPr>
              <w:pStyle w:val="tabletext"/>
            </w:pPr>
            <w:r w:rsidRPr="00D8236C">
              <w:t>Generally, this means a reporting entity with the latest reporting commencement dates because it held less than A$50 billion of outstanding derivatives positions as at 31</w:t>
            </w:r>
            <w:r>
              <w:t> </w:t>
            </w:r>
            <w:r w:rsidRPr="00D8236C">
              <w:t>December 2013</w:t>
            </w:r>
          </w:p>
        </w:tc>
      </w:tr>
      <w:tr w:rsidR="00FB610A" w14:paraId="56FAEF21" w14:textId="77777777" w:rsidTr="00FB610A">
        <w:trPr>
          <w:cantSplit/>
        </w:trPr>
        <w:tc>
          <w:tcPr>
            <w:tcW w:w="1985" w:type="dxa"/>
          </w:tcPr>
          <w:p w14:paraId="6734641E" w14:textId="73B4B9B9" w:rsidR="00FB610A" w:rsidRPr="00D8236C" w:rsidRDefault="00FB610A" w:rsidP="00FB610A">
            <w:pPr>
              <w:pStyle w:val="tabletext"/>
            </w:pPr>
            <w:r w:rsidRPr="00D8236C">
              <w:t>Pt 7.5A (for example)</w:t>
            </w:r>
          </w:p>
        </w:tc>
        <w:tc>
          <w:tcPr>
            <w:tcW w:w="4819" w:type="dxa"/>
          </w:tcPr>
          <w:p w14:paraId="5FF1B6B4" w14:textId="7745EE42" w:rsidR="00FB610A" w:rsidRPr="00D8236C" w:rsidRDefault="00FB610A" w:rsidP="00FB610A">
            <w:pPr>
              <w:pStyle w:val="tabletext"/>
            </w:pPr>
            <w:r w:rsidRPr="00D8236C">
              <w:t>A part of the Corporations Act (in this example numbered 7.5A), unless otherwise specified</w:t>
            </w:r>
          </w:p>
        </w:tc>
      </w:tr>
      <w:tr w:rsidR="00FB610A" w14:paraId="51AD69F8" w14:textId="77777777" w:rsidTr="00FB610A">
        <w:trPr>
          <w:cantSplit/>
        </w:trPr>
        <w:tc>
          <w:tcPr>
            <w:tcW w:w="1985" w:type="dxa"/>
          </w:tcPr>
          <w:p w14:paraId="21089502" w14:textId="04C73A78" w:rsidR="00FB610A" w:rsidRPr="00D8236C" w:rsidRDefault="00FB610A" w:rsidP="00FB610A">
            <w:pPr>
              <w:pStyle w:val="tabletext"/>
            </w:pPr>
            <w:r w:rsidRPr="00D8236C">
              <w:t>reg 7.5A.50 (for example)</w:t>
            </w:r>
          </w:p>
        </w:tc>
        <w:tc>
          <w:tcPr>
            <w:tcW w:w="4819" w:type="dxa"/>
          </w:tcPr>
          <w:p w14:paraId="61493CC6" w14:textId="6A1ACC3B" w:rsidR="00FB610A" w:rsidRPr="00D8236C" w:rsidRDefault="00FB610A" w:rsidP="00FB610A">
            <w:pPr>
              <w:pStyle w:val="tabletext"/>
            </w:pPr>
            <w:r w:rsidRPr="00D8236C">
              <w:t xml:space="preserve">A regulation of the Corporations Regulations (in this example numbered 7.5A.50), unless otherwise specified </w:t>
            </w:r>
          </w:p>
        </w:tc>
      </w:tr>
      <w:tr w:rsidR="00FB610A" w14:paraId="2DADBB9A" w14:textId="77777777" w:rsidTr="00FB610A">
        <w:trPr>
          <w:cantSplit/>
        </w:trPr>
        <w:tc>
          <w:tcPr>
            <w:tcW w:w="1985" w:type="dxa"/>
          </w:tcPr>
          <w:p w14:paraId="34C9BF2A" w14:textId="7D02C3E8" w:rsidR="00FB610A" w:rsidRPr="00D8236C" w:rsidRDefault="00FB610A" w:rsidP="00FB610A">
            <w:pPr>
              <w:pStyle w:val="tabletext"/>
            </w:pPr>
            <w:r w:rsidRPr="00D8236C">
              <w:t>reportable transaction</w:t>
            </w:r>
          </w:p>
        </w:tc>
        <w:tc>
          <w:tcPr>
            <w:tcW w:w="4819" w:type="dxa"/>
          </w:tcPr>
          <w:p w14:paraId="3AB78673" w14:textId="6E2287A0" w:rsidR="00FB610A" w:rsidRPr="00D8236C" w:rsidRDefault="00FB610A" w:rsidP="00FB610A">
            <w:pPr>
              <w:pStyle w:val="tabletext"/>
            </w:pPr>
            <w:r w:rsidRPr="00D8236C">
              <w:t xml:space="preserve">A transaction in an OTC derivative </w:t>
            </w:r>
            <w:r w:rsidRPr="00D8236C">
              <w:rPr>
                <w:szCs w:val="22"/>
              </w:rPr>
              <w:t>that has the meaning given by Rule 1.2.5 of the ASIC Rules</w:t>
            </w:r>
          </w:p>
        </w:tc>
      </w:tr>
      <w:tr w:rsidR="00FB610A" w14:paraId="068FB39D" w14:textId="77777777" w:rsidTr="00FB610A">
        <w:trPr>
          <w:cantSplit/>
        </w:trPr>
        <w:tc>
          <w:tcPr>
            <w:tcW w:w="1985" w:type="dxa"/>
          </w:tcPr>
          <w:p w14:paraId="7017D2F0" w14:textId="51EA4B7A" w:rsidR="00FB610A" w:rsidRPr="00D8236C" w:rsidRDefault="00FB610A" w:rsidP="00FB610A">
            <w:pPr>
              <w:pStyle w:val="tabletext"/>
            </w:pPr>
            <w:r w:rsidRPr="00D8236C">
              <w:t>retail client</w:t>
            </w:r>
          </w:p>
        </w:tc>
        <w:tc>
          <w:tcPr>
            <w:tcW w:w="4819" w:type="dxa"/>
          </w:tcPr>
          <w:p w14:paraId="5D043C71" w14:textId="245E5F10" w:rsidR="00FB610A" w:rsidRPr="00D8236C" w:rsidRDefault="00FB610A" w:rsidP="00FB610A">
            <w:pPr>
              <w:pStyle w:val="tabletext"/>
            </w:pPr>
            <w:r w:rsidRPr="00D8236C">
              <w:t>A client as defined in s761G of the Corporations Act and Div 2 of Pt 7.1 of the Corporations Regulations</w:t>
            </w:r>
          </w:p>
        </w:tc>
      </w:tr>
      <w:tr w:rsidR="00FB610A" w14:paraId="5FC4B2A8" w14:textId="77777777" w:rsidTr="00FB610A">
        <w:trPr>
          <w:cantSplit/>
        </w:trPr>
        <w:tc>
          <w:tcPr>
            <w:tcW w:w="1985" w:type="dxa"/>
          </w:tcPr>
          <w:p w14:paraId="6C5F63B9" w14:textId="1806B0CC" w:rsidR="00FB610A" w:rsidRPr="00D8236C" w:rsidRDefault="00FB610A" w:rsidP="00FB610A">
            <w:pPr>
              <w:pStyle w:val="tabletext"/>
            </w:pPr>
            <w:r w:rsidRPr="00D8236C">
              <w:t>ROC</w:t>
            </w:r>
          </w:p>
        </w:tc>
        <w:tc>
          <w:tcPr>
            <w:tcW w:w="4819" w:type="dxa"/>
          </w:tcPr>
          <w:p w14:paraId="228191D7" w14:textId="53B94CD0" w:rsidR="00FB610A" w:rsidRPr="00D8236C" w:rsidRDefault="00FB610A" w:rsidP="00FB610A">
            <w:pPr>
              <w:pStyle w:val="tabletext"/>
            </w:pPr>
            <w:r w:rsidRPr="00D8236C">
              <w:t>Regulatory Oversight Committee</w:t>
            </w:r>
          </w:p>
        </w:tc>
      </w:tr>
      <w:tr w:rsidR="00FB610A" w14:paraId="10F5BDDF" w14:textId="77777777" w:rsidTr="00FB610A">
        <w:trPr>
          <w:cantSplit/>
        </w:trPr>
        <w:tc>
          <w:tcPr>
            <w:tcW w:w="1985" w:type="dxa"/>
          </w:tcPr>
          <w:p w14:paraId="5BB39663" w14:textId="3E81D3C7" w:rsidR="00FB610A" w:rsidRPr="00D8236C" w:rsidRDefault="00FB610A" w:rsidP="00FB610A">
            <w:pPr>
              <w:pStyle w:val="tabletext"/>
            </w:pPr>
            <w:r w:rsidRPr="00D8236C">
              <w:t>Rule 2.2.1 (for example)</w:t>
            </w:r>
          </w:p>
        </w:tc>
        <w:tc>
          <w:tcPr>
            <w:tcW w:w="4819" w:type="dxa"/>
          </w:tcPr>
          <w:p w14:paraId="139D348D" w14:textId="15A642E0" w:rsidR="00FB610A" w:rsidRPr="00D8236C" w:rsidRDefault="00FB610A" w:rsidP="00FB610A">
            <w:pPr>
              <w:pStyle w:val="tabletext"/>
            </w:pPr>
            <w:r w:rsidRPr="00D8236C">
              <w:t>A rule of the ASIC Rules (in this example numbered 2.2.1)</w:t>
            </w:r>
          </w:p>
        </w:tc>
      </w:tr>
      <w:tr w:rsidR="00FB610A" w14:paraId="51D12CC8" w14:textId="77777777" w:rsidTr="00FB610A">
        <w:trPr>
          <w:cantSplit/>
        </w:trPr>
        <w:tc>
          <w:tcPr>
            <w:tcW w:w="1985" w:type="dxa"/>
          </w:tcPr>
          <w:p w14:paraId="04B56F45" w14:textId="5B0E92B2" w:rsidR="00FB610A" w:rsidRPr="00D8236C" w:rsidRDefault="00FB610A" w:rsidP="00FB610A">
            <w:pPr>
              <w:pStyle w:val="tabletext"/>
            </w:pPr>
            <w:r w:rsidRPr="00D8236C">
              <w:t>s901J</w:t>
            </w:r>
            <w:r w:rsidR="00F42F66">
              <w:t xml:space="preserve"> (for example)</w:t>
            </w:r>
          </w:p>
        </w:tc>
        <w:tc>
          <w:tcPr>
            <w:tcW w:w="4819" w:type="dxa"/>
          </w:tcPr>
          <w:p w14:paraId="3F7A4C62" w14:textId="56F2E8E1" w:rsidR="00FB610A" w:rsidRPr="00D8236C" w:rsidRDefault="00FB610A" w:rsidP="00FB610A">
            <w:pPr>
              <w:pStyle w:val="tabletext"/>
            </w:pPr>
            <w:r w:rsidRPr="00D8236C">
              <w:t xml:space="preserve">A section of the Corporations Act (in this example numbered 901J), unless otherwise specified </w:t>
            </w:r>
          </w:p>
        </w:tc>
      </w:tr>
      <w:tr w:rsidR="00FB610A" w14:paraId="28265124" w14:textId="77777777" w:rsidTr="00FB610A">
        <w:trPr>
          <w:cantSplit/>
        </w:trPr>
        <w:tc>
          <w:tcPr>
            <w:tcW w:w="1985" w:type="dxa"/>
          </w:tcPr>
          <w:p w14:paraId="0E6E3774" w14:textId="6103A0AD" w:rsidR="00FB610A" w:rsidRPr="00D8236C" w:rsidRDefault="00FB610A" w:rsidP="00FB610A">
            <w:pPr>
              <w:pStyle w:val="tabletext"/>
            </w:pPr>
            <w:r w:rsidRPr="00D8236C">
              <w:t>SEC</w:t>
            </w:r>
          </w:p>
        </w:tc>
        <w:tc>
          <w:tcPr>
            <w:tcW w:w="4819" w:type="dxa"/>
          </w:tcPr>
          <w:p w14:paraId="35520F6B" w14:textId="6337FB71" w:rsidR="00FB610A" w:rsidRPr="00D8236C" w:rsidRDefault="00FB610A" w:rsidP="00FB610A">
            <w:pPr>
              <w:pStyle w:val="tabletext"/>
            </w:pPr>
            <w:r w:rsidRPr="00D8236C">
              <w:t>US Securities and Exchange Commission</w:t>
            </w:r>
          </w:p>
        </w:tc>
      </w:tr>
      <w:tr w:rsidR="00FB610A" w14:paraId="7458FECE" w14:textId="77777777" w:rsidTr="00FB610A">
        <w:trPr>
          <w:cantSplit/>
        </w:trPr>
        <w:tc>
          <w:tcPr>
            <w:tcW w:w="1985" w:type="dxa"/>
          </w:tcPr>
          <w:p w14:paraId="6721055A" w14:textId="15341AB3" w:rsidR="00FB610A" w:rsidRPr="00D8236C" w:rsidRDefault="00FB610A" w:rsidP="00FB610A">
            <w:pPr>
              <w:pStyle w:val="tabletext"/>
            </w:pPr>
            <w:r w:rsidRPr="00D8236C">
              <w:t>single-jurisdictional transaction</w:t>
            </w:r>
          </w:p>
        </w:tc>
        <w:tc>
          <w:tcPr>
            <w:tcW w:w="4819" w:type="dxa"/>
          </w:tcPr>
          <w:p w14:paraId="78D73D56" w14:textId="0AF1143B" w:rsidR="00FB610A" w:rsidRPr="00D8236C" w:rsidRDefault="00FB610A" w:rsidP="00FB610A">
            <w:pPr>
              <w:pStyle w:val="tabletext"/>
            </w:pPr>
            <w:r w:rsidRPr="00D8236C">
              <w:t>A transaction that is solely reportable under the rules of just one jurisdiction</w:t>
            </w:r>
          </w:p>
        </w:tc>
      </w:tr>
      <w:tr w:rsidR="00FB610A" w14:paraId="416B73E3" w14:textId="77777777" w:rsidTr="00FB610A">
        <w:trPr>
          <w:cantSplit/>
        </w:trPr>
        <w:tc>
          <w:tcPr>
            <w:tcW w:w="1985" w:type="dxa"/>
          </w:tcPr>
          <w:p w14:paraId="71A5C924" w14:textId="5249B5DD" w:rsidR="00FB610A" w:rsidRPr="00D8236C" w:rsidRDefault="00FB610A" w:rsidP="00FB610A">
            <w:pPr>
              <w:pStyle w:val="tabletext"/>
            </w:pPr>
            <w:r w:rsidRPr="00D8236C">
              <w:t>snapshot reporting</w:t>
            </w:r>
          </w:p>
        </w:tc>
        <w:tc>
          <w:tcPr>
            <w:tcW w:w="4819" w:type="dxa"/>
          </w:tcPr>
          <w:p w14:paraId="00225D8C" w14:textId="70D2C4CF" w:rsidR="00FB610A" w:rsidRPr="00D8236C" w:rsidRDefault="00FB610A" w:rsidP="00FB610A">
            <w:pPr>
              <w:pStyle w:val="tabletext"/>
            </w:pPr>
            <w:r>
              <w:t>R</w:t>
            </w:r>
            <w:r w:rsidRPr="00D8236C">
              <w:t>eporting derivative transaction information in relation to the relevant OTC derivative on its terms as of the relevant day</w:t>
            </w:r>
          </w:p>
        </w:tc>
      </w:tr>
      <w:tr w:rsidR="00FB610A" w14:paraId="2913FD2F" w14:textId="77777777" w:rsidTr="00FB610A">
        <w:trPr>
          <w:cantSplit/>
        </w:trPr>
        <w:tc>
          <w:tcPr>
            <w:tcW w:w="1985" w:type="dxa"/>
          </w:tcPr>
          <w:p w14:paraId="42D27899" w14:textId="7EE4B6FB" w:rsidR="00FB610A" w:rsidRPr="00D8236C" w:rsidRDefault="00FB610A" w:rsidP="00FB610A">
            <w:pPr>
              <w:pStyle w:val="tabletext"/>
            </w:pPr>
            <w:r w:rsidRPr="00D8236C">
              <w:t>T+1</w:t>
            </w:r>
          </w:p>
        </w:tc>
        <w:tc>
          <w:tcPr>
            <w:tcW w:w="4819" w:type="dxa"/>
          </w:tcPr>
          <w:p w14:paraId="1F696352" w14:textId="274CC341" w:rsidR="00FB610A" w:rsidRDefault="00FB610A" w:rsidP="00FB610A">
            <w:pPr>
              <w:pStyle w:val="tabletext"/>
            </w:pPr>
            <w:r w:rsidRPr="00D8236C">
              <w:t>The business day following the transaction date</w:t>
            </w:r>
          </w:p>
        </w:tc>
      </w:tr>
      <w:tr w:rsidR="00FB610A" w14:paraId="4B3D94D5" w14:textId="77777777" w:rsidTr="00FB610A">
        <w:trPr>
          <w:cantSplit/>
        </w:trPr>
        <w:tc>
          <w:tcPr>
            <w:tcW w:w="1985" w:type="dxa"/>
          </w:tcPr>
          <w:p w14:paraId="7DF821D2" w14:textId="14839522" w:rsidR="00FB610A" w:rsidRPr="00D8236C" w:rsidRDefault="00FB610A" w:rsidP="00FB610A">
            <w:pPr>
              <w:pStyle w:val="tabletext"/>
            </w:pPr>
            <w:r w:rsidRPr="00D8236C">
              <w:t>trading platform</w:t>
            </w:r>
          </w:p>
        </w:tc>
        <w:tc>
          <w:tcPr>
            <w:tcW w:w="4819" w:type="dxa"/>
          </w:tcPr>
          <w:p w14:paraId="33367545" w14:textId="16FD0675" w:rsidR="00FB610A" w:rsidRPr="00D8236C" w:rsidRDefault="00FB610A" w:rsidP="00FB610A">
            <w:pPr>
              <w:pStyle w:val="tabletext"/>
            </w:pPr>
            <w:r w:rsidRPr="00D8236C">
              <w:t>A financial market, as defined in s767A of the Corporations Act, through which offers to acquire or dispose of financial products are regularly made or accepted</w:t>
            </w:r>
          </w:p>
        </w:tc>
      </w:tr>
      <w:tr w:rsidR="00FB610A" w14:paraId="68244759" w14:textId="77777777" w:rsidTr="00FB610A">
        <w:trPr>
          <w:cantSplit/>
        </w:trPr>
        <w:tc>
          <w:tcPr>
            <w:tcW w:w="1985" w:type="dxa"/>
          </w:tcPr>
          <w:p w14:paraId="6CD2A116" w14:textId="52D1FDA5" w:rsidR="00FB610A" w:rsidRPr="00D8236C" w:rsidRDefault="00FB610A" w:rsidP="00FB610A">
            <w:pPr>
              <w:pStyle w:val="tabletext"/>
            </w:pPr>
            <w:r w:rsidRPr="00D8236C">
              <w:t>UPI</w:t>
            </w:r>
          </w:p>
        </w:tc>
        <w:tc>
          <w:tcPr>
            <w:tcW w:w="4819" w:type="dxa"/>
          </w:tcPr>
          <w:p w14:paraId="677AABF8" w14:textId="5CFC7463" w:rsidR="00FB610A" w:rsidRPr="00D8236C" w:rsidRDefault="00FB610A" w:rsidP="00FB610A">
            <w:pPr>
              <w:pStyle w:val="tabletext"/>
            </w:pPr>
            <w:r>
              <w:t>U</w:t>
            </w:r>
            <w:r w:rsidRPr="00D8236C">
              <w:t>nique product identifier</w:t>
            </w:r>
          </w:p>
        </w:tc>
      </w:tr>
      <w:tr w:rsidR="00FB610A" w14:paraId="49F12BA4" w14:textId="77777777" w:rsidTr="00FB610A">
        <w:trPr>
          <w:cantSplit/>
        </w:trPr>
        <w:tc>
          <w:tcPr>
            <w:tcW w:w="1985" w:type="dxa"/>
          </w:tcPr>
          <w:p w14:paraId="300CD4CC" w14:textId="44241ED9" w:rsidR="00FB610A" w:rsidRPr="00D8236C" w:rsidRDefault="00FB610A" w:rsidP="00FB610A">
            <w:pPr>
              <w:pStyle w:val="tabletext"/>
            </w:pPr>
            <w:r w:rsidRPr="00D8236C">
              <w:t>UPI Guidance</w:t>
            </w:r>
          </w:p>
        </w:tc>
        <w:tc>
          <w:tcPr>
            <w:tcW w:w="4819" w:type="dxa"/>
          </w:tcPr>
          <w:p w14:paraId="774C6CA7" w14:textId="62CD155C" w:rsidR="00FB610A" w:rsidRDefault="00FB610A" w:rsidP="00FB610A">
            <w:pPr>
              <w:pStyle w:val="tabletext"/>
            </w:pPr>
            <w:r w:rsidRPr="00D8236C">
              <w:t xml:space="preserve">CPMI IOSCO, </w:t>
            </w:r>
            <w:hyperlink r:id="rId202" w:history="1">
              <w:r w:rsidRPr="003401C9">
                <w:rPr>
                  <w:rStyle w:val="Hyperlink"/>
                  <w:i/>
                  <w:iCs/>
                </w:rPr>
                <w:t>Technical guidance: Harmonisation of the unique product identifier</w:t>
              </w:r>
            </w:hyperlink>
            <w:r>
              <w:rPr>
                <w:i/>
                <w:iCs/>
              </w:rPr>
              <w:t xml:space="preserve"> </w:t>
            </w:r>
            <w:r>
              <w:t>(PDF 602 KB)</w:t>
            </w:r>
          </w:p>
        </w:tc>
      </w:tr>
      <w:tr w:rsidR="00FB610A" w14:paraId="1AF6D4B2" w14:textId="77777777" w:rsidTr="00FB610A">
        <w:trPr>
          <w:cantSplit/>
        </w:trPr>
        <w:tc>
          <w:tcPr>
            <w:tcW w:w="1985" w:type="dxa"/>
          </w:tcPr>
          <w:p w14:paraId="6C3073D3" w14:textId="0A4A6245" w:rsidR="00FB610A" w:rsidRPr="00D8236C" w:rsidRDefault="00FB610A" w:rsidP="00FB610A">
            <w:pPr>
              <w:pStyle w:val="tabletext"/>
            </w:pPr>
            <w:r w:rsidRPr="00D8236C">
              <w:t>UTI</w:t>
            </w:r>
          </w:p>
        </w:tc>
        <w:tc>
          <w:tcPr>
            <w:tcW w:w="4819" w:type="dxa"/>
          </w:tcPr>
          <w:p w14:paraId="19D8530D" w14:textId="62A8ADFB" w:rsidR="00FB610A" w:rsidRPr="00D8236C" w:rsidRDefault="00FB610A" w:rsidP="00FB610A">
            <w:pPr>
              <w:pStyle w:val="tabletext"/>
            </w:pPr>
            <w:r>
              <w:t>U</w:t>
            </w:r>
            <w:r w:rsidRPr="00D8236C">
              <w:t>nique transaction identifier</w:t>
            </w:r>
          </w:p>
        </w:tc>
      </w:tr>
      <w:tr w:rsidR="00FB610A" w14:paraId="3E67B5CA" w14:textId="77777777" w:rsidTr="00FB610A">
        <w:trPr>
          <w:cantSplit/>
        </w:trPr>
        <w:tc>
          <w:tcPr>
            <w:tcW w:w="1985" w:type="dxa"/>
          </w:tcPr>
          <w:p w14:paraId="462583F0" w14:textId="2BB5ED7C" w:rsidR="00FB610A" w:rsidRPr="00D8236C" w:rsidRDefault="00FB610A" w:rsidP="00FB610A">
            <w:pPr>
              <w:pStyle w:val="tabletext"/>
            </w:pPr>
            <w:r w:rsidRPr="00D8236C">
              <w:t>UTI Guidance</w:t>
            </w:r>
          </w:p>
        </w:tc>
        <w:tc>
          <w:tcPr>
            <w:tcW w:w="4819" w:type="dxa"/>
          </w:tcPr>
          <w:p w14:paraId="2843718B" w14:textId="70B9496E" w:rsidR="00FB610A" w:rsidRDefault="00FB610A" w:rsidP="00FB610A">
            <w:pPr>
              <w:pStyle w:val="tabletext"/>
            </w:pPr>
            <w:r w:rsidRPr="00D8236C">
              <w:t xml:space="preserve">CPMI IOSCO, </w:t>
            </w:r>
            <w:hyperlink r:id="rId203" w:history="1">
              <w:r w:rsidRPr="003401C9">
                <w:rPr>
                  <w:rStyle w:val="Hyperlink"/>
                  <w:i/>
                  <w:iCs/>
                </w:rPr>
                <w:t>Technical guidance: Harmonisation of the unique transaction identifier</w:t>
              </w:r>
            </w:hyperlink>
            <w:r>
              <w:rPr>
                <w:i/>
                <w:iCs/>
              </w:rPr>
              <w:t xml:space="preserve"> </w:t>
            </w:r>
            <w:r>
              <w:t>(PDF 570 KB)</w:t>
            </w:r>
          </w:p>
        </w:tc>
      </w:tr>
      <w:tr w:rsidR="00FB610A" w14:paraId="4052B98F" w14:textId="77777777" w:rsidTr="00FB610A">
        <w:trPr>
          <w:cantSplit/>
        </w:trPr>
        <w:tc>
          <w:tcPr>
            <w:tcW w:w="1985" w:type="dxa"/>
          </w:tcPr>
          <w:p w14:paraId="0DE1F44A" w14:textId="40A56736" w:rsidR="00FB610A" w:rsidRPr="00D8236C" w:rsidRDefault="00FB610A" w:rsidP="00FB610A">
            <w:pPr>
              <w:pStyle w:val="tabletext"/>
            </w:pPr>
            <w:r w:rsidRPr="00D8236C">
              <w:t>wholesale client</w:t>
            </w:r>
          </w:p>
        </w:tc>
        <w:tc>
          <w:tcPr>
            <w:tcW w:w="4819" w:type="dxa"/>
          </w:tcPr>
          <w:p w14:paraId="30657BFF" w14:textId="2475484D" w:rsidR="00FB610A" w:rsidRPr="00D8236C" w:rsidRDefault="00FB610A" w:rsidP="00FB610A">
            <w:pPr>
              <w:pStyle w:val="tabletext"/>
            </w:pPr>
            <w:r w:rsidRPr="00D8236C">
              <w:t>A client who is not a retail client as defined in s761G of the Corporations Act and Div 2 of Pt 7.1 of the Corporations Regulations</w:t>
            </w:r>
          </w:p>
        </w:tc>
      </w:tr>
    </w:tbl>
    <w:p w14:paraId="791C3802" w14:textId="77777777" w:rsidR="00F42F66" w:rsidRDefault="00F42F66" w:rsidP="00613BD8">
      <w:pPr>
        <w:pStyle w:val="Heading1nonumber"/>
      </w:pPr>
      <w:bookmarkStart w:id="364" w:name="_Toc103174665"/>
      <w:r>
        <w:t>List of proposals and questions</w:t>
      </w:r>
      <w:bookmarkEnd w:id="364"/>
      <w:r>
        <w:t xml:space="preserve">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4536"/>
        <w:gridCol w:w="4536"/>
      </w:tblGrid>
      <w:tr w:rsidR="00F42F66" w14:paraId="13E89211" w14:textId="77777777" w:rsidTr="0010427F">
        <w:trPr>
          <w:cantSplit/>
          <w:tblHeader/>
        </w:trPr>
        <w:tc>
          <w:tcPr>
            <w:tcW w:w="4536" w:type="dxa"/>
            <w:tcBorders>
              <w:bottom w:val="single" w:sz="4" w:space="0" w:color="999999"/>
            </w:tcBorders>
            <w:shd w:val="clear" w:color="auto" w:fill="C2E3FA"/>
          </w:tcPr>
          <w:p w14:paraId="4A9D9B1D" w14:textId="77777777" w:rsidR="00F42F66" w:rsidRDefault="00F42F66">
            <w:pPr>
              <w:pStyle w:val="tablehead"/>
            </w:pPr>
            <w:r>
              <w:t>Proposal</w:t>
            </w:r>
          </w:p>
        </w:tc>
        <w:tc>
          <w:tcPr>
            <w:tcW w:w="4536" w:type="dxa"/>
            <w:tcBorders>
              <w:bottom w:val="single" w:sz="4" w:space="0" w:color="999999"/>
            </w:tcBorders>
            <w:shd w:val="clear" w:color="auto" w:fill="C2E3FA"/>
          </w:tcPr>
          <w:p w14:paraId="1B548114" w14:textId="77777777" w:rsidR="00F42F66" w:rsidRDefault="00F42F66">
            <w:pPr>
              <w:pStyle w:val="tablehead"/>
            </w:pPr>
            <w:r>
              <w:t>Your feedback</w:t>
            </w:r>
          </w:p>
        </w:tc>
      </w:tr>
      <w:tr w:rsidR="00F42F66" w14:paraId="4AC189E0" w14:textId="77777777" w:rsidTr="0010427F">
        <w:trPr>
          <w:cantSplit/>
        </w:trPr>
        <w:tc>
          <w:tcPr>
            <w:tcW w:w="4536" w:type="dxa"/>
            <w:tcBorders>
              <w:bottom w:val="single" w:sz="4" w:space="0" w:color="999999"/>
            </w:tcBorders>
            <w:shd w:val="clear" w:color="auto" w:fill="auto"/>
          </w:tcPr>
          <w:p w14:paraId="21842605" w14:textId="77777777" w:rsidR="00F42F66" w:rsidRDefault="00F42F66" w:rsidP="00F42F66">
            <w:pPr>
              <w:pStyle w:val="tblProposaltext"/>
            </w:pPr>
            <w:r>
              <w:t>B1</w:t>
            </w:r>
            <w:r>
              <w:tab/>
              <w:t>We propose to make new draft Rule 2.2.9 ‘Reporting requirement—Unique transaction identifier’ in the draft remade ASIC Rules (see Attachment 1) setting out UTI requirements for a reporting entity to:</w:t>
            </w:r>
          </w:p>
          <w:p w14:paraId="49C71992" w14:textId="77777777" w:rsidR="00F42F66" w:rsidRDefault="00F42F66" w:rsidP="00F42F66">
            <w:pPr>
              <w:pStyle w:val="tblProposalsubpara"/>
            </w:pPr>
            <w:r>
              <w:t>(a)</w:t>
            </w:r>
            <w:r>
              <w:tab/>
              <w:t>apply the rule if the reporting entity is required to report a UTI for a new transaction (Rule 2.2.9(1));</w:t>
            </w:r>
          </w:p>
          <w:p w14:paraId="3074FD9F" w14:textId="134AEAC5" w:rsidR="00F42F66" w:rsidRDefault="00F42F66" w:rsidP="00F42F66">
            <w:pPr>
              <w:pStyle w:val="tblProposalsubpara"/>
            </w:pPr>
            <w:r>
              <w:t>(b)</w:t>
            </w:r>
            <w:r>
              <w:tab/>
              <w:t>determine the UTI</w:t>
            </w:r>
            <w:r w:rsidR="00613BD8">
              <w:t xml:space="preserve"> </w:t>
            </w:r>
            <w:r>
              <w:t>generating entity according to the steps set out in Table 2: UTI generating entity for specified reportable transactions of Rule 2.2.9—this is the draft ASIC UTI waterfall (Rule</w:t>
            </w:r>
            <w:r w:rsidR="00613BD8">
              <w:t> </w:t>
            </w:r>
            <w:r>
              <w:t>2.2.9(3));</w:t>
            </w:r>
          </w:p>
          <w:p w14:paraId="71A6DC14" w14:textId="4C5FD946" w:rsidR="00F42F66" w:rsidRDefault="00F42F66" w:rsidP="00F42F66">
            <w:pPr>
              <w:pStyle w:val="tblProposalsubpara"/>
            </w:pPr>
            <w:r>
              <w:t>(c)</w:t>
            </w:r>
            <w:r>
              <w:tab/>
              <w:t>if the reporting entity is the UTI generating entity, generate the UTI and provide the UTI to the other counterparty in a timely manner and no later than 10 am Sydney time on the next business day (Rule</w:t>
            </w:r>
            <w:r w:rsidR="00613BD8">
              <w:t> </w:t>
            </w:r>
            <w:r>
              <w:t>2.2.9(5));</w:t>
            </w:r>
          </w:p>
          <w:p w14:paraId="1CF46863" w14:textId="141F3723" w:rsidR="00F42F66" w:rsidRDefault="00F42F66" w:rsidP="00F42F66">
            <w:pPr>
              <w:pStyle w:val="tblProposalsubpara"/>
            </w:pPr>
            <w:r>
              <w:t>(d)</w:t>
            </w:r>
            <w:r>
              <w:tab/>
              <w:t>if the reporting entity does not receive a UTI from the other UTI generating entity in sufficient time for reporting:</w:t>
            </w:r>
          </w:p>
          <w:p w14:paraId="0A0682C6" w14:textId="77777777" w:rsidR="00F42F66" w:rsidRDefault="00F42F66" w:rsidP="00F42F66">
            <w:pPr>
              <w:pStyle w:val="tblProposalsubsubpara"/>
            </w:pPr>
            <w:r>
              <w:t>(i)</w:t>
            </w:r>
            <w:r>
              <w:tab/>
              <w:t>if the reporting entity reasonably believes that it will, at a later time, receive the UTI—a ‘temporary’ non-receipt of a UTI—generate its own UTI for reporting; or</w:t>
            </w:r>
          </w:p>
          <w:p w14:paraId="2EBC7E43" w14:textId="0C92F1FD" w:rsidR="00F42F66" w:rsidRDefault="00F42F66" w:rsidP="00F42F66">
            <w:pPr>
              <w:pStyle w:val="tblProposalsubsubpara"/>
            </w:pPr>
            <w:r>
              <w:t>(ii)</w:t>
            </w:r>
            <w:r>
              <w:tab/>
              <w:t>if the reporting entity reasonably believes that it will not receive the UTI—a ‘permanent’ non-receipt of a UTI—use its best endeavours to determine the UTI generating entity according to the next applicable method in the draft ASIC UTI waterfall; but</w:t>
            </w:r>
          </w:p>
          <w:p w14:paraId="31DC3099" w14:textId="7C5A3A31" w:rsidR="00F42F66" w:rsidRDefault="00F42F66" w:rsidP="00F42F66">
            <w:pPr>
              <w:pStyle w:val="tblProposalsubsubpara"/>
            </w:pPr>
            <w:r>
              <w:t>(iii)</w:t>
            </w:r>
            <w:r>
              <w:tab/>
              <w:t xml:space="preserve">if the UTI generating entity determined according to the next applicable method does not provide the UTI, the reporting entity must generate and report its own UTI (Rule 2.2.9(6)). </w:t>
            </w:r>
          </w:p>
        </w:tc>
        <w:tc>
          <w:tcPr>
            <w:tcW w:w="4536" w:type="dxa"/>
            <w:tcBorders>
              <w:bottom w:val="single" w:sz="4" w:space="0" w:color="999999"/>
            </w:tcBorders>
            <w:shd w:val="clear" w:color="auto" w:fill="auto"/>
          </w:tcPr>
          <w:p w14:paraId="254481B4" w14:textId="77777777" w:rsidR="00F42F66" w:rsidRDefault="00F42F66" w:rsidP="00F42F66">
            <w:pPr>
              <w:pStyle w:val="tblFeedbackquestion"/>
            </w:pPr>
            <w:r>
              <w:t>B1Q1</w:t>
            </w:r>
            <w:r>
              <w:tab/>
              <w:t>Do you agree with this proposal? In your response, please give detailed reasons for your answer.</w:t>
            </w:r>
          </w:p>
          <w:p w14:paraId="67412F54" w14:textId="4FC4AA7F" w:rsidR="00F42F66" w:rsidRDefault="00F42F66" w:rsidP="00F42F66">
            <w:pPr>
              <w:pStyle w:val="tblFeedbackquestion"/>
            </w:pPr>
            <w:r>
              <w:t>B1Q2</w:t>
            </w:r>
            <w:r>
              <w:tab/>
              <w:t xml:space="preserve">Do you consider that you would have any issues of interpretation of the definitions or text of draft Rule 2.2.9? In your response, please give detailed reasons for your answer. </w:t>
            </w:r>
          </w:p>
        </w:tc>
      </w:tr>
      <w:tr w:rsidR="00F42F66" w14:paraId="4CA36CFC" w14:textId="77777777" w:rsidTr="0010427F">
        <w:trPr>
          <w:cantSplit/>
        </w:trPr>
        <w:tc>
          <w:tcPr>
            <w:tcW w:w="4536" w:type="dxa"/>
            <w:tcBorders>
              <w:bottom w:val="single" w:sz="4" w:space="0" w:color="999999"/>
            </w:tcBorders>
            <w:shd w:val="clear" w:color="auto" w:fill="auto"/>
          </w:tcPr>
          <w:p w14:paraId="736E921F" w14:textId="77777777" w:rsidR="00F42F66" w:rsidRDefault="00F42F66" w:rsidP="00F42F66">
            <w:pPr>
              <w:pStyle w:val="tblProposaltext"/>
            </w:pPr>
            <w:r>
              <w:t>B2</w:t>
            </w:r>
            <w:r>
              <w:tab/>
              <w:t>We also propose that new Rule 2.2.9 provides that:</w:t>
            </w:r>
          </w:p>
          <w:p w14:paraId="7BD9C67E" w14:textId="77777777" w:rsidR="00F42F66" w:rsidRDefault="00F42F66" w:rsidP="00F42F66">
            <w:pPr>
              <w:pStyle w:val="tblProposalsubpara"/>
            </w:pPr>
            <w:r>
              <w:t>(a)</w:t>
            </w:r>
            <w:r>
              <w:tab/>
              <w:t>a reference to a reporting entity that is a responsible entity or trustee includes a person appointed by the reporting entity to enter into OTC derivatives on behalf of the reporting entity—for example, a fund manager (Rule 2.2.9(2));</w:t>
            </w:r>
          </w:p>
          <w:p w14:paraId="3097F804" w14:textId="77777777" w:rsidR="00F42F66" w:rsidRDefault="00F42F66" w:rsidP="00F42F66">
            <w:pPr>
              <w:pStyle w:val="tblProposalsubpara"/>
            </w:pPr>
            <w:r>
              <w:t>(b)</w:t>
            </w:r>
            <w:r>
              <w:tab/>
              <w:t>a reporting entity may, subject to conditions, appoint a service provider to generate the UTI (Rule 2.2.9(7));</w:t>
            </w:r>
          </w:p>
          <w:p w14:paraId="7EADECB1" w14:textId="7CD1329B" w:rsidR="00F42F66" w:rsidRDefault="00F42F66" w:rsidP="00F42F66">
            <w:pPr>
              <w:pStyle w:val="tblProposalsubpara"/>
            </w:pPr>
            <w:r>
              <w:t>(c)</w:t>
            </w:r>
            <w:r>
              <w:tab/>
              <w:t>if the UTI requirements are met by another person on behalf of the reporting entity; the reporting entity remains responsible for the obligations of the reporting entity (Rule</w:t>
            </w:r>
            <w:r w:rsidR="00613BD8">
              <w:t> </w:t>
            </w:r>
            <w:r>
              <w:t>2.2.9(8)); and</w:t>
            </w:r>
          </w:p>
          <w:p w14:paraId="75809268" w14:textId="596367A3" w:rsidR="00F42F66" w:rsidRDefault="00F42F66" w:rsidP="00F42F66">
            <w:pPr>
              <w:pStyle w:val="tblProposalsubpara"/>
            </w:pPr>
            <w:r>
              <w:t>(d)</w:t>
            </w:r>
            <w:r>
              <w:tab/>
              <w:t xml:space="preserve">for the purposes of Rule 2.2.9, the reporting deadline in this jurisdiction is the end of the next business day in Sydney (Rule 2.2.9(4)). </w:t>
            </w:r>
          </w:p>
        </w:tc>
        <w:tc>
          <w:tcPr>
            <w:tcW w:w="4536" w:type="dxa"/>
            <w:tcBorders>
              <w:bottom w:val="single" w:sz="4" w:space="0" w:color="999999"/>
            </w:tcBorders>
            <w:shd w:val="clear" w:color="auto" w:fill="auto"/>
          </w:tcPr>
          <w:p w14:paraId="7E189D49" w14:textId="77777777" w:rsidR="00F42F66" w:rsidRDefault="00F42F66" w:rsidP="00F42F66">
            <w:pPr>
              <w:pStyle w:val="tblFeedbackquestion"/>
            </w:pPr>
            <w:r>
              <w:t>B2Q1</w:t>
            </w:r>
            <w:r>
              <w:tab/>
              <w:t>Do you agree with this proposal? In your response, please give detailed reasons for your answer.</w:t>
            </w:r>
          </w:p>
          <w:p w14:paraId="607D93FE" w14:textId="6F9302B5" w:rsidR="00F42F66" w:rsidRDefault="00F42F66" w:rsidP="00F42F66">
            <w:pPr>
              <w:pStyle w:val="tblFeedbackquestion"/>
            </w:pPr>
            <w:r>
              <w:t>B2Q2</w:t>
            </w:r>
            <w:r>
              <w:tab/>
              <w:t xml:space="preserve">Do you consider that you would have any issues of interpretation of the definitions or text of draft Rule 2.2.9? In your response, please give detailed reasons for your answer. </w:t>
            </w:r>
          </w:p>
        </w:tc>
      </w:tr>
      <w:tr w:rsidR="00F42F66" w14:paraId="0B9772C4" w14:textId="77777777" w:rsidTr="0010427F">
        <w:trPr>
          <w:cantSplit/>
        </w:trPr>
        <w:tc>
          <w:tcPr>
            <w:tcW w:w="4536" w:type="dxa"/>
            <w:tcBorders>
              <w:bottom w:val="single" w:sz="4" w:space="0" w:color="999999"/>
            </w:tcBorders>
            <w:shd w:val="clear" w:color="auto" w:fill="auto"/>
          </w:tcPr>
          <w:p w14:paraId="509A00D2" w14:textId="17B6AB46" w:rsidR="00F42F66" w:rsidRDefault="00F42F66" w:rsidP="00F42F66">
            <w:pPr>
              <w:pStyle w:val="tblProposaltext"/>
            </w:pPr>
            <w:r>
              <w:t>C1</w:t>
            </w:r>
            <w:r>
              <w:tab/>
              <w:t xml:space="preserve">We propose to include in the draft remade ASIC Rules the non-UPI data elements set out in Table 17: see Attachment 1. </w:t>
            </w:r>
          </w:p>
        </w:tc>
        <w:tc>
          <w:tcPr>
            <w:tcW w:w="4536" w:type="dxa"/>
            <w:tcBorders>
              <w:bottom w:val="single" w:sz="4" w:space="0" w:color="999999"/>
            </w:tcBorders>
            <w:shd w:val="clear" w:color="auto" w:fill="auto"/>
          </w:tcPr>
          <w:p w14:paraId="3F1E61B7" w14:textId="2C9018A1" w:rsidR="00F42F66" w:rsidRDefault="00F42F66" w:rsidP="00F42F66">
            <w:pPr>
              <w:pStyle w:val="tblFeedbackquestion"/>
            </w:pPr>
            <w:r>
              <w:t>C1Q1</w:t>
            </w:r>
            <w:r>
              <w:tab/>
              <w:t xml:space="preserve">Do you agree with this proposal? In your response, please give detailed reasons for your answer. </w:t>
            </w:r>
          </w:p>
        </w:tc>
      </w:tr>
      <w:tr w:rsidR="00F42F66" w14:paraId="2ECB271D" w14:textId="77777777" w:rsidTr="0010427F">
        <w:trPr>
          <w:cantSplit/>
        </w:trPr>
        <w:tc>
          <w:tcPr>
            <w:tcW w:w="4536" w:type="dxa"/>
            <w:tcBorders>
              <w:bottom w:val="single" w:sz="4" w:space="0" w:color="999999"/>
            </w:tcBorders>
            <w:shd w:val="clear" w:color="auto" w:fill="auto"/>
          </w:tcPr>
          <w:p w14:paraId="5E79E72E" w14:textId="77777777" w:rsidR="00F42F66" w:rsidRDefault="00F42F66" w:rsidP="00F42F66">
            <w:pPr>
              <w:pStyle w:val="tblProposaltext"/>
            </w:pPr>
            <w:r>
              <w:t>E1</w:t>
            </w:r>
            <w:r>
              <w:tab/>
              <w:t>We propose that the remade ASIC Rules (see Attachment 1) include:</w:t>
            </w:r>
          </w:p>
          <w:p w14:paraId="2D8A0A3A" w14:textId="77777777" w:rsidR="00F42F66" w:rsidRDefault="00F42F66" w:rsidP="00F42F66">
            <w:pPr>
              <w:pStyle w:val="tblProposalsubpara"/>
            </w:pPr>
            <w:r>
              <w:t>(a)</w:t>
            </w:r>
            <w:r>
              <w:tab/>
              <w:t>new Rule 1.2.5(1)(b)(iv) and amended Rule S1.3.1(1)(a) recognising transaction-to-position conversion reporting practices;</w:t>
            </w:r>
          </w:p>
          <w:p w14:paraId="639346F4" w14:textId="77777777" w:rsidR="00F42F66" w:rsidRDefault="00F42F66" w:rsidP="00F42F66">
            <w:pPr>
              <w:pStyle w:val="tblProposalsubpara"/>
            </w:pPr>
            <w:r>
              <w:t>(b)</w:t>
            </w:r>
            <w:r>
              <w:tab/>
              <w:t>new Rule 2.2.1(1A) to curtail duplicative reporting;</w:t>
            </w:r>
          </w:p>
          <w:p w14:paraId="49B75A32" w14:textId="77777777" w:rsidR="00F42F66" w:rsidRDefault="00F42F66" w:rsidP="00F42F66">
            <w:pPr>
              <w:pStyle w:val="tblProposalsubpara"/>
            </w:pPr>
            <w:r>
              <w:t>(c)</w:t>
            </w:r>
            <w:r>
              <w:tab/>
              <w:t>new Rule 2.2.1(1B) to recognise that reporting entities comply with their reporting obligations where derivative trade repositories derive derivative transaction information for the reporting entity from other information they receive;</w:t>
            </w:r>
          </w:p>
          <w:p w14:paraId="1D00CC47" w14:textId="77777777" w:rsidR="00F42F66" w:rsidRDefault="00F42F66" w:rsidP="00F42F66">
            <w:pPr>
              <w:pStyle w:val="tblProposalsubpara"/>
            </w:pPr>
            <w:r>
              <w:t>(d)</w:t>
            </w:r>
            <w:r>
              <w:tab/>
              <w:t>a definition of a ‘Small-scale Buy-side Entity’ in Rule 1.2.3 and amendments to Rule 2.2.8 such that small-scale buy-side entities are not required to report, on a lifecycle basis, reportable transactions that are not equity derivative transactions;</w:t>
            </w:r>
          </w:p>
          <w:p w14:paraId="493F8024" w14:textId="77777777" w:rsidR="00F42F66" w:rsidRDefault="00F42F66" w:rsidP="00F42F66">
            <w:pPr>
              <w:pStyle w:val="tblProposalsubpara"/>
            </w:pPr>
            <w:r>
              <w:t>(e)</w:t>
            </w:r>
            <w:r>
              <w:tab/>
              <w:t>new Part S1.1 rule allowing that requirements of a reporting entity that is a responsible entity or trustee may be met by a person appointed to deal on behalf of the responsible entity or trustee; and</w:t>
            </w:r>
          </w:p>
          <w:p w14:paraId="1C7129AD" w14:textId="55D55C1E" w:rsidR="00F42F66" w:rsidRDefault="00F42F66" w:rsidP="00F42F66">
            <w:pPr>
              <w:pStyle w:val="tblProposalsubpara"/>
            </w:pPr>
            <w:r>
              <w:t>(f)</w:t>
            </w:r>
            <w:r>
              <w:tab/>
              <w:t xml:space="preserve">new Rule S1.3.1(3) only requiring adherence to the new formats and allowable values for the data elements that are being changed or updated in a report made under Rule 2.2.2. </w:t>
            </w:r>
          </w:p>
        </w:tc>
        <w:tc>
          <w:tcPr>
            <w:tcW w:w="4536" w:type="dxa"/>
            <w:tcBorders>
              <w:bottom w:val="single" w:sz="4" w:space="0" w:color="999999"/>
            </w:tcBorders>
            <w:shd w:val="clear" w:color="auto" w:fill="auto"/>
          </w:tcPr>
          <w:p w14:paraId="3C589EA6" w14:textId="31D2F467" w:rsidR="00F42F66" w:rsidRDefault="00F42F66" w:rsidP="00F42F66">
            <w:pPr>
              <w:pStyle w:val="tblFeedbackquestion"/>
            </w:pPr>
            <w:r>
              <w:t>E1Q1</w:t>
            </w:r>
            <w:r>
              <w:tab/>
              <w:t xml:space="preserve">Do you agree with this proposal? In your response, please give detailed reasons for your answer. </w:t>
            </w:r>
          </w:p>
        </w:tc>
      </w:tr>
      <w:tr w:rsidR="00F42F66" w14:paraId="6179C93F" w14:textId="77777777" w:rsidTr="0010427F">
        <w:trPr>
          <w:cantSplit/>
        </w:trPr>
        <w:tc>
          <w:tcPr>
            <w:tcW w:w="4536" w:type="dxa"/>
            <w:tcBorders>
              <w:bottom w:val="single" w:sz="4" w:space="0" w:color="999999"/>
            </w:tcBorders>
            <w:shd w:val="clear" w:color="auto" w:fill="auto"/>
          </w:tcPr>
          <w:p w14:paraId="13E9DF77" w14:textId="77777777" w:rsidR="00F42F66" w:rsidRDefault="00F42F66" w:rsidP="00F42F66">
            <w:pPr>
              <w:pStyle w:val="tblProposaltext"/>
            </w:pPr>
            <w:r>
              <w:t>E2</w:t>
            </w:r>
            <w:r>
              <w:tab/>
              <w:t>We propose that the amended ASIC Rules (see Attachment 2) include:</w:t>
            </w:r>
          </w:p>
          <w:p w14:paraId="6911C7AE" w14:textId="77777777" w:rsidR="00F42F66" w:rsidRDefault="00F42F66" w:rsidP="00F42F66">
            <w:pPr>
              <w:pStyle w:val="tblProposalsubpara"/>
            </w:pPr>
            <w:r>
              <w:t>(a)</w:t>
            </w:r>
            <w:r>
              <w:tab/>
              <w:t>new Rule S1.3.1(4) providing that small-scale buy-side entities are not required to report delta and some of the extended collateral information;</w:t>
            </w:r>
          </w:p>
          <w:p w14:paraId="2EFECE79" w14:textId="77777777" w:rsidR="00F42F66" w:rsidRDefault="00F42F66" w:rsidP="00F42F66">
            <w:pPr>
              <w:pStyle w:val="tblProposalsubpara"/>
            </w:pPr>
            <w:r>
              <w:t>(b)</w:t>
            </w:r>
            <w:r>
              <w:tab/>
              <w:t>amended Rule S1.3.1(3) requiring adherence to the new formats and allowable values for all the data elements reported, other than entity identifier data elements; and</w:t>
            </w:r>
          </w:p>
          <w:p w14:paraId="6C4B7BDF" w14:textId="0F801415" w:rsidR="00F42F66" w:rsidRDefault="00F42F66" w:rsidP="00F42F66">
            <w:pPr>
              <w:pStyle w:val="tblProposalsubpara"/>
            </w:pPr>
            <w:r>
              <w:t>(c)</w:t>
            </w:r>
            <w:r>
              <w:tab/>
              <w:t xml:space="preserve">new Rule 2.4.1 requiring the re-reporting of transactions reported prior to the commencement of the amended ASIC Rules in order to update the data elements for the transactions to the new specifications. </w:t>
            </w:r>
          </w:p>
        </w:tc>
        <w:tc>
          <w:tcPr>
            <w:tcW w:w="4536" w:type="dxa"/>
            <w:tcBorders>
              <w:bottom w:val="single" w:sz="4" w:space="0" w:color="999999"/>
            </w:tcBorders>
            <w:shd w:val="clear" w:color="auto" w:fill="auto"/>
          </w:tcPr>
          <w:p w14:paraId="250BFB42" w14:textId="77777777" w:rsidR="00F42F66" w:rsidRDefault="00F42F66" w:rsidP="00F42F66">
            <w:pPr>
              <w:pStyle w:val="tblFeedbackquestion"/>
            </w:pPr>
            <w:r>
              <w:t>E2Q1</w:t>
            </w:r>
            <w:r>
              <w:tab/>
              <w:t>Do you agree with this proposal? In your response, please give detailed reasons for your answer.</w:t>
            </w:r>
          </w:p>
          <w:p w14:paraId="26DC035D" w14:textId="733C455F" w:rsidR="00F42F66" w:rsidRDefault="00F42F66" w:rsidP="00F42F66">
            <w:pPr>
              <w:pStyle w:val="tblFeedbackquestion"/>
            </w:pPr>
            <w:r>
              <w:t>E2Q2</w:t>
            </w:r>
            <w:r>
              <w:tab/>
              <w:t xml:space="preserve">Do you consider that, from the commencement of the amended ASIC Rules, a trade state report should be structured on a ‘carried forward/enlarged’ basis, a ‘converted’ basis or on some other basis: see paragraphs 411–417? In your response, please give detailed reasons for your answer. </w:t>
            </w:r>
          </w:p>
        </w:tc>
      </w:tr>
      <w:tr w:rsidR="00F42F66" w14:paraId="29B2E3A4" w14:textId="77777777" w:rsidTr="0010427F">
        <w:trPr>
          <w:cantSplit/>
        </w:trPr>
        <w:tc>
          <w:tcPr>
            <w:tcW w:w="4536" w:type="dxa"/>
            <w:tcBorders>
              <w:bottom w:val="single" w:sz="4" w:space="0" w:color="999999"/>
            </w:tcBorders>
            <w:shd w:val="clear" w:color="auto" w:fill="auto"/>
          </w:tcPr>
          <w:p w14:paraId="746B0811" w14:textId="77777777" w:rsidR="00F42F66" w:rsidRDefault="00F42F66" w:rsidP="00F42F66">
            <w:pPr>
              <w:pStyle w:val="tblProposaltext"/>
            </w:pPr>
            <w:r>
              <w:t>E3</w:t>
            </w:r>
            <w:r>
              <w:tab/>
              <w:t>We propose that the remade ASIC Rules (see Attachment 1) include:</w:t>
            </w:r>
          </w:p>
          <w:p w14:paraId="51C3B63C" w14:textId="7047191C" w:rsidR="00F42F66" w:rsidRDefault="00F42F66" w:rsidP="00F42F66">
            <w:pPr>
              <w:pStyle w:val="tblProposalsubpara"/>
            </w:pPr>
            <w:r>
              <w:t>(a)</w:t>
            </w:r>
            <w:r>
              <w:tab/>
              <w:t xml:space="preserve">the meanings, formats and allowable values for derivative transaction information set out in Tables S1.1.(1)–(5). </w:t>
            </w:r>
          </w:p>
        </w:tc>
        <w:tc>
          <w:tcPr>
            <w:tcW w:w="4536" w:type="dxa"/>
            <w:tcBorders>
              <w:bottom w:val="single" w:sz="4" w:space="0" w:color="999999"/>
            </w:tcBorders>
            <w:shd w:val="clear" w:color="auto" w:fill="auto"/>
          </w:tcPr>
          <w:p w14:paraId="5C32F376" w14:textId="461D0CF1" w:rsidR="00F42F66" w:rsidRDefault="00F42F66" w:rsidP="00F42F66">
            <w:pPr>
              <w:pStyle w:val="tblFeedbackquestion"/>
            </w:pPr>
            <w:r>
              <w:t>E3Q1</w:t>
            </w:r>
            <w:r>
              <w:tab/>
              <w:t xml:space="preserve">Do you agree with this proposal? In your response, please give detailed reasons for your answer. </w:t>
            </w:r>
          </w:p>
        </w:tc>
      </w:tr>
      <w:tr w:rsidR="00F42F66" w14:paraId="28BBB982" w14:textId="77777777" w:rsidTr="0010427F">
        <w:trPr>
          <w:cantSplit/>
        </w:trPr>
        <w:tc>
          <w:tcPr>
            <w:tcW w:w="4536" w:type="dxa"/>
            <w:tcBorders>
              <w:bottom w:val="single" w:sz="4" w:space="0" w:color="999999"/>
            </w:tcBorders>
            <w:shd w:val="clear" w:color="auto" w:fill="auto"/>
          </w:tcPr>
          <w:p w14:paraId="00B9C02D" w14:textId="77777777" w:rsidR="00F42F66" w:rsidRDefault="00F42F66" w:rsidP="00F42F66">
            <w:pPr>
              <w:pStyle w:val="tblProposaltext"/>
            </w:pPr>
            <w:r>
              <w:t>E4</w:t>
            </w:r>
            <w:r>
              <w:tab/>
              <w:t>We propose that the remade ASIC Rules (see Attachment 1) include:</w:t>
            </w:r>
          </w:p>
          <w:p w14:paraId="106317E3" w14:textId="77777777" w:rsidR="00F42F66" w:rsidRDefault="00F42F66" w:rsidP="00F42F66">
            <w:pPr>
              <w:pStyle w:val="tblProposalsubpara"/>
            </w:pPr>
            <w:r>
              <w:t>(a)</w:t>
            </w:r>
            <w:r>
              <w:tab/>
              <w:t>the new data elements ‘Payer (fixed rate leg 2)’, ‘Fixed rate (leg 2)’, ‘Fixed leg payment frequency (leg 2)’, ‘Floating rate payment frequency (leg 2)’ and ‘Floating rate reset frequency (leg 2)’ with the meanings, formats and allowable values of items 7, 11, 14, 16 and 20 respectively in Table S1.1(5) ‘Interest rate derivative data’;</w:t>
            </w:r>
          </w:p>
          <w:p w14:paraId="097C8C73" w14:textId="753BDF5F" w:rsidR="00F42F66" w:rsidRDefault="00F42F66" w:rsidP="00F42F66">
            <w:pPr>
              <w:pStyle w:val="tblProposalsubpara"/>
            </w:pPr>
            <w:r>
              <w:t>(b)</w:t>
            </w:r>
            <w:r>
              <w:tab/>
              <w:t>the relocation and renaming of ‘Basis’ from item 34 in Table S2.1(1) ‘Common data’ in the current ASIC Rules to ‘Day count convention—Leg 2’ as item 5 in Table</w:t>
            </w:r>
            <w:r w:rsidR="0086268E">
              <w:t> </w:t>
            </w:r>
            <w:r>
              <w:t>S1.1(3) ‘Equity and credit derivatives data’ in the remade ASIC Rules with a changed meaning, format and allowable values;</w:t>
            </w:r>
          </w:p>
          <w:p w14:paraId="5B533981" w14:textId="14F53A66" w:rsidR="00F42F66" w:rsidRDefault="00F42F66" w:rsidP="00F42F66">
            <w:pPr>
              <w:pStyle w:val="tblProposalsubpara"/>
            </w:pPr>
            <w:r>
              <w:t>(c)</w:t>
            </w:r>
            <w:r>
              <w:tab/>
              <w:t>the relocation, for commodity derivatives of ‘Settlement rate or index’ from item 35 in Table S2.1(1) ‘Common data’ in the current ASIC Rules to item 8 in Table</w:t>
            </w:r>
            <w:r w:rsidR="0086268E">
              <w:t> </w:t>
            </w:r>
            <w:r>
              <w:t>S1.1(2) ‘Commodity derivative data’ with a changed meaning, format and allowable values;</w:t>
            </w:r>
          </w:p>
          <w:p w14:paraId="071D34FF" w14:textId="77777777" w:rsidR="00F42F66" w:rsidRDefault="00F42F66" w:rsidP="00F42F66">
            <w:pPr>
              <w:pStyle w:val="tblProposalsubpara"/>
            </w:pPr>
            <w:r>
              <w:t>(d)</w:t>
            </w:r>
            <w:r>
              <w:tab/>
              <w:t>the relocation and renaming, for equity and credit derivatives, of ‘Settlement rate or index’ from item 35 in Table S2.1(1) ‘Common data’ in the current ASIC Rules to ‘Identifier of the floating rate—Leg 2’ as item 6 in Table S1.1(3) ‘Equity and credit derivatives data’ in the remade ASIC Rules with a changed meaning, format and allowable values; and</w:t>
            </w:r>
          </w:p>
          <w:p w14:paraId="21EC95EF" w14:textId="1ECE0A56" w:rsidR="00F42F66" w:rsidRDefault="00F42F66" w:rsidP="00F42F66">
            <w:pPr>
              <w:pStyle w:val="tblProposalsubpara"/>
            </w:pPr>
            <w:r>
              <w:t>(e)</w:t>
            </w:r>
            <w:r>
              <w:tab/>
              <w:t>the relocation, for equity and credit derivatives of ‘Rate reset frequency’ from item 53 in Table S2.1(1) ‘Common data’ in the current ASIC Rules to item 7 in Table</w:t>
            </w:r>
            <w:r w:rsidR="0086268E">
              <w:t> </w:t>
            </w:r>
            <w:r>
              <w:t xml:space="preserve">S1.1(3) ‘Equity and credit derivatives data’ with a changed meaning, format and allowable values. </w:t>
            </w:r>
          </w:p>
        </w:tc>
        <w:tc>
          <w:tcPr>
            <w:tcW w:w="4536" w:type="dxa"/>
            <w:tcBorders>
              <w:bottom w:val="single" w:sz="4" w:space="0" w:color="999999"/>
            </w:tcBorders>
            <w:shd w:val="clear" w:color="auto" w:fill="auto"/>
          </w:tcPr>
          <w:p w14:paraId="0C40B065" w14:textId="21DE1CED" w:rsidR="00F42F66" w:rsidRDefault="00F42F66" w:rsidP="00F42F66">
            <w:pPr>
              <w:pStyle w:val="tblFeedbackquestion"/>
            </w:pPr>
            <w:r>
              <w:t>E4Q1</w:t>
            </w:r>
            <w:r>
              <w:tab/>
              <w:t xml:space="preserve">Do you agree with this proposal? In your response, please give detailed reasons for your answer. </w:t>
            </w:r>
          </w:p>
        </w:tc>
      </w:tr>
      <w:tr w:rsidR="00F42F66" w14:paraId="2552CFE1" w14:textId="77777777" w:rsidTr="0010427F">
        <w:trPr>
          <w:cantSplit/>
        </w:trPr>
        <w:tc>
          <w:tcPr>
            <w:tcW w:w="4536" w:type="dxa"/>
            <w:tcBorders>
              <w:bottom w:val="single" w:sz="4" w:space="0" w:color="999999"/>
            </w:tcBorders>
            <w:shd w:val="clear" w:color="auto" w:fill="auto"/>
          </w:tcPr>
          <w:p w14:paraId="78EEACBE" w14:textId="77777777" w:rsidR="00F42F66" w:rsidRDefault="00F42F66" w:rsidP="00F42F66">
            <w:pPr>
              <w:pStyle w:val="tblProposaltext"/>
            </w:pPr>
            <w:r>
              <w:t>E5</w:t>
            </w:r>
            <w:r>
              <w:tab/>
              <w:t>We propose that the amended ASIC Rules (see Attachment 2) include:</w:t>
            </w:r>
          </w:p>
          <w:p w14:paraId="4DF8F650" w14:textId="77777777" w:rsidR="00F42F66" w:rsidRDefault="00F42F66" w:rsidP="00F42F66">
            <w:pPr>
              <w:pStyle w:val="tblProposalsubpara"/>
            </w:pPr>
            <w:r>
              <w:t>(a)</w:t>
            </w:r>
            <w:r>
              <w:tab/>
              <w:t>the meanings, formats and allowable values for transaction information set out in Table S1.1.(1) ‘Transaction information’;</w:t>
            </w:r>
          </w:p>
          <w:p w14:paraId="3203042B" w14:textId="77777777" w:rsidR="00F42F66" w:rsidRDefault="00F42F66" w:rsidP="00F42F66">
            <w:pPr>
              <w:pStyle w:val="tblProposalsubpara"/>
            </w:pPr>
            <w:r>
              <w:t>(b)</w:t>
            </w:r>
            <w:r>
              <w:tab/>
              <w:t>the meanings, formats and allowable values for valuation information set out in Table S1.1.(2) ‘Valuation information’; and</w:t>
            </w:r>
          </w:p>
          <w:p w14:paraId="747FDF87" w14:textId="616F5052" w:rsidR="00F42F66" w:rsidRDefault="00F42F66" w:rsidP="00F42F66">
            <w:pPr>
              <w:pStyle w:val="tblProposalsubpara"/>
            </w:pPr>
            <w:r>
              <w:t>(c)</w:t>
            </w:r>
            <w:r>
              <w:tab/>
              <w:t xml:space="preserve">the meanings, formats and allowable values for transaction information set out in Table S1.1.(3) ‘Collateral information’. </w:t>
            </w:r>
          </w:p>
        </w:tc>
        <w:tc>
          <w:tcPr>
            <w:tcW w:w="4536" w:type="dxa"/>
            <w:tcBorders>
              <w:bottom w:val="single" w:sz="4" w:space="0" w:color="999999"/>
            </w:tcBorders>
            <w:shd w:val="clear" w:color="auto" w:fill="auto"/>
          </w:tcPr>
          <w:p w14:paraId="1D2C67D1" w14:textId="77777777" w:rsidR="00F42F66" w:rsidRDefault="00F42F66" w:rsidP="00F42F66">
            <w:pPr>
              <w:pStyle w:val="tblFeedbackquestion"/>
            </w:pPr>
            <w:r>
              <w:t>E5Q1</w:t>
            </w:r>
            <w:r>
              <w:tab/>
              <w:t>Do you agree with this proposal? In your response, please give detailed reasons for your answer.</w:t>
            </w:r>
          </w:p>
          <w:p w14:paraId="68AF3A0C" w14:textId="066933C8" w:rsidR="00F42F66" w:rsidRDefault="00F42F66" w:rsidP="00F42F66">
            <w:pPr>
              <w:pStyle w:val="tblFeedbackquestion"/>
            </w:pPr>
            <w:r>
              <w:t>E5Q2</w:t>
            </w:r>
            <w:r>
              <w:tab/>
              <w:t>Do you consider that the explanations of data elements in this consultation paper are an appropriate basis for guidance in a Schedule</w:t>
            </w:r>
            <w:r w:rsidR="00494BB1">
              <w:t> </w:t>
            </w:r>
            <w:r>
              <w:t xml:space="preserve">1 Technical Guidance document? Are there particular data elements for which you consider additional guidance is required and what is the nature of the additional guidance required? </w:t>
            </w:r>
          </w:p>
        </w:tc>
      </w:tr>
      <w:tr w:rsidR="00F42F66" w14:paraId="7850E45C" w14:textId="77777777" w:rsidTr="0010427F">
        <w:trPr>
          <w:cantSplit/>
        </w:trPr>
        <w:tc>
          <w:tcPr>
            <w:tcW w:w="4536" w:type="dxa"/>
            <w:tcBorders>
              <w:bottom w:val="single" w:sz="4" w:space="0" w:color="999999"/>
            </w:tcBorders>
            <w:shd w:val="clear" w:color="auto" w:fill="auto"/>
          </w:tcPr>
          <w:p w14:paraId="1C0F2C77" w14:textId="77777777" w:rsidR="00F42F66" w:rsidRDefault="00F42F66" w:rsidP="00F42F66">
            <w:pPr>
              <w:pStyle w:val="tblProposaltext"/>
            </w:pPr>
            <w:r>
              <w:t>E6</w:t>
            </w:r>
            <w:r>
              <w:tab/>
              <w:t>We propose that the amended ASIC Rules (see Attachment 2) include:</w:t>
            </w:r>
          </w:p>
          <w:p w14:paraId="6BC29C6F" w14:textId="1037C712" w:rsidR="00F42F66" w:rsidRDefault="00F42F66" w:rsidP="00F42F66">
            <w:pPr>
              <w:pStyle w:val="tblProposalsubpara"/>
            </w:pPr>
            <w:r>
              <w:t>(a)</w:t>
            </w:r>
            <w:r>
              <w:tab/>
              <w:t>the new data elements ‘Underlier ID</w:t>
            </w:r>
            <w:r w:rsidR="00494BB1">
              <w:t>—</w:t>
            </w:r>
            <w:r>
              <w:t>non-UPI’ and ‘Underlier ID source—non-UPI’ with the meanings, formats and allowable values of items 81 and 82 respectively in Table S1.1(1) ‘Transaction information’;</w:t>
            </w:r>
          </w:p>
          <w:p w14:paraId="072A34DA" w14:textId="5ADA6347" w:rsidR="00F42F66" w:rsidRDefault="00F42F66" w:rsidP="00F42F66">
            <w:pPr>
              <w:pStyle w:val="tblProposalsubpara"/>
            </w:pPr>
            <w:r>
              <w:t>(b)</w:t>
            </w:r>
            <w:r>
              <w:tab/>
              <w:t>the new data elements ‘Identifier of the floating rate—Leg 2’, ‘Floating rate reference period—Leg 2’ and ‘Floating rate reference period multiplier—Leg 2’ with the meanings, formats and allowable values of items 84, 85 and 86 respectively in Table</w:t>
            </w:r>
            <w:r w:rsidR="00494BB1">
              <w:t> </w:t>
            </w:r>
            <w:r>
              <w:t>S1.1(1) ‘Transaction information’;</w:t>
            </w:r>
          </w:p>
          <w:p w14:paraId="5584DD71" w14:textId="5C76E046" w:rsidR="00F42F66" w:rsidRDefault="00F42F66" w:rsidP="00F42F66">
            <w:pPr>
              <w:pStyle w:val="tblProposalsubpara"/>
            </w:pPr>
            <w:r>
              <w:t>(c)</w:t>
            </w:r>
            <w:r>
              <w:tab/>
              <w:t>the new data elements ‘Next floating reference reset date—Leg 1’ and ‘Next floating reference reset date—Leg 2’ with the meanings, formats and allowable values of items 10 and 11 respectively in Table S1.1(2) ‘Valuation information’; and</w:t>
            </w:r>
          </w:p>
          <w:p w14:paraId="4B81B60D" w14:textId="1293D26B" w:rsidR="00F42F66" w:rsidRDefault="00F42F66" w:rsidP="00F42F66">
            <w:pPr>
              <w:pStyle w:val="tblProposalsubpara"/>
            </w:pPr>
            <w:r>
              <w:t>(d)</w:t>
            </w:r>
            <w:r>
              <w:tab/>
              <w:t xml:space="preserve">the new data element ‘Collateral timestamp’ with the meaning, format and allowable values of item 5 in Table S1.1(3) ‘Collateral information’. </w:t>
            </w:r>
          </w:p>
        </w:tc>
        <w:tc>
          <w:tcPr>
            <w:tcW w:w="4536" w:type="dxa"/>
            <w:tcBorders>
              <w:bottom w:val="single" w:sz="4" w:space="0" w:color="999999"/>
            </w:tcBorders>
            <w:shd w:val="clear" w:color="auto" w:fill="auto"/>
          </w:tcPr>
          <w:p w14:paraId="4A31ECA9" w14:textId="1FA8E934" w:rsidR="00F42F66" w:rsidRDefault="00F42F66" w:rsidP="00F42F66">
            <w:pPr>
              <w:pStyle w:val="tblFeedbackquestion"/>
            </w:pPr>
            <w:r>
              <w:t>E6Q1</w:t>
            </w:r>
            <w:r>
              <w:tab/>
              <w:t xml:space="preserve">Do you agree with this proposal? In your response, please give detailed reasons for your answer. </w:t>
            </w:r>
          </w:p>
        </w:tc>
      </w:tr>
      <w:tr w:rsidR="00F42F66" w14:paraId="23B2122E" w14:textId="77777777" w:rsidTr="0010427F">
        <w:trPr>
          <w:cantSplit/>
        </w:trPr>
        <w:tc>
          <w:tcPr>
            <w:tcW w:w="4536" w:type="dxa"/>
            <w:tcBorders>
              <w:bottom w:val="single" w:sz="4" w:space="0" w:color="999999"/>
            </w:tcBorders>
            <w:shd w:val="clear" w:color="auto" w:fill="auto"/>
          </w:tcPr>
          <w:p w14:paraId="300419C5" w14:textId="64ECE769" w:rsidR="00F42F66" w:rsidRDefault="00F42F66" w:rsidP="00F42F66">
            <w:pPr>
              <w:pStyle w:val="tblProposaltext"/>
            </w:pPr>
            <w:r>
              <w:t>F1</w:t>
            </w:r>
            <w:r>
              <w:tab/>
              <w:t xml:space="preserve">We propose to amend Rule 2.2.4 in the draft amended ASIC Rules to insert a requirement, with effect from 1 April 2024, that reporting entities report information in an ISO 20022 XML message. </w:t>
            </w:r>
          </w:p>
        </w:tc>
        <w:tc>
          <w:tcPr>
            <w:tcW w:w="4536" w:type="dxa"/>
            <w:tcBorders>
              <w:bottom w:val="single" w:sz="4" w:space="0" w:color="999999"/>
            </w:tcBorders>
            <w:shd w:val="clear" w:color="auto" w:fill="auto"/>
          </w:tcPr>
          <w:p w14:paraId="285D7083" w14:textId="33611123" w:rsidR="00F42F66" w:rsidRDefault="00F42F66" w:rsidP="00F42F66">
            <w:pPr>
              <w:pStyle w:val="tblFeedbackquestion"/>
            </w:pPr>
            <w:r>
              <w:t>F1Q1</w:t>
            </w:r>
            <w:r>
              <w:tab/>
              <w:t xml:space="preserve">Do you agree with this proposal? In your response, please give detailed reasons for your answer. </w:t>
            </w:r>
          </w:p>
        </w:tc>
      </w:tr>
      <w:tr w:rsidR="00F42F66" w14:paraId="000F3185" w14:textId="77777777" w:rsidTr="0010427F">
        <w:trPr>
          <w:cantSplit/>
        </w:trPr>
        <w:tc>
          <w:tcPr>
            <w:tcW w:w="4536" w:type="dxa"/>
            <w:tcBorders>
              <w:bottom w:val="single" w:sz="4" w:space="0" w:color="999999"/>
            </w:tcBorders>
            <w:shd w:val="clear" w:color="auto" w:fill="auto"/>
          </w:tcPr>
          <w:p w14:paraId="191CC4DB" w14:textId="77777777" w:rsidR="00F42F66" w:rsidRDefault="00F42F66" w:rsidP="00F42F66">
            <w:pPr>
              <w:pStyle w:val="tblProposaltext"/>
            </w:pPr>
            <w:r>
              <w:t>G1</w:t>
            </w:r>
            <w:r>
              <w:tab/>
              <w:t>We are making new proposals to:</w:t>
            </w:r>
          </w:p>
          <w:p w14:paraId="11B14B88" w14:textId="77777777" w:rsidR="00F42F66" w:rsidRDefault="00F42F66" w:rsidP="00F42F66">
            <w:pPr>
              <w:pStyle w:val="tblProposalsubpara"/>
            </w:pPr>
            <w:r>
              <w:t>(a)</w:t>
            </w:r>
            <w:r>
              <w:tab/>
              <w:t>clarify the meaning of a Part 7.2A Market;</w:t>
            </w:r>
          </w:p>
          <w:p w14:paraId="3D369705" w14:textId="142FCE11" w:rsidR="00F42F66" w:rsidRDefault="00F42F66" w:rsidP="00F42F66">
            <w:pPr>
              <w:pStyle w:val="tblProposalsubpara"/>
            </w:pPr>
            <w:r>
              <w:t>(b)</w:t>
            </w:r>
            <w:r>
              <w:tab/>
              <w:t>exclude from scope AFS licensees without relevant derivatives authorisations, consistent with reg 7.5A.50;</w:t>
            </w:r>
          </w:p>
          <w:p w14:paraId="6B225410" w14:textId="40317C8C" w:rsidR="00871EC1" w:rsidRDefault="00F42F66" w:rsidP="00F42F66">
            <w:pPr>
              <w:pStyle w:val="tblProposalsubpara"/>
            </w:pPr>
            <w:r>
              <w:t>(c)</w:t>
            </w:r>
            <w:r>
              <w:tab/>
              <w:t>exclude from scope clearing members in certain circumstances of an agency clearing model</w:t>
            </w:r>
            <w:r w:rsidR="00995A50">
              <w:t>;</w:t>
            </w:r>
            <w:r w:rsidR="00FE6099">
              <w:t xml:space="preserve"> and</w:t>
            </w:r>
            <w:r w:rsidR="00995A50">
              <w:t xml:space="preserve"> </w:t>
            </w:r>
          </w:p>
          <w:p w14:paraId="04D11A32" w14:textId="74F9EF9C" w:rsidR="00F42F66" w:rsidRDefault="00871EC1" w:rsidP="00F42F66">
            <w:pPr>
              <w:pStyle w:val="tblProposalsubpara"/>
            </w:pPr>
            <w:r>
              <w:t>(d)</w:t>
            </w:r>
            <w:r>
              <w:tab/>
            </w:r>
            <w:r w:rsidR="00203B89">
              <w:t>clarify that the OTC derivative transactions of a CCIV are reportable transactions</w:t>
            </w:r>
            <w:r w:rsidR="00FE6099">
              <w:t>.</w:t>
            </w:r>
          </w:p>
        </w:tc>
        <w:tc>
          <w:tcPr>
            <w:tcW w:w="4536" w:type="dxa"/>
            <w:tcBorders>
              <w:bottom w:val="single" w:sz="4" w:space="0" w:color="999999"/>
            </w:tcBorders>
            <w:shd w:val="clear" w:color="auto" w:fill="auto"/>
          </w:tcPr>
          <w:p w14:paraId="64E6A9DB" w14:textId="26D1A967" w:rsidR="00F42F66" w:rsidRDefault="00F42F66" w:rsidP="00F42F66">
            <w:pPr>
              <w:pStyle w:val="tblFeedbackquestion"/>
            </w:pPr>
            <w:r>
              <w:t>G1Q1</w:t>
            </w:r>
            <w:r>
              <w:tab/>
              <w:t xml:space="preserve">Do you agree with these proposals? In your response, please give detailed reasons for your answer. </w:t>
            </w:r>
          </w:p>
        </w:tc>
      </w:tr>
      <w:tr w:rsidR="00F42F66" w14:paraId="7B0F970D" w14:textId="77777777" w:rsidTr="0010427F">
        <w:trPr>
          <w:cantSplit/>
        </w:trPr>
        <w:tc>
          <w:tcPr>
            <w:tcW w:w="4536" w:type="dxa"/>
            <w:tcBorders>
              <w:bottom w:val="single" w:sz="4" w:space="0" w:color="999999"/>
            </w:tcBorders>
            <w:shd w:val="clear" w:color="auto" w:fill="auto"/>
          </w:tcPr>
          <w:p w14:paraId="37EC5AE3" w14:textId="00F23E89" w:rsidR="00F42F66" w:rsidRDefault="00F42F66" w:rsidP="00F42F66">
            <w:pPr>
              <w:pStyle w:val="tblProposaltext"/>
            </w:pPr>
            <w:r>
              <w:t>H1</w:t>
            </w:r>
            <w:r>
              <w:tab/>
              <w:t xml:space="preserve">We propose to revise Rule 2.2.7 in the draft remade ASIC Rules (see Attachment 1) to remove the ‘safe harbour’ provisions. </w:t>
            </w:r>
          </w:p>
        </w:tc>
        <w:tc>
          <w:tcPr>
            <w:tcW w:w="4536" w:type="dxa"/>
            <w:tcBorders>
              <w:bottom w:val="single" w:sz="4" w:space="0" w:color="999999"/>
            </w:tcBorders>
            <w:shd w:val="clear" w:color="auto" w:fill="auto"/>
          </w:tcPr>
          <w:p w14:paraId="03AB33DA" w14:textId="77777777" w:rsidR="00F42F66" w:rsidRDefault="00F42F66" w:rsidP="00F42F66">
            <w:pPr>
              <w:pStyle w:val="tblFeedbackquestion"/>
            </w:pPr>
            <w:r>
              <w:t>H1Q1</w:t>
            </w:r>
            <w:r>
              <w:tab/>
              <w:t>Do you agree with this proposal? In your response, please give detailed reasons for your answer.</w:t>
            </w:r>
          </w:p>
          <w:p w14:paraId="06A56BD2" w14:textId="77777777" w:rsidR="00F42F66" w:rsidRDefault="00F42F66" w:rsidP="00F42F66">
            <w:pPr>
              <w:pStyle w:val="tblFeedbackquestion"/>
            </w:pPr>
            <w:r>
              <w:t>H1Q2</w:t>
            </w:r>
            <w:r>
              <w:tab/>
              <w:t xml:space="preserve">What elements of revised RG 251 guidance would better assist reporting entities to understand their responsibilities and oversee their delegated reporting arrangements? </w:t>
            </w:r>
          </w:p>
          <w:p w14:paraId="3430219F" w14:textId="77777777" w:rsidR="00F42F66" w:rsidRDefault="00F42F66" w:rsidP="00F42F66">
            <w:pPr>
              <w:pStyle w:val="tblFeedbackquestion"/>
            </w:pPr>
            <w:r>
              <w:t>H1Q3</w:t>
            </w:r>
            <w:r>
              <w:tab/>
              <w:t xml:space="preserve">Do you agree that revised RG 251 guidance outlining our approach to reporting errors and breaches can assist in reducing reporting entities’ concerns about delegated reporting breaches in the absence of a ‘safe harbour’? </w:t>
            </w:r>
          </w:p>
          <w:p w14:paraId="05E4DA51" w14:textId="77777777" w:rsidR="00F42F66" w:rsidRDefault="00F42F66" w:rsidP="00F42F66">
            <w:pPr>
              <w:pStyle w:val="tblFeedbackquestion"/>
            </w:pPr>
            <w:r>
              <w:t>H1Q4</w:t>
            </w:r>
            <w:r>
              <w:tab/>
              <w:t>Are there any elements of revised RG 251 guidance that should be aligned with other regulatory requirements for outsourcing arrangements?</w:t>
            </w:r>
          </w:p>
          <w:p w14:paraId="016782BF" w14:textId="3B007549" w:rsidR="00F42F66" w:rsidRPr="009C6F38" w:rsidRDefault="00F42F66" w:rsidP="00F42F66">
            <w:pPr>
              <w:pStyle w:val="tblFeedbackquestion"/>
              <w:rPr>
                <w:sz w:val="16"/>
                <w:szCs w:val="16"/>
              </w:rPr>
            </w:pPr>
            <w:r>
              <w:tab/>
            </w:r>
            <w:r w:rsidRPr="009C6F38">
              <w:rPr>
                <w:sz w:val="16"/>
                <w:szCs w:val="16"/>
              </w:rPr>
              <w:t xml:space="preserve">Note: In our first consultation we sought to gather further information to inform this proposal. We note some respondents have pre-emptively addressed similar feedback questions in CP 334. This second consultation is intended to provide more information for your consideration and further feedback. </w:t>
            </w:r>
          </w:p>
        </w:tc>
      </w:tr>
      <w:tr w:rsidR="00F42F66" w14:paraId="79C31036" w14:textId="77777777" w:rsidTr="0010427F">
        <w:trPr>
          <w:cantSplit/>
        </w:trPr>
        <w:tc>
          <w:tcPr>
            <w:tcW w:w="4536" w:type="dxa"/>
            <w:shd w:val="clear" w:color="auto" w:fill="auto"/>
          </w:tcPr>
          <w:p w14:paraId="53A6A7ED" w14:textId="716363FA" w:rsidR="00F42F66" w:rsidRDefault="00F42F66" w:rsidP="00F42F66">
            <w:pPr>
              <w:pStyle w:val="tblProposaltext"/>
            </w:pPr>
            <w:r>
              <w:t>I1</w:t>
            </w:r>
            <w:r>
              <w:tab/>
              <w:t xml:space="preserve">We propose to change Rule 2.2.8 in the draft remade ASIC Rules to require that transactions in all products are reported on a lifecycle basis, except that small-scale buy-side entities may report transactions in other than equity derivatives on a snapshot basis. </w:t>
            </w:r>
          </w:p>
        </w:tc>
        <w:tc>
          <w:tcPr>
            <w:tcW w:w="4536" w:type="dxa"/>
            <w:shd w:val="clear" w:color="auto" w:fill="auto"/>
          </w:tcPr>
          <w:p w14:paraId="3B850950" w14:textId="3BFC2712" w:rsidR="00F42F66" w:rsidRDefault="00F42F66" w:rsidP="00F42F66">
            <w:pPr>
              <w:pStyle w:val="tblFeedbackquestion"/>
            </w:pPr>
            <w:r>
              <w:t>I1Q1</w:t>
            </w:r>
            <w:r>
              <w:tab/>
              <w:t xml:space="preserve">Do you agree with this proposal? In your response, please give detailed reasons for your answer. </w:t>
            </w:r>
          </w:p>
        </w:tc>
      </w:tr>
      <w:tr w:rsidR="00737786" w14:paraId="4D561B5C" w14:textId="77777777" w:rsidTr="0010427F">
        <w:trPr>
          <w:cantSplit/>
        </w:trPr>
        <w:tc>
          <w:tcPr>
            <w:tcW w:w="4536" w:type="dxa"/>
            <w:shd w:val="clear" w:color="auto" w:fill="auto"/>
          </w:tcPr>
          <w:p w14:paraId="05920D04" w14:textId="77777777" w:rsidR="00737786" w:rsidRDefault="00737786" w:rsidP="00F42F66">
            <w:pPr>
              <w:pStyle w:val="tblProposaltext"/>
            </w:pPr>
          </w:p>
        </w:tc>
        <w:tc>
          <w:tcPr>
            <w:tcW w:w="4536" w:type="dxa"/>
            <w:shd w:val="clear" w:color="auto" w:fill="auto"/>
          </w:tcPr>
          <w:p w14:paraId="4F09FDB0" w14:textId="77777777" w:rsidR="00737786" w:rsidRDefault="00737786" w:rsidP="00F42F66">
            <w:pPr>
              <w:pStyle w:val="tblFeedbackquestion"/>
            </w:pPr>
          </w:p>
        </w:tc>
      </w:tr>
    </w:tbl>
    <w:p w14:paraId="76F2C856" w14:textId="77777777" w:rsidR="00FC511F" w:rsidRDefault="00FC511F" w:rsidP="00F23C71">
      <w:pPr>
        <w:pStyle w:val="Bodytextplain"/>
      </w:pPr>
    </w:p>
    <w:sectPr w:rsidR="00FC511F" w:rsidSect="00FC511F">
      <w:headerReference w:type="default" r:id="rId204"/>
      <w:footerReference w:type="default" r:id="rId205"/>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988E" w14:textId="77777777" w:rsidR="00096A20" w:rsidRDefault="00096A20">
      <w:r>
        <w:separator/>
      </w:r>
    </w:p>
  </w:endnote>
  <w:endnote w:type="continuationSeparator" w:id="0">
    <w:p w14:paraId="115C92EC" w14:textId="77777777" w:rsidR="00096A20" w:rsidRDefault="00096A20">
      <w:r>
        <w:continuationSeparator/>
      </w:r>
    </w:p>
  </w:endnote>
  <w:endnote w:type="continuationNotice" w:id="1">
    <w:p w14:paraId="05503AE1" w14:textId="77777777" w:rsidR="00096A20" w:rsidRDefault="00096A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 LT 55 Roman">
    <w:altName w:val="Arial"/>
    <w:charset w:val="00"/>
    <w:family w:val="auto"/>
    <w:pitch w:val="variable"/>
    <w:sig w:usb0="80000027" w:usb1="00000000" w:usb2="00000000" w:usb3="00000000" w:csb0="00000001" w:csb1="00000000"/>
  </w:font>
  <w:font w:name="Ruda">
    <w:altName w:val="Cambria"/>
    <w:panose1 w:val="00000000000000000000"/>
    <w:charset w:val="0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91A9" w14:textId="77777777" w:rsidR="00C41A0B" w:rsidRDefault="00C41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D59F789" w14:textId="77777777" w:rsidR="00C41A0B" w:rsidRDefault="00C41A0B">
    <w:pPr>
      <w:pStyle w:val="Footer"/>
      <w:ind w:right="360"/>
    </w:pPr>
  </w:p>
  <w:p w14:paraId="4F79EF0D" w14:textId="77777777" w:rsidR="00C41A0B" w:rsidRDefault="00C41A0B"/>
  <w:p w14:paraId="13D4ACFA" w14:textId="77777777" w:rsidR="00C41A0B" w:rsidRDefault="00C41A0B"/>
  <w:p w14:paraId="60FCB1D5" w14:textId="77777777" w:rsidR="00C41A0B" w:rsidRDefault="00C41A0B"/>
  <w:p w14:paraId="593F2F5D" w14:textId="77777777" w:rsidR="00C41A0B" w:rsidRDefault="00C41A0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F509" w14:textId="6A85B640" w:rsidR="00C41A0B" w:rsidRDefault="00C41A0B" w:rsidP="00912D27">
    <w:pPr>
      <w:pStyle w:val="Footer"/>
      <w:pBdr>
        <w:top w:val="single" w:sz="4" w:space="0" w:color="117DC7"/>
      </w:pBdr>
      <w:tabs>
        <w:tab w:val="clear" w:pos="9070"/>
        <w:tab w:val="left" w:pos="12960"/>
        <w:tab w:val="right" w:pos="13750"/>
      </w:tabs>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200</w:t>
    </w:r>
    <w:r w:rsidRPr="008E7490">
      <w:rPr>
        <w:b/>
        <w:bCs/>
        <w:color w:val="117DC7"/>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A73D" w14:textId="77777777" w:rsidR="00C41A0B" w:rsidRDefault="00C41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1997AB2" w14:textId="77777777" w:rsidR="00C41A0B" w:rsidRDefault="00C41A0B">
    <w:pPr>
      <w:pStyle w:val="Footer"/>
      <w:ind w:right="360"/>
    </w:pPr>
  </w:p>
  <w:p w14:paraId="6804C698" w14:textId="77777777" w:rsidR="00C41A0B" w:rsidRDefault="00C41A0B"/>
  <w:p w14:paraId="1A43A8F3" w14:textId="77777777" w:rsidR="00C41A0B" w:rsidRDefault="00C41A0B"/>
  <w:p w14:paraId="30B5277A" w14:textId="77777777" w:rsidR="00C41A0B" w:rsidRDefault="00C41A0B"/>
  <w:p w14:paraId="30B84BD0" w14:textId="77777777" w:rsidR="00C41A0B" w:rsidRDefault="00C41A0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4D27" w14:textId="61C2FB03" w:rsidR="00C41A0B" w:rsidRDefault="00C41A0B" w:rsidP="003E7C2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205</w:t>
    </w:r>
    <w:r w:rsidRPr="008E7490">
      <w:rPr>
        <w:b/>
        <w:bCs/>
        <w:color w:val="117DC7"/>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5E53" w14:textId="08FDAEE0" w:rsidR="00C41A0B" w:rsidRDefault="00C41A0B" w:rsidP="003E7C2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73396D">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205</w:t>
    </w:r>
    <w:r w:rsidRPr="008E7490">
      <w:rPr>
        <w:b/>
        <w:bCs/>
        <w:color w:val="117DC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1A50" w14:textId="3602B74C" w:rsidR="00C41A0B" w:rsidRDefault="00C41A0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13</w:t>
    </w:r>
    <w:r>
      <w:rPr>
        <w:rStyle w:val="PageNumbe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B654" w14:textId="77777777" w:rsidR="00C41A0B" w:rsidRDefault="00C41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3CB7F25" w14:textId="77777777" w:rsidR="00C41A0B" w:rsidRDefault="00C41A0B">
    <w:pPr>
      <w:pStyle w:val="Footer"/>
      <w:ind w:right="360"/>
    </w:pPr>
  </w:p>
  <w:p w14:paraId="20D984FC" w14:textId="77777777" w:rsidR="00C41A0B" w:rsidRDefault="00C41A0B"/>
  <w:p w14:paraId="53CF8984" w14:textId="77777777" w:rsidR="00C41A0B" w:rsidRDefault="00C41A0B"/>
  <w:p w14:paraId="5BDB8237" w14:textId="77777777" w:rsidR="00C41A0B" w:rsidRDefault="00C41A0B"/>
  <w:p w14:paraId="0F1F5C17" w14:textId="77777777" w:rsidR="00C41A0B" w:rsidRDefault="00C41A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FC6" w14:textId="3C96FEC4" w:rsidR="00C41A0B" w:rsidRPr="00F95F96" w:rsidRDefault="00C41A0B" w:rsidP="00F95F96">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1</w:t>
    </w:r>
    <w:r w:rsidRPr="008E7490">
      <w:rPr>
        <w:b/>
        <w:bCs/>
        <w:color w:val="117DC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E2C2" w14:textId="4F106784" w:rsidR="00C41A0B" w:rsidRDefault="00C41A0B" w:rsidP="009E103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11</w:t>
    </w:r>
    <w:r w:rsidRPr="008E7490">
      <w:rPr>
        <w:b/>
        <w:bCs/>
        <w:color w:val="117DC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B799" w14:textId="77777777" w:rsidR="00C41A0B" w:rsidRDefault="00C41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A9F50F5" w14:textId="77777777" w:rsidR="00C41A0B" w:rsidRDefault="00C41A0B">
    <w:pPr>
      <w:pStyle w:val="Footer"/>
      <w:ind w:right="360"/>
    </w:pPr>
  </w:p>
  <w:p w14:paraId="0CF1A1D2" w14:textId="77777777" w:rsidR="00C41A0B" w:rsidRDefault="00C41A0B"/>
  <w:p w14:paraId="2CD9AE76" w14:textId="77777777" w:rsidR="00C41A0B" w:rsidRDefault="00C41A0B"/>
  <w:p w14:paraId="3606AF0C" w14:textId="77777777" w:rsidR="00C41A0B" w:rsidRDefault="00C41A0B"/>
  <w:p w14:paraId="39763275" w14:textId="77777777" w:rsidR="00C41A0B" w:rsidRDefault="00C41A0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ACED" w14:textId="4FBD4DE4" w:rsidR="00C41A0B" w:rsidRDefault="00C41A0B" w:rsidP="00EB77F0">
    <w:pPr>
      <w:pStyle w:val="Footer"/>
      <w:pBdr>
        <w:top w:val="single" w:sz="4" w:space="0" w:color="117DC7"/>
      </w:pBdr>
      <w:tabs>
        <w:tab w:val="clear" w:pos="9070"/>
        <w:tab w:val="left" w:pos="12960"/>
        <w:tab w:val="right" w:pos="13750"/>
      </w:tabs>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12</w:t>
    </w:r>
    <w:r w:rsidRPr="008E7490">
      <w:rPr>
        <w:b/>
        <w:bCs/>
        <w:color w:val="117DC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A99A" w14:textId="7BD1F1A6" w:rsidR="00C41A0B" w:rsidRDefault="00C41A0B" w:rsidP="00FC7021">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May 2022</w:t>
    </w:r>
    <w:r>
      <w:rPr>
        <w:color w:val="117DC7"/>
      </w:rPr>
      <w:fldChar w:fldCharType="end"/>
    </w:r>
    <w:r>
      <w:rPr>
        <w:color w:val="117DC7"/>
      </w:rPr>
      <w:tab/>
      <w:t>Page</w:t>
    </w:r>
    <w:r w:rsidRPr="008E7490">
      <w:rPr>
        <w:b/>
        <w:bCs/>
        <w:color w:val="117DC7"/>
      </w:rPr>
      <w:t xml:space="preserve"> </w:t>
    </w:r>
    <w:r w:rsidRPr="008E7490">
      <w:rPr>
        <w:b/>
        <w:bCs/>
        <w:color w:val="117DC7"/>
      </w:rPr>
      <w:fldChar w:fldCharType="begin"/>
    </w:r>
    <w:r w:rsidRPr="008E7490">
      <w:rPr>
        <w:b/>
        <w:bCs/>
        <w:color w:val="117DC7"/>
      </w:rPr>
      <w:instrText xml:space="preserve"> PAGE  \* Arabic  \* MERGEFORMAT </w:instrText>
    </w:r>
    <w:r w:rsidRPr="008E7490">
      <w:rPr>
        <w:b/>
        <w:bCs/>
        <w:color w:val="117DC7"/>
      </w:rPr>
      <w:fldChar w:fldCharType="separate"/>
    </w:r>
    <w:r>
      <w:rPr>
        <w:b/>
        <w:bCs/>
        <w:color w:val="117DC7"/>
      </w:rPr>
      <w:t>198</w:t>
    </w:r>
    <w:r w:rsidRPr="008E7490">
      <w:rPr>
        <w:b/>
        <w:bCs/>
        <w:color w:val="117DC7"/>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1700" w14:textId="77777777" w:rsidR="00C41A0B" w:rsidRDefault="00C41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11F10CD" w14:textId="77777777" w:rsidR="00C41A0B" w:rsidRDefault="00C41A0B">
    <w:pPr>
      <w:pStyle w:val="Footer"/>
      <w:ind w:right="360"/>
    </w:pPr>
  </w:p>
  <w:p w14:paraId="1FD44BFD" w14:textId="77777777" w:rsidR="00C41A0B" w:rsidRDefault="00C41A0B"/>
  <w:p w14:paraId="2E73E646" w14:textId="77777777" w:rsidR="00C41A0B" w:rsidRDefault="00C41A0B"/>
  <w:p w14:paraId="2F55C90F" w14:textId="77777777" w:rsidR="00C41A0B" w:rsidRDefault="00C41A0B"/>
  <w:p w14:paraId="090F1A6F" w14:textId="77777777" w:rsidR="00C41A0B" w:rsidRDefault="00C41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51E7" w14:textId="77777777" w:rsidR="00096A20" w:rsidRDefault="00096A20">
      <w:r>
        <w:separator/>
      </w:r>
    </w:p>
  </w:footnote>
  <w:footnote w:type="continuationSeparator" w:id="0">
    <w:p w14:paraId="225F26F7" w14:textId="77777777" w:rsidR="00096A20" w:rsidRDefault="00096A20">
      <w:r>
        <w:continuationSeparator/>
      </w:r>
    </w:p>
  </w:footnote>
  <w:footnote w:type="continuationNotice" w:id="1">
    <w:p w14:paraId="7818D9FC" w14:textId="77777777" w:rsidR="00096A20" w:rsidRDefault="00096A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714D" w14:textId="77777777" w:rsidR="00C41A0B" w:rsidRDefault="00C41A0B"/>
  <w:p w14:paraId="696B626C" w14:textId="77777777" w:rsidR="00C41A0B" w:rsidRDefault="00C41A0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CF20" w14:textId="77777777" w:rsidR="00C41A0B" w:rsidRDefault="00C41A0B">
    <w:pPr>
      <w:pStyle w:val="Header"/>
      <w:pBdr>
        <w:bottom w:val="none" w:sz="0" w:space="0" w:color="auto"/>
      </w:pBdr>
      <w:jc w:val="center"/>
      <w:rPr>
        <w:b/>
        <w:bCs/>
        <w:color w:val="C0C0C0"/>
        <w:sz w:val="48"/>
        <w:lang w:val="en-US"/>
      </w:rPr>
    </w:pPr>
    <w:r>
      <w:rPr>
        <w:b/>
        <w:bCs/>
        <w:color w:val="C0C0C0"/>
        <w:sz w:val="48"/>
        <w:lang w:val="en-US"/>
      </w:rPr>
      <w:t>DRAFT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A48E" w14:textId="0E9F05E0" w:rsidR="00C41A0B" w:rsidRPr="008E3B37" w:rsidRDefault="00C41A0B" w:rsidP="008E3B37">
    <w:pPr>
      <w:pStyle w:val="Footer"/>
      <w:pBdr>
        <w:bottom w:val="single" w:sz="4" w:space="1" w:color="0072CE"/>
      </w:pBdr>
      <w:rPr>
        <w:color w:val="0072CE"/>
        <w:spacing w:val="-4"/>
      </w:rPr>
    </w:pPr>
    <w:r w:rsidRPr="008E3B37">
      <w:rPr>
        <w:color w:val="0072CE"/>
        <w:spacing w:val="-4"/>
      </w:rPr>
      <w:fldChar w:fldCharType="begin"/>
    </w:r>
    <w:r w:rsidRPr="008E3B37">
      <w:rPr>
        <w:color w:val="0072CE"/>
        <w:spacing w:val="-4"/>
      </w:rPr>
      <w:instrText xml:space="preserve"> DOCPROPERTY  "Document type"  \* MERGEFORMAT </w:instrText>
    </w:r>
    <w:r w:rsidRPr="008E3B37">
      <w:rPr>
        <w:color w:val="0072CE"/>
        <w:spacing w:val="-4"/>
      </w:rPr>
      <w:fldChar w:fldCharType="separate"/>
    </w:r>
    <w:r w:rsidRPr="006679BA">
      <w:rPr>
        <w:caps/>
        <w:color w:val="0072CE"/>
        <w:spacing w:val="-4"/>
      </w:rPr>
      <w:t>CONSULTATION PAPER</w:t>
    </w:r>
    <w:r w:rsidRPr="008E3B37">
      <w:rPr>
        <w:caps/>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num"  \* MERGEFORMAT </w:instrText>
    </w:r>
    <w:r w:rsidRPr="008E3B37">
      <w:rPr>
        <w:color w:val="0072CE"/>
        <w:spacing w:val="-4"/>
      </w:rPr>
      <w:fldChar w:fldCharType="separate"/>
    </w:r>
    <w:r>
      <w:rPr>
        <w:color w:val="0072CE"/>
        <w:spacing w:val="-4"/>
      </w:rPr>
      <w:t>361</w:t>
    </w:r>
    <w:r w:rsidRPr="008E3B37">
      <w:rPr>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title"  \* charformat </w:instrText>
    </w:r>
    <w:r w:rsidRPr="008E3B37">
      <w:rPr>
        <w:color w:val="0072CE"/>
        <w:spacing w:val="-4"/>
      </w:rPr>
      <w:fldChar w:fldCharType="separate"/>
    </w:r>
    <w:r>
      <w:rPr>
        <w:color w:val="0072CE"/>
        <w:spacing w:val="-4"/>
      </w:rPr>
      <w:t>Proposed changes to simplify the ASIC Derivative Transaction Rules (Reporting): Second consultation</w:t>
    </w:r>
    <w:r w:rsidRPr="008E3B37">
      <w:rPr>
        <w:color w:val="0072CE"/>
        <w:spacing w:val="-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6523" w14:textId="77777777" w:rsidR="00C41A0B" w:rsidRDefault="00C41A0B"/>
  <w:p w14:paraId="7188D7DD" w14:textId="77777777" w:rsidR="00C41A0B" w:rsidRDefault="00C41A0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633F" w14:textId="77A7009B" w:rsidR="00C41A0B" w:rsidRPr="008E3B37" w:rsidRDefault="00C41A0B" w:rsidP="00926F8F">
    <w:pPr>
      <w:pStyle w:val="Footer"/>
      <w:pBdr>
        <w:bottom w:val="single" w:sz="4" w:space="1" w:color="0072CE"/>
      </w:pBdr>
      <w:jc w:val="right"/>
      <w:rPr>
        <w:color w:val="0072CE"/>
        <w:spacing w:val="-4"/>
      </w:rPr>
    </w:pPr>
    <w:r w:rsidRPr="008E3B37">
      <w:rPr>
        <w:color w:val="0072CE"/>
        <w:spacing w:val="-4"/>
      </w:rPr>
      <w:fldChar w:fldCharType="begin"/>
    </w:r>
    <w:r w:rsidRPr="008E3B37">
      <w:rPr>
        <w:color w:val="0072CE"/>
        <w:spacing w:val="-4"/>
      </w:rPr>
      <w:instrText xml:space="preserve"> DOCPROPERTY  "Document type"  \* MERGEFORMAT </w:instrText>
    </w:r>
    <w:r w:rsidRPr="008E3B37">
      <w:rPr>
        <w:color w:val="0072CE"/>
        <w:spacing w:val="-4"/>
      </w:rPr>
      <w:fldChar w:fldCharType="separate"/>
    </w:r>
    <w:r w:rsidRPr="006679BA">
      <w:rPr>
        <w:caps/>
        <w:color w:val="0072CE"/>
        <w:spacing w:val="-4"/>
      </w:rPr>
      <w:t>CONSULTATION PAPER</w:t>
    </w:r>
    <w:r w:rsidRPr="008E3B37">
      <w:rPr>
        <w:caps/>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num"  \* MERGEFORMAT </w:instrText>
    </w:r>
    <w:r w:rsidRPr="008E3B37">
      <w:rPr>
        <w:color w:val="0072CE"/>
        <w:spacing w:val="-4"/>
      </w:rPr>
      <w:fldChar w:fldCharType="separate"/>
    </w:r>
    <w:r>
      <w:rPr>
        <w:color w:val="0072CE"/>
        <w:spacing w:val="-4"/>
      </w:rPr>
      <w:t>361</w:t>
    </w:r>
    <w:r w:rsidRPr="008E3B37">
      <w:rPr>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title"  \* charformat </w:instrText>
    </w:r>
    <w:r w:rsidRPr="008E3B37">
      <w:rPr>
        <w:color w:val="0072CE"/>
        <w:spacing w:val="-4"/>
      </w:rPr>
      <w:fldChar w:fldCharType="separate"/>
    </w:r>
    <w:r>
      <w:rPr>
        <w:color w:val="0072CE"/>
        <w:spacing w:val="-4"/>
      </w:rPr>
      <w:t>Proposed changes to simplify the ASIC Derivative Transaction Rules (Reporting): Second consultation</w:t>
    </w:r>
    <w:r w:rsidRPr="008E3B37">
      <w:rPr>
        <w:color w:val="0072CE"/>
        <w:spacing w:val="-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BB9" w14:textId="77777777" w:rsidR="00C41A0B" w:rsidRDefault="00C41A0B">
    <w:pPr>
      <w:pStyle w:val="Header"/>
      <w:pBdr>
        <w:bottom w:val="none" w:sz="0" w:space="0" w:color="auto"/>
      </w:pBdr>
      <w:jc w:val="center"/>
      <w:rPr>
        <w:b/>
        <w:bCs/>
        <w:color w:val="C0C0C0"/>
        <w:sz w:val="48"/>
        <w:lang w:val="en-US"/>
      </w:rPr>
    </w:pPr>
    <w:r>
      <w:rPr>
        <w:b/>
        <w:bCs/>
        <w:color w:val="C0C0C0"/>
        <w:sz w:val="48"/>
        <w:lang w:val="en-US"/>
      </w:rPr>
      <w:t>DRAFT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497E" w14:textId="77777777" w:rsidR="00C41A0B" w:rsidRDefault="00C41A0B"/>
  <w:p w14:paraId="27144E40" w14:textId="77777777" w:rsidR="00C41A0B" w:rsidRDefault="00C41A0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591E" w14:textId="42F4C8E2" w:rsidR="00C41A0B" w:rsidRPr="008E3B37" w:rsidRDefault="00C41A0B" w:rsidP="00926F8F">
    <w:pPr>
      <w:pStyle w:val="Footer"/>
      <w:pBdr>
        <w:bottom w:val="single" w:sz="4" w:space="1" w:color="0072CE"/>
      </w:pBdr>
      <w:jc w:val="right"/>
      <w:rPr>
        <w:color w:val="0072CE"/>
        <w:spacing w:val="-4"/>
      </w:rPr>
    </w:pPr>
    <w:r w:rsidRPr="008E3B37">
      <w:rPr>
        <w:color w:val="0072CE"/>
        <w:spacing w:val="-4"/>
      </w:rPr>
      <w:fldChar w:fldCharType="begin"/>
    </w:r>
    <w:r w:rsidRPr="008E3B37">
      <w:rPr>
        <w:color w:val="0072CE"/>
        <w:spacing w:val="-4"/>
      </w:rPr>
      <w:instrText xml:space="preserve"> DOCPROPERTY  "Document type"  \* MERGEFORMAT </w:instrText>
    </w:r>
    <w:r w:rsidRPr="008E3B37">
      <w:rPr>
        <w:color w:val="0072CE"/>
        <w:spacing w:val="-4"/>
      </w:rPr>
      <w:fldChar w:fldCharType="separate"/>
    </w:r>
    <w:r w:rsidR="0073396D" w:rsidRPr="0073396D">
      <w:rPr>
        <w:caps/>
        <w:color w:val="0072CE"/>
        <w:spacing w:val="-4"/>
      </w:rPr>
      <w:t>CONSULTATION PAPER</w:t>
    </w:r>
    <w:r w:rsidRPr="008E3B37">
      <w:rPr>
        <w:caps/>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num"  \* MERGEFORMAT </w:instrText>
    </w:r>
    <w:r w:rsidRPr="008E3B37">
      <w:rPr>
        <w:color w:val="0072CE"/>
        <w:spacing w:val="-4"/>
      </w:rPr>
      <w:fldChar w:fldCharType="separate"/>
    </w:r>
    <w:r w:rsidR="0073396D">
      <w:rPr>
        <w:color w:val="0072CE"/>
        <w:spacing w:val="-4"/>
      </w:rPr>
      <w:t>361</w:t>
    </w:r>
    <w:r w:rsidRPr="008E3B37">
      <w:rPr>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title"  \* charformat </w:instrText>
    </w:r>
    <w:r w:rsidRPr="008E3B37">
      <w:rPr>
        <w:color w:val="0072CE"/>
        <w:spacing w:val="-4"/>
      </w:rPr>
      <w:fldChar w:fldCharType="separate"/>
    </w:r>
    <w:r w:rsidR="0073396D">
      <w:rPr>
        <w:color w:val="0072CE"/>
        <w:spacing w:val="-4"/>
      </w:rPr>
      <w:t>Proposed changes to simplify the ASIC Derivative Transaction Rules (Reporting): Second consultation</w:t>
    </w:r>
    <w:r w:rsidRPr="008E3B37">
      <w:rPr>
        <w:color w:val="0072CE"/>
        <w:spacing w:val="-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A788" w14:textId="77777777" w:rsidR="00C41A0B" w:rsidRDefault="00C41A0B">
    <w:pPr>
      <w:pStyle w:val="Header"/>
      <w:pBdr>
        <w:bottom w:val="none" w:sz="0" w:space="0" w:color="auto"/>
      </w:pBdr>
      <w:jc w:val="center"/>
      <w:rPr>
        <w:b/>
        <w:bCs/>
        <w:color w:val="C0C0C0"/>
        <w:sz w:val="48"/>
        <w:lang w:val="en-US"/>
      </w:rPr>
    </w:pPr>
    <w:r>
      <w:rPr>
        <w:b/>
        <w:bCs/>
        <w:color w:val="C0C0C0"/>
        <w:sz w:val="48"/>
        <w:lang w:val="en-US"/>
      </w:rPr>
      <w:t>DRAFT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21D9" w14:textId="0BD77813" w:rsidR="00C41A0B" w:rsidRPr="008E3B37" w:rsidRDefault="00C41A0B" w:rsidP="008E3B37">
    <w:pPr>
      <w:pStyle w:val="Footer"/>
      <w:pBdr>
        <w:bottom w:val="single" w:sz="4" w:space="1" w:color="0072CE"/>
      </w:pBdr>
      <w:rPr>
        <w:color w:val="0072CE"/>
        <w:spacing w:val="-4"/>
      </w:rPr>
    </w:pPr>
    <w:r w:rsidRPr="008E3B37">
      <w:rPr>
        <w:color w:val="0072CE"/>
        <w:spacing w:val="-4"/>
      </w:rPr>
      <w:fldChar w:fldCharType="begin"/>
    </w:r>
    <w:r w:rsidRPr="008E3B37">
      <w:rPr>
        <w:color w:val="0072CE"/>
        <w:spacing w:val="-4"/>
      </w:rPr>
      <w:instrText xml:space="preserve"> DOCPROPERTY  "Document type"  \* MERGEFORMAT </w:instrText>
    </w:r>
    <w:r w:rsidRPr="008E3B37">
      <w:rPr>
        <w:color w:val="0072CE"/>
        <w:spacing w:val="-4"/>
      </w:rPr>
      <w:fldChar w:fldCharType="separate"/>
    </w:r>
    <w:r w:rsidRPr="006679BA">
      <w:rPr>
        <w:caps/>
        <w:color w:val="0072CE"/>
        <w:spacing w:val="-4"/>
      </w:rPr>
      <w:t>CONSULTATION PAPER</w:t>
    </w:r>
    <w:r w:rsidRPr="008E3B37">
      <w:rPr>
        <w:caps/>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num"  \* MERGEFORMAT </w:instrText>
    </w:r>
    <w:r w:rsidRPr="008E3B37">
      <w:rPr>
        <w:color w:val="0072CE"/>
        <w:spacing w:val="-4"/>
      </w:rPr>
      <w:fldChar w:fldCharType="separate"/>
    </w:r>
    <w:r>
      <w:rPr>
        <w:color w:val="0072CE"/>
        <w:spacing w:val="-4"/>
      </w:rPr>
      <w:t>361</w:t>
    </w:r>
    <w:r w:rsidRPr="008E3B37">
      <w:rPr>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title"  \* charformat </w:instrText>
    </w:r>
    <w:r w:rsidRPr="008E3B37">
      <w:rPr>
        <w:color w:val="0072CE"/>
        <w:spacing w:val="-4"/>
      </w:rPr>
      <w:fldChar w:fldCharType="separate"/>
    </w:r>
    <w:r>
      <w:rPr>
        <w:color w:val="0072CE"/>
        <w:spacing w:val="-4"/>
      </w:rPr>
      <w:t>Proposed changes to simplify the ASIC Derivative Transaction Rules (Reporting): Second consultation</w:t>
    </w:r>
    <w:r w:rsidRPr="008E3B37">
      <w:rPr>
        <w:color w:val="0072CE"/>
        <w:spacing w:val="-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452D" w14:textId="1C825405" w:rsidR="00C41A0B" w:rsidRDefault="00C41A0B">
    <w:pPr>
      <w:pStyle w:val="Footer"/>
      <w:pBdr>
        <w:bottom w:val="single" w:sz="4" w:space="1" w:color="117DC7"/>
      </w:pBdr>
      <w:jc w:val="right"/>
      <w:rPr>
        <w:color w:val="117DC7"/>
      </w:rPr>
    </w:pPr>
    <w:r>
      <w:tab/>
    </w:r>
    <w:r>
      <w:rPr>
        <w:caps/>
        <w:color w:val="117DC7"/>
      </w:rPr>
      <w:fldChar w:fldCharType="begin"/>
    </w:r>
    <w:r>
      <w:rPr>
        <w:caps/>
        <w:color w:val="117DC7"/>
      </w:rPr>
      <w:instrText xml:space="preserve"> DOCPROPERTY  "Document type"  \* MERGEFORMAT </w:instrText>
    </w:r>
    <w:r>
      <w:rPr>
        <w:caps/>
        <w:color w:val="117DC7"/>
      </w:rPr>
      <w:fldChar w:fldCharType="separate"/>
    </w:r>
    <w:r>
      <w:rPr>
        <w:caps/>
        <w:color w:val="117DC7"/>
      </w:rPr>
      <w:t>CONSULTATION PAPER</w:t>
    </w:r>
    <w:r>
      <w:rPr>
        <w:caps/>
        <w:color w:val="117DC7"/>
      </w:rPr>
      <w:fldChar w:fldCharType="end"/>
    </w:r>
    <w:r>
      <w:rPr>
        <w:color w:val="117DC7"/>
      </w:rPr>
      <w:t xml:space="preserve"> </w:t>
    </w:r>
    <w:r>
      <w:rPr>
        <w:color w:val="117DC7"/>
      </w:rPr>
      <w:fldChar w:fldCharType="begin"/>
    </w:r>
    <w:r>
      <w:rPr>
        <w:color w:val="117DC7"/>
      </w:rPr>
      <w:instrText xml:space="preserve"> DOCPROPERTY  "Document num"  \* MERGEFORMAT </w:instrText>
    </w:r>
    <w:r>
      <w:rPr>
        <w:color w:val="117DC7"/>
      </w:rPr>
      <w:fldChar w:fldCharType="separate"/>
    </w:r>
    <w:r>
      <w:rPr>
        <w:color w:val="117DC7"/>
      </w:rPr>
      <w:t>361</w:t>
    </w:r>
    <w:r>
      <w:rPr>
        <w:color w:val="117DC7"/>
      </w:rPr>
      <w:fldChar w:fldCharType="end"/>
    </w:r>
    <w:r>
      <w:rPr>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Pr>
        <w:color w:val="117DC7"/>
      </w:rPr>
      <w:t>Proposed changes to simplify the ASIC Derivative Transaction Rules (Reporting): Second consultation</w:t>
    </w:r>
    <w:r>
      <w:rPr>
        <w:color w:val="117DC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F8F5" w14:textId="67FA6EFB" w:rsidR="00C41A0B" w:rsidRDefault="00C41A0B" w:rsidP="00414BEA">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854E" w14:textId="77777777" w:rsidR="00C41A0B" w:rsidRDefault="00C41A0B"/>
  <w:p w14:paraId="7EEBC717" w14:textId="77777777" w:rsidR="00C41A0B" w:rsidRDefault="00C41A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01A9" w14:textId="210D4A61" w:rsidR="00C41A0B" w:rsidRPr="008E3B37" w:rsidRDefault="00C41A0B" w:rsidP="00B110C1">
    <w:pPr>
      <w:pStyle w:val="Footer"/>
      <w:pBdr>
        <w:bottom w:val="single" w:sz="4" w:space="1" w:color="0072CE"/>
      </w:pBdr>
      <w:jc w:val="right"/>
      <w:rPr>
        <w:color w:val="0072CE"/>
        <w:spacing w:val="-4"/>
      </w:rPr>
    </w:pPr>
    <w:r w:rsidRPr="00B110C1">
      <w:rPr>
        <w:color w:val="0072CE"/>
        <w:spacing w:val="-4"/>
      </w:rPr>
      <w:fldChar w:fldCharType="begin"/>
    </w:r>
    <w:r w:rsidRPr="00B110C1">
      <w:rPr>
        <w:color w:val="0072CE"/>
        <w:spacing w:val="-4"/>
      </w:rPr>
      <w:instrText xml:space="preserve"> DOCPROPERTY  "Document type"  \* MERGEFORMAT </w:instrText>
    </w:r>
    <w:r w:rsidRPr="00B110C1">
      <w:rPr>
        <w:color w:val="0072CE"/>
        <w:spacing w:val="-4"/>
      </w:rPr>
      <w:fldChar w:fldCharType="separate"/>
    </w:r>
    <w:r w:rsidRPr="006679BA">
      <w:rPr>
        <w:caps/>
        <w:color w:val="0072CE"/>
        <w:spacing w:val="-4"/>
      </w:rPr>
      <w:t>CONSULTATION PAPER</w:t>
    </w:r>
    <w:r w:rsidRPr="00B110C1">
      <w:rPr>
        <w:caps/>
        <w:color w:val="0072CE"/>
        <w:spacing w:val="-4"/>
      </w:rPr>
      <w:fldChar w:fldCharType="end"/>
    </w:r>
    <w:r w:rsidRPr="00B110C1">
      <w:rPr>
        <w:color w:val="0072CE"/>
        <w:spacing w:val="-4"/>
      </w:rPr>
      <w:t xml:space="preserve"> </w:t>
    </w:r>
    <w:r w:rsidRPr="00B110C1">
      <w:rPr>
        <w:color w:val="0072CE"/>
        <w:spacing w:val="-4"/>
      </w:rPr>
      <w:fldChar w:fldCharType="begin"/>
    </w:r>
    <w:r w:rsidRPr="00B110C1">
      <w:rPr>
        <w:color w:val="0072CE"/>
        <w:spacing w:val="-4"/>
      </w:rPr>
      <w:instrText xml:space="preserve"> DOCPROPERTY  "Document num"  \* MERGEFORMAT </w:instrText>
    </w:r>
    <w:r w:rsidRPr="00B110C1">
      <w:rPr>
        <w:color w:val="0072CE"/>
        <w:spacing w:val="-4"/>
      </w:rPr>
      <w:fldChar w:fldCharType="separate"/>
    </w:r>
    <w:r>
      <w:rPr>
        <w:color w:val="0072CE"/>
        <w:spacing w:val="-4"/>
      </w:rPr>
      <w:t>361</w:t>
    </w:r>
    <w:r w:rsidRPr="00B110C1">
      <w:rPr>
        <w:color w:val="0072CE"/>
        <w:spacing w:val="-4"/>
      </w:rPr>
      <w:fldChar w:fldCharType="end"/>
    </w:r>
    <w:r w:rsidRPr="00B110C1">
      <w:rPr>
        <w:color w:val="0072CE"/>
        <w:spacing w:val="-4"/>
      </w:rPr>
      <w:t xml:space="preserve">: </w:t>
    </w:r>
    <w:r w:rsidRPr="00B110C1">
      <w:rPr>
        <w:color w:val="0072CE"/>
        <w:spacing w:val="-4"/>
      </w:rPr>
      <w:fldChar w:fldCharType="begin"/>
    </w:r>
    <w:r w:rsidRPr="00B110C1">
      <w:rPr>
        <w:color w:val="0072CE"/>
        <w:spacing w:val="-4"/>
      </w:rPr>
      <w:instrText xml:space="preserve"> DOCPROPERTY  "Document title"  \* charformat </w:instrText>
    </w:r>
    <w:r w:rsidRPr="00B110C1">
      <w:rPr>
        <w:color w:val="0072CE"/>
        <w:spacing w:val="-4"/>
      </w:rPr>
      <w:fldChar w:fldCharType="separate"/>
    </w:r>
    <w:r>
      <w:rPr>
        <w:color w:val="0072CE"/>
        <w:spacing w:val="-4"/>
      </w:rPr>
      <w:t>Proposed changes to simplify the ASIC Derivative Transaction Rules (Reporting): Second consultation</w:t>
    </w:r>
    <w:r w:rsidRPr="00B110C1">
      <w:rPr>
        <w:color w:val="0072CE"/>
        <w:spacing w:val="-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DAC5" w14:textId="77777777" w:rsidR="00C41A0B" w:rsidRDefault="00C41A0B">
    <w:pPr>
      <w:pStyle w:val="Header"/>
      <w:pBdr>
        <w:bottom w:val="none" w:sz="0" w:space="0" w:color="auto"/>
      </w:pBdr>
      <w:jc w:val="center"/>
      <w:rPr>
        <w:b/>
        <w:bCs/>
        <w:color w:val="C0C0C0"/>
        <w:sz w:val="48"/>
        <w:lang w:val="en-US"/>
      </w:rPr>
    </w:pPr>
    <w:r>
      <w:rPr>
        <w:b/>
        <w:bCs/>
        <w:color w:val="C0C0C0"/>
        <w:sz w:val="48"/>
        <w:lang w:val="en-US"/>
      </w:rPr>
      <w:t>DRAFT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DF58" w14:textId="07E67D7B" w:rsidR="00C41A0B" w:rsidRPr="008E3B37" w:rsidRDefault="00C41A0B" w:rsidP="00647F6E">
    <w:pPr>
      <w:pStyle w:val="Footer"/>
      <w:pBdr>
        <w:bottom w:val="single" w:sz="4" w:space="1" w:color="0072CE"/>
      </w:pBdr>
      <w:jc w:val="right"/>
      <w:rPr>
        <w:color w:val="0072CE"/>
        <w:spacing w:val="-4"/>
      </w:rPr>
    </w:pPr>
    <w:r w:rsidRPr="008E3B37">
      <w:rPr>
        <w:color w:val="0072CE"/>
        <w:spacing w:val="-4"/>
      </w:rPr>
      <w:fldChar w:fldCharType="begin"/>
    </w:r>
    <w:r w:rsidRPr="008E3B37">
      <w:rPr>
        <w:color w:val="0072CE"/>
        <w:spacing w:val="-4"/>
      </w:rPr>
      <w:instrText xml:space="preserve"> DOCPROPERTY  "Document type"  \* MERGEFORMAT </w:instrText>
    </w:r>
    <w:r w:rsidRPr="008E3B37">
      <w:rPr>
        <w:color w:val="0072CE"/>
        <w:spacing w:val="-4"/>
      </w:rPr>
      <w:fldChar w:fldCharType="separate"/>
    </w:r>
    <w:r w:rsidRPr="006679BA">
      <w:rPr>
        <w:caps/>
        <w:color w:val="0072CE"/>
        <w:spacing w:val="-4"/>
      </w:rPr>
      <w:t>CONSULTATION PAPER</w:t>
    </w:r>
    <w:r w:rsidRPr="008E3B37">
      <w:rPr>
        <w:caps/>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num"  \* MERGEFORMAT </w:instrText>
    </w:r>
    <w:r w:rsidRPr="008E3B37">
      <w:rPr>
        <w:color w:val="0072CE"/>
        <w:spacing w:val="-4"/>
      </w:rPr>
      <w:fldChar w:fldCharType="separate"/>
    </w:r>
    <w:r>
      <w:rPr>
        <w:color w:val="0072CE"/>
        <w:spacing w:val="-4"/>
      </w:rPr>
      <w:t>361</w:t>
    </w:r>
    <w:r w:rsidRPr="008E3B37">
      <w:rPr>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title"  \* charformat </w:instrText>
    </w:r>
    <w:r w:rsidRPr="008E3B37">
      <w:rPr>
        <w:color w:val="0072CE"/>
        <w:spacing w:val="-4"/>
      </w:rPr>
      <w:fldChar w:fldCharType="separate"/>
    </w:r>
    <w:r>
      <w:rPr>
        <w:color w:val="0072CE"/>
        <w:spacing w:val="-4"/>
      </w:rPr>
      <w:t>Proposed changes to simplify the ASIC Derivative Transaction Rules (Reporting): Second consultation</w:t>
    </w:r>
    <w:r w:rsidRPr="008E3B37">
      <w:rPr>
        <w:color w:val="0072CE"/>
        <w:spacing w:val="-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3CA3" w14:textId="77777777" w:rsidR="00C41A0B" w:rsidRDefault="00C41A0B"/>
  <w:p w14:paraId="022B29D6" w14:textId="77777777" w:rsidR="00C41A0B" w:rsidRDefault="00C41A0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97A1" w14:textId="11537028" w:rsidR="00C41A0B" w:rsidRPr="008E3B37" w:rsidRDefault="00C41A0B" w:rsidP="00647F6E">
    <w:pPr>
      <w:pStyle w:val="Footer"/>
      <w:pBdr>
        <w:bottom w:val="single" w:sz="4" w:space="1" w:color="0072CE"/>
      </w:pBdr>
      <w:jc w:val="right"/>
      <w:rPr>
        <w:color w:val="0072CE"/>
        <w:spacing w:val="-4"/>
      </w:rPr>
    </w:pPr>
    <w:r w:rsidRPr="008E3B37">
      <w:rPr>
        <w:color w:val="0072CE"/>
        <w:spacing w:val="-4"/>
      </w:rPr>
      <w:fldChar w:fldCharType="begin"/>
    </w:r>
    <w:r w:rsidRPr="008E3B37">
      <w:rPr>
        <w:color w:val="0072CE"/>
        <w:spacing w:val="-4"/>
      </w:rPr>
      <w:instrText xml:space="preserve"> DOCPROPERTY  "Document type"  \* MERGEFORMAT </w:instrText>
    </w:r>
    <w:r w:rsidRPr="008E3B37">
      <w:rPr>
        <w:color w:val="0072CE"/>
        <w:spacing w:val="-4"/>
      </w:rPr>
      <w:fldChar w:fldCharType="separate"/>
    </w:r>
    <w:r w:rsidR="0073396D" w:rsidRPr="0073396D">
      <w:rPr>
        <w:caps/>
        <w:color w:val="0072CE"/>
        <w:spacing w:val="-4"/>
      </w:rPr>
      <w:t>CONSULTATION PAPER</w:t>
    </w:r>
    <w:r w:rsidRPr="008E3B37">
      <w:rPr>
        <w:caps/>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num"  \* MERGEFORMAT </w:instrText>
    </w:r>
    <w:r w:rsidRPr="008E3B37">
      <w:rPr>
        <w:color w:val="0072CE"/>
        <w:spacing w:val="-4"/>
      </w:rPr>
      <w:fldChar w:fldCharType="separate"/>
    </w:r>
    <w:r w:rsidR="0073396D">
      <w:rPr>
        <w:color w:val="0072CE"/>
        <w:spacing w:val="-4"/>
      </w:rPr>
      <w:t>361</w:t>
    </w:r>
    <w:r w:rsidRPr="008E3B37">
      <w:rPr>
        <w:color w:val="0072CE"/>
        <w:spacing w:val="-4"/>
      </w:rPr>
      <w:fldChar w:fldCharType="end"/>
    </w:r>
    <w:r w:rsidRPr="008E3B37">
      <w:rPr>
        <w:color w:val="0072CE"/>
        <w:spacing w:val="-4"/>
      </w:rPr>
      <w:t xml:space="preserve">: </w:t>
    </w:r>
    <w:r w:rsidRPr="008E3B37">
      <w:rPr>
        <w:color w:val="0072CE"/>
        <w:spacing w:val="-4"/>
      </w:rPr>
      <w:fldChar w:fldCharType="begin"/>
    </w:r>
    <w:r w:rsidRPr="008E3B37">
      <w:rPr>
        <w:color w:val="0072CE"/>
        <w:spacing w:val="-4"/>
      </w:rPr>
      <w:instrText xml:space="preserve"> DOCPROPERTY  "Document title"  \* charformat </w:instrText>
    </w:r>
    <w:r w:rsidRPr="008E3B37">
      <w:rPr>
        <w:color w:val="0072CE"/>
        <w:spacing w:val="-4"/>
      </w:rPr>
      <w:fldChar w:fldCharType="separate"/>
    </w:r>
    <w:r w:rsidR="0073396D">
      <w:rPr>
        <w:color w:val="0072CE"/>
        <w:spacing w:val="-4"/>
      </w:rPr>
      <w:t>Proposed changes to simplify the ASIC Derivative Transaction Rules (Reporting): Second consultation</w:t>
    </w:r>
    <w:r w:rsidRPr="008E3B37">
      <w:rPr>
        <w:color w:val="0072CE"/>
        <w:spacing w:val="-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BE7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528D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D45F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8EAD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3885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96CA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A60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CFAAB84"/>
    <w:lvl w:ilvl="0">
      <w:start w:val="1"/>
      <w:numFmt w:val="decimal"/>
      <w:pStyle w:val="ListNumber"/>
      <w:lvlText w:val="%1."/>
      <w:lvlJc w:val="left"/>
      <w:pPr>
        <w:tabs>
          <w:tab w:val="num" w:pos="360"/>
        </w:tabs>
        <w:ind w:left="360" w:hanging="360"/>
      </w:pPr>
    </w:lvl>
  </w:abstractNum>
  <w:abstractNum w:abstractNumId="8"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CB1B57"/>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E1732B"/>
    <w:multiLevelType w:val="hybridMultilevel"/>
    <w:tmpl w:val="06C2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2B2F8E"/>
    <w:multiLevelType w:val="hybridMultilevel"/>
    <w:tmpl w:val="15B63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A0D99"/>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15" w15:restartNumberingAfterBreak="0">
    <w:nsid w:val="0DC03FB3"/>
    <w:multiLevelType w:val="hybridMultilevel"/>
    <w:tmpl w:val="EE74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563587"/>
    <w:multiLevelType w:val="hybridMultilevel"/>
    <w:tmpl w:val="83E09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D42CCB"/>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0C6808"/>
    <w:multiLevelType w:val="multilevel"/>
    <w:tmpl w:val="FEFA498C"/>
    <w:lvl w:ilvl="0">
      <w:start w:val="1"/>
      <w:numFmt w:val="decimal"/>
      <w:pStyle w:val="BodyText"/>
      <w:lvlText w:val="%1"/>
      <w:lvlJc w:val="left"/>
      <w:pPr>
        <w:tabs>
          <w:tab w:val="num" w:pos="4394"/>
        </w:tabs>
        <w:ind w:left="439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15:restartNumberingAfterBreak="0">
    <w:nsid w:val="1E8C1EDC"/>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3B1A7D"/>
    <w:multiLevelType w:val="multilevel"/>
    <w:tmpl w:val="482AF6FC"/>
    <w:name w:val="ASIC proposal"/>
    <w:lvl w:ilvl="0">
      <w:start w:val="1"/>
      <w:numFmt w:val="upperLetter"/>
      <w:pStyle w:val="Heading1"/>
      <w:lvlText w:val="%1"/>
      <w:lvlJc w:val="left"/>
      <w:pPr>
        <w:tabs>
          <w:tab w:val="num" w:pos="851"/>
        </w:tabs>
        <w:ind w:left="851" w:hanging="851"/>
      </w:pPr>
      <w:rPr>
        <w:rFonts w:hint="default"/>
        <w:b/>
        <w:i w:val="0"/>
        <w:color w:val="0072CE"/>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15:restartNumberingAfterBreak="0">
    <w:nsid w:val="2B70327E"/>
    <w:multiLevelType w:val="hybridMultilevel"/>
    <w:tmpl w:val="33769FC8"/>
    <w:lvl w:ilvl="0" w:tplc="46DE2400">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8863C1"/>
    <w:multiLevelType w:val="hybridMultilevel"/>
    <w:tmpl w:val="D536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041993"/>
    <w:multiLevelType w:val="multilevel"/>
    <w:tmpl w:val="4680F51A"/>
    <w:name w:val="ASIC para nos"/>
    <w:lvl w:ilvl="0">
      <w:start w:val="1"/>
      <w:numFmt w:val="decimal"/>
      <w:lvlText w:val="%1"/>
      <w:lvlJc w:val="left"/>
      <w:pPr>
        <w:tabs>
          <w:tab w:val="num" w:pos="2693"/>
        </w:tabs>
        <w:ind w:left="2693" w:hanging="425"/>
      </w:pPr>
      <w:rPr>
        <w:rFonts w:hint="default"/>
        <w:sz w:val="22"/>
      </w:rPr>
    </w:lvl>
    <w:lvl w:ilvl="1">
      <w:start w:val="1"/>
      <w:numFmt w:val="decimal"/>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5" w15:restartNumberingAfterBreak="0">
    <w:nsid w:val="4A7E154A"/>
    <w:multiLevelType w:val="hybridMultilevel"/>
    <w:tmpl w:val="C1FA1118"/>
    <w:lvl w:ilvl="0" w:tplc="A0EAE094">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B84E79"/>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24C6F"/>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14F54"/>
    <w:multiLevelType w:val="hybridMultilevel"/>
    <w:tmpl w:val="54301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4" w15:restartNumberingAfterBreak="0">
    <w:nsid w:val="6EC13EC9"/>
    <w:multiLevelType w:val="hybridMultilevel"/>
    <w:tmpl w:val="2AA67D84"/>
    <w:lvl w:ilvl="0" w:tplc="A0EAE09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F663E9"/>
    <w:multiLevelType w:val="hybridMultilevel"/>
    <w:tmpl w:val="79AEA166"/>
    <w:lvl w:ilvl="0" w:tplc="A0EAE09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6B2ED2"/>
    <w:multiLevelType w:val="multilevel"/>
    <w:tmpl w:val="0E5E8D7A"/>
    <w:lvl w:ilvl="0">
      <w:start w:val="233"/>
      <w:numFmt w:val="none"/>
      <w:pStyle w:val="MIRBodyText"/>
      <w:lvlText w:val=""/>
      <w:lvlJc w:val="left"/>
      <w:pPr>
        <w:ind w:left="851" w:firstLine="0"/>
      </w:pPr>
      <w:rPr>
        <w:sz w:val="18"/>
      </w:rPr>
    </w:lvl>
    <w:lvl w:ilvl="1">
      <w:start w:val="1"/>
      <w:numFmt w:val="lowerLetter"/>
      <w:pStyle w:val="MIRSubpara"/>
      <w:lvlText w:val="(%2)"/>
      <w:lvlJc w:val="left"/>
      <w:pPr>
        <w:tabs>
          <w:tab w:val="num" w:pos="1134"/>
        </w:tabs>
        <w:ind w:left="1134" w:hanging="4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sz w:val="22"/>
        <w:szCs w:val="28"/>
      </w:rPr>
    </w:lvl>
    <w:lvl w:ilvl="3">
      <w:start w:val="1"/>
      <w:numFmt w:val="upperLetter"/>
      <w:pStyle w:val="MIRsubsubsubpara"/>
      <w:lvlText w:val="(%4)"/>
      <w:lvlJc w:val="left"/>
      <w:pPr>
        <w:tabs>
          <w:tab w:val="num" w:pos="2126"/>
        </w:tabs>
        <w:ind w:left="2126" w:hanging="425"/>
      </w:pPr>
      <w:rPr>
        <w:sz w:val="16"/>
      </w:rPr>
    </w:lvl>
    <w:lvl w:ilvl="4">
      <w:start w:val="1"/>
      <w:numFmt w:val="lowerLetter"/>
      <w:lvlText w:val="%5."/>
      <w:lvlJc w:val="left"/>
      <w:pPr>
        <w:ind w:left="6804" w:hanging="360"/>
      </w:pPr>
    </w:lvl>
    <w:lvl w:ilvl="5">
      <w:start w:val="1"/>
      <w:numFmt w:val="lowerRoman"/>
      <w:lvlText w:val="%6."/>
      <w:lvlJc w:val="right"/>
      <w:pPr>
        <w:ind w:left="7524" w:hanging="180"/>
      </w:pPr>
    </w:lvl>
    <w:lvl w:ilvl="6">
      <w:start w:val="1"/>
      <w:numFmt w:val="decimal"/>
      <w:lvlText w:val="%7."/>
      <w:lvlJc w:val="left"/>
      <w:pPr>
        <w:ind w:left="8244" w:hanging="360"/>
      </w:pPr>
    </w:lvl>
    <w:lvl w:ilvl="7">
      <w:start w:val="1"/>
      <w:numFmt w:val="lowerLetter"/>
      <w:lvlText w:val="%8."/>
      <w:lvlJc w:val="left"/>
      <w:pPr>
        <w:ind w:left="8964" w:hanging="360"/>
      </w:pPr>
    </w:lvl>
    <w:lvl w:ilvl="8">
      <w:start w:val="1"/>
      <w:numFmt w:val="lowerRoman"/>
      <w:lvlText w:val="%9."/>
      <w:lvlJc w:val="right"/>
      <w:pPr>
        <w:ind w:left="9684" w:hanging="180"/>
      </w:pPr>
    </w:lvl>
  </w:abstractNum>
  <w:abstractNum w:abstractNumId="37" w15:restartNumberingAfterBreak="0">
    <w:nsid w:val="78FF1C19"/>
    <w:multiLevelType w:val="hybridMultilevel"/>
    <w:tmpl w:val="BD469D78"/>
    <w:lvl w:ilvl="0" w:tplc="26306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2"/>
  </w:num>
  <w:num w:numId="3">
    <w:abstractNumId w:val="10"/>
  </w:num>
  <w:num w:numId="4">
    <w:abstractNumId w:val="31"/>
  </w:num>
  <w:num w:numId="5">
    <w:abstractNumId w:val="20"/>
  </w:num>
  <w:num w:numId="6">
    <w:abstractNumId w:val="27"/>
  </w:num>
  <w:num w:numId="7">
    <w:abstractNumId w:val="30"/>
  </w:num>
  <w:num w:numId="8">
    <w:abstractNumId w:val="8"/>
  </w:num>
  <w:num w:numId="9">
    <w:abstractNumId w:val="18"/>
  </w:num>
  <w:num w:numId="10">
    <w:abstractNumId w:val="14"/>
  </w:num>
  <w:num w:numId="11">
    <w:abstractNumId w:val="34"/>
  </w:num>
  <w:num w:numId="12">
    <w:abstractNumId w:val="21"/>
  </w:num>
  <w:num w:numId="13">
    <w:abstractNumId w:val="25"/>
  </w:num>
  <w:num w:numId="14">
    <w:abstractNumId w:val="36"/>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18"/>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lvlText w:val="(%2)"/>
        <w:lvlJc w:val="left"/>
        <w:pPr>
          <w:tabs>
            <w:tab w:val="num" w:pos="2693"/>
          </w:tabs>
          <w:ind w:left="2693" w:hanging="425"/>
        </w:pPr>
        <w:rPr>
          <w:rFonts w:hint="default"/>
          <w:b w:val="0"/>
          <w:i w:val="0"/>
          <w:color w:val="auto"/>
          <w:sz w:val="18"/>
          <w:szCs w:val="18"/>
        </w:rPr>
      </w:lvl>
    </w:lvlOverride>
    <w:lvlOverride w:ilvl="2">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8">
    <w:abstractNumId w:val="13"/>
  </w:num>
  <w:num w:numId="19">
    <w:abstractNumId w:val="28"/>
  </w:num>
  <w:num w:numId="20">
    <w:abstractNumId w:val="9"/>
  </w:num>
  <w:num w:numId="21">
    <w:abstractNumId w:val="19"/>
  </w:num>
  <w:num w:numId="22">
    <w:abstractNumId w:val="37"/>
  </w:num>
  <w:num w:numId="23">
    <w:abstractNumId w:val="26"/>
  </w:num>
  <w:num w:numId="24">
    <w:abstractNumId w:val="17"/>
  </w:num>
  <w:num w:numId="25">
    <w:abstractNumId w:val="29"/>
  </w:num>
  <w:num w:numId="26">
    <w:abstractNumId w:val="18"/>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lvlText w:val="(%2)"/>
        <w:lvlJc w:val="left"/>
        <w:pPr>
          <w:tabs>
            <w:tab w:val="num" w:pos="2693"/>
          </w:tabs>
          <w:ind w:left="2693" w:hanging="425"/>
        </w:pPr>
        <w:rPr>
          <w:rFonts w:hint="default"/>
          <w:b w:val="0"/>
          <w:i w:val="0"/>
          <w:color w:val="auto"/>
          <w:sz w:val="18"/>
          <w:szCs w:val="18"/>
        </w:rPr>
      </w:lvl>
    </w:lvlOverride>
    <w:lvlOverride w:ilvl="2">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7">
    <w:abstractNumId w:val="18"/>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lvlText w:val="(%2)"/>
        <w:lvlJc w:val="left"/>
        <w:pPr>
          <w:tabs>
            <w:tab w:val="num" w:pos="2693"/>
          </w:tabs>
          <w:ind w:left="2693" w:hanging="425"/>
        </w:pPr>
        <w:rPr>
          <w:rFonts w:hint="default"/>
          <w:b w:val="0"/>
          <w:i w:val="0"/>
          <w:color w:val="auto"/>
          <w:sz w:val="18"/>
          <w:szCs w:val="18"/>
        </w:rPr>
      </w:lvl>
    </w:lvlOverride>
    <w:lvlOverride w:ilvl="2">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8">
    <w:abstractNumId w:val="35"/>
  </w:num>
  <w:num w:numId="29">
    <w:abstractNumId w:val="12"/>
  </w:num>
  <w:num w:numId="30">
    <w:abstractNumId w:val="16"/>
  </w:num>
  <w:num w:numId="31">
    <w:abstractNumId w:val="11"/>
  </w:num>
  <w:num w:numId="32">
    <w:abstractNumId w:val="7"/>
  </w:num>
  <w:num w:numId="33">
    <w:abstractNumId w:val="18"/>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lvlText w:val="(%2)"/>
        <w:lvlJc w:val="left"/>
        <w:pPr>
          <w:tabs>
            <w:tab w:val="num" w:pos="2693"/>
          </w:tabs>
          <w:ind w:left="2693" w:hanging="425"/>
        </w:pPr>
        <w:rPr>
          <w:rFonts w:hint="default"/>
          <w:b w:val="0"/>
          <w:i w:val="0"/>
          <w:color w:val="auto"/>
          <w:sz w:val="18"/>
          <w:szCs w:val="18"/>
        </w:rPr>
      </w:lvl>
    </w:lvlOverride>
    <w:lvlOverride w:ilvl="2">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2049">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1F"/>
    <w:rsid w:val="00001D62"/>
    <w:rsid w:val="00001D98"/>
    <w:rsid w:val="0000385B"/>
    <w:rsid w:val="00004601"/>
    <w:rsid w:val="000053F5"/>
    <w:rsid w:val="0000576A"/>
    <w:rsid w:val="000061F7"/>
    <w:rsid w:val="0000688F"/>
    <w:rsid w:val="00007705"/>
    <w:rsid w:val="00011207"/>
    <w:rsid w:val="00011AEE"/>
    <w:rsid w:val="000122E0"/>
    <w:rsid w:val="00013469"/>
    <w:rsid w:val="00015473"/>
    <w:rsid w:val="00015F63"/>
    <w:rsid w:val="00016144"/>
    <w:rsid w:val="00016218"/>
    <w:rsid w:val="00021D9F"/>
    <w:rsid w:val="00021FAC"/>
    <w:rsid w:val="0002375F"/>
    <w:rsid w:val="00023CBB"/>
    <w:rsid w:val="00023EA0"/>
    <w:rsid w:val="00024975"/>
    <w:rsid w:val="00024DD4"/>
    <w:rsid w:val="00026A72"/>
    <w:rsid w:val="00027150"/>
    <w:rsid w:val="00030E08"/>
    <w:rsid w:val="00031230"/>
    <w:rsid w:val="00031A7E"/>
    <w:rsid w:val="00031F74"/>
    <w:rsid w:val="00032041"/>
    <w:rsid w:val="000328F8"/>
    <w:rsid w:val="00032EF3"/>
    <w:rsid w:val="00033E6C"/>
    <w:rsid w:val="00034894"/>
    <w:rsid w:val="00034D06"/>
    <w:rsid w:val="000353D6"/>
    <w:rsid w:val="00035BF6"/>
    <w:rsid w:val="000367B5"/>
    <w:rsid w:val="00040B83"/>
    <w:rsid w:val="00040C02"/>
    <w:rsid w:val="0004103B"/>
    <w:rsid w:val="00041A3B"/>
    <w:rsid w:val="00041ACD"/>
    <w:rsid w:val="000424F1"/>
    <w:rsid w:val="00042C0E"/>
    <w:rsid w:val="00042DD7"/>
    <w:rsid w:val="00043013"/>
    <w:rsid w:val="000431FD"/>
    <w:rsid w:val="00043808"/>
    <w:rsid w:val="00043F1E"/>
    <w:rsid w:val="00044074"/>
    <w:rsid w:val="000443A9"/>
    <w:rsid w:val="00044945"/>
    <w:rsid w:val="00045B93"/>
    <w:rsid w:val="00051547"/>
    <w:rsid w:val="000517FE"/>
    <w:rsid w:val="00051A93"/>
    <w:rsid w:val="00051F2B"/>
    <w:rsid w:val="00052573"/>
    <w:rsid w:val="00052C29"/>
    <w:rsid w:val="000530A4"/>
    <w:rsid w:val="0005381F"/>
    <w:rsid w:val="00053881"/>
    <w:rsid w:val="00053D0F"/>
    <w:rsid w:val="00053F7B"/>
    <w:rsid w:val="000547D5"/>
    <w:rsid w:val="00055CC2"/>
    <w:rsid w:val="00056186"/>
    <w:rsid w:val="00056343"/>
    <w:rsid w:val="000566C2"/>
    <w:rsid w:val="00056B44"/>
    <w:rsid w:val="0006005F"/>
    <w:rsid w:val="00060EFF"/>
    <w:rsid w:val="0006104A"/>
    <w:rsid w:val="000618DF"/>
    <w:rsid w:val="00061A2D"/>
    <w:rsid w:val="00062902"/>
    <w:rsid w:val="000632EC"/>
    <w:rsid w:val="00064572"/>
    <w:rsid w:val="00065DF4"/>
    <w:rsid w:val="00067883"/>
    <w:rsid w:val="00072306"/>
    <w:rsid w:val="00074ABE"/>
    <w:rsid w:val="00075F1B"/>
    <w:rsid w:val="00077D23"/>
    <w:rsid w:val="00081B74"/>
    <w:rsid w:val="00081DC1"/>
    <w:rsid w:val="00082467"/>
    <w:rsid w:val="00082D07"/>
    <w:rsid w:val="00082FFF"/>
    <w:rsid w:val="00084B74"/>
    <w:rsid w:val="00085005"/>
    <w:rsid w:val="00085F93"/>
    <w:rsid w:val="00086009"/>
    <w:rsid w:val="0008675D"/>
    <w:rsid w:val="00087EAC"/>
    <w:rsid w:val="0009161B"/>
    <w:rsid w:val="0009354A"/>
    <w:rsid w:val="00094024"/>
    <w:rsid w:val="000942F6"/>
    <w:rsid w:val="000946E8"/>
    <w:rsid w:val="00094859"/>
    <w:rsid w:val="00094CE5"/>
    <w:rsid w:val="0009531A"/>
    <w:rsid w:val="00096A20"/>
    <w:rsid w:val="00097838"/>
    <w:rsid w:val="0009789A"/>
    <w:rsid w:val="00097D50"/>
    <w:rsid w:val="000A030D"/>
    <w:rsid w:val="000A0985"/>
    <w:rsid w:val="000A12D2"/>
    <w:rsid w:val="000A35EB"/>
    <w:rsid w:val="000A3BFF"/>
    <w:rsid w:val="000A4612"/>
    <w:rsid w:val="000A5E80"/>
    <w:rsid w:val="000A61D7"/>
    <w:rsid w:val="000A72AD"/>
    <w:rsid w:val="000A75E0"/>
    <w:rsid w:val="000A7E01"/>
    <w:rsid w:val="000A7ED4"/>
    <w:rsid w:val="000B0B8A"/>
    <w:rsid w:val="000B1105"/>
    <w:rsid w:val="000B254F"/>
    <w:rsid w:val="000B34D3"/>
    <w:rsid w:val="000B43FC"/>
    <w:rsid w:val="000B5ACF"/>
    <w:rsid w:val="000B6003"/>
    <w:rsid w:val="000B7626"/>
    <w:rsid w:val="000C08CC"/>
    <w:rsid w:val="000C2AF9"/>
    <w:rsid w:val="000C4389"/>
    <w:rsid w:val="000C5320"/>
    <w:rsid w:val="000C6477"/>
    <w:rsid w:val="000C6D4C"/>
    <w:rsid w:val="000C7915"/>
    <w:rsid w:val="000C7D76"/>
    <w:rsid w:val="000C7E62"/>
    <w:rsid w:val="000D02BC"/>
    <w:rsid w:val="000D2572"/>
    <w:rsid w:val="000D365D"/>
    <w:rsid w:val="000D3DDB"/>
    <w:rsid w:val="000D3DF5"/>
    <w:rsid w:val="000D4FFF"/>
    <w:rsid w:val="000D50AE"/>
    <w:rsid w:val="000D52AE"/>
    <w:rsid w:val="000D59A9"/>
    <w:rsid w:val="000D606A"/>
    <w:rsid w:val="000D609E"/>
    <w:rsid w:val="000D63FE"/>
    <w:rsid w:val="000D66EC"/>
    <w:rsid w:val="000D7C56"/>
    <w:rsid w:val="000E422A"/>
    <w:rsid w:val="000F49CD"/>
    <w:rsid w:val="000F6B03"/>
    <w:rsid w:val="000F7137"/>
    <w:rsid w:val="00100641"/>
    <w:rsid w:val="00100778"/>
    <w:rsid w:val="0010084F"/>
    <w:rsid w:val="00100A26"/>
    <w:rsid w:val="00101024"/>
    <w:rsid w:val="001031B7"/>
    <w:rsid w:val="00103477"/>
    <w:rsid w:val="0010355D"/>
    <w:rsid w:val="00103568"/>
    <w:rsid w:val="00103669"/>
    <w:rsid w:val="0010427F"/>
    <w:rsid w:val="001043DD"/>
    <w:rsid w:val="001058D4"/>
    <w:rsid w:val="00105F99"/>
    <w:rsid w:val="001062F1"/>
    <w:rsid w:val="00110AA0"/>
    <w:rsid w:val="00110FFE"/>
    <w:rsid w:val="00111484"/>
    <w:rsid w:val="001121CF"/>
    <w:rsid w:val="00113C8F"/>
    <w:rsid w:val="0011579A"/>
    <w:rsid w:val="00116288"/>
    <w:rsid w:val="00116B1F"/>
    <w:rsid w:val="00116CFD"/>
    <w:rsid w:val="00120011"/>
    <w:rsid w:val="00120922"/>
    <w:rsid w:val="0012093C"/>
    <w:rsid w:val="00120B0D"/>
    <w:rsid w:val="0012112F"/>
    <w:rsid w:val="0012130D"/>
    <w:rsid w:val="001215D8"/>
    <w:rsid w:val="00121AFF"/>
    <w:rsid w:val="00121C9F"/>
    <w:rsid w:val="0012245A"/>
    <w:rsid w:val="00122CF8"/>
    <w:rsid w:val="00122F3E"/>
    <w:rsid w:val="00124735"/>
    <w:rsid w:val="00125CBF"/>
    <w:rsid w:val="0012687C"/>
    <w:rsid w:val="001273ED"/>
    <w:rsid w:val="001278D3"/>
    <w:rsid w:val="00127A86"/>
    <w:rsid w:val="001308CB"/>
    <w:rsid w:val="001314C4"/>
    <w:rsid w:val="00131C5C"/>
    <w:rsid w:val="00132A01"/>
    <w:rsid w:val="00133C4D"/>
    <w:rsid w:val="00135812"/>
    <w:rsid w:val="00137313"/>
    <w:rsid w:val="0013751E"/>
    <w:rsid w:val="00140B85"/>
    <w:rsid w:val="00141FE8"/>
    <w:rsid w:val="00142F1C"/>
    <w:rsid w:val="001451D1"/>
    <w:rsid w:val="00145E1A"/>
    <w:rsid w:val="001464F5"/>
    <w:rsid w:val="00146F85"/>
    <w:rsid w:val="00147432"/>
    <w:rsid w:val="001500F7"/>
    <w:rsid w:val="00151205"/>
    <w:rsid w:val="00152C28"/>
    <w:rsid w:val="001539C8"/>
    <w:rsid w:val="00153E5E"/>
    <w:rsid w:val="001545EB"/>
    <w:rsid w:val="00156B3C"/>
    <w:rsid w:val="00156C12"/>
    <w:rsid w:val="00157091"/>
    <w:rsid w:val="001613B4"/>
    <w:rsid w:val="00161564"/>
    <w:rsid w:val="00161610"/>
    <w:rsid w:val="00163ACC"/>
    <w:rsid w:val="001646F6"/>
    <w:rsid w:val="00164852"/>
    <w:rsid w:val="001648BB"/>
    <w:rsid w:val="0016558E"/>
    <w:rsid w:val="001679BF"/>
    <w:rsid w:val="00167FC3"/>
    <w:rsid w:val="00171229"/>
    <w:rsid w:val="001722BB"/>
    <w:rsid w:val="001730E6"/>
    <w:rsid w:val="00173D74"/>
    <w:rsid w:val="00173EF3"/>
    <w:rsid w:val="001743AF"/>
    <w:rsid w:val="00174BFB"/>
    <w:rsid w:val="00175B5F"/>
    <w:rsid w:val="00175FFA"/>
    <w:rsid w:val="001766EC"/>
    <w:rsid w:val="0017735F"/>
    <w:rsid w:val="00177AE0"/>
    <w:rsid w:val="0018100C"/>
    <w:rsid w:val="00181199"/>
    <w:rsid w:val="001818FD"/>
    <w:rsid w:val="0018255E"/>
    <w:rsid w:val="0018300B"/>
    <w:rsid w:val="00183044"/>
    <w:rsid w:val="00186345"/>
    <w:rsid w:val="00186904"/>
    <w:rsid w:val="00186B4D"/>
    <w:rsid w:val="00186D0D"/>
    <w:rsid w:val="0018717D"/>
    <w:rsid w:val="00191999"/>
    <w:rsid w:val="00191DE8"/>
    <w:rsid w:val="00192B47"/>
    <w:rsid w:val="00192F19"/>
    <w:rsid w:val="0019345C"/>
    <w:rsid w:val="00193E34"/>
    <w:rsid w:val="0019521A"/>
    <w:rsid w:val="001967BA"/>
    <w:rsid w:val="001970C1"/>
    <w:rsid w:val="00197A25"/>
    <w:rsid w:val="00197F4A"/>
    <w:rsid w:val="001A0453"/>
    <w:rsid w:val="001A0B04"/>
    <w:rsid w:val="001A0FAD"/>
    <w:rsid w:val="001A2A7A"/>
    <w:rsid w:val="001A313E"/>
    <w:rsid w:val="001A3695"/>
    <w:rsid w:val="001A4F48"/>
    <w:rsid w:val="001A5149"/>
    <w:rsid w:val="001A52E7"/>
    <w:rsid w:val="001A582E"/>
    <w:rsid w:val="001A74E2"/>
    <w:rsid w:val="001B1872"/>
    <w:rsid w:val="001B2E5C"/>
    <w:rsid w:val="001B3035"/>
    <w:rsid w:val="001B3083"/>
    <w:rsid w:val="001B3D01"/>
    <w:rsid w:val="001B3D5A"/>
    <w:rsid w:val="001B40C8"/>
    <w:rsid w:val="001B4381"/>
    <w:rsid w:val="001B59CA"/>
    <w:rsid w:val="001B5A26"/>
    <w:rsid w:val="001B5D7F"/>
    <w:rsid w:val="001B6DAF"/>
    <w:rsid w:val="001B6DF3"/>
    <w:rsid w:val="001B7328"/>
    <w:rsid w:val="001C03BD"/>
    <w:rsid w:val="001C18BB"/>
    <w:rsid w:val="001C1A19"/>
    <w:rsid w:val="001C1A93"/>
    <w:rsid w:val="001C1D13"/>
    <w:rsid w:val="001C25E4"/>
    <w:rsid w:val="001C35EE"/>
    <w:rsid w:val="001C4B8E"/>
    <w:rsid w:val="001C55A0"/>
    <w:rsid w:val="001C7A0C"/>
    <w:rsid w:val="001D0254"/>
    <w:rsid w:val="001D0307"/>
    <w:rsid w:val="001D0AF4"/>
    <w:rsid w:val="001D1375"/>
    <w:rsid w:val="001D147B"/>
    <w:rsid w:val="001D14E7"/>
    <w:rsid w:val="001D18C4"/>
    <w:rsid w:val="001D261A"/>
    <w:rsid w:val="001D282C"/>
    <w:rsid w:val="001D3CFD"/>
    <w:rsid w:val="001D4EAA"/>
    <w:rsid w:val="001D6177"/>
    <w:rsid w:val="001D6DAA"/>
    <w:rsid w:val="001D7037"/>
    <w:rsid w:val="001D7A07"/>
    <w:rsid w:val="001D7C7E"/>
    <w:rsid w:val="001E1496"/>
    <w:rsid w:val="001E1A3E"/>
    <w:rsid w:val="001E3EBA"/>
    <w:rsid w:val="001E3F39"/>
    <w:rsid w:val="001E4956"/>
    <w:rsid w:val="001E498E"/>
    <w:rsid w:val="001E4C7E"/>
    <w:rsid w:val="001E5F66"/>
    <w:rsid w:val="001F0A4E"/>
    <w:rsid w:val="001F0D0F"/>
    <w:rsid w:val="001F3030"/>
    <w:rsid w:val="001F32C4"/>
    <w:rsid w:val="001F3C9F"/>
    <w:rsid w:val="001F520D"/>
    <w:rsid w:val="001F5D4E"/>
    <w:rsid w:val="001F5D5A"/>
    <w:rsid w:val="001F5E60"/>
    <w:rsid w:val="001F6C19"/>
    <w:rsid w:val="001F7019"/>
    <w:rsid w:val="00201070"/>
    <w:rsid w:val="002023BF"/>
    <w:rsid w:val="00203193"/>
    <w:rsid w:val="0020336F"/>
    <w:rsid w:val="00203B89"/>
    <w:rsid w:val="0020501B"/>
    <w:rsid w:val="00205102"/>
    <w:rsid w:val="00206435"/>
    <w:rsid w:val="00210619"/>
    <w:rsid w:val="00210D2A"/>
    <w:rsid w:val="00211844"/>
    <w:rsid w:val="00213645"/>
    <w:rsid w:val="00214693"/>
    <w:rsid w:val="00215A51"/>
    <w:rsid w:val="00215E73"/>
    <w:rsid w:val="00216A91"/>
    <w:rsid w:val="00216C43"/>
    <w:rsid w:val="00220093"/>
    <w:rsid w:val="00220997"/>
    <w:rsid w:val="00221968"/>
    <w:rsid w:val="002233EF"/>
    <w:rsid w:val="002236F6"/>
    <w:rsid w:val="00224D45"/>
    <w:rsid w:val="002250B5"/>
    <w:rsid w:val="002260EC"/>
    <w:rsid w:val="0022682C"/>
    <w:rsid w:val="00226FF1"/>
    <w:rsid w:val="002278C0"/>
    <w:rsid w:val="0023066D"/>
    <w:rsid w:val="00231651"/>
    <w:rsid w:val="002316F1"/>
    <w:rsid w:val="00231974"/>
    <w:rsid w:val="002323E1"/>
    <w:rsid w:val="00232959"/>
    <w:rsid w:val="00234185"/>
    <w:rsid w:val="00234216"/>
    <w:rsid w:val="00234317"/>
    <w:rsid w:val="00236FEE"/>
    <w:rsid w:val="002372BE"/>
    <w:rsid w:val="002373D1"/>
    <w:rsid w:val="00237660"/>
    <w:rsid w:val="00240808"/>
    <w:rsid w:val="002411AF"/>
    <w:rsid w:val="00241643"/>
    <w:rsid w:val="00241A0F"/>
    <w:rsid w:val="0024211A"/>
    <w:rsid w:val="00242316"/>
    <w:rsid w:val="00243ADE"/>
    <w:rsid w:val="0024411E"/>
    <w:rsid w:val="00244E50"/>
    <w:rsid w:val="00245593"/>
    <w:rsid w:val="0024615D"/>
    <w:rsid w:val="00247974"/>
    <w:rsid w:val="002501FC"/>
    <w:rsid w:val="002507DF"/>
    <w:rsid w:val="00251775"/>
    <w:rsid w:val="00252837"/>
    <w:rsid w:val="0025299D"/>
    <w:rsid w:val="00255302"/>
    <w:rsid w:val="002558C5"/>
    <w:rsid w:val="0025610F"/>
    <w:rsid w:val="002569FB"/>
    <w:rsid w:val="002578BB"/>
    <w:rsid w:val="002579A0"/>
    <w:rsid w:val="00260748"/>
    <w:rsid w:val="0026110A"/>
    <w:rsid w:val="00262053"/>
    <w:rsid w:val="00262A4C"/>
    <w:rsid w:val="0026455A"/>
    <w:rsid w:val="002653B1"/>
    <w:rsid w:val="00266E33"/>
    <w:rsid w:val="00270735"/>
    <w:rsid w:val="00270B30"/>
    <w:rsid w:val="00270EFA"/>
    <w:rsid w:val="002710B0"/>
    <w:rsid w:val="00271408"/>
    <w:rsid w:val="00271AF5"/>
    <w:rsid w:val="00271BD6"/>
    <w:rsid w:val="002725EA"/>
    <w:rsid w:val="00272B52"/>
    <w:rsid w:val="002733B7"/>
    <w:rsid w:val="00273BFA"/>
    <w:rsid w:val="00274DC5"/>
    <w:rsid w:val="002751EA"/>
    <w:rsid w:val="0027523F"/>
    <w:rsid w:val="00275342"/>
    <w:rsid w:val="002764E1"/>
    <w:rsid w:val="00276BE3"/>
    <w:rsid w:val="0027732D"/>
    <w:rsid w:val="0027748D"/>
    <w:rsid w:val="002774A0"/>
    <w:rsid w:val="00277C62"/>
    <w:rsid w:val="00280664"/>
    <w:rsid w:val="00280DF9"/>
    <w:rsid w:val="002835F3"/>
    <w:rsid w:val="00283CE7"/>
    <w:rsid w:val="002842D2"/>
    <w:rsid w:val="00285572"/>
    <w:rsid w:val="0028573C"/>
    <w:rsid w:val="0028593F"/>
    <w:rsid w:val="002876AC"/>
    <w:rsid w:val="0028780E"/>
    <w:rsid w:val="00287D26"/>
    <w:rsid w:val="00287DF1"/>
    <w:rsid w:val="00291029"/>
    <w:rsid w:val="00292D42"/>
    <w:rsid w:val="00295244"/>
    <w:rsid w:val="00295A0E"/>
    <w:rsid w:val="00296DFD"/>
    <w:rsid w:val="002975E5"/>
    <w:rsid w:val="002A0A68"/>
    <w:rsid w:val="002A130C"/>
    <w:rsid w:val="002A1E23"/>
    <w:rsid w:val="002A271D"/>
    <w:rsid w:val="002A39B7"/>
    <w:rsid w:val="002A3CCE"/>
    <w:rsid w:val="002A5860"/>
    <w:rsid w:val="002A5EC1"/>
    <w:rsid w:val="002A6003"/>
    <w:rsid w:val="002A6CED"/>
    <w:rsid w:val="002A7218"/>
    <w:rsid w:val="002B047A"/>
    <w:rsid w:val="002B05D4"/>
    <w:rsid w:val="002B0DA1"/>
    <w:rsid w:val="002B0E30"/>
    <w:rsid w:val="002B12F2"/>
    <w:rsid w:val="002B18E8"/>
    <w:rsid w:val="002B1941"/>
    <w:rsid w:val="002B1D22"/>
    <w:rsid w:val="002B2CA0"/>
    <w:rsid w:val="002B2D05"/>
    <w:rsid w:val="002B2D79"/>
    <w:rsid w:val="002B3351"/>
    <w:rsid w:val="002B3905"/>
    <w:rsid w:val="002B57B1"/>
    <w:rsid w:val="002B742C"/>
    <w:rsid w:val="002B74F1"/>
    <w:rsid w:val="002C07CF"/>
    <w:rsid w:val="002C3762"/>
    <w:rsid w:val="002C4759"/>
    <w:rsid w:val="002C481F"/>
    <w:rsid w:val="002C4BD4"/>
    <w:rsid w:val="002C6B0C"/>
    <w:rsid w:val="002C70A4"/>
    <w:rsid w:val="002C7910"/>
    <w:rsid w:val="002D0EB6"/>
    <w:rsid w:val="002D163C"/>
    <w:rsid w:val="002D207E"/>
    <w:rsid w:val="002D3E7A"/>
    <w:rsid w:val="002D3F93"/>
    <w:rsid w:val="002D59A2"/>
    <w:rsid w:val="002D711B"/>
    <w:rsid w:val="002D71EB"/>
    <w:rsid w:val="002D7235"/>
    <w:rsid w:val="002E0589"/>
    <w:rsid w:val="002E05E9"/>
    <w:rsid w:val="002E08A9"/>
    <w:rsid w:val="002E0D77"/>
    <w:rsid w:val="002E2282"/>
    <w:rsid w:val="002E2E55"/>
    <w:rsid w:val="002E3423"/>
    <w:rsid w:val="002E4D55"/>
    <w:rsid w:val="002E6AAD"/>
    <w:rsid w:val="002E7034"/>
    <w:rsid w:val="002E7C9F"/>
    <w:rsid w:val="002F0645"/>
    <w:rsid w:val="002F4A0F"/>
    <w:rsid w:val="002F6587"/>
    <w:rsid w:val="002F6E4F"/>
    <w:rsid w:val="002F712F"/>
    <w:rsid w:val="002F725D"/>
    <w:rsid w:val="0030042F"/>
    <w:rsid w:val="0030238A"/>
    <w:rsid w:val="003024F0"/>
    <w:rsid w:val="0030426D"/>
    <w:rsid w:val="00304719"/>
    <w:rsid w:val="0030504F"/>
    <w:rsid w:val="00305EEB"/>
    <w:rsid w:val="0031114C"/>
    <w:rsid w:val="00312ACA"/>
    <w:rsid w:val="00312B1D"/>
    <w:rsid w:val="00312FA1"/>
    <w:rsid w:val="00313075"/>
    <w:rsid w:val="00313678"/>
    <w:rsid w:val="00313F8A"/>
    <w:rsid w:val="003143E5"/>
    <w:rsid w:val="003155F6"/>
    <w:rsid w:val="00317638"/>
    <w:rsid w:val="00317D94"/>
    <w:rsid w:val="00320758"/>
    <w:rsid w:val="00321661"/>
    <w:rsid w:val="003227A4"/>
    <w:rsid w:val="00322951"/>
    <w:rsid w:val="00322BA9"/>
    <w:rsid w:val="00323D5C"/>
    <w:rsid w:val="00323F00"/>
    <w:rsid w:val="00325DC1"/>
    <w:rsid w:val="00325E4D"/>
    <w:rsid w:val="00326AE8"/>
    <w:rsid w:val="00330184"/>
    <w:rsid w:val="003321F7"/>
    <w:rsid w:val="00332278"/>
    <w:rsid w:val="00332850"/>
    <w:rsid w:val="00333971"/>
    <w:rsid w:val="00333D24"/>
    <w:rsid w:val="00334AC2"/>
    <w:rsid w:val="0034093B"/>
    <w:rsid w:val="00342C5F"/>
    <w:rsid w:val="00344352"/>
    <w:rsid w:val="00344476"/>
    <w:rsid w:val="003445AD"/>
    <w:rsid w:val="003445C5"/>
    <w:rsid w:val="0034479B"/>
    <w:rsid w:val="00344F5E"/>
    <w:rsid w:val="003452E2"/>
    <w:rsid w:val="003459E3"/>
    <w:rsid w:val="003461D4"/>
    <w:rsid w:val="00346B09"/>
    <w:rsid w:val="00346F89"/>
    <w:rsid w:val="0034761C"/>
    <w:rsid w:val="00347888"/>
    <w:rsid w:val="00347C56"/>
    <w:rsid w:val="00347DCE"/>
    <w:rsid w:val="00351395"/>
    <w:rsid w:val="00351579"/>
    <w:rsid w:val="003517EA"/>
    <w:rsid w:val="00351BB8"/>
    <w:rsid w:val="003523D4"/>
    <w:rsid w:val="00352CED"/>
    <w:rsid w:val="00352D67"/>
    <w:rsid w:val="00352FCC"/>
    <w:rsid w:val="00355438"/>
    <w:rsid w:val="003567BA"/>
    <w:rsid w:val="00356BEA"/>
    <w:rsid w:val="003604A5"/>
    <w:rsid w:val="003624A1"/>
    <w:rsid w:val="003626D5"/>
    <w:rsid w:val="003634C4"/>
    <w:rsid w:val="00364377"/>
    <w:rsid w:val="003652A0"/>
    <w:rsid w:val="003667EF"/>
    <w:rsid w:val="00366C55"/>
    <w:rsid w:val="00367646"/>
    <w:rsid w:val="00370B56"/>
    <w:rsid w:val="0037125F"/>
    <w:rsid w:val="00373394"/>
    <w:rsid w:val="003746C7"/>
    <w:rsid w:val="00374700"/>
    <w:rsid w:val="00376D83"/>
    <w:rsid w:val="0037716D"/>
    <w:rsid w:val="00377EBE"/>
    <w:rsid w:val="00377F64"/>
    <w:rsid w:val="003806EF"/>
    <w:rsid w:val="003808E3"/>
    <w:rsid w:val="0038111B"/>
    <w:rsid w:val="003816BB"/>
    <w:rsid w:val="00385807"/>
    <w:rsid w:val="00392065"/>
    <w:rsid w:val="00392070"/>
    <w:rsid w:val="00392261"/>
    <w:rsid w:val="00393D73"/>
    <w:rsid w:val="00394512"/>
    <w:rsid w:val="00395985"/>
    <w:rsid w:val="003A063C"/>
    <w:rsid w:val="003A0A9D"/>
    <w:rsid w:val="003A0ECE"/>
    <w:rsid w:val="003A168F"/>
    <w:rsid w:val="003A17E9"/>
    <w:rsid w:val="003A219E"/>
    <w:rsid w:val="003A3F3A"/>
    <w:rsid w:val="003A40B0"/>
    <w:rsid w:val="003A4F6A"/>
    <w:rsid w:val="003A52E2"/>
    <w:rsid w:val="003A6744"/>
    <w:rsid w:val="003A6974"/>
    <w:rsid w:val="003A6C69"/>
    <w:rsid w:val="003A72D1"/>
    <w:rsid w:val="003B14C3"/>
    <w:rsid w:val="003B1B84"/>
    <w:rsid w:val="003B1D89"/>
    <w:rsid w:val="003B270F"/>
    <w:rsid w:val="003B3DA4"/>
    <w:rsid w:val="003B410B"/>
    <w:rsid w:val="003B5E3A"/>
    <w:rsid w:val="003B6C9D"/>
    <w:rsid w:val="003B7C62"/>
    <w:rsid w:val="003B7ED4"/>
    <w:rsid w:val="003C0BFD"/>
    <w:rsid w:val="003C11A0"/>
    <w:rsid w:val="003C1C69"/>
    <w:rsid w:val="003C1F84"/>
    <w:rsid w:val="003C2931"/>
    <w:rsid w:val="003C3719"/>
    <w:rsid w:val="003C5111"/>
    <w:rsid w:val="003C59DE"/>
    <w:rsid w:val="003C5FD3"/>
    <w:rsid w:val="003C63A1"/>
    <w:rsid w:val="003C67FB"/>
    <w:rsid w:val="003C7C4E"/>
    <w:rsid w:val="003D1314"/>
    <w:rsid w:val="003D1540"/>
    <w:rsid w:val="003D3198"/>
    <w:rsid w:val="003D32AA"/>
    <w:rsid w:val="003D3578"/>
    <w:rsid w:val="003D3C1D"/>
    <w:rsid w:val="003D44CB"/>
    <w:rsid w:val="003D4BEA"/>
    <w:rsid w:val="003D6963"/>
    <w:rsid w:val="003E0032"/>
    <w:rsid w:val="003E0F75"/>
    <w:rsid w:val="003E133F"/>
    <w:rsid w:val="003E1C63"/>
    <w:rsid w:val="003E2552"/>
    <w:rsid w:val="003E37B3"/>
    <w:rsid w:val="003E4A00"/>
    <w:rsid w:val="003E549E"/>
    <w:rsid w:val="003E6473"/>
    <w:rsid w:val="003E6980"/>
    <w:rsid w:val="003E71ED"/>
    <w:rsid w:val="003E7A84"/>
    <w:rsid w:val="003E7C2B"/>
    <w:rsid w:val="003F0EDB"/>
    <w:rsid w:val="003F10BF"/>
    <w:rsid w:val="003F1C4B"/>
    <w:rsid w:val="003F2A6B"/>
    <w:rsid w:val="003F35C5"/>
    <w:rsid w:val="003F3A70"/>
    <w:rsid w:val="003F402D"/>
    <w:rsid w:val="003F4AC6"/>
    <w:rsid w:val="003F5066"/>
    <w:rsid w:val="003F6083"/>
    <w:rsid w:val="003F6455"/>
    <w:rsid w:val="003F6F82"/>
    <w:rsid w:val="003F79EC"/>
    <w:rsid w:val="003F7B09"/>
    <w:rsid w:val="00400719"/>
    <w:rsid w:val="00400791"/>
    <w:rsid w:val="004008BB"/>
    <w:rsid w:val="00400F34"/>
    <w:rsid w:val="004013CF"/>
    <w:rsid w:val="004019CD"/>
    <w:rsid w:val="00402437"/>
    <w:rsid w:val="00402D91"/>
    <w:rsid w:val="004035D3"/>
    <w:rsid w:val="004037EF"/>
    <w:rsid w:val="00404775"/>
    <w:rsid w:val="00404CA5"/>
    <w:rsid w:val="004052ED"/>
    <w:rsid w:val="00405606"/>
    <w:rsid w:val="004064DD"/>
    <w:rsid w:val="00406770"/>
    <w:rsid w:val="00406DA7"/>
    <w:rsid w:val="00406E29"/>
    <w:rsid w:val="0041021C"/>
    <w:rsid w:val="00410470"/>
    <w:rsid w:val="00411185"/>
    <w:rsid w:val="00411F92"/>
    <w:rsid w:val="0041210E"/>
    <w:rsid w:val="004122A8"/>
    <w:rsid w:val="004123D4"/>
    <w:rsid w:val="00412485"/>
    <w:rsid w:val="00412C43"/>
    <w:rsid w:val="00413533"/>
    <w:rsid w:val="00414B34"/>
    <w:rsid w:val="00414BEA"/>
    <w:rsid w:val="00414F9A"/>
    <w:rsid w:val="00415818"/>
    <w:rsid w:val="004166FA"/>
    <w:rsid w:val="0041749C"/>
    <w:rsid w:val="00417B10"/>
    <w:rsid w:val="00417EEB"/>
    <w:rsid w:val="00417FBB"/>
    <w:rsid w:val="00420281"/>
    <w:rsid w:val="004207BB"/>
    <w:rsid w:val="00421B17"/>
    <w:rsid w:val="0042276D"/>
    <w:rsid w:val="00422F2E"/>
    <w:rsid w:val="00423267"/>
    <w:rsid w:val="00423629"/>
    <w:rsid w:val="00423BA8"/>
    <w:rsid w:val="004253F8"/>
    <w:rsid w:val="00431A90"/>
    <w:rsid w:val="00431C1C"/>
    <w:rsid w:val="00431F01"/>
    <w:rsid w:val="0043246F"/>
    <w:rsid w:val="0043393E"/>
    <w:rsid w:val="00433F47"/>
    <w:rsid w:val="00434072"/>
    <w:rsid w:val="00437690"/>
    <w:rsid w:val="004378E0"/>
    <w:rsid w:val="00437B65"/>
    <w:rsid w:val="00437EBF"/>
    <w:rsid w:val="00437F49"/>
    <w:rsid w:val="0044167A"/>
    <w:rsid w:val="00441CBE"/>
    <w:rsid w:val="004431CF"/>
    <w:rsid w:val="0044369C"/>
    <w:rsid w:val="00445061"/>
    <w:rsid w:val="004457D0"/>
    <w:rsid w:val="004468ED"/>
    <w:rsid w:val="004470AA"/>
    <w:rsid w:val="00447676"/>
    <w:rsid w:val="004479BB"/>
    <w:rsid w:val="00451E6E"/>
    <w:rsid w:val="00452051"/>
    <w:rsid w:val="00453A0C"/>
    <w:rsid w:val="00453A4A"/>
    <w:rsid w:val="0045435C"/>
    <w:rsid w:val="00454E49"/>
    <w:rsid w:val="00454F57"/>
    <w:rsid w:val="00456E44"/>
    <w:rsid w:val="004575A8"/>
    <w:rsid w:val="00460952"/>
    <w:rsid w:val="0046201C"/>
    <w:rsid w:val="00462EB7"/>
    <w:rsid w:val="004646FD"/>
    <w:rsid w:val="00464823"/>
    <w:rsid w:val="0046797C"/>
    <w:rsid w:val="00467B47"/>
    <w:rsid w:val="0047075B"/>
    <w:rsid w:val="004709FD"/>
    <w:rsid w:val="00470DDA"/>
    <w:rsid w:val="00471DD7"/>
    <w:rsid w:val="00471E12"/>
    <w:rsid w:val="004720A8"/>
    <w:rsid w:val="00472532"/>
    <w:rsid w:val="004729A3"/>
    <w:rsid w:val="00472A0E"/>
    <w:rsid w:val="00473594"/>
    <w:rsid w:val="00473678"/>
    <w:rsid w:val="00473711"/>
    <w:rsid w:val="00473A1D"/>
    <w:rsid w:val="00474B36"/>
    <w:rsid w:val="00475801"/>
    <w:rsid w:val="00475991"/>
    <w:rsid w:val="00477098"/>
    <w:rsid w:val="0048055F"/>
    <w:rsid w:val="00481861"/>
    <w:rsid w:val="004829FA"/>
    <w:rsid w:val="004830D1"/>
    <w:rsid w:val="004830ED"/>
    <w:rsid w:val="00483A70"/>
    <w:rsid w:val="00485E51"/>
    <w:rsid w:val="00486722"/>
    <w:rsid w:val="00487A8B"/>
    <w:rsid w:val="004902A1"/>
    <w:rsid w:val="00491CEB"/>
    <w:rsid w:val="004927C5"/>
    <w:rsid w:val="004936F8"/>
    <w:rsid w:val="00494A3A"/>
    <w:rsid w:val="00494BB1"/>
    <w:rsid w:val="00495178"/>
    <w:rsid w:val="00495272"/>
    <w:rsid w:val="004956CC"/>
    <w:rsid w:val="00497377"/>
    <w:rsid w:val="004A0107"/>
    <w:rsid w:val="004A028C"/>
    <w:rsid w:val="004A0971"/>
    <w:rsid w:val="004A0FD0"/>
    <w:rsid w:val="004A1338"/>
    <w:rsid w:val="004A1858"/>
    <w:rsid w:val="004A1B6B"/>
    <w:rsid w:val="004A50B4"/>
    <w:rsid w:val="004A57E3"/>
    <w:rsid w:val="004A59E1"/>
    <w:rsid w:val="004A6049"/>
    <w:rsid w:val="004B1659"/>
    <w:rsid w:val="004B1D3C"/>
    <w:rsid w:val="004B2D37"/>
    <w:rsid w:val="004B3711"/>
    <w:rsid w:val="004B374B"/>
    <w:rsid w:val="004B3A2D"/>
    <w:rsid w:val="004B3F11"/>
    <w:rsid w:val="004B46D4"/>
    <w:rsid w:val="004B57F3"/>
    <w:rsid w:val="004B58E8"/>
    <w:rsid w:val="004B61A4"/>
    <w:rsid w:val="004B68B0"/>
    <w:rsid w:val="004B6BB8"/>
    <w:rsid w:val="004B7D9A"/>
    <w:rsid w:val="004C051D"/>
    <w:rsid w:val="004C1437"/>
    <w:rsid w:val="004C1634"/>
    <w:rsid w:val="004C24E9"/>
    <w:rsid w:val="004C4307"/>
    <w:rsid w:val="004C477F"/>
    <w:rsid w:val="004C5330"/>
    <w:rsid w:val="004C57F5"/>
    <w:rsid w:val="004C5BF8"/>
    <w:rsid w:val="004C5C35"/>
    <w:rsid w:val="004C6414"/>
    <w:rsid w:val="004C6C2F"/>
    <w:rsid w:val="004C72A9"/>
    <w:rsid w:val="004C7C38"/>
    <w:rsid w:val="004D0477"/>
    <w:rsid w:val="004D09E6"/>
    <w:rsid w:val="004D1080"/>
    <w:rsid w:val="004D2A9A"/>
    <w:rsid w:val="004D353C"/>
    <w:rsid w:val="004D364C"/>
    <w:rsid w:val="004D36AD"/>
    <w:rsid w:val="004D440D"/>
    <w:rsid w:val="004D4C62"/>
    <w:rsid w:val="004D59F4"/>
    <w:rsid w:val="004D63EC"/>
    <w:rsid w:val="004D6EB5"/>
    <w:rsid w:val="004E0439"/>
    <w:rsid w:val="004E1CBF"/>
    <w:rsid w:val="004E2BEE"/>
    <w:rsid w:val="004E331B"/>
    <w:rsid w:val="004E368F"/>
    <w:rsid w:val="004E3950"/>
    <w:rsid w:val="004E40E5"/>
    <w:rsid w:val="004E5152"/>
    <w:rsid w:val="004E591E"/>
    <w:rsid w:val="004E61FB"/>
    <w:rsid w:val="004E7656"/>
    <w:rsid w:val="004E7944"/>
    <w:rsid w:val="004E7B7B"/>
    <w:rsid w:val="004F156C"/>
    <w:rsid w:val="004F1976"/>
    <w:rsid w:val="004F389A"/>
    <w:rsid w:val="004F408C"/>
    <w:rsid w:val="004F51CC"/>
    <w:rsid w:val="004F5608"/>
    <w:rsid w:val="004F635B"/>
    <w:rsid w:val="004F636F"/>
    <w:rsid w:val="004F6680"/>
    <w:rsid w:val="004F671D"/>
    <w:rsid w:val="004F6901"/>
    <w:rsid w:val="004F71BB"/>
    <w:rsid w:val="004F7B30"/>
    <w:rsid w:val="004F7B80"/>
    <w:rsid w:val="004F7EB7"/>
    <w:rsid w:val="00500614"/>
    <w:rsid w:val="00501387"/>
    <w:rsid w:val="00501B18"/>
    <w:rsid w:val="00503A1A"/>
    <w:rsid w:val="00503EB7"/>
    <w:rsid w:val="00504D15"/>
    <w:rsid w:val="00506331"/>
    <w:rsid w:val="00506CAA"/>
    <w:rsid w:val="00506D7C"/>
    <w:rsid w:val="005077D3"/>
    <w:rsid w:val="00510481"/>
    <w:rsid w:val="00510C3F"/>
    <w:rsid w:val="00511E62"/>
    <w:rsid w:val="00513622"/>
    <w:rsid w:val="00513F84"/>
    <w:rsid w:val="00516653"/>
    <w:rsid w:val="005175FE"/>
    <w:rsid w:val="0051783D"/>
    <w:rsid w:val="00517C53"/>
    <w:rsid w:val="00517F05"/>
    <w:rsid w:val="0052062F"/>
    <w:rsid w:val="00520DFF"/>
    <w:rsid w:val="00521D23"/>
    <w:rsid w:val="005220EB"/>
    <w:rsid w:val="0052280B"/>
    <w:rsid w:val="00522A83"/>
    <w:rsid w:val="00523022"/>
    <w:rsid w:val="00524EDC"/>
    <w:rsid w:val="00525B48"/>
    <w:rsid w:val="00525C9C"/>
    <w:rsid w:val="005265D7"/>
    <w:rsid w:val="0052662A"/>
    <w:rsid w:val="00526795"/>
    <w:rsid w:val="00526CDB"/>
    <w:rsid w:val="00526D2A"/>
    <w:rsid w:val="00526F57"/>
    <w:rsid w:val="0053236F"/>
    <w:rsid w:val="00533145"/>
    <w:rsid w:val="0053394C"/>
    <w:rsid w:val="0053497C"/>
    <w:rsid w:val="00534DD9"/>
    <w:rsid w:val="00537148"/>
    <w:rsid w:val="0053742A"/>
    <w:rsid w:val="00537FD3"/>
    <w:rsid w:val="0054106A"/>
    <w:rsid w:val="0054184C"/>
    <w:rsid w:val="00543B78"/>
    <w:rsid w:val="00543DCE"/>
    <w:rsid w:val="005446A2"/>
    <w:rsid w:val="00545067"/>
    <w:rsid w:val="005451C9"/>
    <w:rsid w:val="005453BE"/>
    <w:rsid w:val="00545DF9"/>
    <w:rsid w:val="00546C3D"/>
    <w:rsid w:val="00547108"/>
    <w:rsid w:val="00547AC6"/>
    <w:rsid w:val="005509F5"/>
    <w:rsid w:val="00552332"/>
    <w:rsid w:val="00552ECD"/>
    <w:rsid w:val="00553DDF"/>
    <w:rsid w:val="00554C79"/>
    <w:rsid w:val="00555BBD"/>
    <w:rsid w:val="00556B04"/>
    <w:rsid w:val="00557612"/>
    <w:rsid w:val="00557728"/>
    <w:rsid w:val="00560105"/>
    <w:rsid w:val="00561BE9"/>
    <w:rsid w:val="00562D5A"/>
    <w:rsid w:val="00563C56"/>
    <w:rsid w:val="00563CC9"/>
    <w:rsid w:val="005665DA"/>
    <w:rsid w:val="005668A6"/>
    <w:rsid w:val="005678C4"/>
    <w:rsid w:val="00570F0F"/>
    <w:rsid w:val="005710D5"/>
    <w:rsid w:val="005711FD"/>
    <w:rsid w:val="00571F44"/>
    <w:rsid w:val="00572907"/>
    <w:rsid w:val="00573D16"/>
    <w:rsid w:val="0057402B"/>
    <w:rsid w:val="005749FB"/>
    <w:rsid w:val="00574D35"/>
    <w:rsid w:val="005753F2"/>
    <w:rsid w:val="00575777"/>
    <w:rsid w:val="00575A22"/>
    <w:rsid w:val="00575B21"/>
    <w:rsid w:val="00576972"/>
    <w:rsid w:val="00576C1B"/>
    <w:rsid w:val="0057753E"/>
    <w:rsid w:val="00582202"/>
    <w:rsid w:val="00582851"/>
    <w:rsid w:val="00582930"/>
    <w:rsid w:val="00584763"/>
    <w:rsid w:val="00584BA1"/>
    <w:rsid w:val="005851D0"/>
    <w:rsid w:val="0058560E"/>
    <w:rsid w:val="005909A2"/>
    <w:rsid w:val="00592521"/>
    <w:rsid w:val="00593C7A"/>
    <w:rsid w:val="00594F8A"/>
    <w:rsid w:val="00595920"/>
    <w:rsid w:val="0059746D"/>
    <w:rsid w:val="00597F97"/>
    <w:rsid w:val="005A0086"/>
    <w:rsid w:val="005A23FF"/>
    <w:rsid w:val="005A457D"/>
    <w:rsid w:val="005A4CFC"/>
    <w:rsid w:val="005A5E1A"/>
    <w:rsid w:val="005A760A"/>
    <w:rsid w:val="005A7735"/>
    <w:rsid w:val="005B014C"/>
    <w:rsid w:val="005B16BF"/>
    <w:rsid w:val="005B2925"/>
    <w:rsid w:val="005B3466"/>
    <w:rsid w:val="005B35E2"/>
    <w:rsid w:val="005B38C1"/>
    <w:rsid w:val="005B5E58"/>
    <w:rsid w:val="005B6717"/>
    <w:rsid w:val="005B6CF9"/>
    <w:rsid w:val="005B7D57"/>
    <w:rsid w:val="005B7FC4"/>
    <w:rsid w:val="005C1720"/>
    <w:rsid w:val="005C23A2"/>
    <w:rsid w:val="005C2465"/>
    <w:rsid w:val="005C2F1F"/>
    <w:rsid w:val="005C38BA"/>
    <w:rsid w:val="005C53D2"/>
    <w:rsid w:val="005C53ED"/>
    <w:rsid w:val="005C61B3"/>
    <w:rsid w:val="005C6482"/>
    <w:rsid w:val="005C66C0"/>
    <w:rsid w:val="005C7184"/>
    <w:rsid w:val="005C7430"/>
    <w:rsid w:val="005C7FB5"/>
    <w:rsid w:val="005D0735"/>
    <w:rsid w:val="005D1075"/>
    <w:rsid w:val="005D24D9"/>
    <w:rsid w:val="005D3749"/>
    <w:rsid w:val="005D4522"/>
    <w:rsid w:val="005D4F57"/>
    <w:rsid w:val="005D607D"/>
    <w:rsid w:val="005D61D0"/>
    <w:rsid w:val="005D7FE5"/>
    <w:rsid w:val="005E01B3"/>
    <w:rsid w:val="005E0851"/>
    <w:rsid w:val="005E0998"/>
    <w:rsid w:val="005E1015"/>
    <w:rsid w:val="005E1237"/>
    <w:rsid w:val="005E1CA2"/>
    <w:rsid w:val="005E1F17"/>
    <w:rsid w:val="005E261B"/>
    <w:rsid w:val="005E3226"/>
    <w:rsid w:val="005E3758"/>
    <w:rsid w:val="005E3938"/>
    <w:rsid w:val="005E45D1"/>
    <w:rsid w:val="005E4C29"/>
    <w:rsid w:val="005E50AE"/>
    <w:rsid w:val="005E5296"/>
    <w:rsid w:val="005E567E"/>
    <w:rsid w:val="005E5CCE"/>
    <w:rsid w:val="005E791B"/>
    <w:rsid w:val="005E7C34"/>
    <w:rsid w:val="005F0AD6"/>
    <w:rsid w:val="005F0D25"/>
    <w:rsid w:val="005F1948"/>
    <w:rsid w:val="005F195E"/>
    <w:rsid w:val="005F2B6F"/>
    <w:rsid w:val="005F328E"/>
    <w:rsid w:val="005F34F7"/>
    <w:rsid w:val="005F4D1C"/>
    <w:rsid w:val="005F5C7E"/>
    <w:rsid w:val="005F60DF"/>
    <w:rsid w:val="005F633B"/>
    <w:rsid w:val="005F6416"/>
    <w:rsid w:val="005F6799"/>
    <w:rsid w:val="005F76AA"/>
    <w:rsid w:val="005F7B04"/>
    <w:rsid w:val="006012DF"/>
    <w:rsid w:val="00601746"/>
    <w:rsid w:val="00602300"/>
    <w:rsid w:val="006032A7"/>
    <w:rsid w:val="00604049"/>
    <w:rsid w:val="00605585"/>
    <w:rsid w:val="00605C1B"/>
    <w:rsid w:val="00605E8C"/>
    <w:rsid w:val="00607717"/>
    <w:rsid w:val="00607CFA"/>
    <w:rsid w:val="00612809"/>
    <w:rsid w:val="00612855"/>
    <w:rsid w:val="00612CE1"/>
    <w:rsid w:val="00613291"/>
    <w:rsid w:val="006133DD"/>
    <w:rsid w:val="00613468"/>
    <w:rsid w:val="00613BD8"/>
    <w:rsid w:val="00614773"/>
    <w:rsid w:val="00614D13"/>
    <w:rsid w:val="00616CAF"/>
    <w:rsid w:val="00617067"/>
    <w:rsid w:val="00620B1B"/>
    <w:rsid w:val="006213BD"/>
    <w:rsid w:val="00621B13"/>
    <w:rsid w:val="0062215F"/>
    <w:rsid w:val="00623725"/>
    <w:rsid w:val="00624368"/>
    <w:rsid w:val="00624532"/>
    <w:rsid w:val="00624BD6"/>
    <w:rsid w:val="0062607B"/>
    <w:rsid w:val="00626214"/>
    <w:rsid w:val="00626238"/>
    <w:rsid w:val="00626756"/>
    <w:rsid w:val="00626848"/>
    <w:rsid w:val="006269ED"/>
    <w:rsid w:val="00626F3F"/>
    <w:rsid w:val="006270E3"/>
    <w:rsid w:val="0062736D"/>
    <w:rsid w:val="00630192"/>
    <w:rsid w:val="0063039F"/>
    <w:rsid w:val="00630C2F"/>
    <w:rsid w:val="00631638"/>
    <w:rsid w:val="006316B2"/>
    <w:rsid w:val="00631A20"/>
    <w:rsid w:val="00631BF3"/>
    <w:rsid w:val="00631D4E"/>
    <w:rsid w:val="00634E75"/>
    <w:rsid w:val="00634E83"/>
    <w:rsid w:val="006357D9"/>
    <w:rsid w:val="00635D6F"/>
    <w:rsid w:val="00636BFA"/>
    <w:rsid w:val="00637DC9"/>
    <w:rsid w:val="00637F88"/>
    <w:rsid w:val="00640244"/>
    <w:rsid w:val="00640327"/>
    <w:rsid w:val="00640E84"/>
    <w:rsid w:val="006423A1"/>
    <w:rsid w:val="0064332B"/>
    <w:rsid w:val="0064369F"/>
    <w:rsid w:val="0064484E"/>
    <w:rsid w:val="00645D85"/>
    <w:rsid w:val="00646FB4"/>
    <w:rsid w:val="00647F6E"/>
    <w:rsid w:val="00654A51"/>
    <w:rsid w:val="00654B68"/>
    <w:rsid w:val="0065506F"/>
    <w:rsid w:val="006550BA"/>
    <w:rsid w:val="0065525D"/>
    <w:rsid w:val="006578BB"/>
    <w:rsid w:val="00662142"/>
    <w:rsid w:val="00662549"/>
    <w:rsid w:val="00662BFE"/>
    <w:rsid w:val="0066449F"/>
    <w:rsid w:val="00664596"/>
    <w:rsid w:val="00665916"/>
    <w:rsid w:val="00666231"/>
    <w:rsid w:val="006664C7"/>
    <w:rsid w:val="006666F3"/>
    <w:rsid w:val="00666C6A"/>
    <w:rsid w:val="00667540"/>
    <w:rsid w:val="00667685"/>
    <w:rsid w:val="006679BA"/>
    <w:rsid w:val="00670778"/>
    <w:rsid w:val="00670D20"/>
    <w:rsid w:val="006717AC"/>
    <w:rsid w:val="00672051"/>
    <w:rsid w:val="0067269F"/>
    <w:rsid w:val="0067395A"/>
    <w:rsid w:val="00673C42"/>
    <w:rsid w:val="00673D66"/>
    <w:rsid w:val="00674468"/>
    <w:rsid w:val="0067567D"/>
    <w:rsid w:val="00675B37"/>
    <w:rsid w:val="00675FEB"/>
    <w:rsid w:val="0067668E"/>
    <w:rsid w:val="0068134D"/>
    <w:rsid w:val="00681C57"/>
    <w:rsid w:val="00682CDD"/>
    <w:rsid w:val="0068314F"/>
    <w:rsid w:val="006838F3"/>
    <w:rsid w:val="00684842"/>
    <w:rsid w:val="0068535C"/>
    <w:rsid w:val="0068751F"/>
    <w:rsid w:val="00687585"/>
    <w:rsid w:val="00690F97"/>
    <w:rsid w:val="00691E54"/>
    <w:rsid w:val="00692943"/>
    <w:rsid w:val="006943BE"/>
    <w:rsid w:val="00695179"/>
    <w:rsid w:val="00695CE5"/>
    <w:rsid w:val="00696473"/>
    <w:rsid w:val="00697460"/>
    <w:rsid w:val="006A1158"/>
    <w:rsid w:val="006A145C"/>
    <w:rsid w:val="006A18C4"/>
    <w:rsid w:val="006A198C"/>
    <w:rsid w:val="006A22D0"/>
    <w:rsid w:val="006A24F2"/>
    <w:rsid w:val="006A3171"/>
    <w:rsid w:val="006A39FA"/>
    <w:rsid w:val="006A3DC6"/>
    <w:rsid w:val="006A4462"/>
    <w:rsid w:val="006A4528"/>
    <w:rsid w:val="006A4E4D"/>
    <w:rsid w:val="006A4EFA"/>
    <w:rsid w:val="006A5422"/>
    <w:rsid w:val="006A5677"/>
    <w:rsid w:val="006A6504"/>
    <w:rsid w:val="006B1361"/>
    <w:rsid w:val="006B1416"/>
    <w:rsid w:val="006B2427"/>
    <w:rsid w:val="006B33D6"/>
    <w:rsid w:val="006B56B9"/>
    <w:rsid w:val="006B6436"/>
    <w:rsid w:val="006B6822"/>
    <w:rsid w:val="006B6E66"/>
    <w:rsid w:val="006B799D"/>
    <w:rsid w:val="006C1180"/>
    <w:rsid w:val="006C203E"/>
    <w:rsid w:val="006C2AD6"/>
    <w:rsid w:val="006C30EF"/>
    <w:rsid w:val="006C3332"/>
    <w:rsid w:val="006C33E7"/>
    <w:rsid w:val="006C3DF2"/>
    <w:rsid w:val="006C4413"/>
    <w:rsid w:val="006C499C"/>
    <w:rsid w:val="006C604D"/>
    <w:rsid w:val="006C6C7E"/>
    <w:rsid w:val="006D0797"/>
    <w:rsid w:val="006D1E69"/>
    <w:rsid w:val="006D1F87"/>
    <w:rsid w:val="006D212D"/>
    <w:rsid w:val="006D2449"/>
    <w:rsid w:val="006D3C90"/>
    <w:rsid w:val="006D40C1"/>
    <w:rsid w:val="006D42C1"/>
    <w:rsid w:val="006D4352"/>
    <w:rsid w:val="006D52E7"/>
    <w:rsid w:val="006D5384"/>
    <w:rsid w:val="006D55DA"/>
    <w:rsid w:val="006D5C95"/>
    <w:rsid w:val="006D60AE"/>
    <w:rsid w:val="006D6F2C"/>
    <w:rsid w:val="006D79DB"/>
    <w:rsid w:val="006E0121"/>
    <w:rsid w:val="006E046C"/>
    <w:rsid w:val="006E20A4"/>
    <w:rsid w:val="006E2B02"/>
    <w:rsid w:val="006E438D"/>
    <w:rsid w:val="006E791C"/>
    <w:rsid w:val="006E7F24"/>
    <w:rsid w:val="006E7F60"/>
    <w:rsid w:val="006F1410"/>
    <w:rsid w:val="006F1C51"/>
    <w:rsid w:val="006F2DE2"/>
    <w:rsid w:val="006F4D31"/>
    <w:rsid w:val="006F53EC"/>
    <w:rsid w:val="006F5724"/>
    <w:rsid w:val="006F6981"/>
    <w:rsid w:val="006F6C4B"/>
    <w:rsid w:val="00700EE4"/>
    <w:rsid w:val="007016F7"/>
    <w:rsid w:val="00701F18"/>
    <w:rsid w:val="0070206C"/>
    <w:rsid w:val="00702F31"/>
    <w:rsid w:val="00703170"/>
    <w:rsid w:val="00704150"/>
    <w:rsid w:val="00704EDB"/>
    <w:rsid w:val="00704FA0"/>
    <w:rsid w:val="0070537C"/>
    <w:rsid w:val="00705A6D"/>
    <w:rsid w:val="00705DF8"/>
    <w:rsid w:val="007073D2"/>
    <w:rsid w:val="00710AB1"/>
    <w:rsid w:val="007111CA"/>
    <w:rsid w:val="00711955"/>
    <w:rsid w:val="00713054"/>
    <w:rsid w:val="007138F5"/>
    <w:rsid w:val="0071403C"/>
    <w:rsid w:val="00714E20"/>
    <w:rsid w:val="007155C6"/>
    <w:rsid w:val="00715C95"/>
    <w:rsid w:val="00715D09"/>
    <w:rsid w:val="007162E0"/>
    <w:rsid w:val="00721014"/>
    <w:rsid w:val="00722BEA"/>
    <w:rsid w:val="00722DC0"/>
    <w:rsid w:val="00722FF3"/>
    <w:rsid w:val="007232E7"/>
    <w:rsid w:val="0072344E"/>
    <w:rsid w:val="0072550B"/>
    <w:rsid w:val="00725E22"/>
    <w:rsid w:val="00726B6C"/>
    <w:rsid w:val="00727C33"/>
    <w:rsid w:val="00730FFA"/>
    <w:rsid w:val="007311CD"/>
    <w:rsid w:val="007321B2"/>
    <w:rsid w:val="00732389"/>
    <w:rsid w:val="00732B26"/>
    <w:rsid w:val="00732EC1"/>
    <w:rsid w:val="00733285"/>
    <w:rsid w:val="0073383B"/>
    <w:rsid w:val="00733862"/>
    <w:rsid w:val="0073396D"/>
    <w:rsid w:val="007343AC"/>
    <w:rsid w:val="00735988"/>
    <w:rsid w:val="00736680"/>
    <w:rsid w:val="00736932"/>
    <w:rsid w:val="00737786"/>
    <w:rsid w:val="00737C94"/>
    <w:rsid w:val="00737DBD"/>
    <w:rsid w:val="00741D0E"/>
    <w:rsid w:val="00742CD5"/>
    <w:rsid w:val="007434DF"/>
    <w:rsid w:val="00743D09"/>
    <w:rsid w:val="0075007C"/>
    <w:rsid w:val="00750C07"/>
    <w:rsid w:val="0075125F"/>
    <w:rsid w:val="00752310"/>
    <w:rsid w:val="00753063"/>
    <w:rsid w:val="00754B5C"/>
    <w:rsid w:val="00757E69"/>
    <w:rsid w:val="00761BEC"/>
    <w:rsid w:val="00761CC1"/>
    <w:rsid w:val="00762B5F"/>
    <w:rsid w:val="00762F86"/>
    <w:rsid w:val="0076339E"/>
    <w:rsid w:val="00763769"/>
    <w:rsid w:val="00766757"/>
    <w:rsid w:val="00766B87"/>
    <w:rsid w:val="00770327"/>
    <w:rsid w:val="00771BCA"/>
    <w:rsid w:val="00771DC1"/>
    <w:rsid w:val="0077230B"/>
    <w:rsid w:val="007724E1"/>
    <w:rsid w:val="00775717"/>
    <w:rsid w:val="0077613F"/>
    <w:rsid w:val="007767B5"/>
    <w:rsid w:val="00776DED"/>
    <w:rsid w:val="0077724D"/>
    <w:rsid w:val="00781402"/>
    <w:rsid w:val="0078199F"/>
    <w:rsid w:val="00783879"/>
    <w:rsid w:val="00783A27"/>
    <w:rsid w:val="007849AF"/>
    <w:rsid w:val="007852CD"/>
    <w:rsid w:val="00785E7F"/>
    <w:rsid w:val="00786B02"/>
    <w:rsid w:val="007910C0"/>
    <w:rsid w:val="00791773"/>
    <w:rsid w:val="00791C0B"/>
    <w:rsid w:val="007933BB"/>
    <w:rsid w:val="00793CFB"/>
    <w:rsid w:val="00794549"/>
    <w:rsid w:val="007949E8"/>
    <w:rsid w:val="0079542D"/>
    <w:rsid w:val="00796DC4"/>
    <w:rsid w:val="0079758F"/>
    <w:rsid w:val="00797914"/>
    <w:rsid w:val="007A0B86"/>
    <w:rsid w:val="007A21E5"/>
    <w:rsid w:val="007A2413"/>
    <w:rsid w:val="007A36D1"/>
    <w:rsid w:val="007A495B"/>
    <w:rsid w:val="007A53D8"/>
    <w:rsid w:val="007A54E5"/>
    <w:rsid w:val="007A5DBB"/>
    <w:rsid w:val="007A5F9F"/>
    <w:rsid w:val="007A6074"/>
    <w:rsid w:val="007A623D"/>
    <w:rsid w:val="007A7E2C"/>
    <w:rsid w:val="007B064D"/>
    <w:rsid w:val="007B0835"/>
    <w:rsid w:val="007B0B1F"/>
    <w:rsid w:val="007B0D6E"/>
    <w:rsid w:val="007B0E3B"/>
    <w:rsid w:val="007B1684"/>
    <w:rsid w:val="007B3C0B"/>
    <w:rsid w:val="007B44D4"/>
    <w:rsid w:val="007B45FC"/>
    <w:rsid w:val="007B4688"/>
    <w:rsid w:val="007B57FA"/>
    <w:rsid w:val="007B65A8"/>
    <w:rsid w:val="007B67ED"/>
    <w:rsid w:val="007B7663"/>
    <w:rsid w:val="007C0664"/>
    <w:rsid w:val="007C252E"/>
    <w:rsid w:val="007C2D58"/>
    <w:rsid w:val="007C430B"/>
    <w:rsid w:val="007C4ACA"/>
    <w:rsid w:val="007C4C84"/>
    <w:rsid w:val="007C5389"/>
    <w:rsid w:val="007C5543"/>
    <w:rsid w:val="007C5E4A"/>
    <w:rsid w:val="007C6887"/>
    <w:rsid w:val="007C68CF"/>
    <w:rsid w:val="007C7935"/>
    <w:rsid w:val="007D0676"/>
    <w:rsid w:val="007D0AC8"/>
    <w:rsid w:val="007D1193"/>
    <w:rsid w:val="007D1784"/>
    <w:rsid w:val="007D1D85"/>
    <w:rsid w:val="007D2AAA"/>
    <w:rsid w:val="007D3756"/>
    <w:rsid w:val="007D398F"/>
    <w:rsid w:val="007D5D9A"/>
    <w:rsid w:val="007D7041"/>
    <w:rsid w:val="007D7B7F"/>
    <w:rsid w:val="007E10E2"/>
    <w:rsid w:val="007E13F5"/>
    <w:rsid w:val="007E19CD"/>
    <w:rsid w:val="007E1DA3"/>
    <w:rsid w:val="007E2267"/>
    <w:rsid w:val="007E3B6F"/>
    <w:rsid w:val="007E52CC"/>
    <w:rsid w:val="007E6FAE"/>
    <w:rsid w:val="007E78E3"/>
    <w:rsid w:val="007F0A97"/>
    <w:rsid w:val="007F0E35"/>
    <w:rsid w:val="007F1595"/>
    <w:rsid w:val="007F225F"/>
    <w:rsid w:val="007F3A8F"/>
    <w:rsid w:val="007F4807"/>
    <w:rsid w:val="007F483D"/>
    <w:rsid w:val="007F6F43"/>
    <w:rsid w:val="00800376"/>
    <w:rsid w:val="00802880"/>
    <w:rsid w:val="00802FD3"/>
    <w:rsid w:val="0080316B"/>
    <w:rsid w:val="00803817"/>
    <w:rsid w:val="00803DB5"/>
    <w:rsid w:val="00807B2F"/>
    <w:rsid w:val="00810243"/>
    <w:rsid w:val="008129FD"/>
    <w:rsid w:val="00816003"/>
    <w:rsid w:val="00817927"/>
    <w:rsid w:val="00817EC0"/>
    <w:rsid w:val="00820BE2"/>
    <w:rsid w:val="00822470"/>
    <w:rsid w:val="008232C1"/>
    <w:rsid w:val="00824AA6"/>
    <w:rsid w:val="00825AF5"/>
    <w:rsid w:val="008279EE"/>
    <w:rsid w:val="008313D4"/>
    <w:rsid w:val="00831898"/>
    <w:rsid w:val="00831C4F"/>
    <w:rsid w:val="0083379B"/>
    <w:rsid w:val="00833CEC"/>
    <w:rsid w:val="00833CFC"/>
    <w:rsid w:val="0083427D"/>
    <w:rsid w:val="008347D3"/>
    <w:rsid w:val="00834B28"/>
    <w:rsid w:val="00834D1F"/>
    <w:rsid w:val="008355A3"/>
    <w:rsid w:val="00836D50"/>
    <w:rsid w:val="008407A6"/>
    <w:rsid w:val="0084117D"/>
    <w:rsid w:val="008425C7"/>
    <w:rsid w:val="008428B2"/>
    <w:rsid w:val="008428C4"/>
    <w:rsid w:val="00843A92"/>
    <w:rsid w:val="00843E0E"/>
    <w:rsid w:val="008452A7"/>
    <w:rsid w:val="00845BB0"/>
    <w:rsid w:val="008467F9"/>
    <w:rsid w:val="00846F8B"/>
    <w:rsid w:val="00853814"/>
    <w:rsid w:val="00853A2A"/>
    <w:rsid w:val="00853B2A"/>
    <w:rsid w:val="00853D6F"/>
    <w:rsid w:val="0085557F"/>
    <w:rsid w:val="00855F61"/>
    <w:rsid w:val="00856F11"/>
    <w:rsid w:val="00861E9E"/>
    <w:rsid w:val="00861F85"/>
    <w:rsid w:val="0086268E"/>
    <w:rsid w:val="00862FF6"/>
    <w:rsid w:val="00863A19"/>
    <w:rsid w:val="00863AF8"/>
    <w:rsid w:val="00863DA4"/>
    <w:rsid w:val="00864843"/>
    <w:rsid w:val="00864F2E"/>
    <w:rsid w:val="00865799"/>
    <w:rsid w:val="00866410"/>
    <w:rsid w:val="00871C37"/>
    <w:rsid w:val="00871EC1"/>
    <w:rsid w:val="00872071"/>
    <w:rsid w:val="0087228F"/>
    <w:rsid w:val="00873577"/>
    <w:rsid w:val="00873597"/>
    <w:rsid w:val="008745E4"/>
    <w:rsid w:val="00875191"/>
    <w:rsid w:val="008751C4"/>
    <w:rsid w:val="008758FF"/>
    <w:rsid w:val="0087619F"/>
    <w:rsid w:val="0087679D"/>
    <w:rsid w:val="00877017"/>
    <w:rsid w:val="0087771F"/>
    <w:rsid w:val="00880C72"/>
    <w:rsid w:val="00881356"/>
    <w:rsid w:val="00881DC5"/>
    <w:rsid w:val="0088288A"/>
    <w:rsid w:val="00883381"/>
    <w:rsid w:val="008836FE"/>
    <w:rsid w:val="008837D4"/>
    <w:rsid w:val="00886474"/>
    <w:rsid w:val="00887277"/>
    <w:rsid w:val="0089085E"/>
    <w:rsid w:val="00891508"/>
    <w:rsid w:val="008917B6"/>
    <w:rsid w:val="00892119"/>
    <w:rsid w:val="00892233"/>
    <w:rsid w:val="00892303"/>
    <w:rsid w:val="00893720"/>
    <w:rsid w:val="00893A02"/>
    <w:rsid w:val="0089474E"/>
    <w:rsid w:val="008948BF"/>
    <w:rsid w:val="008951B3"/>
    <w:rsid w:val="0089565E"/>
    <w:rsid w:val="00895953"/>
    <w:rsid w:val="00895F69"/>
    <w:rsid w:val="008973EC"/>
    <w:rsid w:val="008A0E17"/>
    <w:rsid w:val="008A1126"/>
    <w:rsid w:val="008A20B7"/>
    <w:rsid w:val="008A2E98"/>
    <w:rsid w:val="008A41A0"/>
    <w:rsid w:val="008A4409"/>
    <w:rsid w:val="008A4EF5"/>
    <w:rsid w:val="008A5355"/>
    <w:rsid w:val="008A5D77"/>
    <w:rsid w:val="008A5F68"/>
    <w:rsid w:val="008A6CFD"/>
    <w:rsid w:val="008A751C"/>
    <w:rsid w:val="008A7972"/>
    <w:rsid w:val="008A7CFA"/>
    <w:rsid w:val="008B0CFE"/>
    <w:rsid w:val="008B1429"/>
    <w:rsid w:val="008B1573"/>
    <w:rsid w:val="008B2209"/>
    <w:rsid w:val="008B3EC0"/>
    <w:rsid w:val="008B446E"/>
    <w:rsid w:val="008B45D9"/>
    <w:rsid w:val="008B4965"/>
    <w:rsid w:val="008B5268"/>
    <w:rsid w:val="008B6332"/>
    <w:rsid w:val="008B64CE"/>
    <w:rsid w:val="008B6FF5"/>
    <w:rsid w:val="008B733A"/>
    <w:rsid w:val="008B7814"/>
    <w:rsid w:val="008B7EE6"/>
    <w:rsid w:val="008B7F5D"/>
    <w:rsid w:val="008C05CD"/>
    <w:rsid w:val="008C0B37"/>
    <w:rsid w:val="008C0C33"/>
    <w:rsid w:val="008C1DE7"/>
    <w:rsid w:val="008C2057"/>
    <w:rsid w:val="008C4796"/>
    <w:rsid w:val="008C4B5C"/>
    <w:rsid w:val="008C5420"/>
    <w:rsid w:val="008C5E07"/>
    <w:rsid w:val="008C6398"/>
    <w:rsid w:val="008C6941"/>
    <w:rsid w:val="008C6CE2"/>
    <w:rsid w:val="008C721E"/>
    <w:rsid w:val="008D06F4"/>
    <w:rsid w:val="008D0C3F"/>
    <w:rsid w:val="008D1314"/>
    <w:rsid w:val="008D1795"/>
    <w:rsid w:val="008D1946"/>
    <w:rsid w:val="008D251B"/>
    <w:rsid w:val="008D3807"/>
    <w:rsid w:val="008D3A2E"/>
    <w:rsid w:val="008D3B68"/>
    <w:rsid w:val="008D4AB0"/>
    <w:rsid w:val="008D4E74"/>
    <w:rsid w:val="008D5F43"/>
    <w:rsid w:val="008D6101"/>
    <w:rsid w:val="008D6827"/>
    <w:rsid w:val="008D6F05"/>
    <w:rsid w:val="008D7D05"/>
    <w:rsid w:val="008E00A6"/>
    <w:rsid w:val="008E0462"/>
    <w:rsid w:val="008E089C"/>
    <w:rsid w:val="008E0C33"/>
    <w:rsid w:val="008E0DC0"/>
    <w:rsid w:val="008E1373"/>
    <w:rsid w:val="008E32A5"/>
    <w:rsid w:val="008E34F3"/>
    <w:rsid w:val="008E37FF"/>
    <w:rsid w:val="008E3AB1"/>
    <w:rsid w:val="008E3B37"/>
    <w:rsid w:val="008E40A6"/>
    <w:rsid w:val="008E41A3"/>
    <w:rsid w:val="008E4C32"/>
    <w:rsid w:val="008E4D60"/>
    <w:rsid w:val="008E5957"/>
    <w:rsid w:val="008E640F"/>
    <w:rsid w:val="008E67A0"/>
    <w:rsid w:val="008E6A6D"/>
    <w:rsid w:val="008E7023"/>
    <w:rsid w:val="008F2A74"/>
    <w:rsid w:val="008F4FDF"/>
    <w:rsid w:val="008F50D4"/>
    <w:rsid w:val="008F6EA9"/>
    <w:rsid w:val="008F6F60"/>
    <w:rsid w:val="008F77BF"/>
    <w:rsid w:val="00900010"/>
    <w:rsid w:val="0090226E"/>
    <w:rsid w:val="00902869"/>
    <w:rsid w:val="00903DB8"/>
    <w:rsid w:val="009046A0"/>
    <w:rsid w:val="00904AF0"/>
    <w:rsid w:val="00904B23"/>
    <w:rsid w:val="00905524"/>
    <w:rsid w:val="00906539"/>
    <w:rsid w:val="009065CB"/>
    <w:rsid w:val="009069D3"/>
    <w:rsid w:val="00906DFD"/>
    <w:rsid w:val="00907A72"/>
    <w:rsid w:val="00907F60"/>
    <w:rsid w:val="0091068B"/>
    <w:rsid w:val="00911190"/>
    <w:rsid w:val="00911470"/>
    <w:rsid w:val="0091152A"/>
    <w:rsid w:val="00912D27"/>
    <w:rsid w:val="0091366C"/>
    <w:rsid w:val="00913B5A"/>
    <w:rsid w:val="009141BB"/>
    <w:rsid w:val="00914BD8"/>
    <w:rsid w:val="009160B9"/>
    <w:rsid w:val="00916279"/>
    <w:rsid w:val="0091705F"/>
    <w:rsid w:val="009236B5"/>
    <w:rsid w:val="00924660"/>
    <w:rsid w:val="00924727"/>
    <w:rsid w:val="00924DAA"/>
    <w:rsid w:val="00925DC5"/>
    <w:rsid w:val="00926EB2"/>
    <w:rsid w:val="00926F8F"/>
    <w:rsid w:val="00927124"/>
    <w:rsid w:val="0092760A"/>
    <w:rsid w:val="00927DED"/>
    <w:rsid w:val="00927F67"/>
    <w:rsid w:val="00930298"/>
    <w:rsid w:val="009303B2"/>
    <w:rsid w:val="00931577"/>
    <w:rsid w:val="00931660"/>
    <w:rsid w:val="00931FA2"/>
    <w:rsid w:val="0093201F"/>
    <w:rsid w:val="009321F1"/>
    <w:rsid w:val="00933279"/>
    <w:rsid w:val="00933306"/>
    <w:rsid w:val="0093377E"/>
    <w:rsid w:val="0093475C"/>
    <w:rsid w:val="00934A05"/>
    <w:rsid w:val="009352B3"/>
    <w:rsid w:val="00935384"/>
    <w:rsid w:val="00935991"/>
    <w:rsid w:val="009365BA"/>
    <w:rsid w:val="00936F31"/>
    <w:rsid w:val="00937171"/>
    <w:rsid w:val="009378FB"/>
    <w:rsid w:val="00940A24"/>
    <w:rsid w:val="00941D4C"/>
    <w:rsid w:val="009424BC"/>
    <w:rsid w:val="0094303D"/>
    <w:rsid w:val="00944CBC"/>
    <w:rsid w:val="009457D5"/>
    <w:rsid w:val="00946977"/>
    <w:rsid w:val="00951B73"/>
    <w:rsid w:val="009522C3"/>
    <w:rsid w:val="009536E9"/>
    <w:rsid w:val="00953913"/>
    <w:rsid w:val="009540DA"/>
    <w:rsid w:val="00955305"/>
    <w:rsid w:val="00955435"/>
    <w:rsid w:val="00955A14"/>
    <w:rsid w:val="0095678A"/>
    <w:rsid w:val="00957D6A"/>
    <w:rsid w:val="00960960"/>
    <w:rsid w:val="0096104D"/>
    <w:rsid w:val="009611F9"/>
    <w:rsid w:val="00964446"/>
    <w:rsid w:val="0096473A"/>
    <w:rsid w:val="00966F06"/>
    <w:rsid w:val="00970F22"/>
    <w:rsid w:val="00971377"/>
    <w:rsid w:val="00972864"/>
    <w:rsid w:val="009729ED"/>
    <w:rsid w:val="00973823"/>
    <w:rsid w:val="00974313"/>
    <w:rsid w:val="00974A34"/>
    <w:rsid w:val="009755C6"/>
    <w:rsid w:val="009762A2"/>
    <w:rsid w:val="00976B69"/>
    <w:rsid w:val="00976EEA"/>
    <w:rsid w:val="0098031C"/>
    <w:rsid w:val="00980EF1"/>
    <w:rsid w:val="00980F45"/>
    <w:rsid w:val="009810B5"/>
    <w:rsid w:val="00982024"/>
    <w:rsid w:val="009842BD"/>
    <w:rsid w:val="00985EA9"/>
    <w:rsid w:val="009900C3"/>
    <w:rsid w:val="00990101"/>
    <w:rsid w:val="009916EB"/>
    <w:rsid w:val="00992511"/>
    <w:rsid w:val="00992AB4"/>
    <w:rsid w:val="00992B17"/>
    <w:rsid w:val="00993536"/>
    <w:rsid w:val="009935C1"/>
    <w:rsid w:val="00993B8C"/>
    <w:rsid w:val="009945CA"/>
    <w:rsid w:val="00994604"/>
    <w:rsid w:val="00994FD8"/>
    <w:rsid w:val="00995A50"/>
    <w:rsid w:val="0099609B"/>
    <w:rsid w:val="009969BD"/>
    <w:rsid w:val="00997714"/>
    <w:rsid w:val="00997890"/>
    <w:rsid w:val="009A0228"/>
    <w:rsid w:val="009A10ED"/>
    <w:rsid w:val="009A1596"/>
    <w:rsid w:val="009A2562"/>
    <w:rsid w:val="009A36CB"/>
    <w:rsid w:val="009A4082"/>
    <w:rsid w:val="009A48DB"/>
    <w:rsid w:val="009A5CA1"/>
    <w:rsid w:val="009A686D"/>
    <w:rsid w:val="009A69AD"/>
    <w:rsid w:val="009A6F0A"/>
    <w:rsid w:val="009A7A1F"/>
    <w:rsid w:val="009A7EBB"/>
    <w:rsid w:val="009A7FE1"/>
    <w:rsid w:val="009B0E62"/>
    <w:rsid w:val="009B0E98"/>
    <w:rsid w:val="009B25B7"/>
    <w:rsid w:val="009B313B"/>
    <w:rsid w:val="009B36F7"/>
    <w:rsid w:val="009B3764"/>
    <w:rsid w:val="009B394B"/>
    <w:rsid w:val="009B3A20"/>
    <w:rsid w:val="009B3DD7"/>
    <w:rsid w:val="009B48F3"/>
    <w:rsid w:val="009B4E06"/>
    <w:rsid w:val="009B6313"/>
    <w:rsid w:val="009B6404"/>
    <w:rsid w:val="009C0222"/>
    <w:rsid w:val="009C333D"/>
    <w:rsid w:val="009C3354"/>
    <w:rsid w:val="009C4101"/>
    <w:rsid w:val="009C494E"/>
    <w:rsid w:val="009C4D1E"/>
    <w:rsid w:val="009C4EA6"/>
    <w:rsid w:val="009C5493"/>
    <w:rsid w:val="009C555D"/>
    <w:rsid w:val="009C64C2"/>
    <w:rsid w:val="009C6F38"/>
    <w:rsid w:val="009C721C"/>
    <w:rsid w:val="009C7373"/>
    <w:rsid w:val="009C75EA"/>
    <w:rsid w:val="009C761E"/>
    <w:rsid w:val="009D1A16"/>
    <w:rsid w:val="009D2B5C"/>
    <w:rsid w:val="009D3145"/>
    <w:rsid w:val="009D3EB3"/>
    <w:rsid w:val="009D5D3F"/>
    <w:rsid w:val="009D6AD4"/>
    <w:rsid w:val="009E0E3D"/>
    <w:rsid w:val="009E103B"/>
    <w:rsid w:val="009E10B6"/>
    <w:rsid w:val="009E142C"/>
    <w:rsid w:val="009E183C"/>
    <w:rsid w:val="009E235E"/>
    <w:rsid w:val="009E2EC8"/>
    <w:rsid w:val="009E5FEF"/>
    <w:rsid w:val="009E60D1"/>
    <w:rsid w:val="009E62D8"/>
    <w:rsid w:val="009E7018"/>
    <w:rsid w:val="009E722B"/>
    <w:rsid w:val="009E74EF"/>
    <w:rsid w:val="009E7741"/>
    <w:rsid w:val="009F07BB"/>
    <w:rsid w:val="009F13A2"/>
    <w:rsid w:val="009F45FE"/>
    <w:rsid w:val="009F4DE3"/>
    <w:rsid w:val="009F544E"/>
    <w:rsid w:val="009F5FC1"/>
    <w:rsid w:val="009F648F"/>
    <w:rsid w:val="009F6B6A"/>
    <w:rsid w:val="009F6F9B"/>
    <w:rsid w:val="009F75F5"/>
    <w:rsid w:val="009F7FC1"/>
    <w:rsid w:val="00A00121"/>
    <w:rsid w:val="00A00CF1"/>
    <w:rsid w:val="00A01271"/>
    <w:rsid w:val="00A0209E"/>
    <w:rsid w:val="00A0354B"/>
    <w:rsid w:val="00A03C25"/>
    <w:rsid w:val="00A04D60"/>
    <w:rsid w:val="00A06409"/>
    <w:rsid w:val="00A070EC"/>
    <w:rsid w:val="00A0738D"/>
    <w:rsid w:val="00A07581"/>
    <w:rsid w:val="00A10375"/>
    <w:rsid w:val="00A10A15"/>
    <w:rsid w:val="00A112EA"/>
    <w:rsid w:val="00A113EE"/>
    <w:rsid w:val="00A1184E"/>
    <w:rsid w:val="00A11F3A"/>
    <w:rsid w:val="00A1214D"/>
    <w:rsid w:val="00A133A0"/>
    <w:rsid w:val="00A133C4"/>
    <w:rsid w:val="00A1364A"/>
    <w:rsid w:val="00A14092"/>
    <w:rsid w:val="00A1440E"/>
    <w:rsid w:val="00A14A78"/>
    <w:rsid w:val="00A14CF3"/>
    <w:rsid w:val="00A14F64"/>
    <w:rsid w:val="00A15059"/>
    <w:rsid w:val="00A154DE"/>
    <w:rsid w:val="00A1619D"/>
    <w:rsid w:val="00A17D43"/>
    <w:rsid w:val="00A20CB6"/>
    <w:rsid w:val="00A2204F"/>
    <w:rsid w:val="00A226FB"/>
    <w:rsid w:val="00A23051"/>
    <w:rsid w:val="00A2459D"/>
    <w:rsid w:val="00A24B8C"/>
    <w:rsid w:val="00A26024"/>
    <w:rsid w:val="00A260A3"/>
    <w:rsid w:val="00A261A9"/>
    <w:rsid w:val="00A265DE"/>
    <w:rsid w:val="00A26A90"/>
    <w:rsid w:val="00A26D09"/>
    <w:rsid w:val="00A2760E"/>
    <w:rsid w:val="00A27CB8"/>
    <w:rsid w:val="00A31561"/>
    <w:rsid w:val="00A317EB"/>
    <w:rsid w:val="00A31D64"/>
    <w:rsid w:val="00A32DE7"/>
    <w:rsid w:val="00A33B9C"/>
    <w:rsid w:val="00A33E67"/>
    <w:rsid w:val="00A3782A"/>
    <w:rsid w:val="00A37A00"/>
    <w:rsid w:val="00A40534"/>
    <w:rsid w:val="00A41202"/>
    <w:rsid w:val="00A41824"/>
    <w:rsid w:val="00A4357A"/>
    <w:rsid w:val="00A43B7F"/>
    <w:rsid w:val="00A46AFC"/>
    <w:rsid w:val="00A46EDB"/>
    <w:rsid w:val="00A513D2"/>
    <w:rsid w:val="00A5285B"/>
    <w:rsid w:val="00A52C1A"/>
    <w:rsid w:val="00A53FDC"/>
    <w:rsid w:val="00A54C0E"/>
    <w:rsid w:val="00A55360"/>
    <w:rsid w:val="00A553B0"/>
    <w:rsid w:val="00A57875"/>
    <w:rsid w:val="00A5796F"/>
    <w:rsid w:val="00A57C41"/>
    <w:rsid w:val="00A609AA"/>
    <w:rsid w:val="00A6125E"/>
    <w:rsid w:val="00A62B79"/>
    <w:rsid w:val="00A63E2D"/>
    <w:rsid w:val="00A6502F"/>
    <w:rsid w:val="00A670CE"/>
    <w:rsid w:val="00A678D5"/>
    <w:rsid w:val="00A70A0D"/>
    <w:rsid w:val="00A723B1"/>
    <w:rsid w:val="00A72C41"/>
    <w:rsid w:val="00A7336D"/>
    <w:rsid w:val="00A73398"/>
    <w:rsid w:val="00A74746"/>
    <w:rsid w:val="00A80076"/>
    <w:rsid w:val="00A800EE"/>
    <w:rsid w:val="00A80DF8"/>
    <w:rsid w:val="00A8300F"/>
    <w:rsid w:val="00A832BD"/>
    <w:rsid w:val="00A83437"/>
    <w:rsid w:val="00A8446E"/>
    <w:rsid w:val="00A853C5"/>
    <w:rsid w:val="00A863A7"/>
    <w:rsid w:val="00A863DA"/>
    <w:rsid w:val="00A86E82"/>
    <w:rsid w:val="00A86FEE"/>
    <w:rsid w:val="00A90937"/>
    <w:rsid w:val="00A90B43"/>
    <w:rsid w:val="00A9109E"/>
    <w:rsid w:val="00A91406"/>
    <w:rsid w:val="00A915C1"/>
    <w:rsid w:val="00A91AD0"/>
    <w:rsid w:val="00A91C81"/>
    <w:rsid w:val="00A93804"/>
    <w:rsid w:val="00A94AD6"/>
    <w:rsid w:val="00A9644B"/>
    <w:rsid w:val="00A96711"/>
    <w:rsid w:val="00A97A90"/>
    <w:rsid w:val="00AA18F1"/>
    <w:rsid w:val="00AA1957"/>
    <w:rsid w:val="00AA23C2"/>
    <w:rsid w:val="00AA242C"/>
    <w:rsid w:val="00AA2DA7"/>
    <w:rsid w:val="00AA3B1F"/>
    <w:rsid w:val="00AA496F"/>
    <w:rsid w:val="00AA4EA0"/>
    <w:rsid w:val="00AA5079"/>
    <w:rsid w:val="00AA584E"/>
    <w:rsid w:val="00AA59EE"/>
    <w:rsid w:val="00AA5A35"/>
    <w:rsid w:val="00AA5D8C"/>
    <w:rsid w:val="00AA71BF"/>
    <w:rsid w:val="00AA78C3"/>
    <w:rsid w:val="00AA7EDA"/>
    <w:rsid w:val="00AB10F7"/>
    <w:rsid w:val="00AB2257"/>
    <w:rsid w:val="00AB3AA6"/>
    <w:rsid w:val="00AB3C0C"/>
    <w:rsid w:val="00AB4836"/>
    <w:rsid w:val="00AB53F6"/>
    <w:rsid w:val="00AB5EC4"/>
    <w:rsid w:val="00AB688E"/>
    <w:rsid w:val="00AB6943"/>
    <w:rsid w:val="00AB7645"/>
    <w:rsid w:val="00AB7E6A"/>
    <w:rsid w:val="00AB7EEB"/>
    <w:rsid w:val="00AC1094"/>
    <w:rsid w:val="00AC1622"/>
    <w:rsid w:val="00AC1E3A"/>
    <w:rsid w:val="00AC202E"/>
    <w:rsid w:val="00AC2979"/>
    <w:rsid w:val="00AC3198"/>
    <w:rsid w:val="00AC3897"/>
    <w:rsid w:val="00AC39E4"/>
    <w:rsid w:val="00AC4234"/>
    <w:rsid w:val="00AC5563"/>
    <w:rsid w:val="00AC63CF"/>
    <w:rsid w:val="00AC7DAA"/>
    <w:rsid w:val="00AD0374"/>
    <w:rsid w:val="00AD0413"/>
    <w:rsid w:val="00AD1759"/>
    <w:rsid w:val="00AD17A7"/>
    <w:rsid w:val="00AD22BA"/>
    <w:rsid w:val="00AD39A2"/>
    <w:rsid w:val="00AD3B39"/>
    <w:rsid w:val="00AD5B61"/>
    <w:rsid w:val="00AE1B51"/>
    <w:rsid w:val="00AE2505"/>
    <w:rsid w:val="00AE2986"/>
    <w:rsid w:val="00AE4A24"/>
    <w:rsid w:val="00AE4A9F"/>
    <w:rsid w:val="00AE5E30"/>
    <w:rsid w:val="00AE7C18"/>
    <w:rsid w:val="00AF0EC7"/>
    <w:rsid w:val="00AF2131"/>
    <w:rsid w:val="00AF33AD"/>
    <w:rsid w:val="00AF4B53"/>
    <w:rsid w:val="00AF505D"/>
    <w:rsid w:val="00AF515E"/>
    <w:rsid w:val="00AF5560"/>
    <w:rsid w:val="00AF65B3"/>
    <w:rsid w:val="00AF6B4B"/>
    <w:rsid w:val="00AF73E5"/>
    <w:rsid w:val="00AF7D8A"/>
    <w:rsid w:val="00B000AD"/>
    <w:rsid w:val="00B004C4"/>
    <w:rsid w:val="00B00A27"/>
    <w:rsid w:val="00B01143"/>
    <w:rsid w:val="00B018AB"/>
    <w:rsid w:val="00B01BCB"/>
    <w:rsid w:val="00B02C96"/>
    <w:rsid w:val="00B02FE2"/>
    <w:rsid w:val="00B04560"/>
    <w:rsid w:val="00B047AE"/>
    <w:rsid w:val="00B05272"/>
    <w:rsid w:val="00B052F1"/>
    <w:rsid w:val="00B0617B"/>
    <w:rsid w:val="00B10E61"/>
    <w:rsid w:val="00B10EFE"/>
    <w:rsid w:val="00B11027"/>
    <w:rsid w:val="00B110C1"/>
    <w:rsid w:val="00B1198E"/>
    <w:rsid w:val="00B11CE7"/>
    <w:rsid w:val="00B12EEF"/>
    <w:rsid w:val="00B13182"/>
    <w:rsid w:val="00B15035"/>
    <w:rsid w:val="00B158F7"/>
    <w:rsid w:val="00B15E28"/>
    <w:rsid w:val="00B15FE5"/>
    <w:rsid w:val="00B16E7B"/>
    <w:rsid w:val="00B16FC5"/>
    <w:rsid w:val="00B16FE2"/>
    <w:rsid w:val="00B178E8"/>
    <w:rsid w:val="00B219DF"/>
    <w:rsid w:val="00B21D48"/>
    <w:rsid w:val="00B22D1C"/>
    <w:rsid w:val="00B23492"/>
    <w:rsid w:val="00B246F3"/>
    <w:rsid w:val="00B268A9"/>
    <w:rsid w:val="00B27925"/>
    <w:rsid w:val="00B30292"/>
    <w:rsid w:val="00B304D2"/>
    <w:rsid w:val="00B31476"/>
    <w:rsid w:val="00B315B7"/>
    <w:rsid w:val="00B3254A"/>
    <w:rsid w:val="00B32A15"/>
    <w:rsid w:val="00B33514"/>
    <w:rsid w:val="00B34187"/>
    <w:rsid w:val="00B349D3"/>
    <w:rsid w:val="00B34E2E"/>
    <w:rsid w:val="00B35A88"/>
    <w:rsid w:val="00B35F20"/>
    <w:rsid w:val="00B366E1"/>
    <w:rsid w:val="00B36F17"/>
    <w:rsid w:val="00B37212"/>
    <w:rsid w:val="00B379CE"/>
    <w:rsid w:val="00B401ED"/>
    <w:rsid w:val="00B414FE"/>
    <w:rsid w:val="00B415BD"/>
    <w:rsid w:val="00B41DFA"/>
    <w:rsid w:val="00B4321D"/>
    <w:rsid w:val="00B468DA"/>
    <w:rsid w:val="00B46A1D"/>
    <w:rsid w:val="00B46E37"/>
    <w:rsid w:val="00B47989"/>
    <w:rsid w:val="00B50323"/>
    <w:rsid w:val="00B50F82"/>
    <w:rsid w:val="00B51BA0"/>
    <w:rsid w:val="00B5248C"/>
    <w:rsid w:val="00B524A5"/>
    <w:rsid w:val="00B52A9A"/>
    <w:rsid w:val="00B52B85"/>
    <w:rsid w:val="00B54164"/>
    <w:rsid w:val="00B54832"/>
    <w:rsid w:val="00B551DE"/>
    <w:rsid w:val="00B55DCE"/>
    <w:rsid w:val="00B56BDA"/>
    <w:rsid w:val="00B56F0E"/>
    <w:rsid w:val="00B57B1F"/>
    <w:rsid w:val="00B57D4D"/>
    <w:rsid w:val="00B60047"/>
    <w:rsid w:val="00B6094A"/>
    <w:rsid w:val="00B60AB4"/>
    <w:rsid w:val="00B6200F"/>
    <w:rsid w:val="00B62186"/>
    <w:rsid w:val="00B6273B"/>
    <w:rsid w:val="00B633E4"/>
    <w:rsid w:val="00B63667"/>
    <w:rsid w:val="00B63777"/>
    <w:rsid w:val="00B638C3"/>
    <w:rsid w:val="00B647D2"/>
    <w:rsid w:val="00B657D8"/>
    <w:rsid w:val="00B671D6"/>
    <w:rsid w:val="00B71444"/>
    <w:rsid w:val="00B728EB"/>
    <w:rsid w:val="00B73B21"/>
    <w:rsid w:val="00B73C30"/>
    <w:rsid w:val="00B73F56"/>
    <w:rsid w:val="00B742C0"/>
    <w:rsid w:val="00B745D7"/>
    <w:rsid w:val="00B74893"/>
    <w:rsid w:val="00B752DC"/>
    <w:rsid w:val="00B76216"/>
    <w:rsid w:val="00B766B5"/>
    <w:rsid w:val="00B76AAF"/>
    <w:rsid w:val="00B779B3"/>
    <w:rsid w:val="00B8048E"/>
    <w:rsid w:val="00B807A2"/>
    <w:rsid w:val="00B80AF3"/>
    <w:rsid w:val="00B815C2"/>
    <w:rsid w:val="00B8369D"/>
    <w:rsid w:val="00B83A76"/>
    <w:rsid w:val="00B83AFB"/>
    <w:rsid w:val="00B83BEE"/>
    <w:rsid w:val="00B84642"/>
    <w:rsid w:val="00B85929"/>
    <w:rsid w:val="00B86A8A"/>
    <w:rsid w:val="00B87148"/>
    <w:rsid w:val="00B87CD8"/>
    <w:rsid w:val="00B90879"/>
    <w:rsid w:val="00B918F5"/>
    <w:rsid w:val="00B91FEA"/>
    <w:rsid w:val="00B92DE6"/>
    <w:rsid w:val="00B93452"/>
    <w:rsid w:val="00B9424B"/>
    <w:rsid w:val="00B94E94"/>
    <w:rsid w:val="00B95616"/>
    <w:rsid w:val="00B968E7"/>
    <w:rsid w:val="00B96DA6"/>
    <w:rsid w:val="00B973CA"/>
    <w:rsid w:val="00B979BF"/>
    <w:rsid w:val="00BA0A4C"/>
    <w:rsid w:val="00BA0D02"/>
    <w:rsid w:val="00BA0D05"/>
    <w:rsid w:val="00BA1272"/>
    <w:rsid w:val="00BA2378"/>
    <w:rsid w:val="00BA49CC"/>
    <w:rsid w:val="00BA4B27"/>
    <w:rsid w:val="00BA6EF8"/>
    <w:rsid w:val="00BA78B9"/>
    <w:rsid w:val="00BA7AAD"/>
    <w:rsid w:val="00BA7F91"/>
    <w:rsid w:val="00BB060D"/>
    <w:rsid w:val="00BB1523"/>
    <w:rsid w:val="00BB1AFE"/>
    <w:rsid w:val="00BB1D5B"/>
    <w:rsid w:val="00BB2FEA"/>
    <w:rsid w:val="00BB3843"/>
    <w:rsid w:val="00BB3D83"/>
    <w:rsid w:val="00BB51C4"/>
    <w:rsid w:val="00BB5297"/>
    <w:rsid w:val="00BB5CB3"/>
    <w:rsid w:val="00BB6E46"/>
    <w:rsid w:val="00BB6EA8"/>
    <w:rsid w:val="00BB7352"/>
    <w:rsid w:val="00BC035E"/>
    <w:rsid w:val="00BC048C"/>
    <w:rsid w:val="00BC0860"/>
    <w:rsid w:val="00BC0951"/>
    <w:rsid w:val="00BC0A09"/>
    <w:rsid w:val="00BC1165"/>
    <w:rsid w:val="00BC11CC"/>
    <w:rsid w:val="00BC12B7"/>
    <w:rsid w:val="00BC198B"/>
    <w:rsid w:val="00BC1DE4"/>
    <w:rsid w:val="00BC2519"/>
    <w:rsid w:val="00BC6912"/>
    <w:rsid w:val="00BC697F"/>
    <w:rsid w:val="00BC7954"/>
    <w:rsid w:val="00BC7D41"/>
    <w:rsid w:val="00BD03CC"/>
    <w:rsid w:val="00BD25B4"/>
    <w:rsid w:val="00BD2816"/>
    <w:rsid w:val="00BD303D"/>
    <w:rsid w:val="00BD3B53"/>
    <w:rsid w:val="00BD42FC"/>
    <w:rsid w:val="00BD48EB"/>
    <w:rsid w:val="00BD49E2"/>
    <w:rsid w:val="00BD5651"/>
    <w:rsid w:val="00BD56FC"/>
    <w:rsid w:val="00BD7538"/>
    <w:rsid w:val="00BD76EC"/>
    <w:rsid w:val="00BD7F26"/>
    <w:rsid w:val="00BE0326"/>
    <w:rsid w:val="00BE05B0"/>
    <w:rsid w:val="00BE0F6C"/>
    <w:rsid w:val="00BE19D5"/>
    <w:rsid w:val="00BE2227"/>
    <w:rsid w:val="00BE3812"/>
    <w:rsid w:val="00BE3E04"/>
    <w:rsid w:val="00BE4B92"/>
    <w:rsid w:val="00BE5102"/>
    <w:rsid w:val="00BE55B4"/>
    <w:rsid w:val="00BE5CCA"/>
    <w:rsid w:val="00BE724E"/>
    <w:rsid w:val="00BE7905"/>
    <w:rsid w:val="00BE7E5F"/>
    <w:rsid w:val="00BF0E51"/>
    <w:rsid w:val="00BF189F"/>
    <w:rsid w:val="00BF2F66"/>
    <w:rsid w:val="00BF3870"/>
    <w:rsid w:val="00BF392E"/>
    <w:rsid w:val="00BF39DC"/>
    <w:rsid w:val="00BF48C0"/>
    <w:rsid w:val="00BF5C20"/>
    <w:rsid w:val="00BF607F"/>
    <w:rsid w:val="00BF67C7"/>
    <w:rsid w:val="00BF78E8"/>
    <w:rsid w:val="00BF7E93"/>
    <w:rsid w:val="00C0036C"/>
    <w:rsid w:val="00C003B0"/>
    <w:rsid w:val="00C00BC4"/>
    <w:rsid w:val="00C01384"/>
    <w:rsid w:val="00C01772"/>
    <w:rsid w:val="00C02A1D"/>
    <w:rsid w:val="00C03383"/>
    <w:rsid w:val="00C03F00"/>
    <w:rsid w:val="00C04FC2"/>
    <w:rsid w:val="00C056BC"/>
    <w:rsid w:val="00C059EA"/>
    <w:rsid w:val="00C11779"/>
    <w:rsid w:val="00C11B65"/>
    <w:rsid w:val="00C130AE"/>
    <w:rsid w:val="00C14B0F"/>
    <w:rsid w:val="00C151BA"/>
    <w:rsid w:val="00C1561D"/>
    <w:rsid w:val="00C15E4B"/>
    <w:rsid w:val="00C1703E"/>
    <w:rsid w:val="00C17FA2"/>
    <w:rsid w:val="00C2007E"/>
    <w:rsid w:val="00C20E4A"/>
    <w:rsid w:val="00C20EFE"/>
    <w:rsid w:val="00C217D7"/>
    <w:rsid w:val="00C219B8"/>
    <w:rsid w:val="00C23260"/>
    <w:rsid w:val="00C23AFC"/>
    <w:rsid w:val="00C23DED"/>
    <w:rsid w:val="00C24C47"/>
    <w:rsid w:val="00C25219"/>
    <w:rsid w:val="00C256B5"/>
    <w:rsid w:val="00C25BF3"/>
    <w:rsid w:val="00C25F61"/>
    <w:rsid w:val="00C279F3"/>
    <w:rsid w:val="00C301CC"/>
    <w:rsid w:val="00C30AE4"/>
    <w:rsid w:val="00C30E46"/>
    <w:rsid w:val="00C32B28"/>
    <w:rsid w:val="00C34F5B"/>
    <w:rsid w:val="00C35922"/>
    <w:rsid w:val="00C35C02"/>
    <w:rsid w:val="00C35D43"/>
    <w:rsid w:val="00C37300"/>
    <w:rsid w:val="00C3786C"/>
    <w:rsid w:val="00C401AD"/>
    <w:rsid w:val="00C40C48"/>
    <w:rsid w:val="00C4124A"/>
    <w:rsid w:val="00C415EA"/>
    <w:rsid w:val="00C4160A"/>
    <w:rsid w:val="00C41A0B"/>
    <w:rsid w:val="00C41A6A"/>
    <w:rsid w:val="00C42550"/>
    <w:rsid w:val="00C42A28"/>
    <w:rsid w:val="00C433D7"/>
    <w:rsid w:val="00C43812"/>
    <w:rsid w:val="00C443A0"/>
    <w:rsid w:val="00C443C2"/>
    <w:rsid w:val="00C45D1E"/>
    <w:rsid w:val="00C4661C"/>
    <w:rsid w:val="00C5244D"/>
    <w:rsid w:val="00C5257B"/>
    <w:rsid w:val="00C52C22"/>
    <w:rsid w:val="00C53527"/>
    <w:rsid w:val="00C53A13"/>
    <w:rsid w:val="00C542D3"/>
    <w:rsid w:val="00C54AA7"/>
    <w:rsid w:val="00C54DB0"/>
    <w:rsid w:val="00C55C96"/>
    <w:rsid w:val="00C5726C"/>
    <w:rsid w:val="00C57E8C"/>
    <w:rsid w:val="00C61621"/>
    <w:rsid w:val="00C61F09"/>
    <w:rsid w:val="00C61F65"/>
    <w:rsid w:val="00C64BD7"/>
    <w:rsid w:val="00C656E9"/>
    <w:rsid w:val="00C6580E"/>
    <w:rsid w:val="00C70C29"/>
    <w:rsid w:val="00C72BF5"/>
    <w:rsid w:val="00C72FB7"/>
    <w:rsid w:val="00C736A4"/>
    <w:rsid w:val="00C738BD"/>
    <w:rsid w:val="00C73BDA"/>
    <w:rsid w:val="00C742B2"/>
    <w:rsid w:val="00C7544B"/>
    <w:rsid w:val="00C77B83"/>
    <w:rsid w:val="00C77C9C"/>
    <w:rsid w:val="00C80FC9"/>
    <w:rsid w:val="00C82CA5"/>
    <w:rsid w:val="00C849AD"/>
    <w:rsid w:val="00C91693"/>
    <w:rsid w:val="00C923C1"/>
    <w:rsid w:val="00C92F1B"/>
    <w:rsid w:val="00C93DE3"/>
    <w:rsid w:val="00C946E3"/>
    <w:rsid w:val="00C95BF7"/>
    <w:rsid w:val="00C95D32"/>
    <w:rsid w:val="00C969A6"/>
    <w:rsid w:val="00C96E23"/>
    <w:rsid w:val="00C97145"/>
    <w:rsid w:val="00C979C8"/>
    <w:rsid w:val="00CA00A7"/>
    <w:rsid w:val="00CA0229"/>
    <w:rsid w:val="00CA0687"/>
    <w:rsid w:val="00CA1622"/>
    <w:rsid w:val="00CA1FB0"/>
    <w:rsid w:val="00CA2317"/>
    <w:rsid w:val="00CA4FE4"/>
    <w:rsid w:val="00CA59E4"/>
    <w:rsid w:val="00CA5C96"/>
    <w:rsid w:val="00CA641A"/>
    <w:rsid w:val="00CA71EB"/>
    <w:rsid w:val="00CA7FA7"/>
    <w:rsid w:val="00CB02D4"/>
    <w:rsid w:val="00CB033A"/>
    <w:rsid w:val="00CB04C4"/>
    <w:rsid w:val="00CB11B1"/>
    <w:rsid w:val="00CB1533"/>
    <w:rsid w:val="00CB2163"/>
    <w:rsid w:val="00CB254D"/>
    <w:rsid w:val="00CB2CF2"/>
    <w:rsid w:val="00CB31A6"/>
    <w:rsid w:val="00CB34FF"/>
    <w:rsid w:val="00CB46B2"/>
    <w:rsid w:val="00CB4933"/>
    <w:rsid w:val="00CB5111"/>
    <w:rsid w:val="00CB61FB"/>
    <w:rsid w:val="00CB6C47"/>
    <w:rsid w:val="00CB74D0"/>
    <w:rsid w:val="00CC0B7D"/>
    <w:rsid w:val="00CC1498"/>
    <w:rsid w:val="00CC32CE"/>
    <w:rsid w:val="00CC3D78"/>
    <w:rsid w:val="00CC3E64"/>
    <w:rsid w:val="00CC3EDE"/>
    <w:rsid w:val="00CC4572"/>
    <w:rsid w:val="00CC4583"/>
    <w:rsid w:val="00CC49CA"/>
    <w:rsid w:val="00CC4A6D"/>
    <w:rsid w:val="00CD0811"/>
    <w:rsid w:val="00CD1040"/>
    <w:rsid w:val="00CD16CC"/>
    <w:rsid w:val="00CD1897"/>
    <w:rsid w:val="00CD2CEC"/>
    <w:rsid w:val="00CD31C4"/>
    <w:rsid w:val="00CD6A3B"/>
    <w:rsid w:val="00CD6C8F"/>
    <w:rsid w:val="00CD72F0"/>
    <w:rsid w:val="00CD77D4"/>
    <w:rsid w:val="00CD7F55"/>
    <w:rsid w:val="00CE0922"/>
    <w:rsid w:val="00CE0AEB"/>
    <w:rsid w:val="00CE0E3B"/>
    <w:rsid w:val="00CE1F98"/>
    <w:rsid w:val="00CE21E2"/>
    <w:rsid w:val="00CE25F2"/>
    <w:rsid w:val="00CE2735"/>
    <w:rsid w:val="00CE27B4"/>
    <w:rsid w:val="00CE2C2C"/>
    <w:rsid w:val="00CE3702"/>
    <w:rsid w:val="00CE4060"/>
    <w:rsid w:val="00CE5054"/>
    <w:rsid w:val="00CE5319"/>
    <w:rsid w:val="00CE550B"/>
    <w:rsid w:val="00CE5582"/>
    <w:rsid w:val="00CE6D8F"/>
    <w:rsid w:val="00CE6EED"/>
    <w:rsid w:val="00CF221A"/>
    <w:rsid w:val="00CF280F"/>
    <w:rsid w:val="00CF3BA5"/>
    <w:rsid w:val="00CF43DE"/>
    <w:rsid w:val="00CF58BF"/>
    <w:rsid w:val="00CF6342"/>
    <w:rsid w:val="00CF6C2C"/>
    <w:rsid w:val="00CF75AB"/>
    <w:rsid w:val="00CF75F4"/>
    <w:rsid w:val="00D00236"/>
    <w:rsid w:val="00D0026A"/>
    <w:rsid w:val="00D00CEA"/>
    <w:rsid w:val="00D01472"/>
    <w:rsid w:val="00D01473"/>
    <w:rsid w:val="00D021F6"/>
    <w:rsid w:val="00D025E2"/>
    <w:rsid w:val="00D02AE8"/>
    <w:rsid w:val="00D03432"/>
    <w:rsid w:val="00D0345F"/>
    <w:rsid w:val="00D0491F"/>
    <w:rsid w:val="00D07949"/>
    <w:rsid w:val="00D102EC"/>
    <w:rsid w:val="00D10DB6"/>
    <w:rsid w:val="00D11148"/>
    <w:rsid w:val="00D11A5A"/>
    <w:rsid w:val="00D11F09"/>
    <w:rsid w:val="00D11FE0"/>
    <w:rsid w:val="00D12273"/>
    <w:rsid w:val="00D12544"/>
    <w:rsid w:val="00D12AC4"/>
    <w:rsid w:val="00D130B0"/>
    <w:rsid w:val="00D14346"/>
    <w:rsid w:val="00D15C1E"/>
    <w:rsid w:val="00D16F70"/>
    <w:rsid w:val="00D172F1"/>
    <w:rsid w:val="00D17912"/>
    <w:rsid w:val="00D17DDC"/>
    <w:rsid w:val="00D204BD"/>
    <w:rsid w:val="00D210D3"/>
    <w:rsid w:val="00D213DD"/>
    <w:rsid w:val="00D21FE3"/>
    <w:rsid w:val="00D2231E"/>
    <w:rsid w:val="00D22446"/>
    <w:rsid w:val="00D22F52"/>
    <w:rsid w:val="00D23A84"/>
    <w:rsid w:val="00D254F3"/>
    <w:rsid w:val="00D26715"/>
    <w:rsid w:val="00D30CCA"/>
    <w:rsid w:val="00D31E41"/>
    <w:rsid w:val="00D3356A"/>
    <w:rsid w:val="00D34D7F"/>
    <w:rsid w:val="00D35F34"/>
    <w:rsid w:val="00D360C6"/>
    <w:rsid w:val="00D36E96"/>
    <w:rsid w:val="00D371EA"/>
    <w:rsid w:val="00D37BE4"/>
    <w:rsid w:val="00D402BB"/>
    <w:rsid w:val="00D4153D"/>
    <w:rsid w:val="00D421A7"/>
    <w:rsid w:val="00D43425"/>
    <w:rsid w:val="00D43468"/>
    <w:rsid w:val="00D44580"/>
    <w:rsid w:val="00D4539F"/>
    <w:rsid w:val="00D459EF"/>
    <w:rsid w:val="00D45D30"/>
    <w:rsid w:val="00D461D1"/>
    <w:rsid w:val="00D46710"/>
    <w:rsid w:val="00D475FE"/>
    <w:rsid w:val="00D52325"/>
    <w:rsid w:val="00D52FE0"/>
    <w:rsid w:val="00D530DD"/>
    <w:rsid w:val="00D5342F"/>
    <w:rsid w:val="00D54602"/>
    <w:rsid w:val="00D54A49"/>
    <w:rsid w:val="00D5580F"/>
    <w:rsid w:val="00D5641A"/>
    <w:rsid w:val="00D57D23"/>
    <w:rsid w:val="00D60F8D"/>
    <w:rsid w:val="00D61E19"/>
    <w:rsid w:val="00D62040"/>
    <w:rsid w:val="00D62244"/>
    <w:rsid w:val="00D63B2F"/>
    <w:rsid w:val="00D64E26"/>
    <w:rsid w:val="00D650BF"/>
    <w:rsid w:val="00D65D18"/>
    <w:rsid w:val="00D6634D"/>
    <w:rsid w:val="00D66814"/>
    <w:rsid w:val="00D669CC"/>
    <w:rsid w:val="00D66F32"/>
    <w:rsid w:val="00D675BC"/>
    <w:rsid w:val="00D67E2C"/>
    <w:rsid w:val="00D70C93"/>
    <w:rsid w:val="00D70F5F"/>
    <w:rsid w:val="00D71C24"/>
    <w:rsid w:val="00D720CA"/>
    <w:rsid w:val="00D72171"/>
    <w:rsid w:val="00D73340"/>
    <w:rsid w:val="00D73354"/>
    <w:rsid w:val="00D73467"/>
    <w:rsid w:val="00D74359"/>
    <w:rsid w:val="00D743C1"/>
    <w:rsid w:val="00D7470C"/>
    <w:rsid w:val="00D74B0E"/>
    <w:rsid w:val="00D75735"/>
    <w:rsid w:val="00D763E5"/>
    <w:rsid w:val="00D7774E"/>
    <w:rsid w:val="00D80EFE"/>
    <w:rsid w:val="00D82CEA"/>
    <w:rsid w:val="00D8466A"/>
    <w:rsid w:val="00D84CAE"/>
    <w:rsid w:val="00D86145"/>
    <w:rsid w:val="00D86971"/>
    <w:rsid w:val="00D87783"/>
    <w:rsid w:val="00D901CF"/>
    <w:rsid w:val="00D90F99"/>
    <w:rsid w:val="00D91D1D"/>
    <w:rsid w:val="00D94266"/>
    <w:rsid w:val="00D945ED"/>
    <w:rsid w:val="00D95CAC"/>
    <w:rsid w:val="00D96B23"/>
    <w:rsid w:val="00D971EF"/>
    <w:rsid w:val="00D97C35"/>
    <w:rsid w:val="00D97F18"/>
    <w:rsid w:val="00DA08B5"/>
    <w:rsid w:val="00DA14F5"/>
    <w:rsid w:val="00DA264A"/>
    <w:rsid w:val="00DA395B"/>
    <w:rsid w:val="00DA43D0"/>
    <w:rsid w:val="00DA549E"/>
    <w:rsid w:val="00DA62BB"/>
    <w:rsid w:val="00DA6B13"/>
    <w:rsid w:val="00DA7707"/>
    <w:rsid w:val="00DB03AA"/>
    <w:rsid w:val="00DB1120"/>
    <w:rsid w:val="00DB1D92"/>
    <w:rsid w:val="00DB2292"/>
    <w:rsid w:val="00DB25EA"/>
    <w:rsid w:val="00DB295A"/>
    <w:rsid w:val="00DB3012"/>
    <w:rsid w:val="00DB3416"/>
    <w:rsid w:val="00DB4EDF"/>
    <w:rsid w:val="00DB4FB0"/>
    <w:rsid w:val="00DB5636"/>
    <w:rsid w:val="00DB7056"/>
    <w:rsid w:val="00DB76D4"/>
    <w:rsid w:val="00DB798B"/>
    <w:rsid w:val="00DC16B4"/>
    <w:rsid w:val="00DC186B"/>
    <w:rsid w:val="00DC1A20"/>
    <w:rsid w:val="00DC2226"/>
    <w:rsid w:val="00DC23F6"/>
    <w:rsid w:val="00DC2B66"/>
    <w:rsid w:val="00DC42FB"/>
    <w:rsid w:val="00DC57F5"/>
    <w:rsid w:val="00DC729B"/>
    <w:rsid w:val="00DC7466"/>
    <w:rsid w:val="00DC76BF"/>
    <w:rsid w:val="00DD019B"/>
    <w:rsid w:val="00DD0560"/>
    <w:rsid w:val="00DD10BB"/>
    <w:rsid w:val="00DD14EE"/>
    <w:rsid w:val="00DD18CC"/>
    <w:rsid w:val="00DD211B"/>
    <w:rsid w:val="00DD21B1"/>
    <w:rsid w:val="00DD36D7"/>
    <w:rsid w:val="00DD4E33"/>
    <w:rsid w:val="00DD5821"/>
    <w:rsid w:val="00DD5E17"/>
    <w:rsid w:val="00DD6304"/>
    <w:rsid w:val="00DD6C03"/>
    <w:rsid w:val="00DE0FC1"/>
    <w:rsid w:val="00DE1112"/>
    <w:rsid w:val="00DE1E2D"/>
    <w:rsid w:val="00DE2028"/>
    <w:rsid w:val="00DE29DC"/>
    <w:rsid w:val="00DE3816"/>
    <w:rsid w:val="00DE5E82"/>
    <w:rsid w:val="00DE6BDA"/>
    <w:rsid w:val="00DE6F41"/>
    <w:rsid w:val="00DE7F6C"/>
    <w:rsid w:val="00DF175C"/>
    <w:rsid w:val="00DF1FC6"/>
    <w:rsid w:val="00DF3C81"/>
    <w:rsid w:val="00DF4058"/>
    <w:rsid w:val="00DF5C77"/>
    <w:rsid w:val="00DF5D7A"/>
    <w:rsid w:val="00DF655F"/>
    <w:rsid w:val="00DF6A44"/>
    <w:rsid w:val="00E00074"/>
    <w:rsid w:val="00E0011A"/>
    <w:rsid w:val="00E004BA"/>
    <w:rsid w:val="00E0081E"/>
    <w:rsid w:val="00E015AA"/>
    <w:rsid w:val="00E01F1E"/>
    <w:rsid w:val="00E02315"/>
    <w:rsid w:val="00E026C5"/>
    <w:rsid w:val="00E047D6"/>
    <w:rsid w:val="00E05283"/>
    <w:rsid w:val="00E06383"/>
    <w:rsid w:val="00E067F1"/>
    <w:rsid w:val="00E12EBB"/>
    <w:rsid w:val="00E1350B"/>
    <w:rsid w:val="00E14A35"/>
    <w:rsid w:val="00E15003"/>
    <w:rsid w:val="00E157FB"/>
    <w:rsid w:val="00E15F61"/>
    <w:rsid w:val="00E16296"/>
    <w:rsid w:val="00E17426"/>
    <w:rsid w:val="00E17BDB"/>
    <w:rsid w:val="00E20A08"/>
    <w:rsid w:val="00E221CE"/>
    <w:rsid w:val="00E22734"/>
    <w:rsid w:val="00E22AA2"/>
    <w:rsid w:val="00E22DDA"/>
    <w:rsid w:val="00E237F9"/>
    <w:rsid w:val="00E238DF"/>
    <w:rsid w:val="00E23995"/>
    <w:rsid w:val="00E23D33"/>
    <w:rsid w:val="00E23E48"/>
    <w:rsid w:val="00E2449C"/>
    <w:rsid w:val="00E254D2"/>
    <w:rsid w:val="00E26BD7"/>
    <w:rsid w:val="00E26CB4"/>
    <w:rsid w:val="00E27418"/>
    <w:rsid w:val="00E27B07"/>
    <w:rsid w:val="00E322A6"/>
    <w:rsid w:val="00E35847"/>
    <w:rsid w:val="00E35C45"/>
    <w:rsid w:val="00E362DB"/>
    <w:rsid w:val="00E4240C"/>
    <w:rsid w:val="00E42593"/>
    <w:rsid w:val="00E42806"/>
    <w:rsid w:val="00E44105"/>
    <w:rsid w:val="00E44450"/>
    <w:rsid w:val="00E452B9"/>
    <w:rsid w:val="00E4571C"/>
    <w:rsid w:val="00E45852"/>
    <w:rsid w:val="00E47003"/>
    <w:rsid w:val="00E507D2"/>
    <w:rsid w:val="00E5216C"/>
    <w:rsid w:val="00E522B6"/>
    <w:rsid w:val="00E528CC"/>
    <w:rsid w:val="00E52BF3"/>
    <w:rsid w:val="00E53998"/>
    <w:rsid w:val="00E53CFA"/>
    <w:rsid w:val="00E54943"/>
    <w:rsid w:val="00E54B67"/>
    <w:rsid w:val="00E54CB7"/>
    <w:rsid w:val="00E55211"/>
    <w:rsid w:val="00E555C1"/>
    <w:rsid w:val="00E5779B"/>
    <w:rsid w:val="00E6031F"/>
    <w:rsid w:val="00E60455"/>
    <w:rsid w:val="00E6111F"/>
    <w:rsid w:val="00E6166C"/>
    <w:rsid w:val="00E61A83"/>
    <w:rsid w:val="00E61E17"/>
    <w:rsid w:val="00E624B5"/>
    <w:rsid w:val="00E62D4A"/>
    <w:rsid w:val="00E63528"/>
    <w:rsid w:val="00E63721"/>
    <w:rsid w:val="00E63DFF"/>
    <w:rsid w:val="00E64681"/>
    <w:rsid w:val="00E6510E"/>
    <w:rsid w:val="00E66877"/>
    <w:rsid w:val="00E67132"/>
    <w:rsid w:val="00E675EE"/>
    <w:rsid w:val="00E67D18"/>
    <w:rsid w:val="00E70003"/>
    <w:rsid w:val="00E70851"/>
    <w:rsid w:val="00E7101A"/>
    <w:rsid w:val="00E71548"/>
    <w:rsid w:val="00E7210E"/>
    <w:rsid w:val="00E73204"/>
    <w:rsid w:val="00E734E5"/>
    <w:rsid w:val="00E73543"/>
    <w:rsid w:val="00E73750"/>
    <w:rsid w:val="00E73FB3"/>
    <w:rsid w:val="00E75D7A"/>
    <w:rsid w:val="00E764BE"/>
    <w:rsid w:val="00E7757C"/>
    <w:rsid w:val="00E776CD"/>
    <w:rsid w:val="00E77F2C"/>
    <w:rsid w:val="00E80843"/>
    <w:rsid w:val="00E80B77"/>
    <w:rsid w:val="00E8261A"/>
    <w:rsid w:val="00E83314"/>
    <w:rsid w:val="00E8367A"/>
    <w:rsid w:val="00E85497"/>
    <w:rsid w:val="00E8562C"/>
    <w:rsid w:val="00E868C9"/>
    <w:rsid w:val="00E8697E"/>
    <w:rsid w:val="00E869B5"/>
    <w:rsid w:val="00E87059"/>
    <w:rsid w:val="00E92ED4"/>
    <w:rsid w:val="00E93313"/>
    <w:rsid w:val="00E93DB8"/>
    <w:rsid w:val="00E94E4F"/>
    <w:rsid w:val="00E950A1"/>
    <w:rsid w:val="00E96429"/>
    <w:rsid w:val="00E96E0F"/>
    <w:rsid w:val="00EA0501"/>
    <w:rsid w:val="00EA050F"/>
    <w:rsid w:val="00EA0920"/>
    <w:rsid w:val="00EA0CA5"/>
    <w:rsid w:val="00EA0CDB"/>
    <w:rsid w:val="00EA130B"/>
    <w:rsid w:val="00EA1932"/>
    <w:rsid w:val="00EA1BC0"/>
    <w:rsid w:val="00EA2339"/>
    <w:rsid w:val="00EA32CE"/>
    <w:rsid w:val="00EA3560"/>
    <w:rsid w:val="00EA4182"/>
    <w:rsid w:val="00EA4991"/>
    <w:rsid w:val="00EA7F2F"/>
    <w:rsid w:val="00EB0724"/>
    <w:rsid w:val="00EB0A95"/>
    <w:rsid w:val="00EB1B9E"/>
    <w:rsid w:val="00EB1F70"/>
    <w:rsid w:val="00EB2F22"/>
    <w:rsid w:val="00EB3225"/>
    <w:rsid w:val="00EB3E25"/>
    <w:rsid w:val="00EB4814"/>
    <w:rsid w:val="00EB6348"/>
    <w:rsid w:val="00EB63B1"/>
    <w:rsid w:val="00EB6F40"/>
    <w:rsid w:val="00EB77F0"/>
    <w:rsid w:val="00EB7862"/>
    <w:rsid w:val="00EC01D8"/>
    <w:rsid w:val="00EC0860"/>
    <w:rsid w:val="00EC10FA"/>
    <w:rsid w:val="00EC15F1"/>
    <w:rsid w:val="00EC166B"/>
    <w:rsid w:val="00EC2D17"/>
    <w:rsid w:val="00EC2EA9"/>
    <w:rsid w:val="00EC412C"/>
    <w:rsid w:val="00EC5362"/>
    <w:rsid w:val="00EC5991"/>
    <w:rsid w:val="00EC610E"/>
    <w:rsid w:val="00EC789E"/>
    <w:rsid w:val="00ED2466"/>
    <w:rsid w:val="00ED2DB8"/>
    <w:rsid w:val="00ED3724"/>
    <w:rsid w:val="00ED591A"/>
    <w:rsid w:val="00ED66DE"/>
    <w:rsid w:val="00ED7569"/>
    <w:rsid w:val="00ED7655"/>
    <w:rsid w:val="00EE0A8C"/>
    <w:rsid w:val="00EE27A3"/>
    <w:rsid w:val="00EE3DFB"/>
    <w:rsid w:val="00EE4223"/>
    <w:rsid w:val="00EE57E6"/>
    <w:rsid w:val="00EE6C03"/>
    <w:rsid w:val="00EE6C83"/>
    <w:rsid w:val="00EE7C6D"/>
    <w:rsid w:val="00EF1CEA"/>
    <w:rsid w:val="00EF21BB"/>
    <w:rsid w:val="00EF2FA5"/>
    <w:rsid w:val="00EF3F7F"/>
    <w:rsid w:val="00EF529D"/>
    <w:rsid w:val="00EF5AD3"/>
    <w:rsid w:val="00EF5B6F"/>
    <w:rsid w:val="00EF6BF9"/>
    <w:rsid w:val="00EF70BE"/>
    <w:rsid w:val="00F01EBE"/>
    <w:rsid w:val="00F0228D"/>
    <w:rsid w:val="00F02889"/>
    <w:rsid w:val="00F02FC5"/>
    <w:rsid w:val="00F04068"/>
    <w:rsid w:val="00F05092"/>
    <w:rsid w:val="00F05A2D"/>
    <w:rsid w:val="00F05A9C"/>
    <w:rsid w:val="00F05C93"/>
    <w:rsid w:val="00F06A06"/>
    <w:rsid w:val="00F06D87"/>
    <w:rsid w:val="00F07E15"/>
    <w:rsid w:val="00F07F3B"/>
    <w:rsid w:val="00F118A0"/>
    <w:rsid w:val="00F11950"/>
    <w:rsid w:val="00F120C5"/>
    <w:rsid w:val="00F13E85"/>
    <w:rsid w:val="00F15A5D"/>
    <w:rsid w:val="00F1763E"/>
    <w:rsid w:val="00F20B86"/>
    <w:rsid w:val="00F21C59"/>
    <w:rsid w:val="00F21D20"/>
    <w:rsid w:val="00F237B5"/>
    <w:rsid w:val="00F23C71"/>
    <w:rsid w:val="00F24BEC"/>
    <w:rsid w:val="00F25AF2"/>
    <w:rsid w:val="00F27307"/>
    <w:rsid w:val="00F31CA4"/>
    <w:rsid w:val="00F320F8"/>
    <w:rsid w:val="00F33137"/>
    <w:rsid w:val="00F33721"/>
    <w:rsid w:val="00F3378D"/>
    <w:rsid w:val="00F346A1"/>
    <w:rsid w:val="00F346F8"/>
    <w:rsid w:val="00F3483A"/>
    <w:rsid w:val="00F34B4D"/>
    <w:rsid w:val="00F352B7"/>
    <w:rsid w:val="00F35997"/>
    <w:rsid w:val="00F35F1F"/>
    <w:rsid w:val="00F36724"/>
    <w:rsid w:val="00F36B65"/>
    <w:rsid w:val="00F4020A"/>
    <w:rsid w:val="00F42879"/>
    <w:rsid w:val="00F42F66"/>
    <w:rsid w:val="00F444BA"/>
    <w:rsid w:val="00F46CEB"/>
    <w:rsid w:val="00F473E5"/>
    <w:rsid w:val="00F47E59"/>
    <w:rsid w:val="00F50857"/>
    <w:rsid w:val="00F513CD"/>
    <w:rsid w:val="00F5267A"/>
    <w:rsid w:val="00F52844"/>
    <w:rsid w:val="00F52861"/>
    <w:rsid w:val="00F5385D"/>
    <w:rsid w:val="00F54CF4"/>
    <w:rsid w:val="00F54FB5"/>
    <w:rsid w:val="00F55032"/>
    <w:rsid w:val="00F55D04"/>
    <w:rsid w:val="00F56AF9"/>
    <w:rsid w:val="00F56ECF"/>
    <w:rsid w:val="00F570EF"/>
    <w:rsid w:val="00F611D0"/>
    <w:rsid w:val="00F615BC"/>
    <w:rsid w:val="00F6163F"/>
    <w:rsid w:val="00F61919"/>
    <w:rsid w:val="00F6366E"/>
    <w:rsid w:val="00F638D1"/>
    <w:rsid w:val="00F64267"/>
    <w:rsid w:val="00F66706"/>
    <w:rsid w:val="00F66BE0"/>
    <w:rsid w:val="00F67AC8"/>
    <w:rsid w:val="00F67AE2"/>
    <w:rsid w:val="00F70BB3"/>
    <w:rsid w:val="00F72118"/>
    <w:rsid w:val="00F723D0"/>
    <w:rsid w:val="00F7247E"/>
    <w:rsid w:val="00F72C8B"/>
    <w:rsid w:val="00F73645"/>
    <w:rsid w:val="00F74076"/>
    <w:rsid w:val="00F7530D"/>
    <w:rsid w:val="00F76792"/>
    <w:rsid w:val="00F76FCA"/>
    <w:rsid w:val="00F77856"/>
    <w:rsid w:val="00F77E1D"/>
    <w:rsid w:val="00F81CAF"/>
    <w:rsid w:val="00F8253D"/>
    <w:rsid w:val="00F8289F"/>
    <w:rsid w:val="00F82FC3"/>
    <w:rsid w:val="00F83032"/>
    <w:rsid w:val="00F83623"/>
    <w:rsid w:val="00F8397E"/>
    <w:rsid w:val="00F83ACB"/>
    <w:rsid w:val="00F83E31"/>
    <w:rsid w:val="00F83E7D"/>
    <w:rsid w:val="00F83FB8"/>
    <w:rsid w:val="00F853F6"/>
    <w:rsid w:val="00F859BD"/>
    <w:rsid w:val="00F86FF1"/>
    <w:rsid w:val="00F87AC5"/>
    <w:rsid w:val="00F90218"/>
    <w:rsid w:val="00F917B7"/>
    <w:rsid w:val="00F9203C"/>
    <w:rsid w:val="00F92933"/>
    <w:rsid w:val="00F92B43"/>
    <w:rsid w:val="00F93594"/>
    <w:rsid w:val="00F93E86"/>
    <w:rsid w:val="00F947DD"/>
    <w:rsid w:val="00F958AB"/>
    <w:rsid w:val="00F95F96"/>
    <w:rsid w:val="00F96287"/>
    <w:rsid w:val="00F96CF4"/>
    <w:rsid w:val="00F96D24"/>
    <w:rsid w:val="00F96DA3"/>
    <w:rsid w:val="00F97847"/>
    <w:rsid w:val="00FA0519"/>
    <w:rsid w:val="00FA0619"/>
    <w:rsid w:val="00FA138D"/>
    <w:rsid w:val="00FA2CCF"/>
    <w:rsid w:val="00FA2CF5"/>
    <w:rsid w:val="00FA38B5"/>
    <w:rsid w:val="00FB0374"/>
    <w:rsid w:val="00FB0BE2"/>
    <w:rsid w:val="00FB3018"/>
    <w:rsid w:val="00FB3520"/>
    <w:rsid w:val="00FB3C5A"/>
    <w:rsid w:val="00FB40A9"/>
    <w:rsid w:val="00FB44B4"/>
    <w:rsid w:val="00FB5A6B"/>
    <w:rsid w:val="00FB5CEA"/>
    <w:rsid w:val="00FB610A"/>
    <w:rsid w:val="00FB6884"/>
    <w:rsid w:val="00FB76BC"/>
    <w:rsid w:val="00FB7EE9"/>
    <w:rsid w:val="00FC0B6C"/>
    <w:rsid w:val="00FC0EAD"/>
    <w:rsid w:val="00FC1A3F"/>
    <w:rsid w:val="00FC2156"/>
    <w:rsid w:val="00FC2A22"/>
    <w:rsid w:val="00FC2CF5"/>
    <w:rsid w:val="00FC3899"/>
    <w:rsid w:val="00FC3A39"/>
    <w:rsid w:val="00FC4EFF"/>
    <w:rsid w:val="00FC511F"/>
    <w:rsid w:val="00FC7021"/>
    <w:rsid w:val="00FC71BB"/>
    <w:rsid w:val="00FC7734"/>
    <w:rsid w:val="00FC796F"/>
    <w:rsid w:val="00FD03F0"/>
    <w:rsid w:val="00FD0787"/>
    <w:rsid w:val="00FD0A63"/>
    <w:rsid w:val="00FD0BB5"/>
    <w:rsid w:val="00FD2702"/>
    <w:rsid w:val="00FD5E5D"/>
    <w:rsid w:val="00FD60DD"/>
    <w:rsid w:val="00FD7E5D"/>
    <w:rsid w:val="00FE1947"/>
    <w:rsid w:val="00FE1A3E"/>
    <w:rsid w:val="00FE2264"/>
    <w:rsid w:val="00FE27FC"/>
    <w:rsid w:val="00FE28E2"/>
    <w:rsid w:val="00FE2B29"/>
    <w:rsid w:val="00FE349D"/>
    <w:rsid w:val="00FE55C8"/>
    <w:rsid w:val="00FE57D8"/>
    <w:rsid w:val="00FE6099"/>
    <w:rsid w:val="00FE639E"/>
    <w:rsid w:val="00FE6E9D"/>
    <w:rsid w:val="00FE7335"/>
    <w:rsid w:val="00FE73B6"/>
    <w:rsid w:val="00FE76F7"/>
    <w:rsid w:val="00FF25E1"/>
    <w:rsid w:val="00FF2BA3"/>
    <w:rsid w:val="00FF2F49"/>
    <w:rsid w:val="00FF31CC"/>
    <w:rsid w:val="00FF3647"/>
    <w:rsid w:val="00FF3C37"/>
    <w:rsid w:val="00FF422C"/>
    <w:rsid w:val="00FF5E48"/>
    <w:rsid w:val="00FF6CE4"/>
    <w:rsid w:val="00FF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8d0,#008eb0,#1492e8,#1287d6,#117dc7,#c2e3fa"/>
    </o:shapedefaults>
    <o:shapelayout v:ext="edit">
      <o:idmap v:ext="edit" data="1"/>
    </o:shapelayout>
  </w:shapeDefaults>
  <w:decimalSymbol w:val="."/>
  <w:listSeparator w:val=","/>
  <w14:docId w14:val="325BF787"/>
  <w15:docId w15:val="{04944656-53A6-4C9D-8494-5D92A0F2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03B"/>
    <w:pPr>
      <w:spacing w:after="240"/>
    </w:pPr>
    <w:rPr>
      <w:sz w:val="22"/>
    </w:rPr>
  </w:style>
  <w:style w:type="paragraph" w:styleId="Heading1">
    <w:name w:val="heading 1"/>
    <w:basedOn w:val="Normal"/>
    <w:next w:val="BodyText"/>
    <w:link w:val="Heading1Char"/>
    <w:qFormat/>
    <w:rsid w:val="001F5D5A"/>
    <w:pPr>
      <w:keepNext/>
      <w:pageBreakBefore/>
      <w:numPr>
        <w:numId w:val="5"/>
      </w:numPr>
      <w:spacing w:after="72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paragraph" w:styleId="Heading8">
    <w:name w:val="heading 8"/>
    <w:basedOn w:val="Normal"/>
    <w:next w:val="Normal"/>
    <w:link w:val="Heading8Char"/>
    <w:uiPriority w:val="9"/>
    <w:semiHidden/>
    <w:unhideWhenUsed/>
    <w:qFormat/>
    <w:rsid w:val="006679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79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9"/>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uiPriority w:val="99"/>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2"/>
      </w:numPr>
      <w:tabs>
        <w:tab w:val="clear" w:pos="1418"/>
        <w:tab w:val="num" w:pos="2694"/>
      </w:tabs>
      <w:spacing w:before="100" w:after="0" w:line="300" w:lineRule="atLeast"/>
      <w:ind w:left="2693" w:hanging="425"/>
    </w:pPr>
    <w:rPr>
      <w:szCs w:val="22"/>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link w:val="tbltextChar"/>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7"/>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1"/>
      </w:numPr>
      <w:spacing w:before="60" w:after="0" w:line="240" w:lineRule="atLeast"/>
    </w:pPr>
    <w:rPr>
      <w:rFonts w:ascii="Arial" w:hAnsi="Arial" w:cs="Arial"/>
      <w:sz w:val="18"/>
      <w:szCs w:val="18"/>
    </w:rPr>
  </w:style>
  <w:style w:type="paragraph" w:styleId="FootnoteText">
    <w:name w:val="footnote text"/>
    <w:basedOn w:val="Normal"/>
    <w:semiHidden/>
    <w:rsid w:val="00B36F17"/>
    <w:pPr>
      <w:spacing w:after="0"/>
    </w:pPr>
    <w:rPr>
      <w:sz w:val="18"/>
    </w:rPr>
  </w:style>
  <w:style w:type="character" w:styleId="FootnoteReference">
    <w:name w:val="footnote reference"/>
    <w:basedOn w:val="DefaultParagraphFont"/>
    <w:semiHidden/>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C61B3"/>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customStyle="1" w:styleId="tabledash">
    <w:name w:val="table dash"/>
    <w:basedOn w:val="tablebullet"/>
    <w:rsid w:val="00B36F17"/>
    <w:pPr>
      <w:numPr>
        <w:numId w:val="3"/>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5F20"/>
    <w:pPr>
      <w:keepNext w:val="0"/>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F5D5A"/>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4"/>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Id w:val="0"/>
      </w:numPr>
      <w:spacing w:before="100"/>
    </w:pPr>
  </w:style>
  <w:style w:type="paragraph" w:customStyle="1" w:styleId="Feedbackhead">
    <w:name w:val="Feedback head"/>
    <w:basedOn w:val="KPhead"/>
    <w:next w:val="Feedbackquestion"/>
    <w:rsid w:val="00C279F3"/>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5"/>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220093"/>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7D398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6"/>
      </w:numPr>
      <w:spacing w:before="120"/>
    </w:pPr>
  </w:style>
  <w:style w:type="paragraph" w:customStyle="1" w:styleId="Frontheading">
    <w:name w:val="Front heading"/>
    <w:basedOn w:val="Heading3"/>
    <w:next w:val="Fronttext"/>
    <w:rsid w:val="00103568"/>
    <w:pPr>
      <w:outlineLvl w:val="0"/>
    </w:pPr>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DE6F41"/>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5"/>
      </w:numPr>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8"/>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tabs>
        <w:tab w:val="num" w:pos="360"/>
      </w:tabs>
      <w:ind w:left="3119" w:hanging="426"/>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BE7E5F"/>
    <w:pPr>
      <w:ind w:left="170"/>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styleId="TOCHeading">
    <w:name w:val="TOC Heading"/>
    <w:basedOn w:val="Heading1"/>
    <w:next w:val="Normal"/>
    <w:uiPriority w:val="39"/>
    <w:qFormat/>
    <w:rsid w:val="00713054"/>
    <w:pPr>
      <w:numPr>
        <w:numId w:val="0"/>
      </w:numPr>
      <w:spacing w:before="200" w:line="240" w:lineRule="auto"/>
    </w:pPr>
    <w:rPr>
      <w:rFonts w:eastAsiaTheme="majorEastAsia"/>
      <w:kern w:val="0"/>
    </w:rPr>
  </w:style>
  <w:style w:type="paragraph" w:customStyle="1" w:styleId="Heading1nonumber">
    <w:name w:val="Heading 1 no number"/>
    <w:basedOn w:val="Heading1"/>
    <w:next w:val="Bodytextplain"/>
    <w:rsid w:val="007E6FAE"/>
    <w:pPr>
      <w:numPr>
        <w:numId w:val="0"/>
      </w:numPr>
    </w:pPr>
  </w:style>
  <w:style w:type="paragraph" w:customStyle="1" w:styleId="Heading2noToC">
    <w:name w:val="Heading 2 no ToC"/>
    <w:basedOn w:val="Bodytextplain"/>
    <w:next w:val="Bodytextplain"/>
    <w:rsid w:val="007E6FAE"/>
    <w:pPr>
      <w:keepNext/>
      <w:spacing w:before="720" w:line="280" w:lineRule="atLeast"/>
      <w:ind w:left="0"/>
      <w:outlineLvl w:val="1"/>
    </w:pPr>
    <w:rPr>
      <w:rFonts w:ascii="Arial" w:hAnsi="Arial" w:cs="Arial"/>
      <w:b/>
      <w:sz w:val="28"/>
      <w:szCs w:val="28"/>
    </w:rPr>
  </w:style>
  <w:style w:type="paragraph" w:customStyle="1" w:styleId="Heading2indented">
    <w:name w:val="Heading 2 indented"/>
    <w:basedOn w:val="Normal"/>
    <w:next w:val="Bodytextplain"/>
    <w:qFormat/>
    <w:rsid w:val="00635D6F"/>
    <w:pPr>
      <w:keepNext/>
      <w:spacing w:before="400" w:after="0" w:line="280" w:lineRule="atLeast"/>
      <w:ind w:left="2268"/>
      <w:outlineLvl w:val="1"/>
    </w:pPr>
    <w:rPr>
      <w:rFonts w:ascii="Arial" w:hAnsi="Arial" w:cs="Arial"/>
      <w:b/>
      <w:sz w:val="24"/>
      <w:szCs w:val="24"/>
    </w:rPr>
  </w:style>
  <w:style w:type="paragraph" w:customStyle="1" w:styleId="Frontmatternote">
    <w:name w:val="Front matter note"/>
    <w:basedOn w:val="tblnote"/>
    <w:qFormat/>
    <w:rsid w:val="00BE7E5F"/>
    <w:pPr>
      <w:spacing w:before="200"/>
      <w:ind w:left="2693"/>
    </w:pPr>
  </w:style>
  <w:style w:type="paragraph" w:customStyle="1" w:styleId="Responsehead">
    <w:name w:val="Response head"/>
    <w:basedOn w:val="Feedbackhead"/>
    <w:next w:val="Responsetext"/>
    <w:qFormat/>
    <w:rsid w:val="00BE0F6C"/>
    <w:pPr>
      <w:spacing w:before="400"/>
      <w:ind w:right="4309"/>
    </w:pPr>
  </w:style>
  <w:style w:type="paragraph" w:customStyle="1" w:styleId="Responsetext">
    <w:name w:val="Response text"/>
    <w:basedOn w:val="Responsehead"/>
    <w:qFormat/>
    <w:rsid w:val="00BE0F6C"/>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1B3035"/>
    <w:pPr>
      <w:numPr>
        <w:numId w:val="10"/>
      </w:numPr>
      <w:ind w:left="3572" w:hanging="340"/>
    </w:pPr>
  </w:style>
  <w:style w:type="paragraph" w:customStyle="1" w:styleId="tabletext">
    <w:name w:val="table text"/>
    <w:basedOn w:val="tablehead"/>
    <w:rsid w:val="00FC511F"/>
    <w:pPr>
      <w:keepNext w:val="0"/>
    </w:pPr>
    <w:rPr>
      <w:b w:val="0"/>
    </w:rPr>
  </w:style>
  <w:style w:type="character" w:customStyle="1" w:styleId="HeaderChar">
    <w:name w:val="Header Char"/>
    <w:basedOn w:val="DefaultParagraphFont"/>
    <w:link w:val="Header"/>
    <w:rsid w:val="00FC511F"/>
    <w:rPr>
      <w:rFonts w:ascii="Arial" w:hAnsi="Arial" w:cs="Arial"/>
      <w:caps/>
      <w:color w:val="008291"/>
      <w:sz w:val="16"/>
      <w:szCs w:val="16"/>
    </w:rPr>
  </w:style>
  <w:style w:type="character" w:styleId="UnresolvedMention">
    <w:name w:val="Unresolved Mention"/>
    <w:basedOn w:val="DefaultParagraphFont"/>
    <w:uiPriority w:val="99"/>
    <w:semiHidden/>
    <w:unhideWhenUsed/>
    <w:rsid w:val="00C92F1B"/>
    <w:rPr>
      <w:color w:val="605E5C"/>
      <w:shd w:val="clear" w:color="auto" w:fill="E1DFDD"/>
    </w:rPr>
  </w:style>
  <w:style w:type="character" w:customStyle="1" w:styleId="tbltextChar">
    <w:name w:val="tbl text Char"/>
    <w:basedOn w:val="DefaultParagraphFont"/>
    <w:link w:val="tbltext"/>
    <w:rsid w:val="007A623D"/>
    <w:rPr>
      <w:rFonts w:ascii="Arial" w:hAnsi="Arial" w:cs="Arial"/>
      <w:sz w:val="18"/>
      <w:szCs w:val="18"/>
    </w:rPr>
  </w:style>
  <w:style w:type="character" w:customStyle="1" w:styleId="BodyTextChar">
    <w:name w:val="Body Text Char"/>
    <w:basedOn w:val="DefaultParagraphFont"/>
    <w:link w:val="BodyText"/>
    <w:rsid w:val="000D3DF5"/>
    <w:rPr>
      <w:sz w:val="22"/>
      <w:szCs w:val="22"/>
    </w:rPr>
  </w:style>
  <w:style w:type="character" w:customStyle="1" w:styleId="CommentTextChar">
    <w:name w:val="Comment Text Char"/>
    <w:basedOn w:val="DefaultParagraphFont"/>
    <w:link w:val="CommentText"/>
    <w:semiHidden/>
    <w:rsid w:val="000D3DF5"/>
  </w:style>
  <w:style w:type="character" w:customStyle="1" w:styleId="Heading2Char">
    <w:name w:val="Heading 2 Char"/>
    <w:basedOn w:val="DefaultParagraphFont"/>
    <w:link w:val="Heading2"/>
    <w:rsid w:val="00491CEB"/>
    <w:rPr>
      <w:rFonts w:ascii="Arial" w:hAnsi="Arial" w:cs="Arial"/>
      <w:b/>
      <w:sz w:val="28"/>
      <w:szCs w:val="28"/>
    </w:rPr>
  </w:style>
  <w:style w:type="paragraph" w:styleId="CommentSubject">
    <w:name w:val="annotation subject"/>
    <w:basedOn w:val="CommentText"/>
    <w:next w:val="CommentText"/>
    <w:link w:val="CommentSubjectChar"/>
    <w:uiPriority w:val="99"/>
    <w:semiHidden/>
    <w:unhideWhenUsed/>
    <w:rsid w:val="00BB5297"/>
    <w:rPr>
      <w:b/>
      <w:bCs/>
    </w:rPr>
  </w:style>
  <w:style w:type="character" w:customStyle="1" w:styleId="CommentSubjectChar">
    <w:name w:val="Comment Subject Char"/>
    <w:basedOn w:val="CommentTextChar"/>
    <w:link w:val="CommentSubject"/>
    <w:uiPriority w:val="99"/>
    <w:semiHidden/>
    <w:rsid w:val="00BB5297"/>
    <w:rPr>
      <w:b/>
      <w:bCs/>
    </w:rPr>
  </w:style>
  <w:style w:type="character" w:customStyle="1" w:styleId="Heading1Char">
    <w:name w:val="Heading 1 Char"/>
    <w:basedOn w:val="DefaultParagraphFont"/>
    <w:link w:val="Heading1"/>
    <w:rsid w:val="004E1CBF"/>
    <w:rPr>
      <w:rFonts w:ascii="Arial" w:hAnsi="Arial" w:cs="Arial"/>
      <w:b/>
      <w:kern w:val="28"/>
      <w:sz w:val="36"/>
      <w:szCs w:val="36"/>
    </w:rPr>
  </w:style>
  <w:style w:type="paragraph" w:styleId="ListParagraph">
    <w:name w:val="List Paragraph"/>
    <w:aliases w:val="Cell bullets,Noise heading,Issue Action POC,List Paragraph1,3,POCG Table Text,Dot pt,F5 List Paragraph,List Paragraph Char Char Char,Indicator Text,Colorful List - Accent 11,Numbered Para 1,Bullet 1,Bullet Points,List Paragraph2,RUS List"/>
    <w:basedOn w:val="Normal"/>
    <w:link w:val="ListParagraphChar"/>
    <w:uiPriority w:val="34"/>
    <w:qFormat/>
    <w:rsid w:val="004E1CBF"/>
    <w:pPr>
      <w:spacing w:after="160" w:line="259" w:lineRule="auto"/>
      <w:ind w:left="720"/>
      <w:contextualSpacing/>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rsid w:val="004E1CBF"/>
    <w:rPr>
      <w:rFonts w:ascii="Arial" w:hAnsi="Arial" w:cs="Arial"/>
      <w:b/>
      <w:sz w:val="24"/>
      <w:szCs w:val="24"/>
    </w:rPr>
  </w:style>
  <w:style w:type="character" w:customStyle="1" w:styleId="ListParagraphChar">
    <w:name w:val="List Paragraph Char"/>
    <w:aliases w:val="Cell bullets Char,Noise heading Char,Issue Action POC Char,List Paragraph1 Char,3 Char,POCG Table Text Char,Dot pt Char,F5 List Paragraph Char,List Paragraph Char Char Char Char,Indicator Text Char,Colorful List - Accent 11 Char"/>
    <w:basedOn w:val="DefaultParagraphFont"/>
    <w:link w:val="ListParagraph"/>
    <w:uiPriority w:val="34"/>
    <w:qFormat/>
    <w:locked/>
    <w:rsid w:val="004E1CBF"/>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9945CA"/>
    <w:rPr>
      <w:color w:val="800080" w:themeColor="followedHyperlink"/>
      <w:u w:val="single"/>
    </w:rPr>
  </w:style>
  <w:style w:type="paragraph" w:styleId="Revision">
    <w:name w:val="Revision"/>
    <w:hidden/>
    <w:uiPriority w:val="99"/>
    <w:semiHidden/>
    <w:rsid w:val="00F66706"/>
    <w:rPr>
      <w:sz w:val="22"/>
    </w:rPr>
  </w:style>
  <w:style w:type="paragraph" w:customStyle="1" w:styleId="MIRSubpara">
    <w:name w:val="MIR Subpara"/>
    <w:basedOn w:val="Normal"/>
    <w:link w:val="MIRSubparaChar"/>
    <w:qFormat/>
    <w:rsid w:val="00266E33"/>
    <w:pPr>
      <w:numPr>
        <w:ilvl w:val="1"/>
        <w:numId w:val="14"/>
      </w:numPr>
      <w:spacing w:before="100" w:after="0" w:line="300" w:lineRule="atLeast"/>
    </w:pPr>
    <w:rPr>
      <w:szCs w:val="22"/>
    </w:rPr>
  </w:style>
  <w:style w:type="paragraph" w:customStyle="1" w:styleId="MIRsubsubsubpara">
    <w:name w:val="MIR subsubsubpara"/>
    <w:basedOn w:val="Normal"/>
    <w:qFormat/>
    <w:rsid w:val="00266E33"/>
    <w:pPr>
      <w:numPr>
        <w:ilvl w:val="3"/>
        <w:numId w:val="14"/>
      </w:numPr>
      <w:spacing w:before="100" w:after="0" w:line="300" w:lineRule="atLeast"/>
    </w:pPr>
    <w:rPr>
      <w:szCs w:val="22"/>
    </w:rPr>
  </w:style>
  <w:style w:type="character" w:customStyle="1" w:styleId="MIRBodyTextChar">
    <w:name w:val="MIR Body Text Char"/>
    <w:basedOn w:val="DefaultParagraphFont"/>
    <w:link w:val="MIRBodyText"/>
    <w:locked/>
    <w:rsid w:val="00266E33"/>
    <w:rPr>
      <w:sz w:val="22"/>
      <w:szCs w:val="22"/>
    </w:rPr>
  </w:style>
  <w:style w:type="paragraph" w:customStyle="1" w:styleId="MIRBodyText">
    <w:name w:val="MIR Body Text"/>
    <w:basedOn w:val="Normal"/>
    <w:link w:val="MIRBodyTextChar"/>
    <w:qFormat/>
    <w:rsid w:val="00266E33"/>
    <w:pPr>
      <w:numPr>
        <w:numId w:val="14"/>
      </w:numPr>
      <w:tabs>
        <w:tab w:val="left" w:pos="851"/>
      </w:tabs>
      <w:spacing w:before="200" w:after="0" w:line="300" w:lineRule="atLeast"/>
    </w:pPr>
    <w:rPr>
      <w:szCs w:val="22"/>
    </w:rPr>
  </w:style>
  <w:style w:type="paragraph" w:customStyle="1" w:styleId="MIRSubsubpara">
    <w:name w:val="MIR Subsubpara"/>
    <w:basedOn w:val="Normal"/>
    <w:qFormat/>
    <w:rsid w:val="00266E33"/>
    <w:pPr>
      <w:numPr>
        <w:ilvl w:val="2"/>
        <w:numId w:val="14"/>
      </w:numPr>
      <w:spacing w:before="100" w:after="0" w:line="300" w:lineRule="atLeast"/>
    </w:pPr>
    <w:rPr>
      <w:szCs w:val="22"/>
    </w:rPr>
  </w:style>
  <w:style w:type="character" w:customStyle="1" w:styleId="BodytextplainChar">
    <w:name w:val="Body text plain Char"/>
    <w:basedOn w:val="DefaultParagraphFont"/>
    <w:link w:val="Bodytextplain"/>
    <w:rsid w:val="00DD10BB"/>
    <w:rPr>
      <w:sz w:val="22"/>
      <w:szCs w:val="22"/>
    </w:rPr>
  </w:style>
  <w:style w:type="paragraph" w:customStyle="1" w:styleId="ParaHeading1">
    <w:name w:val="Para Heading 1"/>
    <w:qFormat/>
    <w:rsid w:val="00F96D24"/>
    <w:pPr>
      <w:spacing w:after="160" w:line="259" w:lineRule="auto"/>
    </w:pPr>
    <w:rPr>
      <w:rFonts w:asciiTheme="minorHAnsi" w:hAnsiTheme="minorHAnsi"/>
      <w:b/>
      <w:sz w:val="24"/>
      <w:szCs w:val="24"/>
      <w:lang w:eastAsia="en-US"/>
    </w:rPr>
  </w:style>
  <w:style w:type="character" w:styleId="Strong">
    <w:name w:val="Strong"/>
    <w:basedOn w:val="DefaultParagraphFont"/>
    <w:uiPriority w:val="22"/>
    <w:qFormat/>
    <w:rsid w:val="003567BA"/>
    <w:rPr>
      <w:b/>
      <w:bCs/>
    </w:rPr>
  </w:style>
  <w:style w:type="character" w:customStyle="1" w:styleId="Heading4Char">
    <w:name w:val="Heading 4 Char"/>
    <w:basedOn w:val="DefaultParagraphFont"/>
    <w:link w:val="Heading4"/>
    <w:rsid w:val="000C5320"/>
    <w:rPr>
      <w:rFonts w:ascii="Arial" w:hAnsi="Arial" w:cs="Arial"/>
      <w:b/>
      <w:szCs w:val="22"/>
    </w:rPr>
  </w:style>
  <w:style w:type="paragraph" w:customStyle="1" w:styleId="listsubnumber">
    <w:name w:val="list sub number"/>
    <w:basedOn w:val="ListNumber1"/>
    <w:rsid w:val="002975E5"/>
    <w:pPr>
      <w:tabs>
        <w:tab w:val="clear" w:pos="2693"/>
        <w:tab w:val="num" w:pos="3119"/>
      </w:tabs>
      <w:ind w:left="3119" w:hanging="426"/>
    </w:pPr>
  </w:style>
  <w:style w:type="paragraph" w:customStyle="1" w:styleId="ListNumber1">
    <w:name w:val="List Number1"/>
    <w:basedOn w:val="Normal"/>
    <w:rsid w:val="002975E5"/>
    <w:pPr>
      <w:tabs>
        <w:tab w:val="num" w:pos="2693"/>
      </w:tabs>
      <w:spacing w:before="100" w:after="0" w:line="300" w:lineRule="atLeast"/>
      <w:ind w:left="2693" w:hanging="425"/>
    </w:pPr>
    <w:rPr>
      <w:szCs w:val="24"/>
    </w:rPr>
  </w:style>
  <w:style w:type="paragraph" w:styleId="Caption">
    <w:name w:val="caption"/>
    <w:basedOn w:val="Normal"/>
    <w:next w:val="Normal"/>
    <w:qFormat/>
    <w:rsid w:val="002975E5"/>
    <w:pPr>
      <w:spacing w:before="120" w:after="120"/>
    </w:pPr>
    <w:rPr>
      <w:b/>
      <w:bCs/>
      <w:sz w:val="20"/>
    </w:rPr>
  </w:style>
  <w:style w:type="character" w:customStyle="1" w:styleId="FooterChar">
    <w:name w:val="Footer Char"/>
    <w:basedOn w:val="DefaultParagraphFont"/>
    <w:link w:val="Footer"/>
    <w:uiPriority w:val="99"/>
    <w:rsid w:val="002975E5"/>
    <w:rPr>
      <w:rFonts w:ascii="Arial" w:hAnsi="Arial"/>
      <w:sz w:val="16"/>
      <w:szCs w:val="16"/>
    </w:rPr>
  </w:style>
  <w:style w:type="character" w:customStyle="1" w:styleId="MIRSubparaChar">
    <w:name w:val="MIR Subpara Char"/>
    <w:basedOn w:val="DefaultParagraphFont"/>
    <w:link w:val="MIRSubpara"/>
    <w:rsid w:val="003E6980"/>
    <w:rPr>
      <w:sz w:val="22"/>
      <w:szCs w:val="22"/>
    </w:rPr>
  </w:style>
  <w:style w:type="table" w:styleId="TableGrid">
    <w:name w:val="Table Grid"/>
    <w:basedOn w:val="TableNormal"/>
    <w:uiPriority w:val="59"/>
    <w:rsid w:val="00C4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semiHidden/>
    <w:rsid w:val="00061A2D"/>
  </w:style>
  <w:style w:type="paragraph" w:styleId="Bibliography">
    <w:name w:val="Bibliography"/>
    <w:basedOn w:val="Normal"/>
    <w:next w:val="Normal"/>
    <w:uiPriority w:val="37"/>
    <w:semiHidden/>
    <w:unhideWhenUsed/>
    <w:rsid w:val="006679BA"/>
  </w:style>
  <w:style w:type="paragraph" w:styleId="BlockText">
    <w:name w:val="Block Text"/>
    <w:basedOn w:val="Normal"/>
    <w:uiPriority w:val="99"/>
    <w:semiHidden/>
    <w:unhideWhenUsed/>
    <w:rsid w:val="006679B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679BA"/>
    <w:pPr>
      <w:spacing w:after="120" w:line="480" w:lineRule="auto"/>
    </w:pPr>
  </w:style>
  <w:style w:type="character" w:customStyle="1" w:styleId="BodyText2Char">
    <w:name w:val="Body Text 2 Char"/>
    <w:basedOn w:val="DefaultParagraphFont"/>
    <w:link w:val="BodyText2"/>
    <w:uiPriority w:val="99"/>
    <w:semiHidden/>
    <w:rsid w:val="006679BA"/>
    <w:rPr>
      <w:sz w:val="22"/>
    </w:rPr>
  </w:style>
  <w:style w:type="paragraph" w:styleId="BodyText3">
    <w:name w:val="Body Text 3"/>
    <w:basedOn w:val="Normal"/>
    <w:link w:val="BodyText3Char"/>
    <w:uiPriority w:val="99"/>
    <w:semiHidden/>
    <w:unhideWhenUsed/>
    <w:rsid w:val="006679BA"/>
    <w:pPr>
      <w:spacing w:after="120"/>
    </w:pPr>
    <w:rPr>
      <w:sz w:val="16"/>
      <w:szCs w:val="16"/>
    </w:rPr>
  </w:style>
  <w:style w:type="character" w:customStyle="1" w:styleId="BodyText3Char">
    <w:name w:val="Body Text 3 Char"/>
    <w:basedOn w:val="DefaultParagraphFont"/>
    <w:link w:val="BodyText3"/>
    <w:uiPriority w:val="99"/>
    <w:semiHidden/>
    <w:rsid w:val="006679BA"/>
    <w:rPr>
      <w:sz w:val="16"/>
      <w:szCs w:val="16"/>
    </w:rPr>
  </w:style>
  <w:style w:type="paragraph" w:styleId="BodyTextFirstIndent">
    <w:name w:val="Body Text First Indent"/>
    <w:basedOn w:val="BodyText"/>
    <w:link w:val="BodyTextFirstIndentChar"/>
    <w:uiPriority w:val="99"/>
    <w:semiHidden/>
    <w:unhideWhenUsed/>
    <w:rsid w:val="006679BA"/>
    <w:pPr>
      <w:numPr>
        <w:numId w:val="0"/>
      </w:numPr>
      <w:spacing w:before="0" w:after="240" w:line="240" w:lineRule="auto"/>
      <w:ind w:firstLine="360"/>
    </w:pPr>
    <w:rPr>
      <w:szCs w:val="20"/>
    </w:rPr>
  </w:style>
  <w:style w:type="character" w:customStyle="1" w:styleId="BodyTextFirstIndentChar">
    <w:name w:val="Body Text First Indent Char"/>
    <w:basedOn w:val="BodyTextChar"/>
    <w:link w:val="BodyTextFirstIndent"/>
    <w:uiPriority w:val="99"/>
    <w:semiHidden/>
    <w:rsid w:val="006679BA"/>
    <w:rPr>
      <w:sz w:val="22"/>
      <w:szCs w:val="22"/>
    </w:rPr>
  </w:style>
  <w:style w:type="paragraph" w:styleId="BodyTextIndent">
    <w:name w:val="Body Text Indent"/>
    <w:basedOn w:val="Normal"/>
    <w:link w:val="BodyTextIndentChar"/>
    <w:uiPriority w:val="99"/>
    <w:semiHidden/>
    <w:unhideWhenUsed/>
    <w:rsid w:val="006679BA"/>
    <w:pPr>
      <w:spacing w:after="120"/>
      <w:ind w:left="283"/>
    </w:pPr>
  </w:style>
  <w:style w:type="character" w:customStyle="1" w:styleId="BodyTextIndentChar">
    <w:name w:val="Body Text Indent Char"/>
    <w:basedOn w:val="DefaultParagraphFont"/>
    <w:link w:val="BodyTextIndent"/>
    <w:uiPriority w:val="99"/>
    <w:semiHidden/>
    <w:rsid w:val="006679BA"/>
    <w:rPr>
      <w:sz w:val="22"/>
    </w:rPr>
  </w:style>
  <w:style w:type="paragraph" w:styleId="BodyTextFirstIndent2">
    <w:name w:val="Body Text First Indent 2"/>
    <w:basedOn w:val="BodyTextIndent"/>
    <w:link w:val="BodyTextFirstIndent2Char"/>
    <w:uiPriority w:val="99"/>
    <w:semiHidden/>
    <w:unhideWhenUsed/>
    <w:rsid w:val="006679B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679BA"/>
    <w:rPr>
      <w:sz w:val="22"/>
    </w:rPr>
  </w:style>
  <w:style w:type="paragraph" w:styleId="BodyTextIndent2">
    <w:name w:val="Body Text Indent 2"/>
    <w:basedOn w:val="Normal"/>
    <w:link w:val="BodyTextIndent2Char"/>
    <w:uiPriority w:val="99"/>
    <w:semiHidden/>
    <w:unhideWhenUsed/>
    <w:rsid w:val="006679BA"/>
    <w:pPr>
      <w:spacing w:after="120" w:line="480" w:lineRule="auto"/>
      <w:ind w:left="283"/>
    </w:pPr>
  </w:style>
  <w:style w:type="character" w:customStyle="1" w:styleId="BodyTextIndent2Char">
    <w:name w:val="Body Text Indent 2 Char"/>
    <w:basedOn w:val="DefaultParagraphFont"/>
    <w:link w:val="BodyTextIndent2"/>
    <w:uiPriority w:val="99"/>
    <w:semiHidden/>
    <w:rsid w:val="006679BA"/>
    <w:rPr>
      <w:sz w:val="22"/>
    </w:rPr>
  </w:style>
  <w:style w:type="paragraph" w:styleId="BodyTextIndent3">
    <w:name w:val="Body Text Indent 3"/>
    <w:basedOn w:val="Normal"/>
    <w:link w:val="BodyTextIndent3Char"/>
    <w:uiPriority w:val="99"/>
    <w:semiHidden/>
    <w:unhideWhenUsed/>
    <w:rsid w:val="006679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79BA"/>
    <w:rPr>
      <w:sz w:val="16"/>
      <w:szCs w:val="16"/>
    </w:rPr>
  </w:style>
  <w:style w:type="paragraph" w:styleId="Closing">
    <w:name w:val="Closing"/>
    <w:basedOn w:val="Normal"/>
    <w:link w:val="ClosingChar"/>
    <w:uiPriority w:val="99"/>
    <w:semiHidden/>
    <w:unhideWhenUsed/>
    <w:rsid w:val="006679BA"/>
    <w:pPr>
      <w:spacing w:after="0"/>
      <w:ind w:left="4252"/>
    </w:pPr>
  </w:style>
  <w:style w:type="character" w:customStyle="1" w:styleId="ClosingChar">
    <w:name w:val="Closing Char"/>
    <w:basedOn w:val="DefaultParagraphFont"/>
    <w:link w:val="Closing"/>
    <w:uiPriority w:val="99"/>
    <w:semiHidden/>
    <w:rsid w:val="006679BA"/>
    <w:rPr>
      <w:sz w:val="22"/>
    </w:rPr>
  </w:style>
  <w:style w:type="paragraph" w:styleId="Date">
    <w:name w:val="Date"/>
    <w:basedOn w:val="Normal"/>
    <w:next w:val="Normal"/>
    <w:link w:val="DateChar"/>
    <w:uiPriority w:val="99"/>
    <w:semiHidden/>
    <w:unhideWhenUsed/>
    <w:rsid w:val="006679BA"/>
  </w:style>
  <w:style w:type="character" w:customStyle="1" w:styleId="DateChar">
    <w:name w:val="Date Char"/>
    <w:basedOn w:val="DefaultParagraphFont"/>
    <w:link w:val="Date"/>
    <w:uiPriority w:val="99"/>
    <w:semiHidden/>
    <w:rsid w:val="006679BA"/>
    <w:rPr>
      <w:sz w:val="22"/>
    </w:rPr>
  </w:style>
  <w:style w:type="paragraph" w:styleId="DocumentMap">
    <w:name w:val="Document Map"/>
    <w:basedOn w:val="Normal"/>
    <w:link w:val="DocumentMapChar"/>
    <w:uiPriority w:val="99"/>
    <w:semiHidden/>
    <w:unhideWhenUsed/>
    <w:rsid w:val="006679B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79BA"/>
    <w:rPr>
      <w:rFonts w:ascii="Segoe UI" w:hAnsi="Segoe UI" w:cs="Segoe UI"/>
      <w:sz w:val="16"/>
      <w:szCs w:val="16"/>
    </w:rPr>
  </w:style>
  <w:style w:type="paragraph" w:styleId="E-mailSignature">
    <w:name w:val="E-mail Signature"/>
    <w:basedOn w:val="Normal"/>
    <w:link w:val="E-mailSignatureChar"/>
    <w:uiPriority w:val="99"/>
    <w:semiHidden/>
    <w:unhideWhenUsed/>
    <w:rsid w:val="006679BA"/>
    <w:pPr>
      <w:spacing w:after="0"/>
    </w:pPr>
  </w:style>
  <w:style w:type="character" w:customStyle="1" w:styleId="E-mailSignatureChar">
    <w:name w:val="E-mail Signature Char"/>
    <w:basedOn w:val="DefaultParagraphFont"/>
    <w:link w:val="E-mailSignature"/>
    <w:uiPriority w:val="99"/>
    <w:semiHidden/>
    <w:rsid w:val="006679BA"/>
    <w:rPr>
      <w:sz w:val="22"/>
    </w:rPr>
  </w:style>
  <w:style w:type="paragraph" w:styleId="EndnoteText">
    <w:name w:val="endnote text"/>
    <w:basedOn w:val="Normal"/>
    <w:link w:val="EndnoteTextChar"/>
    <w:uiPriority w:val="99"/>
    <w:semiHidden/>
    <w:unhideWhenUsed/>
    <w:rsid w:val="006679BA"/>
    <w:pPr>
      <w:spacing w:after="0"/>
    </w:pPr>
    <w:rPr>
      <w:sz w:val="20"/>
    </w:rPr>
  </w:style>
  <w:style w:type="character" w:customStyle="1" w:styleId="EndnoteTextChar">
    <w:name w:val="Endnote Text Char"/>
    <w:basedOn w:val="DefaultParagraphFont"/>
    <w:link w:val="EndnoteText"/>
    <w:uiPriority w:val="99"/>
    <w:semiHidden/>
    <w:rsid w:val="006679BA"/>
  </w:style>
  <w:style w:type="paragraph" w:styleId="EnvelopeAddress">
    <w:name w:val="envelope address"/>
    <w:basedOn w:val="Normal"/>
    <w:uiPriority w:val="99"/>
    <w:semiHidden/>
    <w:unhideWhenUsed/>
    <w:rsid w:val="006679B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79BA"/>
    <w:pPr>
      <w:spacing w:after="0"/>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semiHidden/>
    <w:rsid w:val="006679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79B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679BA"/>
    <w:pPr>
      <w:spacing w:after="0"/>
    </w:pPr>
    <w:rPr>
      <w:i/>
      <w:iCs/>
    </w:rPr>
  </w:style>
  <w:style w:type="character" w:customStyle="1" w:styleId="HTMLAddressChar">
    <w:name w:val="HTML Address Char"/>
    <w:basedOn w:val="DefaultParagraphFont"/>
    <w:link w:val="HTMLAddress"/>
    <w:uiPriority w:val="99"/>
    <w:semiHidden/>
    <w:rsid w:val="006679BA"/>
    <w:rPr>
      <w:i/>
      <w:iCs/>
      <w:sz w:val="22"/>
    </w:rPr>
  </w:style>
  <w:style w:type="paragraph" w:styleId="HTMLPreformatted">
    <w:name w:val="HTML Preformatted"/>
    <w:basedOn w:val="Normal"/>
    <w:link w:val="HTMLPreformattedChar"/>
    <w:uiPriority w:val="99"/>
    <w:semiHidden/>
    <w:unhideWhenUsed/>
    <w:rsid w:val="006679BA"/>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6679BA"/>
    <w:rPr>
      <w:rFonts w:ascii="Consolas" w:hAnsi="Consolas" w:cs="Consolas"/>
    </w:rPr>
  </w:style>
  <w:style w:type="paragraph" w:styleId="Index1">
    <w:name w:val="index 1"/>
    <w:basedOn w:val="Normal"/>
    <w:next w:val="Normal"/>
    <w:autoRedefine/>
    <w:uiPriority w:val="99"/>
    <w:semiHidden/>
    <w:unhideWhenUsed/>
    <w:rsid w:val="006679BA"/>
    <w:pPr>
      <w:spacing w:after="0"/>
      <w:ind w:left="220" w:hanging="220"/>
    </w:pPr>
  </w:style>
  <w:style w:type="paragraph" w:styleId="Index2">
    <w:name w:val="index 2"/>
    <w:basedOn w:val="Normal"/>
    <w:next w:val="Normal"/>
    <w:autoRedefine/>
    <w:uiPriority w:val="99"/>
    <w:semiHidden/>
    <w:unhideWhenUsed/>
    <w:rsid w:val="006679BA"/>
    <w:pPr>
      <w:spacing w:after="0"/>
      <w:ind w:left="440" w:hanging="220"/>
    </w:pPr>
  </w:style>
  <w:style w:type="paragraph" w:styleId="Index3">
    <w:name w:val="index 3"/>
    <w:basedOn w:val="Normal"/>
    <w:next w:val="Normal"/>
    <w:autoRedefine/>
    <w:uiPriority w:val="99"/>
    <w:semiHidden/>
    <w:unhideWhenUsed/>
    <w:rsid w:val="006679BA"/>
    <w:pPr>
      <w:spacing w:after="0"/>
      <w:ind w:left="660" w:hanging="220"/>
    </w:pPr>
  </w:style>
  <w:style w:type="paragraph" w:styleId="Index4">
    <w:name w:val="index 4"/>
    <w:basedOn w:val="Normal"/>
    <w:next w:val="Normal"/>
    <w:autoRedefine/>
    <w:uiPriority w:val="99"/>
    <w:semiHidden/>
    <w:unhideWhenUsed/>
    <w:rsid w:val="006679BA"/>
    <w:pPr>
      <w:spacing w:after="0"/>
      <w:ind w:left="880" w:hanging="220"/>
    </w:pPr>
  </w:style>
  <w:style w:type="paragraph" w:styleId="Index5">
    <w:name w:val="index 5"/>
    <w:basedOn w:val="Normal"/>
    <w:next w:val="Normal"/>
    <w:autoRedefine/>
    <w:uiPriority w:val="99"/>
    <w:semiHidden/>
    <w:unhideWhenUsed/>
    <w:rsid w:val="006679BA"/>
    <w:pPr>
      <w:spacing w:after="0"/>
      <w:ind w:left="1100" w:hanging="220"/>
    </w:pPr>
  </w:style>
  <w:style w:type="paragraph" w:styleId="Index6">
    <w:name w:val="index 6"/>
    <w:basedOn w:val="Normal"/>
    <w:next w:val="Normal"/>
    <w:autoRedefine/>
    <w:uiPriority w:val="99"/>
    <w:semiHidden/>
    <w:unhideWhenUsed/>
    <w:rsid w:val="006679BA"/>
    <w:pPr>
      <w:spacing w:after="0"/>
      <w:ind w:left="1320" w:hanging="220"/>
    </w:pPr>
  </w:style>
  <w:style w:type="paragraph" w:styleId="Index7">
    <w:name w:val="index 7"/>
    <w:basedOn w:val="Normal"/>
    <w:next w:val="Normal"/>
    <w:autoRedefine/>
    <w:uiPriority w:val="99"/>
    <w:semiHidden/>
    <w:unhideWhenUsed/>
    <w:rsid w:val="006679BA"/>
    <w:pPr>
      <w:spacing w:after="0"/>
      <w:ind w:left="1540" w:hanging="220"/>
    </w:pPr>
  </w:style>
  <w:style w:type="paragraph" w:styleId="Index8">
    <w:name w:val="index 8"/>
    <w:basedOn w:val="Normal"/>
    <w:next w:val="Normal"/>
    <w:autoRedefine/>
    <w:uiPriority w:val="99"/>
    <w:semiHidden/>
    <w:unhideWhenUsed/>
    <w:rsid w:val="006679BA"/>
    <w:pPr>
      <w:spacing w:after="0"/>
      <w:ind w:left="1760" w:hanging="220"/>
    </w:pPr>
  </w:style>
  <w:style w:type="paragraph" w:styleId="Index9">
    <w:name w:val="index 9"/>
    <w:basedOn w:val="Normal"/>
    <w:next w:val="Normal"/>
    <w:autoRedefine/>
    <w:uiPriority w:val="99"/>
    <w:semiHidden/>
    <w:unhideWhenUsed/>
    <w:rsid w:val="006679BA"/>
    <w:pPr>
      <w:spacing w:after="0"/>
      <w:ind w:left="1980" w:hanging="220"/>
    </w:pPr>
  </w:style>
  <w:style w:type="paragraph" w:styleId="IndexHeading">
    <w:name w:val="index heading"/>
    <w:basedOn w:val="Normal"/>
    <w:next w:val="Index1"/>
    <w:uiPriority w:val="99"/>
    <w:semiHidden/>
    <w:unhideWhenUsed/>
    <w:rsid w:val="006679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79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679BA"/>
    <w:rPr>
      <w:i/>
      <w:iCs/>
      <w:color w:val="4F81BD" w:themeColor="accent1"/>
      <w:sz w:val="22"/>
    </w:rPr>
  </w:style>
  <w:style w:type="paragraph" w:styleId="List">
    <w:name w:val="List"/>
    <w:basedOn w:val="Normal"/>
    <w:uiPriority w:val="99"/>
    <w:semiHidden/>
    <w:unhideWhenUsed/>
    <w:rsid w:val="006679BA"/>
    <w:pPr>
      <w:ind w:left="283" w:hanging="283"/>
      <w:contextualSpacing/>
    </w:pPr>
  </w:style>
  <w:style w:type="paragraph" w:styleId="List2">
    <w:name w:val="List 2"/>
    <w:basedOn w:val="Normal"/>
    <w:uiPriority w:val="99"/>
    <w:semiHidden/>
    <w:unhideWhenUsed/>
    <w:rsid w:val="006679BA"/>
    <w:pPr>
      <w:ind w:left="566" w:hanging="283"/>
      <w:contextualSpacing/>
    </w:pPr>
  </w:style>
  <w:style w:type="paragraph" w:styleId="List3">
    <w:name w:val="List 3"/>
    <w:basedOn w:val="Normal"/>
    <w:uiPriority w:val="99"/>
    <w:semiHidden/>
    <w:unhideWhenUsed/>
    <w:rsid w:val="006679BA"/>
    <w:pPr>
      <w:ind w:left="849" w:hanging="283"/>
      <w:contextualSpacing/>
    </w:pPr>
  </w:style>
  <w:style w:type="paragraph" w:styleId="List4">
    <w:name w:val="List 4"/>
    <w:basedOn w:val="Normal"/>
    <w:uiPriority w:val="99"/>
    <w:semiHidden/>
    <w:unhideWhenUsed/>
    <w:rsid w:val="006679BA"/>
    <w:pPr>
      <w:ind w:left="1132" w:hanging="283"/>
      <w:contextualSpacing/>
    </w:pPr>
  </w:style>
  <w:style w:type="paragraph" w:styleId="List5">
    <w:name w:val="List 5"/>
    <w:basedOn w:val="Normal"/>
    <w:uiPriority w:val="99"/>
    <w:semiHidden/>
    <w:unhideWhenUsed/>
    <w:rsid w:val="006679BA"/>
    <w:pPr>
      <w:ind w:left="1415" w:hanging="283"/>
      <w:contextualSpacing/>
    </w:pPr>
  </w:style>
  <w:style w:type="paragraph" w:styleId="ListBullet3">
    <w:name w:val="List Bullet 3"/>
    <w:basedOn w:val="Normal"/>
    <w:uiPriority w:val="99"/>
    <w:semiHidden/>
    <w:unhideWhenUsed/>
    <w:rsid w:val="006679BA"/>
    <w:pPr>
      <w:numPr>
        <w:numId w:val="34"/>
      </w:numPr>
      <w:contextualSpacing/>
    </w:pPr>
  </w:style>
  <w:style w:type="paragraph" w:styleId="ListBullet4">
    <w:name w:val="List Bullet 4"/>
    <w:basedOn w:val="Normal"/>
    <w:uiPriority w:val="99"/>
    <w:semiHidden/>
    <w:unhideWhenUsed/>
    <w:rsid w:val="006679BA"/>
    <w:pPr>
      <w:numPr>
        <w:numId w:val="35"/>
      </w:numPr>
      <w:contextualSpacing/>
    </w:pPr>
  </w:style>
  <w:style w:type="paragraph" w:styleId="ListBullet5">
    <w:name w:val="List Bullet 5"/>
    <w:basedOn w:val="Normal"/>
    <w:uiPriority w:val="99"/>
    <w:semiHidden/>
    <w:unhideWhenUsed/>
    <w:rsid w:val="006679BA"/>
    <w:pPr>
      <w:numPr>
        <w:numId w:val="36"/>
      </w:numPr>
      <w:contextualSpacing/>
    </w:pPr>
  </w:style>
  <w:style w:type="paragraph" w:styleId="ListContinue">
    <w:name w:val="List Continue"/>
    <w:basedOn w:val="Normal"/>
    <w:uiPriority w:val="99"/>
    <w:semiHidden/>
    <w:unhideWhenUsed/>
    <w:rsid w:val="006679BA"/>
    <w:pPr>
      <w:spacing w:after="120"/>
      <w:ind w:left="283"/>
      <w:contextualSpacing/>
    </w:pPr>
  </w:style>
  <w:style w:type="paragraph" w:styleId="ListContinue2">
    <w:name w:val="List Continue 2"/>
    <w:basedOn w:val="Normal"/>
    <w:uiPriority w:val="99"/>
    <w:semiHidden/>
    <w:unhideWhenUsed/>
    <w:rsid w:val="006679BA"/>
    <w:pPr>
      <w:spacing w:after="120"/>
      <w:ind w:left="566"/>
      <w:contextualSpacing/>
    </w:pPr>
  </w:style>
  <w:style w:type="paragraph" w:styleId="ListContinue3">
    <w:name w:val="List Continue 3"/>
    <w:basedOn w:val="Normal"/>
    <w:uiPriority w:val="99"/>
    <w:semiHidden/>
    <w:unhideWhenUsed/>
    <w:rsid w:val="006679BA"/>
    <w:pPr>
      <w:spacing w:after="120"/>
      <w:ind w:left="849"/>
      <w:contextualSpacing/>
    </w:pPr>
  </w:style>
  <w:style w:type="paragraph" w:styleId="ListContinue4">
    <w:name w:val="List Continue 4"/>
    <w:basedOn w:val="Normal"/>
    <w:uiPriority w:val="99"/>
    <w:semiHidden/>
    <w:unhideWhenUsed/>
    <w:rsid w:val="006679BA"/>
    <w:pPr>
      <w:spacing w:after="120"/>
      <w:ind w:left="1132"/>
      <w:contextualSpacing/>
    </w:pPr>
  </w:style>
  <w:style w:type="paragraph" w:styleId="ListContinue5">
    <w:name w:val="List Continue 5"/>
    <w:basedOn w:val="Normal"/>
    <w:uiPriority w:val="99"/>
    <w:semiHidden/>
    <w:unhideWhenUsed/>
    <w:rsid w:val="006679BA"/>
    <w:pPr>
      <w:spacing w:after="120"/>
      <w:ind w:left="1415"/>
      <w:contextualSpacing/>
    </w:pPr>
  </w:style>
  <w:style w:type="paragraph" w:styleId="ListNumber">
    <w:name w:val="List Number"/>
    <w:basedOn w:val="Normal"/>
    <w:uiPriority w:val="99"/>
    <w:semiHidden/>
    <w:unhideWhenUsed/>
    <w:rsid w:val="006679BA"/>
    <w:pPr>
      <w:numPr>
        <w:numId w:val="32"/>
      </w:numPr>
      <w:contextualSpacing/>
    </w:pPr>
  </w:style>
  <w:style w:type="paragraph" w:styleId="ListNumber2">
    <w:name w:val="List Number 2"/>
    <w:basedOn w:val="Normal"/>
    <w:uiPriority w:val="99"/>
    <w:semiHidden/>
    <w:unhideWhenUsed/>
    <w:rsid w:val="006679BA"/>
    <w:pPr>
      <w:numPr>
        <w:numId w:val="37"/>
      </w:numPr>
      <w:contextualSpacing/>
    </w:pPr>
  </w:style>
  <w:style w:type="paragraph" w:styleId="ListNumber3">
    <w:name w:val="List Number 3"/>
    <w:basedOn w:val="Normal"/>
    <w:uiPriority w:val="99"/>
    <w:semiHidden/>
    <w:unhideWhenUsed/>
    <w:rsid w:val="006679BA"/>
    <w:pPr>
      <w:numPr>
        <w:numId w:val="38"/>
      </w:numPr>
      <w:contextualSpacing/>
    </w:pPr>
  </w:style>
  <w:style w:type="paragraph" w:styleId="ListNumber4">
    <w:name w:val="List Number 4"/>
    <w:basedOn w:val="Normal"/>
    <w:uiPriority w:val="99"/>
    <w:semiHidden/>
    <w:unhideWhenUsed/>
    <w:rsid w:val="006679BA"/>
    <w:pPr>
      <w:numPr>
        <w:numId w:val="39"/>
      </w:numPr>
      <w:contextualSpacing/>
    </w:pPr>
  </w:style>
  <w:style w:type="paragraph" w:styleId="ListNumber5">
    <w:name w:val="List Number 5"/>
    <w:basedOn w:val="Normal"/>
    <w:uiPriority w:val="99"/>
    <w:semiHidden/>
    <w:unhideWhenUsed/>
    <w:rsid w:val="006679BA"/>
    <w:pPr>
      <w:numPr>
        <w:numId w:val="40"/>
      </w:numPr>
      <w:contextualSpacing/>
    </w:pPr>
  </w:style>
  <w:style w:type="paragraph" w:styleId="MacroText">
    <w:name w:val="macro"/>
    <w:link w:val="MacroTextChar"/>
    <w:uiPriority w:val="99"/>
    <w:semiHidden/>
    <w:unhideWhenUsed/>
    <w:rsid w:val="006679B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79BA"/>
    <w:rPr>
      <w:rFonts w:ascii="Consolas" w:hAnsi="Consolas" w:cs="Consolas"/>
    </w:rPr>
  </w:style>
  <w:style w:type="paragraph" w:styleId="MessageHeader">
    <w:name w:val="Message Header"/>
    <w:basedOn w:val="Normal"/>
    <w:link w:val="MessageHeaderChar"/>
    <w:uiPriority w:val="99"/>
    <w:semiHidden/>
    <w:unhideWhenUsed/>
    <w:rsid w:val="006679B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79B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679BA"/>
    <w:rPr>
      <w:sz w:val="22"/>
    </w:rPr>
  </w:style>
  <w:style w:type="paragraph" w:styleId="NormalWeb">
    <w:name w:val="Normal (Web)"/>
    <w:basedOn w:val="Normal"/>
    <w:uiPriority w:val="99"/>
    <w:semiHidden/>
    <w:unhideWhenUsed/>
    <w:rsid w:val="006679BA"/>
    <w:rPr>
      <w:sz w:val="24"/>
      <w:szCs w:val="24"/>
    </w:rPr>
  </w:style>
  <w:style w:type="paragraph" w:styleId="NormalIndent">
    <w:name w:val="Normal Indent"/>
    <w:basedOn w:val="Normal"/>
    <w:uiPriority w:val="99"/>
    <w:semiHidden/>
    <w:unhideWhenUsed/>
    <w:rsid w:val="006679BA"/>
    <w:pPr>
      <w:ind w:left="720"/>
    </w:pPr>
  </w:style>
  <w:style w:type="paragraph" w:styleId="NoteHeading">
    <w:name w:val="Note Heading"/>
    <w:basedOn w:val="Normal"/>
    <w:next w:val="Normal"/>
    <w:link w:val="NoteHeadingChar"/>
    <w:uiPriority w:val="99"/>
    <w:semiHidden/>
    <w:unhideWhenUsed/>
    <w:rsid w:val="006679BA"/>
    <w:pPr>
      <w:spacing w:after="0"/>
    </w:pPr>
  </w:style>
  <w:style w:type="character" w:customStyle="1" w:styleId="NoteHeadingChar">
    <w:name w:val="Note Heading Char"/>
    <w:basedOn w:val="DefaultParagraphFont"/>
    <w:link w:val="NoteHeading"/>
    <w:uiPriority w:val="99"/>
    <w:semiHidden/>
    <w:rsid w:val="006679BA"/>
    <w:rPr>
      <w:sz w:val="22"/>
    </w:rPr>
  </w:style>
  <w:style w:type="paragraph" w:styleId="PlainText">
    <w:name w:val="Plain Text"/>
    <w:basedOn w:val="Normal"/>
    <w:link w:val="PlainTextChar"/>
    <w:uiPriority w:val="99"/>
    <w:semiHidden/>
    <w:unhideWhenUsed/>
    <w:rsid w:val="006679B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6679BA"/>
    <w:rPr>
      <w:rFonts w:ascii="Consolas" w:hAnsi="Consolas" w:cs="Consolas"/>
      <w:sz w:val="21"/>
      <w:szCs w:val="21"/>
    </w:rPr>
  </w:style>
  <w:style w:type="paragraph" w:styleId="Quote">
    <w:name w:val="Quote"/>
    <w:basedOn w:val="Normal"/>
    <w:next w:val="Normal"/>
    <w:link w:val="QuoteChar"/>
    <w:uiPriority w:val="29"/>
    <w:qFormat/>
    <w:rsid w:val="006679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79BA"/>
    <w:rPr>
      <w:i/>
      <w:iCs/>
      <w:color w:val="404040" w:themeColor="text1" w:themeTint="BF"/>
      <w:sz w:val="22"/>
    </w:rPr>
  </w:style>
  <w:style w:type="paragraph" w:styleId="Salutation">
    <w:name w:val="Salutation"/>
    <w:basedOn w:val="Normal"/>
    <w:next w:val="Normal"/>
    <w:link w:val="SalutationChar"/>
    <w:uiPriority w:val="99"/>
    <w:semiHidden/>
    <w:unhideWhenUsed/>
    <w:rsid w:val="006679BA"/>
  </w:style>
  <w:style w:type="character" w:customStyle="1" w:styleId="SalutationChar">
    <w:name w:val="Salutation Char"/>
    <w:basedOn w:val="DefaultParagraphFont"/>
    <w:link w:val="Salutation"/>
    <w:uiPriority w:val="99"/>
    <w:semiHidden/>
    <w:rsid w:val="006679BA"/>
    <w:rPr>
      <w:sz w:val="22"/>
    </w:rPr>
  </w:style>
  <w:style w:type="paragraph" w:styleId="Signature">
    <w:name w:val="Signature"/>
    <w:basedOn w:val="Normal"/>
    <w:link w:val="SignatureChar"/>
    <w:uiPriority w:val="99"/>
    <w:semiHidden/>
    <w:unhideWhenUsed/>
    <w:rsid w:val="006679BA"/>
    <w:pPr>
      <w:spacing w:after="0"/>
      <w:ind w:left="4252"/>
    </w:pPr>
  </w:style>
  <w:style w:type="character" w:customStyle="1" w:styleId="SignatureChar">
    <w:name w:val="Signature Char"/>
    <w:basedOn w:val="DefaultParagraphFont"/>
    <w:link w:val="Signature"/>
    <w:uiPriority w:val="99"/>
    <w:semiHidden/>
    <w:rsid w:val="006679BA"/>
    <w:rPr>
      <w:sz w:val="22"/>
    </w:rPr>
  </w:style>
  <w:style w:type="paragraph" w:styleId="Subtitle">
    <w:name w:val="Subtitle"/>
    <w:basedOn w:val="Normal"/>
    <w:next w:val="Normal"/>
    <w:link w:val="SubtitleChar"/>
    <w:uiPriority w:val="11"/>
    <w:qFormat/>
    <w:rsid w:val="006679B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679B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6679BA"/>
    <w:pPr>
      <w:spacing w:after="0"/>
      <w:ind w:left="220" w:hanging="220"/>
    </w:pPr>
  </w:style>
  <w:style w:type="paragraph" w:styleId="TableofFigures">
    <w:name w:val="table of figures"/>
    <w:basedOn w:val="Normal"/>
    <w:next w:val="Normal"/>
    <w:uiPriority w:val="99"/>
    <w:semiHidden/>
    <w:unhideWhenUsed/>
    <w:rsid w:val="006679BA"/>
    <w:pPr>
      <w:spacing w:after="0"/>
    </w:pPr>
  </w:style>
  <w:style w:type="paragraph" w:styleId="Title">
    <w:name w:val="Title"/>
    <w:basedOn w:val="Normal"/>
    <w:next w:val="Normal"/>
    <w:link w:val="TitleChar"/>
    <w:uiPriority w:val="10"/>
    <w:qFormat/>
    <w:rsid w:val="006679B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9B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679BA"/>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6679BA"/>
    <w:pPr>
      <w:spacing w:after="100"/>
      <w:ind w:left="880"/>
    </w:pPr>
  </w:style>
  <w:style w:type="paragraph" w:styleId="TOC6">
    <w:name w:val="toc 6"/>
    <w:basedOn w:val="Normal"/>
    <w:next w:val="Normal"/>
    <w:autoRedefine/>
    <w:uiPriority w:val="39"/>
    <w:semiHidden/>
    <w:unhideWhenUsed/>
    <w:rsid w:val="006679BA"/>
    <w:pPr>
      <w:spacing w:after="100"/>
      <w:ind w:left="1100"/>
    </w:pPr>
  </w:style>
  <w:style w:type="paragraph" w:styleId="TOC7">
    <w:name w:val="toc 7"/>
    <w:basedOn w:val="Normal"/>
    <w:next w:val="Normal"/>
    <w:autoRedefine/>
    <w:uiPriority w:val="39"/>
    <w:semiHidden/>
    <w:unhideWhenUsed/>
    <w:rsid w:val="006679BA"/>
    <w:pPr>
      <w:spacing w:after="100"/>
      <w:ind w:left="1320"/>
    </w:pPr>
  </w:style>
  <w:style w:type="paragraph" w:styleId="TOC8">
    <w:name w:val="toc 8"/>
    <w:basedOn w:val="Normal"/>
    <w:next w:val="Normal"/>
    <w:autoRedefine/>
    <w:uiPriority w:val="39"/>
    <w:semiHidden/>
    <w:unhideWhenUsed/>
    <w:rsid w:val="006679BA"/>
    <w:pPr>
      <w:spacing w:after="100"/>
      <w:ind w:left="1540"/>
    </w:pPr>
  </w:style>
  <w:style w:type="paragraph" w:styleId="TOC9">
    <w:name w:val="toc 9"/>
    <w:basedOn w:val="Normal"/>
    <w:next w:val="Normal"/>
    <w:autoRedefine/>
    <w:uiPriority w:val="39"/>
    <w:semiHidden/>
    <w:unhideWhenUsed/>
    <w:rsid w:val="006679B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869">
      <w:bodyDiv w:val="1"/>
      <w:marLeft w:val="0"/>
      <w:marRight w:val="0"/>
      <w:marTop w:val="0"/>
      <w:marBottom w:val="0"/>
      <w:divBdr>
        <w:top w:val="none" w:sz="0" w:space="0" w:color="auto"/>
        <w:left w:val="none" w:sz="0" w:space="0" w:color="auto"/>
        <w:bottom w:val="none" w:sz="0" w:space="0" w:color="auto"/>
        <w:right w:val="none" w:sz="0" w:space="0" w:color="auto"/>
      </w:divBdr>
    </w:div>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379018508">
      <w:bodyDiv w:val="1"/>
      <w:marLeft w:val="0"/>
      <w:marRight w:val="0"/>
      <w:marTop w:val="0"/>
      <w:marBottom w:val="0"/>
      <w:divBdr>
        <w:top w:val="none" w:sz="0" w:space="0" w:color="auto"/>
        <w:left w:val="none" w:sz="0" w:space="0" w:color="auto"/>
        <w:bottom w:val="none" w:sz="0" w:space="0" w:color="auto"/>
        <w:right w:val="none" w:sz="0" w:space="0" w:color="auto"/>
      </w:divBdr>
      <w:divsChild>
        <w:div w:id="1842501098">
          <w:marLeft w:val="0"/>
          <w:marRight w:val="0"/>
          <w:marTop w:val="0"/>
          <w:marBottom w:val="0"/>
          <w:divBdr>
            <w:top w:val="none" w:sz="0" w:space="0" w:color="auto"/>
            <w:left w:val="none" w:sz="0" w:space="0" w:color="auto"/>
            <w:bottom w:val="none" w:sz="0" w:space="0" w:color="auto"/>
            <w:right w:val="none" w:sz="0" w:space="0" w:color="auto"/>
          </w:divBdr>
          <w:divsChild>
            <w:div w:id="467675642">
              <w:marLeft w:val="0"/>
              <w:marRight w:val="0"/>
              <w:marTop w:val="0"/>
              <w:marBottom w:val="0"/>
              <w:divBdr>
                <w:top w:val="none" w:sz="0" w:space="0" w:color="auto"/>
                <w:left w:val="none" w:sz="0" w:space="0" w:color="auto"/>
                <w:bottom w:val="none" w:sz="0" w:space="0" w:color="auto"/>
                <w:right w:val="none" w:sz="0" w:space="0" w:color="auto"/>
              </w:divBdr>
              <w:divsChild>
                <w:div w:id="1646200943">
                  <w:marLeft w:val="0"/>
                  <w:marRight w:val="0"/>
                  <w:marTop w:val="100"/>
                  <w:marBottom w:val="100"/>
                  <w:divBdr>
                    <w:top w:val="none" w:sz="0" w:space="0" w:color="auto"/>
                    <w:left w:val="none" w:sz="0" w:space="0" w:color="auto"/>
                    <w:bottom w:val="none" w:sz="0" w:space="0" w:color="auto"/>
                    <w:right w:val="none" w:sz="0" w:space="0" w:color="auto"/>
                  </w:divBdr>
                  <w:divsChild>
                    <w:div w:id="1143352479">
                      <w:marLeft w:val="1"/>
                      <w:marRight w:val="1"/>
                      <w:marTop w:val="240"/>
                      <w:marBottom w:val="0"/>
                      <w:divBdr>
                        <w:top w:val="none" w:sz="0" w:space="0" w:color="auto"/>
                        <w:left w:val="none" w:sz="0" w:space="0" w:color="auto"/>
                        <w:bottom w:val="none" w:sz="0" w:space="0" w:color="auto"/>
                        <w:right w:val="none" w:sz="0" w:space="0" w:color="auto"/>
                      </w:divBdr>
                      <w:divsChild>
                        <w:div w:id="680860812">
                          <w:marLeft w:val="-1"/>
                          <w:marRight w:val="-1"/>
                          <w:marTop w:val="0"/>
                          <w:marBottom w:val="0"/>
                          <w:divBdr>
                            <w:top w:val="none" w:sz="0" w:space="0" w:color="auto"/>
                            <w:left w:val="none" w:sz="0" w:space="0" w:color="auto"/>
                            <w:bottom w:val="none" w:sz="0" w:space="0" w:color="auto"/>
                            <w:right w:val="none" w:sz="0" w:space="0" w:color="auto"/>
                          </w:divBdr>
                          <w:divsChild>
                            <w:div w:id="947853281">
                              <w:marLeft w:val="0"/>
                              <w:marRight w:val="0"/>
                              <w:marTop w:val="0"/>
                              <w:marBottom w:val="600"/>
                              <w:divBdr>
                                <w:top w:val="none" w:sz="0" w:space="0" w:color="auto"/>
                                <w:left w:val="none" w:sz="0" w:space="0" w:color="auto"/>
                                <w:bottom w:val="none" w:sz="0" w:space="0" w:color="auto"/>
                                <w:right w:val="none" w:sz="0" w:space="0" w:color="auto"/>
                              </w:divBdr>
                              <w:divsChild>
                                <w:div w:id="8531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887106291">
      <w:bodyDiv w:val="1"/>
      <w:marLeft w:val="0"/>
      <w:marRight w:val="0"/>
      <w:marTop w:val="0"/>
      <w:marBottom w:val="0"/>
      <w:divBdr>
        <w:top w:val="none" w:sz="0" w:space="0" w:color="auto"/>
        <w:left w:val="none" w:sz="0" w:space="0" w:color="auto"/>
        <w:bottom w:val="none" w:sz="0" w:space="0" w:color="auto"/>
        <w:right w:val="none" w:sz="0" w:space="0" w:color="auto"/>
      </w:divBdr>
    </w:div>
    <w:div w:id="909733455">
      <w:bodyDiv w:val="1"/>
      <w:marLeft w:val="0"/>
      <w:marRight w:val="0"/>
      <w:marTop w:val="0"/>
      <w:marBottom w:val="0"/>
      <w:divBdr>
        <w:top w:val="none" w:sz="0" w:space="0" w:color="auto"/>
        <w:left w:val="none" w:sz="0" w:space="0" w:color="auto"/>
        <w:bottom w:val="none" w:sz="0" w:space="0" w:color="auto"/>
        <w:right w:val="none" w:sz="0" w:space="0" w:color="auto"/>
      </w:divBdr>
    </w:div>
    <w:div w:id="1338271855">
      <w:bodyDiv w:val="1"/>
      <w:marLeft w:val="0"/>
      <w:marRight w:val="0"/>
      <w:marTop w:val="0"/>
      <w:marBottom w:val="0"/>
      <w:divBdr>
        <w:top w:val="none" w:sz="0" w:space="0" w:color="auto"/>
        <w:left w:val="none" w:sz="0" w:space="0" w:color="auto"/>
        <w:bottom w:val="none" w:sz="0" w:space="0" w:color="auto"/>
        <w:right w:val="none" w:sz="0" w:space="0" w:color="auto"/>
      </w:divBdr>
    </w:div>
    <w:div w:id="1516531550">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904290741">
      <w:bodyDiv w:val="1"/>
      <w:marLeft w:val="0"/>
      <w:marRight w:val="0"/>
      <w:marTop w:val="0"/>
      <w:marBottom w:val="0"/>
      <w:divBdr>
        <w:top w:val="none" w:sz="0" w:space="0" w:color="auto"/>
        <w:left w:val="none" w:sz="0" w:space="0" w:color="auto"/>
        <w:bottom w:val="none" w:sz="0" w:space="0" w:color="auto"/>
        <w:right w:val="none" w:sz="0" w:space="0" w:color="auto"/>
      </w:divBdr>
    </w:div>
    <w:div w:id="20602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sic.gov.au/regulatory-resources/find-a-document/consultation-papers/cp-334-proposed-changes-to-simplify-the-asic-derivative-transaction-rules-reporting-first-consultation/" TargetMode="External"/><Relationship Id="rId21" Type="http://schemas.openxmlformats.org/officeDocument/2006/relationships/hyperlink" Target="http://www.asic.gov.au/privacy" TargetMode="External"/><Relationship Id="rId42" Type="http://schemas.openxmlformats.org/officeDocument/2006/relationships/hyperlink" Target="https://www.legislation.gov.au/Details/F2020C00930" TargetMode="External"/><Relationship Id="rId63" Type="http://schemas.openxmlformats.org/officeDocument/2006/relationships/hyperlink" Target="https://asic.gov.au/regulatory-resources/find-a-document/consultation-papers/cp-334-proposed-changes-to-simplify-the-asic-derivative-transaction-rules-reporting-first-consultation/" TargetMode="External"/><Relationship Id="rId84" Type="http://schemas.openxmlformats.org/officeDocument/2006/relationships/hyperlink" Target="https://asic.gov.au/regulatory-resources/find-a-document/consultation-papers/cp-334-proposed-changes-to-simplify-the-asic-derivative-transaction-rules-reporting-first-consultation/" TargetMode="External"/><Relationship Id="rId138" Type="http://schemas.openxmlformats.org/officeDocument/2006/relationships/hyperlink" Target="https://asic.gov.au/regulatory-resources/find-a-document/consultation-papers/cp-334-proposed-changes-to-simplify-the-asic-derivative-transaction-rules-reporting-first-consultation/" TargetMode="External"/><Relationship Id="rId159" Type="http://schemas.openxmlformats.org/officeDocument/2006/relationships/hyperlink" Target="https://www.legislation.gov.au/Details/F2016L01280" TargetMode="External"/><Relationship Id="rId170" Type="http://schemas.openxmlformats.org/officeDocument/2006/relationships/hyperlink" Target="https://prod.apra.shared.skpr.live/outsourcing" TargetMode="External"/><Relationship Id="rId191" Type="http://schemas.openxmlformats.org/officeDocument/2006/relationships/footer" Target="footer9.xml"/><Relationship Id="rId205" Type="http://schemas.openxmlformats.org/officeDocument/2006/relationships/footer" Target="footer13.xml"/><Relationship Id="rId107" Type="http://schemas.openxmlformats.org/officeDocument/2006/relationships/hyperlink" Target="https://asic.gov.au/regulatory-resources/find-a-document/consultation-papers/cp-334-proposed-changes-to-simplify-the-asic-derivative-transaction-rules-reporting-first-consultation/" TargetMode="External"/><Relationship Id="rId11" Type="http://schemas.openxmlformats.org/officeDocument/2006/relationships/footnotes" Target="footnotes.xml"/><Relationship Id="rId32" Type="http://schemas.openxmlformats.org/officeDocument/2006/relationships/footer" Target="footer3.xml"/><Relationship Id="rId53" Type="http://schemas.openxmlformats.org/officeDocument/2006/relationships/hyperlink" Target="https://www.iosco.org/library/pubdocs/pdf/IOSCOPD557.pdf" TargetMode="External"/><Relationship Id="rId74" Type="http://schemas.openxmlformats.org/officeDocument/2006/relationships/hyperlink" Target="https://asic.gov.au/regulatory-resources/find-a-document/consultation-papers/cp-334-proposed-changes-to-simplify-the-asic-derivative-transaction-rules-reporting-first-consultation/" TargetMode="External"/><Relationship Id="rId128" Type="http://schemas.openxmlformats.org/officeDocument/2006/relationships/hyperlink" Target="https://asic.gov.au/regulatory-resources/find-a-document/consultation-papers/cp-334-proposed-changes-to-simplify-the-asic-derivative-transaction-rules-reporting-first-consultation/" TargetMode="External"/><Relationship Id="rId149" Type="http://schemas.openxmlformats.org/officeDocument/2006/relationships/hyperlink" Target="https://asic.gov.au/regulatory-resources/find-a-document/consultation-papers/cp-334-proposed-changes-to-simplify-the-asic-derivative-transaction-rules-reporting-first-consultation/" TargetMode="External"/><Relationship Id="rId5" Type="http://schemas.openxmlformats.org/officeDocument/2006/relationships/customXml" Target="../customXml/item5.xml"/><Relationship Id="rId95" Type="http://schemas.openxmlformats.org/officeDocument/2006/relationships/hyperlink" Target="https://asic.gov.au/regulatory-resources/find-a-document/consultation-papers/cp-334-proposed-changes-to-simplify-the-asic-derivative-transaction-rules-reporting-first-consultation/" TargetMode="External"/><Relationship Id="rId160" Type="http://schemas.openxmlformats.org/officeDocument/2006/relationships/hyperlink" Target="https://www.legislation.gov.au/Details/F2016L01280" TargetMode="External"/><Relationship Id="rId181" Type="http://schemas.openxmlformats.org/officeDocument/2006/relationships/hyperlink" Target="https://obpr.pmc.gov.au/" TargetMode="External"/><Relationship Id="rId22" Type="http://schemas.openxmlformats.org/officeDocument/2006/relationships/hyperlink" Target="mailto:otcd@asic.gov.au" TargetMode="External"/><Relationship Id="rId43" Type="http://schemas.openxmlformats.org/officeDocument/2006/relationships/hyperlink" Target="https://www.legislation.gov.au/Details/F2020C00930" TargetMode="External"/><Relationship Id="rId64" Type="http://schemas.openxmlformats.org/officeDocument/2006/relationships/hyperlink" Target="https://asic.gov.au/regulatory-resources/find-a-document/consultation-papers/cp-334-proposed-changes-to-simplify-the-asic-derivative-transaction-rules-reporting-first-consultation/" TargetMode="External"/><Relationship Id="rId118" Type="http://schemas.openxmlformats.org/officeDocument/2006/relationships/hyperlink" Target="https://asic.gov.au/regulatory-resources/find-a-document/consultation-papers/cp-334-proposed-changes-to-simplify-the-asic-derivative-transaction-rules-reporting-first-consultation/" TargetMode="External"/><Relationship Id="rId139" Type="http://schemas.openxmlformats.org/officeDocument/2006/relationships/hyperlink" Target="https://asic.gov.au/regulatory-resources/find-a-document/consultation-papers/cp-334-proposed-changes-to-simplify-the-asic-derivative-transaction-rules-reporting-first-consultation/" TargetMode="External"/><Relationship Id="rId85" Type="http://schemas.openxmlformats.org/officeDocument/2006/relationships/hyperlink" Target="https://www.iso.org/standard/80506.html" TargetMode="External"/><Relationship Id="rId150" Type="http://schemas.openxmlformats.org/officeDocument/2006/relationships/hyperlink" Target="https://www.legislation.gov.au/Details/F2020C00915" TargetMode="External"/><Relationship Id="rId171" Type="http://schemas.openxmlformats.org/officeDocument/2006/relationships/hyperlink" Target="https://asic.gov.au/regulatory-resources/find-a-document/regulatory-guides/rg-104-afs-licensing-meeting-the-general-obligations/" TargetMode="External"/><Relationship Id="rId192" Type="http://schemas.openxmlformats.org/officeDocument/2006/relationships/footer" Target="footer10.xml"/><Relationship Id="rId206" Type="http://schemas.openxmlformats.org/officeDocument/2006/relationships/fontTable" Target="fontTable.xml"/><Relationship Id="rId12" Type="http://schemas.openxmlformats.org/officeDocument/2006/relationships/endnotes" Target="endnotes.xml"/><Relationship Id="rId33" Type="http://schemas.openxmlformats.org/officeDocument/2006/relationships/footer" Target="footer4.xml"/><Relationship Id="rId108" Type="http://schemas.openxmlformats.org/officeDocument/2006/relationships/hyperlink" Target="https://www.leiroc.org/publications/gls/roc_20210922.pdf" TargetMode="External"/><Relationship Id="rId129" Type="http://schemas.openxmlformats.org/officeDocument/2006/relationships/hyperlink" Target="https://asic.gov.au/regulatory-resources/find-a-document/consultation-papers/cp-334-proposed-changes-to-simplify-the-asic-derivative-transaction-rules-reporting-first-consultation/" TargetMode="External"/><Relationship Id="rId54" Type="http://schemas.openxmlformats.org/officeDocument/2006/relationships/hyperlink" Target="https://asic.gov.au/regulatory-resources/find-a-document/consultation-papers/cp-334-proposed-changes-to-simplify-the-asic-derivative-transaction-rules-reporting-first-consultation/" TargetMode="External"/><Relationship Id="rId75" Type="http://schemas.openxmlformats.org/officeDocument/2006/relationships/hyperlink" Target="https://asic.gov.au/regulatory-resources/find-a-document/consultation-papers/cp-334-proposed-changes-to-simplify-the-asic-derivative-transaction-rules-reporting-first-consultation/" TargetMode="External"/><Relationship Id="rId96" Type="http://schemas.openxmlformats.org/officeDocument/2006/relationships/hyperlink" Target="https://asic.gov.au/regulatory-resources/find-a-document/consultation-papers/cp-334-proposed-changes-to-simplify-the-asic-derivative-transaction-rules-reporting-first-consultation/" TargetMode="External"/><Relationship Id="rId140" Type="http://schemas.openxmlformats.org/officeDocument/2006/relationships/hyperlink" Target="https://www.bis.org/cpmi/publ/d186.pdf" TargetMode="External"/><Relationship Id="rId161" Type="http://schemas.openxmlformats.org/officeDocument/2006/relationships/hyperlink" Target="https://asic.gov.au/regulatory-resources/find-a-document/consultation-papers/cp-334-proposed-changes-to-simplify-the-asic-derivative-transaction-rules-reporting-first-consultation/" TargetMode="External"/><Relationship Id="rId182" Type="http://schemas.openxmlformats.org/officeDocument/2006/relationships/header" Target="header8.xml"/><Relationship Id="rId6" Type="http://schemas.openxmlformats.org/officeDocument/2006/relationships/customXml" Target="../customXml/item6.xml"/><Relationship Id="rId23" Type="http://schemas.openxmlformats.org/officeDocument/2006/relationships/hyperlink" Target="https://asic.gov.au/regulatory-resources/find-a-document/consultation-papers/cp-334-proposed-changes-to-simplify-the-asic-derivative-transaction-rules-reporting-first-consultation/" TargetMode="External"/><Relationship Id="rId119" Type="http://schemas.openxmlformats.org/officeDocument/2006/relationships/hyperlink" Target="https://asic.gov.au/regulatory-resources/find-a-document/consultation-papers/cp-334-proposed-changes-to-simplify-the-asic-derivative-transaction-rules-reporting-first-consultation/" TargetMode="External"/><Relationship Id="rId44" Type="http://schemas.openxmlformats.org/officeDocument/2006/relationships/hyperlink" Target="https://www.legislation.gov.au/current/F2021L00114" TargetMode="External"/><Relationship Id="rId65" Type="http://schemas.openxmlformats.org/officeDocument/2006/relationships/hyperlink" Target="https://asic.gov.au/regulatory-resources/find-a-document/consultation-papers/cp-334-proposed-changes-to-simplify-the-asic-derivative-transaction-rules-reporting-first-consultation/" TargetMode="External"/><Relationship Id="rId86" Type="http://schemas.openxmlformats.org/officeDocument/2006/relationships/hyperlink" Target="https://www.anna-dsb.com/upi-fee-model-consultation-2021/" TargetMode="External"/><Relationship Id="rId130" Type="http://schemas.openxmlformats.org/officeDocument/2006/relationships/hyperlink" Target="https://asic.gov.au/regulatory-resources/find-a-document/consultation-papers/cp-334-proposed-changes-to-simplify-the-asic-derivative-transaction-rules-reporting-first-consultation/" TargetMode="External"/><Relationship Id="rId151" Type="http://schemas.openxmlformats.org/officeDocument/2006/relationships/hyperlink" Target="https://www.legislation.gov.au/Details/F2020C00930" TargetMode="External"/><Relationship Id="rId172" Type="http://schemas.openxmlformats.org/officeDocument/2006/relationships/hyperlink" Target="https://www.legislation.gov.au/Details/F2022C00372" TargetMode="External"/><Relationship Id="rId193" Type="http://schemas.openxmlformats.org/officeDocument/2006/relationships/header" Target="header14.xml"/><Relationship Id="rId207" Type="http://schemas.openxmlformats.org/officeDocument/2006/relationships/theme" Target="theme/theme1.xml"/><Relationship Id="rId13" Type="http://schemas.openxmlformats.org/officeDocument/2006/relationships/image" Target="media/image1.jpg"/><Relationship Id="rId109" Type="http://schemas.openxmlformats.org/officeDocument/2006/relationships/hyperlink" Target="https://asic.gov.au/regulatory-resources/find-a-document/consultation-papers/cp-334-proposed-changes-to-simplify-the-asic-derivative-transaction-rules-reporting-first-consultation/" TargetMode="External"/><Relationship Id="rId34" Type="http://schemas.openxmlformats.org/officeDocument/2006/relationships/header" Target="header6.xml"/><Relationship Id="rId55" Type="http://schemas.openxmlformats.org/officeDocument/2006/relationships/hyperlink" Target="https://asic.gov.au/regulatory-resources/find-a-document/consultation-papers/cp-334-proposed-changes-to-simplify-the-asic-derivative-transaction-rules-reporting-first-consultation/" TargetMode="External"/><Relationship Id="rId76" Type="http://schemas.openxmlformats.org/officeDocument/2006/relationships/hyperlink" Target="https://asic.gov.au/regulatory-resources/find-a-document/consultation-papers/cp-334-proposed-changes-to-simplify-the-asic-derivative-transaction-rules-reporting-first-consultation/" TargetMode="External"/><Relationship Id="rId97" Type="http://schemas.openxmlformats.org/officeDocument/2006/relationships/hyperlink" Target="https://asic.gov.au/regulatory-resources/find-a-document/consultation-papers/cp-334-proposed-changes-to-simplify-the-asic-derivative-transaction-rules-reporting-first-consultation/" TargetMode="External"/><Relationship Id="rId120" Type="http://schemas.openxmlformats.org/officeDocument/2006/relationships/hyperlink" Target="https://asic.gov.au/regulatory-resources/find-a-document/consultation-papers/cp-334-proposed-changes-to-simplify-the-asic-derivative-transaction-rules-reporting-first-consultation/" TargetMode="External"/><Relationship Id="rId141" Type="http://schemas.openxmlformats.org/officeDocument/2006/relationships/hyperlink" Target="https://www.iso20022.org/iso-20022-message-definitions" TargetMode="External"/><Relationship Id="rId7" Type="http://schemas.openxmlformats.org/officeDocument/2006/relationships/numbering" Target="numbering.xml"/><Relationship Id="rId162" Type="http://schemas.openxmlformats.org/officeDocument/2006/relationships/hyperlink" Target="https://asic.gov.au/regulatory-resources/find-a-document/consultation-papers/cp-334-proposed-changes-to-simplify-the-asic-derivative-transaction-rules-reporting-first-consultation/" TargetMode="External"/><Relationship Id="rId183" Type="http://schemas.openxmlformats.org/officeDocument/2006/relationships/header" Target="header9.xml"/><Relationship Id="rId24" Type="http://schemas.openxmlformats.org/officeDocument/2006/relationships/hyperlink" Target="https://asic.gov.au/regulatory-resources/find-a-document/consultation-papers/cp-334-proposed-changes-to-simplify-the-asic-derivative-transaction-rules-reporting-first-consultation/" TargetMode="External"/><Relationship Id="rId40" Type="http://schemas.openxmlformats.org/officeDocument/2006/relationships/hyperlink" Target="https://www.legislation.gov.au/Details/F2016L01280" TargetMode="External"/><Relationship Id="rId45" Type="http://schemas.openxmlformats.org/officeDocument/2006/relationships/header" Target="header7.xml"/><Relationship Id="rId66" Type="http://schemas.openxmlformats.org/officeDocument/2006/relationships/hyperlink" Target="https://asic.gov.au/regulatory-resources/find-a-document/consultation-papers/cp-334-proposed-changes-to-simplify-the-asic-derivative-transaction-rules-reporting-first-consultation/" TargetMode="External"/><Relationship Id="rId87" Type="http://schemas.openxmlformats.org/officeDocument/2006/relationships/hyperlink" Target="https://www.anna-dsb.com/upi-legal-terms-and-conditions-consultation/" TargetMode="External"/><Relationship Id="rId110" Type="http://schemas.openxmlformats.org/officeDocument/2006/relationships/hyperlink" Target="https://asic.gov.au/regulatory-resources/find-a-document/consultation-papers/cp-334-proposed-changes-to-simplify-the-asic-derivative-transaction-rules-reporting-first-consultation/" TargetMode="External"/><Relationship Id="rId115" Type="http://schemas.openxmlformats.org/officeDocument/2006/relationships/hyperlink" Target="https://asic.gov.au/regulatory-resources/find-a-document/consultation-papers/cp-334-proposed-changes-to-simplify-the-asic-derivative-transaction-rules-reporting-first-consultation/" TargetMode="External"/><Relationship Id="rId131" Type="http://schemas.openxmlformats.org/officeDocument/2006/relationships/hyperlink" Target="https://asic.gov.au/regulatory-resources/find-a-document/consultation-papers/cp-334-proposed-changes-to-simplify-the-asic-derivative-transaction-rules-reporting-first-consultation/" TargetMode="External"/><Relationship Id="rId136" Type="http://schemas.openxmlformats.org/officeDocument/2006/relationships/hyperlink" Target="https://www.anna-dsb.com/download/upi-underlier-input-method/" TargetMode="External"/><Relationship Id="rId157" Type="http://schemas.openxmlformats.org/officeDocument/2006/relationships/hyperlink" Target="https://asic.gov.au/regulatory-resources/find-a-document/regulatory-guides/rg-251-derivative-transaction-reporting/" TargetMode="External"/><Relationship Id="rId178" Type="http://schemas.openxmlformats.org/officeDocument/2006/relationships/hyperlink" Target="https://asic.gov.au/regulatory-resources/find-a-document/consultation-papers/cp-334-proposed-changes-to-simplify-the-asic-derivative-transaction-rules-reporting-first-consultation/" TargetMode="External"/><Relationship Id="rId61" Type="http://schemas.openxmlformats.org/officeDocument/2006/relationships/hyperlink" Target="https://asic.gov.au/regulatory-resources/find-a-document/consultation-papers/cp-334-proposed-changes-to-simplify-the-asic-derivative-transaction-rules-reporting-first-consultation/" TargetMode="External"/><Relationship Id="rId82" Type="http://schemas.openxmlformats.org/officeDocument/2006/relationships/hyperlink" Target="https://www.leiroc.org/publications/gls/mou_dsb20210630.pdf" TargetMode="External"/><Relationship Id="rId152" Type="http://schemas.openxmlformats.org/officeDocument/2006/relationships/hyperlink" Target="https://asic.gov.au/regulatory-resources/find-a-document/consultation-papers/cp-334-proposed-changes-to-simplify-the-asic-derivative-transaction-rules-reporting-first-consultation/" TargetMode="External"/><Relationship Id="rId173" Type="http://schemas.openxmlformats.org/officeDocument/2006/relationships/hyperlink" Target="https://www.iosco.org/library/pubdocs/pdf/IOSCOPD687.pdf" TargetMode="External"/><Relationship Id="rId194" Type="http://schemas.openxmlformats.org/officeDocument/2006/relationships/header" Target="header15.xml"/><Relationship Id="rId199" Type="http://schemas.openxmlformats.org/officeDocument/2006/relationships/hyperlink" Target="https://www.legislation.gov.au/Details/F2013L01345/Supporting%20Material/Text" TargetMode="External"/><Relationship Id="rId203" Type="http://schemas.openxmlformats.org/officeDocument/2006/relationships/hyperlink" Target="https://www.iosco.org/library/pubdocs/pdf/IOSCOPD557.pdf" TargetMode="External"/><Relationship Id="rId19" Type="http://schemas.openxmlformats.org/officeDocument/2006/relationships/footer" Target="footer2.xml"/><Relationship Id="rId14" Type="http://schemas.openxmlformats.org/officeDocument/2006/relationships/hyperlink" Target="https://asic.gov.au/regulatory-resources/find-a-document/consultation-papers/cp-334-proposed-changes-to-simplify-the-asic-derivative-transaction-rules-reporting-first-consultation/" TargetMode="External"/><Relationship Id="rId30" Type="http://schemas.openxmlformats.org/officeDocument/2006/relationships/header" Target="header4.xml"/><Relationship Id="rId35" Type="http://schemas.openxmlformats.org/officeDocument/2006/relationships/hyperlink" Target="https://www.legislation.gov.au/Details/F2015C00753" TargetMode="External"/><Relationship Id="rId56" Type="http://schemas.openxmlformats.org/officeDocument/2006/relationships/hyperlink" Target="https://asic.gov.au/regulatory-resources/find-a-document/consultation-papers/cp-334-proposed-changes-to-simplify-the-asic-derivative-transaction-rules-reporting-first-consultation/" TargetMode="External"/><Relationship Id="rId77" Type="http://schemas.openxmlformats.org/officeDocument/2006/relationships/hyperlink" Target="https://asic.gov.au/regulatory-resources/find-a-document/regulatory-guides/rg-251-derivative-transaction-reporting/" TargetMode="External"/><Relationship Id="rId100" Type="http://schemas.openxmlformats.org/officeDocument/2006/relationships/hyperlink" Target="https://www.anna-dsb.com/download/dsb-upi-fee-model-final-report/" TargetMode="External"/><Relationship Id="rId105" Type="http://schemas.openxmlformats.org/officeDocument/2006/relationships/hyperlink" Target="https://asic.gov.au/regulatory-resources/find-a-document/consultation-papers/cp-334-proposed-changes-to-simplify-the-asic-derivative-transaction-rules-reporting-first-consultation/" TargetMode="External"/><Relationship Id="rId126" Type="http://schemas.openxmlformats.org/officeDocument/2006/relationships/hyperlink" Target="https://asic.gov.au/regulatory-resources/find-a-document/consultation-papers/cp-334-proposed-changes-to-simplify-the-asic-derivative-transaction-rules-reporting-first-consultation/" TargetMode="External"/><Relationship Id="rId147" Type="http://schemas.openxmlformats.org/officeDocument/2006/relationships/hyperlink" Target="https://asic.gov.au/regulatory-resources/find-a-document/consultation-papers/cp-334-proposed-changes-to-simplify-the-asic-derivative-transaction-rules-reporting-first-consultation/" TargetMode="External"/><Relationship Id="rId168" Type="http://schemas.openxmlformats.org/officeDocument/2006/relationships/hyperlink" Target="https://www.legislation.gov.au/Details/F2022L00294" TargetMode="External"/><Relationship Id="rId8" Type="http://schemas.openxmlformats.org/officeDocument/2006/relationships/styles" Target="styles.xml"/><Relationship Id="rId51" Type="http://schemas.openxmlformats.org/officeDocument/2006/relationships/hyperlink" Target="https://www.iosco.org/library/pubdocs/pdf/IOSCOPD557.pdf" TargetMode="External"/><Relationship Id="rId72" Type="http://schemas.openxmlformats.org/officeDocument/2006/relationships/hyperlink" Target="https://asic.gov.au/regulatory-resources/find-a-document/consultation-papers/cp-334-proposed-changes-to-simplify-the-asic-derivative-transaction-rules-reporting-first-consultation/" TargetMode="External"/><Relationship Id="rId93" Type="http://schemas.openxmlformats.org/officeDocument/2006/relationships/hyperlink" Target="https://www.esma.europa.eu/sites/default/files/equity_derivatives_i.xlsx" TargetMode="External"/><Relationship Id="rId98" Type="http://schemas.openxmlformats.org/officeDocument/2006/relationships/hyperlink" Target="https://www.anna-dsb.com/upi/" TargetMode="External"/><Relationship Id="rId121" Type="http://schemas.openxmlformats.org/officeDocument/2006/relationships/hyperlink" Target="https://download.asic.gov.au/media/4950776/asic-derivative-transaction-rules-reporting-2013-deternination-2018-1096.pdf" TargetMode="External"/><Relationship Id="rId142" Type="http://schemas.openxmlformats.org/officeDocument/2006/relationships/hyperlink" Target="https://ec.europa.eu/info/law/markets-financial-instruments-mifir-regulation-eu-no-600-2014_en" TargetMode="External"/><Relationship Id="rId163" Type="http://schemas.openxmlformats.org/officeDocument/2006/relationships/hyperlink" Target="https://asic.gov.au/regulatory-resources/find-a-document/consultation-papers/cp-334-proposed-changes-to-simplify-the-asic-derivative-transaction-rules-reporting-first-consultation/" TargetMode="External"/><Relationship Id="rId184" Type="http://schemas.openxmlformats.org/officeDocument/2006/relationships/footer" Target="footer6.xml"/><Relationship Id="rId189" Type="http://schemas.openxmlformats.org/officeDocument/2006/relationships/header" Target="header12.xml"/><Relationship Id="rId3" Type="http://schemas.openxmlformats.org/officeDocument/2006/relationships/customXml" Target="../customXml/item3.xml"/><Relationship Id="rId25" Type="http://schemas.openxmlformats.org/officeDocument/2006/relationships/hyperlink" Target="https://asic.gov.au/regulatory-resources/find-a-document/consultation-papers/cp-334-proposed-changes-to-simplify-the-asic-derivative-transaction-rules-reporting-first-consultation/" TargetMode="External"/><Relationship Id="rId46" Type="http://schemas.openxmlformats.org/officeDocument/2006/relationships/footer" Target="footer5.xml"/><Relationship Id="rId67" Type="http://schemas.openxmlformats.org/officeDocument/2006/relationships/hyperlink" Target="https://asic.gov.au/regulatory-resources/find-a-document/consultation-papers/cp-334-proposed-changes-to-simplify-the-asic-derivative-transaction-rules-reporting-first-consultation/" TargetMode="External"/><Relationship Id="rId116" Type="http://schemas.openxmlformats.org/officeDocument/2006/relationships/hyperlink" Target="https://asic.gov.au/regulatory-resources/find-a-document/consultation-papers/cp-334-proposed-changes-to-simplify-the-asic-derivative-transaction-rules-reporting-first-consultation/" TargetMode="External"/><Relationship Id="rId137" Type="http://schemas.openxmlformats.org/officeDocument/2006/relationships/hyperlink" Target="https://asic.gov.au/regulatory-resources/find-a-document/consultation-papers/cp-334-proposed-changes-to-simplify-the-asic-derivative-transaction-rules-reporting-first-consultation/" TargetMode="External"/><Relationship Id="rId158" Type="http://schemas.openxmlformats.org/officeDocument/2006/relationships/hyperlink" Target="https://www.legislation.gov.au/Details/F2020C00930" TargetMode="External"/><Relationship Id="rId20" Type="http://schemas.openxmlformats.org/officeDocument/2006/relationships/header" Target="header3.xml"/><Relationship Id="rId41" Type="http://schemas.openxmlformats.org/officeDocument/2006/relationships/hyperlink" Target="https://www.legislation.gov.au/Details/F2020C00930" TargetMode="External"/><Relationship Id="rId62" Type="http://schemas.openxmlformats.org/officeDocument/2006/relationships/hyperlink" Target="https://asic.gov.au/regulatory-resources/find-a-document/consultation-papers/cp-334-proposed-changes-to-simplify-the-asic-derivative-transaction-rules-reporting-first-consultation/" TargetMode="External"/><Relationship Id="rId83" Type="http://schemas.openxmlformats.org/officeDocument/2006/relationships/hyperlink" Target="https://www.anna-dsb.com/product-committee/" TargetMode="External"/><Relationship Id="rId88" Type="http://schemas.openxmlformats.org/officeDocument/2006/relationships/hyperlink" Target="https://www.anna-dsb.com/technical-information/" TargetMode="External"/><Relationship Id="rId111" Type="http://schemas.openxmlformats.org/officeDocument/2006/relationships/hyperlink" Target="https://asic.gov.au/regulatory-resources/find-a-document/consultation-papers/cp-334-proposed-changes-to-simplify-the-asic-derivative-transaction-rules-reporting-first-consultation/" TargetMode="External"/><Relationship Id="rId132" Type="http://schemas.openxmlformats.org/officeDocument/2006/relationships/hyperlink" Target="https://asic.gov.au/regulatory-resources/find-a-document/consultation-papers/cp-334-proposed-changes-to-simplify-the-asic-derivative-transaction-rules-reporting-first-consultation/" TargetMode="External"/><Relationship Id="rId153" Type="http://schemas.openxmlformats.org/officeDocument/2006/relationships/hyperlink" Target="https://www.legislation.gov.au/Details/F2015L00100" TargetMode="External"/><Relationship Id="rId174" Type="http://schemas.openxmlformats.org/officeDocument/2006/relationships/hyperlink" Target="https://asic.gov.au/regulatory-resources/find-a-document/regulatory-guides/rg-251-derivative-transaction-reporting/" TargetMode="External"/><Relationship Id="rId179" Type="http://schemas.openxmlformats.org/officeDocument/2006/relationships/hyperlink" Target="https://asic.gov.au/regulatory-resources/find-a-document/consultation-papers/cp-334-proposed-changes-to-simplify-the-asic-derivative-transaction-rules-reporting-first-consultation/" TargetMode="External"/><Relationship Id="rId195" Type="http://schemas.openxmlformats.org/officeDocument/2006/relationships/header" Target="header16.xml"/><Relationship Id="rId190" Type="http://schemas.openxmlformats.org/officeDocument/2006/relationships/header" Target="header13.xml"/><Relationship Id="rId204" Type="http://schemas.openxmlformats.org/officeDocument/2006/relationships/header" Target="header18.xml"/><Relationship Id="rId15" Type="http://schemas.openxmlformats.org/officeDocument/2006/relationships/hyperlink" Target="http://www.asic.gov.au/cp" TargetMode="External"/><Relationship Id="rId36" Type="http://schemas.openxmlformats.org/officeDocument/2006/relationships/hyperlink" Target="https://www.legislation.gov.au/Details/F2022C00373" TargetMode="External"/><Relationship Id="rId57" Type="http://schemas.openxmlformats.org/officeDocument/2006/relationships/hyperlink" Target="https://asic.gov.au/regulatory-resources/find-a-document/consultation-papers/cp-334-proposed-changes-to-simplify-the-asic-derivative-transaction-rules-reporting-first-consultation/" TargetMode="External"/><Relationship Id="rId106" Type="http://schemas.openxmlformats.org/officeDocument/2006/relationships/hyperlink" Target="https://asic.gov.au/regulatory-resources/find-a-document/consultation-papers/cp-334-proposed-changes-to-simplify-the-asic-derivative-transaction-rules-reporting-first-consultation/" TargetMode="External"/><Relationship Id="rId127" Type="http://schemas.openxmlformats.org/officeDocument/2006/relationships/hyperlink" Target="https://asic.gov.au/regulatory-resources/find-a-document/consultation-papers/cp-334-proposed-changes-to-simplify-the-asic-derivative-transaction-rules-reporting-first-consultation/" TargetMode="External"/><Relationship Id="rId10" Type="http://schemas.openxmlformats.org/officeDocument/2006/relationships/webSettings" Target="webSettings.xml"/><Relationship Id="rId31" Type="http://schemas.openxmlformats.org/officeDocument/2006/relationships/header" Target="header5.xml"/><Relationship Id="rId52" Type="http://schemas.openxmlformats.org/officeDocument/2006/relationships/hyperlink" Target="https://asic.gov.au/regulatory-resources/find-a-document/consultation-papers/cp-334-proposed-changes-to-simplify-the-asic-derivative-transaction-rules-reporting-first-consultation/" TargetMode="External"/><Relationship Id="rId73" Type="http://schemas.openxmlformats.org/officeDocument/2006/relationships/hyperlink" Target="https://asic.gov.au/regulatory-resources/find-a-document/regulatory-guides/rg-251-derivative-transaction-reporting/" TargetMode="External"/><Relationship Id="rId78" Type="http://schemas.openxmlformats.org/officeDocument/2006/relationships/hyperlink" Target="https://asic.gov.au/regulatory-resources/find-a-document/regulatory-guides/rg-251-derivative-transaction-reporting/" TargetMode="External"/><Relationship Id="rId94" Type="http://schemas.openxmlformats.org/officeDocument/2006/relationships/hyperlink" Target="https://www.anna-dsb.com/upi-implementation-timeline/" TargetMode="External"/><Relationship Id="rId99" Type="http://schemas.openxmlformats.org/officeDocument/2006/relationships/hyperlink" Target="https://www.anna-dsb.com/upi-fee-model-consultation-2021/" TargetMode="External"/><Relationship Id="rId101" Type="http://schemas.openxmlformats.org/officeDocument/2006/relationships/hyperlink" Target="https://www.anna-dsb.com/download/dsb-upi-fee-model-final-report/" TargetMode="External"/><Relationship Id="rId122" Type="http://schemas.openxmlformats.org/officeDocument/2006/relationships/hyperlink" Target="https://asic.gov.au/regulatory-resources/find-a-document/consultation-papers/cp-334-proposed-changes-to-simplify-the-asic-derivative-transaction-rules-reporting-first-consultation/" TargetMode="External"/><Relationship Id="rId143" Type="http://schemas.openxmlformats.org/officeDocument/2006/relationships/hyperlink" Target="https://www.esma.europa.eu/press-news/consultations/technical-standards-reporting-data-quality-data-access-and-registration" TargetMode="External"/><Relationship Id="rId148" Type="http://schemas.openxmlformats.org/officeDocument/2006/relationships/hyperlink" Target="https://www.legislation.gov.au/Details/F2015C00753" TargetMode="External"/><Relationship Id="rId164" Type="http://schemas.openxmlformats.org/officeDocument/2006/relationships/hyperlink" Target="https://asic.gov.au/regulatory-resources/find-a-document/regulatory-guides/rg-251-derivative-transaction-reporting/" TargetMode="External"/><Relationship Id="rId169" Type="http://schemas.openxmlformats.org/officeDocument/2006/relationships/hyperlink" Target="https://asic.gov.au/regulatory-resources/find-a-document/reports/rep-719-response-to-submissions-on-cp-314-market-integrity-rules-for-technological-and-operational-resilience/" TargetMode="External"/><Relationship Id="rId185" Type="http://schemas.openxmlformats.org/officeDocument/2006/relationships/footer" Target="footer7.xml"/><Relationship Id="rId180" Type="http://schemas.openxmlformats.org/officeDocument/2006/relationships/hyperlink" Target="https://asic.gov.au/regulatory-resources/find-a-document/consultation-papers/cp-334-proposed-changes-to-simplify-the-asic-derivative-transaction-rules-reporting-first-consultation/" TargetMode="External"/><Relationship Id="rId9" Type="http://schemas.openxmlformats.org/officeDocument/2006/relationships/settings" Target="settings.xml"/><Relationship Id="rId26" Type="http://schemas.openxmlformats.org/officeDocument/2006/relationships/hyperlink" Target="https://asic.gov.au/regulatory-resources/find-a-document/consultation-papers/cp-334-proposed-changes-to-simplify-the-asic-derivative-transaction-rules-reporting-first-consultation/" TargetMode="External"/><Relationship Id="rId47" Type="http://schemas.openxmlformats.org/officeDocument/2006/relationships/hyperlink" Target="https://www.iosco.org/library/pubdocs/pdf/IOSCOPD598.pdf" TargetMode="External"/><Relationship Id="rId68" Type="http://schemas.openxmlformats.org/officeDocument/2006/relationships/hyperlink" Target="https://asic.gov.au/regulatory-resources/find-a-document/consultation-papers/cp-334-proposed-changes-to-simplify-the-asic-derivative-transaction-rules-reporting-first-consultation/" TargetMode="External"/><Relationship Id="rId89" Type="http://schemas.openxmlformats.org/officeDocument/2006/relationships/hyperlink" Target="https://www.anna-dsb.com/upi-product-definitions/" TargetMode="External"/><Relationship Id="rId112" Type="http://schemas.openxmlformats.org/officeDocument/2006/relationships/hyperlink" Target="https://asic.gov.au/regulatory-resources/find-a-document/consultation-papers/cp-334-proposed-changes-to-simplify-the-asic-derivative-transaction-rules-reporting-first-consultation/" TargetMode="External"/><Relationship Id="rId133" Type="http://schemas.openxmlformats.org/officeDocument/2006/relationships/hyperlink" Target="https://www.anna-dsb.com/download/upi-underlier-input-method/" TargetMode="External"/><Relationship Id="rId154" Type="http://schemas.openxmlformats.org/officeDocument/2006/relationships/hyperlink" Target="https://asic.gov.au/regulatory-resources/find-a-document/consultation-papers/cp-334-proposed-changes-to-simplify-the-asic-derivative-transaction-rules-reporting-first-consultation/" TargetMode="External"/><Relationship Id="rId175" Type="http://schemas.openxmlformats.org/officeDocument/2006/relationships/hyperlink" Target="https://asic.gov.au/regulatory-resources/find-a-document/regulatory-guides/rg-216-markets-disciplinary-panel/" TargetMode="External"/><Relationship Id="rId196" Type="http://schemas.openxmlformats.org/officeDocument/2006/relationships/footer" Target="footer11.xml"/><Relationship Id="rId200" Type="http://schemas.openxmlformats.org/officeDocument/2006/relationships/hyperlink" Target="https://www.iosco.org/library/pubdocs/pdf/IOSCOPD598.pdf" TargetMode="External"/><Relationship Id="rId16" Type="http://schemas.openxmlformats.org/officeDocument/2006/relationships/header" Target="header1.xml"/><Relationship Id="rId37" Type="http://schemas.openxmlformats.org/officeDocument/2006/relationships/hyperlink" Target="https://www.legislation.gov.au/Details/F2020C00915" TargetMode="External"/><Relationship Id="rId58" Type="http://schemas.openxmlformats.org/officeDocument/2006/relationships/hyperlink" Target="https://www.esma.europa.eu/document/final-reportonthetsonreportingdataqualitydataaccessandregistrationoftrsunderemirrefit" TargetMode="External"/><Relationship Id="rId79" Type="http://schemas.openxmlformats.org/officeDocument/2006/relationships/hyperlink" Target="https://asic.gov.au/regulatory-resources/find-a-document/consultation-papers/cp-334-proposed-changes-to-simplify-the-asic-derivative-transaction-rules-reporting-first-consultation/" TargetMode="External"/><Relationship Id="rId102" Type="http://schemas.openxmlformats.org/officeDocument/2006/relationships/hyperlink" Target="https://asic.gov.au/regulatory-resources/find-a-document/consultation-papers/cp-205-derivative-transaction-reporting/" TargetMode="External"/><Relationship Id="rId123" Type="http://schemas.openxmlformats.org/officeDocument/2006/relationships/hyperlink" Target="https://asic.gov.au/regulatory-resources/find-a-document/consultation-papers/cp-334-proposed-changes-to-simplify-the-asic-derivative-transaction-rules-reporting-first-consultation/" TargetMode="External"/><Relationship Id="rId144" Type="http://schemas.openxmlformats.org/officeDocument/2006/relationships/hyperlink" Target="https://www.mas.gov.sg/-/media/MAS/News-and-Publications/Consultation-Papers/2021-Reporting-regs-amendments/05-Jul-2021-Proposed-Amendments-to-Securities-and-Futures-Reporting-of-Derivatives-Contracts-Regulations.pdf" TargetMode="External"/><Relationship Id="rId90" Type="http://schemas.openxmlformats.org/officeDocument/2006/relationships/hyperlink" Target="https://www.anna-dsb.com/product-committee/" TargetMode="External"/><Relationship Id="rId165" Type="http://schemas.openxmlformats.org/officeDocument/2006/relationships/hyperlink" Target="https://asic.gov.au/regulatory-resources/find-a-document/consultation-papers/cp-334-proposed-changes-to-simplify-the-asic-derivative-transaction-rules-reporting-first-consultation/" TargetMode="External"/><Relationship Id="rId186" Type="http://schemas.openxmlformats.org/officeDocument/2006/relationships/header" Target="header10.xml"/><Relationship Id="rId27" Type="http://schemas.openxmlformats.org/officeDocument/2006/relationships/hyperlink" Target="https://www.iso20022.org" TargetMode="External"/><Relationship Id="rId48" Type="http://schemas.openxmlformats.org/officeDocument/2006/relationships/hyperlink" Target="https://www.esma.europa.eu/press-news/consultations/technical-standards-reporting-data-quality-data-access-and-registration" TargetMode="External"/><Relationship Id="rId69" Type="http://schemas.openxmlformats.org/officeDocument/2006/relationships/hyperlink" Target="https://asic.gov.au/regulatory-resources/find-a-document/consultation-papers/cp-334-proposed-changes-to-simplify-the-asic-derivative-transaction-rules-reporting-first-consultation/" TargetMode="External"/><Relationship Id="rId113" Type="http://schemas.openxmlformats.org/officeDocument/2006/relationships/hyperlink" Target="https://asic.gov.au/regulatory-resources/find-a-document/consultation-papers/cp-334-proposed-changes-to-simplify-the-asic-derivative-transaction-rules-reporting-first-consultation/" TargetMode="External"/><Relationship Id="rId134" Type="http://schemas.openxmlformats.org/officeDocument/2006/relationships/hyperlink" Target="https://www.anna-dsb.com/download/upi-underlier-input-method/" TargetMode="External"/><Relationship Id="rId80" Type="http://schemas.openxmlformats.org/officeDocument/2006/relationships/hyperlink" Target="https://asic.gov.au/regulatory-resources/find-a-document/consultation-papers/cp-334-proposed-changes-to-simplify-the-asic-derivative-transaction-rules-reporting-first-consultation/" TargetMode="External"/><Relationship Id="rId155" Type="http://schemas.openxmlformats.org/officeDocument/2006/relationships/hyperlink" Target="https://www.legislation.gov.au/Details/F2020C00930" TargetMode="External"/><Relationship Id="rId176" Type="http://schemas.openxmlformats.org/officeDocument/2006/relationships/hyperlink" Target="https://asic.gov.au/regulatory-resources/find-a-document/consultation-papers/cp-334-proposed-changes-to-simplify-the-asic-derivative-transaction-rules-reporting-first-consultation/" TargetMode="External"/><Relationship Id="rId197" Type="http://schemas.openxmlformats.org/officeDocument/2006/relationships/footer" Target="footer12.xml"/><Relationship Id="rId201" Type="http://schemas.openxmlformats.org/officeDocument/2006/relationships/hyperlink" Target="https://www.legislation.gov.au/Details/F2016C00229" TargetMode="External"/><Relationship Id="rId17" Type="http://schemas.openxmlformats.org/officeDocument/2006/relationships/header" Target="header2.xml"/><Relationship Id="rId38" Type="http://schemas.openxmlformats.org/officeDocument/2006/relationships/hyperlink" Target="https://download.asic.gov.au/media/4950776/asic-derivative-transaction-rules-reporting-2013-deternination-2018-1096.pdf" TargetMode="External"/><Relationship Id="rId59" Type="http://schemas.openxmlformats.org/officeDocument/2006/relationships/hyperlink" Target="https://asic.gov.au/regulatory-resources/find-a-document/consultation-papers/cp-334-proposed-changes-to-simplify-the-asic-derivative-transaction-rules-reporting-first-consultation/" TargetMode="External"/><Relationship Id="rId103" Type="http://schemas.openxmlformats.org/officeDocument/2006/relationships/hyperlink" Target="https://asic.gov.au/regulatory-resources/find-a-document/consultation-papers/cp-334-proposed-changes-to-simplify-the-asic-derivative-transaction-rules-reporting-first-consultation/" TargetMode="External"/><Relationship Id="rId124" Type="http://schemas.openxmlformats.org/officeDocument/2006/relationships/hyperlink" Target="https://asic.gov.au/regulatory-resources/find-a-document/consultation-papers/cp-334-proposed-changes-to-simplify-the-asic-derivative-transaction-rules-reporting-first-consultation/" TargetMode="External"/><Relationship Id="rId70" Type="http://schemas.openxmlformats.org/officeDocument/2006/relationships/hyperlink" Target="https://asic.gov.au/regulatory-resources/find-a-document/consultation-papers/cp-334-proposed-changes-to-simplify-the-asic-derivative-transaction-rules-reporting-first-consultation/" TargetMode="External"/><Relationship Id="rId91" Type="http://schemas.openxmlformats.org/officeDocument/2006/relationships/hyperlink" Target="https://www.anna-dsb.com/upi-product-definitions/" TargetMode="External"/><Relationship Id="rId145" Type="http://schemas.openxmlformats.org/officeDocument/2006/relationships/hyperlink" Target="https://www.fca.org.uk/publications/consultation-papers/cp21-31-fca-and-bank-england-consult-changes-reporting-requirements-under-uk-emir" TargetMode="External"/><Relationship Id="rId166" Type="http://schemas.openxmlformats.org/officeDocument/2006/relationships/hyperlink" Target="https://asic.gov.au/regulatory-resources/find-a-document/consultation-papers/cp-314-market-integrity-rules-for-technological-and-operational-resilience/" TargetMode="External"/><Relationship Id="rId187" Type="http://schemas.openxmlformats.org/officeDocument/2006/relationships/header" Target="header11.xml"/><Relationship Id="rId1" Type="http://schemas.openxmlformats.org/officeDocument/2006/relationships/customXml" Target="../customXml/item1.xml"/><Relationship Id="rId28" Type="http://schemas.openxmlformats.org/officeDocument/2006/relationships/hyperlink" Target="https://asic.gov.au/regulatory-resources/find-a-document/consultation-papers/cp-334-proposed-changes-to-simplify-the-asic-derivative-transaction-rules-reporting-first-consultation/" TargetMode="External"/><Relationship Id="rId49" Type="http://schemas.openxmlformats.org/officeDocument/2006/relationships/hyperlink" Target="https://www.esma.europa.eu/document/final-reportonthetsonreportingdataqualitydataaccessandregistrationoftrsunderemirrefit" TargetMode="External"/><Relationship Id="rId114" Type="http://schemas.openxmlformats.org/officeDocument/2006/relationships/hyperlink" Target="https://asic.gov.au/regulatory-resources/find-a-document/consultation-papers/cp-334-proposed-changes-to-simplify-the-asic-derivative-transaction-rules-reporting-first-consultation/" TargetMode="External"/><Relationship Id="rId60" Type="http://schemas.openxmlformats.org/officeDocument/2006/relationships/hyperlink" Target="https://asic.gov.au/regulatory-resources/find-a-document/consultation-papers/cp-334-proposed-changes-to-simplify-the-asic-derivative-transaction-rules-reporting-first-consultation/" TargetMode="External"/><Relationship Id="rId81" Type="http://schemas.openxmlformats.org/officeDocument/2006/relationships/hyperlink" Target="https://www.iosco.org/library/pubdocs/pdf/IOSCOPD580.pdf" TargetMode="External"/><Relationship Id="rId135" Type="http://schemas.openxmlformats.org/officeDocument/2006/relationships/hyperlink" Target="https://www.anna-dsb.com/upi-product-definition-design-principles/" TargetMode="External"/><Relationship Id="rId156" Type="http://schemas.openxmlformats.org/officeDocument/2006/relationships/hyperlink" Target="https://asic.gov.au/regulatory-resources/find-a-document/regulatory-guides/rg-251-derivative-transaction-reporting/" TargetMode="External"/><Relationship Id="rId177" Type="http://schemas.openxmlformats.org/officeDocument/2006/relationships/hyperlink" Target="https://download.asic.gov.au/media/4950776/asic-derivative-transaction-rules-reporting-2013-deternination-2018-1096.pdf" TargetMode="External"/><Relationship Id="rId198" Type="http://schemas.openxmlformats.org/officeDocument/2006/relationships/header" Target="header17.xml"/><Relationship Id="rId202" Type="http://schemas.openxmlformats.org/officeDocument/2006/relationships/hyperlink" Target="https://www.iosco.org/library/pubdocs/pdf/IOSCOPD580.pdf" TargetMode="External"/><Relationship Id="rId18" Type="http://schemas.openxmlformats.org/officeDocument/2006/relationships/footer" Target="footer1.xml"/><Relationship Id="rId39" Type="http://schemas.openxmlformats.org/officeDocument/2006/relationships/hyperlink" Target="https://www.legislation.gov.au/Details/F2015L00100" TargetMode="External"/><Relationship Id="rId50" Type="http://schemas.openxmlformats.org/officeDocument/2006/relationships/hyperlink" Target="https://www.iosco.org/library/pubdocs/pdf/IOSCOPD580.pdf" TargetMode="External"/><Relationship Id="rId104" Type="http://schemas.openxmlformats.org/officeDocument/2006/relationships/hyperlink" Target="https://www.legislation.gov.au/Details/F2020C00930" TargetMode="External"/><Relationship Id="rId125" Type="http://schemas.openxmlformats.org/officeDocument/2006/relationships/hyperlink" Target="https://asic.gov.au/regulatory-resources/find-a-document/consultation-papers/cp-334-proposed-changes-to-simplify-the-asic-derivative-transaction-rules-reporting-first-consultation/" TargetMode="External"/><Relationship Id="rId146" Type="http://schemas.openxmlformats.org/officeDocument/2006/relationships/hyperlink" Target="https://asic.gov.au/regulatory-resources/find-a-document/consultation-papers/cp-334-proposed-changes-to-simplify-the-asic-derivative-transaction-rules-reporting-first-consultation/" TargetMode="External"/><Relationship Id="rId167" Type="http://schemas.openxmlformats.org/officeDocument/2006/relationships/hyperlink" Target="https://asic.gov.au/regulatory-resources/find-a-document/consultation-papers/cp-314-market-integrity-rules-for-technological-and-operational-resilience/" TargetMode="External"/><Relationship Id="rId188" Type="http://schemas.openxmlformats.org/officeDocument/2006/relationships/footer" Target="footer8.xml"/><Relationship Id="rId71" Type="http://schemas.openxmlformats.org/officeDocument/2006/relationships/hyperlink" Target="https://asic.gov.au/regulatory-resources/find-a-document/regulatory-guides/rg-251-derivative-transaction-reporting/" TargetMode="External"/><Relationship Id="rId92" Type="http://schemas.openxmlformats.org/officeDocument/2006/relationships/hyperlink" Target="https://www.esma.europa.eu/policy-activities/mifid-ii-and-mifir/transparency-calculations" TargetMode="External"/><Relationship Id="rId2" Type="http://schemas.openxmlformats.org/officeDocument/2006/relationships/customXml" Target="../customXml/item2.xml"/><Relationship Id="rId29" Type="http://schemas.openxmlformats.org/officeDocument/2006/relationships/hyperlink" Target="http://www.asic.gov.au/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appHome\Office%202016\ASIC%20Templates\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DOCID-322795542-26340</_dlc_DocId>
    <_dlc_DocIdUrl xmlns="4195ad5f-cdf2-4c4a-8d9b-b7944a108e98">
      <Url>https://pmc01.sharepoint.com/sites/CRMOBPR/_layouts/15/DocIdRedir.aspx?ID=DOCID-322795542-26340</Url>
      <Description>DOCID-322795542-26340</Description>
    </_dlc_DocIdUrl>
    <lcf76f155ced4ddcb4097134ff3c332f xmlns="26285671-540d-468b-b7a1-f3e0438dd51a">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1CF66-D551-4867-A284-16E1DD5C9C4A}">
  <ds:schemaRefs>
    <ds:schemaRef ds:uri="http://schemas.microsoft.com/office/2006/metadata/properties"/>
    <ds:schemaRef ds:uri="http://schemas.microsoft.com/office/infopath/2007/PartnerControls"/>
    <ds:schemaRef ds:uri="eb44715b-cd74-4c79-92c4-f0e9f1a86440"/>
    <ds:schemaRef ds:uri="db2b92ca-6ed0-4085-802d-4c686a2e8c3f"/>
  </ds:schemaRefs>
</ds:datastoreItem>
</file>

<file path=customXml/itemProps2.xml><?xml version="1.0" encoding="utf-8"?>
<ds:datastoreItem xmlns:ds="http://schemas.openxmlformats.org/officeDocument/2006/customXml" ds:itemID="{62B5329B-9F2B-43C8-9FE4-469A98333B40}">
  <ds:schemaRefs>
    <ds:schemaRef ds:uri="http://schemas.microsoft.com/sharepoint/events"/>
  </ds:schemaRefs>
</ds:datastoreItem>
</file>

<file path=customXml/itemProps3.xml><?xml version="1.0" encoding="utf-8"?>
<ds:datastoreItem xmlns:ds="http://schemas.openxmlformats.org/officeDocument/2006/customXml" ds:itemID="{D51C775A-8EFC-4D47-84EB-F3FC98A87EE7}">
  <ds:schemaRefs>
    <ds:schemaRef ds:uri="http://schemas.openxmlformats.org/officeDocument/2006/bibliography"/>
  </ds:schemaRefs>
</ds:datastoreItem>
</file>

<file path=customXml/itemProps4.xml><?xml version="1.0" encoding="utf-8"?>
<ds:datastoreItem xmlns:ds="http://schemas.openxmlformats.org/officeDocument/2006/customXml" ds:itemID="{63BEAAE2-2B31-4A57-80F0-044DBD21A05B}">
  <ds:schemaRefs>
    <ds:schemaRef ds:uri="http://schemas.microsoft.com/sharepoint/v3/contenttype/forms"/>
  </ds:schemaRefs>
</ds:datastoreItem>
</file>

<file path=customXml/itemProps5.xml><?xml version="1.0" encoding="utf-8"?>
<ds:datastoreItem xmlns:ds="http://schemas.openxmlformats.org/officeDocument/2006/customXml" ds:itemID="{903A3161-5D3B-48C4-AF84-CEA454348D24}"/>
</file>

<file path=customXml/itemProps6.xml><?xml version="1.0" encoding="utf-8"?>
<ds:datastoreItem xmlns:ds="http://schemas.openxmlformats.org/officeDocument/2006/customXml" ds:itemID="{78C3E5B6-1C17-4197-B86C-67E697137A04}"/>
</file>

<file path=docProps/app.xml><?xml version="1.0" encoding="utf-8"?>
<Properties xmlns="http://schemas.openxmlformats.org/officeDocument/2006/extended-properties" xmlns:vt="http://schemas.openxmlformats.org/officeDocument/2006/docPropsVTypes">
  <Template>ASIC Reg Docs Template</Template>
  <TotalTime>134</TotalTime>
  <Pages>3</Pages>
  <Words>74975</Words>
  <Characters>427359</Characters>
  <Application>Microsoft Office Word</Application>
  <DocSecurity>0</DocSecurity>
  <Lines>3561</Lines>
  <Paragraphs>1002</Paragraphs>
  <ScaleCrop>false</ScaleCrop>
  <HeadingPairs>
    <vt:vector size="2" baseType="variant">
      <vt:variant>
        <vt:lpstr>Title</vt:lpstr>
      </vt:variant>
      <vt:variant>
        <vt:i4>1</vt:i4>
      </vt:variant>
    </vt:vector>
  </HeadingPairs>
  <TitlesOfParts>
    <vt:vector size="1" baseType="lpstr">
      <vt:lpstr>Consultation Paper CP 361 Proposed changes to simplify the ASIC Derivative Transaction Rules (Reporting): Second consultation</vt:lpstr>
    </vt:vector>
  </TitlesOfParts>
  <Company/>
  <LinksUpToDate>false</LinksUpToDate>
  <CharactersWithSpaces>501332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361 Proposed changes to simplify the ASIC Derivative Transaction Rules (Reporting): Second consultation</dc:title>
  <dc:subject>Consultation Paper CP 361 Proposed changes to simplify the ASIC Derivative Transaction Rules (Reporting): Second consultation</dc:subject>
  <dc:creator>ASIC</dc:creator>
  <cp:keywords>Consultation Paper CP 361 Proposed changes to simplify the ASIC Derivative Transaction Rules (Reporting): Second consultation</cp:keywords>
  <dc:description/>
  <cp:lastModifiedBy>Craig McBurnie</cp:lastModifiedBy>
  <cp:revision>60</cp:revision>
  <cp:lastPrinted>2022-06-16T04:50:00Z</cp:lastPrinted>
  <dcterms:created xsi:type="dcterms:W3CDTF">2022-05-10T22:58:00Z</dcterms:created>
  <dcterms:modified xsi:type="dcterms:W3CDTF">2022-08-24T06:21:00Z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Proposed changes to simplify the ASIC Derivative Transaction Rules (Reporting): Second consultation</vt:lpwstr>
  </property>
  <property fmtid="{D5CDD505-2E9C-101B-9397-08002B2CF9AE}" pid="4" name="Document num">
    <vt:lpwstr>361</vt:lpwstr>
  </property>
  <property fmtid="{D5CDD505-2E9C-101B-9397-08002B2CF9AE}" pid="5" name="Issue date">
    <vt:lpwstr>May 2022</vt:lpwstr>
  </property>
  <property fmtid="{D5CDD505-2E9C-101B-9397-08002B2CF9AE}" pid="6" name="Source file type">
    <vt:lpwstr>CP</vt:lpwstr>
  </property>
  <property fmtid="{D5CDD505-2E9C-101B-9397-08002B2CF9AE}" pid="7" name="ContentTypeId">
    <vt:lpwstr>0x0101009CA239676470E04B809DDC4E24CF2322</vt:lpwstr>
  </property>
  <property fmtid="{D5CDD505-2E9C-101B-9397-08002B2CF9AE}" pid="8" name="SecurityClassification">
    <vt:lpwstr>1;#OFFICIAL - Sensitive|6eccc17f-024b-41b0-b6b1-faf98d2aff85</vt:lpwstr>
  </property>
  <property fmtid="{D5CDD505-2E9C-101B-9397-08002B2CF9AE}" pid="9" name="PolicyWorkDocumentType">
    <vt:lpwstr/>
  </property>
  <property fmtid="{D5CDD505-2E9C-101B-9397-08002B2CF9AE}" pid="10" name="RecordPoint_WorkflowType">
    <vt:lpwstr>ActiveSubmitStub</vt:lpwstr>
  </property>
  <property fmtid="{D5CDD505-2E9C-101B-9397-08002B2CF9AE}" pid="11" name="RecordPoint_ActiveItemUniqueId">
    <vt:lpwstr>{f0373f49-8a0b-4fbf-8290-7bdc1b55b563}</vt:lpwstr>
  </property>
  <property fmtid="{D5CDD505-2E9C-101B-9397-08002B2CF9AE}" pid="12" name="RecordPoint_ActiveItemWebId">
    <vt:lpwstr>{beb4cffa-a87e-476d-882d-4d3866992d4f}</vt:lpwstr>
  </property>
  <property fmtid="{D5CDD505-2E9C-101B-9397-08002B2CF9AE}" pid="13" name="RecordPoint_ActiveItemSiteId">
    <vt:lpwstr>{17c60cf1-008c-4115-82e5-e12b1392a9ba}</vt:lpwstr>
  </property>
  <property fmtid="{D5CDD505-2E9C-101B-9397-08002B2CF9AE}" pid="14" name="RecordPoint_ActiveItemListId">
    <vt:lpwstr>{eff5351a-b648-4586-ad2b-124cbe458711}</vt:lpwstr>
  </property>
  <property fmtid="{D5CDD505-2E9C-101B-9397-08002B2CF9AE}" pid="15" name="RecordPoint_RecordNumberSubmitted">
    <vt:lpwstr>R20220001058874</vt:lpwstr>
  </property>
  <property fmtid="{D5CDD505-2E9C-101B-9397-08002B2CF9AE}" pid="16" name="RecordPoint_SubmissionCompleted">
    <vt:lpwstr>2022-05-17T11:42:08.6848880+10:00</vt:lpwstr>
  </property>
  <property fmtid="{D5CDD505-2E9C-101B-9397-08002B2CF9AE}" pid="17" name="MailSubject">
    <vt:lpwstr/>
  </property>
  <property fmtid="{D5CDD505-2E9C-101B-9397-08002B2CF9AE}" pid="18" name="MailIn-Reply-To0">
    <vt:lpwstr/>
  </property>
  <property fmtid="{D5CDD505-2E9C-101B-9397-08002B2CF9AE}" pid="19" name="Order">
    <vt:r8>163100</vt:r8>
  </property>
  <property fmtid="{D5CDD505-2E9C-101B-9397-08002B2CF9AE}" pid="20" name="MailCc">
    <vt:lpwstr/>
  </property>
  <property fmtid="{D5CDD505-2E9C-101B-9397-08002B2CF9AE}" pid="21" name="ECMSP13SecurityClassification">
    <vt:lpwstr>OFFICIAL - Sensitive</vt:lpwstr>
  </property>
  <property fmtid="{D5CDD505-2E9C-101B-9397-08002B2CF9AE}" pid="22" name="URL">
    <vt:lpwstr/>
  </property>
  <property fmtid="{D5CDD505-2E9C-101B-9397-08002B2CF9AE}" pid="23" name="MailAttachments">
    <vt:bool>false</vt:bool>
  </property>
  <property fmtid="{D5CDD505-2E9C-101B-9397-08002B2CF9AE}" pid="24" name="DocumentSetDescription">
    <vt:lpwstr/>
  </property>
  <property fmtid="{D5CDD505-2E9C-101B-9397-08002B2CF9AE}" pid="25" name="ECMSP13ModifiedBy">
    <vt:lpwstr>Craig McBurnie</vt:lpwstr>
  </property>
  <property fmtid="{D5CDD505-2E9C-101B-9397-08002B2CF9AE}" pid="26" name="MailReferences">
    <vt:lpwstr/>
  </property>
  <property fmtid="{D5CDD505-2E9C-101B-9397-08002B2CF9AE}" pid="27" name="MailReply-To0">
    <vt:lpwstr/>
  </property>
  <property fmtid="{D5CDD505-2E9C-101B-9397-08002B2CF9AE}" pid="28" name="ECMSP13DocumentID">
    <vt:lpwstr>R20220001058874</vt:lpwstr>
  </property>
  <property fmtid="{D5CDD505-2E9C-101B-9397-08002B2CF9AE}" pid="29" name="MailTo">
    <vt:lpwstr/>
  </property>
  <property fmtid="{D5CDD505-2E9C-101B-9397-08002B2CF9AE}" pid="30" name="MailFrom">
    <vt:lpwstr/>
  </property>
  <property fmtid="{D5CDD505-2E9C-101B-9397-08002B2CF9AE}" pid="31" name="MailOriginalSubject">
    <vt:lpwstr/>
  </property>
  <property fmtid="{D5CDD505-2E9C-101B-9397-08002B2CF9AE}" pid="32" name="ECMSP13CreatedBy">
    <vt:lpwstr>Craig McBurnie</vt:lpwstr>
  </property>
  <property fmtid="{D5CDD505-2E9C-101B-9397-08002B2CF9AE}" pid="33" name="_dlc_DocIdItemGuid">
    <vt:lpwstr>188f69be-88bc-4fe6-9e72-b0c1c1ffa6e6</vt:lpwstr>
  </property>
  <property fmtid="{D5CDD505-2E9C-101B-9397-08002B2CF9AE}" pid="34" name="MediaServiceImageTags">
    <vt:lpwstr/>
  </property>
</Properties>
</file>