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5707" w14:textId="77777777" w:rsidR="004D2B37" w:rsidRPr="00691F33" w:rsidRDefault="004D2B37" w:rsidP="00355775">
      <w:pPr>
        <w:spacing w:before="840" w:after="2400"/>
        <w:ind w:left="227"/>
        <w:rPr>
          <w:rFonts w:ascii="Arial" w:hAnsi="Arial" w:cs="Arial"/>
        </w:rPr>
      </w:pPr>
      <w:r w:rsidRPr="00F538E9">
        <w:rPr>
          <w:noProof/>
        </w:rPr>
        <w:drawing>
          <wp:inline distT="0" distB="0" distL="0" distR="0" wp14:anchorId="230F4380" wp14:editId="1B9D5633">
            <wp:extent cx="3543749" cy="756000"/>
            <wp:effectExtent l="0" t="0" r="0" b="0"/>
            <wp:docPr id="3"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543749" cy="756000"/>
                    </a:xfrm>
                    <a:prstGeom prst="rect">
                      <a:avLst/>
                    </a:prstGeom>
                    <a:noFill/>
                    <a:ln>
                      <a:noFill/>
                    </a:ln>
                  </pic:spPr>
                </pic:pic>
              </a:graphicData>
            </a:graphic>
          </wp:inline>
        </w:drawing>
      </w:r>
    </w:p>
    <w:p w14:paraId="3AE4A815" w14:textId="430BBC88" w:rsidR="004D2B37" w:rsidRDefault="007055A5" w:rsidP="00C753BA">
      <w:pPr>
        <w:pStyle w:val="DescriptorCP"/>
        <w:spacing w:before="0"/>
      </w:pPr>
      <w:r>
        <w:fldChar w:fldCharType="begin"/>
      </w:r>
      <w:r>
        <w:instrText xml:space="preserve"> DOCPROPERTY  "Document type"  \* MERGEFORMAT </w:instrText>
      </w:r>
      <w:r>
        <w:fldChar w:fldCharType="separate"/>
      </w:r>
      <w:r w:rsidR="00057B8E">
        <w:t>CONSULTATION PAPER</w:t>
      </w:r>
      <w:r>
        <w:fldChar w:fldCharType="end"/>
      </w:r>
      <w:r w:rsidR="004D2B37">
        <w:t xml:space="preserve"> </w:t>
      </w:r>
      <w:r>
        <w:fldChar w:fldCharType="begin"/>
      </w:r>
      <w:r>
        <w:instrText xml:space="preserve"> DOCPROPERTY  "Document num"  \* MERGEFORMAT </w:instrText>
      </w:r>
      <w:r>
        <w:fldChar w:fldCharType="separate"/>
      </w:r>
      <w:r w:rsidR="00057B8E" w:rsidRPr="00057B8E">
        <w:t>334</w:t>
      </w:r>
      <w:r>
        <w:fldChar w:fldCharType="end"/>
      </w:r>
    </w:p>
    <w:p w14:paraId="71110B83" w14:textId="67ACA181" w:rsidR="004D2B37" w:rsidRDefault="004D2B37">
      <w:pPr>
        <w:ind w:left="2268"/>
        <w:rPr>
          <w:rFonts w:ascii="Arial" w:hAnsi="Arial" w:cs="Arial"/>
          <w:b/>
          <w:sz w:val="48"/>
          <w:szCs w:val="48"/>
        </w:rPr>
      </w:pPr>
      <w:r>
        <w:fldChar w:fldCharType="begin"/>
      </w:r>
      <w:r>
        <w:instrText xml:space="preserve"> </w:instrText>
      </w:r>
      <w:r w:rsidRPr="00396FD5">
        <w:rPr>
          <w:rFonts w:ascii="Arial" w:hAnsi="Arial"/>
          <w:b/>
          <w:sz w:val="48"/>
        </w:rPr>
        <w:instrText>D</w:instrText>
      </w:r>
      <w:r>
        <w:instrText xml:space="preserve">OCPROPERTY  "Document title"  \* charformat </w:instrText>
      </w:r>
      <w:r>
        <w:fldChar w:fldCharType="separate"/>
      </w:r>
      <w:r w:rsidR="00057B8E">
        <w:rPr>
          <w:rFonts w:ascii="Arial" w:hAnsi="Arial"/>
          <w:b/>
          <w:sz w:val="48"/>
        </w:rPr>
        <w:t>Proposed changes to simplify the ASIC Derivative Transaction Rules (Reporting): First consultation</w:t>
      </w:r>
      <w:r>
        <w:fldChar w:fldCharType="end"/>
      </w:r>
    </w:p>
    <w:p w14:paraId="35F39148" w14:textId="1F80A7E6" w:rsidR="004D2B37" w:rsidRDefault="004D2B37" w:rsidP="00355775">
      <w:pPr>
        <w:pStyle w:val="Bodytextplain"/>
        <w:spacing w:before="720"/>
      </w:pPr>
      <w:r>
        <w:rPr>
          <w:rFonts w:ascii="Arial" w:hAnsi="Arial" w:cs="Arial"/>
        </w:rPr>
        <w:fldChar w:fldCharType="begin"/>
      </w:r>
      <w:r>
        <w:rPr>
          <w:rFonts w:ascii="Arial" w:hAnsi="Arial" w:cs="Arial"/>
        </w:rPr>
        <w:instrText xml:space="preserve"> DOCPROPERTY  "Issue date"  \* MERGEFORMAT </w:instrText>
      </w:r>
      <w:r>
        <w:rPr>
          <w:rFonts w:ascii="Arial" w:hAnsi="Arial" w:cs="Arial"/>
        </w:rPr>
        <w:fldChar w:fldCharType="separate"/>
      </w:r>
      <w:r w:rsidR="00057B8E">
        <w:rPr>
          <w:rFonts w:ascii="Arial" w:hAnsi="Arial" w:cs="Arial"/>
        </w:rPr>
        <w:t>November 2020</w:t>
      </w:r>
      <w:r>
        <w:rPr>
          <w:rFonts w:ascii="Arial" w:hAnsi="Arial" w:cs="Arial"/>
        </w:rPr>
        <w:fldChar w:fldCharType="end"/>
      </w:r>
    </w:p>
    <w:p w14:paraId="5C195830" w14:textId="77777777" w:rsidR="004D2B37" w:rsidRDefault="004D2B37" w:rsidP="00355775">
      <w:pPr>
        <w:pStyle w:val="Frontheading"/>
        <w:spacing w:before="960"/>
      </w:pPr>
      <w:r>
        <w:t>About this paper</w:t>
      </w:r>
    </w:p>
    <w:p w14:paraId="6879FE66" w14:textId="18C20129" w:rsidR="00FF63BA" w:rsidRDefault="004D2B37" w:rsidP="00FF63BA">
      <w:pPr>
        <w:pStyle w:val="Fronttext"/>
      </w:pPr>
      <w:r>
        <w:t xml:space="preserve">This consultation paper sets out our </w:t>
      </w:r>
      <w:r w:rsidR="008C74FF">
        <w:t xml:space="preserve">first </w:t>
      </w:r>
      <w:r>
        <w:t xml:space="preserve">proposals </w:t>
      </w:r>
      <w:r w:rsidR="00FF63BA">
        <w:t>to amend</w:t>
      </w:r>
      <w:r w:rsidR="008C74FF">
        <w:t xml:space="preserve"> the ASIC Derivative Transaction Rules (Reporting) 2013 made under s901A of the </w:t>
      </w:r>
      <w:r w:rsidR="008C74FF" w:rsidRPr="00AA5029">
        <w:t>Corporations Act</w:t>
      </w:r>
      <w:r w:rsidR="008C74FF">
        <w:t xml:space="preserve">. </w:t>
      </w:r>
    </w:p>
    <w:p w14:paraId="1A2A1D98" w14:textId="269A949E" w:rsidR="004D2B37" w:rsidRDefault="008C74FF" w:rsidP="00FF63BA">
      <w:pPr>
        <w:pStyle w:val="Fronttext"/>
      </w:pPr>
      <w:r>
        <w:t>We are seeking the views of interested stakeholders on our proposals</w:t>
      </w:r>
      <w:r w:rsidR="00227C2B">
        <w:t>.</w:t>
      </w:r>
      <w:r w:rsidR="00217833">
        <w:t xml:space="preserve"> </w:t>
      </w:r>
      <w:r w:rsidR="00227C2B">
        <w:t xml:space="preserve">We </w:t>
      </w:r>
      <w:r w:rsidR="00217833">
        <w:t>also request certain information from stakeholders to inform the development of future proposals</w:t>
      </w:r>
      <w:r w:rsidR="004D2B37">
        <w:t>.</w:t>
      </w:r>
    </w:p>
    <w:p w14:paraId="5CBE1C0B" w14:textId="77777777" w:rsidR="004D2B37" w:rsidRDefault="004D2B37">
      <w:pPr>
        <w:pStyle w:val="Frontheading"/>
        <w:sectPr w:rsidR="004D2B37" w:rsidSect="00355775">
          <w:headerReference w:type="even" r:id="rId14"/>
          <w:headerReference w:type="default" r:id="rId15"/>
          <w:footerReference w:type="even" r:id="rId16"/>
          <w:footerReference w:type="default" r:id="rId17"/>
          <w:headerReference w:type="first" r:id="rId18"/>
          <w:pgSz w:w="11906" w:h="16838" w:code="9"/>
          <w:pgMar w:top="1644" w:right="1418" w:bottom="1418" w:left="1418" w:header="567" w:footer="567" w:gutter="0"/>
          <w:cols w:space="720"/>
          <w:titlePg/>
        </w:sectPr>
      </w:pPr>
    </w:p>
    <w:tbl>
      <w:tblPr>
        <w:tblW w:w="0" w:type="auto"/>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6804"/>
      </w:tblGrid>
      <w:tr w:rsidR="004D2B37" w14:paraId="2AF24C19" w14:textId="77777777" w:rsidTr="00355775">
        <w:trPr>
          <w:cantSplit/>
          <w:tblHeader/>
        </w:trPr>
        <w:tc>
          <w:tcPr>
            <w:tcW w:w="6804" w:type="dxa"/>
            <w:tcBorders>
              <w:top w:val="single" w:sz="4" w:space="0" w:color="0072CE"/>
              <w:left w:val="single" w:sz="4" w:space="0" w:color="0072CE"/>
              <w:bottom w:val="single" w:sz="4" w:space="0" w:color="0072CE"/>
              <w:right w:val="single" w:sz="4" w:space="0" w:color="0072CE"/>
            </w:tcBorders>
            <w:shd w:val="clear" w:color="auto" w:fill="0072CE"/>
          </w:tcPr>
          <w:p w14:paraId="0446CB4F" w14:textId="77777777" w:rsidR="004D2B37" w:rsidRDefault="004D2B37">
            <w:pPr>
              <w:pStyle w:val="tablehead"/>
              <w:rPr>
                <w:color w:val="FFFFFF"/>
                <w:sz w:val="20"/>
                <w:szCs w:val="20"/>
              </w:rPr>
            </w:pPr>
            <w:r>
              <w:rPr>
                <w:color w:val="FFFFFF"/>
                <w:sz w:val="20"/>
                <w:szCs w:val="20"/>
              </w:rPr>
              <w:lastRenderedPageBreak/>
              <w:t>About ASIC regulatory documents</w:t>
            </w:r>
          </w:p>
        </w:tc>
      </w:tr>
      <w:tr w:rsidR="004D2B37" w14:paraId="0C03949D" w14:textId="77777777" w:rsidTr="00355775">
        <w:trPr>
          <w:cantSplit/>
        </w:trPr>
        <w:tc>
          <w:tcPr>
            <w:tcW w:w="6804" w:type="dxa"/>
            <w:tcBorders>
              <w:top w:val="single" w:sz="4" w:space="0" w:color="0072CE"/>
              <w:left w:val="single" w:sz="4" w:space="0" w:color="0072CE"/>
              <w:bottom w:val="single" w:sz="4" w:space="0" w:color="0072CE"/>
              <w:right w:val="single" w:sz="4" w:space="0" w:color="0072CE"/>
            </w:tcBorders>
          </w:tcPr>
          <w:p w14:paraId="2C5E2FFA" w14:textId="77777777" w:rsidR="004D2B37" w:rsidRDefault="004D2B37">
            <w:pPr>
              <w:pStyle w:val="boxtext"/>
            </w:pPr>
            <w:r>
              <w:t>In administering legislation ASIC issues the following types of regulatory documents.</w:t>
            </w:r>
          </w:p>
          <w:p w14:paraId="34635BF1" w14:textId="77777777" w:rsidR="004D2B37" w:rsidRDefault="004D2B37">
            <w:pPr>
              <w:pStyle w:val="boxtext"/>
            </w:pPr>
            <w:r>
              <w:rPr>
                <w:b/>
              </w:rPr>
              <w:t>Consultation papers</w:t>
            </w:r>
            <w:r>
              <w:t>: seek feedback from stakeholders on matters ASIC is considering, such as proposed relief or proposed regulatory guidance.</w:t>
            </w:r>
          </w:p>
          <w:p w14:paraId="62CB0963" w14:textId="77777777" w:rsidR="004D2B37" w:rsidRDefault="004D2B37">
            <w:pPr>
              <w:pStyle w:val="boxtext"/>
            </w:pPr>
            <w:bookmarkStart w:id="0" w:name="RegGuide"/>
            <w:bookmarkEnd w:id="0"/>
            <w:r>
              <w:rPr>
                <w:b/>
              </w:rPr>
              <w:t>Regulatory guides</w:t>
            </w:r>
            <w:r>
              <w:t>: give guidance to regulated entities by:</w:t>
            </w:r>
          </w:p>
          <w:p w14:paraId="2233F6D4" w14:textId="77777777" w:rsidR="004D2B37" w:rsidRDefault="004D2B37">
            <w:pPr>
              <w:pStyle w:val="boxbullet"/>
            </w:pPr>
            <w:r>
              <w:t>explaining when and how ASIC will exercise specific powers under legislation (primarily the Corporations Act)</w:t>
            </w:r>
          </w:p>
          <w:p w14:paraId="3E90F104" w14:textId="77777777" w:rsidR="004D2B37" w:rsidRDefault="004D2B37">
            <w:pPr>
              <w:pStyle w:val="boxbullet"/>
            </w:pPr>
            <w:r>
              <w:t>explaining how ASIC interprets the law</w:t>
            </w:r>
          </w:p>
          <w:p w14:paraId="597B03AA" w14:textId="77777777" w:rsidR="004D2B37" w:rsidRDefault="004D2B37">
            <w:pPr>
              <w:pStyle w:val="boxbullet"/>
            </w:pPr>
            <w:r>
              <w:t>describing the principles underlying ASIC’s approach</w:t>
            </w:r>
          </w:p>
          <w:p w14:paraId="5F486919" w14:textId="77777777" w:rsidR="004D2B37" w:rsidRDefault="004D2B37">
            <w:pPr>
              <w:pStyle w:val="boxbullet"/>
            </w:pPr>
            <w:r>
              <w:t>giving practical guidance (e.g. describing the steps of a process such as applying for a licence or giving practical examples of how regulated entities may decide to meet their obligations).</w:t>
            </w:r>
          </w:p>
          <w:p w14:paraId="77F4C3D6" w14:textId="77777777" w:rsidR="004D2B37" w:rsidRDefault="004D2B37">
            <w:pPr>
              <w:pStyle w:val="boxtext"/>
            </w:pPr>
            <w:r>
              <w:rPr>
                <w:b/>
              </w:rPr>
              <w:t>Information</w:t>
            </w:r>
            <w:r>
              <w:t xml:space="preserve"> </w:t>
            </w:r>
            <w:r>
              <w:rPr>
                <w:b/>
              </w:rPr>
              <w:t>sheets</w:t>
            </w:r>
            <w:r>
              <w:t>: provide concise guidance on a specific process or compliance issue or an overview of detailed guidance.</w:t>
            </w:r>
          </w:p>
          <w:p w14:paraId="0409EE32" w14:textId="77777777" w:rsidR="004D2B37" w:rsidRDefault="004D2B37">
            <w:pPr>
              <w:pStyle w:val="boxtext"/>
            </w:pPr>
            <w:r>
              <w:rPr>
                <w:b/>
              </w:rPr>
              <w:t>Reports</w:t>
            </w:r>
            <w:r>
              <w:t>: describe ASIC compliance or relief activity or the results of a research project.</w:t>
            </w:r>
          </w:p>
        </w:tc>
      </w:tr>
    </w:tbl>
    <w:p w14:paraId="0068F11A" w14:textId="77777777" w:rsidR="004D2B37" w:rsidRDefault="004D2B37">
      <w:pPr>
        <w:pStyle w:val="Frontheading"/>
      </w:pPr>
      <w:r>
        <w:t>Document history</w:t>
      </w:r>
    </w:p>
    <w:p w14:paraId="54F63069" w14:textId="50F12840" w:rsidR="004D2B37" w:rsidRDefault="004D2B37">
      <w:pPr>
        <w:pStyle w:val="Fronttext"/>
      </w:pPr>
      <w:r>
        <w:t xml:space="preserve">This paper was issued on </w:t>
      </w:r>
      <w:r w:rsidR="00BD7C55">
        <w:t>27</w:t>
      </w:r>
      <w:r>
        <w:t xml:space="preserve"> </w:t>
      </w:r>
      <w:r w:rsidR="007055A5">
        <w:fldChar w:fldCharType="begin"/>
      </w:r>
      <w:r w:rsidR="007055A5">
        <w:instrText xml:space="preserve"> DOCPROPERTY  "Issue date"  \* MERGEFORMAT </w:instrText>
      </w:r>
      <w:r w:rsidR="007055A5">
        <w:fldChar w:fldCharType="separate"/>
      </w:r>
      <w:r w:rsidR="00057B8E">
        <w:t>November 2020</w:t>
      </w:r>
      <w:r w:rsidR="007055A5">
        <w:fldChar w:fldCharType="end"/>
      </w:r>
      <w:r>
        <w:t xml:space="preserve"> and is based on the legislation as at the date of issue.</w:t>
      </w:r>
    </w:p>
    <w:p w14:paraId="03AC0E4E" w14:textId="77777777" w:rsidR="004D2B37" w:rsidRDefault="004D2B37">
      <w:pPr>
        <w:pStyle w:val="Frontheading"/>
      </w:pPr>
      <w:r>
        <w:t xml:space="preserve">Disclaimer </w:t>
      </w:r>
    </w:p>
    <w:p w14:paraId="7AAD863F" w14:textId="77777777" w:rsidR="004D2B37" w:rsidRDefault="004D2B37" w:rsidP="00355775">
      <w:pPr>
        <w:pStyle w:val="Fronttext"/>
      </w:pPr>
      <w:r>
        <w:t>The proposals, explanations and examples in this paper do not constitute legal advice. They are also at a preliminary stage only. Our conclusions and views may change as a result of the comments we receive or as other circumstances change.</w:t>
      </w:r>
    </w:p>
    <w:p w14:paraId="6E041CC4" w14:textId="77777777" w:rsidR="004D2B37" w:rsidRDefault="004D2B37" w:rsidP="00AD06A2">
      <w:pPr>
        <w:pStyle w:val="TOCHeading"/>
        <w:spacing w:after="400"/>
        <w:rPr>
          <w:b w:val="0"/>
        </w:rPr>
      </w:pPr>
      <w:r>
        <w:lastRenderedPageBreak/>
        <w:t>Contents</w:t>
      </w:r>
    </w:p>
    <w:p w14:paraId="4C8FD760" w14:textId="57B41B81" w:rsidR="0070559D" w:rsidRDefault="004D2B37">
      <w:pPr>
        <w:pStyle w:val="TOC1"/>
        <w:rPr>
          <w:rFonts w:asciiTheme="minorHAnsi" w:eastAsiaTheme="minorEastAsia" w:hAnsiTheme="minorHAnsi" w:cstheme="minorBidi"/>
          <w:b w:val="0"/>
          <w:sz w:val="22"/>
          <w:szCs w:val="22"/>
        </w:rPr>
      </w:pPr>
      <w:r>
        <w:rPr>
          <w:rFonts w:ascii="HelveticaNeue LT 55 Roman" w:hAnsi="HelveticaNeue LT 55 Roman"/>
        </w:rPr>
        <w:fldChar w:fldCharType="begin"/>
      </w:r>
      <w:r>
        <w:rPr>
          <w:rFonts w:ascii="HelveticaNeue LT 55 Roman" w:hAnsi="HelveticaNeue LT 55 Roman"/>
        </w:rPr>
        <w:instrText xml:space="preserve"> TOC \h \z \t "Heading 1,1,Heading 2,2,Heading 1 no number,1" </w:instrText>
      </w:r>
      <w:r>
        <w:rPr>
          <w:rFonts w:ascii="HelveticaNeue LT 55 Roman" w:hAnsi="HelveticaNeue LT 55 Roman"/>
        </w:rPr>
        <w:fldChar w:fldCharType="separate"/>
      </w:r>
      <w:hyperlink w:anchor="_Toc57146465" w:history="1">
        <w:r w:rsidR="0070559D" w:rsidRPr="00710C9A">
          <w:rPr>
            <w:rStyle w:val="Hyperlink"/>
          </w:rPr>
          <w:t>The consultation process</w:t>
        </w:r>
        <w:r w:rsidR="0070559D">
          <w:rPr>
            <w:webHidden/>
          </w:rPr>
          <w:tab/>
        </w:r>
        <w:r w:rsidR="0070559D">
          <w:rPr>
            <w:webHidden/>
          </w:rPr>
          <w:fldChar w:fldCharType="begin"/>
        </w:r>
        <w:r w:rsidR="0070559D">
          <w:rPr>
            <w:webHidden/>
          </w:rPr>
          <w:instrText xml:space="preserve"> PAGEREF _Toc57146465 \h </w:instrText>
        </w:r>
        <w:r w:rsidR="0070559D">
          <w:rPr>
            <w:webHidden/>
          </w:rPr>
        </w:r>
        <w:r w:rsidR="0070559D">
          <w:rPr>
            <w:webHidden/>
          </w:rPr>
          <w:fldChar w:fldCharType="separate"/>
        </w:r>
        <w:r w:rsidR="00314C7E">
          <w:rPr>
            <w:webHidden/>
          </w:rPr>
          <w:t>5</w:t>
        </w:r>
        <w:r w:rsidR="0070559D">
          <w:rPr>
            <w:webHidden/>
          </w:rPr>
          <w:fldChar w:fldCharType="end"/>
        </w:r>
      </w:hyperlink>
    </w:p>
    <w:p w14:paraId="45466068" w14:textId="156E9E8C" w:rsidR="0070559D" w:rsidRDefault="007055A5">
      <w:pPr>
        <w:pStyle w:val="TOC1"/>
        <w:rPr>
          <w:rFonts w:asciiTheme="minorHAnsi" w:eastAsiaTheme="minorEastAsia" w:hAnsiTheme="minorHAnsi" w:cstheme="minorBidi"/>
          <w:b w:val="0"/>
          <w:sz w:val="22"/>
          <w:szCs w:val="22"/>
        </w:rPr>
      </w:pPr>
      <w:hyperlink w:anchor="_Toc57146466" w:history="1">
        <w:r w:rsidR="0070559D" w:rsidRPr="00710C9A">
          <w:rPr>
            <w:rStyle w:val="Hyperlink"/>
          </w:rPr>
          <w:t>A</w:t>
        </w:r>
        <w:r w:rsidR="0070559D">
          <w:rPr>
            <w:rFonts w:asciiTheme="minorHAnsi" w:eastAsiaTheme="minorEastAsia" w:hAnsiTheme="minorHAnsi" w:cstheme="minorBidi"/>
            <w:b w:val="0"/>
            <w:sz w:val="22"/>
            <w:szCs w:val="22"/>
          </w:rPr>
          <w:tab/>
        </w:r>
        <w:r w:rsidR="0070559D" w:rsidRPr="00710C9A">
          <w:rPr>
            <w:rStyle w:val="Hyperlink"/>
          </w:rPr>
          <w:t>Background to the proposals</w:t>
        </w:r>
        <w:r w:rsidR="0070559D">
          <w:rPr>
            <w:webHidden/>
          </w:rPr>
          <w:tab/>
        </w:r>
        <w:r w:rsidR="0070559D">
          <w:rPr>
            <w:webHidden/>
          </w:rPr>
          <w:fldChar w:fldCharType="begin"/>
        </w:r>
        <w:r w:rsidR="0070559D">
          <w:rPr>
            <w:webHidden/>
          </w:rPr>
          <w:instrText xml:space="preserve"> PAGEREF _Toc57146466 \h </w:instrText>
        </w:r>
        <w:r w:rsidR="0070559D">
          <w:rPr>
            <w:webHidden/>
          </w:rPr>
        </w:r>
        <w:r w:rsidR="0070559D">
          <w:rPr>
            <w:webHidden/>
          </w:rPr>
          <w:fldChar w:fldCharType="separate"/>
        </w:r>
        <w:r w:rsidR="00314C7E">
          <w:rPr>
            <w:webHidden/>
          </w:rPr>
          <w:t>7</w:t>
        </w:r>
        <w:r w:rsidR="0070559D">
          <w:rPr>
            <w:webHidden/>
          </w:rPr>
          <w:fldChar w:fldCharType="end"/>
        </w:r>
      </w:hyperlink>
    </w:p>
    <w:p w14:paraId="37ED4A27" w14:textId="5992776B" w:rsidR="0070559D" w:rsidRDefault="007055A5">
      <w:pPr>
        <w:pStyle w:val="TOC2"/>
        <w:rPr>
          <w:rFonts w:asciiTheme="minorHAnsi" w:eastAsiaTheme="minorEastAsia" w:hAnsiTheme="minorHAnsi" w:cstheme="minorBidi"/>
          <w:sz w:val="22"/>
          <w:szCs w:val="22"/>
        </w:rPr>
      </w:pPr>
      <w:hyperlink w:anchor="_Toc57146467" w:history="1">
        <w:r w:rsidR="0070559D" w:rsidRPr="00710C9A">
          <w:rPr>
            <w:rStyle w:val="Hyperlink"/>
          </w:rPr>
          <w:t>The G20 OTC derivatives reforms</w:t>
        </w:r>
        <w:r w:rsidR="0070559D">
          <w:rPr>
            <w:webHidden/>
          </w:rPr>
          <w:tab/>
        </w:r>
        <w:r w:rsidR="0070559D">
          <w:rPr>
            <w:webHidden/>
          </w:rPr>
          <w:fldChar w:fldCharType="begin"/>
        </w:r>
        <w:r w:rsidR="0070559D">
          <w:rPr>
            <w:webHidden/>
          </w:rPr>
          <w:instrText xml:space="preserve"> PAGEREF _Toc57146467 \h </w:instrText>
        </w:r>
        <w:r w:rsidR="0070559D">
          <w:rPr>
            <w:webHidden/>
          </w:rPr>
        </w:r>
        <w:r w:rsidR="0070559D">
          <w:rPr>
            <w:webHidden/>
          </w:rPr>
          <w:fldChar w:fldCharType="separate"/>
        </w:r>
        <w:r w:rsidR="00314C7E">
          <w:rPr>
            <w:webHidden/>
          </w:rPr>
          <w:t>7</w:t>
        </w:r>
        <w:r w:rsidR="0070559D">
          <w:rPr>
            <w:webHidden/>
          </w:rPr>
          <w:fldChar w:fldCharType="end"/>
        </w:r>
      </w:hyperlink>
    </w:p>
    <w:p w14:paraId="254281E0" w14:textId="7E00F5CB" w:rsidR="0070559D" w:rsidRDefault="007055A5">
      <w:pPr>
        <w:pStyle w:val="TOC2"/>
        <w:rPr>
          <w:rFonts w:asciiTheme="minorHAnsi" w:eastAsiaTheme="minorEastAsia" w:hAnsiTheme="minorHAnsi" w:cstheme="minorBidi"/>
          <w:sz w:val="22"/>
          <w:szCs w:val="22"/>
        </w:rPr>
      </w:pPr>
      <w:hyperlink w:anchor="_Toc57146468" w:history="1">
        <w:r w:rsidR="0070559D" w:rsidRPr="00710C9A">
          <w:rPr>
            <w:rStyle w:val="Hyperlink"/>
          </w:rPr>
          <w:t>What is transaction reporting?</w:t>
        </w:r>
        <w:r w:rsidR="0070559D">
          <w:rPr>
            <w:webHidden/>
          </w:rPr>
          <w:tab/>
        </w:r>
        <w:r w:rsidR="0070559D">
          <w:rPr>
            <w:webHidden/>
          </w:rPr>
          <w:fldChar w:fldCharType="begin"/>
        </w:r>
        <w:r w:rsidR="0070559D">
          <w:rPr>
            <w:webHidden/>
          </w:rPr>
          <w:instrText xml:space="preserve"> PAGEREF _Toc57146468 \h </w:instrText>
        </w:r>
        <w:r w:rsidR="0070559D">
          <w:rPr>
            <w:webHidden/>
          </w:rPr>
        </w:r>
        <w:r w:rsidR="0070559D">
          <w:rPr>
            <w:webHidden/>
          </w:rPr>
          <w:fldChar w:fldCharType="separate"/>
        </w:r>
        <w:r w:rsidR="00314C7E">
          <w:rPr>
            <w:webHidden/>
          </w:rPr>
          <w:t>8</w:t>
        </w:r>
        <w:r w:rsidR="0070559D">
          <w:rPr>
            <w:webHidden/>
          </w:rPr>
          <w:fldChar w:fldCharType="end"/>
        </w:r>
      </w:hyperlink>
    </w:p>
    <w:p w14:paraId="037D41B3" w14:textId="59A8A18A" w:rsidR="0070559D" w:rsidRDefault="007055A5">
      <w:pPr>
        <w:pStyle w:val="TOC2"/>
        <w:rPr>
          <w:rFonts w:asciiTheme="minorHAnsi" w:eastAsiaTheme="minorEastAsia" w:hAnsiTheme="minorHAnsi" w:cstheme="minorBidi"/>
          <w:sz w:val="22"/>
          <w:szCs w:val="22"/>
        </w:rPr>
      </w:pPr>
      <w:hyperlink w:anchor="_Toc57146469" w:history="1">
        <w:r w:rsidR="0070559D" w:rsidRPr="00710C9A">
          <w:rPr>
            <w:rStyle w:val="Hyperlink"/>
          </w:rPr>
          <w:t>Implementation of transaction reporting in Australia</w:t>
        </w:r>
        <w:r w:rsidR="0070559D">
          <w:rPr>
            <w:webHidden/>
          </w:rPr>
          <w:tab/>
        </w:r>
        <w:r w:rsidR="0070559D">
          <w:rPr>
            <w:webHidden/>
          </w:rPr>
          <w:fldChar w:fldCharType="begin"/>
        </w:r>
        <w:r w:rsidR="0070559D">
          <w:rPr>
            <w:webHidden/>
          </w:rPr>
          <w:instrText xml:space="preserve"> PAGEREF _Toc57146469 \h </w:instrText>
        </w:r>
        <w:r w:rsidR="0070559D">
          <w:rPr>
            <w:webHidden/>
          </w:rPr>
        </w:r>
        <w:r w:rsidR="0070559D">
          <w:rPr>
            <w:webHidden/>
          </w:rPr>
          <w:fldChar w:fldCharType="separate"/>
        </w:r>
        <w:r w:rsidR="00314C7E">
          <w:rPr>
            <w:webHidden/>
          </w:rPr>
          <w:t>8</w:t>
        </w:r>
        <w:r w:rsidR="0070559D">
          <w:rPr>
            <w:webHidden/>
          </w:rPr>
          <w:fldChar w:fldCharType="end"/>
        </w:r>
      </w:hyperlink>
    </w:p>
    <w:p w14:paraId="774E22E7" w14:textId="74CA2953" w:rsidR="0070559D" w:rsidRDefault="007055A5">
      <w:pPr>
        <w:pStyle w:val="TOC2"/>
        <w:rPr>
          <w:rFonts w:asciiTheme="minorHAnsi" w:eastAsiaTheme="minorEastAsia" w:hAnsiTheme="minorHAnsi" w:cstheme="minorBidi"/>
          <w:sz w:val="22"/>
          <w:szCs w:val="22"/>
        </w:rPr>
      </w:pPr>
      <w:hyperlink w:anchor="_Toc57146470" w:history="1">
        <w:r w:rsidR="0070559D" w:rsidRPr="00710C9A">
          <w:rPr>
            <w:rStyle w:val="Hyperlink"/>
          </w:rPr>
          <w:t>What we are doing now</w:t>
        </w:r>
        <w:r w:rsidR="0070559D">
          <w:rPr>
            <w:webHidden/>
          </w:rPr>
          <w:tab/>
        </w:r>
        <w:r w:rsidR="0070559D">
          <w:rPr>
            <w:webHidden/>
          </w:rPr>
          <w:fldChar w:fldCharType="begin"/>
        </w:r>
        <w:r w:rsidR="0070559D">
          <w:rPr>
            <w:webHidden/>
          </w:rPr>
          <w:instrText xml:space="preserve"> PAGEREF _Toc57146470 \h </w:instrText>
        </w:r>
        <w:r w:rsidR="0070559D">
          <w:rPr>
            <w:webHidden/>
          </w:rPr>
        </w:r>
        <w:r w:rsidR="0070559D">
          <w:rPr>
            <w:webHidden/>
          </w:rPr>
          <w:fldChar w:fldCharType="separate"/>
        </w:r>
        <w:r w:rsidR="00314C7E">
          <w:rPr>
            <w:webHidden/>
          </w:rPr>
          <w:t>10</w:t>
        </w:r>
        <w:r w:rsidR="0070559D">
          <w:rPr>
            <w:webHidden/>
          </w:rPr>
          <w:fldChar w:fldCharType="end"/>
        </w:r>
      </w:hyperlink>
    </w:p>
    <w:p w14:paraId="0B9DDE93" w14:textId="403FE08A" w:rsidR="0070559D" w:rsidRDefault="007055A5">
      <w:pPr>
        <w:pStyle w:val="TOC1"/>
        <w:rPr>
          <w:rFonts w:asciiTheme="minorHAnsi" w:eastAsiaTheme="minorEastAsia" w:hAnsiTheme="minorHAnsi" w:cstheme="minorBidi"/>
          <w:b w:val="0"/>
          <w:sz w:val="22"/>
          <w:szCs w:val="22"/>
        </w:rPr>
      </w:pPr>
      <w:hyperlink w:anchor="_Toc57146471" w:history="1">
        <w:r w:rsidR="0070559D" w:rsidRPr="00710C9A">
          <w:rPr>
            <w:rStyle w:val="Hyperlink"/>
          </w:rPr>
          <w:t>B</w:t>
        </w:r>
        <w:r w:rsidR="0070559D">
          <w:rPr>
            <w:rFonts w:asciiTheme="minorHAnsi" w:eastAsiaTheme="minorEastAsia" w:hAnsiTheme="minorHAnsi" w:cstheme="minorBidi"/>
            <w:b w:val="0"/>
            <w:sz w:val="22"/>
            <w:szCs w:val="22"/>
          </w:rPr>
          <w:tab/>
        </w:r>
        <w:r w:rsidR="0070559D" w:rsidRPr="00710C9A">
          <w:rPr>
            <w:rStyle w:val="Hyperlink"/>
          </w:rPr>
          <w:t>Development of the UTI, UPI, CDE and LEI</w:t>
        </w:r>
        <w:r w:rsidR="0070559D">
          <w:rPr>
            <w:webHidden/>
          </w:rPr>
          <w:tab/>
        </w:r>
        <w:r w:rsidR="0070559D">
          <w:rPr>
            <w:webHidden/>
          </w:rPr>
          <w:fldChar w:fldCharType="begin"/>
        </w:r>
        <w:r w:rsidR="0070559D">
          <w:rPr>
            <w:webHidden/>
          </w:rPr>
          <w:instrText xml:space="preserve"> PAGEREF _Toc57146471 \h </w:instrText>
        </w:r>
        <w:r w:rsidR="0070559D">
          <w:rPr>
            <w:webHidden/>
          </w:rPr>
        </w:r>
        <w:r w:rsidR="0070559D">
          <w:rPr>
            <w:webHidden/>
          </w:rPr>
          <w:fldChar w:fldCharType="separate"/>
        </w:r>
        <w:r w:rsidR="00314C7E">
          <w:rPr>
            <w:webHidden/>
          </w:rPr>
          <w:t>13</w:t>
        </w:r>
        <w:r w:rsidR="0070559D">
          <w:rPr>
            <w:webHidden/>
          </w:rPr>
          <w:fldChar w:fldCharType="end"/>
        </w:r>
      </w:hyperlink>
    </w:p>
    <w:p w14:paraId="42705B2F" w14:textId="28534B43" w:rsidR="0070559D" w:rsidRDefault="007055A5">
      <w:pPr>
        <w:pStyle w:val="TOC2"/>
        <w:rPr>
          <w:rFonts w:asciiTheme="minorHAnsi" w:eastAsiaTheme="minorEastAsia" w:hAnsiTheme="minorHAnsi" w:cstheme="minorBidi"/>
          <w:sz w:val="22"/>
          <w:szCs w:val="22"/>
        </w:rPr>
      </w:pPr>
      <w:hyperlink w:anchor="_Toc57146472" w:history="1">
        <w:r w:rsidR="0070559D" w:rsidRPr="00710C9A">
          <w:rPr>
            <w:rStyle w:val="Hyperlink"/>
          </w:rPr>
          <w:t>Background</w:t>
        </w:r>
        <w:r w:rsidR="0070559D">
          <w:rPr>
            <w:webHidden/>
          </w:rPr>
          <w:tab/>
        </w:r>
        <w:r w:rsidR="0070559D">
          <w:rPr>
            <w:webHidden/>
          </w:rPr>
          <w:fldChar w:fldCharType="begin"/>
        </w:r>
        <w:r w:rsidR="0070559D">
          <w:rPr>
            <w:webHidden/>
          </w:rPr>
          <w:instrText xml:space="preserve"> PAGEREF _Toc57146472 \h </w:instrText>
        </w:r>
        <w:r w:rsidR="0070559D">
          <w:rPr>
            <w:webHidden/>
          </w:rPr>
        </w:r>
        <w:r w:rsidR="0070559D">
          <w:rPr>
            <w:webHidden/>
          </w:rPr>
          <w:fldChar w:fldCharType="separate"/>
        </w:r>
        <w:r w:rsidR="00314C7E">
          <w:rPr>
            <w:webHidden/>
          </w:rPr>
          <w:t>13</w:t>
        </w:r>
        <w:r w:rsidR="0070559D">
          <w:rPr>
            <w:webHidden/>
          </w:rPr>
          <w:fldChar w:fldCharType="end"/>
        </w:r>
      </w:hyperlink>
    </w:p>
    <w:p w14:paraId="6B66F33D" w14:textId="751E2C16" w:rsidR="0070559D" w:rsidRDefault="007055A5">
      <w:pPr>
        <w:pStyle w:val="TOC2"/>
        <w:rPr>
          <w:rFonts w:asciiTheme="minorHAnsi" w:eastAsiaTheme="minorEastAsia" w:hAnsiTheme="minorHAnsi" w:cstheme="minorBidi"/>
          <w:sz w:val="22"/>
          <w:szCs w:val="22"/>
        </w:rPr>
      </w:pPr>
      <w:hyperlink w:anchor="_Toc57146473" w:history="1">
        <w:r w:rsidR="0070559D" w:rsidRPr="00710C9A">
          <w:rPr>
            <w:rStyle w:val="Hyperlink"/>
          </w:rPr>
          <w:t>Governance and operation of the UTI, UPI, CDE and LEI</w:t>
        </w:r>
        <w:r w:rsidR="0070559D">
          <w:rPr>
            <w:webHidden/>
          </w:rPr>
          <w:tab/>
        </w:r>
        <w:r w:rsidR="0070559D">
          <w:rPr>
            <w:webHidden/>
          </w:rPr>
          <w:fldChar w:fldCharType="begin"/>
        </w:r>
        <w:r w:rsidR="0070559D">
          <w:rPr>
            <w:webHidden/>
          </w:rPr>
          <w:instrText xml:space="preserve"> PAGEREF _Toc57146473 \h </w:instrText>
        </w:r>
        <w:r w:rsidR="0070559D">
          <w:rPr>
            <w:webHidden/>
          </w:rPr>
        </w:r>
        <w:r w:rsidR="0070559D">
          <w:rPr>
            <w:webHidden/>
          </w:rPr>
          <w:fldChar w:fldCharType="separate"/>
        </w:r>
        <w:r w:rsidR="00314C7E">
          <w:rPr>
            <w:webHidden/>
          </w:rPr>
          <w:t>14</w:t>
        </w:r>
        <w:r w:rsidR="0070559D">
          <w:rPr>
            <w:webHidden/>
          </w:rPr>
          <w:fldChar w:fldCharType="end"/>
        </w:r>
      </w:hyperlink>
    </w:p>
    <w:p w14:paraId="678E4AD7" w14:textId="69F5FD99" w:rsidR="0070559D" w:rsidRDefault="007055A5">
      <w:pPr>
        <w:pStyle w:val="TOC1"/>
        <w:rPr>
          <w:rFonts w:asciiTheme="minorHAnsi" w:eastAsiaTheme="minorEastAsia" w:hAnsiTheme="minorHAnsi" w:cstheme="minorBidi"/>
          <w:b w:val="0"/>
          <w:sz w:val="22"/>
          <w:szCs w:val="22"/>
        </w:rPr>
      </w:pPr>
      <w:hyperlink w:anchor="_Toc57146474" w:history="1">
        <w:r w:rsidR="0070559D" w:rsidRPr="00710C9A">
          <w:rPr>
            <w:rStyle w:val="Hyperlink"/>
          </w:rPr>
          <w:t>C</w:t>
        </w:r>
        <w:r w:rsidR="0070559D">
          <w:rPr>
            <w:rFonts w:asciiTheme="minorHAnsi" w:eastAsiaTheme="minorEastAsia" w:hAnsiTheme="minorHAnsi" w:cstheme="minorBidi"/>
            <w:b w:val="0"/>
            <w:sz w:val="22"/>
            <w:szCs w:val="22"/>
          </w:rPr>
          <w:tab/>
        </w:r>
        <w:r w:rsidR="0070559D" w:rsidRPr="00710C9A">
          <w:rPr>
            <w:rStyle w:val="Hyperlink"/>
          </w:rPr>
          <w:t>The unique transaction identifier (UTI)</w:t>
        </w:r>
        <w:r w:rsidR="0070559D">
          <w:rPr>
            <w:webHidden/>
          </w:rPr>
          <w:tab/>
        </w:r>
        <w:r w:rsidR="0070559D">
          <w:rPr>
            <w:webHidden/>
          </w:rPr>
          <w:fldChar w:fldCharType="begin"/>
        </w:r>
        <w:r w:rsidR="0070559D">
          <w:rPr>
            <w:webHidden/>
          </w:rPr>
          <w:instrText xml:space="preserve"> PAGEREF _Toc57146474 \h </w:instrText>
        </w:r>
        <w:r w:rsidR="0070559D">
          <w:rPr>
            <w:webHidden/>
          </w:rPr>
        </w:r>
        <w:r w:rsidR="0070559D">
          <w:rPr>
            <w:webHidden/>
          </w:rPr>
          <w:fldChar w:fldCharType="separate"/>
        </w:r>
        <w:r w:rsidR="00314C7E">
          <w:rPr>
            <w:webHidden/>
          </w:rPr>
          <w:t>16</w:t>
        </w:r>
        <w:r w:rsidR="0070559D">
          <w:rPr>
            <w:webHidden/>
          </w:rPr>
          <w:fldChar w:fldCharType="end"/>
        </w:r>
      </w:hyperlink>
    </w:p>
    <w:p w14:paraId="58DA18A8" w14:textId="5CBA558B" w:rsidR="0070559D" w:rsidRDefault="007055A5">
      <w:pPr>
        <w:pStyle w:val="TOC2"/>
        <w:rPr>
          <w:rFonts w:asciiTheme="minorHAnsi" w:eastAsiaTheme="minorEastAsia" w:hAnsiTheme="minorHAnsi" w:cstheme="minorBidi"/>
          <w:sz w:val="22"/>
          <w:szCs w:val="22"/>
        </w:rPr>
      </w:pPr>
      <w:hyperlink w:anchor="_Toc57146475" w:history="1">
        <w:r w:rsidR="0070559D" w:rsidRPr="00710C9A">
          <w:rPr>
            <w:rStyle w:val="Hyperlink"/>
          </w:rPr>
          <w:t>Background</w:t>
        </w:r>
        <w:r w:rsidR="0070559D">
          <w:rPr>
            <w:webHidden/>
          </w:rPr>
          <w:tab/>
        </w:r>
        <w:r w:rsidR="0070559D">
          <w:rPr>
            <w:webHidden/>
          </w:rPr>
          <w:fldChar w:fldCharType="begin"/>
        </w:r>
        <w:r w:rsidR="0070559D">
          <w:rPr>
            <w:webHidden/>
          </w:rPr>
          <w:instrText xml:space="preserve"> PAGEREF _Toc57146475 \h </w:instrText>
        </w:r>
        <w:r w:rsidR="0070559D">
          <w:rPr>
            <w:webHidden/>
          </w:rPr>
        </w:r>
        <w:r w:rsidR="0070559D">
          <w:rPr>
            <w:webHidden/>
          </w:rPr>
          <w:fldChar w:fldCharType="separate"/>
        </w:r>
        <w:r w:rsidR="00314C7E">
          <w:rPr>
            <w:webHidden/>
          </w:rPr>
          <w:t>16</w:t>
        </w:r>
        <w:r w:rsidR="0070559D">
          <w:rPr>
            <w:webHidden/>
          </w:rPr>
          <w:fldChar w:fldCharType="end"/>
        </w:r>
      </w:hyperlink>
    </w:p>
    <w:p w14:paraId="41F0DD37" w14:textId="4422DAC8" w:rsidR="0070559D" w:rsidRDefault="007055A5">
      <w:pPr>
        <w:pStyle w:val="TOC2"/>
        <w:rPr>
          <w:rFonts w:asciiTheme="minorHAnsi" w:eastAsiaTheme="minorEastAsia" w:hAnsiTheme="minorHAnsi" w:cstheme="minorBidi"/>
          <w:sz w:val="22"/>
          <w:szCs w:val="22"/>
        </w:rPr>
      </w:pPr>
      <w:hyperlink w:anchor="_Toc57146476" w:history="1">
        <w:r w:rsidR="0070559D" w:rsidRPr="00710C9A">
          <w:rPr>
            <w:rStyle w:val="Hyperlink"/>
          </w:rPr>
          <w:t>When is a UTI required?</w:t>
        </w:r>
        <w:r w:rsidR="0070559D">
          <w:rPr>
            <w:webHidden/>
          </w:rPr>
          <w:tab/>
        </w:r>
        <w:r w:rsidR="0070559D">
          <w:rPr>
            <w:webHidden/>
          </w:rPr>
          <w:fldChar w:fldCharType="begin"/>
        </w:r>
        <w:r w:rsidR="0070559D">
          <w:rPr>
            <w:webHidden/>
          </w:rPr>
          <w:instrText xml:space="preserve"> PAGEREF _Toc57146476 \h </w:instrText>
        </w:r>
        <w:r w:rsidR="0070559D">
          <w:rPr>
            <w:webHidden/>
          </w:rPr>
        </w:r>
        <w:r w:rsidR="0070559D">
          <w:rPr>
            <w:webHidden/>
          </w:rPr>
          <w:fldChar w:fldCharType="separate"/>
        </w:r>
        <w:r w:rsidR="00314C7E">
          <w:rPr>
            <w:webHidden/>
          </w:rPr>
          <w:t>17</w:t>
        </w:r>
        <w:r w:rsidR="0070559D">
          <w:rPr>
            <w:webHidden/>
          </w:rPr>
          <w:fldChar w:fldCharType="end"/>
        </w:r>
      </w:hyperlink>
    </w:p>
    <w:p w14:paraId="50636E4E" w14:textId="32496EEB" w:rsidR="0070559D" w:rsidRDefault="007055A5">
      <w:pPr>
        <w:pStyle w:val="TOC2"/>
        <w:rPr>
          <w:rFonts w:asciiTheme="minorHAnsi" w:eastAsiaTheme="minorEastAsia" w:hAnsiTheme="minorHAnsi" w:cstheme="minorBidi"/>
          <w:sz w:val="22"/>
          <w:szCs w:val="22"/>
        </w:rPr>
      </w:pPr>
      <w:hyperlink w:anchor="_Toc57146477" w:history="1">
        <w:r w:rsidR="0070559D" w:rsidRPr="00710C9A">
          <w:rPr>
            <w:rStyle w:val="Hyperlink"/>
          </w:rPr>
          <w:t>Determining the UTI generator</w:t>
        </w:r>
        <w:r w:rsidR="0070559D" w:rsidRPr="00710C9A">
          <w:rPr>
            <w:rStyle w:val="Hyperlink"/>
            <w:rFonts w:ascii="Calibri" w:hAnsi="Calibri"/>
          </w:rPr>
          <w:t>—</w:t>
        </w:r>
        <w:r w:rsidR="0070559D" w:rsidRPr="00710C9A">
          <w:rPr>
            <w:rStyle w:val="Hyperlink"/>
          </w:rPr>
          <w:t>Overall approach</w:t>
        </w:r>
        <w:r w:rsidR="0070559D">
          <w:rPr>
            <w:webHidden/>
          </w:rPr>
          <w:tab/>
        </w:r>
        <w:r w:rsidR="0070559D">
          <w:rPr>
            <w:webHidden/>
          </w:rPr>
          <w:fldChar w:fldCharType="begin"/>
        </w:r>
        <w:r w:rsidR="0070559D">
          <w:rPr>
            <w:webHidden/>
          </w:rPr>
          <w:instrText xml:space="preserve"> PAGEREF _Toc57146477 \h </w:instrText>
        </w:r>
        <w:r w:rsidR="0070559D">
          <w:rPr>
            <w:webHidden/>
          </w:rPr>
        </w:r>
        <w:r w:rsidR="0070559D">
          <w:rPr>
            <w:webHidden/>
          </w:rPr>
          <w:fldChar w:fldCharType="separate"/>
        </w:r>
        <w:r w:rsidR="00314C7E">
          <w:rPr>
            <w:webHidden/>
          </w:rPr>
          <w:t>19</w:t>
        </w:r>
        <w:r w:rsidR="0070559D">
          <w:rPr>
            <w:webHidden/>
          </w:rPr>
          <w:fldChar w:fldCharType="end"/>
        </w:r>
      </w:hyperlink>
    </w:p>
    <w:p w14:paraId="118B92AF" w14:textId="5EFD562C" w:rsidR="0070559D" w:rsidRDefault="007055A5">
      <w:pPr>
        <w:pStyle w:val="TOC2"/>
        <w:rPr>
          <w:rFonts w:asciiTheme="minorHAnsi" w:eastAsiaTheme="minorEastAsia" w:hAnsiTheme="minorHAnsi" w:cstheme="minorBidi"/>
          <w:sz w:val="22"/>
          <w:szCs w:val="22"/>
        </w:rPr>
      </w:pPr>
      <w:hyperlink w:anchor="_Toc57146478" w:history="1">
        <w:r w:rsidR="0070559D" w:rsidRPr="00710C9A">
          <w:rPr>
            <w:rStyle w:val="Hyperlink"/>
          </w:rPr>
          <w:t>Determining the UTI generator</w:t>
        </w:r>
        <w:r w:rsidR="0070559D" w:rsidRPr="00710C9A">
          <w:rPr>
            <w:rStyle w:val="Hyperlink"/>
            <w:rFonts w:ascii="Calibri" w:hAnsi="Calibri"/>
          </w:rPr>
          <w:t>—</w:t>
        </w:r>
        <w:r w:rsidR="0070559D" w:rsidRPr="00710C9A">
          <w:rPr>
            <w:rStyle w:val="Hyperlink"/>
          </w:rPr>
          <w:t>CCP, clearing member, trading platform</w:t>
        </w:r>
        <w:r w:rsidR="0070559D">
          <w:rPr>
            <w:webHidden/>
          </w:rPr>
          <w:tab/>
        </w:r>
        <w:r w:rsidR="0070559D">
          <w:rPr>
            <w:webHidden/>
          </w:rPr>
          <w:fldChar w:fldCharType="begin"/>
        </w:r>
        <w:r w:rsidR="0070559D">
          <w:rPr>
            <w:webHidden/>
          </w:rPr>
          <w:instrText xml:space="preserve"> PAGEREF _Toc57146478 \h </w:instrText>
        </w:r>
        <w:r w:rsidR="0070559D">
          <w:rPr>
            <w:webHidden/>
          </w:rPr>
        </w:r>
        <w:r w:rsidR="0070559D">
          <w:rPr>
            <w:webHidden/>
          </w:rPr>
          <w:fldChar w:fldCharType="separate"/>
        </w:r>
        <w:r w:rsidR="00314C7E">
          <w:rPr>
            <w:webHidden/>
          </w:rPr>
          <w:t>21</w:t>
        </w:r>
        <w:r w:rsidR="0070559D">
          <w:rPr>
            <w:webHidden/>
          </w:rPr>
          <w:fldChar w:fldCharType="end"/>
        </w:r>
      </w:hyperlink>
    </w:p>
    <w:p w14:paraId="32871014" w14:textId="1C2C7A88" w:rsidR="0070559D" w:rsidRDefault="007055A5">
      <w:pPr>
        <w:pStyle w:val="TOC2"/>
        <w:rPr>
          <w:rFonts w:asciiTheme="minorHAnsi" w:eastAsiaTheme="minorEastAsia" w:hAnsiTheme="minorHAnsi" w:cstheme="minorBidi"/>
          <w:sz w:val="22"/>
          <w:szCs w:val="22"/>
        </w:rPr>
      </w:pPr>
      <w:hyperlink w:anchor="_Toc57146479" w:history="1">
        <w:r w:rsidR="0070559D" w:rsidRPr="00710C9A">
          <w:rPr>
            <w:rStyle w:val="Hyperlink"/>
          </w:rPr>
          <w:t>Determining the UTI generator—Single-jurisdictional transactions</w:t>
        </w:r>
        <w:r w:rsidR="0070559D">
          <w:rPr>
            <w:webHidden/>
          </w:rPr>
          <w:tab/>
        </w:r>
        <w:r w:rsidR="0070559D">
          <w:rPr>
            <w:webHidden/>
          </w:rPr>
          <w:fldChar w:fldCharType="begin"/>
        </w:r>
        <w:r w:rsidR="0070559D">
          <w:rPr>
            <w:webHidden/>
          </w:rPr>
          <w:instrText xml:space="preserve"> PAGEREF _Toc57146479 \h </w:instrText>
        </w:r>
        <w:r w:rsidR="0070559D">
          <w:rPr>
            <w:webHidden/>
          </w:rPr>
        </w:r>
        <w:r w:rsidR="0070559D">
          <w:rPr>
            <w:webHidden/>
          </w:rPr>
          <w:fldChar w:fldCharType="separate"/>
        </w:r>
        <w:r w:rsidR="00314C7E">
          <w:rPr>
            <w:webHidden/>
          </w:rPr>
          <w:t>24</w:t>
        </w:r>
        <w:r w:rsidR="0070559D">
          <w:rPr>
            <w:webHidden/>
          </w:rPr>
          <w:fldChar w:fldCharType="end"/>
        </w:r>
      </w:hyperlink>
    </w:p>
    <w:p w14:paraId="02809434" w14:textId="5E16D082" w:rsidR="0070559D" w:rsidRDefault="007055A5">
      <w:pPr>
        <w:pStyle w:val="TOC2"/>
        <w:rPr>
          <w:rFonts w:asciiTheme="minorHAnsi" w:eastAsiaTheme="minorEastAsia" w:hAnsiTheme="minorHAnsi" w:cstheme="minorBidi"/>
          <w:sz w:val="22"/>
          <w:szCs w:val="22"/>
        </w:rPr>
      </w:pPr>
      <w:hyperlink w:anchor="_Toc57146480" w:history="1">
        <w:r w:rsidR="0070559D" w:rsidRPr="00710C9A">
          <w:rPr>
            <w:rStyle w:val="Hyperlink"/>
          </w:rPr>
          <w:t>Determining the UTI generator—Cross-jurisdictional transactions</w:t>
        </w:r>
        <w:r w:rsidR="0070559D">
          <w:rPr>
            <w:webHidden/>
          </w:rPr>
          <w:tab/>
        </w:r>
        <w:r w:rsidR="0070559D">
          <w:rPr>
            <w:webHidden/>
          </w:rPr>
          <w:fldChar w:fldCharType="begin"/>
        </w:r>
        <w:r w:rsidR="0070559D">
          <w:rPr>
            <w:webHidden/>
          </w:rPr>
          <w:instrText xml:space="preserve"> PAGEREF _Toc57146480 \h </w:instrText>
        </w:r>
        <w:r w:rsidR="0070559D">
          <w:rPr>
            <w:webHidden/>
          </w:rPr>
        </w:r>
        <w:r w:rsidR="0070559D">
          <w:rPr>
            <w:webHidden/>
          </w:rPr>
          <w:fldChar w:fldCharType="separate"/>
        </w:r>
        <w:r w:rsidR="00314C7E">
          <w:rPr>
            <w:webHidden/>
          </w:rPr>
          <w:t>31</w:t>
        </w:r>
        <w:r w:rsidR="0070559D">
          <w:rPr>
            <w:webHidden/>
          </w:rPr>
          <w:fldChar w:fldCharType="end"/>
        </w:r>
      </w:hyperlink>
    </w:p>
    <w:p w14:paraId="19C24691" w14:textId="2C2474FC" w:rsidR="0070559D" w:rsidRDefault="007055A5">
      <w:pPr>
        <w:pStyle w:val="TOC2"/>
        <w:rPr>
          <w:rFonts w:asciiTheme="minorHAnsi" w:eastAsiaTheme="minorEastAsia" w:hAnsiTheme="minorHAnsi" w:cstheme="minorBidi"/>
          <w:sz w:val="22"/>
          <w:szCs w:val="22"/>
        </w:rPr>
      </w:pPr>
      <w:hyperlink w:anchor="_Toc57146481" w:history="1">
        <w:r w:rsidR="0070559D" w:rsidRPr="00710C9A">
          <w:rPr>
            <w:rStyle w:val="Hyperlink"/>
          </w:rPr>
          <w:t>Determining the UTI generator—Ultimate determinant</w:t>
        </w:r>
        <w:r w:rsidR="0070559D">
          <w:rPr>
            <w:webHidden/>
          </w:rPr>
          <w:tab/>
        </w:r>
        <w:r w:rsidR="0070559D">
          <w:rPr>
            <w:webHidden/>
          </w:rPr>
          <w:fldChar w:fldCharType="begin"/>
        </w:r>
        <w:r w:rsidR="0070559D">
          <w:rPr>
            <w:webHidden/>
          </w:rPr>
          <w:instrText xml:space="preserve"> PAGEREF _Toc57146481 \h </w:instrText>
        </w:r>
        <w:r w:rsidR="0070559D">
          <w:rPr>
            <w:webHidden/>
          </w:rPr>
        </w:r>
        <w:r w:rsidR="0070559D">
          <w:rPr>
            <w:webHidden/>
          </w:rPr>
          <w:fldChar w:fldCharType="separate"/>
        </w:r>
        <w:r w:rsidR="00314C7E">
          <w:rPr>
            <w:webHidden/>
          </w:rPr>
          <w:t>40</w:t>
        </w:r>
        <w:r w:rsidR="0070559D">
          <w:rPr>
            <w:webHidden/>
          </w:rPr>
          <w:fldChar w:fldCharType="end"/>
        </w:r>
      </w:hyperlink>
    </w:p>
    <w:p w14:paraId="4D19DA94" w14:textId="1B35A57D" w:rsidR="0070559D" w:rsidRDefault="007055A5">
      <w:pPr>
        <w:pStyle w:val="TOC2"/>
        <w:rPr>
          <w:rFonts w:asciiTheme="minorHAnsi" w:eastAsiaTheme="minorEastAsia" w:hAnsiTheme="minorHAnsi" w:cstheme="minorBidi"/>
          <w:sz w:val="22"/>
          <w:szCs w:val="22"/>
        </w:rPr>
      </w:pPr>
      <w:hyperlink w:anchor="_Toc57146482" w:history="1">
        <w:r w:rsidR="0070559D" w:rsidRPr="00710C9A">
          <w:rPr>
            <w:rStyle w:val="Hyperlink"/>
          </w:rPr>
          <w:t>Determining the UTI generator—Obligations of timeliness, UTI not</w:t>
        </w:r>
        <w:r w:rsidR="007E5BC8">
          <w:rPr>
            <w:rStyle w:val="Hyperlink"/>
          </w:rPr>
          <w:t> </w:t>
        </w:r>
        <w:r w:rsidR="0070559D" w:rsidRPr="00710C9A">
          <w:rPr>
            <w:rStyle w:val="Hyperlink"/>
          </w:rPr>
          <w:t>received</w:t>
        </w:r>
        <w:r w:rsidR="0070559D">
          <w:rPr>
            <w:webHidden/>
          </w:rPr>
          <w:tab/>
        </w:r>
        <w:r w:rsidR="0070559D">
          <w:rPr>
            <w:webHidden/>
          </w:rPr>
          <w:fldChar w:fldCharType="begin"/>
        </w:r>
        <w:r w:rsidR="0070559D">
          <w:rPr>
            <w:webHidden/>
          </w:rPr>
          <w:instrText xml:space="preserve"> PAGEREF _Toc57146482 \h </w:instrText>
        </w:r>
        <w:r w:rsidR="0070559D">
          <w:rPr>
            <w:webHidden/>
          </w:rPr>
        </w:r>
        <w:r w:rsidR="0070559D">
          <w:rPr>
            <w:webHidden/>
          </w:rPr>
          <w:fldChar w:fldCharType="separate"/>
        </w:r>
        <w:r w:rsidR="00314C7E">
          <w:rPr>
            <w:webHidden/>
          </w:rPr>
          <w:t>41</w:t>
        </w:r>
        <w:r w:rsidR="0070559D">
          <w:rPr>
            <w:webHidden/>
          </w:rPr>
          <w:fldChar w:fldCharType="end"/>
        </w:r>
      </w:hyperlink>
    </w:p>
    <w:p w14:paraId="73E34F8E" w14:textId="346FC708" w:rsidR="0070559D" w:rsidRDefault="007055A5">
      <w:pPr>
        <w:pStyle w:val="TOC1"/>
        <w:rPr>
          <w:rFonts w:asciiTheme="minorHAnsi" w:eastAsiaTheme="minorEastAsia" w:hAnsiTheme="minorHAnsi" w:cstheme="minorBidi"/>
          <w:b w:val="0"/>
          <w:sz w:val="22"/>
          <w:szCs w:val="22"/>
        </w:rPr>
      </w:pPr>
      <w:hyperlink w:anchor="_Toc57146483" w:history="1">
        <w:r w:rsidR="0070559D" w:rsidRPr="00710C9A">
          <w:rPr>
            <w:rStyle w:val="Hyperlink"/>
          </w:rPr>
          <w:t>D</w:t>
        </w:r>
        <w:r w:rsidR="0070559D">
          <w:rPr>
            <w:rFonts w:asciiTheme="minorHAnsi" w:eastAsiaTheme="minorEastAsia" w:hAnsiTheme="minorHAnsi" w:cstheme="minorBidi"/>
            <w:b w:val="0"/>
            <w:sz w:val="22"/>
            <w:szCs w:val="22"/>
          </w:rPr>
          <w:tab/>
        </w:r>
        <w:r w:rsidR="0070559D" w:rsidRPr="00710C9A">
          <w:rPr>
            <w:rStyle w:val="Hyperlink"/>
          </w:rPr>
          <w:t>The unique product identifier (UPI)</w:t>
        </w:r>
        <w:r w:rsidR="0070559D">
          <w:rPr>
            <w:webHidden/>
          </w:rPr>
          <w:tab/>
        </w:r>
        <w:r w:rsidR="0070559D">
          <w:rPr>
            <w:webHidden/>
          </w:rPr>
          <w:fldChar w:fldCharType="begin"/>
        </w:r>
        <w:r w:rsidR="0070559D">
          <w:rPr>
            <w:webHidden/>
          </w:rPr>
          <w:instrText xml:space="preserve"> PAGEREF _Toc57146483 \h </w:instrText>
        </w:r>
        <w:r w:rsidR="0070559D">
          <w:rPr>
            <w:webHidden/>
          </w:rPr>
        </w:r>
        <w:r w:rsidR="0070559D">
          <w:rPr>
            <w:webHidden/>
          </w:rPr>
          <w:fldChar w:fldCharType="separate"/>
        </w:r>
        <w:r w:rsidR="00314C7E">
          <w:rPr>
            <w:webHidden/>
          </w:rPr>
          <w:t>44</w:t>
        </w:r>
        <w:r w:rsidR="0070559D">
          <w:rPr>
            <w:webHidden/>
          </w:rPr>
          <w:fldChar w:fldCharType="end"/>
        </w:r>
      </w:hyperlink>
    </w:p>
    <w:p w14:paraId="726FFB16" w14:textId="2F750F2A" w:rsidR="0070559D" w:rsidRDefault="007055A5">
      <w:pPr>
        <w:pStyle w:val="TOC2"/>
        <w:rPr>
          <w:rFonts w:asciiTheme="minorHAnsi" w:eastAsiaTheme="minorEastAsia" w:hAnsiTheme="minorHAnsi" w:cstheme="minorBidi"/>
          <w:sz w:val="22"/>
          <w:szCs w:val="22"/>
        </w:rPr>
      </w:pPr>
      <w:hyperlink w:anchor="_Toc57146484" w:history="1">
        <w:r w:rsidR="0070559D" w:rsidRPr="00710C9A">
          <w:rPr>
            <w:rStyle w:val="Hyperlink"/>
          </w:rPr>
          <w:t>Background</w:t>
        </w:r>
        <w:r w:rsidR="0070559D">
          <w:rPr>
            <w:webHidden/>
          </w:rPr>
          <w:tab/>
        </w:r>
        <w:r w:rsidR="0070559D">
          <w:rPr>
            <w:webHidden/>
          </w:rPr>
          <w:fldChar w:fldCharType="begin"/>
        </w:r>
        <w:r w:rsidR="0070559D">
          <w:rPr>
            <w:webHidden/>
          </w:rPr>
          <w:instrText xml:space="preserve"> PAGEREF _Toc57146484 \h </w:instrText>
        </w:r>
        <w:r w:rsidR="0070559D">
          <w:rPr>
            <w:webHidden/>
          </w:rPr>
        </w:r>
        <w:r w:rsidR="0070559D">
          <w:rPr>
            <w:webHidden/>
          </w:rPr>
          <w:fldChar w:fldCharType="separate"/>
        </w:r>
        <w:r w:rsidR="00314C7E">
          <w:rPr>
            <w:webHidden/>
          </w:rPr>
          <w:t>44</w:t>
        </w:r>
        <w:r w:rsidR="0070559D">
          <w:rPr>
            <w:webHidden/>
          </w:rPr>
          <w:fldChar w:fldCharType="end"/>
        </w:r>
      </w:hyperlink>
    </w:p>
    <w:p w14:paraId="4D00689D" w14:textId="2600A577" w:rsidR="0070559D" w:rsidRDefault="007055A5">
      <w:pPr>
        <w:pStyle w:val="TOC2"/>
        <w:rPr>
          <w:rFonts w:asciiTheme="minorHAnsi" w:eastAsiaTheme="minorEastAsia" w:hAnsiTheme="minorHAnsi" w:cstheme="minorBidi"/>
          <w:sz w:val="22"/>
          <w:szCs w:val="22"/>
        </w:rPr>
      </w:pPr>
      <w:hyperlink w:anchor="_Toc57146485" w:history="1">
        <w:r w:rsidR="0070559D" w:rsidRPr="00710C9A">
          <w:rPr>
            <w:rStyle w:val="Hyperlink"/>
          </w:rPr>
          <w:t>Operationalising the UPI system</w:t>
        </w:r>
        <w:r w:rsidR="0070559D">
          <w:rPr>
            <w:webHidden/>
          </w:rPr>
          <w:tab/>
        </w:r>
        <w:r w:rsidR="0070559D">
          <w:rPr>
            <w:webHidden/>
          </w:rPr>
          <w:fldChar w:fldCharType="begin"/>
        </w:r>
        <w:r w:rsidR="0070559D">
          <w:rPr>
            <w:webHidden/>
          </w:rPr>
          <w:instrText xml:space="preserve"> PAGEREF _Toc57146485 \h </w:instrText>
        </w:r>
        <w:r w:rsidR="0070559D">
          <w:rPr>
            <w:webHidden/>
          </w:rPr>
        </w:r>
        <w:r w:rsidR="0070559D">
          <w:rPr>
            <w:webHidden/>
          </w:rPr>
          <w:fldChar w:fldCharType="separate"/>
        </w:r>
        <w:r w:rsidR="00314C7E">
          <w:rPr>
            <w:webHidden/>
          </w:rPr>
          <w:t>45</w:t>
        </w:r>
        <w:r w:rsidR="0070559D">
          <w:rPr>
            <w:webHidden/>
          </w:rPr>
          <w:fldChar w:fldCharType="end"/>
        </w:r>
      </w:hyperlink>
    </w:p>
    <w:p w14:paraId="23BA1EFC" w14:textId="6D902F12" w:rsidR="0070559D" w:rsidRDefault="007055A5">
      <w:pPr>
        <w:pStyle w:val="TOC2"/>
        <w:rPr>
          <w:rFonts w:asciiTheme="minorHAnsi" w:eastAsiaTheme="minorEastAsia" w:hAnsiTheme="minorHAnsi" w:cstheme="minorBidi"/>
          <w:sz w:val="22"/>
          <w:szCs w:val="22"/>
        </w:rPr>
      </w:pPr>
      <w:hyperlink w:anchor="_Toc57146486" w:history="1">
        <w:r w:rsidR="0070559D" w:rsidRPr="00710C9A">
          <w:rPr>
            <w:rStyle w:val="Hyperlink"/>
          </w:rPr>
          <w:t>UPI-embedded information</w:t>
        </w:r>
        <w:r w:rsidR="0070559D">
          <w:rPr>
            <w:webHidden/>
          </w:rPr>
          <w:tab/>
        </w:r>
        <w:r w:rsidR="0070559D">
          <w:rPr>
            <w:webHidden/>
          </w:rPr>
          <w:fldChar w:fldCharType="begin"/>
        </w:r>
        <w:r w:rsidR="0070559D">
          <w:rPr>
            <w:webHidden/>
          </w:rPr>
          <w:instrText xml:space="preserve"> PAGEREF _Toc57146486 \h </w:instrText>
        </w:r>
        <w:r w:rsidR="0070559D">
          <w:rPr>
            <w:webHidden/>
          </w:rPr>
        </w:r>
        <w:r w:rsidR="0070559D">
          <w:rPr>
            <w:webHidden/>
          </w:rPr>
          <w:fldChar w:fldCharType="separate"/>
        </w:r>
        <w:r w:rsidR="00314C7E">
          <w:rPr>
            <w:webHidden/>
          </w:rPr>
          <w:t>46</w:t>
        </w:r>
        <w:r w:rsidR="0070559D">
          <w:rPr>
            <w:webHidden/>
          </w:rPr>
          <w:fldChar w:fldCharType="end"/>
        </w:r>
      </w:hyperlink>
    </w:p>
    <w:p w14:paraId="36437C1E" w14:textId="4E4231EC" w:rsidR="0070559D" w:rsidRDefault="007055A5">
      <w:pPr>
        <w:pStyle w:val="TOC1"/>
        <w:rPr>
          <w:rFonts w:asciiTheme="minorHAnsi" w:eastAsiaTheme="minorEastAsia" w:hAnsiTheme="minorHAnsi" w:cstheme="minorBidi"/>
          <w:b w:val="0"/>
          <w:sz w:val="22"/>
          <w:szCs w:val="22"/>
        </w:rPr>
      </w:pPr>
      <w:hyperlink w:anchor="_Toc57146487" w:history="1">
        <w:r w:rsidR="0070559D" w:rsidRPr="00710C9A">
          <w:rPr>
            <w:rStyle w:val="Hyperlink"/>
          </w:rPr>
          <w:t>E</w:t>
        </w:r>
        <w:r w:rsidR="0070559D">
          <w:rPr>
            <w:rFonts w:asciiTheme="minorHAnsi" w:eastAsiaTheme="minorEastAsia" w:hAnsiTheme="minorHAnsi" w:cstheme="minorBidi"/>
            <w:b w:val="0"/>
            <w:sz w:val="22"/>
            <w:szCs w:val="22"/>
          </w:rPr>
          <w:tab/>
        </w:r>
        <w:r w:rsidR="0070559D" w:rsidRPr="00710C9A">
          <w:rPr>
            <w:rStyle w:val="Hyperlink"/>
          </w:rPr>
          <w:t>The critical data elements (CDE)</w:t>
        </w:r>
        <w:r w:rsidR="0070559D">
          <w:rPr>
            <w:webHidden/>
          </w:rPr>
          <w:tab/>
        </w:r>
        <w:r w:rsidR="0070559D">
          <w:rPr>
            <w:webHidden/>
          </w:rPr>
          <w:fldChar w:fldCharType="begin"/>
        </w:r>
        <w:r w:rsidR="0070559D">
          <w:rPr>
            <w:webHidden/>
          </w:rPr>
          <w:instrText xml:space="preserve"> PAGEREF _Toc57146487 \h </w:instrText>
        </w:r>
        <w:r w:rsidR="0070559D">
          <w:rPr>
            <w:webHidden/>
          </w:rPr>
        </w:r>
        <w:r w:rsidR="0070559D">
          <w:rPr>
            <w:webHidden/>
          </w:rPr>
          <w:fldChar w:fldCharType="separate"/>
        </w:r>
        <w:r w:rsidR="00314C7E">
          <w:rPr>
            <w:webHidden/>
          </w:rPr>
          <w:t>47</w:t>
        </w:r>
        <w:r w:rsidR="0070559D">
          <w:rPr>
            <w:webHidden/>
          </w:rPr>
          <w:fldChar w:fldCharType="end"/>
        </w:r>
      </w:hyperlink>
    </w:p>
    <w:p w14:paraId="55FD6B2E" w14:textId="039465F7" w:rsidR="0070559D" w:rsidRDefault="007055A5">
      <w:pPr>
        <w:pStyle w:val="TOC2"/>
        <w:rPr>
          <w:rFonts w:asciiTheme="minorHAnsi" w:eastAsiaTheme="minorEastAsia" w:hAnsiTheme="minorHAnsi" w:cstheme="minorBidi"/>
          <w:sz w:val="22"/>
          <w:szCs w:val="22"/>
        </w:rPr>
      </w:pPr>
      <w:hyperlink w:anchor="_Toc57146488" w:history="1">
        <w:r w:rsidR="0070559D" w:rsidRPr="00710C9A">
          <w:rPr>
            <w:rStyle w:val="Hyperlink"/>
          </w:rPr>
          <w:t>Background</w:t>
        </w:r>
        <w:r w:rsidR="0070559D">
          <w:rPr>
            <w:webHidden/>
          </w:rPr>
          <w:tab/>
        </w:r>
        <w:r w:rsidR="0070559D">
          <w:rPr>
            <w:webHidden/>
          </w:rPr>
          <w:fldChar w:fldCharType="begin"/>
        </w:r>
        <w:r w:rsidR="0070559D">
          <w:rPr>
            <w:webHidden/>
          </w:rPr>
          <w:instrText xml:space="preserve"> PAGEREF _Toc57146488 \h </w:instrText>
        </w:r>
        <w:r w:rsidR="0070559D">
          <w:rPr>
            <w:webHidden/>
          </w:rPr>
        </w:r>
        <w:r w:rsidR="0070559D">
          <w:rPr>
            <w:webHidden/>
          </w:rPr>
          <w:fldChar w:fldCharType="separate"/>
        </w:r>
        <w:r w:rsidR="00314C7E">
          <w:rPr>
            <w:webHidden/>
          </w:rPr>
          <w:t>47</w:t>
        </w:r>
        <w:r w:rsidR="0070559D">
          <w:rPr>
            <w:webHidden/>
          </w:rPr>
          <w:fldChar w:fldCharType="end"/>
        </w:r>
      </w:hyperlink>
    </w:p>
    <w:p w14:paraId="7605AD35" w14:textId="16D865A0" w:rsidR="0070559D" w:rsidRDefault="007055A5">
      <w:pPr>
        <w:pStyle w:val="TOC2"/>
        <w:rPr>
          <w:rFonts w:asciiTheme="minorHAnsi" w:eastAsiaTheme="minorEastAsia" w:hAnsiTheme="minorHAnsi" w:cstheme="minorBidi"/>
          <w:sz w:val="22"/>
          <w:szCs w:val="22"/>
        </w:rPr>
      </w:pPr>
      <w:hyperlink w:anchor="_Toc57146489" w:history="1">
        <w:r w:rsidR="0070559D" w:rsidRPr="00710C9A">
          <w:rPr>
            <w:rStyle w:val="Hyperlink"/>
          </w:rPr>
          <w:t>Overview of proposals</w:t>
        </w:r>
        <w:r w:rsidR="0070559D">
          <w:rPr>
            <w:webHidden/>
          </w:rPr>
          <w:tab/>
        </w:r>
        <w:r w:rsidR="0070559D">
          <w:rPr>
            <w:webHidden/>
          </w:rPr>
          <w:fldChar w:fldCharType="begin"/>
        </w:r>
        <w:r w:rsidR="0070559D">
          <w:rPr>
            <w:webHidden/>
          </w:rPr>
          <w:instrText xml:space="preserve"> PAGEREF _Toc57146489 \h </w:instrText>
        </w:r>
        <w:r w:rsidR="0070559D">
          <w:rPr>
            <w:webHidden/>
          </w:rPr>
        </w:r>
        <w:r w:rsidR="0070559D">
          <w:rPr>
            <w:webHidden/>
          </w:rPr>
          <w:fldChar w:fldCharType="separate"/>
        </w:r>
        <w:r w:rsidR="00314C7E">
          <w:rPr>
            <w:webHidden/>
          </w:rPr>
          <w:t>48</w:t>
        </w:r>
        <w:r w:rsidR="0070559D">
          <w:rPr>
            <w:webHidden/>
          </w:rPr>
          <w:fldChar w:fldCharType="end"/>
        </w:r>
      </w:hyperlink>
    </w:p>
    <w:p w14:paraId="52D2C0DD" w14:textId="79FB64D1" w:rsidR="0070559D" w:rsidRDefault="007055A5">
      <w:pPr>
        <w:pStyle w:val="TOC2"/>
        <w:rPr>
          <w:rFonts w:asciiTheme="minorHAnsi" w:eastAsiaTheme="minorEastAsia" w:hAnsiTheme="minorHAnsi" w:cstheme="minorBidi"/>
          <w:sz w:val="22"/>
          <w:szCs w:val="22"/>
        </w:rPr>
      </w:pPr>
      <w:hyperlink w:anchor="_Toc57146490" w:history="1">
        <w:r w:rsidR="0070559D" w:rsidRPr="00710C9A">
          <w:rPr>
            <w:rStyle w:val="Hyperlink"/>
            <w:rFonts w:eastAsiaTheme="minorHAnsi"/>
          </w:rPr>
          <w:t>Data elements related to dates and timestamps</w:t>
        </w:r>
        <w:r w:rsidR="0070559D">
          <w:rPr>
            <w:webHidden/>
          </w:rPr>
          <w:tab/>
        </w:r>
        <w:r w:rsidR="0070559D">
          <w:rPr>
            <w:webHidden/>
          </w:rPr>
          <w:fldChar w:fldCharType="begin"/>
        </w:r>
        <w:r w:rsidR="0070559D">
          <w:rPr>
            <w:webHidden/>
          </w:rPr>
          <w:instrText xml:space="preserve"> PAGEREF _Toc57146490 \h </w:instrText>
        </w:r>
        <w:r w:rsidR="0070559D">
          <w:rPr>
            <w:webHidden/>
          </w:rPr>
        </w:r>
        <w:r w:rsidR="0070559D">
          <w:rPr>
            <w:webHidden/>
          </w:rPr>
          <w:fldChar w:fldCharType="separate"/>
        </w:r>
        <w:r w:rsidR="00314C7E">
          <w:rPr>
            <w:webHidden/>
          </w:rPr>
          <w:t>51</w:t>
        </w:r>
        <w:r w:rsidR="0070559D">
          <w:rPr>
            <w:webHidden/>
          </w:rPr>
          <w:fldChar w:fldCharType="end"/>
        </w:r>
      </w:hyperlink>
    </w:p>
    <w:p w14:paraId="7A3DCCCD" w14:textId="082E6184" w:rsidR="0070559D" w:rsidRDefault="007055A5">
      <w:pPr>
        <w:pStyle w:val="TOC2"/>
        <w:rPr>
          <w:rFonts w:asciiTheme="minorHAnsi" w:eastAsiaTheme="minorEastAsia" w:hAnsiTheme="minorHAnsi" w:cstheme="minorBidi"/>
          <w:sz w:val="22"/>
          <w:szCs w:val="22"/>
        </w:rPr>
      </w:pPr>
      <w:hyperlink w:anchor="_Toc57146491" w:history="1">
        <w:r w:rsidR="0070559D" w:rsidRPr="00710C9A">
          <w:rPr>
            <w:rStyle w:val="Hyperlink"/>
            <w:rFonts w:eastAsiaTheme="minorHAnsi"/>
          </w:rPr>
          <w:t>Data elements related to counterparties and beneficiaries</w:t>
        </w:r>
        <w:r w:rsidR="0070559D">
          <w:rPr>
            <w:webHidden/>
          </w:rPr>
          <w:tab/>
        </w:r>
        <w:r w:rsidR="0070559D">
          <w:rPr>
            <w:webHidden/>
          </w:rPr>
          <w:fldChar w:fldCharType="begin"/>
        </w:r>
        <w:r w:rsidR="0070559D">
          <w:rPr>
            <w:webHidden/>
          </w:rPr>
          <w:instrText xml:space="preserve"> PAGEREF _Toc57146491 \h </w:instrText>
        </w:r>
        <w:r w:rsidR="0070559D">
          <w:rPr>
            <w:webHidden/>
          </w:rPr>
        </w:r>
        <w:r w:rsidR="0070559D">
          <w:rPr>
            <w:webHidden/>
          </w:rPr>
          <w:fldChar w:fldCharType="separate"/>
        </w:r>
        <w:r w:rsidR="00314C7E">
          <w:rPr>
            <w:webHidden/>
          </w:rPr>
          <w:t>54</w:t>
        </w:r>
        <w:r w:rsidR="0070559D">
          <w:rPr>
            <w:webHidden/>
          </w:rPr>
          <w:fldChar w:fldCharType="end"/>
        </w:r>
      </w:hyperlink>
    </w:p>
    <w:p w14:paraId="2FE6D19B" w14:textId="52C87366" w:rsidR="0070559D" w:rsidRDefault="007055A5">
      <w:pPr>
        <w:pStyle w:val="TOC2"/>
        <w:rPr>
          <w:rFonts w:asciiTheme="minorHAnsi" w:eastAsiaTheme="minorEastAsia" w:hAnsiTheme="minorHAnsi" w:cstheme="minorBidi"/>
          <w:sz w:val="22"/>
          <w:szCs w:val="22"/>
        </w:rPr>
      </w:pPr>
      <w:hyperlink w:anchor="_Toc57146492" w:history="1">
        <w:r w:rsidR="0070559D" w:rsidRPr="00710C9A">
          <w:rPr>
            <w:rStyle w:val="Hyperlink"/>
            <w:rFonts w:eastAsiaTheme="minorHAnsi"/>
          </w:rPr>
          <w:t>Data elements related to clearing, trading, confirmation and settlement</w:t>
        </w:r>
        <w:r w:rsidR="0070559D">
          <w:rPr>
            <w:webHidden/>
          </w:rPr>
          <w:tab/>
        </w:r>
        <w:r w:rsidR="0070559D">
          <w:rPr>
            <w:webHidden/>
          </w:rPr>
          <w:fldChar w:fldCharType="begin"/>
        </w:r>
        <w:r w:rsidR="0070559D">
          <w:rPr>
            <w:webHidden/>
          </w:rPr>
          <w:instrText xml:space="preserve"> PAGEREF _Toc57146492 \h </w:instrText>
        </w:r>
        <w:r w:rsidR="0070559D">
          <w:rPr>
            <w:webHidden/>
          </w:rPr>
        </w:r>
        <w:r w:rsidR="0070559D">
          <w:rPr>
            <w:webHidden/>
          </w:rPr>
          <w:fldChar w:fldCharType="separate"/>
        </w:r>
        <w:r w:rsidR="00314C7E">
          <w:rPr>
            <w:webHidden/>
          </w:rPr>
          <w:t>60</w:t>
        </w:r>
        <w:r w:rsidR="0070559D">
          <w:rPr>
            <w:webHidden/>
          </w:rPr>
          <w:fldChar w:fldCharType="end"/>
        </w:r>
      </w:hyperlink>
    </w:p>
    <w:p w14:paraId="4503E7F9" w14:textId="69D6D235" w:rsidR="0070559D" w:rsidRDefault="007055A5">
      <w:pPr>
        <w:pStyle w:val="TOC2"/>
        <w:rPr>
          <w:rFonts w:asciiTheme="minorHAnsi" w:eastAsiaTheme="minorEastAsia" w:hAnsiTheme="minorHAnsi" w:cstheme="minorBidi"/>
          <w:sz w:val="22"/>
          <w:szCs w:val="22"/>
        </w:rPr>
      </w:pPr>
      <w:hyperlink w:anchor="_Toc57146493" w:history="1">
        <w:r w:rsidR="0070559D" w:rsidRPr="00710C9A">
          <w:rPr>
            <w:rStyle w:val="Hyperlink"/>
            <w:rFonts w:eastAsiaTheme="minorHAnsi"/>
          </w:rPr>
          <w:t>Data elements related to regular payments</w:t>
        </w:r>
        <w:r w:rsidR="0070559D">
          <w:rPr>
            <w:webHidden/>
          </w:rPr>
          <w:tab/>
        </w:r>
        <w:r w:rsidR="0070559D">
          <w:rPr>
            <w:webHidden/>
          </w:rPr>
          <w:fldChar w:fldCharType="begin"/>
        </w:r>
        <w:r w:rsidR="0070559D">
          <w:rPr>
            <w:webHidden/>
          </w:rPr>
          <w:instrText xml:space="preserve"> PAGEREF _Toc57146493 \h </w:instrText>
        </w:r>
        <w:r w:rsidR="0070559D">
          <w:rPr>
            <w:webHidden/>
          </w:rPr>
        </w:r>
        <w:r w:rsidR="0070559D">
          <w:rPr>
            <w:webHidden/>
          </w:rPr>
          <w:fldChar w:fldCharType="separate"/>
        </w:r>
        <w:r w:rsidR="00314C7E">
          <w:rPr>
            <w:webHidden/>
          </w:rPr>
          <w:t>62</w:t>
        </w:r>
        <w:r w:rsidR="0070559D">
          <w:rPr>
            <w:webHidden/>
          </w:rPr>
          <w:fldChar w:fldCharType="end"/>
        </w:r>
      </w:hyperlink>
    </w:p>
    <w:p w14:paraId="41E70BEE" w14:textId="6BD36497" w:rsidR="0070559D" w:rsidRDefault="007055A5">
      <w:pPr>
        <w:pStyle w:val="TOC2"/>
        <w:rPr>
          <w:rFonts w:asciiTheme="minorHAnsi" w:eastAsiaTheme="minorEastAsia" w:hAnsiTheme="minorHAnsi" w:cstheme="minorBidi"/>
          <w:sz w:val="22"/>
          <w:szCs w:val="22"/>
        </w:rPr>
      </w:pPr>
      <w:hyperlink w:anchor="_Toc57146494" w:history="1">
        <w:r w:rsidR="0070559D" w:rsidRPr="00710C9A">
          <w:rPr>
            <w:rStyle w:val="Hyperlink"/>
            <w:rFonts w:eastAsiaTheme="minorHAnsi"/>
          </w:rPr>
          <w:t>Data elements related to valuation</w:t>
        </w:r>
        <w:r w:rsidR="0070559D">
          <w:rPr>
            <w:webHidden/>
          </w:rPr>
          <w:tab/>
        </w:r>
        <w:r w:rsidR="0070559D">
          <w:rPr>
            <w:webHidden/>
          </w:rPr>
          <w:fldChar w:fldCharType="begin"/>
        </w:r>
        <w:r w:rsidR="0070559D">
          <w:rPr>
            <w:webHidden/>
          </w:rPr>
          <w:instrText xml:space="preserve"> PAGEREF _Toc57146494 \h </w:instrText>
        </w:r>
        <w:r w:rsidR="0070559D">
          <w:rPr>
            <w:webHidden/>
          </w:rPr>
        </w:r>
        <w:r w:rsidR="0070559D">
          <w:rPr>
            <w:webHidden/>
          </w:rPr>
          <w:fldChar w:fldCharType="separate"/>
        </w:r>
        <w:r w:rsidR="00314C7E">
          <w:rPr>
            <w:webHidden/>
          </w:rPr>
          <w:t>66</w:t>
        </w:r>
        <w:r w:rsidR="0070559D">
          <w:rPr>
            <w:webHidden/>
          </w:rPr>
          <w:fldChar w:fldCharType="end"/>
        </w:r>
      </w:hyperlink>
    </w:p>
    <w:p w14:paraId="57C18672" w14:textId="155B21B8" w:rsidR="0070559D" w:rsidRDefault="007055A5">
      <w:pPr>
        <w:pStyle w:val="TOC2"/>
        <w:rPr>
          <w:rFonts w:asciiTheme="minorHAnsi" w:eastAsiaTheme="minorEastAsia" w:hAnsiTheme="minorHAnsi" w:cstheme="minorBidi"/>
          <w:sz w:val="22"/>
          <w:szCs w:val="22"/>
        </w:rPr>
      </w:pPr>
      <w:hyperlink w:anchor="_Toc57146495" w:history="1">
        <w:r w:rsidR="0070559D" w:rsidRPr="00710C9A">
          <w:rPr>
            <w:rStyle w:val="Hyperlink"/>
            <w:rFonts w:eastAsiaTheme="minorHAnsi"/>
          </w:rPr>
          <w:t>Data elements related to collateral and margins</w:t>
        </w:r>
        <w:r w:rsidR="0070559D">
          <w:rPr>
            <w:webHidden/>
          </w:rPr>
          <w:tab/>
        </w:r>
        <w:r w:rsidR="0070559D">
          <w:rPr>
            <w:webHidden/>
          </w:rPr>
          <w:fldChar w:fldCharType="begin"/>
        </w:r>
        <w:r w:rsidR="0070559D">
          <w:rPr>
            <w:webHidden/>
          </w:rPr>
          <w:instrText xml:space="preserve"> PAGEREF _Toc57146495 \h </w:instrText>
        </w:r>
        <w:r w:rsidR="0070559D">
          <w:rPr>
            <w:webHidden/>
          </w:rPr>
        </w:r>
        <w:r w:rsidR="0070559D">
          <w:rPr>
            <w:webHidden/>
          </w:rPr>
          <w:fldChar w:fldCharType="separate"/>
        </w:r>
        <w:r w:rsidR="00314C7E">
          <w:rPr>
            <w:webHidden/>
          </w:rPr>
          <w:t>67</w:t>
        </w:r>
        <w:r w:rsidR="0070559D">
          <w:rPr>
            <w:webHidden/>
          </w:rPr>
          <w:fldChar w:fldCharType="end"/>
        </w:r>
      </w:hyperlink>
    </w:p>
    <w:p w14:paraId="364FAD37" w14:textId="1E618E74" w:rsidR="0070559D" w:rsidRDefault="007055A5">
      <w:pPr>
        <w:pStyle w:val="TOC2"/>
        <w:rPr>
          <w:rFonts w:asciiTheme="minorHAnsi" w:eastAsiaTheme="minorEastAsia" w:hAnsiTheme="minorHAnsi" w:cstheme="minorBidi"/>
          <w:sz w:val="22"/>
          <w:szCs w:val="22"/>
        </w:rPr>
      </w:pPr>
      <w:hyperlink w:anchor="_Toc57146496" w:history="1">
        <w:r w:rsidR="0070559D" w:rsidRPr="00710C9A">
          <w:rPr>
            <w:rStyle w:val="Hyperlink"/>
            <w:rFonts w:eastAsiaTheme="minorHAnsi"/>
          </w:rPr>
          <w:t>Data elements related to counterparty rating triggers</w:t>
        </w:r>
        <w:r w:rsidR="0070559D">
          <w:rPr>
            <w:webHidden/>
          </w:rPr>
          <w:tab/>
        </w:r>
        <w:r w:rsidR="0070559D">
          <w:rPr>
            <w:webHidden/>
          </w:rPr>
          <w:fldChar w:fldCharType="begin"/>
        </w:r>
        <w:r w:rsidR="0070559D">
          <w:rPr>
            <w:webHidden/>
          </w:rPr>
          <w:instrText xml:space="preserve"> PAGEREF _Toc57146496 \h </w:instrText>
        </w:r>
        <w:r w:rsidR="0070559D">
          <w:rPr>
            <w:webHidden/>
          </w:rPr>
        </w:r>
        <w:r w:rsidR="0070559D">
          <w:rPr>
            <w:webHidden/>
          </w:rPr>
          <w:fldChar w:fldCharType="separate"/>
        </w:r>
        <w:r w:rsidR="00314C7E">
          <w:rPr>
            <w:webHidden/>
          </w:rPr>
          <w:t>70</w:t>
        </w:r>
        <w:r w:rsidR="0070559D">
          <w:rPr>
            <w:webHidden/>
          </w:rPr>
          <w:fldChar w:fldCharType="end"/>
        </w:r>
      </w:hyperlink>
    </w:p>
    <w:p w14:paraId="29B4DCBE" w14:textId="4267527D" w:rsidR="0070559D" w:rsidRDefault="007055A5">
      <w:pPr>
        <w:pStyle w:val="TOC2"/>
        <w:rPr>
          <w:rFonts w:asciiTheme="minorHAnsi" w:eastAsiaTheme="minorEastAsia" w:hAnsiTheme="minorHAnsi" w:cstheme="minorBidi"/>
          <w:sz w:val="22"/>
          <w:szCs w:val="22"/>
        </w:rPr>
      </w:pPr>
      <w:hyperlink w:anchor="_Toc57146497" w:history="1">
        <w:r w:rsidR="0070559D" w:rsidRPr="00710C9A">
          <w:rPr>
            <w:rStyle w:val="Hyperlink"/>
            <w:rFonts w:eastAsiaTheme="minorHAnsi"/>
          </w:rPr>
          <w:t>Data elements related to price</w:t>
        </w:r>
        <w:r w:rsidR="0070559D">
          <w:rPr>
            <w:webHidden/>
          </w:rPr>
          <w:tab/>
        </w:r>
        <w:r w:rsidR="0070559D">
          <w:rPr>
            <w:webHidden/>
          </w:rPr>
          <w:fldChar w:fldCharType="begin"/>
        </w:r>
        <w:r w:rsidR="0070559D">
          <w:rPr>
            <w:webHidden/>
          </w:rPr>
          <w:instrText xml:space="preserve"> PAGEREF _Toc57146497 \h </w:instrText>
        </w:r>
        <w:r w:rsidR="0070559D">
          <w:rPr>
            <w:webHidden/>
          </w:rPr>
        </w:r>
        <w:r w:rsidR="0070559D">
          <w:rPr>
            <w:webHidden/>
          </w:rPr>
          <w:fldChar w:fldCharType="separate"/>
        </w:r>
        <w:r w:rsidR="00314C7E">
          <w:rPr>
            <w:webHidden/>
          </w:rPr>
          <w:t>71</w:t>
        </w:r>
        <w:r w:rsidR="0070559D">
          <w:rPr>
            <w:webHidden/>
          </w:rPr>
          <w:fldChar w:fldCharType="end"/>
        </w:r>
      </w:hyperlink>
    </w:p>
    <w:p w14:paraId="1A851C9F" w14:textId="3D1D9A05" w:rsidR="0070559D" w:rsidRDefault="007055A5">
      <w:pPr>
        <w:pStyle w:val="TOC2"/>
        <w:rPr>
          <w:rFonts w:asciiTheme="minorHAnsi" w:eastAsiaTheme="minorEastAsia" w:hAnsiTheme="minorHAnsi" w:cstheme="minorBidi"/>
          <w:sz w:val="22"/>
          <w:szCs w:val="22"/>
        </w:rPr>
      </w:pPr>
      <w:hyperlink w:anchor="_Toc57146498" w:history="1">
        <w:r w:rsidR="0070559D" w:rsidRPr="00710C9A">
          <w:rPr>
            <w:rStyle w:val="Hyperlink"/>
            <w:rFonts w:eastAsiaTheme="minorHAnsi"/>
          </w:rPr>
          <w:t>Data elements related to notional amounts and quantities</w:t>
        </w:r>
        <w:r w:rsidR="0070559D">
          <w:rPr>
            <w:webHidden/>
          </w:rPr>
          <w:tab/>
        </w:r>
        <w:r w:rsidR="0070559D">
          <w:rPr>
            <w:webHidden/>
          </w:rPr>
          <w:fldChar w:fldCharType="begin"/>
        </w:r>
        <w:r w:rsidR="0070559D">
          <w:rPr>
            <w:webHidden/>
          </w:rPr>
          <w:instrText xml:space="preserve"> PAGEREF _Toc57146498 \h </w:instrText>
        </w:r>
        <w:r w:rsidR="0070559D">
          <w:rPr>
            <w:webHidden/>
          </w:rPr>
        </w:r>
        <w:r w:rsidR="0070559D">
          <w:rPr>
            <w:webHidden/>
          </w:rPr>
          <w:fldChar w:fldCharType="separate"/>
        </w:r>
        <w:r w:rsidR="00314C7E">
          <w:rPr>
            <w:webHidden/>
          </w:rPr>
          <w:t>77</w:t>
        </w:r>
        <w:r w:rsidR="0070559D">
          <w:rPr>
            <w:webHidden/>
          </w:rPr>
          <w:fldChar w:fldCharType="end"/>
        </w:r>
      </w:hyperlink>
    </w:p>
    <w:p w14:paraId="7FA7D10E" w14:textId="2EFEF1C0" w:rsidR="0070559D" w:rsidRDefault="007055A5">
      <w:pPr>
        <w:pStyle w:val="TOC2"/>
        <w:rPr>
          <w:rFonts w:asciiTheme="minorHAnsi" w:eastAsiaTheme="minorEastAsia" w:hAnsiTheme="minorHAnsi" w:cstheme="minorBidi"/>
          <w:sz w:val="22"/>
          <w:szCs w:val="22"/>
        </w:rPr>
      </w:pPr>
      <w:hyperlink w:anchor="_Toc57146499" w:history="1">
        <w:r w:rsidR="0070559D" w:rsidRPr="00710C9A">
          <w:rPr>
            <w:rStyle w:val="Hyperlink"/>
            <w:rFonts w:eastAsiaTheme="minorHAnsi"/>
          </w:rPr>
          <w:t>Data elements related to CDS index transactions</w:t>
        </w:r>
        <w:r w:rsidR="0070559D">
          <w:rPr>
            <w:webHidden/>
          </w:rPr>
          <w:tab/>
        </w:r>
        <w:r w:rsidR="0070559D">
          <w:rPr>
            <w:webHidden/>
          </w:rPr>
          <w:fldChar w:fldCharType="begin"/>
        </w:r>
        <w:r w:rsidR="0070559D">
          <w:rPr>
            <w:webHidden/>
          </w:rPr>
          <w:instrText xml:space="preserve"> PAGEREF _Toc57146499 \h </w:instrText>
        </w:r>
        <w:r w:rsidR="0070559D">
          <w:rPr>
            <w:webHidden/>
          </w:rPr>
        </w:r>
        <w:r w:rsidR="0070559D">
          <w:rPr>
            <w:webHidden/>
          </w:rPr>
          <w:fldChar w:fldCharType="separate"/>
        </w:r>
        <w:r w:rsidR="00314C7E">
          <w:rPr>
            <w:webHidden/>
          </w:rPr>
          <w:t>83</w:t>
        </w:r>
        <w:r w:rsidR="0070559D">
          <w:rPr>
            <w:webHidden/>
          </w:rPr>
          <w:fldChar w:fldCharType="end"/>
        </w:r>
      </w:hyperlink>
    </w:p>
    <w:p w14:paraId="640C095C" w14:textId="11E0A675" w:rsidR="0070559D" w:rsidRDefault="007055A5">
      <w:pPr>
        <w:pStyle w:val="TOC2"/>
        <w:rPr>
          <w:rFonts w:asciiTheme="minorHAnsi" w:eastAsiaTheme="minorEastAsia" w:hAnsiTheme="minorHAnsi" w:cstheme="minorBidi"/>
          <w:sz w:val="22"/>
          <w:szCs w:val="22"/>
        </w:rPr>
      </w:pPr>
      <w:hyperlink w:anchor="_Toc57146500" w:history="1">
        <w:r w:rsidR="0070559D" w:rsidRPr="00710C9A">
          <w:rPr>
            <w:rStyle w:val="Hyperlink"/>
            <w:rFonts w:eastAsiaTheme="minorHAnsi"/>
          </w:rPr>
          <w:t>Data elements related to other payments</w:t>
        </w:r>
        <w:r w:rsidR="0070559D">
          <w:rPr>
            <w:webHidden/>
          </w:rPr>
          <w:tab/>
        </w:r>
        <w:r w:rsidR="0070559D">
          <w:rPr>
            <w:webHidden/>
          </w:rPr>
          <w:fldChar w:fldCharType="begin"/>
        </w:r>
        <w:r w:rsidR="0070559D">
          <w:rPr>
            <w:webHidden/>
          </w:rPr>
          <w:instrText xml:space="preserve"> PAGEREF _Toc57146500 \h </w:instrText>
        </w:r>
        <w:r w:rsidR="0070559D">
          <w:rPr>
            <w:webHidden/>
          </w:rPr>
        </w:r>
        <w:r w:rsidR="0070559D">
          <w:rPr>
            <w:webHidden/>
          </w:rPr>
          <w:fldChar w:fldCharType="separate"/>
        </w:r>
        <w:r w:rsidR="00314C7E">
          <w:rPr>
            <w:webHidden/>
          </w:rPr>
          <w:t>84</w:t>
        </w:r>
        <w:r w:rsidR="0070559D">
          <w:rPr>
            <w:webHidden/>
          </w:rPr>
          <w:fldChar w:fldCharType="end"/>
        </w:r>
      </w:hyperlink>
    </w:p>
    <w:p w14:paraId="3CCFF141" w14:textId="2F141D0A" w:rsidR="0070559D" w:rsidRDefault="007055A5">
      <w:pPr>
        <w:pStyle w:val="TOC2"/>
        <w:rPr>
          <w:rFonts w:asciiTheme="minorHAnsi" w:eastAsiaTheme="minorEastAsia" w:hAnsiTheme="minorHAnsi" w:cstheme="minorBidi"/>
          <w:sz w:val="22"/>
          <w:szCs w:val="22"/>
        </w:rPr>
      </w:pPr>
      <w:hyperlink w:anchor="_Toc57146501" w:history="1">
        <w:r w:rsidR="0070559D" w:rsidRPr="00710C9A">
          <w:rPr>
            <w:rStyle w:val="Hyperlink"/>
            <w:rFonts w:eastAsiaTheme="minorHAnsi"/>
          </w:rPr>
          <w:t>Data elements related to packages and links</w:t>
        </w:r>
        <w:r w:rsidR="0070559D">
          <w:rPr>
            <w:webHidden/>
          </w:rPr>
          <w:tab/>
        </w:r>
        <w:r w:rsidR="0070559D">
          <w:rPr>
            <w:webHidden/>
          </w:rPr>
          <w:fldChar w:fldCharType="begin"/>
        </w:r>
        <w:r w:rsidR="0070559D">
          <w:rPr>
            <w:webHidden/>
          </w:rPr>
          <w:instrText xml:space="preserve"> PAGEREF _Toc57146501 \h </w:instrText>
        </w:r>
        <w:r w:rsidR="0070559D">
          <w:rPr>
            <w:webHidden/>
          </w:rPr>
        </w:r>
        <w:r w:rsidR="0070559D">
          <w:rPr>
            <w:webHidden/>
          </w:rPr>
          <w:fldChar w:fldCharType="separate"/>
        </w:r>
        <w:r w:rsidR="00314C7E">
          <w:rPr>
            <w:webHidden/>
          </w:rPr>
          <w:t>85</w:t>
        </w:r>
        <w:r w:rsidR="0070559D">
          <w:rPr>
            <w:webHidden/>
          </w:rPr>
          <w:fldChar w:fldCharType="end"/>
        </w:r>
      </w:hyperlink>
    </w:p>
    <w:p w14:paraId="1067147F" w14:textId="018BA6FB" w:rsidR="0070559D" w:rsidRDefault="007055A5">
      <w:pPr>
        <w:pStyle w:val="TOC2"/>
        <w:rPr>
          <w:rFonts w:asciiTheme="minorHAnsi" w:eastAsiaTheme="minorEastAsia" w:hAnsiTheme="minorHAnsi" w:cstheme="minorBidi"/>
          <w:sz w:val="22"/>
          <w:szCs w:val="22"/>
        </w:rPr>
      </w:pPr>
      <w:hyperlink w:anchor="_Toc57146502" w:history="1">
        <w:r w:rsidR="0070559D" w:rsidRPr="00710C9A">
          <w:rPr>
            <w:rStyle w:val="Hyperlink"/>
            <w:rFonts w:eastAsiaTheme="minorHAnsi"/>
          </w:rPr>
          <w:t>Data elements related to custom baskets</w:t>
        </w:r>
        <w:r w:rsidR="0070559D">
          <w:rPr>
            <w:webHidden/>
          </w:rPr>
          <w:tab/>
        </w:r>
        <w:r w:rsidR="0070559D">
          <w:rPr>
            <w:webHidden/>
          </w:rPr>
          <w:fldChar w:fldCharType="begin"/>
        </w:r>
        <w:r w:rsidR="0070559D">
          <w:rPr>
            <w:webHidden/>
          </w:rPr>
          <w:instrText xml:space="preserve"> PAGEREF _Toc57146502 \h </w:instrText>
        </w:r>
        <w:r w:rsidR="0070559D">
          <w:rPr>
            <w:webHidden/>
          </w:rPr>
        </w:r>
        <w:r w:rsidR="0070559D">
          <w:rPr>
            <w:webHidden/>
          </w:rPr>
          <w:fldChar w:fldCharType="separate"/>
        </w:r>
        <w:r w:rsidR="00314C7E">
          <w:rPr>
            <w:webHidden/>
          </w:rPr>
          <w:t>87</w:t>
        </w:r>
        <w:r w:rsidR="0070559D">
          <w:rPr>
            <w:webHidden/>
          </w:rPr>
          <w:fldChar w:fldCharType="end"/>
        </w:r>
      </w:hyperlink>
    </w:p>
    <w:p w14:paraId="5D8A035B" w14:textId="1EBFC83A" w:rsidR="0070559D" w:rsidRDefault="007055A5">
      <w:pPr>
        <w:pStyle w:val="TOC2"/>
        <w:rPr>
          <w:rFonts w:asciiTheme="minorHAnsi" w:eastAsiaTheme="minorEastAsia" w:hAnsiTheme="minorHAnsi" w:cstheme="minorBidi"/>
          <w:sz w:val="22"/>
          <w:szCs w:val="22"/>
        </w:rPr>
      </w:pPr>
      <w:hyperlink w:anchor="_Toc57146503" w:history="1">
        <w:r w:rsidR="0070559D" w:rsidRPr="00710C9A">
          <w:rPr>
            <w:rStyle w:val="Hyperlink"/>
            <w:rFonts w:eastAsiaTheme="minorHAnsi"/>
          </w:rPr>
          <w:t>Data elements that are non-CDE data elements</w:t>
        </w:r>
        <w:r w:rsidR="0070559D">
          <w:rPr>
            <w:webHidden/>
          </w:rPr>
          <w:tab/>
        </w:r>
        <w:r w:rsidR="0070559D">
          <w:rPr>
            <w:webHidden/>
          </w:rPr>
          <w:fldChar w:fldCharType="begin"/>
        </w:r>
        <w:r w:rsidR="0070559D">
          <w:rPr>
            <w:webHidden/>
          </w:rPr>
          <w:instrText xml:space="preserve"> PAGEREF _Toc57146503 \h </w:instrText>
        </w:r>
        <w:r w:rsidR="0070559D">
          <w:rPr>
            <w:webHidden/>
          </w:rPr>
        </w:r>
        <w:r w:rsidR="0070559D">
          <w:rPr>
            <w:webHidden/>
          </w:rPr>
          <w:fldChar w:fldCharType="separate"/>
        </w:r>
        <w:r w:rsidR="00314C7E">
          <w:rPr>
            <w:webHidden/>
          </w:rPr>
          <w:t>89</w:t>
        </w:r>
        <w:r w:rsidR="0070559D">
          <w:rPr>
            <w:webHidden/>
          </w:rPr>
          <w:fldChar w:fldCharType="end"/>
        </w:r>
      </w:hyperlink>
    </w:p>
    <w:p w14:paraId="12AFB53E" w14:textId="118B0D94" w:rsidR="0070559D" w:rsidRDefault="007055A5">
      <w:pPr>
        <w:pStyle w:val="TOC2"/>
        <w:rPr>
          <w:rFonts w:asciiTheme="minorHAnsi" w:eastAsiaTheme="minorEastAsia" w:hAnsiTheme="minorHAnsi" w:cstheme="minorBidi"/>
          <w:sz w:val="22"/>
          <w:szCs w:val="22"/>
        </w:rPr>
      </w:pPr>
      <w:hyperlink w:anchor="_Toc57146504" w:history="1">
        <w:r w:rsidR="0070559D" w:rsidRPr="00710C9A">
          <w:rPr>
            <w:rStyle w:val="Hyperlink"/>
          </w:rPr>
          <w:t>Technical specifications to the ASIC Rules</w:t>
        </w:r>
        <w:r w:rsidR="0070559D">
          <w:rPr>
            <w:webHidden/>
          </w:rPr>
          <w:tab/>
        </w:r>
        <w:r w:rsidR="0070559D">
          <w:rPr>
            <w:webHidden/>
          </w:rPr>
          <w:fldChar w:fldCharType="begin"/>
        </w:r>
        <w:r w:rsidR="0070559D">
          <w:rPr>
            <w:webHidden/>
          </w:rPr>
          <w:instrText xml:space="preserve"> PAGEREF _Toc57146504 \h </w:instrText>
        </w:r>
        <w:r w:rsidR="0070559D">
          <w:rPr>
            <w:webHidden/>
          </w:rPr>
        </w:r>
        <w:r w:rsidR="0070559D">
          <w:rPr>
            <w:webHidden/>
          </w:rPr>
          <w:fldChar w:fldCharType="separate"/>
        </w:r>
        <w:r w:rsidR="00314C7E">
          <w:rPr>
            <w:webHidden/>
          </w:rPr>
          <w:t>94</w:t>
        </w:r>
        <w:r w:rsidR="0070559D">
          <w:rPr>
            <w:webHidden/>
          </w:rPr>
          <w:fldChar w:fldCharType="end"/>
        </w:r>
      </w:hyperlink>
    </w:p>
    <w:p w14:paraId="79C8D6AC" w14:textId="46F3A26D" w:rsidR="0070559D" w:rsidRDefault="007055A5">
      <w:pPr>
        <w:pStyle w:val="TOC1"/>
        <w:rPr>
          <w:rFonts w:asciiTheme="minorHAnsi" w:eastAsiaTheme="minorEastAsia" w:hAnsiTheme="minorHAnsi" w:cstheme="minorBidi"/>
          <w:b w:val="0"/>
          <w:sz w:val="22"/>
          <w:szCs w:val="22"/>
        </w:rPr>
      </w:pPr>
      <w:hyperlink w:anchor="_Toc57146505" w:history="1">
        <w:r w:rsidR="0070559D" w:rsidRPr="00710C9A">
          <w:rPr>
            <w:rStyle w:val="Hyperlink"/>
          </w:rPr>
          <w:t>F</w:t>
        </w:r>
        <w:r w:rsidR="0070559D">
          <w:rPr>
            <w:rFonts w:asciiTheme="minorHAnsi" w:eastAsiaTheme="minorEastAsia" w:hAnsiTheme="minorHAnsi" w:cstheme="minorBidi"/>
            <w:b w:val="0"/>
            <w:sz w:val="22"/>
            <w:szCs w:val="22"/>
          </w:rPr>
          <w:tab/>
        </w:r>
        <w:r w:rsidR="0070559D" w:rsidRPr="00710C9A">
          <w:rPr>
            <w:rStyle w:val="Hyperlink"/>
          </w:rPr>
          <w:t>The legal entity identifier (LEI)</w:t>
        </w:r>
        <w:r w:rsidR="0070559D">
          <w:rPr>
            <w:webHidden/>
          </w:rPr>
          <w:tab/>
        </w:r>
        <w:r w:rsidR="0070559D">
          <w:rPr>
            <w:webHidden/>
          </w:rPr>
          <w:fldChar w:fldCharType="begin"/>
        </w:r>
        <w:r w:rsidR="0070559D">
          <w:rPr>
            <w:webHidden/>
          </w:rPr>
          <w:instrText xml:space="preserve"> PAGEREF _Toc57146505 \h </w:instrText>
        </w:r>
        <w:r w:rsidR="0070559D">
          <w:rPr>
            <w:webHidden/>
          </w:rPr>
        </w:r>
        <w:r w:rsidR="0070559D">
          <w:rPr>
            <w:webHidden/>
          </w:rPr>
          <w:fldChar w:fldCharType="separate"/>
        </w:r>
        <w:r w:rsidR="00314C7E">
          <w:rPr>
            <w:webHidden/>
          </w:rPr>
          <w:t>96</w:t>
        </w:r>
        <w:r w:rsidR="0070559D">
          <w:rPr>
            <w:webHidden/>
          </w:rPr>
          <w:fldChar w:fldCharType="end"/>
        </w:r>
      </w:hyperlink>
    </w:p>
    <w:p w14:paraId="28E08BCE" w14:textId="3CCF3143" w:rsidR="0070559D" w:rsidRDefault="007055A5">
      <w:pPr>
        <w:pStyle w:val="TOC2"/>
        <w:rPr>
          <w:rFonts w:asciiTheme="minorHAnsi" w:eastAsiaTheme="minorEastAsia" w:hAnsiTheme="minorHAnsi" w:cstheme="minorBidi"/>
          <w:sz w:val="22"/>
          <w:szCs w:val="22"/>
        </w:rPr>
      </w:pPr>
      <w:hyperlink w:anchor="_Toc57146506" w:history="1">
        <w:r w:rsidR="0070559D" w:rsidRPr="00710C9A">
          <w:rPr>
            <w:rStyle w:val="Hyperlink"/>
          </w:rPr>
          <w:t>Background</w:t>
        </w:r>
        <w:r w:rsidR="0070559D">
          <w:rPr>
            <w:webHidden/>
          </w:rPr>
          <w:tab/>
        </w:r>
        <w:r w:rsidR="0070559D">
          <w:rPr>
            <w:webHidden/>
          </w:rPr>
          <w:fldChar w:fldCharType="begin"/>
        </w:r>
        <w:r w:rsidR="0070559D">
          <w:rPr>
            <w:webHidden/>
          </w:rPr>
          <w:instrText xml:space="preserve"> PAGEREF _Toc57146506 \h </w:instrText>
        </w:r>
        <w:r w:rsidR="0070559D">
          <w:rPr>
            <w:webHidden/>
          </w:rPr>
        </w:r>
        <w:r w:rsidR="0070559D">
          <w:rPr>
            <w:webHidden/>
          </w:rPr>
          <w:fldChar w:fldCharType="separate"/>
        </w:r>
        <w:r w:rsidR="00314C7E">
          <w:rPr>
            <w:webHidden/>
          </w:rPr>
          <w:t>96</w:t>
        </w:r>
        <w:r w:rsidR="0070559D">
          <w:rPr>
            <w:webHidden/>
          </w:rPr>
          <w:fldChar w:fldCharType="end"/>
        </w:r>
      </w:hyperlink>
    </w:p>
    <w:p w14:paraId="49603979" w14:textId="1EB210E4" w:rsidR="0070559D" w:rsidRDefault="007055A5">
      <w:pPr>
        <w:pStyle w:val="TOC2"/>
        <w:rPr>
          <w:rFonts w:asciiTheme="minorHAnsi" w:eastAsiaTheme="minorEastAsia" w:hAnsiTheme="minorHAnsi" w:cstheme="minorBidi"/>
          <w:sz w:val="22"/>
          <w:szCs w:val="22"/>
        </w:rPr>
      </w:pPr>
      <w:hyperlink w:anchor="_Toc57146507" w:history="1">
        <w:r w:rsidR="0070559D" w:rsidRPr="00710C9A">
          <w:rPr>
            <w:rStyle w:val="Hyperlink"/>
          </w:rPr>
          <w:t>LEI as the entity identifier type</w:t>
        </w:r>
        <w:r w:rsidR="0070559D">
          <w:rPr>
            <w:webHidden/>
          </w:rPr>
          <w:tab/>
        </w:r>
        <w:r w:rsidR="0070559D">
          <w:rPr>
            <w:webHidden/>
          </w:rPr>
          <w:fldChar w:fldCharType="begin"/>
        </w:r>
        <w:r w:rsidR="0070559D">
          <w:rPr>
            <w:webHidden/>
          </w:rPr>
          <w:instrText xml:space="preserve"> PAGEREF _Toc57146507 \h </w:instrText>
        </w:r>
        <w:r w:rsidR="0070559D">
          <w:rPr>
            <w:webHidden/>
          </w:rPr>
        </w:r>
        <w:r w:rsidR="0070559D">
          <w:rPr>
            <w:webHidden/>
          </w:rPr>
          <w:fldChar w:fldCharType="separate"/>
        </w:r>
        <w:r w:rsidR="00314C7E">
          <w:rPr>
            <w:webHidden/>
          </w:rPr>
          <w:t>97</w:t>
        </w:r>
        <w:r w:rsidR="0070559D">
          <w:rPr>
            <w:webHidden/>
          </w:rPr>
          <w:fldChar w:fldCharType="end"/>
        </w:r>
      </w:hyperlink>
    </w:p>
    <w:p w14:paraId="0B89B66B" w14:textId="734F4E5D" w:rsidR="0070559D" w:rsidRDefault="007055A5">
      <w:pPr>
        <w:pStyle w:val="TOC1"/>
        <w:rPr>
          <w:rFonts w:asciiTheme="minorHAnsi" w:eastAsiaTheme="minorEastAsia" w:hAnsiTheme="minorHAnsi" w:cstheme="minorBidi"/>
          <w:b w:val="0"/>
          <w:sz w:val="22"/>
          <w:szCs w:val="22"/>
        </w:rPr>
      </w:pPr>
      <w:hyperlink w:anchor="_Toc57146508" w:history="1">
        <w:r w:rsidR="0070559D" w:rsidRPr="00710C9A">
          <w:rPr>
            <w:rStyle w:val="Hyperlink"/>
          </w:rPr>
          <w:t>G</w:t>
        </w:r>
        <w:r w:rsidR="0070559D">
          <w:rPr>
            <w:rFonts w:asciiTheme="minorHAnsi" w:eastAsiaTheme="minorEastAsia" w:hAnsiTheme="minorHAnsi" w:cstheme="minorBidi"/>
            <w:b w:val="0"/>
            <w:sz w:val="22"/>
            <w:szCs w:val="22"/>
          </w:rPr>
          <w:tab/>
        </w:r>
        <w:r w:rsidR="0070559D" w:rsidRPr="00710C9A">
          <w:rPr>
            <w:rStyle w:val="Hyperlink"/>
          </w:rPr>
          <w:t>Scope of reportable transactions and reporting entities</w:t>
        </w:r>
        <w:r w:rsidR="0070559D">
          <w:rPr>
            <w:webHidden/>
          </w:rPr>
          <w:tab/>
        </w:r>
        <w:r w:rsidR="0070559D">
          <w:rPr>
            <w:webHidden/>
          </w:rPr>
          <w:fldChar w:fldCharType="begin"/>
        </w:r>
        <w:r w:rsidR="0070559D">
          <w:rPr>
            <w:webHidden/>
          </w:rPr>
          <w:instrText xml:space="preserve"> PAGEREF _Toc57146508 \h </w:instrText>
        </w:r>
        <w:r w:rsidR="0070559D">
          <w:rPr>
            <w:webHidden/>
          </w:rPr>
        </w:r>
        <w:r w:rsidR="0070559D">
          <w:rPr>
            <w:webHidden/>
          </w:rPr>
          <w:fldChar w:fldCharType="separate"/>
        </w:r>
        <w:r w:rsidR="00314C7E">
          <w:rPr>
            <w:webHidden/>
          </w:rPr>
          <w:t>100</w:t>
        </w:r>
        <w:r w:rsidR="0070559D">
          <w:rPr>
            <w:webHidden/>
          </w:rPr>
          <w:fldChar w:fldCharType="end"/>
        </w:r>
      </w:hyperlink>
    </w:p>
    <w:p w14:paraId="3D27EA15" w14:textId="37DA747D" w:rsidR="0070559D" w:rsidRDefault="007055A5">
      <w:pPr>
        <w:pStyle w:val="TOC2"/>
        <w:rPr>
          <w:rFonts w:asciiTheme="minorHAnsi" w:eastAsiaTheme="minorEastAsia" w:hAnsiTheme="minorHAnsi" w:cstheme="minorBidi"/>
          <w:sz w:val="22"/>
          <w:szCs w:val="22"/>
        </w:rPr>
      </w:pPr>
      <w:hyperlink w:anchor="_Toc57146509" w:history="1">
        <w:r w:rsidR="0070559D" w:rsidRPr="00710C9A">
          <w:rPr>
            <w:rStyle w:val="Hyperlink"/>
          </w:rPr>
          <w:t>Background</w:t>
        </w:r>
        <w:r w:rsidR="0070559D">
          <w:rPr>
            <w:webHidden/>
          </w:rPr>
          <w:tab/>
        </w:r>
        <w:r w:rsidR="0070559D">
          <w:rPr>
            <w:webHidden/>
          </w:rPr>
          <w:fldChar w:fldCharType="begin"/>
        </w:r>
        <w:r w:rsidR="0070559D">
          <w:rPr>
            <w:webHidden/>
          </w:rPr>
          <w:instrText xml:space="preserve"> PAGEREF _Toc57146509 \h </w:instrText>
        </w:r>
        <w:r w:rsidR="0070559D">
          <w:rPr>
            <w:webHidden/>
          </w:rPr>
        </w:r>
        <w:r w:rsidR="0070559D">
          <w:rPr>
            <w:webHidden/>
          </w:rPr>
          <w:fldChar w:fldCharType="separate"/>
        </w:r>
        <w:r w:rsidR="00314C7E">
          <w:rPr>
            <w:webHidden/>
          </w:rPr>
          <w:t>100</w:t>
        </w:r>
        <w:r w:rsidR="0070559D">
          <w:rPr>
            <w:webHidden/>
          </w:rPr>
          <w:fldChar w:fldCharType="end"/>
        </w:r>
      </w:hyperlink>
    </w:p>
    <w:p w14:paraId="3F4BFED9" w14:textId="554F2CFB" w:rsidR="0070559D" w:rsidRDefault="007055A5">
      <w:pPr>
        <w:pStyle w:val="TOC2"/>
        <w:rPr>
          <w:rFonts w:asciiTheme="minorHAnsi" w:eastAsiaTheme="minorEastAsia" w:hAnsiTheme="minorHAnsi" w:cstheme="minorBidi"/>
          <w:sz w:val="22"/>
          <w:szCs w:val="22"/>
        </w:rPr>
      </w:pPr>
      <w:hyperlink w:anchor="_Toc57146510" w:history="1">
        <w:r w:rsidR="0070559D" w:rsidRPr="00710C9A">
          <w:rPr>
            <w:rStyle w:val="Hyperlink"/>
            <w:lang w:val="en"/>
          </w:rPr>
          <w:t>Rule 1.2.4 OTC derivatives</w:t>
        </w:r>
        <w:r w:rsidR="0070559D">
          <w:rPr>
            <w:webHidden/>
          </w:rPr>
          <w:tab/>
        </w:r>
        <w:r w:rsidR="0070559D">
          <w:rPr>
            <w:webHidden/>
          </w:rPr>
          <w:fldChar w:fldCharType="begin"/>
        </w:r>
        <w:r w:rsidR="0070559D">
          <w:rPr>
            <w:webHidden/>
          </w:rPr>
          <w:instrText xml:space="preserve"> PAGEREF _Toc57146510 \h </w:instrText>
        </w:r>
        <w:r w:rsidR="0070559D">
          <w:rPr>
            <w:webHidden/>
          </w:rPr>
        </w:r>
        <w:r w:rsidR="0070559D">
          <w:rPr>
            <w:webHidden/>
          </w:rPr>
          <w:fldChar w:fldCharType="separate"/>
        </w:r>
        <w:r w:rsidR="00314C7E">
          <w:rPr>
            <w:webHidden/>
          </w:rPr>
          <w:t>100</w:t>
        </w:r>
        <w:r w:rsidR="0070559D">
          <w:rPr>
            <w:webHidden/>
          </w:rPr>
          <w:fldChar w:fldCharType="end"/>
        </w:r>
      </w:hyperlink>
    </w:p>
    <w:p w14:paraId="617C8ECA" w14:textId="3C36E46A" w:rsidR="0070559D" w:rsidRDefault="007055A5">
      <w:pPr>
        <w:pStyle w:val="TOC2"/>
        <w:rPr>
          <w:rFonts w:asciiTheme="minorHAnsi" w:eastAsiaTheme="minorEastAsia" w:hAnsiTheme="minorHAnsi" w:cstheme="minorBidi"/>
          <w:sz w:val="22"/>
          <w:szCs w:val="22"/>
        </w:rPr>
      </w:pPr>
      <w:hyperlink w:anchor="_Toc57146511" w:history="1">
        <w:r w:rsidR="0070559D" w:rsidRPr="00710C9A">
          <w:rPr>
            <w:rStyle w:val="Hyperlink"/>
            <w:lang w:val="en"/>
          </w:rPr>
          <w:t>Rule 1.2.5 Reporting entities and reportable transactions</w:t>
        </w:r>
        <w:r w:rsidR="0070559D">
          <w:rPr>
            <w:webHidden/>
          </w:rPr>
          <w:tab/>
        </w:r>
        <w:r w:rsidR="0070559D">
          <w:rPr>
            <w:webHidden/>
          </w:rPr>
          <w:fldChar w:fldCharType="begin"/>
        </w:r>
        <w:r w:rsidR="0070559D">
          <w:rPr>
            <w:webHidden/>
          </w:rPr>
          <w:instrText xml:space="preserve"> PAGEREF _Toc57146511 \h </w:instrText>
        </w:r>
        <w:r w:rsidR="0070559D">
          <w:rPr>
            <w:webHidden/>
          </w:rPr>
        </w:r>
        <w:r w:rsidR="0070559D">
          <w:rPr>
            <w:webHidden/>
          </w:rPr>
          <w:fldChar w:fldCharType="separate"/>
        </w:r>
        <w:r w:rsidR="00314C7E">
          <w:rPr>
            <w:webHidden/>
          </w:rPr>
          <w:t>106</w:t>
        </w:r>
        <w:r w:rsidR="0070559D">
          <w:rPr>
            <w:webHidden/>
          </w:rPr>
          <w:fldChar w:fldCharType="end"/>
        </w:r>
      </w:hyperlink>
    </w:p>
    <w:p w14:paraId="027ED1EC" w14:textId="1F9DB200" w:rsidR="0070559D" w:rsidRDefault="007055A5">
      <w:pPr>
        <w:pStyle w:val="TOC1"/>
        <w:rPr>
          <w:rFonts w:asciiTheme="minorHAnsi" w:eastAsiaTheme="minorEastAsia" w:hAnsiTheme="minorHAnsi" w:cstheme="minorBidi"/>
          <w:b w:val="0"/>
          <w:sz w:val="22"/>
          <w:szCs w:val="22"/>
        </w:rPr>
      </w:pPr>
      <w:hyperlink w:anchor="_Toc57146512" w:history="1">
        <w:r w:rsidR="0070559D" w:rsidRPr="00710C9A">
          <w:rPr>
            <w:rStyle w:val="Hyperlink"/>
          </w:rPr>
          <w:t>H</w:t>
        </w:r>
        <w:r w:rsidR="0070559D">
          <w:rPr>
            <w:rFonts w:asciiTheme="minorHAnsi" w:eastAsiaTheme="minorEastAsia" w:hAnsiTheme="minorHAnsi" w:cstheme="minorBidi"/>
            <w:b w:val="0"/>
            <w:sz w:val="22"/>
            <w:szCs w:val="22"/>
          </w:rPr>
          <w:tab/>
        </w:r>
        <w:r w:rsidR="0070559D" w:rsidRPr="00710C9A">
          <w:rPr>
            <w:rStyle w:val="Hyperlink"/>
          </w:rPr>
          <w:t>Alternative reporting and delegated reporting</w:t>
        </w:r>
        <w:r w:rsidR="0070559D">
          <w:rPr>
            <w:webHidden/>
          </w:rPr>
          <w:tab/>
        </w:r>
        <w:r w:rsidR="0070559D">
          <w:rPr>
            <w:webHidden/>
          </w:rPr>
          <w:fldChar w:fldCharType="begin"/>
        </w:r>
        <w:r w:rsidR="0070559D">
          <w:rPr>
            <w:webHidden/>
          </w:rPr>
          <w:instrText xml:space="preserve"> PAGEREF _Toc57146512 \h </w:instrText>
        </w:r>
        <w:r w:rsidR="0070559D">
          <w:rPr>
            <w:webHidden/>
          </w:rPr>
        </w:r>
        <w:r w:rsidR="0070559D">
          <w:rPr>
            <w:webHidden/>
          </w:rPr>
          <w:fldChar w:fldCharType="separate"/>
        </w:r>
        <w:r w:rsidR="00314C7E">
          <w:rPr>
            <w:webHidden/>
          </w:rPr>
          <w:t>110</w:t>
        </w:r>
        <w:r w:rsidR="0070559D">
          <w:rPr>
            <w:webHidden/>
          </w:rPr>
          <w:fldChar w:fldCharType="end"/>
        </w:r>
      </w:hyperlink>
    </w:p>
    <w:p w14:paraId="56480BD9" w14:textId="61DE9C95" w:rsidR="0070559D" w:rsidRDefault="007055A5">
      <w:pPr>
        <w:pStyle w:val="TOC2"/>
        <w:rPr>
          <w:rFonts w:asciiTheme="minorHAnsi" w:eastAsiaTheme="minorEastAsia" w:hAnsiTheme="minorHAnsi" w:cstheme="minorBidi"/>
          <w:sz w:val="22"/>
          <w:szCs w:val="22"/>
        </w:rPr>
      </w:pPr>
      <w:hyperlink w:anchor="_Toc57146513" w:history="1">
        <w:r w:rsidR="0070559D" w:rsidRPr="00710C9A">
          <w:rPr>
            <w:rStyle w:val="Hyperlink"/>
          </w:rPr>
          <w:t>Alternative reporting</w:t>
        </w:r>
        <w:r w:rsidR="0070559D">
          <w:rPr>
            <w:webHidden/>
          </w:rPr>
          <w:tab/>
        </w:r>
        <w:r w:rsidR="0070559D">
          <w:rPr>
            <w:webHidden/>
          </w:rPr>
          <w:fldChar w:fldCharType="begin"/>
        </w:r>
        <w:r w:rsidR="0070559D">
          <w:rPr>
            <w:webHidden/>
          </w:rPr>
          <w:instrText xml:space="preserve"> PAGEREF _Toc57146513 \h </w:instrText>
        </w:r>
        <w:r w:rsidR="0070559D">
          <w:rPr>
            <w:webHidden/>
          </w:rPr>
        </w:r>
        <w:r w:rsidR="0070559D">
          <w:rPr>
            <w:webHidden/>
          </w:rPr>
          <w:fldChar w:fldCharType="separate"/>
        </w:r>
        <w:r w:rsidR="00314C7E">
          <w:rPr>
            <w:webHidden/>
          </w:rPr>
          <w:t>110</w:t>
        </w:r>
        <w:r w:rsidR="0070559D">
          <w:rPr>
            <w:webHidden/>
          </w:rPr>
          <w:fldChar w:fldCharType="end"/>
        </w:r>
      </w:hyperlink>
    </w:p>
    <w:p w14:paraId="24FB57C2" w14:textId="451A4B13" w:rsidR="0070559D" w:rsidRDefault="007055A5">
      <w:pPr>
        <w:pStyle w:val="TOC2"/>
        <w:rPr>
          <w:rFonts w:asciiTheme="minorHAnsi" w:eastAsiaTheme="minorEastAsia" w:hAnsiTheme="minorHAnsi" w:cstheme="minorBidi"/>
          <w:sz w:val="22"/>
          <w:szCs w:val="22"/>
        </w:rPr>
      </w:pPr>
      <w:hyperlink w:anchor="_Toc57146514" w:history="1">
        <w:r w:rsidR="0070559D" w:rsidRPr="00710C9A">
          <w:rPr>
            <w:rStyle w:val="Hyperlink"/>
          </w:rPr>
          <w:t>Delegated reporting</w:t>
        </w:r>
        <w:r w:rsidR="0070559D">
          <w:rPr>
            <w:webHidden/>
          </w:rPr>
          <w:tab/>
        </w:r>
        <w:r w:rsidR="0070559D">
          <w:rPr>
            <w:webHidden/>
          </w:rPr>
          <w:fldChar w:fldCharType="begin"/>
        </w:r>
        <w:r w:rsidR="0070559D">
          <w:rPr>
            <w:webHidden/>
          </w:rPr>
          <w:instrText xml:space="preserve"> PAGEREF _Toc57146514 \h </w:instrText>
        </w:r>
        <w:r w:rsidR="0070559D">
          <w:rPr>
            <w:webHidden/>
          </w:rPr>
        </w:r>
        <w:r w:rsidR="0070559D">
          <w:rPr>
            <w:webHidden/>
          </w:rPr>
          <w:fldChar w:fldCharType="separate"/>
        </w:r>
        <w:r w:rsidR="00314C7E">
          <w:rPr>
            <w:webHidden/>
          </w:rPr>
          <w:t>112</w:t>
        </w:r>
        <w:r w:rsidR="0070559D">
          <w:rPr>
            <w:webHidden/>
          </w:rPr>
          <w:fldChar w:fldCharType="end"/>
        </w:r>
      </w:hyperlink>
    </w:p>
    <w:p w14:paraId="59626260" w14:textId="65CE065D" w:rsidR="0070559D" w:rsidRDefault="007055A5">
      <w:pPr>
        <w:pStyle w:val="TOC1"/>
        <w:rPr>
          <w:rFonts w:asciiTheme="minorHAnsi" w:eastAsiaTheme="minorEastAsia" w:hAnsiTheme="minorHAnsi" w:cstheme="minorBidi"/>
          <w:b w:val="0"/>
          <w:sz w:val="22"/>
          <w:szCs w:val="22"/>
        </w:rPr>
      </w:pPr>
      <w:hyperlink w:anchor="_Toc57146515" w:history="1">
        <w:r w:rsidR="0070559D" w:rsidRPr="00710C9A">
          <w:rPr>
            <w:rStyle w:val="Hyperlink"/>
          </w:rPr>
          <w:t>I</w:t>
        </w:r>
        <w:r w:rsidR="0070559D">
          <w:rPr>
            <w:rFonts w:asciiTheme="minorHAnsi" w:eastAsiaTheme="minorEastAsia" w:hAnsiTheme="minorHAnsi" w:cstheme="minorBidi"/>
            <w:b w:val="0"/>
            <w:sz w:val="22"/>
            <w:szCs w:val="22"/>
          </w:rPr>
          <w:tab/>
        </w:r>
        <w:r w:rsidR="0070559D" w:rsidRPr="00710C9A">
          <w:rPr>
            <w:rStyle w:val="Hyperlink"/>
          </w:rPr>
          <w:t>Reporting requirements</w:t>
        </w:r>
        <w:r w:rsidR="0070559D">
          <w:rPr>
            <w:webHidden/>
          </w:rPr>
          <w:tab/>
        </w:r>
        <w:r w:rsidR="0070559D">
          <w:rPr>
            <w:webHidden/>
          </w:rPr>
          <w:fldChar w:fldCharType="begin"/>
        </w:r>
        <w:r w:rsidR="0070559D">
          <w:rPr>
            <w:webHidden/>
          </w:rPr>
          <w:instrText xml:space="preserve"> PAGEREF _Toc57146515 \h </w:instrText>
        </w:r>
        <w:r w:rsidR="0070559D">
          <w:rPr>
            <w:webHidden/>
          </w:rPr>
        </w:r>
        <w:r w:rsidR="0070559D">
          <w:rPr>
            <w:webHidden/>
          </w:rPr>
          <w:fldChar w:fldCharType="separate"/>
        </w:r>
        <w:r w:rsidR="00314C7E">
          <w:rPr>
            <w:webHidden/>
          </w:rPr>
          <w:t>114</w:t>
        </w:r>
        <w:r w:rsidR="0070559D">
          <w:rPr>
            <w:webHidden/>
          </w:rPr>
          <w:fldChar w:fldCharType="end"/>
        </w:r>
      </w:hyperlink>
    </w:p>
    <w:p w14:paraId="2E64DFDB" w14:textId="74505F7B" w:rsidR="0070559D" w:rsidRDefault="007055A5">
      <w:pPr>
        <w:pStyle w:val="TOC2"/>
        <w:rPr>
          <w:rFonts w:asciiTheme="minorHAnsi" w:eastAsiaTheme="minorEastAsia" w:hAnsiTheme="minorHAnsi" w:cstheme="minorBidi"/>
          <w:sz w:val="22"/>
          <w:szCs w:val="22"/>
        </w:rPr>
      </w:pPr>
      <w:hyperlink w:anchor="_Toc57146516" w:history="1">
        <w:r w:rsidR="0070559D" w:rsidRPr="00710C9A">
          <w:rPr>
            <w:rStyle w:val="Hyperlink"/>
          </w:rPr>
          <w:t>Rule 2.2.3 Reporting Requirement—Timing (generally, T+1)</w:t>
        </w:r>
        <w:r w:rsidR="0070559D">
          <w:rPr>
            <w:webHidden/>
          </w:rPr>
          <w:tab/>
        </w:r>
        <w:r w:rsidR="0070559D">
          <w:rPr>
            <w:webHidden/>
          </w:rPr>
          <w:fldChar w:fldCharType="begin"/>
        </w:r>
        <w:r w:rsidR="0070559D">
          <w:rPr>
            <w:webHidden/>
          </w:rPr>
          <w:instrText xml:space="preserve"> PAGEREF _Toc57146516 \h </w:instrText>
        </w:r>
        <w:r w:rsidR="0070559D">
          <w:rPr>
            <w:webHidden/>
          </w:rPr>
        </w:r>
        <w:r w:rsidR="0070559D">
          <w:rPr>
            <w:webHidden/>
          </w:rPr>
          <w:fldChar w:fldCharType="separate"/>
        </w:r>
        <w:r w:rsidR="00314C7E">
          <w:rPr>
            <w:webHidden/>
          </w:rPr>
          <w:t>115</w:t>
        </w:r>
        <w:r w:rsidR="0070559D">
          <w:rPr>
            <w:webHidden/>
          </w:rPr>
          <w:fldChar w:fldCharType="end"/>
        </w:r>
      </w:hyperlink>
    </w:p>
    <w:p w14:paraId="6EECAC5F" w14:textId="26544F71" w:rsidR="0070559D" w:rsidRDefault="007055A5">
      <w:pPr>
        <w:pStyle w:val="TOC2"/>
        <w:rPr>
          <w:rFonts w:asciiTheme="minorHAnsi" w:eastAsiaTheme="minorEastAsia" w:hAnsiTheme="minorHAnsi" w:cstheme="minorBidi"/>
          <w:sz w:val="22"/>
          <w:szCs w:val="22"/>
        </w:rPr>
      </w:pPr>
      <w:hyperlink w:anchor="_Toc57146517" w:history="1">
        <w:r w:rsidR="0070559D" w:rsidRPr="00710C9A">
          <w:rPr>
            <w:rStyle w:val="Hyperlink"/>
          </w:rPr>
          <w:t>Rule 2.2.8 Lifecycle or snapshot reporting</w:t>
        </w:r>
        <w:r w:rsidR="0070559D">
          <w:rPr>
            <w:webHidden/>
          </w:rPr>
          <w:tab/>
        </w:r>
        <w:r w:rsidR="0070559D">
          <w:rPr>
            <w:webHidden/>
          </w:rPr>
          <w:fldChar w:fldCharType="begin"/>
        </w:r>
        <w:r w:rsidR="0070559D">
          <w:rPr>
            <w:webHidden/>
          </w:rPr>
          <w:instrText xml:space="preserve"> PAGEREF _Toc57146517 \h </w:instrText>
        </w:r>
        <w:r w:rsidR="0070559D">
          <w:rPr>
            <w:webHidden/>
          </w:rPr>
        </w:r>
        <w:r w:rsidR="0070559D">
          <w:rPr>
            <w:webHidden/>
          </w:rPr>
          <w:fldChar w:fldCharType="separate"/>
        </w:r>
        <w:r w:rsidR="00314C7E">
          <w:rPr>
            <w:webHidden/>
          </w:rPr>
          <w:t>116</w:t>
        </w:r>
        <w:r w:rsidR="0070559D">
          <w:rPr>
            <w:webHidden/>
          </w:rPr>
          <w:fldChar w:fldCharType="end"/>
        </w:r>
      </w:hyperlink>
    </w:p>
    <w:p w14:paraId="089DB439" w14:textId="27AE9195" w:rsidR="0070559D" w:rsidRDefault="007055A5">
      <w:pPr>
        <w:pStyle w:val="TOC2"/>
        <w:rPr>
          <w:rFonts w:asciiTheme="minorHAnsi" w:eastAsiaTheme="minorEastAsia" w:hAnsiTheme="minorHAnsi" w:cstheme="minorBidi"/>
          <w:sz w:val="22"/>
          <w:szCs w:val="22"/>
        </w:rPr>
      </w:pPr>
      <w:hyperlink w:anchor="_Toc57146518" w:history="1">
        <w:r w:rsidR="0070559D" w:rsidRPr="00710C9A">
          <w:rPr>
            <w:rStyle w:val="Hyperlink"/>
            <w:lang w:val="en"/>
          </w:rPr>
          <w:t>Part 2.4 Transitional Matters and other transitional matters</w:t>
        </w:r>
        <w:r w:rsidR="0070559D">
          <w:rPr>
            <w:webHidden/>
          </w:rPr>
          <w:tab/>
        </w:r>
        <w:r w:rsidR="0070559D">
          <w:rPr>
            <w:webHidden/>
          </w:rPr>
          <w:fldChar w:fldCharType="begin"/>
        </w:r>
        <w:r w:rsidR="0070559D">
          <w:rPr>
            <w:webHidden/>
          </w:rPr>
          <w:instrText xml:space="preserve"> PAGEREF _Toc57146518 \h </w:instrText>
        </w:r>
        <w:r w:rsidR="0070559D">
          <w:rPr>
            <w:webHidden/>
          </w:rPr>
        </w:r>
        <w:r w:rsidR="0070559D">
          <w:rPr>
            <w:webHidden/>
          </w:rPr>
          <w:fldChar w:fldCharType="separate"/>
        </w:r>
        <w:r w:rsidR="00314C7E">
          <w:rPr>
            <w:webHidden/>
          </w:rPr>
          <w:t>117</w:t>
        </w:r>
        <w:r w:rsidR="0070559D">
          <w:rPr>
            <w:webHidden/>
          </w:rPr>
          <w:fldChar w:fldCharType="end"/>
        </w:r>
      </w:hyperlink>
    </w:p>
    <w:p w14:paraId="25179DFD" w14:textId="623B0D86" w:rsidR="0070559D" w:rsidRDefault="007055A5">
      <w:pPr>
        <w:pStyle w:val="TOC1"/>
        <w:rPr>
          <w:rFonts w:asciiTheme="minorHAnsi" w:eastAsiaTheme="minorEastAsia" w:hAnsiTheme="minorHAnsi" w:cstheme="minorBidi"/>
          <w:b w:val="0"/>
          <w:sz w:val="22"/>
          <w:szCs w:val="22"/>
        </w:rPr>
      </w:pPr>
      <w:hyperlink w:anchor="_Toc57146519" w:history="1">
        <w:r w:rsidR="0070559D" w:rsidRPr="00710C9A">
          <w:rPr>
            <w:rStyle w:val="Hyperlink"/>
          </w:rPr>
          <w:t>J</w:t>
        </w:r>
        <w:r w:rsidR="0070559D">
          <w:rPr>
            <w:rFonts w:asciiTheme="minorHAnsi" w:eastAsiaTheme="minorEastAsia" w:hAnsiTheme="minorHAnsi" w:cstheme="minorBidi"/>
            <w:b w:val="0"/>
            <w:sz w:val="22"/>
            <w:szCs w:val="22"/>
          </w:rPr>
          <w:tab/>
        </w:r>
        <w:r w:rsidR="0070559D" w:rsidRPr="00710C9A">
          <w:rPr>
            <w:rStyle w:val="Hyperlink"/>
          </w:rPr>
          <w:t>Outstanding matters</w:t>
        </w:r>
        <w:r w:rsidR="0070559D">
          <w:rPr>
            <w:webHidden/>
          </w:rPr>
          <w:tab/>
        </w:r>
        <w:r w:rsidR="0070559D">
          <w:rPr>
            <w:webHidden/>
          </w:rPr>
          <w:fldChar w:fldCharType="begin"/>
        </w:r>
        <w:r w:rsidR="0070559D">
          <w:rPr>
            <w:webHidden/>
          </w:rPr>
          <w:instrText xml:space="preserve"> PAGEREF _Toc57146519 \h </w:instrText>
        </w:r>
        <w:r w:rsidR="0070559D">
          <w:rPr>
            <w:webHidden/>
          </w:rPr>
        </w:r>
        <w:r w:rsidR="0070559D">
          <w:rPr>
            <w:webHidden/>
          </w:rPr>
          <w:fldChar w:fldCharType="separate"/>
        </w:r>
        <w:r w:rsidR="00314C7E">
          <w:rPr>
            <w:webHidden/>
          </w:rPr>
          <w:t>119</w:t>
        </w:r>
        <w:r w:rsidR="0070559D">
          <w:rPr>
            <w:webHidden/>
          </w:rPr>
          <w:fldChar w:fldCharType="end"/>
        </w:r>
      </w:hyperlink>
    </w:p>
    <w:p w14:paraId="1614BDFE" w14:textId="4516AE5A" w:rsidR="0070559D" w:rsidRDefault="007055A5">
      <w:pPr>
        <w:pStyle w:val="TOC1"/>
        <w:rPr>
          <w:rFonts w:asciiTheme="minorHAnsi" w:eastAsiaTheme="minorEastAsia" w:hAnsiTheme="minorHAnsi" w:cstheme="minorBidi"/>
          <w:b w:val="0"/>
          <w:sz w:val="22"/>
          <w:szCs w:val="22"/>
        </w:rPr>
      </w:pPr>
      <w:hyperlink w:anchor="_Toc57146520" w:history="1">
        <w:r w:rsidR="0070559D" w:rsidRPr="00710C9A">
          <w:rPr>
            <w:rStyle w:val="Hyperlink"/>
          </w:rPr>
          <w:t>K</w:t>
        </w:r>
        <w:r w:rsidR="0070559D">
          <w:rPr>
            <w:rFonts w:asciiTheme="minorHAnsi" w:eastAsiaTheme="minorEastAsia" w:hAnsiTheme="minorHAnsi" w:cstheme="minorBidi"/>
            <w:b w:val="0"/>
            <w:sz w:val="22"/>
            <w:szCs w:val="22"/>
          </w:rPr>
          <w:tab/>
        </w:r>
        <w:r w:rsidR="0070559D" w:rsidRPr="00710C9A">
          <w:rPr>
            <w:rStyle w:val="Hyperlink"/>
          </w:rPr>
          <w:t>Regulatory and financial impact</w:t>
        </w:r>
        <w:r w:rsidR="0070559D">
          <w:rPr>
            <w:webHidden/>
          </w:rPr>
          <w:tab/>
        </w:r>
        <w:r w:rsidR="0070559D">
          <w:rPr>
            <w:webHidden/>
          </w:rPr>
          <w:fldChar w:fldCharType="begin"/>
        </w:r>
        <w:r w:rsidR="0070559D">
          <w:rPr>
            <w:webHidden/>
          </w:rPr>
          <w:instrText xml:space="preserve"> PAGEREF _Toc57146520 \h </w:instrText>
        </w:r>
        <w:r w:rsidR="0070559D">
          <w:rPr>
            <w:webHidden/>
          </w:rPr>
        </w:r>
        <w:r w:rsidR="0070559D">
          <w:rPr>
            <w:webHidden/>
          </w:rPr>
          <w:fldChar w:fldCharType="separate"/>
        </w:r>
        <w:r w:rsidR="00314C7E">
          <w:rPr>
            <w:webHidden/>
          </w:rPr>
          <w:t>120</w:t>
        </w:r>
        <w:r w:rsidR="0070559D">
          <w:rPr>
            <w:webHidden/>
          </w:rPr>
          <w:fldChar w:fldCharType="end"/>
        </w:r>
      </w:hyperlink>
    </w:p>
    <w:p w14:paraId="34C96CE6" w14:textId="2A7943ED" w:rsidR="0070559D" w:rsidRDefault="007055A5">
      <w:pPr>
        <w:pStyle w:val="TOC1"/>
        <w:rPr>
          <w:rFonts w:asciiTheme="minorHAnsi" w:eastAsiaTheme="minorEastAsia" w:hAnsiTheme="minorHAnsi" w:cstheme="minorBidi"/>
          <w:b w:val="0"/>
          <w:sz w:val="22"/>
          <w:szCs w:val="22"/>
        </w:rPr>
      </w:pPr>
      <w:hyperlink w:anchor="_Toc57146521" w:history="1">
        <w:r w:rsidR="0070559D" w:rsidRPr="00710C9A">
          <w:rPr>
            <w:rStyle w:val="Hyperlink"/>
          </w:rPr>
          <w:t>Key terms</w:t>
        </w:r>
        <w:r w:rsidR="0070559D">
          <w:rPr>
            <w:webHidden/>
          </w:rPr>
          <w:tab/>
        </w:r>
        <w:r w:rsidR="0070559D">
          <w:rPr>
            <w:webHidden/>
          </w:rPr>
          <w:fldChar w:fldCharType="begin"/>
        </w:r>
        <w:r w:rsidR="0070559D">
          <w:rPr>
            <w:webHidden/>
          </w:rPr>
          <w:instrText xml:space="preserve"> PAGEREF _Toc57146521 \h </w:instrText>
        </w:r>
        <w:r w:rsidR="0070559D">
          <w:rPr>
            <w:webHidden/>
          </w:rPr>
        </w:r>
        <w:r w:rsidR="0070559D">
          <w:rPr>
            <w:webHidden/>
          </w:rPr>
          <w:fldChar w:fldCharType="separate"/>
        </w:r>
        <w:r w:rsidR="00314C7E">
          <w:rPr>
            <w:webHidden/>
          </w:rPr>
          <w:t>121</w:t>
        </w:r>
        <w:r w:rsidR="0070559D">
          <w:rPr>
            <w:webHidden/>
          </w:rPr>
          <w:fldChar w:fldCharType="end"/>
        </w:r>
      </w:hyperlink>
    </w:p>
    <w:p w14:paraId="2E63932A" w14:textId="0659EB92" w:rsidR="0070559D" w:rsidRDefault="007055A5">
      <w:pPr>
        <w:pStyle w:val="TOC1"/>
        <w:rPr>
          <w:rFonts w:asciiTheme="minorHAnsi" w:eastAsiaTheme="minorEastAsia" w:hAnsiTheme="minorHAnsi" w:cstheme="minorBidi"/>
          <w:b w:val="0"/>
          <w:sz w:val="22"/>
          <w:szCs w:val="22"/>
        </w:rPr>
      </w:pPr>
      <w:hyperlink w:anchor="_Toc57146522" w:history="1">
        <w:r w:rsidR="0070559D" w:rsidRPr="00710C9A">
          <w:rPr>
            <w:rStyle w:val="Hyperlink"/>
          </w:rPr>
          <w:t>List of proposals and questions</w:t>
        </w:r>
        <w:r w:rsidR="0070559D">
          <w:rPr>
            <w:webHidden/>
          </w:rPr>
          <w:tab/>
        </w:r>
        <w:r w:rsidR="0070559D">
          <w:rPr>
            <w:webHidden/>
          </w:rPr>
          <w:fldChar w:fldCharType="begin"/>
        </w:r>
        <w:r w:rsidR="0070559D">
          <w:rPr>
            <w:webHidden/>
          </w:rPr>
          <w:instrText xml:space="preserve"> PAGEREF _Toc57146522 \h </w:instrText>
        </w:r>
        <w:r w:rsidR="0070559D">
          <w:rPr>
            <w:webHidden/>
          </w:rPr>
        </w:r>
        <w:r w:rsidR="0070559D">
          <w:rPr>
            <w:webHidden/>
          </w:rPr>
          <w:fldChar w:fldCharType="separate"/>
        </w:r>
        <w:r w:rsidR="00314C7E">
          <w:rPr>
            <w:webHidden/>
          </w:rPr>
          <w:t>125</w:t>
        </w:r>
        <w:r w:rsidR="0070559D">
          <w:rPr>
            <w:webHidden/>
          </w:rPr>
          <w:fldChar w:fldCharType="end"/>
        </w:r>
      </w:hyperlink>
    </w:p>
    <w:p w14:paraId="71CA5E8C" w14:textId="18F8EEFF" w:rsidR="004D2B37" w:rsidRDefault="004D2B37">
      <w:pPr>
        <w:pStyle w:val="Bodytextplain"/>
        <w:rPr>
          <w:noProof/>
        </w:rPr>
      </w:pPr>
      <w:r>
        <w:rPr>
          <w:rFonts w:ascii="HelveticaNeue LT 55 Roman" w:hAnsi="HelveticaNeue LT 55 Roman" w:cs="Arial"/>
          <w:noProof/>
          <w:color w:val="000000" w:themeColor="text1"/>
          <w:sz w:val="20"/>
          <w:szCs w:val="20"/>
        </w:rPr>
        <w:fldChar w:fldCharType="end"/>
      </w:r>
    </w:p>
    <w:p w14:paraId="7B9A04BC" w14:textId="77777777" w:rsidR="004D2B37" w:rsidRDefault="004D2B37" w:rsidP="00355775">
      <w:pPr>
        <w:pStyle w:val="Heading1nonumber"/>
      </w:pPr>
      <w:bookmarkStart w:id="1" w:name="_Toc153171472"/>
      <w:bookmarkStart w:id="2" w:name="_Toc158520462"/>
      <w:bookmarkStart w:id="3" w:name="_Toc164436789"/>
      <w:bookmarkStart w:id="4" w:name="_Toc57146465"/>
      <w:r>
        <w:lastRenderedPageBreak/>
        <w:t xml:space="preserve">The consultation </w:t>
      </w:r>
      <w:proofErr w:type="gramStart"/>
      <w:r>
        <w:t>process</w:t>
      </w:r>
      <w:bookmarkEnd w:id="1"/>
      <w:bookmarkEnd w:id="2"/>
      <w:bookmarkEnd w:id="3"/>
      <w:bookmarkEnd w:id="4"/>
      <w:proofErr w:type="gramEnd"/>
    </w:p>
    <w:p w14:paraId="5EB4A571" w14:textId="77777777" w:rsidR="004D2B37" w:rsidRDefault="004D2B37" w:rsidP="00405E83">
      <w:pPr>
        <w:pStyle w:val="Fronttext"/>
        <w:spacing w:before="0"/>
      </w:pPr>
      <w:bookmarkStart w:id="5" w:name="ConsultationProcess"/>
      <w:bookmarkEnd w:id="5"/>
      <w:r>
        <w:t xml:space="preserve">You are invited to comment on the proposals in this paper, which are only an indication of the approach we may take and are not our final policy. </w:t>
      </w:r>
    </w:p>
    <w:p w14:paraId="533BD7B6" w14:textId="77777777" w:rsidR="004D2B37" w:rsidRDefault="004D2B37">
      <w:pPr>
        <w:pStyle w:val="Fronttext"/>
      </w:pPr>
      <w:r>
        <w:t>As well as responding to the specific proposals and questions, we also ask you to describe any alternative approaches you think would achieve our objectives.</w:t>
      </w:r>
    </w:p>
    <w:p w14:paraId="39CF3E07" w14:textId="77777777" w:rsidR="004D2B37" w:rsidRPr="00013685" w:rsidRDefault="004D2B37">
      <w:pPr>
        <w:pStyle w:val="Fronttext"/>
      </w:pPr>
      <w:r w:rsidRPr="00013685">
        <w:t>We are keen to fully understand and assess the financial and other impacts of our proposals and any alternative approaches. Therefore, we ask you to comment on:</w:t>
      </w:r>
    </w:p>
    <w:p w14:paraId="5E8B755F" w14:textId="0E53BC6B" w:rsidR="004D2B37" w:rsidRPr="00013685" w:rsidRDefault="004D2B37">
      <w:pPr>
        <w:pStyle w:val="Frontbullet"/>
      </w:pPr>
      <w:r w:rsidRPr="00013685">
        <w:t>the likely compliance costs;</w:t>
      </w:r>
    </w:p>
    <w:p w14:paraId="2722ADC2" w14:textId="77777777" w:rsidR="004D2B37" w:rsidRDefault="004D2B37">
      <w:pPr>
        <w:pStyle w:val="Frontbullet"/>
      </w:pPr>
      <w:r>
        <w:t>the likely effect on competition; and</w:t>
      </w:r>
    </w:p>
    <w:p w14:paraId="7870A2B2" w14:textId="77777777" w:rsidR="004D2B37" w:rsidRDefault="004D2B37">
      <w:pPr>
        <w:pStyle w:val="Frontbullet"/>
      </w:pPr>
      <w:r>
        <w:t>other impacts, costs and benefits.</w:t>
      </w:r>
    </w:p>
    <w:p w14:paraId="141E81D9" w14:textId="77777777" w:rsidR="004D2B37" w:rsidRDefault="004D2B37" w:rsidP="00355775">
      <w:pPr>
        <w:pStyle w:val="Frontbullet"/>
        <w:numPr>
          <w:ilvl w:val="0"/>
          <w:numId w:val="0"/>
        </w:numPr>
        <w:ind w:left="2268"/>
      </w:pPr>
      <w:r>
        <w:t>Where possible, we are seeking both quantitative and qualitative information. We are also keen to hear from you on any other issues you consider important.</w:t>
      </w:r>
    </w:p>
    <w:p w14:paraId="71682CFB" w14:textId="2A4CD653" w:rsidR="004D2B37" w:rsidRDefault="004D2B37">
      <w:pPr>
        <w:pStyle w:val="Fronttext"/>
      </w:pPr>
      <w:bookmarkStart w:id="6" w:name="_Hlk57040605"/>
      <w:r>
        <w:t xml:space="preserve">Your comments will help us develop our policy on </w:t>
      </w:r>
      <w:r w:rsidR="00D23F3C">
        <w:t>OTC derivative transaction reporting requirements</w:t>
      </w:r>
      <w:r>
        <w:t xml:space="preserve">. In particular, any information about compliance costs, impacts on competition and other impacts, costs and benefits will be </w:t>
      </w:r>
      <w:proofErr w:type="gramStart"/>
      <w:r>
        <w:t>taken into account</w:t>
      </w:r>
      <w:proofErr w:type="gramEnd"/>
      <w:r>
        <w:t xml:space="preserve"> if we prepare a Regulation Impact Statement: see </w:t>
      </w:r>
      <w:r w:rsidRPr="00E90C71">
        <w:t xml:space="preserve">Section </w:t>
      </w:r>
      <w:r>
        <w:fldChar w:fldCharType="begin"/>
      </w:r>
      <w:r>
        <w:instrText xml:space="preserve"> REF _Ref306270861 \r \h  \* MERGEFORMAT </w:instrText>
      </w:r>
      <w:r>
        <w:fldChar w:fldCharType="separate"/>
      </w:r>
      <w:r w:rsidR="00314C7E">
        <w:t>K</w:t>
      </w:r>
      <w:r>
        <w:fldChar w:fldCharType="end"/>
      </w:r>
      <w:r w:rsidRPr="00E90C71">
        <w:t xml:space="preserve">, </w:t>
      </w:r>
      <w:r>
        <w:t xml:space="preserve">‘Regulatory and financial impact’. </w:t>
      </w:r>
    </w:p>
    <w:bookmarkEnd w:id="6"/>
    <w:p w14:paraId="4492A081" w14:textId="77777777" w:rsidR="004D2B37" w:rsidRDefault="004D2B37" w:rsidP="00355775">
      <w:pPr>
        <w:pStyle w:val="Heading2indented"/>
      </w:pPr>
      <w:r>
        <w:t>Making a submission</w:t>
      </w:r>
    </w:p>
    <w:p w14:paraId="48245080" w14:textId="77777777" w:rsidR="004D2B37" w:rsidRDefault="004D2B37" w:rsidP="00355775">
      <w:pPr>
        <w:pStyle w:val="Fronttext"/>
      </w:pPr>
      <w:r w:rsidRPr="00284D17">
        <w:t xml:space="preserve">You may choose to remain anonymous or use an alias when making a submission. However, if you do remain </w:t>
      </w:r>
      <w:proofErr w:type="gramStart"/>
      <w:r w:rsidRPr="00284D17">
        <w:t>anonymous</w:t>
      </w:r>
      <w:proofErr w:type="gramEnd"/>
      <w:r w:rsidRPr="00284D17">
        <w:t xml:space="preserve"> we will not be able to contact you to discuss your submission should we need to.</w:t>
      </w:r>
    </w:p>
    <w:p w14:paraId="34311DF6" w14:textId="77777777" w:rsidR="004D2B37" w:rsidRDefault="004D2B37" w:rsidP="00355775">
      <w:pPr>
        <w:pStyle w:val="Fronttext"/>
      </w:pPr>
      <w:r>
        <w:t>Please note we will not treat your submission as confidential unless you specifically request that we treat the whole or part of it (such as any personal or financial information) as confidential.</w:t>
      </w:r>
    </w:p>
    <w:p w14:paraId="5B572994" w14:textId="614EDDD5" w:rsidR="004D2B37" w:rsidRDefault="004D2B37" w:rsidP="00355775">
      <w:pPr>
        <w:pStyle w:val="Fronttext"/>
      </w:pPr>
      <w:r w:rsidRPr="00284D17">
        <w:t xml:space="preserve">Please refer to our </w:t>
      </w:r>
      <w:hyperlink r:id="rId19" w:history="1">
        <w:r w:rsidRPr="00D226BE">
          <w:rPr>
            <w:rStyle w:val="Hyperlink"/>
          </w:rPr>
          <w:t>privacy policy</w:t>
        </w:r>
      </w:hyperlink>
      <w:r w:rsidRPr="00284D17">
        <w:t xml:space="preserve"> for more information </w:t>
      </w:r>
      <w:r>
        <w:t>on</w:t>
      </w:r>
      <w:r w:rsidRPr="00284D17">
        <w:t xml:space="preserve"> how we handle personal information, your rights to seek access to and correct personal information, and your right to complain about breaches of privacy by ASIC.</w:t>
      </w:r>
    </w:p>
    <w:p w14:paraId="39E2E9FC" w14:textId="0C4E702A" w:rsidR="004D2B37" w:rsidRDefault="004D2B37">
      <w:pPr>
        <w:pStyle w:val="Fronttext"/>
        <w:keepNext/>
      </w:pPr>
      <w:r>
        <w:t xml:space="preserve">Comments should be sent by </w:t>
      </w:r>
      <w:r w:rsidR="0034081E">
        <w:t>1 March 2021</w:t>
      </w:r>
      <w:r>
        <w:t xml:space="preserve"> to:</w:t>
      </w:r>
    </w:p>
    <w:p w14:paraId="373C3F10" w14:textId="77777777" w:rsidR="00E557A8" w:rsidRDefault="00C26390" w:rsidP="00355775">
      <w:pPr>
        <w:pStyle w:val="Fronttext"/>
        <w:keepNext/>
        <w:spacing w:before="100"/>
        <w:ind w:left="2693"/>
      </w:pPr>
      <w:r>
        <w:t>Craig McBurnie</w:t>
      </w:r>
    </w:p>
    <w:p w14:paraId="60820555" w14:textId="77777777" w:rsidR="00E557A8" w:rsidRDefault="00E557A8">
      <w:pPr>
        <w:pStyle w:val="Fronttext"/>
        <w:keepNext/>
        <w:spacing w:before="20"/>
        <w:ind w:left="2693"/>
      </w:pPr>
      <w:r>
        <w:t>Senior Analyst</w:t>
      </w:r>
    </w:p>
    <w:p w14:paraId="4CB34766" w14:textId="2EAF0FEF" w:rsidR="004D2B37" w:rsidRDefault="00E557A8">
      <w:pPr>
        <w:pStyle w:val="Fronttext"/>
        <w:keepNext/>
        <w:spacing w:before="20"/>
        <w:ind w:left="2693"/>
      </w:pPr>
      <w:r>
        <w:t>Market Infrastructure</w:t>
      </w:r>
    </w:p>
    <w:p w14:paraId="14C6FB89" w14:textId="77777777" w:rsidR="004D2B37" w:rsidRDefault="004D2B37">
      <w:pPr>
        <w:pStyle w:val="Fronttext"/>
        <w:spacing w:before="20"/>
        <w:ind w:left="2693"/>
      </w:pPr>
      <w:r>
        <w:t>Australian Securities and Investments Commission</w:t>
      </w:r>
    </w:p>
    <w:p w14:paraId="26A58804" w14:textId="77777777" w:rsidR="00E557A8" w:rsidRDefault="00E557A8">
      <w:pPr>
        <w:pStyle w:val="Fronttext"/>
        <w:spacing w:before="20"/>
        <w:ind w:left="2693"/>
      </w:pPr>
      <w:r w:rsidRPr="00E557A8">
        <w:t xml:space="preserve">Level 5, 100 Market Street, Sydney, NSW 2000 </w:t>
      </w:r>
    </w:p>
    <w:p w14:paraId="4FEACDFA" w14:textId="29A111BE" w:rsidR="004D2B37" w:rsidRDefault="00E557A8">
      <w:pPr>
        <w:pStyle w:val="Fronttext"/>
        <w:spacing w:before="20"/>
        <w:ind w:left="2693"/>
      </w:pPr>
      <w:r>
        <w:t>E</w:t>
      </w:r>
      <w:r w:rsidR="004D2B37">
        <w:t>mail:</w:t>
      </w:r>
      <w:r>
        <w:t xml:space="preserve"> </w:t>
      </w:r>
      <w:hyperlink r:id="rId20" w:history="1">
        <w:r w:rsidRPr="00E557A8">
          <w:rPr>
            <w:rStyle w:val="Hyperlink"/>
          </w:rPr>
          <w:t>otcd@asic.gov.au</w:t>
        </w:r>
      </w:hyperlink>
    </w:p>
    <w:p w14:paraId="7DECC6CF" w14:textId="0F13A465" w:rsidR="004D2B37" w:rsidRDefault="004D2B37" w:rsidP="00355775">
      <w:pPr>
        <w:pStyle w:val="Heading2indented"/>
        <w:spacing w:after="240"/>
      </w:pPr>
      <w:bookmarkStart w:id="7" w:name="_Toc152037861"/>
      <w:bookmarkStart w:id="8" w:name="_Ref154450000"/>
      <w:r>
        <w:br w:type="page"/>
      </w:r>
      <w:r>
        <w:lastRenderedPageBreak/>
        <w:t>What will happen next?</w:t>
      </w:r>
      <w:bookmarkEnd w:id="7"/>
    </w:p>
    <w:tbl>
      <w:tblPr>
        <w:tblW w:w="6804" w:type="dxa"/>
        <w:tblInd w:w="2268" w:type="dxa"/>
        <w:tblBorders>
          <w:top w:val="single" w:sz="4" w:space="0" w:color="999999"/>
          <w:bottom w:val="single" w:sz="4" w:space="0" w:color="999999"/>
          <w:insideH w:val="single" w:sz="4" w:space="0" w:color="999999"/>
        </w:tblBorders>
        <w:tblLayout w:type="fixed"/>
        <w:tblCellMar>
          <w:bottom w:w="85" w:type="dxa"/>
        </w:tblCellMar>
        <w:tblLook w:val="0080" w:firstRow="0" w:lastRow="0" w:firstColumn="1" w:lastColumn="0" w:noHBand="0" w:noVBand="0"/>
      </w:tblPr>
      <w:tblGrid>
        <w:gridCol w:w="1276"/>
        <w:gridCol w:w="1843"/>
        <w:gridCol w:w="3685"/>
      </w:tblGrid>
      <w:tr w:rsidR="00E871BD" w14:paraId="74A9196F" w14:textId="77777777" w:rsidTr="005E529F">
        <w:trPr>
          <w:cantSplit/>
        </w:trPr>
        <w:tc>
          <w:tcPr>
            <w:tcW w:w="1276" w:type="dxa"/>
            <w:shd w:val="clear" w:color="auto" w:fill="C2E3FA"/>
          </w:tcPr>
          <w:p w14:paraId="6F62EE7B" w14:textId="77777777" w:rsidR="00E871BD" w:rsidRDefault="00E871BD" w:rsidP="00020D19">
            <w:pPr>
              <w:pStyle w:val="tablehead"/>
            </w:pPr>
            <w:r>
              <w:t>Stage 1</w:t>
            </w:r>
          </w:p>
        </w:tc>
        <w:tc>
          <w:tcPr>
            <w:tcW w:w="1843" w:type="dxa"/>
          </w:tcPr>
          <w:p w14:paraId="4163D78D" w14:textId="7DB3D53D" w:rsidR="00E871BD" w:rsidRDefault="00E871BD" w:rsidP="00020D19">
            <w:pPr>
              <w:pStyle w:val="tabletext"/>
            </w:pPr>
            <w:r>
              <w:t>27 November 2020</w:t>
            </w:r>
          </w:p>
        </w:tc>
        <w:tc>
          <w:tcPr>
            <w:tcW w:w="3685" w:type="dxa"/>
          </w:tcPr>
          <w:p w14:paraId="2E51013C" w14:textId="01A983D2" w:rsidR="00E871BD" w:rsidRDefault="00E871BD" w:rsidP="00020D19">
            <w:pPr>
              <w:pStyle w:val="tabletext"/>
            </w:pPr>
            <w:r>
              <w:t>ASIC’s first consultation paper released</w:t>
            </w:r>
          </w:p>
        </w:tc>
      </w:tr>
      <w:tr w:rsidR="00E871BD" w14:paraId="28BAE3DE" w14:textId="77777777" w:rsidTr="005E529F">
        <w:trPr>
          <w:cantSplit/>
          <w:trHeight w:val="340"/>
        </w:trPr>
        <w:tc>
          <w:tcPr>
            <w:tcW w:w="1276" w:type="dxa"/>
            <w:shd w:val="clear" w:color="auto" w:fill="C2E3FA"/>
          </w:tcPr>
          <w:p w14:paraId="1641B1D6" w14:textId="77777777" w:rsidR="00E871BD" w:rsidRDefault="00E871BD" w:rsidP="00020D19">
            <w:pPr>
              <w:pStyle w:val="tablehead"/>
            </w:pPr>
            <w:r>
              <w:t>Stage 2</w:t>
            </w:r>
          </w:p>
        </w:tc>
        <w:tc>
          <w:tcPr>
            <w:tcW w:w="1843" w:type="dxa"/>
          </w:tcPr>
          <w:p w14:paraId="7150119E" w14:textId="5C957EF2" w:rsidR="00E871BD" w:rsidRDefault="00E871BD" w:rsidP="00020D19">
            <w:pPr>
              <w:pStyle w:val="tabletext"/>
            </w:pPr>
            <w:r>
              <w:t>1 March 2021</w:t>
            </w:r>
          </w:p>
        </w:tc>
        <w:tc>
          <w:tcPr>
            <w:tcW w:w="3685" w:type="dxa"/>
          </w:tcPr>
          <w:p w14:paraId="27C0C10D" w14:textId="696A4F35" w:rsidR="00E871BD" w:rsidRDefault="00E871BD" w:rsidP="00020D19">
            <w:pPr>
              <w:pStyle w:val="tabletext"/>
            </w:pPr>
            <w:r>
              <w:t>Comments due on the first consultation paper</w:t>
            </w:r>
          </w:p>
        </w:tc>
      </w:tr>
      <w:tr w:rsidR="00E871BD" w14:paraId="1829DA40" w14:textId="77777777" w:rsidTr="005E529F">
        <w:trPr>
          <w:cantSplit/>
          <w:trHeight w:val="340"/>
        </w:trPr>
        <w:tc>
          <w:tcPr>
            <w:tcW w:w="1276" w:type="dxa"/>
            <w:shd w:val="clear" w:color="auto" w:fill="C2E3FA"/>
          </w:tcPr>
          <w:p w14:paraId="790B7AD6" w14:textId="7C4433B6" w:rsidR="00E871BD" w:rsidRDefault="00E871BD" w:rsidP="00020D19">
            <w:pPr>
              <w:pStyle w:val="tablehead"/>
            </w:pPr>
            <w:r>
              <w:t>Stage 3</w:t>
            </w:r>
          </w:p>
        </w:tc>
        <w:tc>
          <w:tcPr>
            <w:tcW w:w="1843" w:type="dxa"/>
          </w:tcPr>
          <w:p w14:paraId="48745CC0" w14:textId="1A4DB146" w:rsidR="00E871BD" w:rsidRDefault="00E871BD" w:rsidP="00020D19">
            <w:pPr>
              <w:pStyle w:val="tabletext"/>
            </w:pPr>
            <w:r>
              <w:t>30 April 2021</w:t>
            </w:r>
          </w:p>
        </w:tc>
        <w:tc>
          <w:tcPr>
            <w:tcW w:w="3685" w:type="dxa"/>
          </w:tcPr>
          <w:p w14:paraId="33171914" w14:textId="7C7548CC" w:rsidR="00E871BD" w:rsidRDefault="00E871BD" w:rsidP="00020D19">
            <w:pPr>
              <w:pStyle w:val="tabletext"/>
            </w:pPr>
            <w:r>
              <w:t>ASIC’s second consultation paper released</w:t>
            </w:r>
          </w:p>
        </w:tc>
      </w:tr>
      <w:tr w:rsidR="00E871BD" w14:paraId="649F68D8" w14:textId="77777777" w:rsidTr="005E529F">
        <w:trPr>
          <w:cantSplit/>
          <w:trHeight w:val="340"/>
        </w:trPr>
        <w:tc>
          <w:tcPr>
            <w:tcW w:w="1276" w:type="dxa"/>
            <w:shd w:val="clear" w:color="auto" w:fill="C2E3FA"/>
          </w:tcPr>
          <w:p w14:paraId="7F802835" w14:textId="21B56FCB" w:rsidR="00E871BD" w:rsidRDefault="00E871BD" w:rsidP="00020D19">
            <w:pPr>
              <w:pStyle w:val="tablehead"/>
            </w:pPr>
            <w:r>
              <w:t>Stage 4</w:t>
            </w:r>
          </w:p>
        </w:tc>
        <w:tc>
          <w:tcPr>
            <w:tcW w:w="1843" w:type="dxa"/>
          </w:tcPr>
          <w:p w14:paraId="72936E4A" w14:textId="6387A36B" w:rsidR="00E871BD" w:rsidRDefault="00E871BD" w:rsidP="00020D19">
            <w:pPr>
              <w:pStyle w:val="tabletext"/>
            </w:pPr>
            <w:r>
              <w:t>30 June 2021</w:t>
            </w:r>
          </w:p>
        </w:tc>
        <w:tc>
          <w:tcPr>
            <w:tcW w:w="3685" w:type="dxa"/>
          </w:tcPr>
          <w:p w14:paraId="1CFB0299" w14:textId="2097C467" w:rsidR="00E871BD" w:rsidRDefault="00E871BD" w:rsidP="00020D19">
            <w:pPr>
              <w:pStyle w:val="tabletext"/>
            </w:pPr>
            <w:r>
              <w:t>Comments due on the second consultation paper</w:t>
            </w:r>
          </w:p>
        </w:tc>
      </w:tr>
      <w:tr w:rsidR="00E871BD" w14:paraId="68D250C8" w14:textId="77777777" w:rsidTr="005E529F">
        <w:trPr>
          <w:cantSplit/>
          <w:trHeight w:val="340"/>
        </w:trPr>
        <w:tc>
          <w:tcPr>
            <w:tcW w:w="1276" w:type="dxa"/>
            <w:shd w:val="clear" w:color="auto" w:fill="C2E3FA"/>
          </w:tcPr>
          <w:p w14:paraId="3FA89D57" w14:textId="2F750472" w:rsidR="00E871BD" w:rsidRDefault="00E871BD" w:rsidP="00020D19">
            <w:pPr>
              <w:pStyle w:val="tablehead"/>
            </w:pPr>
            <w:r>
              <w:t>Stage 5</w:t>
            </w:r>
          </w:p>
        </w:tc>
        <w:tc>
          <w:tcPr>
            <w:tcW w:w="1843" w:type="dxa"/>
          </w:tcPr>
          <w:p w14:paraId="42A8E135" w14:textId="25D1383A" w:rsidR="00E871BD" w:rsidRDefault="00E871BD" w:rsidP="00020D19">
            <w:pPr>
              <w:pStyle w:val="tabletext"/>
            </w:pPr>
            <w:r>
              <w:t>Q3–Q4 2021</w:t>
            </w:r>
          </w:p>
        </w:tc>
        <w:tc>
          <w:tcPr>
            <w:tcW w:w="3685" w:type="dxa"/>
          </w:tcPr>
          <w:p w14:paraId="63D4767C" w14:textId="6EF19FE5" w:rsidR="00E871BD" w:rsidRDefault="00E871BD" w:rsidP="00020D19">
            <w:pPr>
              <w:pStyle w:val="tabletext"/>
            </w:pPr>
            <w:r>
              <w:t>Amended rules made, feedback report released and regulatory guide amended</w:t>
            </w:r>
          </w:p>
        </w:tc>
      </w:tr>
      <w:tr w:rsidR="00E871BD" w14:paraId="1725FD38" w14:textId="77777777" w:rsidTr="005E529F">
        <w:trPr>
          <w:cantSplit/>
        </w:trPr>
        <w:tc>
          <w:tcPr>
            <w:tcW w:w="1276" w:type="dxa"/>
            <w:shd w:val="clear" w:color="auto" w:fill="C2E3FA"/>
          </w:tcPr>
          <w:p w14:paraId="24C494D1" w14:textId="067BA65D" w:rsidR="00E871BD" w:rsidRDefault="00E871BD" w:rsidP="00020D19">
            <w:pPr>
              <w:pStyle w:val="tablehead"/>
            </w:pPr>
            <w:r>
              <w:t>Stage 6</w:t>
            </w:r>
          </w:p>
        </w:tc>
        <w:tc>
          <w:tcPr>
            <w:tcW w:w="1843" w:type="dxa"/>
          </w:tcPr>
          <w:p w14:paraId="248DCF3F" w14:textId="0E7DF8A0" w:rsidR="00E871BD" w:rsidRDefault="00E871BD" w:rsidP="00020D19">
            <w:pPr>
              <w:pStyle w:val="tabletext"/>
            </w:pPr>
            <w:r>
              <w:t>Q3–Q4 2022</w:t>
            </w:r>
          </w:p>
        </w:tc>
        <w:tc>
          <w:tcPr>
            <w:tcW w:w="3685" w:type="dxa"/>
          </w:tcPr>
          <w:p w14:paraId="6F547C00" w14:textId="1A4E443B" w:rsidR="00E871BD" w:rsidRDefault="00E871BD" w:rsidP="00020D19">
            <w:pPr>
              <w:pStyle w:val="tabletext"/>
            </w:pPr>
            <w:r>
              <w:t>Amended rules come into force</w:t>
            </w:r>
          </w:p>
        </w:tc>
      </w:tr>
    </w:tbl>
    <w:p w14:paraId="12305F43" w14:textId="77777777" w:rsidR="00E871BD" w:rsidRPr="005D5967" w:rsidRDefault="00E871BD" w:rsidP="005D5967">
      <w:pPr>
        <w:pStyle w:val="Bodytextplain"/>
      </w:pPr>
    </w:p>
    <w:p w14:paraId="117E3B8E" w14:textId="79A6FEA2" w:rsidR="004D2B37" w:rsidRDefault="00C54833">
      <w:pPr>
        <w:pStyle w:val="Heading1"/>
      </w:pPr>
      <w:bookmarkStart w:id="9" w:name="_Toc57146466"/>
      <w:bookmarkEnd w:id="8"/>
      <w:r>
        <w:lastRenderedPageBreak/>
        <w:t>Background to the proposals</w:t>
      </w:r>
      <w:bookmarkEnd w:id="9"/>
    </w:p>
    <w:p w14:paraId="32BF64BE" w14:textId="77777777" w:rsidR="004D2B37" w:rsidRDefault="004D2B37">
      <w:pPr>
        <w:pStyle w:val="KPhead"/>
      </w:pPr>
      <w:r>
        <w:t>Key points</w:t>
      </w:r>
    </w:p>
    <w:p w14:paraId="10CF293B" w14:textId="0C5648D4" w:rsidR="00513A4C" w:rsidRDefault="00513A4C" w:rsidP="00136CC5">
      <w:pPr>
        <w:pStyle w:val="KPtext"/>
        <w:spacing w:before="180" w:line="270" w:lineRule="atLeast"/>
      </w:pPr>
      <w:r>
        <w:t>Australian requirements to report derivative transactions have been in place under the ASIC Derivative Transaction Rules (Reporting) 2013. This has provided transparency to regulators of trading activity and positions and counterparty exposures that assists regulators in identifying financial system vulnerabilities, cond</w:t>
      </w:r>
      <w:r w:rsidRPr="0034081E">
        <w:t>ucting market surveillance, monitoring market metrics and practices</w:t>
      </w:r>
      <w:r>
        <w:t>, and informing policy developments and assessing outcomes.</w:t>
      </w:r>
    </w:p>
    <w:p w14:paraId="766D65F1" w14:textId="77777777" w:rsidR="00513A4C" w:rsidRDefault="00513A4C" w:rsidP="00136CC5">
      <w:pPr>
        <w:pStyle w:val="KPtext"/>
        <w:spacing w:before="180" w:line="270" w:lineRule="atLeast"/>
      </w:pPr>
      <w:r>
        <w:t>In recent years, international standards have been developed for entity identifiers, transaction identifiers, product identifiers and common data elements for transaction terms and valuation and collateral information. Several overseas regulators have made proposals and/or finalised rules to implement these standards.</w:t>
      </w:r>
    </w:p>
    <w:p w14:paraId="5DECC084" w14:textId="68BC668E" w:rsidR="00513A4C" w:rsidRDefault="00513A4C" w:rsidP="00136CC5">
      <w:pPr>
        <w:pStyle w:val="KPtext"/>
        <w:spacing w:before="180" w:line="270" w:lineRule="atLeast"/>
      </w:pPr>
      <w:r>
        <w:t xml:space="preserve">We are likewise proposing to implement these internationally harmonised standards: see Sections </w:t>
      </w:r>
      <w:r w:rsidR="006256CC">
        <w:fldChar w:fldCharType="begin"/>
      </w:r>
      <w:r w:rsidR="006256CC">
        <w:instrText xml:space="preserve"> REF _ASICRef790 \w \h </w:instrText>
      </w:r>
      <w:r w:rsidR="006256CC">
        <w:fldChar w:fldCharType="separate"/>
      </w:r>
      <w:r w:rsidR="00314C7E">
        <w:t>B</w:t>
      </w:r>
      <w:r w:rsidR="006256CC">
        <w:fldChar w:fldCharType="end"/>
      </w:r>
      <w:r w:rsidR="006256CC">
        <w:t>–</w:t>
      </w:r>
      <w:r w:rsidR="006256CC">
        <w:fldChar w:fldCharType="begin"/>
      </w:r>
      <w:r w:rsidR="006256CC">
        <w:instrText xml:space="preserve"> REF _ASICRef961 \w \h </w:instrText>
      </w:r>
      <w:r w:rsidR="006256CC">
        <w:fldChar w:fldCharType="separate"/>
      </w:r>
      <w:r w:rsidR="00314C7E">
        <w:t>F</w:t>
      </w:r>
      <w:r w:rsidR="006256CC">
        <w:fldChar w:fldCharType="end"/>
      </w:r>
      <w:r>
        <w:t>.</w:t>
      </w:r>
    </w:p>
    <w:p w14:paraId="5EA26C6E" w14:textId="527888B6" w:rsidR="00513A4C" w:rsidRDefault="00513A4C" w:rsidP="00136CC5">
      <w:pPr>
        <w:pStyle w:val="KPtext"/>
        <w:spacing w:before="180" w:line="270" w:lineRule="atLeast"/>
      </w:pPr>
      <w:r>
        <w:t xml:space="preserve">We have also reviewed the structure, scope and operation of the rules and are proposing changes to simplify the rules and improve their fitness for purpose: see Sections </w:t>
      </w:r>
      <w:r w:rsidR="006256CC">
        <w:fldChar w:fldCharType="begin"/>
      </w:r>
      <w:r w:rsidR="006256CC">
        <w:instrText xml:space="preserve"> REF _ASICRef871 \w \h </w:instrText>
      </w:r>
      <w:r w:rsidR="006256CC">
        <w:fldChar w:fldCharType="separate"/>
      </w:r>
      <w:r w:rsidR="00314C7E">
        <w:t>G</w:t>
      </w:r>
      <w:r w:rsidR="006256CC">
        <w:fldChar w:fldCharType="end"/>
      </w:r>
      <w:r w:rsidR="006256CC">
        <w:t>–</w:t>
      </w:r>
      <w:r w:rsidR="006256CC">
        <w:fldChar w:fldCharType="begin"/>
      </w:r>
      <w:r w:rsidR="006256CC">
        <w:instrText xml:space="preserve"> REF _ASICRef949 \w \h </w:instrText>
      </w:r>
      <w:r w:rsidR="006256CC">
        <w:fldChar w:fldCharType="separate"/>
      </w:r>
      <w:r w:rsidR="00314C7E">
        <w:t>J</w:t>
      </w:r>
      <w:r w:rsidR="006256CC">
        <w:fldChar w:fldCharType="end"/>
      </w:r>
      <w:r w:rsidR="0034081E">
        <w:t>.</w:t>
      </w:r>
    </w:p>
    <w:p w14:paraId="1FCC8FAB" w14:textId="4BA95572" w:rsidR="004D2B37" w:rsidRDefault="00513A4C" w:rsidP="00136CC5">
      <w:pPr>
        <w:pStyle w:val="KPtext"/>
        <w:spacing w:before="180" w:line="270" w:lineRule="atLeast"/>
      </w:pPr>
      <w:r>
        <w:t>For international harmonisation, there are inherent interdependencies among jurisdictions and most overseas regulators have not yet finalised their revised rules. In light of this, we have planned two rounds of consultation to 30 June 2021</w:t>
      </w:r>
      <w:r w:rsidR="00FF63BA">
        <w:t>. T</w:t>
      </w:r>
      <w:r>
        <w:t xml:space="preserve">his </w:t>
      </w:r>
      <w:r w:rsidR="00FF63BA">
        <w:t xml:space="preserve">first </w:t>
      </w:r>
      <w:r>
        <w:t xml:space="preserve">consultation presents our current state proposals and </w:t>
      </w:r>
      <w:r w:rsidR="00E30A53">
        <w:t xml:space="preserve">the </w:t>
      </w:r>
      <w:r>
        <w:t xml:space="preserve">second consultation in Q2 2021 intends to present our final proposals which will take into account </w:t>
      </w:r>
      <w:r w:rsidR="006D04F7">
        <w:t xml:space="preserve">responses to this consultation and </w:t>
      </w:r>
      <w:r>
        <w:t>further rules development in overseas jurisdictions.</w:t>
      </w:r>
    </w:p>
    <w:p w14:paraId="05B05A4F" w14:textId="4EA9E207" w:rsidR="004D2B37" w:rsidRDefault="005D5967">
      <w:pPr>
        <w:pStyle w:val="Heading2"/>
      </w:pPr>
      <w:bookmarkStart w:id="10" w:name="_Toc51080717"/>
      <w:bookmarkStart w:id="11" w:name="_Toc57146467"/>
      <w:r w:rsidRPr="000739D6">
        <w:t>The G20 OTC derivatives reform</w:t>
      </w:r>
      <w:r>
        <w:t>s</w:t>
      </w:r>
      <w:bookmarkEnd w:id="10"/>
      <w:bookmarkEnd w:id="11"/>
    </w:p>
    <w:p w14:paraId="2FB2759F" w14:textId="340522FB" w:rsidR="005D5967" w:rsidRDefault="005D5967" w:rsidP="00136CC5">
      <w:pPr>
        <w:pStyle w:val="BodyText"/>
        <w:spacing w:before="220" w:line="310" w:lineRule="atLeast"/>
      </w:pPr>
      <w:r>
        <w:t xml:space="preserve">In response to the global financial crisis, the leaders of the </w:t>
      </w:r>
      <w:r w:rsidR="00B05610">
        <w:t>Group of Twenty (</w:t>
      </w:r>
      <w:r>
        <w:t>G20</w:t>
      </w:r>
      <w:r w:rsidR="00B05610">
        <w:t>)</w:t>
      </w:r>
      <w:r>
        <w:t xml:space="preserve"> agreed to a range of reforms to </w:t>
      </w:r>
      <w:r w:rsidR="00F120A7">
        <w:t>over-the-counter (</w:t>
      </w:r>
      <w:r>
        <w:t>OTC</w:t>
      </w:r>
      <w:r w:rsidR="00F120A7">
        <w:t>)</w:t>
      </w:r>
      <w:r>
        <w:t xml:space="preserve"> derivatives markets at the 2009 Pittsburgh summit. These reforms included:</w:t>
      </w:r>
    </w:p>
    <w:p w14:paraId="6C571400" w14:textId="77777777" w:rsidR="005D5967" w:rsidRDefault="005D5967" w:rsidP="00303BEF">
      <w:pPr>
        <w:pStyle w:val="subparaa"/>
        <w:numPr>
          <w:ilvl w:val="1"/>
          <w:numId w:val="10"/>
        </w:numPr>
        <w:spacing w:before="120" w:line="310" w:lineRule="atLeast"/>
      </w:pPr>
      <w:r>
        <w:t>mandatory reporting of OTC derivative transactions to trade repositories;</w:t>
      </w:r>
    </w:p>
    <w:p w14:paraId="63A72987" w14:textId="77777777" w:rsidR="005D5967" w:rsidRDefault="005D5967" w:rsidP="00303BEF">
      <w:pPr>
        <w:pStyle w:val="subparaa"/>
        <w:numPr>
          <w:ilvl w:val="1"/>
          <w:numId w:val="10"/>
        </w:numPr>
        <w:spacing w:before="120" w:line="310" w:lineRule="atLeast"/>
      </w:pPr>
      <w:r>
        <w:t>requiring all standardised OTC derivative transactions to be made on exchanges or electronic trading platforms, where appropriate, and cleared through central counterparties; and</w:t>
      </w:r>
    </w:p>
    <w:p w14:paraId="1EF0FEAE" w14:textId="77777777" w:rsidR="005D5967" w:rsidRDefault="005D5967" w:rsidP="00303BEF">
      <w:pPr>
        <w:pStyle w:val="subparaa"/>
        <w:numPr>
          <w:ilvl w:val="1"/>
          <w:numId w:val="10"/>
        </w:numPr>
        <w:spacing w:before="120" w:line="310" w:lineRule="atLeast"/>
      </w:pPr>
      <w:r>
        <w:lastRenderedPageBreak/>
        <w:t>requiring non-centrally cleared transactions to be subject to higher capital requirements.</w:t>
      </w:r>
    </w:p>
    <w:p w14:paraId="1E671C80" w14:textId="77777777" w:rsidR="005D5967" w:rsidRDefault="005D5967" w:rsidP="00136CC5">
      <w:pPr>
        <w:pStyle w:val="Note"/>
        <w:spacing w:before="220" w:line="250" w:lineRule="atLeast"/>
      </w:pPr>
      <w:r>
        <w:t>Note: In November 2011, the G20 leaders also agreed that international standards should be developed for margin requirements of non-centrally cleared OTC derivatives.</w:t>
      </w:r>
    </w:p>
    <w:p w14:paraId="74BD1252" w14:textId="77777777" w:rsidR="005D5967" w:rsidRDefault="005D5967" w:rsidP="005D5967">
      <w:pPr>
        <w:pStyle w:val="Heading2"/>
      </w:pPr>
      <w:bookmarkStart w:id="12" w:name="_Toc51080718"/>
      <w:bookmarkStart w:id="13" w:name="_Toc57146468"/>
      <w:r w:rsidRPr="00814900">
        <w:t>What is transaction reporting?</w:t>
      </w:r>
      <w:bookmarkEnd w:id="12"/>
      <w:bookmarkEnd w:id="13"/>
    </w:p>
    <w:p w14:paraId="1474B9FF" w14:textId="0BBAF662" w:rsidR="005D5967" w:rsidRDefault="005D5967" w:rsidP="00787D98">
      <w:pPr>
        <w:pStyle w:val="BodyText"/>
      </w:pPr>
      <w:r w:rsidRPr="00814900">
        <w:t xml:space="preserve">Transaction reporting is the mandatory reporting of information </w:t>
      </w:r>
      <w:proofErr w:type="spellStart"/>
      <w:r w:rsidRPr="00814900">
        <w:t>abou</w:t>
      </w:r>
      <w:r w:rsidR="00AD457D">
        <w:t>isda</w:t>
      </w:r>
      <w:r w:rsidRPr="00814900">
        <w:t>t</w:t>
      </w:r>
      <w:proofErr w:type="spellEnd"/>
      <w:r w:rsidRPr="00814900">
        <w:t xml:space="preserve"> OTC derivative transactions to a derivative trade repository</w:t>
      </w:r>
      <w:r w:rsidR="00787D98">
        <w:t>.</w:t>
      </w:r>
      <w:r w:rsidRPr="00814900">
        <w:t xml:space="preserve"> A trade repository acts as a centralised registry that maintains an electronic database of records of transactions.</w:t>
      </w:r>
      <w:r w:rsidR="00513A4C" w:rsidRPr="00513A4C">
        <w:t xml:space="preserve"> The trade repositories then make these transaction records available to regulators.</w:t>
      </w:r>
    </w:p>
    <w:p w14:paraId="5D1015D2" w14:textId="77777777" w:rsidR="005D5967" w:rsidRDefault="005D5967" w:rsidP="005D5967">
      <w:pPr>
        <w:pStyle w:val="Heading2"/>
      </w:pPr>
      <w:bookmarkStart w:id="14" w:name="_Toc51080719"/>
      <w:bookmarkStart w:id="15" w:name="_Toc57146469"/>
      <w:r w:rsidRPr="00814900">
        <w:t>Implementation of transaction reporting in Australia</w:t>
      </w:r>
      <w:bookmarkEnd w:id="14"/>
      <w:bookmarkEnd w:id="15"/>
    </w:p>
    <w:p w14:paraId="4D21FD3E" w14:textId="3DC0993F" w:rsidR="005D5967" w:rsidRDefault="005D5967" w:rsidP="00136CC5">
      <w:pPr>
        <w:pStyle w:val="BodyText"/>
        <w:spacing w:line="310" w:lineRule="atLeast"/>
      </w:pPr>
      <w:r>
        <w:t xml:space="preserve">In 2012, Parliament passed the </w:t>
      </w:r>
      <w:r>
        <w:rPr>
          <w:i/>
          <w:iCs/>
        </w:rPr>
        <w:t>Corporations Legislation Amendments (Derivative Transactions) Act 2012</w:t>
      </w:r>
      <w:r w:rsidR="009D6B79">
        <w:t xml:space="preserve"> inserting Pt 7.5A </w:t>
      </w:r>
      <w:r w:rsidR="003C637B">
        <w:t>‘</w:t>
      </w:r>
      <w:r w:rsidR="009D6B79" w:rsidRPr="009D6B79">
        <w:t>Regulation of derivative transactions and derivative trade repositories</w:t>
      </w:r>
      <w:r w:rsidR="003C637B">
        <w:t>’</w:t>
      </w:r>
      <w:r w:rsidR="00720AE8">
        <w:t xml:space="preserve"> into the </w:t>
      </w:r>
      <w:r w:rsidR="00720AE8" w:rsidRPr="00720AE8">
        <w:rPr>
          <w:i/>
          <w:iCs/>
        </w:rPr>
        <w:t>Corporations Act 2001</w:t>
      </w:r>
      <w:r w:rsidR="00720AE8">
        <w:t xml:space="preserve"> (</w:t>
      </w:r>
      <w:r w:rsidR="003C637B">
        <w:t xml:space="preserve">Corporations </w:t>
      </w:r>
      <w:r w:rsidR="00720AE8" w:rsidRPr="00405E83">
        <w:t>Act</w:t>
      </w:r>
      <w:r w:rsidR="00720AE8">
        <w:t>)</w:t>
      </w:r>
      <w:r>
        <w:t>. The legislation provided a framework for the Minister to mandate requirements for derivative transactions, and for ASIC to make rules in respect of these requirements. The legislation came into force on 3 January 2013.</w:t>
      </w:r>
    </w:p>
    <w:p w14:paraId="55A53AAC" w14:textId="20C3DC35" w:rsidR="001050BE" w:rsidRDefault="001050BE" w:rsidP="00136CC5">
      <w:pPr>
        <w:pStyle w:val="BodyText"/>
        <w:spacing w:before="220" w:line="310" w:lineRule="atLeast"/>
      </w:pPr>
      <w:r>
        <w:t xml:space="preserve">On 2 May 2013, the Minister made a determination (the </w:t>
      </w:r>
      <w:r w:rsidRPr="00405E83">
        <w:t>Corporations (Derivatives) Determination 2013</w:t>
      </w:r>
      <w:r w:rsidRPr="00136CC5">
        <w:t>)</w:t>
      </w:r>
      <w:r>
        <w:rPr>
          <w:i/>
          <w:iCs/>
        </w:rPr>
        <w:t xml:space="preserve"> </w:t>
      </w:r>
      <w:r>
        <w:t xml:space="preserve">under </w:t>
      </w:r>
      <w:r w:rsidR="003C637B">
        <w:t>s901B</w:t>
      </w:r>
      <w:r>
        <w:t xml:space="preserve">(2) of the </w:t>
      </w:r>
      <w:r w:rsidR="003C637B">
        <w:t xml:space="preserve">Corporations </w:t>
      </w:r>
      <w:r>
        <w:t>Act that the classes of derivatives in relation to which reporting requirements may be imposed are:</w:t>
      </w:r>
    </w:p>
    <w:p w14:paraId="5E0A0A5C" w14:textId="73351A33" w:rsidR="001050BE" w:rsidRDefault="001050BE" w:rsidP="00136CC5">
      <w:pPr>
        <w:pStyle w:val="subparaa"/>
        <w:spacing w:before="120" w:line="310" w:lineRule="atLeast"/>
      </w:pPr>
      <w:r>
        <w:t>commodity derivatives that are not electricity derivatives;</w:t>
      </w:r>
    </w:p>
    <w:p w14:paraId="423C4290" w14:textId="6860FB4F" w:rsidR="001050BE" w:rsidRDefault="001050BE" w:rsidP="00136CC5">
      <w:pPr>
        <w:pStyle w:val="subparaa"/>
        <w:spacing w:before="120" w:line="310" w:lineRule="atLeast"/>
      </w:pPr>
      <w:r>
        <w:t>credit derivatives;</w:t>
      </w:r>
    </w:p>
    <w:p w14:paraId="1CD271AB" w14:textId="2110E73C" w:rsidR="001050BE" w:rsidRDefault="001050BE" w:rsidP="00136CC5">
      <w:pPr>
        <w:pStyle w:val="subparaa"/>
        <w:spacing w:before="120" w:line="310" w:lineRule="atLeast"/>
      </w:pPr>
      <w:r>
        <w:t>equity derivatives;</w:t>
      </w:r>
    </w:p>
    <w:p w14:paraId="505F816A" w14:textId="5677CFB2" w:rsidR="001050BE" w:rsidRDefault="001050BE" w:rsidP="00136CC5">
      <w:pPr>
        <w:pStyle w:val="subparaa"/>
        <w:spacing w:before="120" w:line="310" w:lineRule="atLeast"/>
      </w:pPr>
      <w:r>
        <w:t>foreign exchange derivatives;</w:t>
      </w:r>
    </w:p>
    <w:p w14:paraId="0E8E4C82" w14:textId="7BA79D75" w:rsidR="001050BE" w:rsidRDefault="001050BE" w:rsidP="00136CC5">
      <w:pPr>
        <w:pStyle w:val="subparaa"/>
        <w:spacing w:before="120" w:line="310" w:lineRule="atLeast"/>
      </w:pPr>
      <w:r>
        <w:t>interest rate derivatives.</w:t>
      </w:r>
    </w:p>
    <w:p w14:paraId="2BFD1934" w14:textId="43FE51A0" w:rsidR="005D5967" w:rsidRDefault="005D5967" w:rsidP="00136CC5">
      <w:pPr>
        <w:pStyle w:val="BodyText"/>
        <w:spacing w:before="220" w:line="310" w:lineRule="atLeast"/>
      </w:pPr>
      <w:r>
        <w:t>On 9 July 2013, ASIC made the ASIC Derivative Transaction Rules (Reporting) 2013 (</w:t>
      </w:r>
      <w:r w:rsidRPr="00405E83">
        <w:t>ASIC Rules</w:t>
      </w:r>
      <w:r>
        <w:t>).</w:t>
      </w:r>
    </w:p>
    <w:p w14:paraId="27BCA606" w14:textId="7D726302" w:rsidR="005D5967" w:rsidRDefault="005D5967" w:rsidP="00136CC5">
      <w:pPr>
        <w:pStyle w:val="BodyText"/>
        <w:spacing w:before="220" w:line="310" w:lineRule="atLeast"/>
      </w:pPr>
      <w:r>
        <w:t xml:space="preserve">The operation of the ASIC Rules has since been affected by </w:t>
      </w:r>
      <w:r w:rsidR="00630162">
        <w:t xml:space="preserve">amendments to </w:t>
      </w:r>
      <w:r w:rsidR="00F120A7">
        <w:t xml:space="preserve">the </w:t>
      </w:r>
      <w:r>
        <w:t>Corporations Regulations</w:t>
      </w:r>
      <w:r w:rsidR="005274E0">
        <w:t xml:space="preserve"> 2001 (Corporations Regulations</w:t>
      </w:r>
      <w:r w:rsidR="00630162">
        <w:t xml:space="preserve">) and </w:t>
      </w:r>
      <w:r>
        <w:t xml:space="preserve">the ASIC Rules, the ASIC Regulated Foreign Markets Determination </w:t>
      </w:r>
      <w:r w:rsidR="005274E0" w:rsidRPr="006B20CF">
        <w:t>[OTC DET 13/1145]</w:t>
      </w:r>
      <w:r w:rsidR="005274E0">
        <w:t xml:space="preserve"> </w:t>
      </w:r>
      <w:r>
        <w:t>and ASIC exemption instruments</w:t>
      </w:r>
      <w:r w:rsidR="00630162">
        <w:t xml:space="preserve">: see </w:t>
      </w:r>
      <w:r w:rsidR="00630162">
        <w:fldChar w:fldCharType="begin"/>
      </w:r>
      <w:r w:rsidR="00630162">
        <w:instrText xml:space="preserve"> REF _Ref54686627 \h </w:instrText>
      </w:r>
      <w:r w:rsidR="00630162">
        <w:fldChar w:fldCharType="separate"/>
      </w:r>
      <w:r w:rsidR="00314C7E">
        <w:t xml:space="preserve">Table </w:t>
      </w:r>
      <w:r w:rsidR="00314C7E">
        <w:rPr>
          <w:noProof/>
        </w:rPr>
        <w:t>1</w:t>
      </w:r>
      <w:r w:rsidR="00630162">
        <w:fldChar w:fldCharType="end"/>
      </w:r>
      <w:r w:rsidR="00630162">
        <w:t>.</w:t>
      </w:r>
    </w:p>
    <w:p w14:paraId="0B3A0E9F" w14:textId="28D95FEC" w:rsidR="005D5967" w:rsidRDefault="005D5967" w:rsidP="005D5967">
      <w:pPr>
        <w:pStyle w:val="tabletitlefullwidth"/>
      </w:pPr>
      <w:bookmarkStart w:id="16" w:name="_Ref54686627"/>
      <w:r>
        <w:lastRenderedPageBreak/>
        <w:t xml:space="preserve">Table </w:t>
      </w:r>
      <w:r w:rsidR="007055A5">
        <w:fldChar w:fldCharType="begin"/>
      </w:r>
      <w:r w:rsidR="007055A5">
        <w:instrText xml:space="preserve"> SEQ Table \* ARABIC </w:instrText>
      </w:r>
      <w:r w:rsidR="007055A5">
        <w:fldChar w:fldCharType="separate"/>
      </w:r>
      <w:r w:rsidR="00314C7E">
        <w:rPr>
          <w:noProof/>
        </w:rPr>
        <w:t>1</w:t>
      </w:r>
      <w:r w:rsidR="007055A5">
        <w:rPr>
          <w:noProof/>
        </w:rPr>
        <w:fldChar w:fldCharType="end"/>
      </w:r>
      <w:bookmarkEnd w:id="16"/>
      <w:r>
        <w:t>:</w:t>
      </w:r>
      <w:r>
        <w:tab/>
        <w:t>Instruments affecting the ASIC Rules</w:t>
      </w:r>
    </w:p>
    <w:tbl>
      <w:tblPr>
        <w:tblW w:w="0" w:type="auto"/>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677"/>
        <w:gridCol w:w="6393"/>
      </w:tblGrid>
      <w:tr w:rsidR="00F120A7" w:rsidRPr="000540E1" w14:paraId="4DC4EB52" w14:textId="77777777" w:rsidTr="00355775">
        <w:trPr>
          <w:cantSplit/>
          <w:tblHeader/>
        </w:trPr>
        <w:tc>
          <w:tcPr>
            <w:tcW w:w="0" w:type="auto"/>
            <w:shd w:val="clear" w:color="auto" w:fill="C2E3FA"/>
          </w:tcPr>
          <w:p w14:paraId="4D4FA674" w14:textId="77777777" w:rsidR="005D5967" w:rsidRPr="000540E1" w:rsidRDefault="005D5967" w:rsidP="00355775">
            <w:pPr>
              <w:pStyle w:val="tablehead"/>
            </w:pPr>
            <w:r>
              <w:t>Instrument</w:t>
            </w:r>
          </w:p>
        </w:tc>
        <w:tc>
          <w:tcPr>
            <w:tcW w:w="0" w:type="auto"/>
            <w:shd w:val="clear" w:color="auto" w:fill="C2E3FA"/>
          </w:tcPr>
          <w:p w14:paraId="03B18EEE" w14:textId="77777777" w:rsidR="005D5967" w:rsidRPr="000540E1" w:rsidRDefault="005D5967" w:rsidP="00355775">
            <w:pPr>
              <w:pStyle w:val="tablehead"/>
            </w:pPr>
            <w:r>
              <w:t>Summary effect on ASIC Rules</w:t>
            </w:r>
          </w:p>
        </w:tc>
      </w:tr>
      <w:tr w:rsidR="00F120A7" w:rsidRPr="000540E1" w14:paraId="0D2177F9" w14:textId="77777777" w:rsidTr="00355775">
        <w:trPr>
          <w:cantSplit/>
        </w:trPr>
        <w:tc>
          <w:tcPr>
            <w:tcW w:w="0" w:type="auto"/>
          </w:tcPr>
          <w:p w14:paraId="16847EBC" w14:textId="3BFA4148" w:rsidR="005D5967" w:rsidRPr="000540E1" w:rsidRDefault="005D5967" w:rsidP="00355775">
            <w:pPr>
              <w:pStyle w:val="tbltext"/>
            </w:pPr>
            <w:r w:rsidRPr="00886237">
              <w:t>Corporations Regulation</w:t>
            </w:r>
            <w:r w:rsidR="005274E0">
              <w:t>s, reg </w:t>
            </w:r>
            <w:r w:rsidRPr="00886237">
              <w:t>7.5A.50</w:t>
            </w:r>
          </w:p>
        </w:tc>
        <w:tc>
          <w:tcPr>
            <w:tcW w:w="0" w:type="auto"/>
          </w:tcPr>
          <w:p w14:paraId="73FEB2E2" w14:textId="4DD4240A" w:rsidR="005D5967" w:rsidRPr="000540E1" w:rsidRDefault="005D5967" w:rsidP="00355775">
            <w:pPr>
              <w:pStyle w:val="tbltext"/>
            </w:pPr>
            <w:r>
              <w:t>Precludes imposing requirements on end users</w:t>
            </w:r>
          </w:p>
        </w:tc>
      </w:tr>
      <w:tr w:rsidR="00F120A7" w:rsidRPr="000540E1" w14:paraId="69E5F2CF" w14:textId="77777777" w:rsidTr="00355775">
        <w:trPr>
          <w:cantSplit/>
        </w:trPr>
        <w:tc>
          <w:tcPr>
            <w:tcW w:w="0" w:type="auto"/>
          </w:tcPr>
          <w:p w14:paraId="58044646" w14:textId="31872C55" w:rsidR="005D5967" w:rsidRPr="000540E1" w:rsidRDefault="005D5967" w:rsidP="00355775">
            <w:pPr>
              <w:pStyle w:val="tbltext"/>
            </w:pPr>
            <w:r w:rsidRPr="00886237">
              <w:t>Corporations Regulations</w:t>
            </w:r>
            <w:r w:rsidR="005274E0">
              <w:t>, reg</w:t>
            </w:r>
            <w:r w:rsidR="005B4EEF">
              <w:t>s</w:t>
            </w:r>
            <w:r w:rsidR="005274E0">
              <w:t> </w:t>
            </w:r>
            <w:r w:rsidRPr="00886237">
              <w:t>7.5A.71</w:t>
            </w:r>
            <w:r w:rsidR="005B4EEF">
              <w:t>–</w:t>
            </w:r>
            <w:r w:rsidRPr="00886237">
              <w:t>7.5A.74</w:t>
            </w:r>
          </w:p>
        </w:tc>
        <w:tc>
          <w:tcPr>
            <w:tcW w:w="0" w:type="auto"/>
          </w:tcPr>
          <w:p w14:paraId="7E53E47C" w14:textId="4052E5AA" w:rsidR="005D5967" w:rsidRDefault="005D5967" w:rsidP="00355775">
            <w:pPr>
              <w:pStyle w:val="tbltext"/>
            </w:pPr>
            <w:r>
              <w:t>Exempts entities with small-scale</w:t>
            </w:r>
            <w:r w:rsidR="005B4EEF">
              <w:t xml:space="preserve"> </w:t>
            </w:r>
            <w:r>
              <w:t>gross notional outstanding positions from reporting transactions where their counterparty reports the transactions</w:t>
            </w:r>
          </w:p>
          <w:p w14:paraId="3708DBD3" w14:textId="19F96F3F" w:rsidR="005B4EEF" w:rsidRPr="005B4EEF" w:rsidRDefault="005B4EEF" w:rsidP="00405E83">
            <w:pPr>
              <w:pStyle w:val="tblnote"/>
            </w:pPr>
            <w:r w:rsidRPr="005B4EEF">
              <w:t xml:space="preserve">Note: Regulation 7.5A.73 specifies that the exemption ceases to apply to an entity where the entity has total gross notional outstanding positions of </w:t>
            </w:r>
            <w:r>
              <w:t>A$</w:t>
            </w:r>
            <w:r w:rsidRPr="005B4EEF">
              <w:t>5 billion or more on two successive quarter-end days</w:t>
            </w:r>
          </w:p>
        </w:tc>
      </w:tr>
      <w:tr w:rsidR="00F120A7" w:rsidRPr="000540E1" w14:paraId="0376F913" w14:textId="77777777" w:rsidTr="00355775">
        <w:trPr>
          <w:cantSplit/>
        </w:trPr>
        <w:tc>
          <w:tcPr>
            <w:tcW w:w="0" w:type="auto"/>
          </w:tcPr>
          <w:p w14:paraId="35A0E224" w14:textId="0BC07ACB" w:rsidR="005D5967" w:rsidRPr="000540E1" w:rsidRDefault="007055A5" w:rsidP="00355775">
            <w:pPr>
              <w:pStyle w:val="tbltext"/>
            </w:pPr>
            <w:hyperlink r:id="rId21" w:history="1">
              <w:r w:rsidR="005D5967" w:rsidRPr="00B749DB">
                <w:rPr>
                  <w:rStyle w:val="Hyperlink"/>
                </w:rPr>
                <w:t>ASIC Derivative Transaction Rules (Reporting) Amendment 2015 (No. 1)</w:t>
              </w:r>
            </w:hyperlink>
            <w:r w:rsidR="00B749DB">
              <w:t xml:space="preserve"> </w:t>
            </w:r>
          </w:p>
        </w:tc>
        <w:tc>
          <w:tcPr>
            <w:tcW w:w="0" w:type="auto"/>
          </w:tcPr>
          <w:p w14:paraId="78104AFA" w14:textId="208990FA" w:rsidR="005D5967" w:rsidRDefault="005D5967" w:rsidP="00355775">
            <w:pPr>
              <w:pStyle w:val="tbltext"/>
            </w:pPr>
            <w:r>
              <w:t xml:space="preserve">Adds </w:t>
            </w:r>
            <w:r w:rsidR="00C54833">
              <w:t xml:space="preserve">US </w:t>
            </w:r>
            <w:r w:rsidR="00F120A7">
              <w:t>Commodity Futures Trading Commission (</w:t>
            </w:r>
            <w:r>
              <w:t>CFTC</w:t>
            </w:r>
            <w:r w:rsidR="00F120A7">
              <w:t>)</w:t>
            </w:r>
            <w:r>
              <w:t xml:space="preserve"> ‘</w:t>
            </w:r>
            <w:r w:rsidR="00F120A7">
              <w:t xml:space="preserve">designated </w:t>
            </w:r>
            <w:r w:rsidR="005B4EEF">
              <w:t xml:space="preserve">contract markets’ </w:t>
            </w:r>
            <w:r>
              <w:t>and EU ‘</w:t>
            </w:r>
            <w:r w:rsidR="00F120A7">
              <w:t xml:space="preserve">regulated </w:t>
            </w:r>
            <w:r>
              <w:t xml:space="preserve">markets’ as markets whose derivative contracts are not reportable OTC </w:t>
            </w:r>
            <w:r w:rsidR="005B4EEF">
              <w:t xml:space="preserve">derivatives </w:t>
            </w:r>
            <w:r>
              <w:t>(in addition to the existing Pt</w:t>
            </w:r>
            <w:r w:rsidR="00DF1630">
              <w:t> </w:t>
            </w:r>
            <w:r>
              <w:t xml:space="preserve">7.2A </w:t>
            </w:r>
            <w:r w:rsidR="00F120A7">
              <w:t xml:space="preserve">markets </w:t>
            </w:r>
            <w:r>
              <w:t>and ASIC-determined ‘</w:t>
            </w:r>
            <w:r w:rsidR="00F120A7">
              <w:t>regulated foreign markets’</w:t>
            </w:r>
            <w:r>
              <w:t>)</w:t>
            </w:r>
          </w:p>
          <w:p w14:paraId="24195919" w14:textId="753760F2" w:rsidR="005D5967" w:rsidRDefault="005D5967" w:rsidP="00355775">
            <w:pPr>
              <w:pStyle w:val="tbltext"/>
            </w:pPr>
            <w:r>
              <w:t>Adds ‘safe harbour’ provisions</w:t>
            </w:r>
            <w:r w:rsidR="00630162">
              <w:t xml:space="preserve"> </w:t>
            </w:r>
            <w:r>
              <w:t>regarding reasonable steps taken by a reporting entity to ensure the accuracy of information reported by their outsourced delegate reporter</w:t>
            </w:r>
          </w:p>
          <w:p w14:paraId="60AE740A" w14:textId="24041BE0" w:rsidR="00630162" w:rsidRDefault="00630162" w:rsidP="00405E83">
            <w:pPr>
              <w:pStyle w:val="tblnote"/>
            </w:pPr>
            <w:r>
              <w:t>Note: The ‘safe harbour’ provisions relate to having terms of a delegate’s appointment documented in writing and making regular inquiries reasonably designed to determine that the delegate is meeting its obligations under these terms</w:t>
            </w:r>
          </w:p>
          <w:p w14:paraId="7B7BECB8" w14:textId="559D4DC0" w:rsidR="005D5967" w:rsidRDefault="005D5967" w:rsidP="00355775">
            <w:pPr>
              <w:pStyle w:val="tbltext"/>
            </w:pPr>
            <w:r>
              <w:t xml:space="preserve">Adds ‘snapshot’ reporting as a compliant form of transaction reporting, except for transactions in ASIC-determined </w:t>
            </w:r>
            <w:r w:rsidR="00630162">
              <w:t xml:space="preserve">excluded derivatives </w:t>
            </w:r>
            <w:r>
              <w:t>for which ‘</w:t>
            </w:r>
            <w:r w:rsidR="00E557A8">
              <w:t>lifecycle</w:t>
            </w:r>
            <w:r>
              <w:t>’ reporting applies</w:t>
            </w:r>
          </w:p>
          <w:p w14:paraId="5C354A79" w14:textId="0918BEB3" w:rsidR="005D5967" w:rsidRPr="000540E1" w:rsidRDefault="005D5967" w:rsidP="00355775">
            <w:pPr>
              <w:pStyle w:val="tbltext"/>
            </w:pPr>
            <w:r>
              <w:t xml:space="preserve">Replaces ABN with AVID as a valid </w:t>
            </w:r>
            <w:r w:rsidR="00783596">
              <w:t xml:space="preserve">entity </w:t>
            </w:r>
            <w:r>
              <w:t>identifier</w:t>
            </w:r>
          </w:p>
        </w:tc>
      </w:tr>
      <w:tr w:rsidR="00F120A7" w:rsidRPr="000540E1" w14:paraId="546CFA64" w14:textId="77777777" w:rsidTr="00355775">
        <w:trPr>
          <w:cantSplit/>
        </w:trPr>
        <w:tc>
          <w:tcPr>
            <w:tcW w:w="0" w:type="auto"/>
          </w:tcPr>
          <w:p w14:paraId="063DFDB6" w14:textId="723375CA" w:rsidR="005D5967" w:rsidRPr="000F43CB" w:rsidRDefault="007055A5" w:rsidP="00355775">
            <w:pPr>
              <w:pStyle w:val="tbltext"/>
            </w:pPr>
            <w:hyperlink r:id="rId22" w:history="1">
              <w:r w:rsidR="005D5967" w:rsidRPr="00616E2B">
                <w:rPr>
                  <w:rStyle w:val="Hyperlink"/>
                </w:rPr>
                <w:t>ASIC Regulated Foreign Markets Determination [OTC DET 13/1145]</w:t>
              </w:r>
            </w:hyperlink>
          </w:p>
        </w:tc>
        <w:tc>
          <w:tcPr>
            <w:tcW w:w="0" w:type="auto"/>
          </w:tcPr>
          <w:p w14:paraId="133ADE40" w14:textId="19491193" w:rsidR="005D5967" w:rsidRDefault="005D5967" w:rsidP="00355775">
            <w:pPr>
              <w:pStyle w:val="tbltext"/>
            </w:pPr>
            <w:r>
              <w:t xml:space="preserve">Lists 32 individual foreign financial markets as </w:t>
            </w:r>
            <w:r w:rsidR="00630162">
              <w:t xml:space="preserve">‘regulated foreign markets’ </w:t>
            </w:r>
            <w:r>
              <w:t>and</w:t>
            </w:r>
            <w:r w:rsidR="00630162">
              <w:t> Securities and Exchange Commission (</w:t>
            </w:r>
            <w:r>
              <w:t>SEC</w:t>
            </w:r>
            <w:r w:rsidR="00630162">
              <w:t>)</w:t>
            </w:r>
            <w:r>
              <w:t xml:space="preserve"> ‘</w:t>
            </w:r>
            <w:r w:rsidR="00630162">
              <w:t xml:space="preserve">regulated markets’ </w:t>
            </w:r>
            <w:r>
              <w:t>and UK</w:t>
            </w:r>
            <w:r w:rsidR="00630162">
              <w:t> </w:t>
            </w:r>
            <w:r>
              <w:t>‘</w:t>
            </w:r>
            <w:r w:rsidR="00630162">
              <w:t xml:space="preserve">regulated </w:t>
            </w:r>
            <w:r>
              <w:t>markets’</w:t>
            </w:r>
          </w:p>
        </w:tc>
      </w:tr>
      <w:tr w:rsidR="00F120A7" w:rsidRPr="000540E1" w14:paraId="6321A98A" w14:textId="77777777" w:rsidTr="00355775">
        <w:trPr>
          <w:cantSplit/>
        </w:trPr>
        <w:tc>
          <w:tcPr>
            <w:tcW w:w="0" w:type="auto"/>
          </w:tcPr>
          <w:p w14:paraId="73CEB08E" w14:textId="3B3AC17E" w:rsidR="005D5967" w:rsidRPr="006B20CF" w:rsidRDefault="007055A5" w:rsidP="00355775">
            <w:pPr>
              <w:pStyle w:val="tbltext"/>
            </w:pPr>
            <w:hyperlink r:id="rId23" w:history="1">
              <w:r w:rsidR="005D5967" w:rsidRPr="00616E2B">
                <w:rPr>
                  <w:rStyle w:val="Hyperlink"/>
                </w:rPr>
                <w:t>ASIC Derivative Transaction Rules (Reporting) Determination 2018/1096</w:t>
              </w:r>
            </w:hyperlink>
            <w:r w:rsidR="00616E2B">
              <w:t xml:space="preserve"> (PDF 105 KB)</w:t>
            </w:r>
          </w:p>
        </w:tc>
        <w:tc>
          <w:tcPr>
            <w:tcW w:w="0" w:type="auto"/>
          </w:tcPr>
          <w:p w14:paraId="5B583CCF" w14:textId="33ABBAB5" w:rsidR="005D5967" w:rsidRDefault="005D5967" w:rsidP="00355775">
            <w:pPr>
              <w:pStyle w:val="tbltext"/>
            </w:pPr>
            <w:r>
              <w:t xml:space="preserve">Determines equity derivatives, </w:t>
            </w:r>
            <w:r w:rsidR="00485625">
              <w:t>contracts for difference (</w:t>
            </w:r>
            <w:r>
              <w:t>CFD</w:t>
            </w:r>
            <w:r w:rsidR="00485625">
              <w:t>)</w:t>
            </w:r>
            <w:r>
              <w:t xml:space="preserve"> derivatives, </w:t>
            </w:r>
            <w:r w:rsidR="00485625">
              <w:t xml:space="preserve">margin </w:t>
            </w:r>
            <w:r>
              <w:t xml:space="preserve">FX </w:t>
            </w:r>
            <w:r w:rsidR="00485625">
              <w:t xml:space="preserve">(foreign exchange) </w:t>
            </w:r>
            <w:r>
              <w:t xml:space="preserve">derivatives and CFD-like derivatives as </w:t>
            </w:r>
            <w:r w:rsidR="00485625">
              <w:t xml:space="preserve">excluded derivatives </w:t>
            </w:r>
            <w:r>
              <w:t>for which ‘</w:t>
            </w:r>
            <w:r w:rsidR="00E557A8">
              <w:t>lifecycle</w:t>
            </w:r>
            <w:r>
              <w:t>’ reporting applies</w:t>
            </w:r>
          </w:p>
        </w:tc>
      </w:tr>
      <w:tr w:rsidR="00F120A7" w:rsidRPr="000540E1" w14:paraId="42BD1EBE" w14:textId="77777777" w:rsidTr="00355775">
        <w:trPr>
          <w:cantSplit/>
        </w:trPr>
        <w:tc>
          <w:tcPr>
            <w:tcW w:w="0" w:type="auto"/>
          </w:tcPr>
          <w:p w14:paraId="1D71F2E5" w14:textId="581DC308" w:rsidR="005D5967" w:rsidRDefault="007055A5" w:rsidP="00355775">
            <w:pPr>
              <w:pStyle w:val="tbltext"/>
            </w:pPr>
            <w:hyperlink r:id="rId24" w:history="1">
              <w:r w:rsidR="005D5967" w:rsidRPr="00517DCC">
                <w:rPr>
                  <w:rStyle w:val="Hyperlink"/>
                </w:rPr>
                <w:t>ASIC Derivative Transaction Rules (Nexus Derivatives) Class Exemption 2015</w:t>
              </w:r>
            </w:hyperlink>
          </w:p>
        </w:tc>
        <w:tc>
          <w:tcPr>
            <w:tcW w:w="0" w:type="auto"/>
          </w:tcPr>
          <w:p w14:paraId="377FF3EA" w14:textId="3FF68B98" w:rsidR="005D5967" w:rsidRDefault="005D5967" w:rsidP="00355775">
            <w:pPr>
              <w:pStyle w:val="tbltext"/>
            </w:pPr>
            <w:r>
              <w:t xml:space="preserve">Provides that </w:t>
            </w:r>
            <w:r w:rsidRPr="00F63207">
              <w:t xml:space="preserve">foreign reporting entities </w:t>
            </w:r>
            <w:r>
              <w:t xml:space="preserve">may opt-in </w:t>
            </w:r>
            <w:r w:rsidRPr="00F63207">
              <w:t>to appl</w:t>
            </w:r>
            <w:r>
              <w:t>ying</w:t>
            </w:r>
            <w:r w:rsidRPr="00F63207">
              <w:t xml:space="preserve"> a </w:t>
            </w:r>
            <w:r>
              <w:t xml:space="preserve">‘sales or trader basis’ </w:t>
            </w:r>
            <w:r w:rsidRPr="00F63207">
              <w:t>test</w:t>
            </w:r>
            <w:r>
              <w:t xml:space="preserve"> to the ‘entered into’ test to determine ASIC-reportable transactions</w:t>
            </w:r>
          </w:p>
        </w:tc>
      </w:tr>
      <w:tr w:rsidR="00F120A7" w:rsidRPr="000540E1" w14:paraId="6BA7D948" w14:textId="77777777" w:rsidTr="00355775">
        <w:trPr>
          <w:cantSplit/>
        </w:trPr>
        <w:tc>
          <w:tcPr>
            <w:tcW w:w="0" w:type="auto"/>
          </w:tcPr>
          <w:p w14:paraId="6C51247B" w14:textId="08CFF5F5" w:rsidR="005D5967" w:rsidRPr="00F63207" w:rsidRDefault="007055A5" w:rsidP="00355775">
            <w:pPr>
              <w:pStyle w:val="tbltext"/>
            </w:pPr>
            <w:hyperlink r:id="rId25" w:history="1">
              <w:r w:rsidR="005D5967" w:rsidRPr="00616E2B">
                <w:rPr>
                  <w:rStyle w:val="Hyperlink"/>
                </w:rPr>
                <w:t>ASIC Corporations (Derivative Transaction Reporting Exemption) Instrument 2016/0688</w:t>
              </w:r>
            </w:hyperlink>
          </w:p>
        </w:tc>
        <w:tc>
          <w:tcPr>
            <w:tcW w:w="0" w:type="auto"/>
          </w:tcPr>
          <w:p w14:paraId="7FF16B21" w14:textId="77777777" w:rsidR="005D5967" w:rsidRDefault="005D5967" w:rsidP="00355775">
            <w:pPr>
              <w:pStyle w:val="tbltext"/>
            </w:pPr>
            <w:r>
              <w:t>Having regard to the agency OTC clearing model of ASX Clear (Futures) for affiliates and clients, the clearing participant is exempt from reporting cleared transactions with ASX Clear (Futures) that are entered into by an affiliate or client</w:t>
            </w:r>
          </w:p>
        </w:tc>
      </w:tr>
      <w:tr w:rsidR="00F120A7" w:rsidRPr="000540E1" w14:paraId="2755A643" w14:textId="77777777" w:rsidTr="00355775">
        <w:trPr>
          <w:cantSplit/>
        </w:trPr>
        <w:tc>
          <w:tcPr>
            <w:tcW w:w="0" w:type="auto"/>
          </w:tcPr>
          <w:p w14:paraId="21478895" w14:textId="2D1B68A2" w:rsidR="005D5967" w:rsidRDefault="007055A5" w:rsidP="00355775">
            <w:pPr>
              <w:pStyle w:val="tbltext"/>
            </w:pPr>
            <w:hyperlink r:id="rId26" w:history="1">
              <w:r w:rsidR="005D5967" w:rsidRPr="00616E2B">
                <w:rPr>
                  <w:rStyle w:val="Hyperlink"/>
                </w:rPr>
                <w:t>ASIC Corporations (Derivative Transaction Reporting Exemption) Instrument 2015/844</w:t>
              </w:r>
            </w:hyperlink>
          </w:p>
        </w:tc>
        <w:tc>
          <w:tcPr>
            <w:tcW w:w="0" w:type="auto"/>
          </w:tcPr>
          <w:p w14:paraId="504F857C" w14:textId="77777777" w:rsidR="005D5967" w:rsidRDefault="005D5967" w:rsidP="00355775">
            <w:pPr>
              <w:pStyle w:val="tbltext"/>
            </w:pPr>
            <w:r>
              <w:t>Until 30 September 2022, transaction reporting exemptions for:</w:t>
            </w:r>
          </w:p>
          <w:p w14:paraId="15C0B938" w14:textId="1B0B4805" w:rsidR="005D5967" w:rsidRDefault="005D5967" w:rsidP="00355775">
            <w:pPr>
              <w:pStyle w:val="tablebullet"/>
            </w:pPr>
            <w:r>
              <w:t xml:space="preserve">exchange-traded derivatives traded on other than a </w:t>
            </w:r>
            <w:r w:rsidR="00485625">
              <w:t>regulated foreign market</w:t>
            </w:r>
          </w:p>
          <w:p w14:paraId="1D8E64A6" w14:textId="77777777" w:rsidR="005D5967" w:rsidRDefault="005D5967" w:rsidP="00355775">
            <w:pPr>
              <w:pStyle w:val="tablebullet"/>
            </w:pPr>
            <w:r>
              <w:t>entity name information where entity identifiers of certain types are reported</w:t>
            </w:r>
          </w:p>
          <w:p w14:paraId="7AB7FCD5" w14:textId="77777777" w:rsidR="005D5967" w:rsidRDefault="005D5967" w:rsidP="00355775">
            <w:pPr>
              <w:pStyle w:val="tablebullet"/>
            </w:pPr>
            <w:r>
              <w:t>unique transaction identifiers other than identifiers generated under CFTC rules or by certain trading platforms or confirmation platforms</w:t>
            </w:r>
          </w:p>
          <w:p w14:paraId="7F6B70FC" w14:textId="77777777" w:rsidR="005D5967" w:rsidRDefault="005D5967" w:rsidP="00355775">
            <w:pPr>
              <w:pStyle w:val="tablebullet"/>
            </w:pPr>
            <w:r>
              <w:t>short-dated foreign exchange transactions entered into to facilitate settlement of transactions in foreign currency denominated securities</w:t>
            </w:r>
          </w:p>
          <w:p w14:paraId="57DA6C41" w14:textId="3A7A0B18" w:rsidR="005D5967" w:rsidRDefault="00485625" w:rsidP="00355775">
            <w:pPr>
              <w:pStyle w:val="tbltext"/>
            </w:pPr>
            <w:r>
              <w:t>Also,</w:t>
            </w:r>
            <w:r w:rsidR="005D5967">
              <w:t xml:space="preserve"> transaction reporting exemptions for:</w:t>
            </w:r>
          </w:p>
          <w:p w14:paraId="7177EB6D" w14:textId="77777777" w:rsidR="005D5967" w:rsidRDefault="005D5967" w:rsidP="00355775">
            <w:pPr>
              <w:pStyle w:val="tablebullet"/>
            </w:pPr>
            <w:r>
              <w:t>entity identifiers where entity identifiers of certain types are applied for within two business days</w:t>
            </w:r>
          </w:p>
          <w:p w14:paraId="208FB16E" w14:textId="77777777" w:rsidR="005D5967" w:rsidRDefault="005D5967" w:rsidP="00355775">
            <w:pPr>
              <w:pStyle w:val="tablebullet"/>
            </w:pPr>
            <w:r>
              <w:t>entity identifiers for certain types of foreign counterparties in transactions entered into by NZ registered banks</w:t>
            </w:r>
          </w:p>
          <w:p w14:paraId="4396941D" w14:textId="77777777" w:rsidR="005D5967" w:rsidRDefault="005D5967" w:rsidP="00355775">
            <w:pPr>
              <w:pStyle w:val="tablebullet"/>
            </w:pPr>
            <w:r>
              <w:t>entity identifiers for counterparties who have entered into transactions as joint or joint and several counterparties</w:t>
            </w:r>
          </w:p>
          <w:p w14:paraId="02BCFD7F" w14:textId="77777777" w:rsidR="005D5967" w:rsidRDefault="005D5967" w:rsidP="00355775">
            <w:pPr>
              <w:pStyle w:val="tablebullet"/>
            </w:pPr>
            <w:r>
              <w:t>reference entity identifiers for certain types of credit derivatives where an identifier of a certain type is reported</w:t>
            </w:r>
          </w:p>
        </w:tc>
      </w:tr>
    </w:tbl>
    <w:p w14:paraId="4ECAE5BE" w14:textId="77777777" w:rsidR="005D5967" w:rsidRDefault="005D5967" w:rsidP="005D5967">
      <w:pPr>
        <w:pStyle w:val="Heading2"/>
      </w:pPr>
      <w:bookmarkStart w:id="17" w:name="_Toc57146470"/>
      <w:r>
        <w:t>What we are doing now</w:t>
      </w:r>
      <w:bookmarkEnd w:id="17"/>
    </w:p>
    <w:p w14:paraId="58DC776C" w14:textId="77777777" w:rsidR="005D5967" w:rsidRDefault="005D5967" w:rsidP="0038359F">
      <w:pPr>
        <w:pStyle w:val="BodyText"/>
      </w:pPr>
      <w:r>
        <w:t>We are proposing to update the ASIC Rules so that they are:</w:t>
      </w:r>
    </w:p>
    <w:p w14:paraId="1CDE5C6D" w14:textId="19CA3FE0" w:rsidR="005D5967" w:rsidRDefault="005D5967" w:rsidP="0038359F">
      <w:pPr>
        <w:pStyle w:val="subparaa"/>
      </w:pPr>
      <w:r>
        <w:t xml:space="preserve">harmonised to international standards resulting in </w:t>
      </w:r>
      <w:r w:rsidR="002B1780">
        <w:t xml:space="preserve">reduced cost and complexity for industry, </w:t>
      </w:r>
      <w:r>
        <w:t xml:space="preserve">improved data quality for </w:t>
      </w:r>
      <w:r w:rsidR="00DB565B">
        <w:t>the Australian regulators</w:t>
      </w:r>
      <w:r>
        <w:t>, more comprehensive and fit-for-purpose trade details and improved inter-jurisdictional data handling;</w:t>
      </w:r>
    </w:p>
    <w:p w14:paraId="198C948C" w14:textId="77777777" w:rsidR="005D5967" w:rsidRDefault="005D5967" w:rsidP="00810260">
      <w:pPr>
        <w:pStyle w:val="subparaa"/>
      </w:pPr>
      <w:r>
        <w:t>simplified by the removal of outdated transitional provisions and consolidation of exemptions within the ASIC Rules; and</w:t>
      </w:r>
    </w:p>
    <w:p w14:paraId="412B7542" w14:textId="0E3FA8C5" w:rsidR="005D5967" w:rsidRDefault="005D5967" w:rsidP="00810260">
      <w:pPr>
        <w:pStyle w:val="subparaa"/>
      </w:pPr>
      <w:bookmarkStart w:id="18" w:name="_Hlk57199962"/>
      <w:r>
        <w:t xml:space="preserve">fit-for-purpose as to the scope of reporting entities, derivative products </w:t>
      </w:r>
      <w:r w:rsidR="006D45EB">
        <w:t xml:space="preserve">and </w:t>
      </w:r>
      <w:r w:rsidR="00E557A8">
        <w:t>lifecycle</w:t>
      </w:r>
      <w:r>
        <w:t xml:space="preserve"> transaction events that are subject to the ASIC Rules and clear as to the roles and responsibilities of entities submitting derivative transaction reports.</w:t>
      </w:r>
    </w:p>
    <w:bookmarkEnd w:id="18"/>
    <w:p w14:paraId="3B3E39DF" w14:textId="4E243B53" w:rsidR="005D5967" w:rsidRDefault="005D5967" w:rsidP="00810260">
      <w:pPr>
        <w:pStyle w:val="BodyText"/>
      </w:pPr>
      <w:r>
        <w:t xml:space="preserve">Our proposals principally focus on rule changes to fully implement the harmonised international transaction identifiers, product identifiers, common transaction data </w:t>
      </w:r>
      <w:r w:rsidR="001156A2">
        <w:t>element</w:t>
      </w:r>
      <w:r>
        <w:t xml:space="preserve">s and </w:t>
      </w:r>
      <w:r w:rsidR="00783596">
        <w:t xml:space="preserve">entity </w:t>
      </w:r>
      <w:r>
        <w:t>identifiers of the:</w:t>
      </w:r>
    </w:p>
    <w:p w14:paraId="5D3EF222" w14:textId="7C0D8929" w:rsidR="005D5967" w:rsidRPr="00485625" w:rsidRDefault="00485625" w:rsidP="00810260">
      <w:pPr>
        <w:pStyle w:val="subparaa"/>
      </w:pPr>
      <w:r w:rsidRPr="00485625">
        <w:t xml:space="preserve">unique transaction identifier </w:t>
      </w:r>
      <w:r w:rsidR="005D5967" w:rsidRPr="00485625">
        <w:t>(</w:t>
      </w:r>
      <w:r w:rsidR="005D5967" w:rsidRPr="00405E83">
        <w:t>UTI</w:t>
      </w:r>
      <w:r w:rsidR="005D5967" w:rsidRPr="00485625">
        <w:t>);</w:t>
      </w:r>
    </w:p>
    <w:p w14:paraId="52DBDF30" w14:textId="6B0E64F2" w:rsidR="005D5967" w:rsidRPr="00485625" w:rsidRDefault="00485625" w:rsidP="00810260">
      <w:pPr>
        <w:pStyle w:val="subparaa"/>
      </w:pPr>
      <w:r w:rsidRPr="00485625">
        <w:t xml:space="preserve">unique product identifier </w:t>
      </w:r>
      <w:r w:rsidR="005D5967" w:rsidRPr="00485625">
        <w:t>(</w:t>
      </w:r>
      <w:r w:rsidR="005D5967" w:rsidRPr="00405E83">
        <w:t>UPI</w:t>
      </w:r>
      <w:r w:rsidR="005D5967" w:rsidRPr="00485625">
        <w:t>);</w:t>
      </w:r>
    </w:p>
    <w:p w14:paraId="580E104C" w14:textId="2E013DE6" w:rsidR="005D5967" w:rsidRPr="00485625" w:rsidRDefault="00485625" w:rsidP="00810260">
      <w:pPr>
        <w:pStyle w:val="subparaa"/>
      </w:pPr>
      <w:r w:rsidRPr="00485625">
        <w:t xml:space="preserve">critical data elements </w:t>
      </w:r>
      <w:r w:rsidR="005D5967" w:rsidRPr="00485625">
        <w:t>(</w:t>
      </w:r>
      <w:r w:rsidR="005D5967" w:rsidRPr="00405E83">
        <w:t>CDE</w:t>
      </w:r>
      <w:r w:rsidR="005D5967" w:rsidRPr="00485625">
        <w:t>); and</w:t>
      </w:r>
    </w:p>
    <w:p w14:paraId="2E9427F9" w14:textId="748EAE44" w:rsidR="005D5967" w:rsidRPr="00514E01" w:rsidRDefault="00485625" w:rsidP="00810260">
      <w:pPr>
        <w:pStyle w:val="subparaa"/>
      </w:pPr>
      <w:r>
        <w:t xml:space="preserve">legal entity </w:t>
      </w:r>
      <w:r w:rsidR="00514E01" w:rsidRPr="00514E01">
        <w:t xml:space="preserve">identifier </w:t>
      </w:r>
      <w:r w:rsidR="005D5967" w:rsidRPr="00514E01">
        <w:t>(</w:t>
      </w:r>
      <w:r w:rsidR="005D5967" w:rsidRPr="00405E83">
        <w:t>LEI</w:t>
      </w:r>
      <w:r w:rsidR="005D5967" w:rsidRPr="00514E01">
        <w:t>).</w:t>
      </w:r>
    </w:p>
    <w:p w14:paraId="04CE58AC" w14:textId="080926C0" w:rsidR="005D5967" w:rsidRDefault="00514E01" w:rsidP="00810260">
      <w:pPr>
        <w:pStyle w:val="Bodytextplain"/>
      </w:pPr>
      <w:r>
        <w:lastRenderedPageBreak/>
        <w:t xml:space="preserve">These proposed changes are </w:t>
      </w:r>
      <w:r w:rsidR="005D5967">
        <w:t>in line with Australia’s G20 commitments and the Financial Stability Board</w:t>
      </w:r>
      <w:r>
        <w:t xml:space="preserve"> (FSB)</w:t>
      </w:r>
      <w:r w:rsidR="005D5967">
        <w:t>’s expectations.</w:t>
      </w:r>
    </w:p>
    <w:p w14:paraId="7B2C7075" w14:textId="1858B7D8" w:rsidR="005D5967" w:rsidRDefault="005D5967" w:rsidP="00810260">
      <w:pPr>
        <w:pStyle w:val="BodyText"/>
      </w:pPr>
      <w:r>
        <w:t xml:space="preserve">Our proposals also consider rule changes </w:t>
      </w:r>
      <w:r w:rsidR="00536019">
        <w:t xml:space="preserve">to </w:t>
      </w:r>
      <w:r>
        <w:t>make the ASIC Rules more fit</w:t>
      </w:r>
      <w:r w:rsidR="00514E01">
        <w:t xml:space="preserve"> </w:t>
      </w:r>
      <w:r>
        <w:t>for</w:t>
      </w:r>
      <w:r w:rsidR="00514E01">
        <w:t xml:space="preserve"> </w:t>
      </w:r>
      <w:r>
        <w:t>purpose in terms of</w:t>
      </w:r>
      <w:r w:rsidR="00536019">
        <w:t>:</w:t>
      </w:r>
    </w:p>
    <w:p w14:paraId="72E33E9F" w14:textId="6B00D95F" w:rsidR="005D5967" w:rsidRPr="00650828" w:rsidRDefault="005D5967" w:rsidP="00810260">
      <w:pPr>
        <w:pStyle w:val="subparaa"/>
        <w:rPr>
          <w:lang w:val="en"/>
        </w:rPr>
      </w:pPr>
      <w:r w:rsidRPr="00650828">
        <w:rPr>
          <w:lang w:val="en"/>
        </w:rPr>
        <w:t>removal of outdated transitional implementation provisions</w:t>
      </w:r>
      <w:r w:rsidR="002B31B7">
        <w:rPr>
          <w:lang w:val="en"/>
        </w:rPr>
        <w:t>;</w:t>
      </w:r>
    </w:p>
    <w:p w14:paraId="12E65F5D" w14:textId="1AA00068" w:rsidR="005D5967" w:rsidRPr="00650828" w:rsidRDefault="005D5967" w:rsidP="00810260">
      <w:pPr>
        <w:pStyle w:val="subparaa"/>
        <w:rPr>
          <w:lang w:val="en"/>
        </w:rPr>
      </w:pPr>
      <w:r w:rsidRPr="00650828">
        <w:rPr>
          <w:lang w:val="en"/>
        </w:rPr>
        <w:t xml:space="preserve">consolidating reporting exemptions within the </w:t>
      </w:r>
      <w:r w:rsidR="00E557A8">
        <w:rPr>
          <w:lang w:val="en"/>
        </w:rPr>
        <w:t>ASIC Rules</w:t>
      </w:r>
      <w:r w:rsidR="002B31B7">
        <w:rPr>
          <w:lang w:val="en"/>
        </w:rPr>
        <w:t>;</w:t>
      </w:r>
    </w:p>
    <w:p w14:paraId="2AE5212B" w14:textId="073C6908" w:rsidR="005D5967" w:rsidRPr="00650828" w:rsidRDefault="005D5967" w:rsidP="00810260">
      <w:pPr>
        <w:pStyle w:val="subparaa"/>
        <w:rPr>
          <w:lang w:val="en"/>
        </w:rPr>
      </w:pPr>
      <w:r>
        <w:rPr>
          <w:lang w:val="en"/>
        </w:rPr>
        <w:t>c</w:t>
      </w:r>
      <w:r w:rsidRPr="00650828">
        <w:rPr>
          <w:lang w:val="en"/>
        </w:rPr>
        <w:t>overage scope of reporting entities</w:t>
      </w:r>
      <w:r w:rsidR="002B31B7">
        <w:rPr>
          <w:lang w:val="en"/>
        </w:rPr>
        <w:t>;</w:t>
      </w:r>
    </w:p>
    <w:p w14:paraId="333632CF" w14:textId="339603D1" w:rsidR="005D5967" w:rsidRPr="00650828" w:rsidRDefault="005D5967" w:rsidP="00810260">
      <w:pPr>
        <w:pStyle w:val="subparaa"/>
        <w:rPr>
          <w:lang w:val="en"/>
        </w:rPr>
      </w:pPr>
      <w:r w:rsidRPr="00650828">
        <w:rPr>
          <w:lang w:val="en"/>
        </w:rPr>
        <w:t>coverage scope of reportable transactions</w:t>
      </w:r>
      <w:r w:rsidR="002B31B7">
        <w:rPr>
          <w:lang w:val="en"/>
        </w:rPr>
        <w:t>;</w:t>
      </w:r>
    </w:p>
    <w:p w14:paraId="4147EDEA" w14:textId="1D1D2D56" w:rsidR="005D5967" w:rsidRPr="00650828" w:rsidRDefault="005D5967" w:rsidP="00810260">
      <w:pPr>
        <w:pStyle w:val="subparaa"/>
        <w:rPr>
          <w:lang w:val="en"/>
        </w:rPr>
      </w:pPr>
      <w:r w:rsidRPr="00650828">
        <w:rPr>
          <w:lang w:val="en"/>
        </w:rPr>
        <w:t xml:space="preserve">coverage scope of </w:t>
      </w:r>
      <w:r w:rsidR="00E557A8">
        <w:rPr>
          <w:lang w:val="en"/>
        </w:rPr>
        <w:t>lifecycle</w:t>
      </w:r>
      <w:r w:rsidRPr="00650828">
        <w:rPr>
          <w:lang w:val="en"/>
        </w:rPr>
        <w:t xml:space="preserve"> reporting</w:t>
      </w:r>
      <w:r w:rsidR="002B31B7">
        <w:rPr>
          <w:lang w:val="en"/>
        </w:rPr>
        <w:t>;</w:t>
      </w:r>
    </w:p>
    <w:p w14:paraId="7F7F051E" w14:textId="1173F538" w:rsidR="005D5967" w:rsidRPr="00650828" w:rsidRDefault="005D5967" w:rsidP="00810260">
      <w:pPr>
        <w:pStyle w:val="subparaa"/>
        <w:rPr>
          <w:lang w:val="en"/>
        </w:rPr>
      </w:pPr>
      <w:r w:rsidRPr="00650828">
        <w:rPr>
          <w:lang w:val="en"/>
        </w:rPr>
        <w:t>alternative reporting provisions</w:t>
      </w:r>
      <w:r w:rsidR="002B31B7">
        <w:rPr>
          <w:lang w:val="en"/>
        </w:rPr>
        <w:t>; and</w:t>
      </w:r>
    </w:p>
    <w:p w14:paraId="46F44B4E" w14:textId="77777777" w:rsidR="005D5967" w:rsidRPr="00650828" w:rsidRDefault="005D5967" w:rsidP="00810260">
      <w:pPr>
        <w:pStyle w:val="subparaa"/>
        <w:rPr>
          <w:lang w:val="en"/>
        </w:rPr>
      </w:pPr>
      <w:r w:rsidRPr="00650828">
        <w:rPr>
          <w:lang w:val="en"/>
        </w:rPr>
        <w:t>delegated reporting provisions.</w:t>
      </w:r>
    </w:p>
    <w:p w14:paraId="33C7FCCD" w14:textId="0BC6A3FC" w:rsidR="009D6B79" w:rsidRDefault="009D6B79" w:rsidP="009D6B79">
      <w:pPr>
        <w:pStyle w:val="Heading3"/>
      </w:pPr>
      <w:r>
        <w:t>Our two-round consultation plans</w:t>
      </w:r>
    </w:p>
    <w:p w14:paraId="5C3ADB8F" w14:textId="50907B91" w:rsidR="00720AE8" w:rsidRDefault="00514E01" w:rsidP="00720AE8">
      <w:pPr>
        <w:pStyle w:val="BodyText"/>
      </w:pPr>
      <w:r>
        <w:t xml:space="preserve">Section 901J </w:t>
      </w:r>
      <w:r w:rsidR="00720AE8">
        <w:t xml:space="preserve">of the </w:t>
      </w:r>
      <w:r>
        <w:t xml:space="preserve">Corporations </w:t>
      </w:r>
      <w:r w:rsidR="00720AE8">
        <w:t xml:space="preserve">Act provides that ASIC must not make a derivative transaction rule unless </w:t>
      </w:r>
      <w:r>
        <w:t xml:space="preserve">it </w:t>
      </w:r>
      <w:r w:rsidR="00720AE8">
        <w:t xml:space="preserve">has consulted the public about the proposed rule and has also consulted </w:t>
      </w:r>
      <w:r>
        <w:t xml:space="preserve">the Australian Prudential Regulation Authority </w:t>
      </w:r>
      <w:r w:rsidR="00720AE8">
        <w:t>and the Reserve Bank of Australia.</w:t>
      </w:r>
    </w:p>
    <w:p w14:paraId="5905EF24" w14:textId="251F93D3" w:rsidR="00720AE8" w:rsidRDefault="00514E01" w:rsidP="00720AE8">
      <w:pPr>
        <w:pStyle w:val="BodyText"/>
      </w:pPr>
      <w:r>
        <w:t xml:space="preserve">Section 901K </w:t>
      </w:r>
      <w:r w:rsidR="00720AE8">
        <w:t xml:space="preserve">of the </w:t>
      </w:r>
      <w:r>
        <w:t xml:space="preserve">Corporations </w:t>
      </w:r>
      <w:r w:rsidR="00720AE8">
        <w:t>Act provides that ASIC must not make a derivative transaction rule unless the Minister has consented, in writing, to making the rule.</w:t>
      </w:r>
    </w:p>
    <w:p w14:paraId="24F9CF79" w14:textId="4776DDC5" w:rsidR="005D5967" w:rsidRDefault="00355775" w:rsidP="00810260">
      <w:pPr>
        <w:pStyle w:val="BodyText"/>
      </w:pPr>
      <w:r>
        <w:t xml:space="preserve">The scope of our proposals </w:t>
      </w:r>
      <w:r w:rsidR="005D5967">
        <w:t>is dominated by international harmonisation objectives but there is an inherent interdependency among all the jurisdictions with trade reporting obligations</w:t>
      </w:r>
      <w:r w:rsidR="00514E01" w:rsidRPr="00C1300B">
        <w:t>—</w:t>
      </w:r>
      <w:r w:rsidR="005D5967">
        <w:t>for example,</w:t>
      </w:r>
      <w:r w:rsidR="00255E95">
        <w:t xml:space="preserve"> </w:t>
      </w:r>
      <w:r w:rsidR="005D5967">
        <w:t>a globally unique UTI depends on all jurisdictions’ rules in all circumstances producing the outcome that both parties to a transaction, in complying with their relevant jurisdiction’s rules, clearly know which of the parties will generate the UTI</w:t>
      </w:r>
      <w:r>
        <w:t>.</w:t>
      </w:r>
    </w:p>
    <w:p w14:paraId="1E990A29" w14:textId="2F307296" w:rsidR="005D5967" w:rsidRDefault="00C360C3" w:rsidP="00810260">
      <w:pPr>
        <w:pStyle w:val="BodyText"/>
      </w:pPr>
      <w:bookmarkStart w:id="19" w:name="_Hlk57199908"/>
      <w:r w:rsidRPr="00C360C3">
        <w:t xml:space="preserve">However, given that the final rules of most international jurisdictions are still to be settled, we are planning for two rounds of consultation over the next year. This first consultation sets out our current proposals. </w:t>
      </w:r>
      <w:r w:rsidR="00E30A53">
        <w:t>The</w:t>
      </w:r>
      <w:r w:rsidRPr="00C360C3">
        <w:t xml:space="preserve"> second consultation in Q2 2021 intends to present our final proposals which will take into account </w:t>
      </w:r>
      <w:r w:rsidR="006D45EB">
        <w:t xml:space="preserve">responses to this consultation and </w:t>
      </w:r>
      <w:r w:rsidRPr="00C360C3">
        <w:t>further rules development in overseas jurisdictions and any developments in the international standards themselves.</w:t>
      </w:r>
    </w:p>
    <w:bookmarkEnd w:id="19"/>
    <w:p w14:paraId="70277905" w14:textId="4F3AE81A" w:rsidR="005D5967" w:rsidRPr="00895CC4" w:rsidRDefault="005505AB" w:rsidP="00810260">
      <w:pPr>
        <w:pStyle w:val="BodyText"/>
        <w:rPr>
          <w:spacing w:val="-2"/>
        </w:rPr>
      </w:pPr>
      <w:r w:rsidRPr="00895CC4">
        <w:rPr>
          <w:spacing w:val="-2"/>
        </w:rPr>
        <w:t>The timeframe for this</w:t>
      </w:r>
      <w:r w:rsidR="00E30A53" w:rsidRPr="00895CC4">
        <w:rPr>
          <w:spacing w:val="-2"/>
        </w:rPr>
        <w:t xml:space="preserve"> first c</w:t>
      </w:r>
      <w:r w:rsidR="001D7A22" w:rsidRPr="00895CC4">
        <w:rPr>
          <w:spacing w:val="-2"/>
        </w:rPr>
        <w:t xml:space="preserve">onsultation </w:t>
      </w:r>
      <w:r w:rsidRPr="00895CC4">
        <w:rPr>
          <w:spacing w:val="-2"/>
        </w:rPr>
        <w:t xml:space="preserve">is </w:t>
      </w:r>
      <w:r w:rsidR="001D7A22" w:rsidRPr="00895CC4">
        <w:rPr>
          <w:spacing w:val="-2"/>
        </w:rPr>
        <w:t>November 2020 to February 2021</w:t>
      </w:r>
      <w:r w:rsidRPr="00895CC4">
        <w:rPr>
          <w:spacing w:val="-2"/>
        </w:rPr>
        <w:t>,</w:t>
      </w:r>
      <w:r w:rsidR="001D7A22" w:rsidRPr="00895CC4">
        <w:rPr>
          <w:spacing w:val="-2"/>
        </w:rPr>
        <w:t xml:space="preserve"> </w:t>
      </w:r>
      <w:r w:rsidRPr="00895CC4">
        <w:rPr>
          <w:spacing w:val="-2"/>
        </w:rPr>
        <w:t xml:space="preserve">with </w:t>
      </w:r>
      <w:r w:rsidR="00E30A53" w:rsidRPr="00895CC4">
        <w:rPr>
          <w:spacing w:val="-2"/>
        </w:rPr>
        <w:t>a second round of c</w:t>
      </w:r>
      <w:r w:rsidR="001D7A22" w:rsidRPr="00895CC4">
        <w:rPr>
          <w:spacing w:val="-2"/>
        </w:rPr>
        <w:t>onsultation in May 2021 to Jun</w:t>
      </w:r>
      <w:r w:rsidR="00C54833" w:rsidRPr="00895CC4">
        <w:rPr>
          <w:spacing w:val="-2"/>
        </w:rPr>
        <w:t>e</w:t>
      </w:r>
      <w:r w:rsidR="001D7A22" w:rsidRPr="00895CC4">
        <w:rPr>
          <w:spacing w:val="-2"/>
        </w:rPr>
        <w:t xml:space="preserve"> 2021</w:t>
      </w:r>
      <w:r w:rsidRPr="00895CC4">
        <w:rPr>
          <w:spacing w:val="-2"/>
        </w:rPr>
        <w:t>.</w:t>
      </w:r>
      <w:r w:rsidR="001D7A22" w:rsidRPr="00895CC4">
        <w:rPr>
          <w:spacing w:val="-2"/>
        </w:rPr>
        <w:t xml:space="preserve"> </w:t>
      </w:r>
      <w:r w:rsidRPr="00895CC4">
        <w:rPr>
          <w:spacing w:val="-2"/>
        </w:rPr>
        <w:t xml:space="preserve">We plan to make </w:t>
      </w:r>
      <w:r w:rsidR="001D7A22" w:rsidRPr="00895CC4">
        <w:rPr>
          <w:spacing w:val="-2"/>
        </w:rPr>
        <w:t xml:space="preserve">the updated </w:t>
      </w:r>
      <w:r w:rsidR="00E30A53" w:rsidRPr="00895CC4">
        <w:rPr>
          <w:spacing w:val="-2"/>
        </w:rPr>
        <w:t xml:space="preserve">ASIC </w:t>
      </w:r>
      <w:r w:rsidR="001D7A22" w:rsidRPr="00895CC4">
        <w:rPr>
          <w:spacing w:val="-2"/>
        </w:rPr>
        <w:t>Rules by Q3</w:t>
      </w:r>
      <w:r w:rsidR="00C54833" w:rsidRPr="00895CC4">
        <w:rPr>
          <w:spacing w:val="-2"/>
        </w:rPr>
        <w:t>–</w:t>
      </w:r>
      <w:r w:rsidR="001D7A22" w:rsidRPr="00895CC4">
        <w:rPr>
          <w:spacing w:val="-2"/>
        </w:rPr>
        <w:t>Q4 2021</w:t>
      </w:r>
      <w:r w:rsidRPr="00895CC4">
        <w:rPr>
          <w:spacing w:val="-2"/>
        </w:rPr>
        <w:t>,</w:t>
      </w:r>
      <w:r w:rsidR="001D7A22" w:rsidRPr="00895CC4">
        <w:rPr>
          <w:spacing w:val="-2"/>
        </w:rPr>
        <w:t xml:space="preserve"> effective from Q3</w:t>
      </w:r>
      <w:r w:rsidR="00C54833" w:rsidRPr="00895CC4">
        <w:rPr>
          <w:spacing w:val="-2"/>
        </w:rPr>
        <w:t>–</w:t>
      </w:r>
      <w:r w:rsidR="001D7A22" w:rsidRPr="00895CC4">
        <w:rPr>
          <w:spacing w:val="-2"/>
        </w:rPr>
        <w:t>Q4 2022.</w:t>
      </w:r>
    </w:p>
    <w:p w14:paraId="2F905C79" w14:textId="59339769" w:rsidR="005D5967" w:rsidRDefault="005D5967" w:rsidP="0089751A">
      <w:pPr>
        <w:pStyle w:val="BodyText"/>
      </w:pPr>
      <w:r>
        <w:lastRenderedPageBreak/>
        <w:t>We welcome your feedback on the proposals in this consultation paper</w:t>
      </w:r>
      <w:r w:rsidR="008B74D7">
        <w:t xml:space="preserve">, in particular where we are requesting information from stakeholders to inform the development or refinement of proposals that we may make in the second round of consultation. </w:t>
      </w:r>
      <w:r>
        <w:t>We also welcome your feedback on any additional proposals you may have to improve the ASIC Rules</w:t>
      </w:r>
      <w:r w:rsidR="008B74D7">
        <w:t>.</w:t>
      </w:r>
    </w:p>
    <w:p w14:paraId="46C21245" w14:textId="4A507893" w:rsidR="00197752" w:rsidRPr="00197752" w:rsidRDefault="00197752" w:rsidP="00197752">
      <w:pPr>
        <w:pStyle w:val="Heading3"/>
      </w:pPr>
      <w:r w:rsidRPr="00197752">
        <w:t>Note on interpretation</w:t>
      </w:r>
    </w:p>
    <w:p w14:paraId="1C8550DE" w14:textId="0D6D4AC2" w:rsidR="00742434" w:rsidRPr="00197752" w:rsidRDefault="00197752" w:rsidP="00197752">
      <w:pPr>
        <w:pStyle w:val="BodyText"/>
      </w:pPr>
      <w:r w:rsidRPr="00197752">
        <w:t xml:space="preserve">Words and expressions defined in the </w:t>
      </w:r>
      <w:r w:rsidR="000B6930">
        <w:t xml:space="preserve">Corporations </w:t>
      </w:r>
      <w:r w:rsidRPr="00197752">
        <w:t>Act and the ASIC Rules will, unless otherwise defined or specified in this consultation paper or the contrary intention appears, have the same meaning in this consultation paper.</w:t>
      </w:r>
    </w:p>
    <w:p w14:paraId="756CA40B" w14:textId="7B6C3F98" w:rsidR="006256CC" w:rsidRPr="001A1160" w:rsidRDefault="006256CC" w:rsidP="006256CC">
      <w:pPr>
        <w:pStyle w:val="Bodytextplain"/>
      </w:pPr>
      <w:r w:rsidRPr="001A1160">
        <w:rPr>
          <w:b/>
          <w:bCs/>
          <w:i/>
          <w:iCs/>
        </w:rPr>
        <w:t>CFTC</w:t>
      </w:r>
      <w:r w:rsidRPr="001A1160">
        <w:t xml:space="preserve"> means</w:t>
      </w:r>
      <w:r w:rsidR="001A1160" w:rsidRPr="001A1160">
        <w:t xml:space="preserve"> the United States Commodity Futures Trading Commission</w:t>
      </w:r>
      <w:r w:rsidR="007A2EB2">
        <w:t>.</w:t>
      </w:r>
    </w:p>
    <w:p w14:paraId="0BC75F23" w14:textId="02E385FF" w:rsidR="006256CC" w:rsidRPr="00BB69A7" w:rsidRDefault="006256CC" w:rsidP="006256CC">
      <w:pPr>
        <w:pStyle w:val="Bodytextplain"/>
      </w:pPr>
      <w:r w:rsidRPr="00BB69A7">
        <w:rPr>
          <w:b/>
          <w:bCs/>
          <w:i/>
          <w:iCs/>
        </w:rPr>
        <w:t>final CFTC rules</w:t>
      </w:r>
      <w:r w:rsidRPr="00BB69A7">
        <w:t xml:space="preserve"> </w:t>
      </w:r>
      <w:proofErr w:type="gramStart"/>
      <w:r w:rsidRPr="00BB69A7">
        <w:t>means</w:t>
      </w:r>
      <w:proofErr w:type="gramEnd"/>
      <w:r w:rsidR="001A1160" w:rsidRPr="00BB69A7">
        <w:t xml:space="preserve"> </w:t>
      </w:r>
      <w:bookmarkStart w:id="20" w:name="_Hlk54321440"/>
      <w:r w:rsidR="00BB69A7" w:rsidRPr="00BB69A7">
        <w:t xml:space="preserve">the </w:t>
      </w:r>
      <w:r w:rsidR="000B6930">
        <w:t xml:space="preserve">final </w:t>
      </w:r>
      <w:r w:rsidR="00BB69A7">
        <w:t>rule RIN 3038-AE31 for 17 CFR Parts 45, 46 and 49 Swap Data Recordkeeping and Reporting Requirements</w:t>
      </w:r>
      <w:bookmarkEnd w:id="20"/>
      <w:r w:rsidR="00BB69A7">
        <w:t xml:space="preserve"> and </w:t>
      </w:r>
      <w:r w:rsidR="00BB69A7" w:rsidRPr="00BB69A7">
        <w:t xml:space="preserve">the </w:t>
      </w:r>
      <w:r w:rsidR="0001377C">
        <w:t>f</w:t>
      </w:r>
      <w:r w:rsidR="0001377C" w:rsidRPr="00BB69A7">
        <w:t xml:space="preserve">inal </w:t>
      </w:r>
      <w:r w:rsidR="00BB69A7" w:rsidRPr="00BB69A7">
        <w:t>rule RIN 3038-AE</w:t>
      </w:r>
      <w:r w:rsidR="00BB69A7">
        <w:t>60</w:t>
      </w:r>
      <w:r w:rsidR="00BB69A7" w:rsidRPr="00BB69A7">
        <w:t xml:space="preserve"> for 17 CFR Part </w:t>
      </w:r>
      <w:r w:rsidR="00BB69A7">
        <w:t>43</w:t>
      </w:r>
      <w:r w:rsidR="00BB69A7" w:rsidRPr="00BB69A7">
        <w:t xml:space="preserve"> </w:t>
      </w:r>
      <w:r w:rsidR="00BB69A7">
        <w:t>Real-Time Public Reporting Requirements</w:t>
      </w:r>
      <w:r w:rsidR="007A2EB2">
        <w:t>.</w:t>
      </w:r>
    </w:p>
    <w:p w14:paraId="50388F02" w14:textId="2CF8687F" w:rsidR="006256CC" w:rsidRPr="007A2EB2" w:rsidRDefault="006256CC" w:rsidP="006256CC">
      <w:pPr>
        <w:pStyle w:val="Bodytextplain"/>
      </w:pPr>
      <w:r w:rsidRPr="007A2EB2">
        <w:rPr>
          <w:b/>
          <w:bCs/>
          <w:i/>
          <w:iCs/>
        </w:rPr>
        <w:t>ESMA</w:t>
      </w:r>
      <w:r w:rsidRPr="007A2EB2">
        <w:t xml:space="preserve"> means</w:t>
      </w:r>
      <w:r w:rsidR="007A2EB2" w:rsidRPr="007A2EB2">
        <w:t xml:space="preserve"> the European Securities and Markets Authority</w:t>
      </w:r>
      <w:r w:rsidR="007A2EB2">
        <w:t>.</w:t>
      </w:r>
    </w:p>
    <w:p w14:paraId="24D317C5" w14:textId="561FEE81" w:rsidR="006256CC" w:rsidRPr="007A2EB2" w:rsidRDefault="006256CC" w:rsidP="007A2EB2">
      <w:pPr>
        <w:pStyle w:val="Bodytextplain"/>
      </w:pPr>
      <w:r w:rsidRPr="007A2EB2">
        <w:rPr>
          <w:b/>
          <w:bCs/>
          <w:i/>
          <w:iCs/>
        </w:rPr>
        <w:t>ESMA proposals</w:t>
      </w:r>
      <w:r w:rsidRPr="007A2EB2">
        <w:t xml:space="preserve"> means</w:t>
      </w:r>
      <w:r w:rsidR="007A2EB2" w:rsidRPr="007A2EB2">
        <w:t xml:space="preserve"> </w:t>
      </w:r>
      <w:r w:rsidR="007A2EB2" w:rsidRPr="00895CC4">
        <w:rPr>
          <w:i/>
          <w:iCs/>
        </w:rPr>
        <w:t>Consultation Paper</w:t>
      </w:r>
      <w:r w:rsidR="0001377C" w:rsidRPr="00895CC4">
        <w:rPr>
          <w:i/>
          <w:iCs/>
        </w:rPr>
        <w:t>:</w:t>
      </w:r>
      <w:r w:rsidR="007A2EB2" w:rsidRPr="00895CC4">
        <w:rPr>
          <w:i/>
          <w:iCs/>
        </w:rPr>
        <w:t xml:space="preserve"> Technical standards on reporting, data quality, data access and registration of Trade Repositories under EMIR REFIT</w:t>
      </w:r>
      <w:r w:rsidR="0001377C">
        <w:t>,</w:t>
      </w:r>
      <w:r w:rsidR="007A2EB2" w:rsidRPr="007A2EB2">
        <w:t xml:space="preserve"> 26 March 2020</w:t>
      </w:r>
      <w:r w:rsidR="0001377C">
        <w:t>,</w:t>
      </w:r>
      <w:r w:rsidR="007A2EB2" w:rsidRPr="007A2EB2">
        <w:t xml:space="preserve"> ESMA74-362-47</w:t>
      </w:r>
      <w:r w:rsidR="0001377C">
        <w:t>.</w:t>
      </w:r>
    </w:p>
    <w:p w14:paraId="55950C55" w14:textId="6D982F0D" w:rsidR="006256CC" w:rsidRDefault="006256CC" w:rsidP="006256CC">
      <w:pPr>
        <w:pStyle w:val="Bodytextplain"/>
      </w:pPr>
      <w:r w:rsidRPr="007A2EB2">
        <w:rPr>
          <w:b/>
          <w:bCs/>
          <w:i/>
          <w:iCs/>
        </w:rPr>
        <w:t>EU rules</w:t>
      </w:r>
      <w:r w:rsidRPr="007A2EB2">
        <w:t xml:space="preserve"> means</w:t>
      </w:r>
      <w:r w:rsidR="007A2EB2" w:rsidRPr="007A2EB2">
        <w:t xml:space="preserve"> Regulation (EU) No</w:t>
      </w:r>
      <w:r w:rsidR="00AD4A1B">
        <w:t>.</w:t>
      </w:r>
      <w:r w:rsidR="007A2EB2" w:rsidRPr="007A2EB2">
        <w:t xml:space="preserve"> 648/2012 of the European Parliament and Council of 4 July 2012 (EMIR) and Regulation (EU) 2019/834 of the European Parliament and of the Council of 20 May 2019 amending Regulation (EU) No</w:t>
      </w:r>
      <w:r w:rsidR="00AD4A1B">
        <w:t>.</w:t>
      </w:r>
      <w:r w:rsidR="007A2EB2" w:rsidRPr="007A2EB2">
        <w:t xml:space="preserve"> 648/2012</w:t>
      </w:r>
      <w:r w:rsidR="007A2EB2">
        <w:t xml:space="preserve"> (EMIR REFIT) and </w:t>
      </w:r>
      <w:r w:rsidR="007A2EB2" w:rsidRPr="007A2EB2">
        <w:t>Commission Implementing Regulation (EU) No</w:t>
      </w:r>
      <w:r w:rsidR="00AD4A1B">
        <w:t>.</w:t>
      </w:r>
      <w:r w:rsidR="007A2EB2" w:rsidRPr="007A2EB2">
        <w:t xml:space="preserve"> 1247/2012 of 19 December 2012 as amended by Commission Implementing Regulation 2017/105 of 19 October 2016 and by Commission Implementing Regulation 2019/363</w:t>
      </w:r>
      <w:r w:rsidR="007A2EB2">
        <w:t xml:space="preserve"> (ITS) and </w:t>
      </w:r>
      <w:r w:rsidR="007A2EB2" w:rsidRPr="007A2EB2">
        <w:t>Commission Delegated Regulation (EU) No</w:t>
      </w:r>
      <w:r w:rsidR="00AD4A1B">
        <w:t>.</w:t>
      </w:r>
      <w:r w:rsidR="007A2EB2" w:rsidRPr="007A2EB2">
        <w:t xml:space="preserve"> 148/2013 of 19 December 2012 as amended by Commission Delegated Regulation No</w:t>
      </w:r>
      <w:r w:rsidR="00AD4A1B">
        <w:t>.</w:t>
      </w:r>
      <w:r w:rsidR="007A2EB2" w:rsidRPr="007A2EB2">
        <w:t xml:space="preserve"> 2017/104 of 19</w:t>
      </w:r>
      <w:r w:rsidR="00AD4A1B">
        <w:t> </w:t>
      </w:r>
      <w:r w:rsidR="007A2EB2" w:rsidRPr="007A2EB2">
        <w:t>October 2016, supplementing Regulation (EU) No</w:t>
      </w:r>
      <w:r w:rsidR="00AD4A1B">
        <w:t>.</w:t>
      </w:r>
      <w:r w:rsidR="007A2EB2" w:rsidRPr="007A2EB2">
        <w:t xml:space="preserve"> 648/2012</w:t>
      </w:r>
      <w:r w:rsidR="007A2EB2">
        <w:t xml:space="preserve"> (RTS).</w:t>
      </w:r>
    </w:p>
    <w:p w14:paraId="7E260A10" w14:textId="51C2BD49" w:rsidR="008B74D7" w:rsidRDefault="008B74D7" w:rsidP="008B74D7">
      <w:pPr>
        <w:pStyle w:val="Heading1"/>
      </w:pPr>
      <w:bookmarkStart w:id="21" w:name="_ASICRef301"/>
      <w:bookmarkStart w:id="22" w:name="_ASICRef790"/>
      <w:bookmarkStart w:id="23" w:name="_ASICRef524"/>
      <w:bookmarkStart w:id="24" w:name="_Toc57146471"/>
      <w:bookmarkStart w:id="25" w:name="_ASICRef705"/>
      <w:bookmarkStart w:id="26" w:name="_Toc51080720"/>
      <w:bookmarkStart w:id="27" w:name="_ASICRef760"/>
      <w:r>
        <w:lastRenderedPageBreak/>
        <w:t>Development of the UTI, UPI, CDE and LEI</w:t>
      </w:r>
      <w:bookmarkEnd w:id="21"/>
      <w:bookmarkEnd w:id="22"/>
      <w:bookmarkEnd w:id="23"/>
      <w:bookmarkEnd w:id="24"/>
    </w:p>
    <w:p w14:paraId="74C2E6BF" w14:textId="77777777" w:rsidR="008B74D7" w:rsidRDefault="008B74D7">
      <w:pPr>
        <w:pStyle w:val="KPhead"/>
      </w:pPr>
      <w:r>
        <w:t>Key points</w:t>
      </w:r>
    </w:p>
    <w:p w14:paraId="242BD436" w14:textId="0251E508" w:rsidR="00794F58" w:rsidRDefault="00794F58" w:rsidP="00CD5870">
      <w:pPr>
        <w:pStyle w:val="KPtext"/>
        <w:spacing w:line="250" w:lineRule="atLeast"/>
      </w:pPr>
      <w:r>
        <w:t xml:space="preserve">International regulatory guidance has been developed for the use of standardised </w:t>
      </w:r>
      <w:r w:rsidRPr="00794F58">
        <w:t xml:space="preserve">entity identifiers, transaction identifiers, product identifiers and common data elements </w:t>
      </w:r>
      <w:r>
        <w:t xml:space="preserve">in </w:t>
      </w:r>
      <w:r w:rsidRPr="00794F58">
        <w:t>derivative transaction reporting</w:t>
      </w:r>
      <w:r>
        <w:t>.</w:t>
      </w:r>
    </w:p>
    <w:p w14:paraId="741B280B" w14:textId="70F1ED97" w:rsidR="008B74D7" w:rsidRDefault="00794F58" w:rsidP="00CD5870">
      <w:pPr>
        <w:pStyle w:val="KPtext"/>
        <w:spacing w:line="250" w:lineRule="atLeast"/>
      </w:pPr>
      <w:r>
        <w:t>More recently, g</w:t>
      </w:r>
      <w:r w:rsidRPr="00794F58">
        <w:t>overnance and operational arrangements have been established for each of the</w:t>
      </w:r>
      <w:r>
        <w:t>se identifiers and data elements.</w:t>
      </w:r>
    </w:p>
    <w:p w14:paraId="0C34AA1A" w14:textId="30EEF52C" w:rsidR="00D91CE0" w:rsidRDefault="00D91CE0" w:rsidP="00CD5870">
      <w:pPr>
        <w:pStyle w:val="KPtext"/>
        <w:spacing w:line="250" w:lineRule="atLeast"/>
      </w:pPr>
      <w:r>
        <w:t xml:space="preserve">ASIC represents the Australian regulators as a member of the </w:t>
      </w:r>
      <w:r w:rsidR="006422DB">
        <w:t xml:space="preserve">Regulatory Oversight Committee which is the international governance body </w:t>
      </w:r>
      <w:r>
        <w:t>for these identifiers and data elements.</w:t>
      </w:r>
    </w:p>
    <w:p w14:paraId="14FD419F" w14:textId="77777777" w:rsidR="008B74D7" w:rsidRPr="00ED6EE2" w:rsidRDefault="008B74D7" w:rsidP="008B74D7">
      <w:pPr>
        <w:pStyle w:val="Heading2"/>
      </w:pPr>
      <w:bookmarkStart w:id="28" w:name="_Toc51080721"/>
      <w:bookmarkStart w:id="29" w:name="_Toc57146472"/>
      <w:r>
        <w:t>Backgroun</w:t>
      </w:r>
      <w:bookmarkEnd w:id="28"/>
      <w:r>
        <w:t>d</w:t>
      </w:r>
      <w:bookmarkEnd w:id="29"/>
    </w:p>
    <w:p w14:paraId="5494C51F" w14:textId="3C6AEEF6" w:rsidR="001D7A22" w:rsidRDefault="001D7A22" w:rsidP="00CD5870">
      <w:pPr>
        <w:pStyle w:val="BodyText"/>
        <w:spacing w:line="290" w:lineRule="atLeast"/>
      </w:pPr>
      <w:r>
        <w:t xml:space="preserve">As initiated by the G20, international regulatory bodies have developed </w:t>
      </w:r>
      <w:r w:rsidR="00794F58">
        <w:t xml:space="preserve">guidance for the </w:t>
      </w:r>
      <w:r>
        <w:t>standard</w:t>
      </w:r>
      <w:r w:rsidR="00794F58">
        <w:t>isation</w:t>
      </w:r>
      <w:r>
        <w:t xml:space="preserve"> </w:t>
      </w:r>
      <w:r w:rsidR="00794F58">
        <w:t>of</w:t>
      </w:r>
      <w:r>
        <w:t xml:space="preserve"> entity identifiers, transaction identifiers, product identifiers and common data elements for </w:t>
      </w:r>
      <w:r w:rsidR="009C1E8B">
        <w:t>derivative transaction</w:t>
      </w:r>
      <w:r>
        <w:t xml:space="preserve"> reporting.</w:t>
      </w:r>
    </w:p>
    <w:p w14:paraId="6A5B25FA" w14:textId="18E9CF3E" w:rsidR="001D7A22" w:rsidRDefault="001D7A22" w:rsidP="00CD5870">
      <w:pPr>
        <w:pStyle w:val="BodyText"/>
        <w:spacing w:line="290" w:lineRule="atLeast"/>
      </w:pPr>
      <w:r>
        <w:t xml:space="preserve">In June 2012, the Financial Stability Board (FSB) published </w:t>
      </w:r>
      <w:r w:rsidRPr="00895CC4">
        <w:rPr>
          <w:i/>
          <w:iCs/>
        </w:rPr>
        <w:t xml:space="preserve">A </w:t>
      </w:r>
      <w:r w:rsidR="005A18C3" w:rsidRPr="00895CC4">
        <w:rPr>
          <w:i/>
          <w:iCs/>
        </w:rPr>
        <w:t xml:space="preserve">global legal entity identifier </w:t>
      </w:r>
      <w:r w:rsidRPr="00895CC4">
        <w:rPr>
          <w:i/>
          <w:iCs/>
        </w:rPr>
        <w:t xml:space="preserve">for </w:t>
      </w:r>
      <w:r w:rsidR="005A18C3" w:rsidRPr="00895CC4">
        <w:rPr>
          <w:i/>
          <w:iCs/>
        </w:rPr>
        <w:t>financial markets</w:t>
      </w:r>
      <w:r w:rsidR="005A18C3">
        <w:t xml:space="preserve">, </w:t>
      </w:r>
      <w:r>
        <w:t xml:space="preserve">which set out 15 global LEI system </w:t>
      </w:r>
      <w:r w:rsidR="005A18C3">
        <w:t xml:space="preserve">high-level principles </w:t>
      </w:r>
      <w:r>
        <w:t>and 35 recommendations for the development of a unique identification system for parties to financial transactions. The FSB recommendations were endorsed by the G20 at the Los Cabos Summit in June 2012.</w:t>
      </w:r>
    </w:p>
    <w:p w14:paraId="45CCE15B" w14:textId="07DD403D" w:rsidR="001D7A22" w:rsidRDefault="001D7A22" w:rsidP="00CD5870">
      <w:pPr>
        <w:pStyle w:val="BodyText"/>
        <w:spacing w:line="290" w:lineRule="atLeast"/>
      </w:pPr>
      <w:r>
        <w:t xml:space="preserve">The </w:t>
      </w:r>
      <w:r w:rsidR="005A18C3">
        <w:t xml:space="preserve">global </w:t>
      </w:r>
      <w:r>
        <w:t xml:space="preserve">LEI </w:t>
      </w:r>
      <w:r w:rsidR="005A18C3">
        <w:t xml:space="preserve">system </w:t>
      </w:r>
      <w:r>
        <w:t>(GLEIS) has since been established and over 1</w:t>
      </w:r>
      <w:r w:rsidR="005B47C3">
        <w:t>.7</w:t>
      </w:r>
      <w:r w:rsidR="005A18C3">
        <w:t> </w:t>
      </w:r>
      <w:r w:rsidR="005B47C3">
        <w:t>million</w:t>
      </w:r>
      <w:r>
        <w:t xml:space="preserve"> LEIs have been issued.</w:t>
      </w:r>
    </w:p>
    <w:p w14:paraId="5FEE2B5C" w14:textId="14F1B91B" w:rsidR="001D7A22" w:rsidRDefault="001D7A22" w:rsidP="00CD5870">
      <w:pPr>
        <w:pStyle w:val="BodyText"/>
        <w:spacing w:line="290" w:lineRule="atLeast"/>
      </w:pPr>
      <w:r>
        <w:t xml:space="preserve">In September 2014, the FSB published </w:t>
      </w:r>
      <w:r w:rsidRPr="00895CC4">
        <w:rPr>
          <w:i/>
          <w:iCs/>
        </w:rPr>
        <w:t xml:space="preserve">Feasibility </w:t>
      </w:r>
      <w:r w:rsidR="005A18C3" w:rsidRPr="00895CC4">
        <w:rPr>
          <w:i/>
          <w:iCs/>
        </w:rPr>
        <w:t xml:space="preserve">study </w:t>
      </w:r>
      <w:r w:rsidRPr="00895CC4">
        <w:rPr>
          <w:i/>
          <w:iCs/>
        </w:rPr>
        <w:t xml:space="preserve">on </w:t>
      </w:r>
      <w:r w:rsidR="005A18C3" w:rsidRPr="00895CC4">
        <w:rPr>
          <w:i/>
          <w:iCs/>
        </w:rPr>
        <w:t xml:space="preserve">approaches </w:t>
      </w:r>
      <w:r w:rsidRPr="00895CC4">
        <w:rPr>
          <w:i/>
          <w:iCs/>
        </w:rPr>
        <w:t xml:space="preserve">to </w:t>
      </w:r>
      <w:r w:rsidR="005A18C3" w:rsidRPr="00895CC4">
        <w:rPr>
          <w:i/>
          <w:iCs/>
        </w:rPr>
        <w:t xml:space="preserve">aggregate </w:t>
      </w:r>
      <w:r w:rsidRPr="00895CC4">
        <w:rPr>
          <w:i/>
          <w:iCs/>
        </w:rPr>
        <w:t xml:space="preserve">OTC </w:t>
      </w:r>
      <w:r w:rsidR="005A18C3" w:rsidRPr="00895CC4">
        <w:rPr>
          <w:i/>
          <w:iCs/>
        </w:rPr>
        <w:t>derivatives data</w:t>
      </w:r>
      <w:r>
        <w:t xml:space="preserve"> which identified international data standardisation and harmonisation needs in terms of LEIs, important data elements (now known as the CDE) and the UTI and UPI.</w:t>
      </w:r>
    </w:p>
    <w:p w14:paraId="4F025751" w14:textId="77777777" w:rsidR="001D7A22" w:rsidRDefault="001D7A22" w:rsidP="00CD5870">
      <w:pPr>
        <w:pStyle w:val="BodyText"/>
        <w:spacing w:line="290" w:lineRule="atLeast"/>
      </w:pPr>
      <w:r>
        <w:t>The FSB asked the Committee on Payments and Market Infrastructures (CPMI) of the Bank for International Settlements and the International Organization of Securities Commissions (IOSCO) to develop global guidance on the harmonisation of derivative transactions data elements.</w:t>
      </w:r>
    </w:p>
    <w:p w14:paraId="01887E22" w14:textId="27DC91AC" w:rsidR="008B74D7" w:rsidRPr="001D7A22" w:rsidRDefault="001D7A22" w:rsidP="00CD5870">
      <w:pPr>
        <w:pStyle w:val="BodyText"/>
        <w:spacing w:line="290" w:lineRule="atLeast"/>
      </w:pPr>
      <w:r w:rsidRPr="001D7A22">
        <w:t>CPMI IOSCO has subsequently published technical guidance on the UTI, UPI and CDE:</w:t>
      </w:r>
    </w:p>
    <w:p w14:paraId="6C5B9100" w14:textId="3807079B" w:rsidR="008B74D7" w:rsidRPr="00036EE7" w:rsidRDefault="008B74D7" w:rsidP="00CD5870">
      <w:pPr>
        <w:pStyle w:val="subparaa"/>
        <w:spacing w:line="290" w:lineRule="atLeast"/>
      </w:pPr>
      <w:r>
        <w:t>CPMI IOSCO</w:t>
      </w:r>
      <w:r w:rsidR="002F3A98">
        <w:t>,</w:t>
      </w:r>
      <w:r>
        <w:t xml:space="preserve"> </w:t>
      </w:r>
      <w:hyperlink r:id="rId27" w:history="1">
        <w:r w:rsidRPr="00036EE7">
          <w:rPr>
            <w:rStyle w:val="Hyperlink"/>
            <w:i/>
            <w:iCs/>
          </w:rPr>
          <w:t xml:space="preserve">Technical </w:t>
        </w:r>
        <w:r w:rsidR="00675D9A" w:rsidRPr="00036EE7">
          <w:rPr>
            <w:rStyle w:val="Hyperlink"/>
            <w:i/>
            <w:iCs/>
          </w:rPr>
          <w:t>g</w:t>
        </w:r>
        <w:r w:rsidR="005A18C3" w:rsidRPr="00036EE7">
          <w:rPr>
            <w:rStyle w:val="Hyperlink"/>
            <w:i/>
            <w:iCs/>
          </w:rPr>
          <w:t xml:space="preserve">uidance: </w:t>
        </w:r>
        <w:r w:rsidRPr="00036EE7">
          <w:rPr>
            <w:rStyle w:val="Hyperlink"/>
            <w:i/>
            <w:iCs/>
          </w:rPr>
          <w:t xml:space="preserve">Harmonisation of the </w:t>
        </w:r>
        <w:r w:rsidR="005A18C3" w:rsidRPr="00036EE7">
          <w:rPr>
            <w:rStyle w:val="Hyperlink"/>
            <w:i/>
            <w:iCs/>
          </w:rPr>
          <w:t>unique transaction identifier</w:t>
        </w:r>
      </w:hyperlink>
      <w:r>
        <w:t xml:space="preserve"> </w:t>
      </w:r>
      <w:r w:rsidR="00036EE7">
        <w:t xml:space="preserve">(PDF 570 KB), </w:t>
      </w:r>
      <w:r>
        <w:t>February 2017 (</w:t>
      </w:r>
      <w:r w:rsidR="00036EE7" w:rsidRPr="007E5BC8">
        <w:t>UTI Guidance</w:t>
      </w:r>
      <w:r w:rsidR="00036EE7" w:rsidRPr="007E5BC8">
        <w:rPr>
          <w:rStyle w:val="Hyperlink"/>
          <w:color w:val="auto"/>
          <w:u w:val="none"/>
        </w:rPr>
        <w:t>)</w:t>
      </w:r>
      <w:r w:rsidR="005A18C3" w:rsidRPr="00036EE7">
        <w:t>;</w:t>
      </w:r>
    </w:p>
    <w:p w14:paraId="0FD6A51D" w14:textId="00BB854D" w:rsidR="008B74D7" w:rsidRDefault="008B74D7" w:rsidP="008B74D7">
      <w:pPr>
        <w:pStyle w:val="subparaa"/>
      </w:pPr>
      <w:r>
        <w:lastRenderedPageBreak/>
        <w:t>CPMI IOSCO</w:t>
      </w:r>
      <w:r w:rsidR="002F3A98">
        <w:t>,</w:t>
      </w:r>
      <w:r>
        <w:t xml:space="preserve"> </w:t>
      </w:r>
      <w:hyperlink r:id="rId28" w:history="1">
        <w:r w:rsidRPr="004A1E65">
          <w:rPr>
            <w:rStyle w:val="Hyperlink"/>
            <w:i/>
            <w:iCs/>
          </w:rPr>
          <w:t xml:space="preserve">Technical </w:t>
        </w:r>
        <w:r w:rsidR="00675D9A" w:rsidRPr="004A1E65">
          <w:rPr>
            <w:rStyle w:val="Hyperlink"/>
            <w:i/>
            <w:iCs/>
          </w:rPr>
          <w:t>g</w:t>
        </w:r>
        <w:r w:rsidR="005A18C3" w:rsidRPr="004A1E65">
          <w:rPr>
            <w:rStyle w:val="Hyperlink"/>
            <w:i/>
            <w:iCs/>
          </w:rPr>
          <w:t xml:space="preserve">uidance: </w:t>
        </w:r>
        <w:r w:rsidRPr="004A1E65">
          <w:rPr>
            <w:rStyle w:val="Hyperlink"/>
            <w:i/>
            <w:iCs/>
          </w:rPr>
          <w:t xml:space="preserve">Harmonisation of the </w:t>
        </w:r>
        <w:r w:rsidR="005A18C3" w:rsidRPr="004A1E65">
          <w:rPr>
            <w:rStyle w:val="Hyperlink"/>
            <w:i/>
            <w:iCs/>
          </w:rPr>
          <w:t>unique product identifier</w:t>
        </w:r>
      </w:hyperlink>
      <w:r w:rsidR="004A1E65">
        <w:t xml:space="preserve"> (PDF 602 KB)</w:t>
      </w:r>
      <w:r>
        <w:t>, September 2017 (</w:t>
      </w:r>
      <w:r w:rsidR="004A1E65" w:rsidRPr="007E5BC8">
        <w:t>UPI Guidance</w:t>
      </w:r>
      <w:r>
        <w:t>)</w:t>
      </w:r>
      <w:r w:rsidR="005A18C3">
        <w:t>;</w:t>
      </w:r>
      <w:r w:rsidR="00A96627">
        <w:t xml:space="preserve"> and</w:t>
      </w:r>
    </w:p>
    <w:p w14:paraId="38890F25" w14:textId="34F59318" w:rsidR="008B74D7" w:rsidRPr="00552494" w:rsidRDefault="008B74D7" w:rsidP="008B74D7">
      <w:pPr>
        <w:pStyle w:val="subparaa"/>
      </w:pPr>
      <w:r>
        <w:t>CPMI IOSCO</w:t>
      </w:r>
      <w:r w:rsidR="002F3A98">
        <w:t>,</w:t>
      </w:r>
      <w:r>
        <w:t xml:space="preserve"> </w:t>
      </w:r>
      <w:hyperlink r:id="rId29" w:history="1">
        <w:r w:rsidR="00675D9A" w:rsidRPr="004A1E65">
          <w:rPr>
            <w:rStyle w:val="Hyperlink"/>
            <w:i/>
            <w:iCs/>
          </w:rPr>
          <w:t>Technical guidance:</w:t>
        </w:r>
        <w:r w:rsidR="00675D9A" w:rsidRPr="004A1E65">
          <w:rPr>
            <w:rStyle w:val="Hyperlink"/>
          </w:rPr>
          <w:t xml:space="preserve"> </w:t>
        </w:r>
        <w:r w:rsidRPr="004A1E65">
          <w:rPr>
            <w:rStyle w:val="Hyperlink"/>
            <w:i/>
            <w:iCs/>
          </w:rPr>
          <w:t>Harmonisation of critical OTC derivatives data elements (other than UTI and UPI)</w:t>
        </w:r>
      </w:hyperlink>
      <w:r w:rsidR="004A1E65">
        <w:t xml:space="preserve"> (PDF 1.01 MB)</w:t>
      </w:r>
      <w:r>
        <w:t>, April 2018 (</w:t>
      </w:r>
      <w:r w:rsidR="004A1E65" w:rsidRPr="007E5BC8">
        <w:t>CDE Guidance</w:t>
      </w:r>
      <w:r>
        <w:t>)</w:t>
      </w:r>
      <w:r w:rsidR="00A96627">
        <w:t>.</w:t>
      </w:r>
      <w:r>
        <w:t xml:space="preserve"> </w:t>
      </w:r>
    </w:p>
    <w:p w14:paraId="7D16CE76" w14:textId="77777777" w:rsidR="008B74D7" w:rsidRPr="00210E33" w:rsidRDefault="008B74D7" w:rsidP="008B74D7">
      <w:pPr>
        <w:pStyle w:val="Heading2"/>
      </w:pPr>
      <w:bookmarkStart w:id="30" w:name="_Toc57146473"/>
      <w:r>
        <w:t>Governance and operation of the UTI, UPI, CDE and LEI</w:t>
      </w:r>
      <w:bookmarkEnd w:id="30"/>
    </w:p>
    <w:p w14:paraId="6553F1BB" w14:textId="0F25E5A2" w:rsidR="001D7A22" w:rsidRDefault="001D7A22" w:rsidP="001D7A22">
      <w:pPr>
        <w:pStyle w:val="BodyText"/>
      </w:pPr>
      <w:r>
        <w:t xml:space="preserve">Governance and operational arrangements have been established for each of the UTI, UPI, CDE and LEI. These arrangements are summarised in </w:t>
      </w:r>
      <w:r w:rsidR="008F3E3B">
        <w:fldChar w:fldCharType="begin"/>
      </w:r>
      <w:r w:rsidR="008F3E3B">
        <w:instrText xml:space="preserve"> REF _Ref56420913 \h </w:instrText>
      </w:r>
      <w:r w:rsidR="008F3E3B">
        <w:fldChar w:fldCharType="separate"/>
      </w:r>
      <w:r w:rsidR="00314C7E">
        <w:t xml:space="preserve">Table </w:t>
      </w:r>
      <w:r w:rsidR="00314C7E">
        <w:rPr>
          <w:noProof/>
        </w:rPr>
        <w:t>2</w:t>
      </w:r>
      <w:r w:rsidR="008F3E3B">
        <w:fldChar w:fldCharType="end"/>
      </w:r>
      <w:r>
        <w:t xml:space="preserve"> and comprise:</w:t>
      </w:r>
    </w:p>
    <w:p w14:paraId="606D7A42" w14:textId="77777777" w:rsidR="001D7A22" w:rsidRDefault="001D7A22" w:rsidP="001D7A22">
      <w:pPr>
        <w:pStyle w:val="subparaa"/>
      </w:pPr>
      <w:r>
        <w:t>a data standard and maintenance body;</w:t>
      </w:r>
    </w:p>
    <w:p w14:paraId="62F82252" w14:textId="77777777" w:rsidR="001D7A22" w:rsidRDefault="001D7A22" w:rsidP="001D7A22">
      <w:pPr>
        <w:pStyle w:val="subparaa"/>
      </w:pPr>
      <w:r>
        <w:t>service providers that create and issue or disseminate the data elements to users;</w:t>
      </w:r>
    </w:p>
    <w:p w14:paraId="644996A7" w14:textId="77777777" w:rsidR="001D7A22" w:rsidRDefault="001D7A22" w:rsidP="001D7A22">
      <w:pPr>
        <w:pStyle w:val="subparaa"/>
      </w:pPr>
      <w:r>
        <w:t>an international governance body that provides overall oversight and coordinates between the service providers, standards maintenance bodies and other stakeholders; and</w:t>
      </w:r>
    </w:p>
    <w:p w14:paraId="422155CE" w14:textId="5557CAD8" w:rsidR="008B74D7" w:rsidRDefault="001D7A22" w:rsidP="001D7A22">
      <w:pPr>
        <w:pStyle w:val="subparaa"/>
      </w:pPr>
      <w:r>
        <w:t>regulatory authorities in individual jurisdictions who are responsible for their jurisdictional implementation.</w:t>
      </w:r>
    </w:p>
    <w:p w14:paraId="14DEF541" w14:textId="6548C82D" w:rsidR="008B74D7" w:rsidRDefault="008B74D7" w:rsidP="008B74D7">
      <w:pPr>
        <w:pStyle w:val="tabletitlefullwidth"/>
      </w:pPr>
      <w:bookmarkStart w:id="31" w:name="_Ref56420913"/>
      <w:r>
        <w:t xml:space="preserve">Table </w:t>
      </w:r>
      <w:r w:rsidR="007055A5">
        <w:fldChar w:fldCharType="begin"/>
      </w:r>
      <w:r w:rsidR="007055A5">
        <w:instrText xml:space="preserve"> SEQ Table \* ARABIC </w:instrText>
      </w:r>
      <w:r w:rsidR="007055A5">
        <w:fldChar w:fldCharType="separate"/>
      </w:r>
      <w:r w:rsidR="00314C7E">
        <w:rPr>
          <w:noProof/>
        </w:rPr>
        <w:t>2</w:t>
      </w:r>
      <w:r w:rsidR="007055A5">
        <w:rPr>
          <w:noProof/>
        </w:rPr>
        <w:fldChar w:fldCharType="end"/>
      </w:r>
      <w:bookmarkEnd w:id="31"/>
      <w:r>
        <w:t>:</w:t>
      </w:r>
      <w:r>
        <w:tab/>
        <w:t>M</w:t>
      </w:r>
      <w:r w:rsidRPr="007340D2">
        <w:t xml:space="preserve">ain components of governance </w:t>
      </w:r>
      <w:r>
        <w:t xml:space="preserve">and operational </w:t>
      </w:r>
      <w:r w:rsidRPr="007340D2">
        <w:t>arrangement</w:t>
      </w:r>
    </w:p>
    <w:tbl>
      <w:tblPr>
        <w:tblW w:w="9072"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698"/>
        <w:gridCol w:w="1593"/>
        <w:gridCol w:w="1594"/>
        <w:gridCol w:w="1593"/>
        <w:gridCol w:w="1594"/>
      </w:tblGrid>
      <w:tr w:rsidR="008B74D7" w:rsidRPr="000540E1" w14:paraId="583143A1" w14:textId="77777777" w:rsidTr="00895CC4">
        <w:trPr>
          <w:cantSplit/>
          <w:tblHeader/>
        </w:trPr>
        <w:tc>
          <w:tcPr>
            <w:tcW w:w="0" w:type="auto"/>
            <w:shd w:val="clear" w:color="auto" w:fill="C2E3FA"/>
          </w:tcPr>
          <w:p w14:paraId="48737AA1" w14:textId="77777777" w:rsidR="008B74D7" w:rsidRDefault="008B74D7" w:rsidP="00895CC4">
            <w:pPr>
              <w:pStyle w:val="tablehead"/>
              <w:spacing w:before="80"/>
            </w:pPr>
            <w:r>
              <w:t>Component</w:t>
            </w:r>
          </w:p>
        </w:tc>
        <w:tc>
          <w:tcPr>
            <w:tcW w:w="1593" w:type="dxa"/>
            <w:shd w:val="clear" w:color="auto" w:fill="C2E3FA"/>
          </w:tcPr>
          <w:p w14:paraId="11345F4A" w14:textId="77777777" w:rsidR="008B74D7" w:rsidRDefault="008B74D7" w:rsidP="00895CC4">
            <w:pPr>
              <w:pStyle w:val="tablehead"/>
              <w:spacing w:before="80"/>
            </w:pPr>
            <w:r>
              <w:t>UTI</w:t>
            </w:r>
          </w:p>
        </w:tc>
        <w:tc>
          <w:tcPr>
            <w:tcW w:w="1594" w:type="dxa"/>
            <w:shd w:val="clear" w:color="auto" w:fill="C2E3FA"/>
          </w:tcPr>
          <w:p w14:paraId="21384378" w14:textId="77777777" w:rsidR="008B74D7" w:rsidRDefault="008B74D7" w:rsidP="00895CC4">
            <w:pPr>
              <w:pStyle w:val="tablehead"/>
              <w:spacing w:before="80"/>
            </w:pPr>
            <w:r>
              <w:t>UPI</w:t>
            </w:r>
          </w:p>
        </w:tc>
        <w:tc>
          <w:tcPr>
            <w:tcW w:w="1593" w:type="dxa"/>
            <w:shd w:val="clear" w:color="auto" w:fill="C2E3FA"/>
          </w:tcPr>
          <w:p w14:paraId="0681252B" w14:textId="77777777" w:rsidR="008B74D7" w:rsidRPr="000540E1" w:rsidRDefault="008B74D7" w:rsidP="00895CC4">
            <w:pPr>
              <w:pStyle w:val="tablehead"/>
              <w:spacing w:before="80"/>
            </w:pPr>
            <w:r>
              <w:t>CDE</w:t>
            </w:r>
          </w:p>
        </w:tc>
        <w:tc>
          <w:tcPr>
            <w:tcW w:w="1594" w:type="dxa"/>
            <w:shd w:val="clear" w:color="auto" w:fill="C2E3FA"/>
          </w:tcPr>
          <w:p w14:paraId="237B9C8B" w14:textId="77777777" w:rsidR="008B74D7" w:rsidRPr="000540E1" w:rsidRDefault="008B74D7" w:rsidP="00895CC4">
            <w:pPr>
              <w:pStyle w:val="tablehead"/>
              <w:spacing w:before="80"/>
            </w:pPr>
            <w:r>
              <w:t>LEI</w:t>
            </w:r>
          </w:p>
        </w:tc>
      </w:tr>
      <w:tr w:rsidR="008B74D7" w:rsidRPr="000540E1" w14:paraId="2F0FBAD7" w14:textId="77777777" w:rsidTr="00895CC4">
        <w:trPr>
          <w:cantSplit/>
        </w:trPr>
        <w:tc>
          <w:tcPr>
            <w:tcW w:w="0" w:type="auto"/>
          </w:tcPr>
          <w:p w14:paraId="74FC6E19" w14:textId="77777777" w:rsidR="008B74D7" w:rsidRPr="000540E1" w:rsidRDefault="008B74D7" w:rsidP="00895CC4">
            <w:pPr>
              <w:pStyle w:val="tbltext"/>
              <w:spacing w:before="80"/>
            </w:pPr>
            <w:r>
              <w:t>Data standard</w:t>
            </w:r>
          </w:p>
        </w:tc>
        <w:tc>
          <w:tcPr>
            <w:tcW w:w="1593" w:type="dxa"/>
          </w:tcPr>
          <w:p w14:paraId="1318A388" w14:textId="77777777" w:rsidR="008B74D7" w:rsidRDefault="008B74D7" w:rsidP="00895CC4">
            <w:pPr>
              <w:pStyle w:val="tbltext"/>
              <w:spacing w:before="80"/>
            </w:pPr>
            <w:r>
              <w:t>ISO</w:t>
            </w:r>
          </w:p>
          <w:p w14:paraId="334641FE" w14:textId="77777777" w:rsidR="008B74D7" w:rsidRPr="000540E1" w:rsidRDefault="008B74D7" w:rsidP="00895CC4">
            <w:pPr>
              <w:pStyle w:val="tbltext"/>
              <w:spacing w:before="80"/>
            </w:pPr>
            <w:r>
              <w:t xml:space="preserve">ISO </w:t>
            </w:r>
            <w:r w:rsidRPr="00254B64">
              <w:t>23897</w:t>
            </w:r>
          </w:p>
        </w:tc>
        <w:tc>
          <w:tcPr>
            <w:tcW w:w="1594" w:type="dxa"/>
          </w:tcPr>
          <w:p w14:paraId="295E7FD9" w14:textId="77777777" w:rsidR="008B74D7" w:rsidRDefault="008B74D7" w:rsidP="00895CC4">
            <w:pPr>
              <w:pStyle w:val="tbltext"/>
              <w:spacing w:before="80"/>
            </w:pPr>
            <w:r>
              <w:t>ISO</w:t>
            </w:r>
          </w:p>
          <w:p w14:paraId="295B61C1" w14:textId="5690F9E7" w:rsidR="008B74D7" w:rsidRPr="000540E1" w:rsidRDefault="001D7A22" w:rsidP="00895CC4">
            <w:pPr>
              <w:pStyle w:val="tbltext"/>
              <w:spacing w:before="80"/>
            </w:pPr>
            <w:r>
              <w:t xml:space="preserve">ISO/CD 4914 </w:t>
            </w:r>
            <w:r w:rsidR="008B74D7">
              <w:t>under development</w:t>
            </w:r>
          </w:p>
        </w:tc>
        <w:tc>
          <w:tcPr>
            <w:tcW w:w="1593" w:type="dxa"/>
          </w:tcPr>
          <w:p w14:paraId="31C1EC40" w14:textId="77777777" w:rsidR="008B74D7" w:rsidRDefault="008B74D7" w:rsidP="00895CC4">
            <w:pPr>
              <w:pStyle w:val="tbltext"/>
              <w:spacing w:before="80"/>
            </w:pPr>
            <w:r>
              <w:t>ISO</w:t>
            </w:r>
          </w:p>
          <w:p w14:paraId="7791237F" w14:textId="77777777" w:rsidR="008B74D7" w:rsidRPr="000540E1" w:rsidRDefault="008B74D7" w:rsidP="00895CC4">
            <w:pPr>
              <w:pStyle w:val="tbltext"/>
              <w:spacing w:before="80"/>
            </w:pPr>
            <w:r>
              <w:t>In ISO 20022</w:t>
            </w:r>
          </w:p>
        </w:tc>
        <w:tc>
          <w:tcPr>
            <w:tcW w:w="1594" w:type="dxa"/>
          </w:tcPr>
          <w:p w14:paraId="160BAD95" w14:textId="77777777" w:rsidR="008B74D7" w:rsidRDefault="008B74D7" w:rsidP="00895CC4">
            <w:pPr>
              <w:pStyle w:val="tbltext"/>
              <w:spacing w:before="80"/>
            </w:pPr>
            <w:r>
              <w:t>ISO</w:t>
            </w:r>
          </w:p>
          <w:p w14:paraId="590EFD14" w14:textId="77777777" w:rsidR="008B74D7" w:rsidRPr="000540E1" w:rsidRDefault="008B74D7" w:rsidP="00895CC4">
            <w:pPr>
              <w:pStyle w:val="tbltext"/>
              <w:spacing w:before="80"/>
            </w:pPr>
            <w:r>
              <w:t>ISO 17442</w:t>
            </w:r>
          </w:p>
        </w:tc>
      </w:tr>
      <w:tr w:rsidR="008B74D7" w:rsidRPr="000540E1" w14:paraId="05FD3949" w14:textId="77777777" w:rsidTr="00895CC4">
        <w:trPr>
          <w:cantSplit/>
        </w:trPr>
        <w:tc>
          <w:tcPr>
            <w:tcW w:w="0" w:type="auto"/>
          </w:tcPr>
          <w:p w14:paraId="097F8407" w14:textId="7CED641A" w:rsidR="008B74D7" w:rsidRPr="000540E1" w:rsidRDefault="008B74D7" w:rsidP="00895CC4">
            <w:pPr>
              <w:pStyle w:val="tbltext"/>
              <w:spacing w:before="80"/>
            </w:pPr>
            <w:r w:rsidRPr="00D34692">
              <w:t xml:space="preserve">Service </w:t>
            </w:r>
            <w:r w:rsidR="008F3E3B">
              <w:t>p</w:t>
            </w:r>
            <w:r w:rsidR="008F3E3B" w:rsidRPr="00D34692">
              <w:t>rovider</w:t>
            </w:r>
          </w:p>
        </w:tc>
        <w:tc>
          <w:tcPr>
            <w:tcW w:w="1593" w:type="dxa"/>
          </w:tcPr>
          <w:p w14:paraId="7BF8C3AD" w14:textId="77777777" w:rsidR="008B74D7" w:rsidRPr="000540E1" w:rsidRDefault="008B74D7" w:rsidP="00895CC4">
            <w:pPr>
              <w:pStyle w:val="tbltext"/>
              <w:spacing w:before="80"/>
            </w:pPr>
            <w:r>
              <w:t>n/a</w:t>
            </w:r>
          </w:p>
        </w:tc>
        <w:tc>
          <w:tcPr>
            <w:tcW w:w="1594" w:type="dxa"/>
          </w:tcPr>
          <w:p w14:paraId="1177BA76" w14:textId="77777777" w:rsidR="008B74D7" w:rsidRPr="000540E1" w:rsidRDefault="008B74D7" w:rsidP="00895CC4">
            <w:pPr>
              <w:pStyle w:val="tbltext"/>
              <w:spacing w:before="80"/>
            </w:pPr>
            <w:r>
              <w:t>DSB</w:t>
            </w:r>
          </w:p>
        </w:tc>
        <w:tc>
          <w:tcPr>
            <w:tcW w:w="1593" w:type="dxa"/>
          </w:tcPr>
          <w:p w14:paraId="39390906" w14:textId="77777777" w:rsidR="008B74D7" w:rsidRPr="000540E1" w:rsidRDefault="008B74D7" w:rsidP="00895CC4">
            <w:pPr>
              <w:pStyle w:val="tbltext"/>
              <w:spacing w:before="80"/>
            </w:pPr>
            <w:r>
              <w:t>n/a</w:t>
            </w:r>
          </w:p>
        </w:tc>
        <w:tc>
          <w:tcPr>
            <w:tcW w:w="1594" w:type="dxa"/>
          </w:tcPr>
          <w:p w14:paraId="5C1C01F2" w14:textId="77777777" w:rsidR="008B74D7" w:rsidRDefault="008B74D7" w:rsidP="00895CC4">
            <w:pPr>
              <w:pStyle w:val="tbltext"/>
              <w:spacing w:before="80"/>
            </w:pPr>
            <w:r>
              <w:t>GLEIF</w:t>
            </w:r>
          </w:p>
          <w:p w14:paraId="398387CB" w14:textId="77777777" w:rsidR="008B74D7" w:rsidRPr="000540E1" w:rsidRDefault="008B74D7" w:rsidP="00895CC4">
            <w:pPr>
              <w:pStyle w:val="tbltext"/>
              <w:spacing w:before="80"/>
            </w:pPr>
            <w:r>
              <w:t>LOUs</w:t>
            </w:r>
          </w:p>
        </w:tc>
      </w:tr>
      <w:tr w:rsidR="008B74D7" w:rsidRPr="000540E1" w14:paraId="4FE9CF67" w14:textId="77777777" w:rsidTr="00895CC4">
        <w:trPr>
          <w:cantSplit/>
        </w:trPr>
        <w:tc>
          <w:tcPr>
            <w:tcW w:w="0" w:type="auto"/>
          </w:tcPr>
          <w:p w14:paraId="5E8B6462" w14:textId="56896B11" w:rsidR="008B74D7" w:rsidRPr="000540E1" w:rsidRDefault="008B74D7" w:rsidP="00895CC4">
            <w:pPr>
              <w:pStyle w:val="tbltext"/>
              <w:spacing w:before="80"/>
            </w:pPr>
            <w:r>
              <w:t xml:space="preserve">International </w:t>
            </w:r>
            <w:r w:rsidR="004A1E65">
              <w:t>governance body</w:t>
            </w:r>
          </w:p>
        </w:tc>
        <w:tc>
          <w:tcPr>
            <w:tcW w:w="6374" w:type="dxa"/>
            <w:gridSpan w:val="4"/>
          </w:tcPr>
          <w:p w14:paraId="2496ECA7" w14:textId="77777777" w:rsidR="008B74D7" w:rsidRDefault="008B74D7" w:rsidP="00895CC4">
            <w:pPr>
              <w:pStyle w:val="tbltext"/>
              <w:spacing w:before="80"/>
            </w:pPr>
            <w:r>
              <w:t>Regulatory Oversight Committee (ROC)</w:t>
            </w:r>
          </w:p>
          <w:p w14:paraId="4D018F78" w14:textId="77777777" w:rsidR="008B74D7" w:rsidRPr="000540E1" w:rsidRDefault="008B74D7" w:rsidP="00895CC4">
            <w:pPr>
              <w:pStyle w:val="tbltext"/>
              <w:spacing w:before="80"/>
            </w:pPr>
            <w:r>
              <w:t>Committee on Derivative Identifiers and Data Elements (CDIDE)</w:t>
            </w:r>
          </w:p>
        </w:tc>
      </w:tr>
      <w:tr w:rsidR="008B74D7" w:rsidRPr="000540E1" w14:paraId="248B00A1" w14:textId="77777777" w:rsidTr="00895CC4">
        <w:trPr>
          <w:cantSplit/>
        </w:trPr>
        <w:tc>
          <w:tcPr>
            <w:tcW w:w="0" w:type="auto"/>
          </w:tcPr>
          <w:p w14:paraId="57C66FF8" w14:textId="3A2630CF" w:rsidR="008B74D7" w:rsidRDefault="008B74D7" w:rsidP="00895CC4">
            <w:pPr>
              <w:pStyle w:val="tbltext"/>
              <w:spacing w:before="80"/>
            </w:pPr>
            <w:r>
              <w:t xml:space="preserve">Jurisdictions’ </w:t>
            </w:r>
            <w:r w:rsidR="008F3E3B">
              <w:t>authorities</w:t>
            </w:r>
          </w:p>
        </w:tc>
        <w:tc>
          <w:tcPr>
            <w:tcW w:w="6374" w:type="dxa"/>
            <w:gridSpan w:val="4"/>
          </w:tcPr>
          <w:p w14:paraId="72C256DB" w14:textId="77777777" w:rsidR="008B74D7" w:rsidRPr="000540E1" w:rsidRDefault="008B74D7" w:rsidP="00895CC4">
            <w:pPr>
              <w:pStyle w:val="tbltext"/>
              <w:spacing w:before="80"/>
            </w:pPr>
            <w:r>
              <w:t>Responsible for jurisdictional implementation</w:t>
            </w:r>
          </w:p>
        </w:tc>
      </w:tr>
    </w:tbl>
    <w:p w14:paraId="3C26B999" w14:textId="77777777" w:rsidR="001D7A22" w:rsidRDefault="001D7A22" w:rsidP="001D7A22">
      <w:pPr>
        <w:pStyle w:val="BodyText"/>
      </w:pPr>
      <w:r>
        <w:t xml:space="preserve">The </w:t>
      </w:r>
      <w:r w:rsidRPr="00537821">
        <w:t>International Organization for Standardization</w:t>
      </w:r>
      <w:r>
        <w:t xml:space="preserve"> (ISO) is the data standard and maintenance body for each of the data elements and standards have been adopted or are under development.</w:t>
      </w:r>
    </w:p>
    <w:p w14:paraId="34AB0616" w14:textId="26895C4A" w:rsidR="001D7A22" w:rsidRDefault="001D7A22" w:rsidP="001D7A22">
      <w:pPr>
        <w:pStyle w:val="BodyText"/>
      </w:pPr>
      <w:r>
        <w:t xml:space="preserve">For the UPI, </w:t>
      </w:r>
      <w:r w:rsidR="00807B41">
        <w:t>T</w:t>
      </w:r>
      <w:r>
        <w:t>he Derivatives Service Bureau (DSB) L</w:t>
      </w:r>
      <w:r w:rsidR="001A51D9">
        <w:t>imited</w:t>
      </w:r>
      <w:r>
        <w:t xml:space="preserve"> has been designated as the service provider for the UPI system. The DSB is a subsidiary of the Association of National Numbering Agencies (ANNA) and currently issues </w:t>
      </w:r>
      <w:r w:rsidR="006628EB">
        <w:t>international securities identification numbers (</w:t>
      </w:r>
      <w:r>
        <w:t>ISINs</w:t>
      </w:r>
      <w:r w:rsidR="006628EB">
        <w:t>)</w:t>
      </w:r>
      <w:r>
        <w:t xml:space="preserve"> for </w:t>
      </w:r>
      <w:bookmarkStart w:id="32" w:name="_Hlk54778239"/>
      <w:r>
        <w:t>OTC derivative products</w:t>
      </w:r>
      <w:bookmarkEnd w:id="32"/>
      <w:r>
        <w:t>.</w:t>
      </w:r>
    </w:p>
    <w:p w14:paraId="20155C3A" w14:textId="3FDCAAAD" w:rsidR="001D7A22" w:rsidRDefault="006628EB" w:rsidP="001D7A22">
      <w:pPr>
        <w:pStyle w:val="BodyText"/>
      </w:pPr>
      <w:r>
        <w:lastRenderedPageBreak/>
        <w:t>The</w:t>
      </w:r>
      <w:r w:rsidR="001D7A22">
        <w:t xml:space="preserve"> Global Legal Entity Identifier Foundation</w:t>
      </w:r>
      <w:r w:rsidR="00CD5870">
        <w:t xml:space="preserve"> (GLEIF)</w:t>
      </w:r>
      <w:r w:rsidR="001D7A22">
        <w:t>, a not-for-profit organisation established by the FSB, is the service provider</w:t>
      </w:r>
      <w:r>
        <w:t xml:space="preserve"> for the LEI</w:t>
      </w:r>
      <w:r w:rsidR="001D7A22">
        <w:t xml:space="preserve">. LEI registration and renewal services are provided by 37 organisations accredited by the GLEIF as </w:t>
      </w:r>
      <w:r>
        <w:t xml:space="preserve">local operating units </w:t>
      </w:r>
      <w:r w:rsidR="001D7A22">
        <w:t>(LOUs).</w:t>
      </w:r>
    </w:p>
    <w:p w14:paraId="6E7FD590" w14:textId="6B0AA12D" w:rsidR="001D7A22" w:rsidRDefault="001D7A22" w:rsidP="001D7A22">
      <w:pPr>
        <w:pStyle w:val="BodyText"/>
      </w:pPr>
      <w:r>
        <w:t xml:space="preserve">The Regulatory Oversight Committee (ROC) is the international governance body for each of the data elements. </w:t>
      </w:r>
      <w:r w:rsidRPr="0016053D">
        <w:t>The ROC is a group of 69 public authorities with full membership and 19 observers from more than 50</w:t>
      </w:r>
      <w:r w:rsidR="006628EB">
        <w:t> </w:t>
      </w:r>
      <w:r w:rsidRPr="0016053D">
        <w:t>countries</w:t>
      </w:r>
      <w:r>
        <w:t xml:space="preserve"> that was</w:t>
      </w:r>
      <w:r w:rsidRPr="0016053D">
        <w:t xml:space="preserve"> established in January 2013 to oversee </w:t>
      </w:r>
      <w:r>
        <w:t>the GLEIS. The ROC’s expanded mandate is supported by its Committee on Derivative Identifiers and Data Elements (CDIDE).</w:t>
      </w:r>
    </w:p>
    <w:p w14:paraId="36E470A9" w14:textId="11D61BA3" w:rsidR="008B74D7" w:rsidRPr="008B74D7" w:rsidRDefault="001D7A22" w:rsidP="001D7A22">
      <w:pPr>
        <w:pStyle w:val="BodyText"/>
      </w:pPr>
      <w:r>
        <w:t>ASIC represents the Australian regulators as a member of the ROC and the CDIDE.</w:t>
      </w:r>
    </w:p>
    <w:p w14:paraId="2E103725" w14:textId="49DED40C" w:rsidR="00953571" w:rsidRDefault="0099665F" w:rsidP="008B74D7">
      <w:pPr>
        <w:pStyle w:val="Heading1"/>
      </w:pPr>
      <w:bookmarkStart w:id="33" w:name="_ASICRef243"/>
      <w:bookmarkStart w:id="34" w:name="_Toc57146474"/>
      <w:r>
        <w:lastRenderedPageBreak/>
        <w:t xml:space="preserve">The </w:t>
      </w:r>
      <w:r w:rsidR="006628EB">
        <w:t xml:space="preserve">unique transaction identifier </w:t>
      </w:r>
      <w:r>
        <w:t>(UTI)</w:t>
      </w:r>
      <w:bookmarkEnd w:id="25"/>
      <w:bookmarkEnd w:id="26"/>
      <w:bookmarkEnd w:id="27"/>
      <w:bookmarkEnd w:id="33"/>
      <w:bookmarkEnd w:id="34"/>
    </w:p>
    <w:p w14:paraId="3F2060CE" w14:textId="77777777" w:rsidR="00953571" w:rsidRDefault="00953571" w:rsidP="00953571">
      <w:pPr>
        <w:pStyle w:val="KPhead"/>
      </w:pPr>
      <w:r>
        <w:t>Key points</w:t>
      </w:r>
    </w:p>
    <w:p w14:paraId="0EFA32A5" w14:textId="07F6FDFB" w:rsidR="00953571" w:rsidRDefault="00DC6C20" w:rsidP="00136CC5">
      <w:pPr>
        <w:pStyle w:val="KPtext"/>
        <w:spacing w:line="250" w:lineRule="atLeast"/>
      </w:pPr>
      <w:r>
        <w:t>The UTI is</w:t>
      </w:r>
      <w:r w:rsidR="001229BC">
        <w:t xml:space="preserve"> a</w:t>
      </w:r>
      <w:r>
        <w:t xml:space="preserve"> globally unique transaction identifier</w:t>
      </w:r>
      <w:r w:rsidR="002C563E">
        <w:t xml:space="preserve"> </w:t>
      </w:r>
      <w:r>
        <w:t xml:space="preserve">used in </w:t>
      </w:r>
      <w:r w:rsidR="009C1E8B">
        <w:t>derivative transaction</w:t>
      </w:r>
      <w:r>
        <w:t xml:space="preserve"> reporting by each party to the transaction </w:t>
      </w:r>
      <w:r w:rsidR="00775FAD">
        <w:t xml:space="preserve">so </w:t>
      </w:r>
      <w:r>
        <w:t>that each reported transaction is solely identified by a single UTI.</w:t>
      </w:r>
      <w:bookmarkStart w:id="35" w:name="_Hlk26314965"/>
    </w:p>
    <w:p w14:paraId="404D9A4E" w14:textId="65DE29AB" w:rsidR="00DC6C20" w:rsidRDefault="00DC6C20" w:rsidP="00136CC5">
      <w:pPr>
        <w:pStyle w:val="KPtext"/>
        <w:spacing w:line="250" w:lineRule="atLeast"/>
      </w:pPr>
      <w:r>
        <w:t xml:space="preserve">As with other jurisdictions, we propose to implement the UTI Guidance to specify which of the parties to the transaction </w:t>
      </w:r>
      <w:r w:rsidR="006628EB">
        <w:t xml:space="preserve">will </w:t>
      </w:r>
      <w:r>
        <w:t>generate the UTI in which circumstances.</w:t>
      </w:r>
    </w:p>
    <w:p w14:paraId="4B1B7792" w14:textId="47C1B3EE" w:rsidR="00DC6C20" w:rsidRDefault="00DC6C20" w:rsidP="00136CC5">
      <w:pPr>
        <w:pStyle w:val="KPtext"/>
        <w:spacing w:line="250" w:lineRule="atLeast"/>
      </w:pPr>
      <w:r>
        <w:t xml:space="preserve">However, especially </w:t>
      </w:r>
      <w:r w:rsidR="00D14B75">
        <w:t>in cross-jurisdictional transactions with inherent inter-jurisdictional dependencies, we think there may be uncertainties of interpretation and intended practices in other jurisdictions.</w:t>
      </w:r>
    </w:p>
    <w:p w14:paraId="6D208E25" w14:textId="4E34CCE3" w:rsidR="00D14B75" w:rsidRDefault="00D14B75" w:rsidP="00136CC5">
      <w:pPr>
        <w:pStyle w:val="KPtext"/>
        <w:spacing w:line="250" w:lineRule="atLeast"/>
      </w:pPr>
      <w:r>
        <w:t>At this time, we are proposing some elements of UTI implementation in the ASIC Rules and outline possible approaches to resolving the uncertainties.</w:t>
      </w:r>
    </w:p>
    <w:p w14:paraId="4D4927A5" w14:textId="0C68471A" w:rsidR="00953571" w:rsidRDefault="007A01D7" w:rsidP="00953571">
      <w:pPr>
        <w:pStyle w:val="Heading2"/>
      </w:pPr>
      <w:bookmarkStart w:id="36" w:name="_Toc57146475"/>
      <w:bookmarkEnd w:id="35"/>
      <w:r>
        <w:t>Background</w:t>
      </w:r>
      <w:bookmarkEnd w:id="36"/>
    </w:p>
    <w:p w14:paraId="5747D486" w14:textId="5F912886" w:rsidR="00953571" w:rsidRDefault="00953571" w:rsidP="00136CC5">
      <w:pPr>
        <w:pStyle w:val="BodyText"/>
        <w:spacing w:line="290" w:lineRule="atLeast"/>
      </w:pPr>
      <w:bookmarkStart w:id="37" w:name="_Hlk51853408"/>
      <w:r>
        <w:t xml:space="preserve">The UTI </w:t>
      </w:r>
      <w:r w:rsidR="002C563E">
        <w:t xml:space="preserve">is a globally unique transaction identifier used to ensure </w:t>
      </w:r>
      <w:r>
        <w:t>that each reportable derivative transaction is identifiable and that each party to the transaction reports the same UTI. It will provide significant regulatory benefit in terms of matching both sides of the same transaction, including avoiding double-count in market metrics such as turnover and aggregate notional principal.</w:t>
      </w:r>
    </w:p>
    <w:p w14:paraId="0B8A3E9C" w14:textId="6C2F57C8" w:rsidR="00123305" w:rsidRDefault="00123305" w:rsidP="00136CC5">
      <w:pPr>
        <w:pStyle w:val="BodyText"/>
        <w:spacing w:line="290" w:lineRule="atLeast"/>
      </w:pPr>
      <w:r w:rsidRPr="00123305">
        <w:t xml:space="preserve">The </w:t>
      </w:r>
      <w:r w:rsidR="007A01D7" w:rsidRPr="00123305">
        <w:t xml:space="preserve">UTI </w:t>
      </w:r>
      <w:r w:rsidR="00C27414">
        <w:t xml:space="preserve">structure </w:t>
      </w:r>
      <w:r w:rsidR="00614A69">
        <w:t xml:space="preserve">and </w:t>
      </w:r>
      <w:r w:rsidR="007A01D7" w:rsidRPr="00123305">
        <w:t xml:space="preserve">format is </w:t>
      </w:r>
      <w:r w:rsidRPr="00123305">
        <w:t>s</w:t>
      </w:r>
      <w:r w:rsidR="007A01D7" w:rsidRPr="00123305">
        <w:t xml:space="preserve">pecified </w:t>
      </w:r>
      <w:r w:rsidRPr="00123305">
        <w:t xml:space="preserve">in ISO 23897 </w:t>
      </w:r>
      <w:r w:rsidR="007A01D7" w:rsidRPr="00123305">
        <w:t xml:space="preserve">as </w:t>
      </w:r>
      <w:r>
        <w:t xml:space="preserve">an alphanumeric </w:t>
      </w:r>
      <w:r w:rsidR="008A3020">
        <w:t xml:space="preserve">code </w:t>
      </w:r>
      <w:r>
        <w:t>of up to 52 characters:</w:t>
      </w:r>
    </w:p>
    <w:p w14:paraId="41E92953" w14:textId="5988D967" w:rsidR="00C27BA0" w:rsidRDefault="00123305" w:rsidP="00136CC5">
      <w:pPr>
        <w:pStyle w:val="subparaa"/>
        <w:spacing w:line="290" w:lineRule="atLeast"/>
      </w:pPr>
      <w:r>
        <w:t xml:space="preserve">the first 20 characters are the LEI of the entity </w:t>
      </w:r>
      <w:r w:rsidR="00C27BA0">
        <w:t xml:space="preserve">generating </w:t>
      </w:r>
      <w:r>
        <w:t>the UTI</w:t>
      </w:r>
      <w:r w:rsidR="00C27BA0">
        <w:t>;</w:t>
      </w:r>
    </w:p>
    <w:p w14:paraId="0149B297" w14:textId="1ADD5F3A" w:rsidR="007A01D7" w:rsidRPr="00123305" w:rsidRDefault="00C27BA0" w:rsidP="00136CC5">
      <w:pPr>
        <w:pStyle w:val="subparaa"/>
        <w:spacing w:line="290" w:lineRule="atLeast"/>
      </w:pPr>
      <w:r>
        <w:t>followed by up to 32 characters of a unique identifier assigned by the generating entity.</w:t>
      </w:r>
    </w:p>
    <w:p w14:paraId="79B0EE65" w14:textId="49815293" w:rsidR="00953571" w:rsidRDefault="005F23CA" w:rsidP="00136CC5">
      <w:pPr>
        <w:pStyle w:val="BodyText"/>
        <w:spacing w:line="290" w:lineRule="atLeast"/>
      </w:pPr>
      <w:r>
        <w:t xml:space="preserve">The </w:t>
      </w:r>
      <w:r w:rsidR="00DB28F3">
        <w:t xml:space="preserve">UTI </w:t>
      </w:r>
      <w:r w:rsidR="0022679B">
        <w:t>Guidance</w:t>
      </w:r>
      <w:r w:rsidR="00953571">
        <w:t xml:space="preserve"> recommends to regulators an international standard for:</w:t>
      </w:r>
    </w:p>
    <w:p w14:paraId="13B6911B" w14:textId="32F7B23F" w:rsidR="00953571" w:rsidRDefault="00953571" w:rsidP="00136CC5">
      <w:pPr>
        <w:pStyle w:val="subparaa"/>
        <w:spacing w:line="290" w:lineRule="atLeast"/>
      </w:pPr>
      <w:r>
        <w:t>the transaction lifecycle events that require a new UTI or the continued use of the existing UTI;</w:t>
      </w:r>
    </w:p>
    <w:p w14:paraId="5DE96863" w14:textId="4249244F" w:rsidR="00953571" w:rsidRDefault="00953571" w:rsidP="00136CC5">
      <w:pPr>
        <w:pStyle w:val="subparaa"/>
        <w:spacing w:line="290" w:lineRule="atLeast"/>
      </w:pPr>
      <w:r>
        <w:t>determining which entity should generate the UTI; and</w:t>
      </w:r>
    </w:p>
    <w:p w14:paraId="5E5684EA" w14:textId="77777777" w:rsidR="00953571" w:rsidRDefault="00953571" w:rsidP="00136CC5">
      <w:pPr>
        <w:pStyle w:val="subparaa"/>
        <w:spacing w:line="290" w:lineRule="atLeast"/>
      </w:pPr>
      <w:r>
        <w:t>the technical specification for the UTI (i.e. as the entity’s LEI plus additional characters).</w:t>
      </w:r>
    </w:p>
    <w:p w14:paraId="3835F4E0" w14:textId="2AAFFB9F" w:rsidR="00953571" w:rsidRDefault="00953571" w:rsidP="00136CC5">
      <w:pPr>
        <w:pStyle w:val="BodyText"/>
        <w:spacing w:line="290" w:lineRule="atLeast"/>
      </w:pPr>
      <w:bookmarkStart w:id="38" w:name="_ASICRef298"/>
      <w:bookmarkStart w:id="39" w:name="_ASICRef829"/>
      <w:r>
        <w:t xml:space="preserve">The </w:t>
      </w:r>
      <w:r w:rsidR="00DB28F3">
        <w:t xml:space="preserve">UTI </w:t>
      </w:r>
      <w:r w:rsidR="0022679B">
        <w:t>Guidance</w:t>
      </w:r>
      <w:r>
        <w:t xml:space="preserve"> is not prescriptive and allows for variations according to individual jurisdictional circumstances. ASIC’s approach to implementing the UTI is to respect as far practicable each of:</w:t>
      </w:r>
      <w:bookmarkEnd w:id="38"/>
      <w:bookmarkEnd w:id="39"/>
    </w:p>
    <w:p w14:paraId="0900167C" w14:textId="1A95002D" w:rsidR="00953571" w:rsidRDefault="00953571" w:rsidP="00810260">
      <w:pPr>
        <w:pStyle w:val="subparaa"/>
      </w:pPr>
      <w:r>
        <w:t xml:space="preserve">the </w:t>
      </w:r>
      <w:r w:rsidR="00DB28F3">
        <w:t xml:space="preserve">UTI </w:t>
      </w:r>
      <w:r w:rsidR="0022679B">
        <w:t>Guidance</w:t>
      </w:r>
      <w:r>
        <w:t>;</w:t>
      </w:r>
    </w:p>
    <w:p w14:paraId="636B561B" w14:textId="77777777" w:rsidR="00953571" w:rsidRDefault="00953571" w:rsidP="00810260">
      <w:pPr>
        <w:pStyle w:val="subparaa"/>
      </w:pPr>
      <w:r>
        <w:lastRenderedPageBreak/>
        <w:t>the UTI rules of other jurisdictions; and</w:t>
      </w:r>
    </w:p>
    <w:p w14:paraId="27D33974" w14:textId="77777777" w:rsidR="00953571" w:rsidRDefault="00953571" w:rsidP="00810260">
      <w:pPr>
        <w:pStyle w:val="subparaa"/>
      </w:pPr>
      <w:r>
        <w:t>existing industry practices.</w:t>
      </w:r>
    </w:p>
    <w:p w14:paraId="6D4FE357" w14:textId="77777777" w:rsidR="00953571" w:rsidRDefault="00953571" w:rsidP="00810260">
      <w:pPr>
        <w:pStyle w:val="BodyText"/>
      </w:pPr>
      <w:r>
        <w:t>We seek to implement UTI requirements in the ASIC Rules that align with international practices and do not introduce bespoke Australian requirements.</w:t>
      </w:r>
    </w:p>
    <w:p w14:paraId="2CD17665" w14:textId="7A060F16" w:rsidR="00953571" w:rsidRDefault="00D61C12" w:rsidP="00810260">
      <w:pPr>
        <w:pStyle w:val="BodyText"/>
      </w:pPr>
      <w:r>
        <w:t xml:space="preserve">The </w:t>
      </w:r>
      <w:r w:rsidR="00953571">
        <w:t xml:space="preserve">Hong Kong </w:t>
      </w:r>
      <w:r w:rsidR="00B83DF7">
        <w:t xml:space="preserve">Monetary Authority and the Hong Kong Securities and Futures Commission jointly </w:t>
      </w:r>
      <w:r w:rsidR="00953571">
        <w:t xml:space="preserve">consulted on implementing the UTI in 2019 and the CFTC and ESMA have </w:t>
      </w:r>
      <w:r w:rsidR="00B83DF7">
        <w:t>likewise</w:t>
      </w:r>
      <w:r w:rsidR="00953571">
        <w:t xml:space="preserve"> consulted on implementing the UTI </w:t>
      </w:r>
      <w:r w:rsidR="00B83DF7">
        <w:t>in early</w:t>
      </w:r>
      <w:r w:rsidR="00953571">
        <w:t xml:space="preserve"> 2020</w:t>
      </w:r>
      <w:r w:rsidR="00B83DF7">
        <w:t>.</w:t>
      </w:r>
      <w:r w:rsidR="00953571">
        <w:t xml:space="preserve"> </w:t>
      </w:r>
      <w:r w:rsidR="005F23CA">
        <w:t>We expect that t</w:t>
      </w:r>
      <w:r w:rsidR="00953571">
        <w:t xml:space="preserve">he UTI will also be implemented in the </w:t>
      </w:r>
      <w:r w:rsidR="005F099B">
        <w:t>United Kingdom</w:t>
      </w:r>
      <w:r w:rsidR="00953571">
        <w:t>, Singapore</w:t>
      </w:r>
      <w:r w:rsidR="005F23CA">
        <w:t xml:space="preserve">, </w:t>
      </w:r>
      <w:r w:rsidR="00953571">
        <w:t xml:space="preserve">Japan </w:t>
      </w:r>
      <w:r w:rsidR="005F23CA">
        <w:t>and other jurisdictions</w:t>
      </w:r>
      <w:r w:rsidR="00B83DF7">
        <w:t>.</w:t>
      </w:r>
    </w:p>
    <w:p w14:paraId="64B228A3" w14:textId="557DB30E" w:rsidR="00B83DF7" w:rsidRDefault="00B83DF7" w:rsidP="00B83DF7">
      <w:pPr>
        <w:pStyle w:val="Note"/>
      </w:pPr>
      <w:r>
        <w:t xml:space="preserve">Note: </w:t>
      </w:r>
      <w:r w:rsidR="005F099B">
        <w:t>T</w:t>
      </w:r>
      <w:r>
        <w:t>he CFTC issued its final rules in September 2020.</w:t>
      </w:r>
    </w:p>
    <w:p w14:paraId="7AB7C8D8" w14:textId="237972B8" w:rsidR="00953571" w:rsidRDefault="00953571" w:rsidP="00810260">
      <w:pPr>
        <w:pStyle w:val="BodyText"/>
      </w:pPr>
      <w:r>
        <w:t xml:space="preserve">The UTI implementation will require </w:t>
      </w:r>
      <w:r w:rsidR="005F23CA">
        <w:t xml:space="preserve">ASIC </w:t>
      </w:r>
      <w:r w:rsidR="005F099B">
        <w:t xml:space="preserve">reporting entities </w:t>
      </w:r>
      <w:r>
        <w:t>to be able to:</w:t>
      </w:r>
    </w:p>
    <w:p w14:paraId="77A10399" w14:textId="77777777" w:rsidR="00953571" w:rsidRDefault="00953571" w:rsidP="00810260">
      <w:pPr>
        <w:pStyle w:val="subparaa"/>
      </w:pPr>
      <w:r>
        <w:t>in certain circumstances, receive and report a UTI generated by another entity; and</w:t>
      </w:r>
    </w:p>
    <w:p w14:paraId="7713EB9B" w14:textId="0532B0A0" w:rsidR="00953571" w:rsidRDefault="00953571" w:rsidP="00810260">
      <w:pPr>
        <w:pStyle w:val="subparaa"/>
      </w:pPr>
      <w:r>
        <w:t>in other circumstances, generate, report and provide a UTI to another entity.</w:t>
      </w:r>
    </w:p>
    <w:p w14:paraId="3825943A" w14:textId="0D1DD42F" w:rsidR="005F23CA" w:rsidRDefault="005F23CA" w:rsidP="00C40082">
      <w:pPr>
        <w:pStyle w:val="Heading2"/>
      </w:pPr>
      <w:bookmarkStart w:id="40" w:name="_Toc57146476"/>
      <w:r>
        <w:t>When is a UTI required?</w:t>
      </w:r>
      <w:bookmarkEnd w:id="40"/>
    </w:p>
    <w:p w14:paraId="6FDD227F" w14:textId="04AE8AF3" w:rsidR="0038359F" w:rsidRDefault="0038359F" w:rsidP="00810260">
      <w:pPr>
        <w:pStyle w:val="BodyText"/>
      </w:pPr>
      <w:r>
        <w:t xml:space="preserve">The </w:t>
      </w:r>
      <w:r w:rsidR="00DB28F3">
        <w:t xml:space="preserve">UTI </w:t>
      </w:r>
      <w:r w:rsidR="0022679B">
        <w:t>Guidance</w:t>
      </w:r>
      <w:r>
        <w:t xml:space="preserve"> </w:t>
      </w:r>
      <w:r w:rsidR="006E39CF">
        <w:t>states</w:t>
      </w:r>
      <w:r>
        <w:t xml:space="preserve"> that new UTIs should be used for the initial reports of new reportable transactions and should remain as the identifier for that transaction throughout its life.</w:t>
      </w:r>
    </w:p>
    <w:p w14:paraId="2DCD1228" w14:textId="44CB3142" w:rsidR="0038359F" w:rsidRDefault="0038359F" w:rsidP="00810260">
      <w:pPr>
        <w:pStyle w:val="BodyText"/>
      </w:pPr>
      <w:r>
        <w:t xml:space="preserve">When a transaction is terminated and replaced with one or more other transactions, the </w:t>
      </w:r>
      <w:r w:rsidR="00DB28F3">
        <w:t xml:space="preserve">UTI </w:t>
      </w:r>
      <w:r w:rsidR="0022679B">
        <w:t>Guidance</w:t>
      </w:r>
      <w:r>
        <w:t xml:space="preserve"> sets out that new UTIs should be used. This could occur when:</w:t>
      </w:r>
    </w:p>
    <w:p w14:paraId="2F3E4F44" w14:textId="37152ED2" w:rsidR="0038359F" w:rsidRDefault="0038359F" w:rsidP="00810260">
      <w:pPr>
        <w:pStyle w:val="subparaa"/>
      </w:pPr>
      <w:r>
        <w:t>the transaction is replaced by another transaction</w:t>
      </w:r>
      <w:r w:rsidR="005F099B">
        <w:t xml:space="preserve"> (</w:t>
      </w:r>
      <w:r>
        <w:t>e</w:t>
      </w:r>
      <w:r w:rsidR="00611A47">
        <w:t>.</w:t>
      </w:r>
      <w:r>
        <w:t>g</w:t>
      </w:r>
      <w:r w:rsidR="00611A47">
        <w:t>.</w:t>
      </w:r>
      <w:r>
        <w:t xml:space="preserve"> due to compression or netting</w:t>
      </w:r>
      <w:r w:rsidR="005F099B">
        <w:t>)</w:t>
      </w:r>
      <w:r>
        <w:t>; or</w:t>
      </w:r>
    </w:p>
    <w:p w14:paraId="16D96A3B" w14:textId="0473A92A" w:rsidR="0038359F" w:rsidRDefault="0038359F" w:rsidP="00810260">
      <w:pPr>
        <w:pStyle w:val="subparaa"/>
      </w:pPr>
      <w:r>
        <w:t>the transaction is split into different transactions.</w:t>
      </w:r>
    </w:p>
    <w:p w14:paraId="0CC97152" w14:textId="77777777" w:rsidR="0038359F" w:rsidRDefault="0038359F" w:rsidP="00810260">
      <w:pPr>
        <w:pStyle w:val="BodyText"/>
      </w:pPr>
      <w:r>
        <w:t>The approach is therefore as follows:</w:t>
      </w:r>
    </w:p>
    <w:p w14:paraId="6DA78CE8" w14:textId="63EC4910" w:rsidR="0038359F" w:rsidRDefault="00810260" w:rsidP="00810260">
      <w:pPr>
        <w:pStyle w:val="subparaa"/>
      </w:pPr>
      <w:r>
        <w:t>f</w:t>
      </w:r>
      <w:r w:rsidR="0038359F">
        <w:t>or subsequent reports of new information about a previously reported transaction, the new information reports should use the same UTI as previously. Examples of situations where the previous UTI should be maintained include:</w:t>
      </w:r>
    </w:p>
    <w:p w14:paraId="4FD595FE" w14:textId="69B84E76" w:rsidR="0038359F" w:rsidRDefault="00810260" w:rsidP="00810260">
      <w:pPr>
        <w:pStyle w:val="subsubparai"/>
      </w:pPr>
      <w:r>
        <w:t>a</w:t>
      </w:r>
      <w:r w:rsidR="0038359F">
        <w:t xml:space="preserve"> revaluation or similar is reported</w:t>
      </w:r>
      <w:r>
        <w:t>;</w:t>
      </w:r>
    </w:p>
    <w:p w14:paraId="2537F447" w14:textId="5C9F8BF1" w:rsidR="00810260" w:rsidRDefault="00810260" w:rsidP="00810260">
      <w:pPr>
        <w:pStyle w:val="subsubparai"/>
      </w:pPr>
      <w:r>
        <w:t>s</w:t>
      </w:r>
      <w:r w:rsidR="0038359F">
        <w:t>ome previously reported information, such as whether the trade has been confirmed, has changed</w:t>
      </w:r>
      <w:r>
        <w:t>;</w:t>
      </w:r>
    </w:p>
    <w:p w14:paraId="1610116A" w14:textId="61E053A3" w:rsidR="0038359F" w:rsidRDefault="00810260" w:rsidP="002464D4">
      <w:pPr>
        <w:pStyle w:val="subsubparai"/>
        <w:spacing w:line="310" w:lineRule="atLeast"/>
      </w:pPr>
      <w:r>
        <w:lastRenderedPageBreak/>
        <w:t>t</w:t>
      </w:r>
      <w:r w:rsidR="0038359F">
        <w:t>he contract is an amortising swap or similar and the notional has changed in accordance with the contractual terms</w:t>
      </w:r>
      <w:r>
        <w:t>;</w:t>
      </w:r>
    </w:p>
    <w:p w14:paraId="0178CB88" w14:textId="1513167B" w:rsidR="0038359F" w:rsidRDefault="00810260" w:rsidP="002464D4">
      <w:pPr>
        <w:pStyle w:val="subsubparai"/>
        <w:spacing w:line="310" w:lineRule="atLeast"/>
      </w:pPr>
      <w:r>
        <w:t>r</w:t>
      </w:r>
      <w:r w:rsidR="0038359F">
        <w:t>eporting of end-of-life events such as early termination</w:t>
      </w:r>
      <w:r>
        <w:t>; or</w:t>
      </w:r>
    </w:p>
    <w:p w14:paraId="6B374E86" w14:textId="70DD3EA5" w:rsidR="0038359F" w:rsidRDefault="00810260" w:rsidP="002464D4">
      <w:pPr>
        <w:pStyle w:val="subsubparai"/>
        <w:spacing w:line="310" w:lineRule="atLeast"/>
      </w:pPr>
      <w:r>
        <w:t>s</w:t>
      </w:r>
      <w:r w:rsidR="0038359F">
        <w:t>ome information that was previously reported was incorrect and is being corrected, unless the incorrect information is the UTI itself</w:t>
      </w:r>
      <w:r w:rsidR="00EB5517">
        <w:t>;</w:t>
      </w:r>
    </w:p>
    <w:p w14:paraId="689128F5" w14:textId="6F478C10" w:rsidR="0038359F" w:rsidRDefault="00810260" w:rsidP="002464D4">
      <w:pPr>
        <w:pStyle w:val="subparaa"/>
        <w:spacing w:line="310" w:lineRule="atLeast"/>
      </w:pPr>
      <w:r>
        <w:t>o</w:t>
      </w:r>
      <w:r w:rsidR="0038359F">
        <w:t>therwise, a new UTI should be used. Examples of this include:</w:t>
      </w:r>
    </w:p>
    <w:p w14:paraId="116B3009" w14:textId="743F291D" w:rsidR="0038359F" w:rsidRDefault="00810260" w:rsidP="002464D4">
      <w:pPr>
        <w:pStyle w:val="subsubparai"/>
        <w:spacing w:line="310" w:lineRule="atLeast"/>
      </w:pPr>
      <w:r>
        <w:t>a</w:t>
      </w:r>
      <w:r w:rsidR="0038359F">
        <w:t xml:space="preserve"> change to either counterparty</w:t>
      </w:r>
      <w:r>
        <w:t xml:space="preserve">, </w:t>
      </w:r>
      <w:r w:rsidR="0038359F">
        <w:t>includ</w:t>
      </w:r>
      <w:r>
        <w:t xml:space="preserve">ing </w:t>
      </w:r>
      <w:r w:rsidR="0038359F">
        <w:t>the transaction being cleared</w:t>
      </w:r>
      <w:r>
        <w:t xml:space="preserve"> and a </w:t>
      </w:r>
      <w:r w:rsidR="0038359F">
        <w:t xml:space="preserve">counterparty becomes the </w:t>
      </w:r>
      <w:r w:rsidR="00EB5517">
        <w:t>central counterparty (</w:t>
      </w:r>
      <w:r w:rsidR="0038359F">
        <w:t>CCP</w:t>
      </w:r>
      <w:r w:rsidR="00EB5517">
        <w:t>)</w:t>
      </w:r>
      <w:r>
        <w:t xml:space="preserve"> or clearing participant; or</w:t>
      </w:r>
    </w:p>
    <w:p w14:paraId="581E71F4" w14:textId="36CDA601" w:rsidR="0038359F" w:rsidRDefault="00810260" w:rsidP="002464D4">
      <w:pPr>
        <w:pStyle w:val="subsubparai"/>
        <w:spacing w:line="310" w:lineRule="atLeast"/>
      </w:pPr>
      <w:r>
        <w:t>w</w:t>
      </w:r>
      <w:r w:rsidR="0038359F">
        <w:t>here a transaction is replaced by one or more other transactions, whether or not they involve the same or different counterparties.</w:t>
      </w:r>
    </w:p>
    <w:p w14:paraId="23068FAF" w14:textId="77777777" w:rsidR="0038359F" w:rsidRDefault="0038359F" w:rsidP="002464D4">
      <w:pPr>
        <w:pStyle w:val="BodyText"/>
        <w:spacing w:line="310" w:lineRule="atLeast"/>
      </w:pPr>
      <w:r>
        <w:t>If there is more than one such change to be applied to a report at the same time, then if any one of these changes would require a new UTI, a new UTI should be used.</w:t>
      </w:r>
    </w:p>
    <w:p w14:paraId="3F925DAB" w14:textId="69D1280D" w:rsidR="005F23CA" w:rsidRDefault="0038359F" w:rsidP="002464D4">
      <w:pPr>
        <w:pStyle w:val="BodyText"/>
        <w:spacing w:line="310" w:lineRule="atLeast"/>
      </w:pPr>
      <w:r>
        <w:t>The above approach should apply irrespective of the clearing model used in any particular jurisdiction and irrespective of the applicable rules defining which entities have to report a cleared transaction.</w:t>
      </w:r>
    </w:p>
    <w:p w14:paraId="17FA7589" w14:textId="76B70F9C" w:rsidR="007A01D7" w:rsidRPr="00842D08" w:rsidRDefault="00842D08" w:rsidP="00E12675">
      <w:pPr>
        <w:pStyle w:val="BodyText"/>
        <w:spacing w:line="310" w:lineRule="atLeast"/>
      </w:pPr>
      <w:r>
        <w:t xml:space="preserve">We </w:t>
      </w:r>
      <w:r w:rsidR="000F5E24" w:rsidRPr="000F5E24">
        <w:t xml:space="preserve">propose to follow the UTI </w:t>
      </w:r>
      <w:r w:rsidR="00F77391">
        <w:t>G</w:t>
      </w:r>
      <w:r w:rsidR="000F5E24" w:rsidRPr="000F5E24">
        <w:t xml:space="preserve">uidance </w:t>
      </w:r>
      <w:r w:rsidR="00A90A8D">
        <w:t>on</w:t>
      </w:r>
      <w:r w:rsidR="000F5E24" w:rsidRPr="000F5E24">
        <w:t xml:space="preserve"> the format and structure of the UTI, as well as</w:t>
      </w:r>
      <w:r w:rsidR="00A90A8D">
        <w:t xml:space="preserve"> </w:t>
      </w:r>
      <w:r w:rsidR="000F5E24" w:rsidRPr="000F5E24">
        <w:t xml:space="preserve">the </w:t>
      </w:r>
      <w:r w:rsidR="00F77391">
        <w:t>guidance</w:t>
      </w:r>
      <w:r w:rsidR="000F5E24" w:rsidRPr="000F5E24">
        <w:t xml:space="preserve"> concerning </w:t>
      </w:r>
      <w:r w:rsidR="00F77391">
        <w:t xml:space="preserve">the </w:t>
      </w:r>
      <w:r w:rsidR="000F5E24" w:rsidRPr="000F5E24">
        <w:t xml:space="preserve">impact of the </w:t>
      </w:r>
      <w:r w:rsidR="00C27414">
        <w:t xml:space="preserve">transaction </w:t>
      </w:r>
      <w:r w:rsidR="000F5E24" w:rsidRPr="000F5E24">
        <w:t>events on the UTI</w:t>
      </w:r>
      <w:r w:rsidR="00C27414">
        <w:t>. We propose to set out the UTI structure and format in a technical specification</w:t>
      </w:r>
      <w:r w:rsidR="00AA722F">
        <w:t>:</w:t>
      </w:r>
      <w:r w:rsidR="00C27414">
        <w:t xml:space="preserve"> see</w:t>
      </w:r>
      <w:r w:rsidR="00200653">
        <w:t xml:space="preserve"> </w:t>
      </w:r>
      <w:r w:rsidR="00AA722F">
        <w:t>paragraph</w:t>
      </w:r>
      <w:r w:rsidR="00BC7B93">
        <w:t>s</w:t>
      </w:r>
      <w:r w:rsidR="00AA722F">
        <w:t xml:space="preserve"> </w:t>
      </w:r>
      <w:r w:rsidR="00BC7B93">
        <w:fldChar w:fldCharType="begin"/>
      </w:r>
      <w:r w:rsidR="00BC7B93">
        <w:instrText xml:space="preserve"> REF _ASICRef575 \w \h </w:instrText>
      </w:r>
      <w:r w:rsidR="00BC7B93">
        <w:fldChar w:fldCharType="separate"/>
      </w:r>
      <w:r w:rsidR="00314C7E">
        <w:t>334</w:t>
      </w:r>
      <w:r w:rsidR="00BC7B93">
        <w:fldChar w:fldCharType="end"/>
      </w:r>
      <w:r w:rsidR="00BC7B93">
        <w:t>–</w:t>
      </w:r>
      <w:r w:rsidR="00BC7B93">
        <w:fldChar w:fldCharType="begin"/>
      </w:r>
      <w:r w:rsidR="00BC7B93">
        <w:instrText xml:space="preserve"> REF _ASICRef100 \w \h </w:instrText>
      </w:r>
      <w:r w:rsidR="00BC7B93">
        <w:fldChar w:fldCharType="separate"/>
      </w:r>
      <w:r w:rsidR="00314C7E">
        <w:t>338</w:t>
      </w:r>
      <w:r w:rsidR="00BC7B93">
        <w:fldChar w:fldCharType="end"/>
      </w:r>
      <w:r w:rsidR="00C27414">
        <w:t xml:space="preserve">. We propose to set out the text of UTI rules </w:t>
      </w:r>
      <w:r w:rsidR="00517152">
        <w:t xml:space="preserve">for transaction events </w:t>
      </w:r>
      <w:r w:rsidR="00C27414">
        <w:t>in the ASIC Rules in the second round of consultation.</w:t>
      </w:r>
    </w:p>
    <w:p w14:paraId="138BF1B7" w14:textId="77777777" w:rsidR="007A01D7" w:rsidRDefault="007A01D7" w:rsidP="00794F58">
      <w:pPr>
        <w:pStyle w:val="Proposalhead"/>
      </w:pPr>
      <w:r>
        <w:t>Proposal</w:t>
      </w:r>
    </w:p>
    <w:p w14:paraId="7AC4B2A6" w14:textId="55D6C015" w:rsidR="007A01D7" w:rsidRDefault="00C27414" w:rsidP="002464D4">
      <w:pPr>
        <w:pStyle w:val="Proposaltext"/>
        <w:spacing w:line="270" w:lineRule="atLeast"/>
      </w:pPr>
      <w:r w:rsidRPr="00C27414">
        <w:t>We propose to set out the UTI structure and format in a technical specification</w:t>
      </w:r>
      <w:r w:rsidR="00517152">
        <w:t xml:space="preserve"> and </w:t>
      </w:r>
      <w:r w:rsidRPr="00C27414">
        <w:t xml:space="preserve">the text of UTI rules </w:t>
      </w:r>
      <w:r w:rsidR="00517152">
        <w:t xml:space="preserve">for transaction events </w:t>
      </w:r>
      <w:r w:rsidRPr="00C27414">
        <w:t>in the ASIC Rules</w:t>
      </w:r>
      <w:r w:rsidR="00517152">
        <w:t>.</w:t>
      </w:r>
    </w:p>
    <w:p w14:paraId="67067AD8" w14:textId="77777777" w:rsidR="007A01D7" w:rsidRDefault="007A01D7">
      <w:pPr>
        <w:pStyle w:val="Feedbackhead"/>
      </w:pPr>
      <w:r>
        <w:t>Your feedback</w:t>
      </w:r>
    </w:p>
    <w:p w14:paraId="1828D3A6" w14:textId="3BF5E0DF" w:rsidR="00517152" w:rsidRPr="00AD20F1" w:rsidRDefault="00666889" w:rsidP="00AD20F1">
      <w:pPr>
        <w:pStyle w:val="Feedbackquestion"/>
        <w:spacing w:line="270" w:lineRule="atLeast"/>
      </w:pPr>
      <w:r w:rsidRPr="00AD20F1">
        <w:t xml:space="preserve">Do you agree with </w:t>
      </w:r>
      <w:r w:rsidR="00517152" w:rsidRPr="00AD20F1">
        <w:t>this proposal? In your response, please give detailed reasons for your answer.</w:t>
      </w:r>
    </w:p>
    <w:p w14:paraId="7437963F" w14:textId="607AA3D2" w:rsidR="007A01D7" w:rsidRPr="00AD20F1" w:rsidRDefault="00517152" w:rsidP="00AD20F1">
      <w:pPr>
        <w:pStyle w:val="Feedbackquestion"/>
        <w:spacing w:line="270" w:lineRule="atLeast"/>
      </w:pPr>
      <w:r w:rsidRPr="00AD20F1">
        <w:t>Do you consider that the UTI Guidance concerning the impact of the transaction events on the UTI is sufficiently clear or are there uncertainties that we should take into account when drafting the text for the ASIC Rules? In your response, please give detailed reasons for your answer.</w:t>
      </w:r>
    </w:p>
    <w:p w14:paraId="2211BB0C" w14:textId="23218437" w:rsidR="00AC695D" w:rsidRDefault="00AC695D" w:rsidP="00C40082">
      <w:pPr>
        <w:pStyle w:val="Heading2"/>
      </w:pPr>
      <w:bookmarkStart w:id="41" w:name="_Toc57146477"/>
      <w:r>
        <w:lastRenderedPageBreak/>
        <w:t xml:space="preserve">Determining the </w:t>
      </w:r>
      <w:r w:rsidR="005076C7">
        <w:t>UTI generator</w:t>
      </w:r>
      <w:r w:rsidR="00AA722F">
        <w:rPr>
          <w:rFonts w:ascii="Calibri" w:hAnsi="Calibri"/>
        </w:rPr>
        <w:t>—</w:t>
      </w:r>
      <w:r w:rsidR="00AA722F">
        <w:t>O</w:t>
      </w:r>
      <w:r>
        <w:t>verall approach</w:t>
      </w:r>
      <w:bookmarkEnd w:id="41"/>
    </w:p>
    <w:p w14:paraId="1F2B7509" w14:textId="65EE9FB8" w:rsidR="00B523BF" w:rsidRDefault="006022AE" w:rsidP="006022AE">
      <w:pPr>
        <w:pStyle w:val="BodyText"/>
      </w:pPr>
      <w:r>
        <w:t xml:space="preserve">The </w:t>
      </w:r>
      <w:r w:rsidR="00DB28F3">
        <w:t xml:space="preserve">UTI </w:t>
      </w:r>
      <w:r w:rsidR="0022679B">
        <w:t>Guidance</w:t>
      </w:r>
      <w:r>
        <w:t xml:space="preserve"> </w:t>
      </w:r>
      <w:r w:rsidR="00B523BF">
        <w:t>is framed around a number of principles, including:</w:t>
      </w:r>
    </w:p>
    <w:p w14:paraId="6C6565D9" w14:textId="39DBF6C7" w:rsidR="00B523BF" w:rsidRDefault="00B523BF" w:rsidP="00B523BF">
      <w:pPr>
        <w:pStyle w:val="subparaa"/>
      </w:pPr>
      <w:r>
        <w:t xml:space="preserve">a ‘first-touch’ concept </w:t>
      </w:r>
      <w:r w:rsidR="00AA722F">
        <w:t>where</w:t>
      </w:r>
      <w:r>
        <w:t xml:space="preserve"> the </w:t>
      </w:r>
      <w:r w:rsidR="005076C7">
        <w:t>UTI generator</w:t>
      </w:r>
      <w:r>
        <w:t xml:space="preserve"> is the </w:t>
      </w:r>
      <w:r w:rsidRPr="00B523BF">
        <w:t xml:space="preserve">first entity in the transaction </w:t>
      </w:r>
      <w:r w:rsidR="00E557A8">
        <w:t>lifecycle</w:t>
      </w:r>
      <w:r w:rsidRPr="00B523BF">
        <w:t xml:space="preserve"> that could reasonably </w:t>
      </w:r>
      <w:r>
        <w:t>generate a UTI;</w:t>
      </w:r>
    </w:p>
    <w:p w14:paraId="060A44A7" w14:textId="2E4B0CF1" w:rsidR="00B523BF" w:rsidRDefault="00B523BF" w:rsidP="00B523BF">
      <w:pPr>
        <w:pStyle w:val="subparaa"/>
      </w:pPr>
      <w:r>
        <w:t>facilitation of automation of UTI determination and of its generation and distribution from one entity</w:t>
      </w:r>
      <w:r w:rsidR="004A6F31">
        <w:t xml:space="preserve"> to another</w:t>
      </w:r>
      <w:r w:rsidR="00663755">
        <w:t>;</w:t>
      </w:r>
      <w:r w:rsidR="004A6F31">
        <w:t xml:space="preserve"> and</w:t>
      </w:r>
    </w:p>
    <w:p w14:paraId="0E12FC3D" w14:textId="46CCA520" w:rsidR="004A6F31" w:rsidRDefault="00B523BF" w:rsidP="00B523BF">
      <w:pPr>
        <w:pStyle w:val="subparaa"/>
      </w:pPr>
      <w:r>
        <w:t xml:space="preserve">that </w:t>
      </w:r>
      <w:r w:rsidR="004A6F31">
        <w:t xml:space="preserve">the </w:t>
      </w:r>
      <w:r>
        <w:t>UTI is available in time for the soonest reporting requirement</w:t>
      </w:r>
      <w:r w:rsidR="00611A47">
        <w:t xml:space="preserve"> of the counterparties</w:t>
      </w:r>
      <w:r w:rsidRPr="00B523BF">
        <w:t xml:space="preserve"> to </w:t>
      </w:r>
      <w:r w:rsidR="00611A47">
        <w:t>the reportable transaction</w:t>
      </w:r>
      <w:r w:rsidR="004A6F31">
        <w:t>.</w:t>
      </w:r>
    </w:p>
    <w:p w14:paraId="40DA24AD" w14:textId="140F086A" w:rsidR="006022AE" w:rsidRDefault="0074249F" w:rsidP="004A6F31">
      <w:pPr>
        <w:pStyle w:val="BodyText"/>
      </w:pPr>
      <w:r>
        <w:t xml:space="preserve">The </w:t>
      </w:r>
      <w:r w:rsidR="00DB28F3">
        <w:t xml:space="preserve">UTI </w:t>
      </w:r>
      <w:r w:rsidR="0022679B">
        <w:t>Guidance</w:t>
      </w:r>
      <w:r>
        <w:t xml:space="preserve"> </w:t>
      </w:r>
      <w:r w:rsidR="006022AE">
        <w:t xml:space="preserve">essentially sets out three streams by which the </w:t>
      </w:r>
      <w:r w:rsidR="005076C7">
        <w:t>UTI generator</w:t>
      </w:r>
      <w:r w:rsidR="006022AE">
        <w:t xml:space="preserve"> is determined</w:t>
      </w:r>
      <w:r w:rsidR="00E964AE">
        <w:t>,</w:t>
      </w:r>
      <w:r w:rsidR="00DA51CB">
        <w:t xml:space="preserve"> with a fourth stream as the ultimate determinant</w:t>
      </w:r>
      <w:r w:rsidR="00E964AE">
        <w:t xml:space="preserve">: see </w:t>
      </w:r>
      <w:r w:rsidR="00E964AE">
        <w:fldChar w:fldCharType="begin"/>
      </w:r>
      <w:r w:rsidR="00E964AE">
        <w:instrText xml:space="preserve"> REF _Ref54787946 \h </w:instrText>
      </w:r>
      <w:r w:rsidR="00E964AE">
        <w:fldChar w:fldCharType="separate"/>
      </w:r>
      <w:r w:rsidR="00314C7E">
        <w:t xml:space="preserve">Table </w:t>
      </w:r>
      <w:r w:rsidR="00314C7E">
        <w:rPr>
          <w:noProof/>
        </w:rPr>
        <w:t>3</w:t>
      </w:r>
      <w:r w:rsidR="00E964AE">
        <w:fldChar w:fldCharType="end"/>
      </w:r>
      <w:r>
        <w:t xml:space="preserve">. The </w:t>
      </w:r>
      <w:r w:rsidR="00DB28F3">
        <w:t xml:space="preserve">UTI </w:t>
      </w:r>
      <w:r w:rsidR="0022679B">
        <w:t>Guidance</w:t>
      </w:r>
      <w:r>
        <w:t xml:space="preserve"> takes a waterfall approach </w:t>
      </w:r>
      <w:r w:rsidR="00E964AE">
        <w:t xml:space="preserve">which determines </w:t>
      </w:r>
      <w:r w:rsidR="00DB28F3">
        <w:t xml:space="preserve">the </w:t>
      </w:r>
      <w:r w:rsidR="005076C7">
        <w:t>UTI generator</w:t>
      </w:r>
      <w:r w:rsidR="00DB28F3">
        <w:t xml:space="preserve"> at the highest point within each stream.</w:t>
      </w:r>
    </w:p>
    <w:p w14:paraId="462D3A32" w14:textId="09200A5D" w:rsidR="00DB28F3" w:rsidRDefault="0074249F" w:rsidP="004A6F31">
      <w:pPr>
        <w:pStyle w:val="BodyText"/>
      </w:pPr>
      <w:r>
        <w:t xml:space="preserve">The first stream follows the ‘first touch’ and automation principles in transaction process workflows involving </w:t>
      </w:r>
      <w:r w:rsidR="00E964AE">
        <w:t>trading platforms</w:t>
      </w:r>
      <w:r w:rsidR="00DB28F3">
        <w:t xml:space="preserve">, </w:t>
      </w:r>
      <w:r w:rsidRPr="002464D4">
        <w:rPr>
          <w:bCs/>
        </w:rPr>
        <w:t>CCPs</w:t>
      </w:r>
      <w:r w:rsidR="00DB28F3">
        <w:t xml:space="preserve"> and </w:t>
      </w:r>
      <w:r w:rsidR="00E964AE">
        <w:t>clearing members</w:t>
      </w:r>
      <w:r w:rsidR="003119A8">
        <w:t>.</w:t>
      </w:r>
      <w:r w:rsidR="00D959E7">
        <w:t xml:space="preserve"> </w:t>
      </w:r>
      <w:r w:rsidR="00C55558">
        <w:t>The</w:t>
      </w:r>
      <w:r w:rsidR="00E964AE">
        <w:t xml:space="preserve"> </w:t>
      </w:r>
      <w:r w:rsidR="00DB28F3">
        <w:t xml:space="preserve">UTI </w:t>
      </w:r>
      <w:r w:rsidR="0022679B">
        <w:t>Guidance</w:t>
      </w:r>
      <w:r>
        <w:t xml:space="preserve"> </w:t>
      </w:r>
      <w:r w:rsidR="00E964AE">
        <w:t xml:space="preserve">intends </w:t>
      </w:r>
      <w:r>
        <w:t xml:space="preserve">the steps </w:t>
      </w:r>
      <w:r w:rsidR="00DB28F3">
        <w:t xml:space="preserve">in this stream </w:t>
      </w:r>
      <w:r w:rsidR="00E964AE">
        <w:t xml:space="preserve">to </w:t>
      </w:r>
      <w:r w:rsidR="00DB28F3">
        <w:t>be applied by all jurisdictions</w:t>
      </w:r>
      <w:r w:rsidR="00E964AE" w:rsidRPr="00136CC5">
        <w:t>—</w:t>
      </w:r>
      <w:r w:rsidR="00DB28F3">
        <w:t xml:space="preserve">we </w:t>
      </w:r>
      <w:r w:rsidR="00E964AE">
        <w:t xml:space="preserve">have </w:t>
      </w:r>
      <w:r w:rsidR="00DB28F3">
        <w:t>label</w:t>
      </w:r>
      <w:r w:rsidR="00E964AE">
        <w:t>led</w:t>
      </w:r>
      <w:r w:rsidR="00DB28F3">
        <w:t xml:space="preserve"> this stream ‘</w:t>
      </w:r>
      <w:r w:rsidR="00BF266B">
        <w:t>g</w:t>
      </w:r>
      <w:r w:rsidR="00DB28F3">
        <w:t xml:space="preserve">lobally </w:t>
      </w:r>
      <w:r w:rsidR="00AA722F">
        <w:t>c</w:t>
      </w:r>
      <w:r w:rsidR="00DB28F3">
        <w:t>ommon’.</w:t>
      </w:r>
    </w:p>
    <w:p w14:paraId="1C29DEC0" w14:textId="737ECF36" w:rsidR="0074249F" w:rsidRDefault="00DB28F3" w:rsidP="004A6F31">
      <w:pPr>
        <w:pStyle w:val="BodyText"/>
      </w:pPr>
      <w:r>
        <w:t xml:space="preserve">After the </w:t>
      </w:r>
      <w:r w:rsidR="00AA722F">
        <w:t>‘</w:t>
      </w:r>
      <w:r w:rsidR="00BF266B">
        <w:t xml:space="preserve">globally </w:t>
      </w:r>
      <w:r w:rsidR="00AA722F">
        <w:t xml:space="preserve">common’ </w:t>
      </w:r>
      <w:r>
        <w:t xml:space="preserve">stream, the UTI </w:t>
      </w:r>
      <w:r w:rsidR="0022679B">
        <w:t>Guidance</w:t>
      </w:r>
      <w:r>
        <w:t xml:space="preserve"> branches to either a ‘</w:t>
      </w:r>
      <w:r w:rsidR="00B71338">
        <w:t>single-jurisdictional</w:t>
      </w:r>
      <w:r>
        <w:t xml:space="preserve"> transaction’ stream or a ‘</w:t>
      </w:r>
      <w:r w:rsidR="00BF266B">
        <w:t>c</w:t>
      </w:r>
      <w:r>
        <w:t>ross-jurisdictional</w:t>
      </w:r>
      <w:r w:rsidR="00B71338">
        <w:t xml:space="preserve"> transaction</w:t>
      </w:r>
      <w:r>
        <w:t>’ stream</w:t>
      </w:r>
      <w:r w:rsidR="00D26299">
        <w:t>.</w:t>
      </w:r>
    </w:p>
    <w:p w14:paraId="61D2D1DC" w14:textId="3E1B4F4C" w:rsidR="00D26299" w:rsidRDefault="00D26299" w:rsidP="00D26299">
      <w:pPr>
        <w:pStyle w:val="subparaa"/>
      </w:pPr>
      <w:r>
        <w:t>A ‘</w:t>
      </w:r>
      <w:r w:rsidR="009822AC">
        <w:t xml:space="preserve">single-jurisdictional </w:t>
      </w:r>
      <w:r w:rsidR="00E964AE">
        <w:t xml:space="preserve">transaction’ </w:t>
      </w:r>
      <w:r w:rsidR="009D6DB8">
        <w:t>is</w:t>
      </w:r>
      <w:r>
        <w:t xml:space="preserve"> a transaction that is solely reportable under, for example, the ASIC Rules</w:t>
      </w:r>
      <w:r w:rsidR="009D6DB8">
        <w:t xml:space="preserve">, </w:t>
      </w:r>
      <w:r>
        <w:t>whether reportable by one or both counterparties</w:t>
      </w:r>
      <w:r w:rsidR="007D6646">
        <w:t>.</w:t>
      </w:r>
    </w:p>
    <w:p w14:paraId="6A2B387F" w14:textId="024EE2E7" w:rsidR="00D76CA2" w:rsidRDefault="00D26299" w:rsidP="00D76CA2">
      <w:pPr>
        <w:pStyle w:val="subparaa"/>
      </w:pPr>
      <w:r>
        <w:t>A ‘</w:t>
      </w:r>
      <w:r w:rsidR="009D6DB8">
        <w:t>cross</w:t>
      </w:r>
      <w:r>
        <w:t xml:space="preserve">-jurisdictional </w:t>
      </w:r>
      <w:r w:rsidR="009D6DB8">
        <w:t>transaction’ is</w:t>
      </w:r>
      <w:r w:rsidR="007D6646">
        <w:t xml:space="preserve"> a transaction that is reportable under the rules of two or more jurisdictions, such as under the ASIC Rules and the </w:t>
      </w:r>
      <w:r w:rsidR="0064403F">
        <w:t xml:space="preserve">final </w:t>
      </w:r>
      <w:r w:rsidR="007D6646">
        <w:t xml:space="preserve">CFTC </w:t>
      </w:r>
      <w:r w:rsidR="00147C5B">
        <w:t>r</w:t>
      </w:r>
      <w:r w:rsidR="007D6646">
        <w:t>ules</w:t>
      </w:r>
      <w:r w:rsidR="00D76CA2">
        <w:t>.</w:t>
      </w:r>
    </w:p>
    <w:p w14:paraId="58C21823" w14:textId="694B429F" w:rsidR="00D76CA2" w:rsidRDefault="004C369B" w:rsidP="00D76CA2">
      <w:pPr>
        <w:pStyle w:val="BodyText"/>
      </w:pPr>
      <w:r>
        <w:t xml:space="preserve">Finally, if a </w:t>
      </w:r>
      <w:r w:rsidR="005076C7">
        <w:t>UTI generator</w:t>
      </w:r>
      <w:r>
        <w:t xml:space="preserve"> is not determin</w:t>
      </w:r>
      <w:r w:rsidR="00D575FD">
        <w:t>ed</w:t>
      </w:r>
      <w:r>
        <w:t xml:space="preserve"> from among the first three streams, a fourth stream provides for the ‘</w:t>
      </w:r>
      <w:r w:rsidR="009D6DB8">
        <w:t xml:space="preserve">ultimate determinant’ </w:t>
      </w:r>
      <w:r>
        <w:t xml:space="preserve">of the </w:t>
      </w:r>
      <w:r w:rsidR="005076C7">
        <w:t>UTI generator</w:t>
      </w:r>
      <w:r w:rsidR="009D6DB8">
        <w:t>.</w:t>
      </w:r>
    </w:p>
    <w:p w14:paraId="27C01522" w14:textId="4E34307E" w:rsidR="006022AE" w:rsidRDefault="006022AE" w:rsidP="000C4928">
      <w:pPr>
        <w:pStyle w:val="tabletitlefullwidth"/>
      </w:pPr>
      <w:bookmarkStart w:id="42" w:name="_Ref54787946"/>
      <w:r>
        <w:t xml:space="preserve">Table </w:t>
      </w:r>
      <w:r w:rsidR="007055A5">
        <w:fldChar w:fldCharType="begin"/>
      </w:r>
      <w:r w:rsidR="007055A5">
        <w:instrText xml:space="preserve"> SEQ Table \* ARABIC </w:instrText>
      </w:r>
      <w:r w:rsidR="007055A5">
        <w:fldChar w:fldCharType="separate"/>
      </w:r>
      <w:r w:rsidR="00314C7E">
        <w:rPr>
          <w:noProof/>
        </w:rPr>
        <w:t>3</w:t>
      </w:r>
      <w:r w:rsidR="007055A5">
        <w:rPr>
          <w:noProof/>
        </w:rPr>
        <w:fldChar w:fldCharType="end"/>
      </w:r>
      <w:bookmarkEnd w:id="42"/>
      <w:r>
        <w:t>:</w:t>
      </w:r>
      <w:r>
        <w:tab/>
      </w:r>
      <w:r w:rsidR="004C369B">
        <w:t>High-level summary of the UTI Guidance streams</w:t>
      </w:r>
    </w:p>
    <w:tbl>
      <w:tblPr>
        <w:tblW w:w="9054"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037"/>
        <w:gridCol w:w="1338"/>
        <w:gridCol w:w="5679"/>
      </w:tblGrid>
      <w:tr w:rsidR="000606F1" w:rsidRPr="000540E1" w14:paraId="791518E2" w14:textId="77777777" w:rsidTr="00C363B9">
        <w:trPr>
          <w:cantSplit/>
          <w:tblHeader/>
        </w:trPr>
        <w:tc>
          <w:tcPr>
            <w:tcW w:w="0" w:type="auto"/>
            <w:shd w:val="clear" w:color="auto" w:fill="C2E3FA"/>
          </w:tcPr>
          <w:p w14:paraId="5A529579" w14:textId="1E21CBD1" w:rsidR="006022AE" w:rsidRDefault="006022AE" w:rsidP="002464D4">
            <w:pPr>
              <w:pStyle w:val="tablehead"/>
              <w:spacing w:before="80" w:line="230" w:lineRule="atLeast"/>
            </w:pPr>
            <w:r>
              <w:t>Stream</w:t>
            </w:r>
          </w:p>
        </w:tc>
        <w:tc>
          <w:tcPr>
            <w:tcW w:w="1338" w:type="dxa"/>
            <w:shd w:val="clear" w:color="auto" w:fill="C2E3FA"/>
          </w:tcPr>
          <w:p w14:paraId="054E2EAB" w14:textId="0CF6DEF1" w:rsidR="006022AE" w:rsidRDefault="00DB28F3" w:rsidP="002464D4">
            <w:pPr>
              <w:pStyle w:val="tablehead"/>
              <w:spacing w:before="80" w:line="230" w:lineRule="atLeast"/>
            </w:pPr>
            <w:r>
              <w:t>UTI Guidance</w:t>
            </w:r>
            <w:r w:rsidR="006022AE">
              <w:t xml:space="preserve"> steps</w:t>
            </w:r>
          </w:p>
        </w:tc>
        <w:tc>
          <w:tcPr>
            <w:tcW w:w="5679" w:type="dxa"/>
            <w:shd w:val="clear" w:color="auto" w:fill="C2E3FA"/>
          </w:tcPr>
          <w:p w14:paraId="5B70B41E" w14:textId="0747B28B" w:rsidR="006022AE" w:rsidRPr="000540E1" w:rsidRDefault="005076C7" w:rsidP="002464D4">
            <w:pPr>
              <w:pStyle w:val="tablehead"/>
              <w:spacing w:before="80" w:line="230" w:lineRule="atLeast"/>
            </w:pPr>
            <w:r>
              <w:t>UTI generator</w:t>
            </w:r>
            <w:r w:rsidR="00D26299">
              <w:t xml:space="preserve"> outcomes</w:t>
            </w:r>
          </w:p>
        </w:tc>
      </w:tr>
      <w:tr w:rsidR="00C363B9" w:rsidRPr="000540E1" w14:paraId="7C16032F" w14:textId="77777777" w:rsidTr="002464D4">
        <w:trPr>
          <w:cantSplit/>
          <w:trHeight w:val="779"/>
        </w:trPr>
        <w:tc>
          <w:tcPr>
            <w:tcW w:w="0" w:type="auto"/>
          </w:tcPr>
          <w:p w14:paraId="15EAFFE7" w14:textId="68107399" w:rsidR="00C363B9" w:rsidRPr="000540E1" w:rsidRDefault="00C363B9" w:rsidP="002464D4">
            <w:pPr>
              <w:pStyle w:val="tbltext"/>
              <w:spacing w:before="80" w:line="230" w:lineRule="atLeast"/>
            </w:pPr>
            <w:r>
              <w:t>Globally common</w:t>
            </w:r>
          </w:p>
        </w:tc>
        <w:tc>
          <w:tcPr>
            <w:tcW w:w="1338" w:type="dxa"/>
          </w:tcPr>
          <w:p w14:paraId="333CCB3C" w14:textId="71FE02C9" w:rsidR="00C363B9" w:rsidRPr="000540E1" w:rsidRDefault="00C363B9" w:rsidP="002464D4">
            <w:pPr>
              <w:pStyle w:val="tbltext"/>
              <w:spacing w:before="80" w:line="230" w:lineRule="atLeast"/>
            </w:pPr>
            <w:r>
              <w:t>Steps 1–3</w:t>
            </w:r>
          </w:p>
          <w:p w14:paraId="1C856EB9" w14:textId="3E4D8986" w:rsidR="00C363B9" w:rsidRPr="000540E1" w:rsidRDefault="00C363B9" w:rsidP="002464D4">
            <w:pPr>
              <w:pStyle w:val="tbltext"/>
              <w:spacing w:before="80" w:line="230" w:lineRule="atLeast"/>
            </w:pPr>
            <w:r>
              <w:t>Step 4</w:t>
            </w:r>
          </w:p>
        </w:tc>
        <w:tc>
          <w:tcPr>
            <w:tcW w:w="5679" w:type="dxa"/>
          </w:tcPr>
          <w:p w14:paraId="6F8F6AD9" w14:textId="76281292" w:rsidR="00C363B9" w:rsidRPr="000540E1" w:rsidRDefault="00C363B9" w:rsidP="002464D4">
            <w:pPr>
              <w:pStyle w:val="tbltext"/>
              <w:spacing w:before="80" w:line="230" w:lineRule="atLeast"/>
            </w:pPr>
            <w:r>
              <w:t xml:space="preserve">One of CCP, </w:t>
            </w:r>
            <w:r w:rsidR="003119A8">
              <w:t xml:space="preserve">clearing member </w:t>
            </w:r>
            <w:r>
              <w:t xml:space="preserve">or </w:t>
            </w:r>
            <w:r w:rsidR="00123796">
              <w:t>trading platform</w:t>
            </w:r>
          </w:p>
          <w:p w14:paraId="315C07F0" w14:textId="32F78F37" w:rsidR="00C363B9" w:rsidRPr="000540E1" w:rsidRDefault="00C363B9" w:rsidP="002464D4">
            <w:pPr>
              <w:pStyle w:val="tbltext"/>
              <w:spacing w:before="80" w:line="230" w:lineRule="atLeast"/>
            </w:pPr>
            <w:r>
              <w:t>Branch to ‘</w:t>
            </w:r>
            <w:r w:rsidR="009822AC">
              <w:t xml:space="preserve">single-jurisdictional </w:t>
            </w:r>
            <w:r>
              <w:t>transaction’ stream or to ‘</w:t>
            </w:r>
            <w:r w:rsidR="00840BB7">
              <w:t>cross</w:t>
            </w:r>
            <w:r>
              <w:t>-jurisdictional transaction’ stream</w:t>
            </w:r>
          </w:p>
        </w:tc>
      </w:tr>
      <w:tr w:rsidR="000606F1" w:rsidRPr="000540E1" w14:paraId="540E004C" w14:textId="77777777" w:rsidTr="00C363B9">
        <w:trPr>
          <w:cantSplit/>
        </w:trPr>
        <w:tc>
          <w:tcPr>
            <w:tcW w:w="0" w:type="auto"/>
          </w:tcPr>
          <w:p w14:paraId="23A2C461" w14:textId="3BE02604" w:rsidR="006022AE" w:rsidRPr="000540E1" w:rsidRDefault="00B71338" w:rsidP="002464D4">
            <w:pPr>
              <w:pStyle w:val="tbltext"/>
              <w:spacing w:before="80" w:line="230" w:lineRule="atLeast"/>
            </w:pPr>
            <w:r>
              <w:t>Single-jurisdiction</w:t>
            </w:r>
            <w:r w:rsidR="00FE5E6C">
              <w:t>al</w:t>
            </w:r>
            <w:r w:rsidR="006022AE">
              <w:t xml:space="preserve"> </w:t>
            </w:r>
            <w:r w:rsidR="00C363B9">
              <w:t>transaction</w:t>
            </w:r>
          </w:p>
        </w:tc>
        <w:tc>
          <w:tcPr>
            <w:tcW w:w="1338" w:type="dxa"/>
          </w:tcPr>
          <w:p w14:paraId="76E3F7E0" w14:textId="293CDA4D" w:rsidR="006022AE" w:rsidRPr="000540E1" w:rsidRDefault="006022AE" w:rsidP="002464D4">
            <w:pPr>
              <w:pStyle w:val="tbltext"/>
              <w:spacing w:before="80" w:line="230" w:lineRule="atLeast"/>
            </w:pPr>
            <w:r>
              <w:t>Steps 5–9</w:t>
            </w:r>
            <w:r w:rsidR="002B63DA">
              <w:t xml:space="preserve"> &amp; 11–12</w:t>
            </w:r>
          </w:p>
        </w:tc>
        <w:tc>
          <w:tcPr>
            <w:tcW w:w="5679" w:type="dxa"/>
          </w:tcPr>
          <w:p w14:paraId="52922837" w14:textId="00825724" w:rsidR="006022AE" w:rsidRPr="000540E1" w:rsidRDefault="006022AE" w:rsidP="002464D4">
            <w:pPr>
              <w:pStyle w:val="tbltext"/>
              <w:spacing w:before="80" w:line="230" w:lineRule="atLeast"/>
            </w:pPr>
            <w:r>
              <w:t xml:space="preserve">Confirmation </w:t>
            </w:r>
            <w:r w:rsidR="00123796">
              <w:t xml:space="preserve">platform </w:t>
            </w:r>
            <w:r>
              <w:t>or one of the counterparties</w:t>
            </w:r>
            <w:r w:rsidR="00D76CA2">
              <w:t xml:space="preserve"> according to various determining rules</w:t>
            </w:r>
            <w:r w:rsidR="002B63DA">
              <w:t xml:space="preserve"> or by agreement between the counterparties</w:t>
            </w:r>
          </w:p>
        </w:tc>
      </w:tr>
      <w:tr w:rsidR="000606F1" w:rsidRPr="000540E1" w14:paraId="622EA87B" w14:textId="77777777" w:rsidTr="00C363B9">
        <w:trPr>
          <w:cantSplit/>
        </w:trPr>
        <w:tc>
          <w:tcPr>
            <w:tcW w:w="0" w:type="auto"/>
          </w:tcPr>
          <w:p w14:paraId="2C6BAC10" w14:textId="48363863" w:rsidR="006022AE" w:rsidRPr="000540E1" w:rsidRDefault="006022AE" w:rsidP="002464D4">
            <w:pPr>
              <w:pStyle w:val="tbltext"/>
              <w:spacing w:before="80" w:line="230" w:lineRule="atLeast"/>
            </w:pPr>
            <w:r>
              <w:lastRenderedPageBreak/>
              <w:t>Cross-</w:t>
            </w:r>
            <w:r w:rsidR="00DA51CB">
              <w:t>jurisdictional</w:t>
            </w:r>
            <w:r>
              <w:t xml:space="preserve"> transaction</w:t>
            </w:r>
          </w:p>
        </w:tc>
        <w:tc>
          <w:tcPr>
            <w:tcW w:w="1338" w:type="dxa"/>
          </w:tcPr>
          <w:p w14:paraId="33DB3938" w14:textId="2B4BCF73" w:rsidR="006022AE" w:rsidRPr="000540E1" w:rsidRDefault="00DA51CB" w:rsidP="002464D4">
            <w:pPr>
              <w:pStyle w:val="tbltext"/>
              <w:spacing w:before="80" w:line="230" w:lineRule="atLeast"/>
            </w:pPr>
            <w:r>
              <w:t>Step 10</w:t>
            </w:r>
            <w:r w:rsidR="002B63DA">
              <w:t xml:space="preserve"> &amp; </w:t>
            </w:r>
            <w:r w:rsidR="002B63DA">
              <w:br/>
              <w:t>11–12</w:t>
            </w:r>
          </w:p>
        </w:tc>
        <w:tc>
          <w:tcPr>
            <w:tcW w:w="5679" w:type="dxa"/>
          </w:tcPr>
          <w:p w14:paraId="374EB240" w14:textId="77777777" w:rsidR="002B63DA" w:rsidRDefault="00DA51CB" w:rsidP="002464D4">
            <w:pPr>
              <w:pStyle w:val="tbltext"/>
              <w:spacing w:before="80" w:line="230" w:lineRule="atLeast"/>
            </w:pPr>
            <w:r>
              <w:t xml:space="preserve">According to the rules of the </w:t>
            </w:r>
            <w:bookmarkStart w:id="43" w:name="_Hlk51942370"/>
            <w:r>
              <w:t>jurisdiction with the sooner reporting deadline</w:t>
            </w:r>
            <w:bookmarkEnd w:id="43"/>
          </w:p>
          <w:p w14:paraId="64A087E6" w14:textId="4FA4A3E2" w:rsidR="006022AE" w:rsidRPr="000540E1" w:rsidRDefault="002B63DA" w:rsidP="002464D4">
            <w:pPr>
              <w:pStyle w:val="tbltext"/>
              <w:spacing w:before="80" w:line="230" w:lineRule="atLeast"/>
            </w:pPr>
            <w:r>
              <w:t>B</w:t>
            </w:r>
            <w:r w:rsidR="0074249F">
              <w:t xml:space="preserve">ut </w:t>
            </w:r>
            <w:r w:rsidR="00DA51CB">
              <w:t xml:space="preserve">if no jurisdiction is sooner, </w:t>
            </w:r>
            <w:r>
              <w:t xml:space="preserve">by agreement between the counterparties or by the </w:t>
            </w:r>
            <w:r w:rsidR="00123796">
              <w:t>confirmation platform</w:t>
            </w:r>
          </w:p>
        </w:tc>
      </w:tr>
      <w:tr w:rsidR="000606F1" w:rsidRPr="000540E1" w14:paraId="44C0C520" w14:textId="77777777" w:rsidTr="00C363B9">
        <w:trPr>
          <w:cantSplit/>
        </w:trPr>
        <w:tc>
          <w:tcPr>
            <w:tcW w:w="0" w:type="auto"/>
          </w:tcPr>
          <w:p w14:paraId="27D84ACA" w14:textId="1A438878" w:rsidR="00DA51CB" w:rsidRDefault="00DA51CB" w:rsidP="002464D4">
            <w:pPr>
              <w:pStyle w:val="tbltext"/>
              <w:spacing w:before="80" w:line="230" w:lineRule="atLeast"/>
            </w:pPr>
            <w:r>
              <w:t xml:space="preserve">Ultimate </w:t>
            </w:r>
            <w:r w:rsidR="00C363B9">
              <w:t>determinant</w:t>
            </w:r>
          </w:p>
        </w:tc>
        <w:tc>
          <w:tcPr>
            <w:tcW w:w="1338" w:type="dxa"/>
          </w:tcPr>
          <w:p w14:paraId="2FB9DDEF" w14:textId="55055AB1" w:rsidR="00DA51CB" w:rsidRDefault="00DA51CB" w:rsidP="002464D4">
            <w:pPr>
              <w:pStyle w:val="tbltext"/>
              <w:spacing w:before="80" w:line="230" w:lineRule="atLeast"/>
            </w:pPr>
            <w:r>
              <w:t>Step</w:t>
            </w:r>
            <w:r w:rsidR="00D00CB4">
              <w:t xml:space="preserve"> </w:t>
            </w:r>
            <w:r>
              <w:t>13</w:t>
            </w:r>
          </w:p>
        </w:tc>
        <w:tc>
          <w:tcPr>
            <w:tcW w:w="5679" w:type="dxa"/>
          </w:tcPr>
          <w:p w14:paraId="0883D64C" w14:textId="5DBCEBEC" w:rsidR="00DA51CB" w:rsidRDefault="00DA51CB" w:rsidP="002464D4">
            <w:pPr>
              <w:pStyle w:val="tbltext"/>
              <w:spacing w:before="80" w:line="230" w:lineRule="atLeast"/>
            </w:pPr>
            <w:r>
              <w:t xml:space="preserve">If </w:t>
            </w:r>
            <w:r w:rsidR="00FE5E6C">
              <w:t xml:space="preserve">the </w:t>
            </w:r>
            <w:r w:rsidR="005076C7">
              <w:t>UTI generator</w:t>
            </w:r>
            <w:r>
              <w:t xml:space="preserve"> is not determined from </w:t>
            </w:r>
            <w:r w:rsidR="00FE5E6C">
              <w:t xml:space="preserve">the </w:t>
            </w:r>
            <w:r>
              <w:t xml:space="preserve">above streams, </w:t>
            </w:r>
            <w:r w:rsidR="00D00CB4">
              <w:t>the</w:t>
            </w:r>
            <w:r>
              <w:t xml:space="preserve"> </w:t>
            </w:r>
            <w:r w:rsidR="00123796">
              <w:t>trade repository</w:t>
            </w:r>
            <w:r w:rsidR="00FE5E6C">
              <w:t xml:space="preserve"> </w:t>
            </w:r>
            <w:r w:rsidR="000606F1">
              <w:t xml:space="preserve">or </w:t>
            </w:r>
            <w:r w:rsidR="00D00CB4">
              <w:t xml:space="preserve">else </w:t>
            </w:r>
            <w:r w:rsidR="000606F1">
              <w:t xml:space="preserve">the counterparty whose reversed LEI is </w:t>
            </w:r>
            <w:r w:rsidR="00123796">
              <w:t xml:space="preserve">ranked higher </w:t>
            </w:r>
            <w:r w:rsidR="000606F1">
              <w:t>when sorted with the other counterparty’s reversed LEI</w:t>
            </w:r>
          </w:p>
        </w:tc>
      </w:tr>
    </w:tbl>
    <w:p w14:paraId="0277AE12" w14:textId="6C173847" w:rsidR="00D575FD" w:rsidRDefault="00D575FD" w:rsidP="00D575FD">
      <w:pPr>
        <w:pStyle w:val="BodyText"/>
      </w:pPr>
      <w:r>
        <w:t xml:space="preserve">For a </w:t>
      </w:r>
      <w:r w:rsidR="00123796">
        <w:t>cross</w:t>
      </w:r>
      <w:r>
        <w:t xml:space="preserve">-jurisdictional </w:t>
      </w:r>
      <w:r w:rsidR="00123796">
        <w:t>transaction</w:t>
      </w:r>
      <w:r>
        <w:t xml:space="preserve">, determining the </w:t>
      </w:r>
      <w:r w:rsidR="005076C7">
        <w:t>UTI generator</w:t>
      </w:r>
      <w:r>
        <w:t xml:space="preserve"> according to the rules of the </w:t>
      </w:r>
      <w:r w:rsidRPr="00D575FD">
        <w:t>jurisdiction with the sooner reporting deadline</w:t>
      </w:r>
      <w:r>
        <w:t xml:space="preserve"> would generally mean determining the </w:t>
      </w:r>
      <w:r w:rsidR="005076C7">
        <w:t>UTI generator</w:t>
      </w:r>
      <w:r>
        <w:t xml:space="preserve"> as if the transaction was a </w:t>
      </w:r>
      <w:r w:rsidR="009822AC">
        <w:t xml:space="preserve">single-jurisdictional </w:t>
      </w:r>
      <w:r w:rsidR="00123796">
        <w:t xml:space="preserve">transaction </w:t>
      </w:r>
      <w:r>
        <w:t>under that jurisdiction’s rules.</w:t>
      </w:r>
    </w:p>
    <w:p w14:paraId="42499166" w14:textId="076D0FED" w:rsidR="00D575FD" w:rsidRDefault="00D575FD" w:rsidP="00D575FD">
      <w:pPr>
        <w:pStyle w:val="BodyText"/>
      </w:pPr>
      <w:r>
        <w:t xml:space="preserve">However, as noted </w:t>
      </w:r>
      <w:r w:rsidR="00601CE0">
        <w:t xml:space="preserve">in paragraph </w:t>
      </w:r>
      <w:r w:rsidR="00AD5DC2">
        <w:fldChar w:fldCharType="begin"/>
      </w:r>
      <w:r w:rsidR="00AD5DC2">
        <w:instrText xml:space="preserve"> REF _ASICRef829 \w \h </w:instrText>
      </w:r>
      <w:r w:rsidR="00AD5DC2">
        <w:fldChar w:fldCharType="separate"/>
      </w:r>
      <w:r w:rsidR="00314C7E">
        <w:t>32</w:t>
      </w:r>
      <w:r w:rsidR="00AD5DC2">
        <w:fldChar w:fldCharType="end"/>
      </w:r>
      <w:r>
        <w:t xml:space="preserve">, the UTI </w:t>
      </w:r>
      <w:r w:rsidR="0022679B">
        <w:t>Guidance</w:t>
      </w:r>
      <w:r>
        <w:t xml:space="preserve"> is not prescriptive and allows for variations according to individual jurisdictional circumstances. Thus, the applicable jurisdiction’s rules for a </w:t>
      </w:r>
      <w:r w:rsidR="00123796">
        <w:t>c</w:t>
      </w:r>
      <w:r>
        <w:t xml:space="preserve">ross-jurisdictional </w:t>
      </w:r>
      <w:r w:rsidR="00123796">
        <w:t>t</w:t>
      </w:r>
      <w:r>
        <w:t xml:space="preserve">ransaction may be special purpose rules rather than the same as the </w:t>
      </w:r>
      <w:r w:rsidR="009822AC">
        <w:t xml:space="preserve">single-jurisdictional </w:t>
      </w:r>
      <w:r w:rsidR="00123796">
        <w:t>t</w:t>
      </w:r>
      <w:r>
        <w:t>ransaction rules.</w:t>
      </w:r>
    </w:p>
    <w:p w14:paraId="20442A59" w14:textId="7BF9B1F5" w:rsidR="000473A4" w:rsidRDefault="000473A4" w:rsidP="00C40082">
      <w:pPr>
        <w:pStyle w:val="Heading3"/>
      </w:pPr>
      <w:r>
        <w:t>Jurisdictional variations from the UTI Guidance</w:t>
      </w:r>
    </w:p>
    <w:p w14:paraId="23E15279" w14:textId="05816BB2" w:rsidR="004C369B" w:rsidRDefault="00D575FD" w:rsidP="00D575FD">
      <w:pPr>
        <w:pStyle w:val="BodyText"/>
      </w:pPr>
      <w:r>
        <w:t xml:space="preserve">Given this allowance for variations according to individual jurisdictional circumstances, there may be other aspects of a jurisdiction’s rules that vary from the UTI </w:t>
      </w:r>
      <w:r w:rsidR="0022679B">
        <w:t>Guidance</w:t>
      </w:r>
      <w:r>
        <w:t>.</w:t>
      </w:r>
    </w:p>
    <w:p w14:paraId="1A0482A5" w14:textId="16238610" w:rsidR="000473A4" w:rsidRDefault="000473A4" w:rsidP="000C4928">
      <w:pPr>
        <w:pStyle w:val="BodyText"/>
      </w:pPr>
      <w:r>
        <w:t xml:space="preserve">We </w:t>
      </w:r>
      <w:r w:rsidR="006A3337">
        <w:t xml:space="preserve">think the UTI </w:t>
      </w:r>
      <w:r w:rsidR="00333A26">
        <w:t>proposals and</w:t>
      </w:r>
      <w:r w:rsidR="006A3337">
        <w:t>/or rules of other jurisdictions</w:t>
      </w:r>
      <w:r w:rsidR="00333A26">
        <w:t xml:space="preserve"> </w:t>
      </w:r>
      <w:r w:rsidR="001A2A89">
        <w:t>may include a number of</w:t>
      </w:r>
      <w:r>
        <w:t xml:space="preserve"> uncertainties as to their </w:t>
      </w:r>
      <w:r w:rsidR="00333A26">
        <w:t xml:space="preserve">interpretation and/or </w:t>
      </w:r>
      <w:r>
        <w:t>practical operation.</w:t>
      </w:r>
      <w:r w:rsidR="00333A26">
        <w:t xml:space="preserve"> These </w:t>
      </w:r>
      <w:r w:rsidR="001A2A89">
        <w:t>uncertainties may</w:t>
      </w:r>
      <w:r w:rsidR="00333A26">
        <w:t xml:space="preserve"> make it difficult to </w:t>
      </w:r>
      <w:r w:rsidR="00D629B6">
        <w:t xml:space="preserve">implement </w:t>
      </w:r>
      <w:r w:rsidR="00147C5B">
        <w:t xml:space="preserve">UTI rules within the </w:t>
      </w:r>
      <w:r w:rsidR="00D629B6">
        <w:t xml:space="preserve">ASIC </w:t>
      </w:r>
      <w:r w:rsidR="00147C5B">
        <w:t>Rules</w:t>
      </w:r>
      <w:r w:rsidR="00D629B6">
        <w:t xml:space="preserve"> that do not conflict with other jurisdictions’ rules and are without unintended consequences.</w:t>
      </w:r>
    </w:p>
    <w:p w14:paraId="1AF6F224" w14:textId="2AD2BA1D" w:rsidR="005A553D" w:rsidRDefault="006A3337" w:rsidP="000C4928">
      <w:pPr>
        <w:pStyle w:val="BodyText"/>
      </w:pPr>
      <w:r>
        <w:t xml:space="preserve">As noted in Section </w:t>
      </w:r>
      <w:r>
        <w:fldChar w:fldCharType="begin"/>
      </w:r>
      <w:r>
        <w:instrText xml:space="preserve"> REF _ASICRef301 \w \h </w:instrText>
      </w:r>
      <w:r>
        <w:fldChar w:fldCharType="separate"/>
      </w:r>
      <w:r w:rsidR="00314C7E">
        <w:t>B</w:t>
      </w:r>
      <w:r>
        <w:fldChar w:fldCharType="end"/>
      </w:r>
      <w:r>
        <w:t xml:space="preserve">, </w:t>
      </w:r>
      <w:r w:rsidR="005A553D">
        <w:t xml:space="preserve">ASIC is a member of the </w:t>
      </w:r>
      <w:r w:rsidR="00317745">
        <w:t>ROC,</w:t>
      </w:r>
      <w:r w:rsidR="005A553D">
        <w:t xml:space="preserve"> which is the </w:t>
      </w:r>
      <w:r w:rsidR="00FB4C46">
        <w:t xml:space="preserve">international governance body </w:t>
      </w:r>
      <w:r w:rsidR="005A553D">
        <w:t>for the UTI, UPI, CDE and LEI. A committee of the ROC</w:t>
      </w:r>
      <w:r w:rsidR="001A2A89" w:rsidRPr="001C7A22">
        <w:t xml:space="preserve">—the </w:t>
      </w:r>
      <w:r w:rsidR="00FE404E" w:rsidRPr="001A2A89">
        <w:t>CDIDE</w:t>
      </w:r>
      <w:r w:rsidR="001A2A89" w:rsidRPr="001C7A22">
        <w:t>—</w:t>
      </w:r>
      <w:r w:rsidR="00375EA3">
        <w:t>is the key</w:t>
      </w:r>
      <w:r w:rsidR="00FE404E">
        <w:t xml:space="preserve"> technical advisory body to the ROC on, </w:t>
      </w:r>
      <w:r w:rsidR="001A2A89">
        <w:t>among other things</w:t>
      </w:r>
      <w:r w:rsidR="00FE404E">
        <w:t>, implementation issues across jurisdictions. ASIC is also a member of the CDIDE.</w:t>
      </w:r>
    </w:p>
    <w:p w14:paraId="1625A8F4" w14:textId="2AA46A1F" w:rsidR="004C369B" w:rsidRDefault="00E5378D" w:rsidP="000C4928">
      <w:pPr>
        <w:pStyle w:val="BodyText"/>
      </w:pPr>
      <w:r>
        <w:t xml:space="preserve">ASIC is working within the </w:t>
      </w:r>
      <w:r w:rsidR="00FE404E">
        <w:t xml:space="preserve">CDIDE </w:t>
      </w:r>
      <w:r w:rsidR="00416217">
        <w:t>to encourage discussion</w:t>
      </w:r>
      <w:r>
        <w:t xml:space="preserve"> </w:t>
      </w:r>
      <w:r w:rsidR="00DB726A">
        <w:t xml:space="preserve">and resolution </w:t>
      </w:r>
      <w:r>
        <w:t xml:space="preserve">of </w:t>
      </w:r>
      <w:r w:rsidR="001A2A89">
        <w:t>these issues</w:t>
      </w:r>
      <w:r>
        <w:t>.</w:t>
      </w:r>
    </w:p>
    <w:p w14:paraId="57878351" w14:textId="3E3BF605" w:rsidR="005D30B0" w:rsidRDefault="005D30B0" w:rsidP="00C40082">
      <w:pPr>
        <w:pStyle w:val="Heading2"/>
      </w:pPr>
      <w:bookmarkStart w:id="44" w:name="_Toc57146478"/>
      <w:r>
        <w:lastRenderedPageBreak/>
        <w:t xml:space="preserve">Determining the </w:t>
      </w:r>
      <w:r w:rsidR="005076C7">
        <w:t>UTI generator</w:t>
      </w:r>
      <w:r w:rsidR="001A2A89">
        <w:rPr>
          <w:rFonts w:ascii="Calibri" w:hAnsi="Calibri"/>
        </w:rPr>
        <w:t>—</w:t>
      </w:r>
      <w:r>
        <w:t xml:space="preserve">CCP, </w:t>
      </w:r>
      <w:r w:rsidR="003119A8">
        <w:t>clearing member</w:t>
      </w:r>
      <w:r>
        <w:t xml:space="preserve">, </w:t>
      </w:r>
      <w:r w:rsidR="001A2A89">
        <w:t>trading platform</w:t>
      </w:r>
      <w:bookmarkEnd w:id="44"/>
    </w:p>
    <w:p w14:paraId="122C12C2" w14:textId="214823F4" w:rsidR="00A80207" w:rsidRDefault="00A80207" w:rsidP="00C40082">
      <w:pPr>
        <w:pStyle w:val="Heading3"/>
      </w:pPr>
      <w:r>
        <w:t>Step 1. CCP</w:t>
      </w:r>
    </w:p>
    <w:p w14:paraId="3C8BDE31" w14:textId="73265B71" w:rsidR="005D30B0" w:rsidRDefault="00147C5B" w:rsidP="001C7A22">
      <w:pPr>
        <w:pStyle w:val="BodyText"/>
        <w:spacing w:after="240"/>
      </w:pPr>
      <w:r>
        <w:t>The</w:t>
      </w:r>
      <w:r w:rsidR="005D30B0">
        <w:t xml:space="preserve"> UTI </w:t>
      </w:r>
      <w:r w:rsidR="0022679B">
        <w:t>Guidance</w:t>
      </w:r>
      <w:r>
        <w:t xml:space="preserve"> sets out:</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607"/>
        <w:gridCol w:w="2852"/>
        <w:gridCol w:w="2853"/>
      </w:tblGrid>
      <w:tr w:rsidR="005D30B0" w:rsidRPr="000540E1" w14:paraId="6C2A0799" w14:textId="77777777" w:rsidTr="007F410A">
        <w:trPr>
          <w:cantSplit/>
          <w:tblHeader/>
        </w:trPr>
        <w:tc>
          <w:tcPr>
            <w:tcW w:w="0" w:type="auto"/>
            <w:shd w:val="clear" w:color="auto" w:fill="C2E3FA"/>
          </w:tcPr>
          <w:p w14:paraId="706A9D16" w14:textId="796FAFEB" w:rsidR="005D30B0" w:rsidRDefault="005D30B0" w:rsidP="000C4928">
            <w:pPr>
              <w:pStyle w:val="tablehead"/>
            </w:pPr>
            <w:r>
              <w:t>Step</w:t>
            </w:r>
          </w:p>
        </w:tc>
        <w:tc>
          <w:tcPr>
            <w:tcW w:w="2852" w:type="dxa"/>
            <w:shd w:val="clear" w:color="auto" w:fill="C2E3FA"/>
          </w:tcPr>
          <w:p w14:paraId="42D9DCA5" w14:textId="344F7771" w:rsidR="005D30B0" w:rsidRPr="000540E1" w:rsidRDefault="005D30B0" w:rsidP="000C4928">
            <w:pPr>
              <w:pStyle w:val="tablehead"/>
            </w:pPr>
            <w:r>
              <w:t>Factor to consider</w:t>
            </w:r>
          </w:p>
        </w:tc>
        <w:tc>
          <w:tcPr>
            <w:tcW w:w="2853" w:type="dxa"/>
            <w:shd w:val="clear" w:color="auto" w:fill="C2E3FA"/>
          </w:tcPr>
          <w:p w14:paraId="32186010" w14:textId="686BF261" w:rsidR="005D30B0" w:rsidRPr="000540E1" w:rsidRDefault="005076C7" w:rsidP="000C4928">
            <w:pPr>
              <w:pStyle w:val="tablehead"/>
            </w:pPr>
            <w:r>
              <w:t>UTI generator</w:t>
            </w:r>
          </w:p>
        </w:tc>
      </w:tr>
      <w:tr w:rsidR="005D30B0" w:rsidRPr="000540E1" w14:paraId="7693EB2A" w14:textId="77777777" w:rsidTr="007F410A">
        <w:trPr>
          <w:cantSplit/>
        </w:trPr>
        <w:tc>
          <w:tcPr>
            <w:tcW w:w="0" w:type="auto"/>
          </w:tcPr>
          <w:p w14:paraId="6B861ECE" w14:textId="76EB89FE" w:rsidR="005D30B0" w:rsidRPr="000540E1" w:rsidRDefault="00D94901" w:rsidP="000C4928">
            <w:pPr>
              <w:pStyle w:val="tbltext"/>
            </w:pPr>
            <w:r>
              <w:t>1.</w:t>
            </w:r>
          </w:p>
        </w:tc>
        <w:tc>
          <w:tcPr>
            <w:tcW w:w="2852" w:type="dxa"/>
          </w:tcPr>
          <w:p w14:paraId="739E2718" w14:textId="3A85AE43" w:rsidR="005D30B0" w:rsidRPr="000540E1" w:rsidRDefault="00D94901" w:rsidP="000C4928">
            <w:pPr>
              <w:pStyle w:val="tbltext"/>
            </w:pPr>
            <w:r w:rsidRPr="00D94901">
              <w:t>Is a CCP a counterparty to this transaction?</w:t>
            </w:r>
          </w:p>
        </w:tc>
        <w:tc>
          <w:tcPr>
            <w:tcW w:w="2853" w:type="dxa"/>
          </w:tcPr>
          <w:p w14:paraId="192D1AB2" w14:textId="77777777" w:rsidR="00D94901" w:rsidRDefault="00D94901" w:rsidP="00D94901">
            <w:pPr>
              <w:pStyle w:val="tbltext"/>
            </w:pPr>
            <w:r>
              <w:t>If so, the CCP.</w:t>
            </w:r>
          </w:p>
          <w:p w14:paraId="237264DB" w14:textId="7265E0E6" w:rsidR="005D30B0" w:rsidRPr="000540E1" w:rsidRDefault="00D94901" w:rsidP="00D94901">
            <w:pPr>
              <w:pStyle w:val="tbltext"/>
            </w:pPr>
            <w:r>
              <w:t>Otherwise, see step 2.</w:t>
            </w:r>
          </w:p>
        </w:tc>
      </w:tr>
    </w:tbl>
    <w:p w14:paraId="36ED98FD" w14:textId="289055CA" w:rsidR="000539B1" w:rsidRDefault="00F430FA" w:rsidP="005D30B0">
      <w:pPr>
        <w:pStyle w:val="BodyText"/>
      </w:pPr>
      <w:r>
        <w:t xml:space="preserve">A CCP is not </w:t>
      </w:r>
      <w:r w:rsidR="00A7740B">
        <w:t xml:space="preserve">ordinarily </w:t>
      </w:r>
      <w:r>
        <w:t xml:space="preserve">the first step </w:t>
      </w:r>
      <w:r w:rsidR="00A7740B">
        <w:t>in a derivative transaction process workflow but, for UTI generation, it is a first s</w:t>
      </w:r>
      <w:r w:rsidR="005D30B0">
        <w:t xml:space="preserve">tep </w:t>
      </w:r>
      <w:r w:rsidR="00A7740B">
        <w:t>for the transaction that is created upon novation of a prior transaction that is traded bilaterally between two counterparties</w:t>
      </w:r>
      <w:r w:rsidR="006A3337">
        <w:t xml:space="preserve"> and subsequently cleared</w:t>
      </w:r>
      <w:r w:rsidR="00A7740B">
        <w:t>.</w:t>
      </w:r>
    </w:p>
    <w:p w14:paraId="12D94F5E" w14:textId="7FBEC0F9" w:rsidR="000539B1" w:rsidRDefault="000539B1" w:rsidP="005D30B0">
      <w:pPr>
        <w:pStyle w:val="BodyText"/>
      </w:pPr>
      <w:bookmarkStart w:id="45" w:name="_Hlk51994950"/>
      <w:r>
        <w:t xml:space="preserve">CCPs </w:t>
      </w:r>
      <w:r w:rsidR="00F91970">
        <w:t xml:space="preserve">currently </w:t>
      </w:r>
      <w:r>
        <w:t xml:space="preserve">identified in ASIC </w:t>
      </w:r>
      <w:r w:rsidR="006A3337">
        <w:t>derivative transaction</w:t>
      </w:r>
      <w:r>
        <w:t xml:space="preserve"> reporting are either:</w:t>
      </w:r>
    </w:p>
    <w:p w14:paraId="6144C20D" w14:textId="526AD0D1" w:rsidR="000539B1" w:rsidRDefault="000539B1" w:rsidP="000539B1">
      <w:pPr>
        <w:pStyle w:val="subparaa"/>
      </w:pPr>
      <w:r>
        <w:t xml:space="preserve">CCPs that are ASIC </w:t>
      </w:r>
      <w:r w:rsidR="00071358">
        <w:t xml:space="preserve">reporting entities </w:t>
      </w:r>
      <w:r>
        <w:t>and would be subject to UTI rules</w:t>
      </w:r>
      <w:r w:rsidR="00B177F6">
        <w:t xml:space="preserve"> within the </w:t>
      </w:r>
      <w:r>
        <w:t xml:space="preserve">ASIC </w:t>
      </w:r>
      <w:r w:rsidR="00B177F6">
        <w:t>R</w:t>
      </w:r>
      <w:r>
        <w:t>ules; or</w:t>
      </w:r>
    </w:p>
    <w:p w14:paraId="5B7847AD" w14:textId="4AEDF566" w:rsidR="005D30B0" w:rsidRDefault="000539B1" w:rsidP="000539B1">
      <w:pPr>
        <w:pStyle w:val="subparaa"/>
      </w:pPr>
      <w:r>
        <w:t>CCPs that are in a jurisdiction that is expected to implement UTI rules with CCPs within the ‘</w:t>
      </w:r>
      <w:r w:rsidR="00BF266B">
        <w:t>g</w:t>
      </w:r>
      <w:r>
        <w:t xml:space="preserve">lobally </w:t>
      </w:r>
      <w:r w:rsidR="00071358">
        <w:t xml:space="preserve">common’ </w:t>
      </w:r>
      <w:r>
        <w:t>stream.</w:t>
      </w:r>
    </w:p>
    <w:p w14:paraId="0DFC2178" w14:textId="0FFCC507" w:rsidR="000C4928" w:rsidRDefault="006A3337" w:rsidP="00217969">
      <w:pPr>
        <w:pStyle w:val="BodyText"/>
      </w:pPr>
      <w:bookmarkStart w:id="46" w:name="_Hlk51995048"/>
      <w:bookmarkEnd w:id="45"/>
      <w:r>
        <w:t xml:space="preserve">We propose to </w:t>
      </w:r>
      <w:r w:rsidR="00622CA8">
        <w:t xml:space="preserve">implement this UTI </w:t>
      </w:r>
      <w:r w:rsidR="0022679B">
        <w:t>Guidance</w:t>
      </w:r>
      <w:r w:rsidR="00622CA8">
        <w:t xml:space="preserve"> </w:t>
      </w:r>
      <w:r w:rsidR="0073141D">
        <w:t xml:space="preserve">step </w:t>
      </w:r>
      <w:r w:rsidR="00622CA8">
        <w:t xml:space="preserve">1 as </w:t>
      </w:r>
      <w:r w:rsidR="0073141D">
        <w:t xml:space="preserve">step </w:t>
      </w:r>
      <w:r w:rsidR="00622CA8">
        <w:t xml:space="preserve">1 in the ASIC </w:t>
      </w:r>
      <w:r w:rsidR="00071358">
        <w:t>R</w:t>
      </w:r>
      <w:r w:rsidR="00622CA8">
        <w:t>ules for UTI</w:t>
      </w:r>
      <w:r w:rsidR="00226DC3">
        <w:t xml:space="preserve"> generation and reporting</w:t>
      </w:r>
      <w:r w:rsidR="00622CA8">
        <w:t>.</w:t>
      </w:r>
    </w:p>
    <w:p w14:paraId="4A93BD73" w14:textId="70D066DA" w:rsidR="00622CA8" w:rsidRDefault="00622CA8" w:rsidP="00217969">
      <w:pPr>
        <w:pStyle w:val="BodyText"/>
      </w:pPr>
      <w:bookmarkStart w:id="47" w:name="_ASICRef774"/>
      <w:r>
        <w:t xml:space="preserve">However, </w:t>
      </w:r>
      <w:r w:rsidR="000226B9">
        <w:t>for such a UTI to be uniquely reported, at a future point in time, by both counterparties to a transaction:</w:t>
      </w:r>
      <w:bookmarkEnd w:id="47"/>
    </w:p>
    <w:p w14:paraId="1C43EBED" w14:textId="0EE315E4" w:rsidR="000226B9" w:rsidRDefault="000226B9" w:rsidP="000226B9">
      <w:pPr>
        <w:pStyle w:val="subparaa"/>
      </w:pPr>
      <w:r>
        <w:t xml:space="preserve">the jurisdictions to which each counterparty </w:t>
      </w:r>
      <w:r w:rsidR="00AF18C8">
        <w:t xml:space="preserve">has </w:t>
      </w:r>
      <w:r>
        <w:t xml:space="preserve">a reporting obligation </w:t>
      </w:r>
      <w:r w:rsidR="00AF18C8">
        <w:t xml:space="preserve">must </w:t>
      </w:r>
      <w:r>
        <w:t>all require that the UTI generated by that CCP be reported; and</w:t>
      </w:r>
    </w:p>
    <w:p w14:paraId="2B18C8FC" w14:textId="38CB8F3A" w:rsidR="000226B9" w:rsidRDefault="000226B9" w:rsidP="000226B9">
      <w:pPr>
        <w:pStyle w:val="subparaa"/>
      </w:pPr>
      <w:r>
        <w:t xml:space="preserve">the </w:t>
      </w:r>
      <w:r w:rsidR="002401A9">
        <w:t xml:space="preserve">home </w:t>
      </w:r>
      <w:r>
        <w:t xml:space="preserve">jurisdiction of the CCP, at that point in time, </w:t>
      </w:r>
      <w:r w:rsidR="0046677D">
        <w:t xml:space="preserve">must </w:t>
      </w:r>
      <w:r>
        <w:t>require that the CCP generate the UTI.</w:t>
      </w:r>
    </w:p>
    <w:p w14:paraId="2E86E4DB" w14:textId="353CFCEC" w:rsidR="000226B9" w:rsidRDefault="000226B9" w:rsidP="000226B9">
      <w:pPr>
        <w:pStyle w:val="BodyText"/>
      </w:pPr>
      <w:r>
        <w:t>We currently think there are uncertainties about whether</w:t>
      </w:r>
      <w:r w:rsidR="00A7300A">
        <w:t>:</w:t>
      </w:r>
    </w:p>
    <w:p w14:paraId="03706A5D" w14:textId="6F579DDD" w:rsidR="00A7300A" w:rsidRDefault="00A7300A" w:rsidP="00A7300A">
      <w:pPr>
        <w:pStyle w:val="subparaa"/>
      </w:pPr>
      <w:r>
        <w:t>all jurisdictions’ rules recognise</w:t>
      </w:r>
      <w:r w:rsidR="0046677D">
        <w:t>, or intend to recognise,</w:t>
      </w:r>
      <w:r>
        <w:t xml:space="preserve"> that same set of CCPs as being CCPs from whom their </w:t>
      </w:r>
      <w:r w:rsidR="0046677D">
        <w:t xml:space="preserve">reporting entities </w:t>
      </w:r>
      <w:r>
        <w:t>are obliged to receive and report a UTI; and</w:t>
      </w:r>
    </w:p>
    <w:p w14:paraId="1AE78748" w14:textId="10723EE3" w:rsidR="00A7300A" w:rsidRDefault="00A7300A" w:rsidP="00A7300A">
      <w:pPr>
        <w:pStyle w:val="subparaa"/>
      </w:pPr>
      <w:r>
        <w:t xml:space="preserve">there may be rules implementation timing differences such that, at the relevant point in time, a CCP does not generate a UTI because it is not yet obliged to do so under its jurisdiction’s rules yet a </w:t>
      </w:r>
      <w:r w:rsidR="0046677D">
        <w:t xml:space="preserve">reporting entity </w:t>
      </w:r>
      <w:r>
        <w:t>of another jurisdiction is obliged to receive and report a UTI from that CCP under its jurisdiction’s rules.</w:t>
      </w:r>
    </w:p>
    <w:p w14:paraId="529845BD" w14:textId="6C64C863" w:rsidR="00226DC3" w:rsidRDefault="00226DC3" w:rsidP="00226DC3">
      <w:pPr>
        <w:pStyle w:val="BodyText"/>
      </w:pPr>
      <w:r>
        <w:lastRenderedPageBreak/>
        <w:t xml:space="preserve">In relation to the uncertainty about whether all jurisdictions recognise the same set of CCPs </w:t>
      </w:r>
      <w:r w:rsidR="00DB726A">
        <w:t xml:space="preserve">as being UTI generators, </w:t>
      </w:r>
      <w:r w:rsidR="0046677D">
        <w:t>we are</w:t>
      </w:r>
      <w:r w:rsidR="00B72959">
        <w:t xml:space="preserve"> working </w:t>
      </w:r>
      <w:r w:rsidR="00DB726A">
        <w:t>within the CDIDE to encourage discussion and resolution of this uncertainty.</w:t>
      </w:r>
    </w:p>
    <w:p w14:paraId="15A1DCE7" w14:textId="03BDC013" w:rsidR="003E6B80" w:rsidRDefault="00DB726A" w:rsidP="00226DC3">
      <w:pPr>
        <w:pStyle w:val="BodyText"/>
      </w:pPr>
      <w:bookmarkStart w:id="48" w:name="_ASICRef862"/>
      <w:r>
        <w:t xml:space="preserve">In relation to the uncertainty about rules implementation timing differences, </w:t>
      </w:r>
      <w:r w:rsidR="005439B9">
        <w:t xml:space="preserve">this may diminish as the implementation timing of jurisdictions </w:t>
      </w:r>
      <w:r w:rsidR="00955C46">
        <w:t xml:space="preserve">becomes clearer. </w:t>
      </w:r>
      <w:r w:rsidR="000A04C4">
        <w:t>However</w:t>
      </w:r>
      <w:r w:rsidR="00955C46">
        <w:t xml:space="preserve">, we think it may be appropriate to cover potential timing differences by </w:t>
      </w:r>
      <w:r w:rsidR="001360AB">
        <w:t xml:space="preserve">providing </w:t>
      </w:r>
      <w:r w:rsidR="00955C46">
        <w:t xml:space="preserve">temporary </w:t>
      </w:r>
      <w:r w:rsidR="001360AB">
        <w:t>exemption in the</w:t>
      </w:r>
      <w:r w:rsidR="00955C46">
        <w:t xml:space="preserve"> ASIC Rules </w:t>
      </w:r>
      <w:r w:rsidR="001360AB">
        <w:t xml:space="preserve">from the </w:t>
      </w:r>
      <w:r w:rsidR="00955C46">
        <w:t>require</w:t>
      </w:r>
      <w:r w:rsidR="001360AB">
        <w:t>ment</w:t>
      </w:r>
      <w:r w:rsidR="00955C46">
        <w:t xml:space="preserve"> </w:t>
      </w:r>
      <w:r w:rsidR="001360AB">
        <w:t>to report</w:t>
      </w:r>
      <w:r w:rsidR="00955C46">
        <w:t xml:space="preserve"> a UTI generated by a CCP that is not subject to UTI generation obligations </w:t>
      </w:r>
      <w:r w:rsidR="003E6B80">
        <w:t>in its home jurisdiction.</w:t>
      </w:r>
      <w:bookmarkEnd w:id="48"/>
    </w:p>
    <w:p w14:paraId="0DCBD58F" w14:textId="103E50AD" w:rsidR="00DB726A" w:rsidRPr="006A3337" w:rsidRDefault="003E6B80" w:rsidP="00226DC3">
      <w:pPr>
        <w:pStyle w:val="BodyText"/>
      </w:pPr>
      <w:bookmarkStart w:id="49" w:name="_ASICRef14"/>
      <w:r>
        <w:t xml:space="preserve">This could be analogous to the UTI </w:t>
      </w:r>
      <w:r w:rsidR="0022679B">
        <w:t>Guidance</w:t>
      </w:r>
      <w:r>
        <w:t xml:space="preserve">’s approach to UTIs generated by a </w:t>
      </w:r>
      <w:r w:rsidR="00402C33">
        <w:t>confirmation platform</w:t>
      </w:r>
      <w:r>
        <w:t xml:space="preserve">. Recognising that </w:t>
      </w:r>
      <w:r w:rsidR="00402C33">
        <w:t>confirmation platform</w:t>
      </w:r>
      <w:r>
        <w:t xml:space="preserve">s are not ordinarily regulated infrastructure in jurisdictions, the UTI </w:t>
      </w:r>
      <w:r w:rsidR="0022679B">
        <w:t>Guidance</w:t>
      </w:r>
      <w:r>
        <w:t xml:space="preserve">’s specification that a </w:t>
      </w:r>
      <w:r w:rsidR="00402C33">
        <w:t>confirmation platform</w:t>
      </w:r>
      <w:r>
        <w:t xml:space="preserve"> generate a UTI is subject to the </w:t>
      </w:r>
      <w:r w:rsidR="00402C33">
        <w:t>confirmation platform</w:t>
      </w:r>
      <w:r>
        <w:t xml:space="preserve"> being ‘able, willing and permitted to generate a UTI’. A similar provision could be </w:t>
      </w:r>
      <w:r w:rsidR="00661D33">
        <w:t xml:space="preserve">used to temporarily require that a CCP-generated UTI only </w:t>
      </w:r>
      <w:r w:rsidR="00402C33">
        <w:t xml:space="preserve">needs </w:t>
      </w:r>
      <w:r w:rsidR="00661D33">
        <w:t xml:space="preserve">to be reported </w:t>
      </w:r>
      <w:r w:rsidR="00F91970">
        <w:t xml:space="preserve">where the CCP is required to be the </w:t>
      </w:r>
      <w:r w:rsidR="005076C7">
        <w:t>UTI generator</w:t>
      </w:r>
      <w:r w:rsidR="00F91970">
        <w:t xml:space="preserve"> under the rules of its home jurisdiction.</w:t>
      </w:r>
      <w:bookmarkEnd w:id="49"/>
    </w:p>
    <w:bookmarkEnd w:id="46"/>
    <w:p w14:paraId="5088D188" w14:textId="5763C40E" w:rsidR="00A80207" w:rsidRDefault="00A80207" w:rsidP="00C40082">
      <w:pPr>
        <w:pStyle w:val="Heading3"/>
      </w:pPr>
      <w:r>
        <w:t xml:space="preserve">Step 2. Clearing </w:t>
      </w:r>
      <w:r w:rsidR="00B10744">
        <w:t>member</w:t>
      </w:r>
    </w:p>
    <w:p w14:paraId="25616B19" w14:textId="58A42CCA" w:rsidR="00E0145B" w:rsidRDefault="00E0145B" w:rsidP="007F410A">
      <w:pPr>
        <w:pStyle w:val="BodyText"/>
      </w:pPr>
      <w:r>
        <w:t>Under the principal clearing model</w:t>
      </w:r>
      <w:r w:rsidR="007F410A">
        <w:t xml:space="preserve">, if the transaction involves a client of a </w:t>
      </w:r>
      <w:r w:rsidR="009E0748">
        <w:t>clearing member</w:t>
      </w:r>
      <w:r w:rsidR="007F410A">
        <w:t xml:space="preserve">, then the rights and obligations of the client may be reflected in a transaction between the </w:t>
      </w:r>
      <w:r w:rsidR="009E0748">
        <w:t>clearing member</w:t>
      </w:r>
      <w:r w:rsidR="007F410A">
        <w:t xml:space="preserve"> and the client on terms that mirror the terms of the transaction between the </w:t>
      </w:r>
      <w:r w:rsidR="009E0748">
        <w:t>clearing member</w:t>
      </w:r>
      <w:r w:rsidR="007F410A">
        <w:t xml:space="preserve"> and the CCP.</w:t>
      </w:r>
    </w:p>
    <w:p w14:paraId="5B9957DF" w14:textId="0D321890" w:rsidR="00027058" w:rsidRDefault="007F410A" w:rsidP="00CF3348">
      <w:pPr>
        <w:pStyle w:val="BodyText"/>
        <w:spacing w:after="240"/>
      </w:pPr>
      <w:r>
        <w:t xml:space="preserve">In this case, </w:t>
      </w:r>
      <w:r w:rsidR="00147C5B">
        <w:t xml:space="preserve">the </w:t>
      </w:r>
      <w:r>
        <w:t xml:space="preserve">UTI Guidance </w:t>
      </w:r>
      <w:r w:rsidR="00147C5B">
        <w:t>sets out</w:t>
      </w:r>
      <w:r>
        <w:t>:</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607"/>
        <w:gridCol w:w="3097"/>
        <w:gridCol w:w="3098"/>
      </w:tblGrid>
      <w:tr w:rsidR="00027058" w:rsidRPr="000540E1" w14:paraId="5ED76AE5" w14:textId="77777777" w:rsidTr="007F410A">
        <w:trPr>
          <w:cantSplit/>
          <w:tblHeader/>
        </w:trPr>
        <w:tc>
          <w:tcPr>
            <w:tcW w:w="0" w:type="auto"/>
            <w:shd w:val="clear" w:color="auto" w:fill="C2E3FA"/>
          </w:tcPr>
          <w:p w14:paraId="24CCEBB1" w14:textId="77777777" w:rsidR="00027058" w:rsidRDefault="00027058" w:rsidP="00AC46DB">
            <w:pPr>
              <w:pStyle w:val="tablehead"/>
            </w:pPr>
            <w:r>
              <w:t>Step</w:t>
            </w:r>
          </w:p>
        </w:tc>
        <w:tc>
          <w:tcPr>
            <w:tcW w:w="3097" w:type="dxa"/>
            <w:shd w:val="clear" w:color="auto" w:fill="C2E3FA"/>
          </w:tcPr>
          <w:p w14:paraId="647AAB6F" w14:textId="77777777" w:rsidR="00027058" w:rsidRPr="000540E1" w:rsidRDefault="00027058" w:rsidP="00AC46DB">
            <w:pPr>
              <w:pStyle w:val="tablehead"/>
            </w:pPr>
            <w:r>
              <w:t>Factor to consider</w:t>
            </w:r>
          </w:p>
        </w:tc>
        <w:tc>
          <w:tcPr>
            <w:tcW w:w="3098" w:type="dxa"/>
            <w:shd w:val="clear" w:color="auto" w:fill="C2E3FA"/>
          </w:tcPr>
          <w:p w14:paraId="510F9BC3" w14:textId="32688C08" w:rsidR="00027058" w:rsidRPr="000540E1" w:rsidRDefault="005076C7" w:rsidP="00AC46DB">
            <w:pPr>
              <w:pStyle w:val="tablehead"/>
            </w:pPr>
            <w:r>
              <w:t>UTI generator</w:t>
            </w:r>
          </w:p>
        </w:tc>
      </w:tr>
      <w:tr w:rsidR="00027058" w:rsidRPr="000540E1" w14:paraId="31E35095" w14:textId="77777777" w:rsidTr="007F410A">
        <w:trPr>
          <w:cantSplit/>
        </w:trPr>
        <w:tc>
          <w:tcPr>
            <w:tcW w:w="0" w:type="auto"/>
          </w:tcPr>
          <w:p w14:paraId="092CB1FB" w14:textId="1B0D612C" w:rsidR="00027058" w:rsidRPr="000540E1" w:rsidRDefault="007F410A" w:rsidP="00AC46DB">
            <w:pPr>
              <w:pStyle w:val="tbltext"/>
            </w:pPr>
            <w:r>
              <w:t>2</w:t>
            </w:r>
            <w:r w:rsidR="00027058">
              <w:t>.</w:t>
            </w:r>
          </w:p>
        </w:tc>
        <w:tc>
          <w:tcPr>
            <w:tcW w:w="3097" w:type="dxa"/>
          </w:tcPr>
          <w:p w14:paraId="12B4950C" w14:textId="24731798" w:rsidR="00027058" w:rsidRPr="000540E1" w:rsidRDefault="007F410A" w:rsidP="00AC46DB">
            <w:pPr>
              <w:pStyle w:val="tbltext"/>
            </w:pPr>
            <w:r w:rsidRPr="007F410A">
              <w:t>Is a counterparty to this transaction a clearing member of a CCP, and if so is that clearing member acting in its clearing member capacity for this transaction?</w:t>
            </w:r>
          </w:p>
        </w:tc>
        <w:tc>
          <w:tcPr>
            <w:tcW w:w="3098" w:type="dxa"/>
          </w:tcPr>
          <w:p w14:paraId="2B7E9CE3" w14:textId="77777777" w:rsidR="007F410A" w:rsidRDefault="007F410A" w:rsidP="007F410A">
            <w:pPr>
              <w:pStyle w:val="tbltext"/>
            </w:pPr>
            <w:r>
              <w:t>If so, the clearing member.</w:t>
            </w:r>
          </w:p>
          <w:p w14:paraId="427F8A24" w14:textId="33557613" w:rsidR="00027058" w:rsidRPr="000540E1" w:rsidRDefault="007F410A" w:rsidP="007F410A">
            <w:pPr>
              <w:pStyle w:val="tbltext"/>
            </w:pPr>
            <w:r>
              <w:t>Otherwise, see step 3.</w:t>
            </w:r>
          </w:p>
        </w:tc>
      </w:tr>
    </w:tbl>
    <w:p w14:paraId="36EF549F" w14:textId="6FD0D69C" w:rsidR="007F410A" w:rsidRDefault="002401A9" w:rsidP="007F410A">
      <w:pPr>
        <w:pStyle w:val="BodyText"/>
      </w:pPr>
      <w:r>
        <w:t xml:space="preserve">As with CCPs, </w:t>
      </w:r>
      <w:r w:rsidR="009E0748">
        <w:t>clearing member</w:t>
      </w:r>
      <w:r w:rsidR="007F410A">
        <w:t xml:space="preserve">s </w:t>
      </w:r>
      <w:r>
        <w:t xml:space="preserve">currently </w:t>
      </w:r>
      <w:r w:rsidR="007F410A">
        <w:t xml:space="preserve">identified in ASIC </w:t>
      </w:r>
      <w:r w:rsidR="009C1E8B">
        <w:t>derivative transaction</w:t>
      </w:r>
      <w:r w:rsidR="007F410A">
        <w:t xml:space="preserve"> reporting are either:</w:t>
      </w:r>
    </w:p>
    <w:p w14:paraId="168E205F" w14:textId="792E3C7B" w:rsidR="007F410A" w:rsidRDefault="009E0748" w:rsidP="00303BEF">
      <w:pPr>
        <w:pStyle w:val="subparaa"/>
        <w:numPr>
          <w:ilvl w:val="1"/>
          <w:numId w:val="20"/>
        </w:numPr>
      </w:pPr>
      <w:r>
        <w:t>clearing member</w:t>
      </w:r>
      <w:r w:rsidR="007F410A">
        <w:t xml:space="preserve">s that are ASIC </w:t>
      </w:r>
      <w:r>
        <w:t xml:space="preserve">reporting entities </w:t>
      </w:r>
      <w:r w:rsidR="007F410A">
        <w:t>and would be subject to UTI rules</w:t>
      </w:r>
      <w:r w:rsidR="00B177F6">
        <w:t xml:space="preserve"> within the </w:t>
      </w:r>
      <w:r w:rsidR="007F410A">
        <w:t xml:space="preserve">ASIC </w:t>
      </w:r>
      <w:r w:rsidR="00B177F6">
        <w:t>R</w:t>
      </w:r>
      <w:r w:rsidR="007F410A">
        <w:t>ules; or</w:t>
      </w:r>
    </w:p>
    <w:p w14:paraId="657C905C" w14:textId="1E991DD4" w:rsidR="007F410A" w:rsidRDefault="009E0748" w:rsidP="00303BEF">
      <w:pPr>
        <w:pStyle w:val="subparaa"/>
        <w:numPr>
          <w:ilvl w:val="1"/>
          <w:numId w:val="20"/>
        </w:numPr>
      </w:pPr>
      <w:r>
        <w:t>clearing member</w:t>
      </w:r>
      <w:r w:rsidR="007F410A">
        <w:t>s that are in a jurisdiction that is expected to implement UTI rules with CCPs within the ‘</w:t>
      </w:r>
      <w:r w:rsidR="00BF266B">
        <w:t>g</w:t>
      </w:r>
      <w:r w:rsidR="007F410A">
        <w:t xml:space="preserve">lobally </w:t>
      </w:r>
      <w:r>
        <w:t xml:space="preserve">common’ </w:t>
      </w:r>
      <w:r w:rsidR="007F410A">
        <w:t>stream.</w:t>
      </w:r>
    </w:p>
    <w:p w14:paraId="7381C82A" w14:textId="008CF597" w:rsidR="002401A9" w:rsidRDefault="002401A9" w:rsidP="002401A9">
      <w:pPr>
        <w:pStyle w:val="BodyText"/>
      </w:pPr>
      <w:r>
        <w:t xml:space="preserve">We propose to implement this UTI </w:t>
      </w:r>
      <w:r w:rsidR="0022679B">
        <w:t>Guidance</w:t>
      </w:r>
      <w:r>
        <w:t xml:space="preserve"> </w:t>
      </w:r>
      <w:r w:rsidR="0073141D">
        <w:t xml:space="preserve">step </w:t>
      </w:r>
      <w:r>
        <w:t xml:space="preserve">2 as </w:t>
      </w:r>
      <w:r w:rsidR="0073141D">
        <w:t xml:space="preserve">step </w:t>
      </w:r>
      <w:r>
        <w:t xml:space="preserve">2 in the ASIC </w:t>
      </w:r>
      <w:r w:rsidR="0073141D">
        <w:t>R</w:t>
      </w:r>
      <w:r>
        <w:t>ules for UTI generation and reporting.</w:t>
      </w:r>
    </w:p>
    <w:p w14:paraId="2AD6A7C6" w14:textId="6C07C11B" w:rsidR="00385801" w:rsidRDefault="002401A9" w:rsidP="002401A9">
      <w:pPr>
        <w:pStyle w:val="BodyText"/>
      </w:pPr>
      <w:bookmarkStart w:id="50" w:name="_ASICRef45"/>
      <w:r>
        <w:lastRenderedPageBreak/>
        <w:t xml:space="preserve">However, </w:t>
      </w:r>
      <w:r w:rsidR="001D0C1C">
        <w:t xml:space="preserve">the same uncertainties apply </w:t>
      </w:r>
      <w:r w:rsidR="00385801">
        <w:t xml:space="preserve">to </w:t>
      </w:r>
      <w:r w:rsidR="009E0748">
        <w:t>clearing member</w:t>
      </w:r>
      <w:r w:rsidR="00385801">
        <w:t>s as UTI generators as apply to CCPs as UTI generators</w:t>
      </w:r>
      <w:r w:rsidR="009E0748" w:rsidRPr="00136CC5">
        <w:t>—</w:t>
      </w:r>
      <w:r w:rsidR="009E0748">
        <w:t xml:space="preserve">that is, </w:t>
      </w:r>
      <w:r w:rsidR="00385801">
        <w:t xml:space="preserve">globally common recognition of a </w:t>
      </w:r>
      <w:r w:rsidR="009E0748">
        <w:t>clearing member</w:t>
      </w:r>
      <w:r w:rsidR="00385801">
        <w:t xml:space="preserve"> as a UTI generator and potential rules implementation timing differences.</w:t>
      </w:r>
      <w:bookmarkEnd w:id="50"/>
    </w:p>
    <w:p w14:paraId="54E8F362" w14:textId="7EDFD4C5" w:rsidR="002401A9" w:rsidRDefault="00385801" w:rsidP="002401A9">
      <w:pPr>
        <w:pStyle w:val="BodyText"/>
      </w:pPr>
      <w:bookmarkStart w:id="51" w:name="_ASICRef414"/>
      <w:r>
        <w:t xml:space="preserve">We </w:t>
      </w:r>
      <w:r w:rsidR="00B12A04">
        <w:t>would likely address</w:t>
      </w:r>
      <w:r>
        <w:t xml:space="preserve"> these uncertainties </w:t>
      </w:r>
      <w:r w:rsidR="00D546E4">
        <w:t xml:space="preserve">in the same manner as for CCPs </w:t>
      </w:r>
      <w:r w:rsidR="00B12A04">
        <w:t>by working</w:t>
      </w:r>
      <w:r w:rsidR="00D546E4">
        <w:t xml:space="preserve"> within the CDIDE and potentially applying a temporary exemption to the ASIC Rules.</w:t>
      </w:r>
      <w:bookmarkEnd w:id="51"/>
    </w:p>
    <w:p w14:paraId="3C6B2B33" w14:textId="6BF28366" w:rsidR="00A80207" w:rsidRDefault="00A80207" w:rsidP="00C40082">
      <w:pPr>
        <w:pStyle w:val="Heading3"/>
      </w:pPr>
      <w:r>
        <w:t xml:space="preserve">Step 3. Trading </w:t>
      </w:r>
      <w:r w:rsidR="00B10744">
        <w:t>platform</w:t>
      </w:r>
    </w:p>
    <w:p w14:paraId="514D38A4" w14:textId="51A7D2C5" w:rsidR="005D30B0" w:rsidRDefault="00147C5B" w:rsidP="00CF3348">
      <w:pPr>
        <w:pStyle w:val="BodyText"/>
        <w:spacing w:after="240"/>
      </w:pPr>
      <w:r>
        <w:t xml:space="preserve">The UTI </w:t>
      </w:r>
      <w:r w:rsidR="0022679B">
        <w:t>G</w:t>
      </w:r>
      <w:r w:rsidR="0064212F">
        <w:t xml:space="preserve">uidance </w:t>
      </w:r>
      <w:r>
        <w:t>sets out</w:t>
      </w:r>
      <w:r w:rsidR="0064212F">
        <w:t>:</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607"/>
        <w:gridCol w:w="3097"/>
        <w:gridCol w:w="3098"/>
      </w:tblGrid>
      <w:tr w:rsidR="0064212F" w:rsidRPr="000540E1" w14:paraId="46B23E00" w14:textId="77777777" w:rsidTr="00AC46DB">
        <w:trPr>
          <w:cantSplit/>
          <w:tblHeader/>
        </w:trPr>
        <w:tc>
          <w:tcPr>
            <w:tcW w:w="0" w:type="auto"/>
            <w:shd w:val="clear" w:color="auto" w:fill="C2E3FA"/>
          </w:tcPr>
          <w:p w14:paraId="1436D571" w14:textId="77777777" w:rsidR="0064212F" w:rsidRDefault="0064212F" w:rsidP="00AC46DB">
            <w:pPr>
              <w:pStyle w:val="tablehead"/>
            </w:pPr>
            <w:r>
              <w:t>Step</w:t>
            </w:r>
          </w:p>
        </w:tc>
        <w:tc>
          <w:tcPr>
            <w:tcW w:w="3097" w:type="dxa"/>
            <w:shd w:val="clear" w:color="auto" w:fill="C2E3FA"/>
          </w:tcPr>
          <w:p w14:paraId="16A70DB8" w14:textId="77777777" w:rsidR="0064212F" w:rsidRPr="000540E1" w:rsidRDefault="0064212F" w:rsidP="00AC46DB">
            <w:pPr>
              <w:pStyle w:val="tablehead"/>
            </w:pPr>
            <w:r>
              <w:t>Factor to consider</w:t>
            </w:r>
          </w:p>
        </w:tc>
        <w:tc>
          <w:tcPr>
            <w:tcW w:w="3098" w:type="dxa"/>
            <w:shd w:val="clear" w:color="auto" w:fill="C2E3FA"/>
          </w:tcPr>
          <w:p w14:paraId="21C61221" w14:textId="7FA1344B" w:rsidR="0064212F" w:rsidRPr="000540E1" w:rsidRDefault="005076C7" w:rsidP="00AC46DB">
            <w:pPr>
              <w:pStyle w:val="tablehead"/>
            </w:pPr>
            <w:r>
              <w:t>UTI generator</w:t>
            </w:r>
          </w:p>
        </w:tc>
      </w:tr>
      <w:tr w:rsidR="0064212F" w:rsidRPr="000540E1" w14:paraId="028DFE07" w14:textId="77777777" w:rsidTr="00AC46DB">
        <w:trPr>
          <w:cantSplit/>
        </w:trPr>
        <w:tc>
          <w:tcPr>
            <w:tcW w:w="0" w:type="auto"/>
          </w:tcPr>
          <w:p w14:paraId="3F0160D0" w14:textId="31C92745" w:rsidR="0064212F" w:rsidRPr="000540E1" w:rsidRDefault="0064212F" w:rsidP="00AC46DB">
            <w:pPr>
              <w:pStyle w:val="tbltext"/>
            </w:pPr>
            <w:r>
              <w:t>3.</w:t>
            </w:r>
          </w:p>
        </w:tc>
        <w:tc>
          <w:tcPr>
            <w:tcW w:w="3097" w:type="dxa"/>
          </w:tcPr>
          <w:p w14:paraId="32EBEB19" w14:textId="75EFFFD8" w:rsidR="0064212F" w:rsidRPr="000540E1" w:rsidRDefault="0064212F" w:rsidP="00AC46DB">
            <w:pPr>
              <w:pStyle w:val="tbltext"/>
            </w:pPr>
            <w:r w:rsidRPr="0064212F">
              <w:t>Was the transaction executed on a trading platform?</w:t>
            </w:r>
          </w:p>
        </w:tc>
        <w:tc>
          <w:tcPr>
            <w:tcW w:w="3098" w:type="dxa"/>
          </w:tcPr>
          <w:p w14:paraId="1D0EDA76" w14:textId="77777777" w:rsidR="0064212F" w:rsidRDefault="0064212F" w:rsidP="0064212F">
            <w:pPr>
              <w:pStyle w:val="tbltext"/>
            </w:pPr>
            <w:r>
              <w:t>If so, the trading platform.</w:t>
            </w:r>
          </w:p>
          <w:p w14:paraId="6129256F" w14:textId="5DDFAD71" w:rsidR="0064212F" w:rsidRPr="000540E1" w:rsidRDefault="0064212F" w:rsidP="0064212F">
            <w:pPr>
              <w:pStyle w:val="tbltext"/>
            </w:pPr>
            <w:r>
              <w:t>Otherwise, see step 4.</w:t>
            </w:r>
          </w:p>
        </w:tc>
      </w:tr>
    </w:tbl>
    <w:p w14:paraId="0D520808" w14:textId="53A1A95F" w:rsidR="006036AE" w:rsidRDefault="006036AE" w:rsidP="006036AE">
      <w:pPr>
        <w:pStyle w:val="BodyText"/>
      </w:pPr>
      <w:r>
        <w:t xml:space="preserve">We propose to implement this UTI </w:t>
      </w:r>
      <w:r w:rsidR="0022679B">
        <w:t>Guidance</w:t>
      </w:r>
      <w:r>
        <w:t xml:space="preserve"> </w:t>
      </w:r>
      <w:r w:rsidR="0073141D">
        <w:t xml:space="preserve">step </w:t>
      </w:r>
      <w:r>
        <w:t xml:space="preserve">3 as </w:t>
      </w:r>
      <w:r w:rsidR="0073141D">
        <w:t xml:space="preserve">step </w:t>
      </w:r>
      <w:r>
        <w:t xml:space="preserve">3 in the ASIC </w:t>
      </w:r>
      <w:r w:rsidR="0073141D">
        <w:t>R</w:t>
      </w:r>
      <w:r>
        <w:t>ules for UTI generation and reporting.</w:t>
      </w:r>
    </w:p>
    <w:p w14:paraId="5C8816EB" w14:textId="0C0FB631" w:rsidR="00BD2C8C" w:rsidRDefault="006036AE" w:rsidP="0064212F">
      <w:pPr>
        <w:pStyle w:val="BodyText"/>
      </w:pPr>
      <w:r>
        <w:t>However, t</w:t>
      </w:r>
      <w:r w:rsidR="00BD2C8C">
        <w:t>here are a number of issues in implementing globally consistent UTI rules</w:t>
      </w:r>
      <w:r>
        <w:t xml:space="preserve"> </w:t>
      </w:r>
      <w:r w:rsidR="00E17F2E">
        <w:t xml:space="preserve">where </w:t>
      </w:r>
      <w:r w:rsidR="00B12A04">
        <w:t xml:space="preserve">trading platforms </w:t>
      </w:r>
      <w:r w:rsidR="00E17F2E">
        <w:t xml:space="preserve">are </w:t>
      </w:r>
      <w:r>
        <w:t>UTI generators</w:t>
      </w:r>
      <w:r w:rsidR="00BD2C8C">
        <w:t>:</w:t>
      </w:r>
    </w:p>
    <w:p w14:paraId="0FBA8CF5" w14:textId="6ACB6808" w:rsidR="00BD2C8C" w:rsidRDefault="00BD2C8C" w:rsidP="00BD2C8C">
      <w:pPr>
        <w:pStyle w:val="subparaa"/>
      </w:pPr>
      <w:r>
        <w:t>‘</w:t>
      </w:r>
      <w:r w:rsidR="00E17F2E">
        <w:t xml:space="preserve">trading platform’ </w:t>
      </w:r>
      <w:r>
        <w:t xml:space="preserve">is not defined in the UTI </w:t>
      </w:r>
      <w:r w:rsidR="0022679B">
        <w:t>Guidance</w:t>
      </w:r>
      <w:r>
        <w:t xml:space="preserve"> and there is </w:t>
      </w:r>
      <w:r w:rsidR="00E17F2E">
        <w:t>no</w:t>
      </w:r>
      <w:r>
        <w:t xml:space="preserve"> common regulatory definition of </w:t>
      </w:r>
      <w:r w:rsidR="00E17F2E">
        <w:t xml:space="preserve">the term </w:t>
      </w:r>
      <w:r>
        <w:t>across all jurisdictions;</w:t>
      </w:r>
    </w:p>
    <w:p w14:paraId="7443FD0C" w14:textId="2EB1CBDB" w:rsidR="00107D50" w:rsidRDefault="006036AE" w:rsidP="00BD2C8C">
      <w:pPr>
        <w:pStyle w:val="subparaa"/>
      </w:pPr>
      <w:r>
        <w:t>t</w:t>
      </w:r>
      <w:r w:rsidR="00BD2C8C">
        <w:t xml:space="preserve">here is </w:t>
      </w:r>
      <w:r w:rsidR="00E17F2E">
        <w:t>no</w:t>
      </w:r>
      <w:r w:rsidR="00BD2C8C">
        <w:t xml:space="preserve"> common understanding of </w:t>
      </w:r>
      <w:r w:rsidR="00E17F2E">
        <w:t xml:space="preserve">a trading platform </w:t>
      </w:r>
      <w:r w:rsidR="00BD2C8C">
        <w:t xml:space="preserve">among ASIC </w:t>
      </w:r>
      <w:r w:rsidR="00E17F2E">
        <w:t>reporting entities</w:t>
      </w:r>
      <w:r w:rsidR="00E17F2E" w:rsidRPr="00CF3348">
        <w:t>—</w:t>
      </w:r>
      <w:r w:rsidR="00BD2C8C">
        <w:t xml:space="preserve">for example, some ASIC </w:t>
      </w:r>
      <w:r w:rsidR="00E17F2E">
        <w:t xml:space="preserve">reporting entities </w:t>
      </w:r>
      <w:r w:rsidR="00BD2C8C">
        <w:t xml:space="preserve">identify a </w:t>
      </w:r>
      <w:r w:rsidR="00E17F2E">
        <w:t xml:space="preserve">trading platform as </w:t>
      </w:r>
      <w:r w:rsidR="00BD2C8C">
        <w:t xml:space="preserve">the </w:t>
      </w:r>
      <w:r w:rsidR="00107D50">
        <w:t>e-trading systems provided by individual financial institutions to their clients (commonly known as ‘single-dealer platforms’); and</w:t>
      </w:r>
    </w:p>
    <w:p w14:paraId="130A96CB" w14:textId="735D6D08" w:rsidR="00107D50" w:rsidRDefault="00E17F2E" w:rsidP="00BD2C8C">
      <w:pPr>
        <w:pStyle w:val="subparaa"/>
      </w:pPr>
      <w:r>
        <w:t xml:space="preserve">trading platforms </w:t>
      </w:r>
      <w:r w:rsidR="00107D50">
        <w:t xml:space="preserve">are not </w:t>
      </w:r>
      <w:r w:rsidR="00AB2510">
        <w:t>ordinarily sub</w:t>
      </w:r>
      <w:r w:rsidR="00192F85">
        <w:t xml:space="preserve">ject to derivative transaction rules </w:t>
      </w:r>
      <w:r w:rsidR="00107D50">
        <w:t xml:space="preserve">in </w:t>
      </w:r>
      <w:r w:rsidR="00CF3348">
        <w:t xml:space="preserve">most </w:t>
      </w:r>
      <w:r w:rsidR="00107D50">
        <w:t>jurisdictions</w:t>
      </w:r>
      <w:r w:rsidR="000C5AF3">
        <w:t xml:space="preserve"> and </w:t>
      </w:r>
      <w:r w:rsidR="003D74CE">
        <w:t xml:space="preserve">the </w:t>
      </w:r>
      <w:r w:rsidR="00912BC1">
        <w:t xml:space="preserve">robustness of </w:t>
      </w:r>
      <w:r w:rsidR="003D74CE">
        <w:t xml:space="preserve">approaches of the home regulators of trading platforms to oblige them to generate UTIs has </w:t>
      </w:r>
      <w:r w:rsidR="00AB2510">
        <w:t>generally not been finalised.</w:t>
      </w:r>
    </w:p>
    <w:p w14:paraId="16AD7054" w14:textId="3B12CE66" w:rsidR="00AC46DB" w:rsidRDefault="00EF670B" w:rsidP="006036AE">
      <w:pPr>
        <w:pStyle w:val="BodyText"/>
      </w:pPr>
      <w:r>
        <w:t xml:space="preserve">At this time, </w:t>
      </w:r>
      <w:r w:rsidR="00445C0F">
        <w:t xml:space="preserve">it is difficult to shape our approach as </w:t>
      </w:r>
      <w:r>
        <w:t xml:space="preserve">we do not have sufficient information about </w:t>
      </w:r>
      <w:r w:rsidR="00445C0F">
        <w:t>how</w:t>
      </w:r>
      <w:r>
        <w:t xml:space="preserve"> other </w:t>
      </w:r>
      <w:r w:rsidR="00AC46DB">
        <w:t xml:space="preserve">jurisdictions </w:t>
      </w:r>
      <w:r w:rsidR="00445C0F">
        <w:t xml:space="preserve">intend </w:t>
      </w:r>
      <w:r>
        <w:t>to address these issues</w:t>
      </w:r>
      <w:r w:rsidR="00445C0F">
        <w:t>.</w:t>
      </w:r>
      <w:r>
        <w:t xml:space="preserve"> </w:t>
      </w:r>
      <w:r w:rsidR="00B72959">
        <w:t>W</w:t>
      </w:r>
      <w:r>
        <w:t xml:space="preserve">e </w:t>
      </w:r>
      <w:r w:rsidR="00B72959">
        <w:t>are</w:t>
      </w:r>
      <w:r w:rsidR="00445C0F">
        <w:t xml:space="preserve"> therefore</w:t>
      </w:r>
      <w:r w:rsidR="00B72959">
        <w:t xml:space="preserve"> </w:t>
      </w:r>
      <w:r w:rsidR="00164691">
        <w:t>work</w:t>
      </w:r>
      <w:r w:rsidR="00B72959">
        <w:t>ing</w:t>
      </w:r>
      <w:r w:rsidR="00164691">
        <w:t xml:space="preserve"> within the CDIDE to </w:t>
      </w:r>
      <w:r w:rsidR="00B72959">
        <w:t xml:space="preserve">encourage discussion and resolution of </w:t>
      </w:r>
      <w:r w:rsidR="00445C0F">
        <w:t xml:space="preserve">these </w:t>
      </w:r>
      <w:r w:rsidR="00B72959">
        <w:t>issues.</w:t>
      </w:r>
    </w:p>
    <w:p w14:paraId="76498032" w14:textId="77777777" w:rsidR="005D30B0" w:rsidRDefault="005D30B0" w:rsidP="005D30B0">
      <w:pPr>
        <w:pStyle w:val="Proposalhead"/>
      </w:pPr>
      <w:r>
        <w:t>Proposal</w:t>
      </w:r>
    </w:p>
    <w:p w14:paraId="235F72B3" w14:textId="7ED8B1F5" w:rsidR="00164691" w:rsidRPr="00164691" w:rsidRDefault="00164691" w:rsidP="00164691">
      <w:pPr>
        <w:pStyle w:val="Proposaltext"/>
      </w:pPr>
      <w:r>
        <w:t xml:space="preserve">We propose to implement </w:t>
      </w:r>
      <w:r w:rsidRPr="00164691">
        <w:t xml:space="preserve">UTI </w:t>
      </w:r>
      <w:r w:rsidR="0022679B">
        <w:t>Guidance</w:t>
      </w:r>
      <w:r w:rsidRPr="00164691">
        <w:t xml:space="preserve"> </w:t>
      </w:r>
      <w:r w:rsidR="0073141D">
        <w:t>s</w:t>
      </w:r>
      <w:r w:rsidR="0073141D" w:rsidRPr="00164691">
        <w:t xml:space="preserve">tep </w:t>
      </w:r>
      <w:r>
        <w:t xml:space="preserve">1 (CCP), UTI </w:t>
      </w:r>
      <w:r w:rsidR="0022679B">
        <w:t>Guidance</w:t>
      </w:r>
      <w:r>
        <w:t xml:space="preserve"> </w:t>
      </w:r>
      <w:r w:rsidR="0073141D">
        <w:t xml:space="preserve">step </w:t>
      </w:r>
      <w:r>
        <w:t>2 (</w:t>
      </w:r>
      <w:r w:rsidR="003119A8">
        <w:t>clearing member</w:t>
      </w:r>
      <w:r>
        <w:t xml:space="preserve">) and UTI </w:t>
      </w:r>
      <w:r w:rsidR="0022679B">
        <w:t xml:space="preserve">Guidance </w:t>
      </w:r>
      <w:r w:rsidR="0073141D">
        <w:t xml:space="preserve">step </w:t>
      </w:r>
      <w:r>
        <w:t>3 (</w:t>
      </w:r>
      <w:r w:rsidR="00445C0F">
        <w:t>trading platform</w:t>
      </w:r>
      <w:r>
        <w:t xml:space="preserve">) as </w:t>
      </w:r>
      <w:r w:rsidR="0073141D">
        <w:t xml:space="preserve">steps </w:t>
      </w:r>
      <w:r>
        <w:t xml:space="preserve">1, 2 and 3 respectively in the ASIC Rules for </w:t>
      </w:r>
      <w:r w:rsidRPr="00164691">
        <w:t>UTI generation and reporting.</w:t>
      </w:r>
    </w:p>
    <w:p w14:paraId="318257ED" w14:textId="77777777" w:rsidR="005D30B0" w:rsidRDefault="005D30B0" w:rsidP="005D30B0">
      <w:pPr>
        <w:pStyle w:val="Feedbackhead"/>
      </w:pPr>
      <w:r>
        <w:lastRenderedPageBreak/>
        <w:t>Your feedback</w:t>
      </w:r>
    </w:p>
    <w:p w14:paraId="5F367DCF" w14:textId="77777777" w:rsidR="0082663A" w:rsidRDefault="0082663A" w:rsidP="0082663A">
      <w:pPr>
        <w:pStyle w:val="Feedbackquestion"/>
      </w:pPr>
      <w:r>
        <w:t>Do you agree with this proposal? In your response, please give detailed reasons for your answer.</w:t>
      </w:r>
    </w:p>
    <w:p w14:paraId="48855227" w14:textId="5A300D0C" w:rsidR="0082663A" w:rsidRDefault="0082663A" w:rsidP="0082663A">
      <w:pPr>
        <w:pStyle w:val="Feedbackquestion"/>
      </w:pPr>
      <w:r>
        <w:t xml:space="preserve">Do you consider that, in addition to </w:t>
      </w:r>
      <w:r w:rsidR="00912BC1">
        <w:t xml:space="preserve">uncertainties about the globally common recognition, for UTI rules’ purposes, of CCPs, clearing members and trading platforms and the manner and timing of implementing UTI generation obligations, </w:t>
      </w:r>
      <w:r>
        <w:t xml:space="preserve">there are other uncertainties or implementation risks in relation to implementing these </w:t>
      </w:r>
      <w:r w:rsidR="0073141D">
        <w:t xml:space="preserve">steps </w:t>
      </w:r>
      <w:r>
        <w:t xml:space="preserve">1, 2 and 3 </w:t>
      </w:r>
      <w:r w:rsidR="00B177F6">
        <w:t>as UTI rules within</w:t>
      </w:r>
      <w:r>
        <w:t xml:space="preserve"> the ASIC Rules? In your response, please give detailed reasons for your answer.</w:t>
      </w:r>
    </w:p>
    <w:p w14:paraId="2D1635DE" w14:textId="316328B3" w:rsidR="005D30B0" w:rsidRDefault="0082663A" w:rsidP="005D30B0">
      <w:pPr>
        <w:pStyle w:val="Feedbackquestion"/>
      </w:pPr>
      <w:r>
        <w:t xml:space="preserve">Do you consider that, in addition to </w:t>
      </w:r>
      <w:r w:rsidR="00912BC1">
        <w:t>considering temporary exemptions for jurisdictional implementation timing differences</w:t>
      </w:r>
      <w:r w:rsidR="00066AE2">
        <w:t>,</w:t>
      </w:r>
      <w:r>
        <w:t xml:space="preserve"> there are other steps that ASIC could take or other </w:t>
      </w:r>
      <w:r w:rsidR="00E039BD">
        <w:t xml:space="preserve">provisions or exemptions </w:t>
      </w:r>
      <w:r>
        <w:t xml:space="preserve">that ASIC could consider </w:t>
      </w:r>
      <w:r w:rsidR="00E039BD">
        <w:t>to resolve or minimise the uncertainties or implemen</w:t>
      </w:r>
      <w:r>
        <w:t>tation risks</w:t>
      </w:r>
      <w:r w:rsidR="00E039BD">
        <w:t>? I</w:t>
      </w:r>
      <w:r>
        <w:t xml:space="preserve">n your response, please give detailed reasons for your </w:t>
      </w:r>
      <w:r w:rsidR="00E039BD">
        <w:t>answer.</w:t>
      </w:r>
    </w:p>
    <w:p w14:paraId="1D92CF68" w14:textId="7997A53F" w:rsidR="008F594D" w:rsidRDefault="008F594D" w:rsidP="00C40082">
      <w:pPr>
        <w:pStyle w:val="Heading2"/>
      </w:pPr>
      <w:bookmarkStart w:id="52" w:name="_Toc57146479"/>
      <w:r>
        <w:t xml:space="preserve">Determining </w:t>
      </w:r>
      <w:r w:rsidR="0068144E">
        <w:t xml:space="preserve">the </w:t>
      </w:r>
      <w:r w:rsidR="005076C7">
        <w:t>UTI generator</w:t>
      </w:r>
      <w:r w:rsidR="00445C0F" w:rsidRPr="004E304A">
        <w:t>—</w:t>
      </w:r>
      <w:r w:rsidR="00B71338">
        <w:t>Single-jurisdiction</w:t>
      </w:r>
      <w:r w:rsidR="0073141D">
        <w:t>al</w:t>
      </w:r>
      <w:r w:rsidR="002B63DA">
        <w:t xml:space="preserve"> </w:t>
      </w:r>
      <w:r w:rsidR="00445C0F">
        <w:t>transactions</w:t>
      </w:r>
      <w:bookmarkEnd w:id="52"/>
    </w:p>
    <w:p w14:paraId="1B2601EF" w14:textId="12CB9CB4" w:rsidR="002B63DA" w:rsidRDefault="00147C5B" w:rsidP="004D2BE8">
      <w:pPr>
        <w:pStyle w:val="BodyText"/>
        <w:spacing w:after="240"/>
      </w:pPr>
      <w:r>
        <w:t>I</w:t>
      </w:r>
      <w:r w:rsidR="00682BC6">
        <w:t xml:space="preserve">f the transaction is </w:t>
      </w:r>
      <w:r w:rsidR="00C40082">
        <w:t xml:space="preserve">a </w:t>
      </w:r>
      <w:r w:rsidR="009822AC">
        <w:t xml:space="preserve">single-jurisdictional </w:t>
      </w:r>
      <w:r w:rsidR="00445C0F">
        <w:t>transaction</w:t>
      </w:r>
      <w:r w:rsidR="00682BC6">
        <w:t xml:space="preserve">, </w:t>
      </w:r>
      <w:r>
        <w:t xml:space="preserve">the UTI Guidance sets </w:t>
      </w:r>
      <w:r w:rsidR="00C40082">
        <w:t>out:</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607"/>
        <w:gridCol w:w="2852"/>
        <w:gridCol w:w="2853"/>
      </w:tblGrid>
      <w:tr w:rsidR="002B63DA" w:rsidRPr="000540E1" w14:paraId="4EF05DF5" w14:textId="77777777" w:rsidTr="00FF59D1">
        <w:trPr>
          <w:cantSplit/>
          <w:tblHeader/>
        </w:trPr>
        <w:tc>
          <w:tcPr>
            <w:tcW w:w="0" w:type="auto"/>
            <w:shd w:val="clear" w:color="auto" w:fill="C2E3FA"/>
          </w:tcPr>
          <w:p w14:paraId="4D62BE77" w14:textId="77777777" w:rsidR="002B63DA" w:rsidRDefault="002B63DA" w:rsidP="00FF59D1">
            <w:pPr>
              <w:pStyle w:val="tablehead"/>
            </w:pPr>
            <w:r>
              <w:t>Step</w:t>
            </w:r>
          </w:p>
        </w:tc>
        <w:tc>
          <w:tcPr>
            <w:tcW w:w="2852" w:type="dxa"/>
            <w:shd w:val="clear" w:color="auto" w:fill="C2E3FA"/>
          </w:tcPr>
          <w:p w14:paraId="6031AE40" w14:textId="77777777" w:rsidR="002B63DA" w:rsidRPr="000540E1" w:rsidRDefault="002B63DA" w:rsidP="00FF59D1">
            <w:pPr>
              <w:pStyle w:val="tablehead"/>
            </w:pPr>
            <w:r>
              <w:t>Factor to consider</w:t>
            </w:r>
          </w:p>
        </w:tc>
        <w:tc>
          <w:tcPr>
            <w:tcW w:w="2853" w:type="dxa"/>
            <w:shd w:val="clear" w:color="auto" w:fill="C2E3FA"/>
          </w:tcPr>
          <w:p w14:paraId="6CF6B0FA" w14:textId="04A752B9" w:rsidR="002B63DA" w:rsidRPr="000540E1" w:rsidRDefault="005076C7" w:rsidP="00FF59D1">
            <w:pPr>
              <w:pStyle w:val="tablehead"/>
            </w:pPr>
            <w:r>
              <w:t>UTI generator</w:t>
            </w:r>
          </w:p>
        </w:tc>
      </w:tr>
      <w:tr w:rsidR="002B63DA" w:rsidRPr="000540E1" w14:paraId="3B20A066" w14:textId="77777777" w:rsidTr="00FF59D1">
        <w:trPr>
          <w:cantSplit/>
        </w:trPr>
        <w:tc>
          <w:tcPr>
            <w:tcW w:w="0" w:type="auto"/>
          </w:tcPr>
          <w:p w14:paraId="765152A6" w14:textId="1D9B50BF" w:rsidR="002B63DA" w:rsidRPr="000540E1" w:rsidRDefault="002B63DA" w:rsidP="00FF59D1">
            <w:pPr>
              <w:pStyle w:val="tbltext"/>
            </w:pPr>
            <w:r>
              <w:t>4.</w:t>
            </w:r>
          </w:p>
        </w:tc>
        <w:tc>
          <w:tcPr>
            <w:tcW w:w="2852" w:type="dxa"/>
          </w:tcPr>
          <w:p w14:paraId="28DC918F" w14:textId="5602A1D7" w:rsidR="002B63DA" w:rsidRPr="000540E1" w:rsidRDefault="002B63DA" w:rsidP="00FF59D1">
            <w:pPr>
              <w:pStyle w:val="tbltext"/>
            </w:pPr>
            <w:r w:rsidRPr="002B63DA">
              <w:t>Is the transaction cross-jurisdictional (i</w:t>
            </w:r>
            <w:r w:rsidR="00E039BD">
              <w:t>.</w:t>
            </w:r>
            <w:r w:rsidRPr="002B63DA">
              <w:t>e</w:t>
            </w:r>
            <w:r w:rsidR="00E039BD">
              <w:t>.</w:t>
            </w:r>
            <w:r w:rsidRPr="002B63DA">
              <w:t xml:space="preserve"> are the counterparties to the transaction subject to more than one jurisdiction’s reporting rules)?</w:t>
            </w:r>
          </w:p>
        </w:tc>
        <w:tc>
          <w:tcPr>
            <w:tcW w:w="2853" w:type="dxa"/>
          </w:tcPr>
          <w:p w14:paraId="2685A384" w14:textId="77777777" w:rsidR="002B63DA" w:rsidRDefault="002B63DA" w:rsidP="002B63DA">
            <w:pPr>
              <w:pStyle w:val="tbltext"/>
            </w:pPr>
            <w:r>
              <w:t>If so, see step 10.</w:t>
            </w:r>
          </w:p>
          <w:p w14:paraId="24646919" w14:textId="6FDEC529" w:rsidR="002B63DA" w:rsidRPr="000540E1" w:rsidRDefault="002B63DA" w:rsidP="002B63DA">
            <w:pPr>
              <w:pStyle w:val="tbltext"/>
            </w:pPr>
            <w:r>
              <w:t>Otherwise, see step 5.</w:t>
            </w:r>
          </w:p>
        </w:tc>
      </w:tr>
      <w:tr w:rsidR="002B63DA" w:rsidRPr="000540E1" w14:paraId="50DA0B18" w14:textId="77777777" w:rsidTr="00FF59D1">
        <w:trPr>
          <w:cantSplit/>
        </w:trPr>
        <w:tc>
          <w:tcPr>
            <w:tcW w:w="0" w:type="auto"/>
          </w:tcPr>
          <w:p w14:paraId="5CC08EC0" w14:textId="0E4D4A9D" w:rsidR="002B63DA" w:rsidRDefault="002B63DA" w:rsidP="00FF59D1">
            <w:pPr>
              <w:pStyle w:val="tbltext"/>
            </w:pPr>
            <w:r>
              <w:t>5.</w:t>
            </w:r>
          </w:p>
        </w:tc>
        <w:tc>
          <w:tcPr>
            <w:tcW w:w="2852" w:type="dxa"/>
          </w:tcPr>
          <w:p w14:paraId="62314386" w14:textId="10F021F1" w:rsidR="002B63DA" w:rsidRPr="002B63DA" w:rsidRDefault="002B63DA" w:rsidP="00FF59D1">
            <w:pPr>
              <w:pStyle w:val="tbltext"/>
            </w:pPr>
            <w:r w:rsidRPr="002B63DA">
              <w:t>Do both counterparties have reporting obligations?</w:t>
            </w:r>
          </w:p>
        </w:tc>
        <w:tc>
          <w:tcPr>
            <w:tcW w:w="2853" w:type="dxa"/>
          </w:tcPr>
          <w:p w14:paraId="4B8467FD" w14:textId="77777777" w:rsidR="002B63DA" w:rsidRDefault="002B63DA" w:rsidP="002B63DA">
            <w:pPr>
              <w:pStyle w:val="tbltext"/>
            </w:pPr>
            <w:r>
              <w:t>If so, see step 6.</w:t>
            </w:r>
          </w:p>
          <w:p w14:paraId="16F85B7A" w14:textId="319639D7" w:rsidR="002B63DA" w:rsidRDefault="002B63DA" w:rsidP="002B63DA">
            <w:pPr>
              <w:pStyle w:val="tbltext"/>
            </w:pPr>
            <w:r>
              <w:t>Otherwise, see step 7.</w:t>
            </w:r>
          </w:p>
        </w:tc>
      </w:tr>
      <w:tr w:rsidR="002B63DA" w:rsidRPr="000540E1" w14:paraId="4F601325" w14:textId="77777777" w:rsidTr="00FF59D1">
        <w:trPr>
          <w:cantSplit/>
        </w:trPr>
        <w:tc>
          <w:tcPr>
            <w:tcW w:w="0" w:type="auto"/>
          </w:tcPr>
          <w:p w14:paraId="15BF1BEF" w14:textId="189EFED0" w:rsidR="002B63DA" w:rsidRDefault="002B63DA" w:rsidP="00FF59D1">
            <w:pPr>
              <w:pStyle w:val="tbltext"/>
            </w:pPr>
            <w:r>
              <w:t>6.</w:t>
            </w:r>
          </w:p>
        </w:tc>
        <w:tc>
          <w:tcPr>
            <w:tcW w:w="2852" w:type="dxa"/>
          </w:tcPr>
          <w:p w14:paraId="5F9F54CC" w14:textId="7439119C" w:rsidR="002B63DA" w:rsidRPr="002B63DA" w:rsidRDefault="002B63DA" w:rsidP="00FF59D1">
            <w:pPr>
              <w:pStyle w:val="tbltext"/>
            </w:pPr>
            <w:r w:rsidRPr="002B63DA">
              <w:t>Has the transaction been electronically confirmed or will it be and, if so, is the confirmation platform able, willing and permitted to generate a UTI within the required time frame under the applicable rules?</w:t>
            </w:r>
          </w:p>
        </w:tc>
        <w:tc>
          <w:tcPr>
            <w:tcW w:w="2853" w:type="dxa"/>
          </w:tcPr>
          <w:p w14:paraId="527B128F" w14:textId="77777777" w:rsidR="002B63DA" w:rsidRDefault="002B63DA" w:rsidP="002B63DA">
            <w:pPr>
              <w:pStyle w:val="tbltext"/>
            </w:pPr>
            <w:r>
              <w:t>If so, the confirmation platform.</w:t>
            </w:r>
          </w:p>
          <w:p w14:paraId="7E85000E" w14:textId="5683D77B" w:rsidR="002B63DA" w:rsidRDefault="002B63DA" w:rsidP="002B63DA">
            <w:pPr>
              <w:pStyle w:val="tbltext"/>
            </w:pPr>
            <w:r>
              <w:t>Otherwise, see step 7.</w:t>
            </w:r>
          </w:p>
        </w:tc>
      </w:tr>
      <w:tr w:rsidR="002B63DA" w:rsidRPr="000540E1" w14:paraId="28250F22" w14:textId="77777777" w:rsidTr="00FF59D1">
        <w:trPr>
          <w:cantSplit/>
        </w:trPr>
        <w:tc>
          <w:tcPr>
            <w:tcW w:w="0" w:type="auto"/>
          </w:tcPr>
          <w:p w14:paraId="515ACAA8" w14:textId="2B7A6871" w:rsidR="002B63DA" w:rsidRDefault="002B63DA" w:rsidP="00FF59D1">
            <w:pPr>
              <w:pStyle w:val="tbltext"/>
            </w:pPr>
            <w:r>
              <w:t>7.</w:t>
            </w:r>
          </w:p>
        </w:tc>
        <w:tc>
          <w:tcPr>
            <w:tcW w:w="2852" w:type="dxa"/>
          </w:tcPr>
          <w:p w14:paraId="231D61E7" w14:textId="44F621EF" w:rsidR="002B63DA" w:rsidRPr="002B63DA" w:rsidRDefault="002B63DA" w:rsidP="00FF59D1">
            <w:pPr>
              <w:pStyle w:val="tbltext"/>
            </w:pPr>
            <w:r w:rsidRPr="002B63DA">
              <w:t>Does the jurisdiction employ a counterparty-status-based approach (e</w:t>
            </w:r>
            <w:r w:rsidR="00E039BD">
              <w:t>.</w:t>
            </w:r>
            <w:r w:rsidRPr="002B63DA">
              <w:t>g</w:t>
            </w:r>
            <w:r w:rsidR="00E039BD">
              <w:t>.</w:t>
            </w:r>
            <w:r w:rsidRPr="002B63DA">
              <w:t xml:space="preserve"> rule definition or registration status) for determining which entity should have responsibility for generating the UTI?</w:t>
            </w:r>
          </w:p>
        </w:tc>
        <w:tc>
          <w:tcPr>
            <w:tcW w:w="2853" w:type="dxa"/>
          </w:tcPr>
          <w:p w14:paraId="39EA0540" w14:textId="77777777" w:rsidR="002B63DA" w:rsidRDefault="002B63DA" w:rsidP="002B63DA">
            <w:pPr>
              <w:pStyle w:val="tbltext"/>
            </w:pPr>
            <w:r>
              <w:t>If so, see step 8.</w:t>
            </w:r>
          </w:p>
          <w:p w14:paraId="3941B0B6" w14:textId="61D83486" w:rsidR="002B63DA" w:rsidRDefault="002B63DA" w:rsidP="002B63DA">
            <w:pPr>
              <w:pStyle w:val="tbltext"/>
            </w:pPr>
            <w:r>
              <w:t>Otherwise, see step 11.</w:t>
            </w:r>
          </w:p>
        </w:tc>
      </w:tr>
      <w:tr w:rsidR="002B63DA" w:rsidRPr="000540E1" w14:paraId="220A42FF" w14:textId="77777777" w:rsidTr="00FF59D1">
        <w:trPr>
          <w:cantSplit/>
        </w:trPr>
        <w:tc>
          <w:tcPr>
            <w:tcW w:w="0" w:type="auto"/>
          </w:tcPr>
          <w:p w14:paraId="4B213EB0" w14:textId="160B5E99" w:rsidR="002B63DA" w:rsidRDefault="002B63DA" w:rsidP="00FF59D1">
            <w:pPr>
              <w:pStyle w:val="tbltext"/>
            </w:pPr>
            <w:r>
              <w:lastRenderedPageBreak/>
              <w:t>8.</w:t>
            </w:r>
          </w:p>
        </w:tc>
        <w:tc>
          <w:tcPr>
            <w:tcW w:w="2852" w:type="dxa"/>
          </w:tcPr>
          <w:p w14:paraId="556EBA61" w14:textId="4D888B89" w:rsidR="002B63DA" w:rsidRPr="002B63DA" w:rsidRDefault="002B63DA" w:rsidP="00FF59D1">
            <w:pPr>
              <w:pStyle w:val="tbltext"/>
            </w:pPr>
            <w:r w:rsidRPr="002B63DA">
              <w:t>Do the counterparties have the same regulatory status for UTI generation purposes under the relevant jurisdiction?</w:t>
            </w:r>
          </w:p>
        </w:tc>
        <w:tc>
          <w:tcPr>
            <w:tcW w:w="2853" w:type="dxa"/>
          </w:tcPr>
          <w:p w14:paraId="20C406C3" w14:textId="77777777" w:rsidR="002B63DA" w:rsidRDefault="002B63DA" w:rsidP="002B63DA">
            <w:pPr>
              <w:pStyle w:val="tbltext"/>
            </w:pPr>
            <w:r>
              <w:t>If so, see step 11.</w:t>
            </w:r>
          </w:p>
          <w:p w14:paraId="13F11047" w14:textId="1B44299B" w:rsidR="002B63DA" w:rsidRDefault="002B63DA" w:rsidP="002B63DA">
            <w:pPr>
              <w:pStyle w:val="tbltext"/>
            </w:pPr>
            <w:r>
              <w:t>Otherwise, see step 9.</w:t>
            </w:r>
          </w:p>
        </w:tc>
      </w:tr>
      <w:tr w:rsidR="002B63DA" w:rsidRPr="000540E1" w14:paraId="0CA3215E" w14:textId="77777777" w:rsidTr="00FF59D1">
        <w:trPr>
          <w:cantSplit/>
        </w:trPr>
        <w:tc>
          <w:tcPr>
            <w:tcW w:w="0" w:type="auto"/>
          </w:tcPr>
          <w:p w14:paraId="1C50011B" w14:textId="68613735" w:rsidR="002B63DA" w:rsidRDefault="002B63DA" w:rsidP="00FF59D1">
            <w:pPr>
              <w:pStyle w:val="tbltext"/>
            </w:pPr>
            <w:r>
              <w:t>9.</w:t>
            </w:r>
          </w:p>
        </w:tc>
        <w:tc>
          <w:tcPr>
            <w:tcW w:w="2852" w:type="dxa"/>
          </w:tcPr>
          <w:p w14:paraId="44471EE8" w14:textId="5DCAC4FA" w:rsidR="002B63DA" w:rsidRPr="002B63DA" w:rsidRDefault="002B63DA" w:rsidP="00FF59D1">
            <w:pPr>
              <w:pStyle w:val="tbltext"/>
            </w:pPr>
            <w:r w:rsidRPr="002B63DA">
              <w:t>Do the applicable rules determine which entity should have responsibility for generating the UTI?</w:t>
            </w:r>
          </w:p>
        </w:tc>
        <w:tc>
          <w:tcPr>
            <w:tcW w:w="2853" w:type="dxa"/>
          </w:tcPr>
          <w:p w14:paraId="68F32BD1" w14:textId="77777777" w:rsidR="002B63DA" w:rsidRDefault="002B63DA" w:rsidP="002B63DA">
            <w:pPr>
              <w:pStyle w:val="tbltext"/>
            </w:pPr>
            <w:r>
              <w:t>If so, the assigned entity.</w:t>
            </w:r>
          </w:p>
          <w:p w14:paraId="777989A9" w14:textId="53E4EAD5" w:rsidR="002B63DA" w:rsidRDefault="002B63DA" w:rsidP="002B63DA">
            <w:pPr>
              <w:pStyle w:val="tbltext"/>
            </w:pPr>
            <w:r>
              <w:t>Otherwise, see step 12.</w:t>
            </w:r>
          </w:p>
        </w:tc>
      </w:tr>
      <w:tr w:rsidR="002B63DA" w:rsidRPr="000540E1" w14:paraId="1A7C6693" w14:textId="77777777" w:rsidTr="00FF59D1">
        <w:trPr>
          <w:cantSplit/>
        </w:trPr>
        <w:tc>
          <w:tcPr>
            <w:tcW w:w="0" w:type="auto"/>
          </w:tcPr>
          <w:p w14:paraId="5B1AC6A4" w14:textId="68013BF0" w:rsidR="002B63DA" w:rsidRDefault="002B63DA" w:rsidP="00FF59D1">
            <w:pPr>
              <w:pStyle w:val="tbltext"/>
            </w:pPr>
            <w:r>
              <w:t>11.</w:t>
            </w:r>
          </w:p>
        </w:tc>
        <w:tc>
          <w:tcPr>
            <w:tcW w:w="2852" w:type="dxa"/>
          </w:tcPr>
          <w:p w14:paraId="2D43786A" w14:textId="46B91027" w:rsidR="002B63DA" w:rsidRPr="002B63DA" w:rsidRDefault="002B63DA" w:rsidP="00FF59D1">
            <w:pPr>
              <w:pStyle w:val="tbltext"/>
            </w:pPr>
            <w:r w:rsidRPr="002B63DA">
              <w:t>Do the counterparties have an agreement governing which entity should have responsibility for generating the UTI for this transaction?</w:t>
            </w:r>
          </w:p>
        </w:tc>
        <w:tc>
          <w:tcPr>
            <w:tcW w:w="2853" w:type="dxa"/>
          </w:tcPr>
          <w:p w14:paraId="653C2D18" w14:textId="77777777" w:rsidR="002B63DA" w:rsidRDefault="002B63DA" w:rsidP="002B63DA">
            <w:pPr>
              <w:pStyle w:val="tbltext"/>
            </w:pPr>
            <w:r>
              <w:t>If so, the agreed entity.</w:t>
            </w:r>
          </w:p>
          <w:p w14:paraId="106F577F" w14:textId="509AEBED" w:rsidR="002B63DA" w:rsidRDefault="002B63DA" w:rsidP="002B63DA">
            <w:pPr>
              <w:pStyle w:val="tbltext"/>
            </w:pPr>
            <w:r>
              <w:t>Otherwise, see step 12.</w:t>
            </w:r>
          </w:p>
        </w:tc>
      </w:tr>
      <w:tr w:rsidR="002B63DA" w:rsidRPr="000540E1" w14:paraId="1467CFEC" w14:textId="77777777" w:rsidTr="00FF59D1">
        <w:trPr>
          <w:cantSplit/>
        </w:trPr>
        <w:tc>
          <w:tcPr>
            <w:tcW w:w="0" w:type="auto"/>
          </w:tcPr>
          <w:p w14:paraId="076676DB" w14:textId="2C527019" w:rsidR="002B63DA" w:rsidRDefault="002B63DA" w:rsidP="00FF59D1">
            <w:pPr>
              <w:pStyle w:val="tbltext"/>
            </w:pPr>
            <w:r>
              <w:t>12.</w:t>
            </w:r>
          </w:p>
        </w:tc>
        <w:tc>
          <w:tcPr>
            <w:tcW w:w="2852" w:type="dxa"/>
          </w:tcPr>
          <w:p w14:paraId="00EA53FA" w14:textId="18F0A7F6" w:rsidR="002B63DA" w:rsidRPr="002B63DA" w:rsidRDefault="002B63DA" w:rsidP="00FF59D1">
            <w:pPr>
              <w:pStyle w:val="tbltext"/>
            </w:pPr>
            <w:r w:rsidRPr="002B63DA">
              <w:t xml:space="preserve">Has the transaction been electronically confirmed or will it be and, if so, is the confirmation platform </w:t>
            </w:r>
            <w:bookmarkStart w:id="53" w:name="_Hlk90272349"/>
            <w:r w:rsidRPr="002B63DA">
              <w:t xml:space="preserve">able, willing and permitted to generate a UTI </w:t>
            </w:r>
            <w:bookmarkEnd w:id="53"/>
            <w:r w:rsidRPr="002B63DA">
              <w:t>within the required time frame under the applicable rules?</w:t>
            </w:r>
          </w:p>
        </w:tc>
        <w:tc>
          <w:tcPr>
            <w:tcW w:w="2853" w:type="dxa"/>
          </w:tcPr>
          <w:p w14:paraId="200B8B95" w14:textId="77777777" w:rsidR="002B63DA" w:rsidRDefault="002B63DA" w:rsidP="002B63DA">
            <w:pPr>
              <w:pStyle w:val="tbltext"/>
            </w:pPr>
            <w:r>
              <w:t>If so, the confirmation platform.</w:t>
            </w:r>
          </w:p>
          <w:p w14:paraId="38A45BF0" w14:textId="75F69690" w:rsidR="002B63DA" w:rsidRDefault="002B63DA" w:rsidP="002B63DA">
            <w:pPr>
              <w:pStyle w:val="tbltext"/>
            </w:pPr>
            <w:r>
              <w:t>Otherwise, see step 13.</w:t>
            </w:r>
          </w:p>
        </w:tc>
      </w:tr>
    </w:tbl>
    <w:p w14:paraId="5B102093" w14:textId="6B642027" w:rsidR="001718F0" w:rsidRDefault="001718F0" w:rsidP="00C40082">
      <w:pPr>
        <w:pStyle w:val="Heading3"/>
      </w:pPr>
      <w:r>
        <w:t xml:space="preserve">Step 5 where </w:t>
      </w:r>
      <w:r w:rsidR="00523BEE">
        <w:t>one of the c</w:t>
      </w:r>
      <w:r>
        <w:t>ounterparties do</w:t>
      </w:r>
      <w:r w:rsidR="00523BEE">
        <w:t>es</w:t>
      </w:r>
      <w:r>
        <w:t xml:space="preserve"> not have </w:t>
      </w:r>
      <w:r w:rsidR="00523BEE">
        <w:t xml:space="preserve">a </w:t>
      </w:r>
      <w:r>
        <w:t>reporting obligation</w:t>
      </w:r>
    </w:p>
    <w:p w14:paraId="72900300" w14:textId="77777777" w:rsidR="00B71338" w:rsidRPr="001B7433" w:rsidRDefault="00B71338" w:rsidP="00B71338">
      <w:pPr>
        <w:pStyle w:val="BodyText"/>
      </w:pPr>
      <w:r w:rsidRPr="001B7433">
        <w:t>In a transaction that is solely reportable under the ASIC Rules and not under the rules of another jurisdiction, one of the counterparties does not have a reporting obligation in situations where:</w:t>
      </w:r>
    </w:p>
    <w:p w14:paraId="19D01B7A" w14:textId="753EF78C" w:rsidR="00B71338" w:rsidRPr="001B7433" w:rsidRDefault="00B71338" w:rsidP="00B71338">
      <w:pPr>
        <w:pStyle w:val="subparaa"/>
      </w:pPr>
      <w:r w:rsidRPr="001B7433">
        <w:t xml:space="preserve">one counterparty is an ASIC </w:t>
      </w:r>
      <w:r w:rsidR="006D50C6" w:rsidRPr="001B7433">
        <w:t>r</w:t>
      </w:r>
      <w:r w:rsidRPr="001B7433">
        <w:t xml:space="preserve">eporting </w:t>
      </w:r>
      <w:r w:rsidR="006D50C6" w:rsidRPr="001B7433">
        <w:t>e</w:t>
      </w:r>
      <w:r w:rsidRPr="001B7433">
        <w:t>ntity and the other counterparty is an ‘end user’</w:t>
      </w:r>
      <w:r w:rsidR="00C27000" w:rsidRPr="001B7433">
        <w:t xml:space="preserve"> (</w:t>
      </w:r>
      <w:r w:rsidR="00AD5DC2" w:rsidRPr="001B7433">
        <w:t xml:space="preserve">see paragraph </w:t>
      </w:r>
      <w:r w:rsidR="00AD5DC2" w:rsidRPr="001B7433">
        <w:fldChar w:fldCharType="begin"/>
      </w:r>
      <w:r w:rsidR="00AD5DC2" w:rsidRPr="001B7433">
        <w:instrText xml:space="preserve"> REF _ASICRef824 \w \h </w:instrText>
      </w:r>
      <w:r w:rsidR="004D01CC">
        <w:rPr>
          <w:highlight w:val="yellow"/>
        </w:rPr>
        <w:instrText xml:space="preserve"> \* MERGEFORMAT </w:instrText>
      </w:r>
      <w:r w:rsidR="00AD5DC2" w:rsidRPr="001B7433">
        <w:fldChar w:fldCharType="separate"/>
      </w:r>
      <w:r w:rsidR="00314C7E">
        <w:t>75</w:t>
      </w:r>
      <w:r w:rsidR="00AD5DC2" w:rsidRPr="001B7433">
        <w:fldChar w:fldCharType="end"/>
      </w:r>
      <w:r w:rsidR="00C27000" w:rsidRPr="001B7433">
        <w:t>)</w:t>
      </w:r>
      <w:r w:rsidRPr="001B7433">
        <w:t>;</w:t>
      </w:r>
    </w:p>
    <w:p w14:paraId="5FBAD030" w14:textId="524F79C5" w:rsidR="00B71338" w:rsidRPr="001B7433" w:rsidRDefault="00B71338" w:rsidP="00B71338">
      <w:pPr>
        <w:pStyle w:val="subparaa"/>
        <w:rPr>
          <w:spacing w:val="-2"/>
        </w:rPr>
      </w:pPr>
      <w:bookmarkStart w:id="54" w:name="_ASICRef980"/>
      <w:r w:rsidRPr="001B7433">
        <w:rPr>
          <w:spacing w:val="-2"/>
        </w:rPr>
        <w:t xml:space="preserve">one counterparty is an ASIC </w:t>
      </w:r>
      <w:r w:rsidR="006D50C6" w:rsidRPr="001B7433">
        <w:rPr>
          <w:spacing w:val="-2"/>
        </w:rPr>
        <w:t>r</w:t>
      </w:r>
      <w:r w:rsidRPr="001B7433">
        <w:rPr>
          <w:spacing w:val="-2"/>
        </w:rPr>
        <w:t xml:space="preserve">eporting </w:t>
      </w:r>
      <w:r w:rsidR="006D50C6" w:rsidRPr="001B7433">
        <w:rPr>
          <w:spacing w:val="-2"/>
        </w:rPr>
        <w:t>e</w:t>
      </w:r>
      <w:r w:rsidRPr="001B7433">
        <w:rPr>
          <w:spacing w:val="-2"/>
        </w:rPr>
        <w:t xml:space="preserve">ntity and the other counterparty is a ‘small-scale, single-sided’ ASIC </w:t>
      </w:r>
      <w:r w:rsidR="006D50C6" w:rsidRPr="001B7433">
        <w:rPr>
          <w:spacing w:val="-2"/>
        </w:rPr>
        <w:t>r</w:t>
      </w:r>
      <w:r w:rsidRPr="001B7433">
        <w:rPr>
          <w:spacing w:val="-2"/>
        </w:rPr>
        <w:t xml:space="preserve">eporting </w:t>
      </w:r>
      <w:r w:rsidR="006D50C6" w:rsidRPr="001B7433">
        <w:rPr>
          <w:spacing w:val="-2"/>
        </w:rPr>
        <w:t>e</w:t>
      </w:r>
      <w:r w:rsidRPr="001B7433">
        <w:rPr>
          <w:spacing w:val="-2"/>
        </w:rPr>
        <w:t>ntity</w:t>
      </w:r>
      <w:r w:rsidR="00C27000" w:rsidRPr="001B7433">
        <w:rPr>
          <w:spacing w:val="-2"/>
        </w:rPr>
        <w:t xml:space="preserve"> (</w:t>
      </w:r>
      <w:r w:rsidR="00AD5DC2" w:rsidRPr="001B7433">
        <w:rPr>
          <w:spacing w:val="-2"/>
        </w:rPr>
        <w:t xml:space="preserve">see paragraph </w:t>
      </w:r>
      <w:r w:rsidR="00AD5DC2" w:rsidRPr="001B7433">
        <w:rPr>
          <w:spacing w:val="-2"/>
        </w:rPr>
        <w:fldChar w:fldCharType="begin"/>
      </w:r>
      <w:r w:rsidR="00AD5DC2" w:rsidRPr="001B7433">
        <w:rPr>
          <w:spacing w:val="-2"/>
        </w:rPr>
        <w:instrText xml:space="preserve"> REF _ASICRef589 \w \h </w:instrText>
      </w:r>
      <w:r w:rsidR="00C27000" w:rsidRPr="001B7433">
        <w:rPr>
          <w:spacing w:val="-2"/>
        </w:rPr>
        <w:instrText xml:space="preserve"> \* MERGEFORMAT </w:instrText>
      </w:r>
      <w:r w:rsidR="00AD5DC2" w:rsidRPr="001B7433">
        <w:rPr>
          <w:spacing w:val="-2"/>
        </w:rPr>
      </w:r>
      <w:r w:rsidR="00AD5DC2" w:rsidRPr="001B7433">
        <w:rPr>
          <w:spacing w:val="-2"/>
        </w:rPr>
        <w:fldChar w:fldCharType="separate"/>
      </w:r>
      <w:r w:rsidR="00314C7E">
        <w:rPr>
          <w:spacing w:val="-2"/>
        </w:rPr>
        <w:t>76</w:t>
      </w:r>
      <w:r w:rsidR="00AD5DC2" w:rsidRPr="001B7433">
        <w:rPr>
          <w:spacing w:val="-2"/>
        </w:rPr>
        <w:fldChar w:fldCharType="end"/>
      </w:r>
      <w:r w:rsidR="00C27000" w:rsidRPr="001B7433">
        <w:rPr>
          <w:spacing w:val="-2"/>
        </w:rPr>
        <w:t>)</w:t>
      </w:r>
      <w:r w:rsidRPr="001B7433">
        <w:rPr>
          <w:spacing w:val="-2"/>
        </w:rPr>
        <w:t>;</w:t>
      </w:r>
      <w:bookmarkEnd w:id="54"/>
    </w:p>
    <w:p w14:paraId="1CD1BC79" w14:textId="58C2FB07" w:rsidR="00B71338" w:rsidRPr="001B7433" w:rsidRDefault="00B71338" w:rsidP="00B71338">
      <w:pPr>
        <w:pStyle w:val="subparaa"/>
      </w:pPr>
      <w:r w:rsidRPr="001B7433">
        <w:t xml:space="preserve">one counterparty is a ‘small-scale, single-sided’ ASIC </w:t>
      </w:r>
      <w:r w:rsidR="006D50C6" w:rsidRPr="001B7433">
        <w:t>r</w:t>
      </w:r>
      <w:r w:rsidRPr="001B7433">
        <w:t xml:space="preserve">eporting </w:t>
      </w:r>
      <w:r w:rsidR="006D50C6" w:rsidRPr="001B7433">
        <w:t>e</w:t>
      </w:r>
      <w:r w:rsidRPr="001B7433">
        <w:t xml:space="preserve">ntity and the other counterparty is a ‘small-scale, single-sided’ ASIC </w:t>
      </w:r>
      <w:r w:rsidR="006D50C6" w:rsidRPr="001B7433">
        <w:t>r</w:t>
      </w:r>
      <w:r w:rsidRPr="001B7433">
        <w:t xml:space="preserve">eporting </w:t>
      </w:r>
      <w:r w:rsidR="006D50C6" w:rsidRPr="001B7433">
        <w:t>e</w:t>
      </w:r>
      <w:r w:rsidRPr="001B7433">
        <w:t>ntity that will report the transaction</w:t>
      </w:r>
      <w:r w:rsidR="00C27000" w:rsidRPr="001B7433">
        <w:t xml:space="preserve"> (</w:t>
      </w:r>
      <w:r w:rsidRPr="001B7433">
        <w:t>see</w:t>
      </w:r>
      <w:r w:rsidR="00854AAB" w:rsidRPr="001B7433">
        <w:t xml:space="preserve"> paragraph</w:t>
      </w:r>
      <w:r w:rsidR="00AD5DC2" w:rsidRPr="001B7433">
        <w:t xml:space="preserve"> </w:t>
      </w:r>
      <w:r w:rsidR="00AD5DC2" w:rsidRPr="001B7433">
        <w:fldChar w:fldCharType="begin"/>
      </w:r>
      <w:r w:rsidR="00AD5DC2" w:rsidRPr="001B7433">
        <w:instrText xml:space="preserve"> REF _ASICRef986 \w \h </w:instrText>
      </w:r>
      <w:r w:rsidR="004D01CC" w:rsidRPr="001B7433">
        <w:instrText xml:space="preserve"> \* MERGEFORMAT </w:instrText>
      </w:r>
      <w:r w:rsidR="00AD5DC2" w:rsidRPr="001B7433">
        <w:fldChar w:fldCharType="separate"/>
      </w:r>
      <w:r w:rsidR="00314C7E">
        <w:t>80</w:t>
      </w:r>
      <w:r w:rsidR="00AD5DC2" w:rsidRPr="001B7433">
        <w:fldChar w:fldCharType="end"/>
      </w:r>
      <w:r w:rsidR="00C27000" w:rsidRPr="001B7433">
        <w:t>)</w:t>
      </w:r>
      <w:r w:rsidRPr="001B7433">
        <w:t>.</w:t>
      </w:r>
    </w:p>
    <w:p w14:paraId="35382B2D" w14:textId="737D2130" w:rsidR="00B71338" w:rsidRDefault="00B71338" w:rsidP="00B71338">
      <w:pPr>
        <w:pStyle w:val="Note"/>
      </w:pPr>
      <w:r>
        <w:t xml:space="preserve">Note 1: An ASIC </w:t>
      </w:r>
      <w:r w:rsidR="006D50C6">
        <w:t>r</w:t>
      </w:r>
      <w:r>
        <w:t xml:space="preserve">eporting </w:t>
      </w:r>
      <w:r w:rsidR="006D50C6">
        <w:t>e</w:t>
      </w:r>
      <w:r>
        <w:t xml:space="preserve">ntity, ‘small-scale, single-sided’ ASIC </w:t>
      </w:r>
      <w:r w:rsidR="006D50C6">
        <w:t>r</w:t>
      </w:r>
      <w:r>
        <w:t xml:space="preserve">eporting </w:t>
      </w:r>
      <w:r w:rsidR="006D50C6">
        <w:t>e</w:t>
      </w:r>
      <w:r>
        <w:t>ntity or an ‘end user’ may be an Australian entity or a foreign entity and the above would apply where neither counterparty has a reporting obligation under the rules of another jurisdiction.</w:t>
      </w:r>
    </w:p>
    <w:p w14:paraId="46DD202F" w14:textId="6AAEEB61" w:rsidR="00B71338" w:rsidRPr="00E41142" w:rsidRDefault="00B71338" w:rsidP="00B71338">
      <w:pPr>
        <w:pStyle w:val="Note"/>
      </w:pPr>
      <w:r>
        <w:t xml:space="preserve">Note 2: An ASIC </w:t>
      </w:r>
      <w:r w:rsidR="006D50C6">
        <w:t>r</w:t>
      </w:r>
      <w:r>
        <w:t xml:space="preserve">eporting </w:t>
      </w:r>
      <w:r w:rsidR="006D50C6">
        <w:t>e</w:t>
      </w:r>
      <w:r>
        <w:t xml:space="preserve">ntity that is a foreign entity is exempt from reporting a transaction under the ASIC Rules if it </w:t>
      </w:r>
      <w:r w:rsidR="006D50C6">
        <w:t xml:space="preserve">is subject to alternative reporting requirements in another jurisdiction but </w:t>
      </w:r>
      <w:r>
        <w:t>does not have an obligation to report the transaction under th</w:t>
      </w:r>
      <w:r w:rsidR="006D50C6">
        <w:t>ose requirements</w:t>
      </w:r>
      <w:r w:rsidR="009062B0">
        <w:t xml:space="preserve">: </w:t>
      </w:r>
      <w:r>
        <w:t xml:space="preserve">see </w:t>
      </w:r>
      <w:r w:rsidR="00C27000">
        <w:t xml:space="preserve">Rule </w:t>
      </w:r>
      <w:r>
        <w:t xml:space="preserve">2.2.1(3). In the situation of </w:t>
      </w:r>
      <w:r w:rsidR="005D4D06">
        <w:t xml:space="preserve">paragraph </w:t>
      </w:r>
      <w:r w:rsidR="005D4D06">
        <w:fldChar w:fldCharType="begin"/>
      </w:r>
      <w:r w:rsidR="005D4D06">
        <w:instrText xml:space="preserve"> REF _ASICRef980 \w \h </w:instrText>
      </w:r>
      <w:r w:rsidR="005D4D06">
        <w:fldChar w:fldCharType="separate"/>
      </w:r>
      <w:r w:rsidR="00314C7E">
        <w:t>73(b)</w:t>
      </w:r>
      <w:r w:rsidR="005D4D06">
        <w:fldChar w:fldCharType="end"/>
      </w:r>
      <w:r>
        <w:t xml:space="preserve">, if the foreign ASIC </w:t>
      </w:r>
      <w:r w:rsidR="005D4D06">
        <w:t xml:space="preserve">reporting entity </w:t>
      </w:r>
      <w:r>
        <w:t xml:space="preserve">is exempt, the ‘small-scale, single-sided’ ASIC </w:t>
      </w:r>
      <w:r w:rsidR="005D4D06">
        <w:t xml:space="preserve">reporting entity </w:t>
      </w:r>
      <w:r>
        <w:t>would have the reporting obligation under the ASIC Rules.</w:t>
      </w:r>
    </w:p>
    <w:p w14:paraId="242B85DA" w14:textId="7AF85E3B" w:rsidR="008F594D" w:rsidRDefault="00682BC6" w:rsidP="008F594D">
      <w:pPr>
        <w:pStyle w:val="BodyText"/>
      </w:pPr>
      <w:r>
        <w:lastRenderedPageBreak/>
        <w:t>Under the ASIC Rules, an entity does not have a reporting obligation if:</w:t>
      </w:r>
    </w:p>
    <w:p w14:paraId="77B08CDF" w14:textId="0BE1D166" w:rsidR="00682BC6" w:rsidRDefault="00682BC6" w:rsidP="00682BC6">
      <w:pPr>
        <w:pStyle w:val="subparaa"/>
      </w:pPr>
      <w:r>
        <w:t xml:space="preserve">it is an end user as </w:t>
      </w:r>
      <w:bookmarkStart w:id="55" w:name="_Hlk90273273"/>
      <w:r>
        <w:t xml:space="preserve">defined by </w:t>
      </w:r>
      <w:r w:rsidR="000E4B5F">
        <w:t>reg</w:t>
      </w:r>
      <w:r>
        <w:t xml:space="preserve"> 7.5A.50</w:t>
      </w:r>
      <w:r w:rsidR="000E4B5F">
        <w:t xml:space="preserve"> </w:t>
      </w:r>
      <w:bookmarkEnd w:id="55"/>
      <w:r w:rsidR="000E4B5F">
        <w:t>of the Corporations Regulations</w:t>
      </w:r>
      <w:r w:rsidR="00AE0B1D">
        <w:t>; or</w:t>
      </w:r>
    </w:p>
    <w:p w14:paraId="06696C55" w14:textId="3B28C3F9" w:rsidR="00541F40" w:rsidRDefault="00AE0B1D" w:rsidP="001718F0">
      <w:pPr>
        <w:pStyle w:val="subparaa"/>
      </w:pPr>
      <w:r>
        <w:t>it is exempt from reporting as a small-scale</w:t>
      </w:r>
      <w:r w:rsidR="00541F40">
        <w:t>,</w:t>
      </w:r>
      <w:r>
        <w:t xml:space="preserve"> single-sided reporting entity per the qualifying requirements and conditions of </w:t>
      </w:r>
      <w:bookmarkStart w:id="56" w:name="_Hlk90273333"/>
      <w:r>
        <w:t>Subdivision</w:t>
      </w:r>
      <w:r w:rsidR="000E4B5F">
        <w:t> </w:t>
      </w:r>
      <w:r>
        <w:t xml:space="preserve">2.1B of </w:t>
      </w:r>
      <w:r w:rsidR="006D50C6">
        <w:t xml:space="preserve">Pt 7.5A of </w:t>
      </w:r>
      <w:r>
        <w:t>the Corporations Regulations</w:t>
      </w:r>
      <w:bookmarkEnd w:id="56"/>
      <w:r>
        <w:t>.</w:t>
      </w:r>
    </w:p>
    <w:p w14:paraId="24596F73" w14:textId="10217278" w:rsidR="0073799E" w:rsidRDefault="0073799E" w:rsidP="0073799E">
      <w:pPr>
        <w:pStyle w:val="BodyText"/>
      </w:pPr>
      <w:bookmarkStart w:id="57" w:name="_ASICRef824"/>
      <w:r>
        <w:t>Regulation 7.5A.50 provides that the ASIC Rules cannot impose requirements on an end user, being a person who is not:</w:t>
      </w:r>
      <w:bookmarkEnd w:id="57"/>
    </w:p>
    <w:p w14:paraId="0718DF91" w14:textId="74DB4537" w:rsidR="0073799E" w:rsidRDefault="0073799E" w:rsidP="0073799E">
      <w:pPr>
        <w:pStyle w:val="subparaa"/>
      </w:pPr>
      <w:r>
        <w:t xml:space="preserve">an Australian </w:t>
      </w:r>
      <w:r w:rsidR="00B87D1C">
        <w:t>authorised deposit-taking institution (</w:t>
      </w:r>
      <w:r>
        <w:t>ADI</w:t>
      </w:r>
      <w:r w:rsidR="00B87D1C">
        <w:t>)</w:t>
      </w:r>
      <w:r>
        <w:t>; or</w:t>
      </w:r>
    </w:p>
    <w:p w14:paraId="60457F3D" w14:textId="18C4CCFF" w:rsidR="0073799E" w:rsidRDefault="0073799E" w:rsidP="0073799E">
      <w:pPr>
        <w:pStyle w:val="subparaa"/>
      </w:pPr>
      <w:r>
        <w:t xml:space="preserve">a </w:t>
      </w:r>
      <w:r w:rsidR="00041735">
        <w:t>clearing and settlement (</w:t>
      </w:r>
      <w:r>
        <w:t>CS</w:t>
      </w:r>
      <w:r w:rsidR="00041735">
        <w:t>)</w:t>
      </w:r>
      <w:r>
        <w:t xml:space="preserve"> facility licensee; or</w:t>
      </w:r>
    </w:p>
    <w:p w14:paraId="652F1E86" w14:textId="1730A588" w:rsidR="0073799E" w:rsidRDefault="0073799E" w:rsidP="0073799E">
      <w:pPr>
        <w:pStyle w:val="subparaa"/>
      </w:pPr>
      <w:r>
        <w:t>a financial services licensee; or</w:t>
      </w:r>
    </w:p>
    <w:p w14:paraId="5BB2F2F0" w14:textId="05C836CE" w:rsidR="0073799E" w:rsidRDefault="0073799E" w:rsidP="0073799E">
      <w:pPr>
        <w:pStyle w:val="subparaa"/>
      </w:pPr>
      <w:r>
        <w:t>a person:</w:t>
      </w:r>
    </w:p>
    <w:p w14:paraId="7B1ECF7B" w14:textId="5944AEC3" w:rsidR="0073799E" w:rsidRDefault="0073799E" w:rsidP="0073799E">
      <w:pPr>
        <w:pStyle w:val="subsubparai"/>
      </w:pPr>
      <w:r>
        <w:t>who, in this jurisdiction, provides financial services relating to derivatives to wholesale clients only; and</w:t>
      </w:r>
    </w:p>
    <w:p w14:paraId="111F042D" w14:textId="4CFAD6DF" w:rsidR="0073799E" w:rsidRDefault="0073799E" w:rsidP="0073799E">
      <w:pPr>
        <w:pStyle w:val="subsubparai"/>
      </w:pPr>
      <w:r>
        <w:t>whose activities, relating to derivatives, are regulated by an overseas regulatory authority.</w:t>
      </w:r>
    </w:p>
    <w:p w14:paraId="5509F3DD" w14:textId="51676CB1" w:rsidR="00541F40" w:rsidRDefault="00541F40" w:rsidP="00541F40">
      <w:pPr>
        <w:pStyle w:val="BodyText"/>
      </w:pPr>
      <w:bookmarkStart w:id="58" w:name="_ASICRef589"/>
      <w:r>
        <w:t xml:space="preserve">Subdivision 2.1B of </w:t>
      </w:r>
      <w:r w:rsidR="006D50C6">
        <w:t xml:space="preserve">Pt 7.5A of </w:t>
      </w:r>
      <w:r>
        <w:t xml:space="preserve">the Corporations Regulations provides an exemption from the ASIC Rules reporting requirements for </w:t>
      </w:r>
      <w:r w:rsidR="006D5C86">
        <w:t xml:space="preserve">a derivative transaction of </w:t>
      </w:r>
      <w:r>
        <w:t>an entity</w:t>
      </w:r>
      <w:r w:rsidR="006D5C86">
        <w:t>, where</w:t>
      </w:r>
      <w:r>
        <w:t>:</w:t>
      </w:r>
      <w:bookmarkEnd w:id="58"/>
    </w:p>
    <w:p w14:paraId="01F9DB5E" w14:textId="572521F2" w:rsidR="00541F40" w:rsidRDefault="006D5C86" w:rsidP="00541F40">
      <w:pPr>
        <w:pStyle w:val="subparaa"/>
      </w:pPr>
      <w:r>
        <w:t xml:space="preserve">the entity is </w:t>
      </w:r>
      <w:r w:rsidR="00541F40">
        <w:t>a phase 3 reporting entity;</w:t>
      </w:r>
    </w:p>
    <w:p w14:paraId="46942C83" w14:textId="42754230" w:rsidR="007F1889" w:rsidRDefault="007F1889" w:rsidP="003F7C61">
      <w:pPr>
        <w:pStyle w:val="Note"/>
      </w:pPr>
      <w:r>
        <w:t xml:space="preserve">Note: </w:t>
      </w:r>
      <w:r w:rsidR="003F7C61">
        <w:t xml:space="preserve">A </w:t>
      </w:r>
      <w:r>
        <w:t xml:space="preserve">phase 3 reporting entity means a Phase 3 Reporting Entity within the meaning of the </w:t>
      </w:r>
      <w:hyperlink r:id="rId30" w:history="1">
        <w:r w:rsidRPr="003F7C61">
          <w:rPr>
            <w:rStyle w:val="Hyperlink"/>
          </w:rPr>
          <w:t>ASIC Instrument [14/0633]</w:t>
        </w:r>
      </w:hyperlink>
      <w:r>
        <w:t xml:space="preserve"> as in force on 1 October 2015. Generally, this means a reporting entity with the latest reporting commencement dates because it held less than A$50 billion of outstanding derivatives positions as at 31 December 2013</w:t>
      </w:r>
      <w:r w:rsidR="005935B5">
        <w:t>.</w:t>
      </w:r>
    </w:p>
    <w:p w14:paraId="5CA9D5A1" w14:textId="64C426BF" w:rsidR="00541F40" w:rsidRDefault="006D5C86" w:rsidP="00541F40">
      <w:pPr>
        <w:pStyle w:val="subparaa"/>
      </w:pPr>
      <w:r>
        <w:t xml:space="preserve">the entity’s </w:t>
      </w:r>
      <w:r w:rsidR="00541F40">
        <w:t xml:space="preserve">total gross notional outstanding positions in derivatives does not exceed </w:t>
      </w:r>
      <w:r w:rsidR="000E4B5F">
        <w:t>A$</w:t>
      </w:r>
      <w:r w:rsidR="00541F40">
        <w:t>5 billion on each of the two most recent</w:t>
      </w:r>
      <w:r>
        <w:t xml:space="preserve"> quarter-end days;</w:t>
      </w:r>
    </w:p>
    <w:p w14:paraId="261618F2" w14:textId="14656D59" w:rsidR="006D50C6" w:rsidRDefault="006D5C86" w:rsidP="00136CC5">
      <w:pPr>
        <w:pStyle w:val="subparaa"/>
        <w:spacing w:line="290" w:lineRule="atLeast"/>
      </w:pPr>
      <w:r>
        <w:t xml:space="preserve">the entity’s counterparty in the derivative transaction has represented to the entity that it is an ASIC </w:t>
      </w:r>
      <w:r w:rsidR="009E0748">
        <w:t>reporting entity</w:t>
      </w:r>
      <w:r>
        <w:t xml:space="preserve"> that is required to report the transaction under the ASIC Rules</w:t>
      </w:r>
      <w:r w:rsidR="006D50C6">
        <w:t>;</w:t>
      </w:r>
    </w:p>
    <w:p w14:paraId="06A32C32" w14:textId="12209CBE" w:rsidR="006D50C6" w:rsidRDefault="006D50C6" w:rsidP="00136CC5">
      <w:pPr>
        <w:pStyle w:val="subparaa"/>
        <w:spacing w:line="290" w:lineRule="atLeast"/>
      </w:pPr>
      <w:r>
        <w:t xml:space="preserve">the entity makes regular </w:t>
      </w:r>
      <w:r w:rsidR="005D4D06">
        <w:t>i</w:t>
      </w:r>
      <w:r>
        <w:t>nquiries reasonably designed to determine whether the representation is correct; and</w:t>
      </w:r>
    </w:p>
    <w:p w14:paraId="3CE32B18" w14:textId="77777777" w:rsidR="006D50C6" w:rsidRDefault="006D50C6" w:rsidP="00136CC5">
      <w:pPr>
        <w:pStyle w:val="subparaa"/>
        <w:spacing w:line="290" w:lineRule="atLeast"/>
      </w:pPr>
      <w:r>
        <w:t>the entity has no reason to suspect that the representation is incorrect.</w:t>
      </w:r>
    </w:p>
    <w:p w14:paraId="75FFA7D9" w14:textId="19A5AA75" w:rsidR="001718F0" w:rsidRDefault="00A93EFF" w:rsidP="00136CC5">
      <w:pPr>
        <w:pStyle w:val="BodyText"/>
        <w:spacing w:line="290" w:lineRule="atLeast"/>
      </w:pPr>
      <w:r>
        <w:t xml:space="preserve">For a transaction involving an end user or a small-scale, single-sided reporting entity, the UTI </w:t>
      </w:r>
      <w:r w:rsidR="0022679B">
        <w:t>Guidance</w:t>
      </w:r>
      <w:r>
        <w:t xml:space="preserve"> points to</w:t>
      </w:r>
      <w:r w:rsidR="000E4B5F" w:rsidRPr="004D2BE8">
        <w:t>—</w:t>
      </w:r>
      <w:r>
        <w:t xml:space="preserve">at </w:t>
      </w:r>
      <w:r w:rsidR="00B3425A">
        <w:t xml:space="preserve">steps </w:t>
      </w:r>
      <w:r>
        <w:t>7 to 9</w:t>
      </w:r>
      <w:r w:rsidR="000E4B5F" w:rsidRPr="004D2BE8">
        <w:t>—</w:t>
      </w:r>
      <w:r>
        <w:t xml:space="preserve">the jurisdiction’s rules taking a status-based approach to determining the </w:t>
      </w:r>
      <w:r w:rsidR="005076C7">
        <w:t>UTI generator</w:t>
      </w:r>
      <w:r>
        <w:t>.</w:t>
      </w:r>
    </w:p>
    <w:p w14:paraId="5F66DF28" w14:textId="118E9527" w:rsidR="00E73B82" w:rsidRDefault="00E039BD" w:rsidP="00136CC5">
      <w:pPr>
        <w:pStyle w:val="BodyText"/>
        <w:spacing w:line="290" w:lineRule="atLeast"/>
      </w:pPr>
      <w:r>
        <w:t>W</w:t>
      </w:r>
      <w:r w:rsidR="00E73B82">
        <w:t xml:space="preserve">e propose to introduce a status-based rule that determines that the entity assigned as </w:t>
      </w:r>
      <w:r w:rsidR="005076C7">
        <w:t>UTI generator</w:t>
      </w:r>
      <w:r w:rsidR="00E73B82">
        <w:t xml:space="preserve"> in </w:t>
      </w:r>
      <w:r w:rsidR="006D50C6">
        <w:t xml:space="preserve">such </w:t>
      </w:r>
      <w:r w:rsidR="00E73B82">
        <w:t xml:space="preserve">a transaction </w:t>
      </w:r>
      <w:r w:rsidR="006D50C6">
        <w:t xml:space="preserve">is the ASIC </w:t>
      </w:r>
      <w:r w:rsidR="008146DB">
        <w:t>r</w:t>
      </w:r>
      <w:r w:rsidR="006D50C6">
        <w:t xml:space="preserve">eporting </w:t>
      </w:r>
      <w:r w:rsidR="008146DB">
        <w:t>e</w:t>
      </w:r>
      <w:r w:rsidR="006D50C6">
        <w:t>ntity with the obligation to report the transaction</w:t>
      </w:r>
      <w:r w:rsidR="008146DB">
        <w:t>.</w:t>
      </w:r>
    </w:p>
    <w:p w14:paraId="0C7CBC3F" w14:textId="4285A8AD" w:rsidR="00E73B82" w:rsidRDefault="00E73B82" w:rsidP="00136CC5">
      <w:pPr>
        <w:pStyle w:val="BodyText"/>
        <w:spacing w:line="290" w:lineRule="atLeast"/>
      </w:pPr>
      <w:r>
        <w:lastRenderedPageBreak/>
        <w:t>Note that, in a transaction between two end users, neither entity has a reporting obligation and a UTI is not required.</w:t>
      </w:r>
    </w:p>
    <w:p w14:paraId="7BA833E5" w14:textId="77777777" w:rsidR="008146DB" w:rsidRDefault="00967965" w:rsidP="00136CC5">
      <w:pPr>
        <w:pStyle w:val="BodyText"/>
        <w:spacing w:line="290" w:lineRule="atLeast"/>
      </w:pPr>
      <w:bookmarkStart w:id="59" w:name="_ASICRef986"/>
      <w:r>
        <w:t>I</w:t>
      </w:r>
      <w:r w:rsidR="00E73B82">
        <w:t xml:space="preserve">n a transaction between two entities </w:t>
      </w:r>
      <w:r w:rsidR="003C3708">
        <w:t xml:space="preserve">who </w:t>
      </w:r>
      <w:r>
        <w:t>would</w:t>
      </w:r>
      <w:r w:rsidR="003C3708">
        <w:t xml:space="preserve"> each be a small-scale, single-sided reporting entity</w:t>
      </w:r>
      <w:r w:rsidR="008146DB">
        <w:t>, then either:</w:t>
      </w:r>
      <w:bookmarkEnd w:id="59"/>
    </w:p>
    <w:p w14:paraId="0329700E" w14:textId="2778F04C" w:rsidR="008146DB" w:rsidRDefault="008146DB" w:rsidP="00136CC5">
      <w:pPr>
        <w:pStyle w:val="subparaa"/>
        <w:spacing w:line="290" w:lineRule="atLeast"/>
      </w:pPr>
      <w:r>
        <w:t>one of the entities represents to the other entity that it is a reporting entity that will report the transaction information in accordance with the ASIC Rules and the other entity is not required to report; or</w:t>
      </w:r>
    </w:p>
    <w:p w14:paraId="67BC8939" w14:textId="6C798738" w:rsidR="008146DB" w:rsidRDefault="008146DB" w:rsidP="00136CC5">
      <w:pPr>
        <w:pStyle w:val="Note"/>
        <w:spacing w:line="230" w:lineRule="atLeast"/>
      </w:pPr>
      <w:bookmarkStart w:id="60" w:name="_Hlk56344180"/>
      <w:r>
        <w:t xml:space="preserve">Note: </w:t>
      </w:r>
      <w:r w:rsidR="00664968">
        <w:t>T</w:t>
      </w:r>
      <w:r>
        <w:t>he other entity</w:t>
      </w:r>
      <w:r w:rsidR="00664968">
        <w:t xml:space="preserve"> must</w:t>
      </w:r>
      <w:r>
        <w:t xml:space="preserve"> make regular </w:t>
      </w:r>
      <w:r w:rsidR="00664968">
        <w:t xml:space="preserve">inquiries </w:t>
      </w:r>
      <w:r>
        <w:t xml:space="preserve">reasonably designed to determine whether the representation is correct, and </w:t>
      </w:r>
      <w:r w:rsidR="00664968">
        <w:t xml:space="preserve">have </w:t>
      </w:r>
      <w:r>
        <w:t>no reason to suspect that the representation is incorrect.</w:t>
      </w:r>
      <w:bookmarkEnd w:id="60"/>
    </w:p>
    <w:p w14:paraId="09BD9D51" w14:textId="23B4FB2C" w:rsidR="000B6420" w:rsidRDefault="008146DB" w:rsidP="00136CC5">
      <w:pPr>
        <w:pStyle w:val="subparaa"/>
        <w:spacing w:line="290" w:lineRule="atLeast"/>
      </w:pPr>
      <w:r>
        <w:t xml:space="preserve">both entities </w:t>
      </w:r>
      <w:r w:rsidR="00967965">
        <w:t>are required to</w:t>
      </w:r>
      <w:r w:rsidR="003C3708">
        <w:t xml:space="preserve"> report the transaction and the </w:t>
      </w:r>
      <w:r w:rsidR="005076C7">
        <w:t>UTI generator</w:t>
      </w:r>
      <w:r w:rsidR="003C3708">
        <w:t xml:space="preserve"> will be determined as </w:t>
      </w:r>
      <w:r w:rsidR="000E4B5F">
        <w:t>set out</w:t>
      </w:r>
      <w:r w:rsidR="004D2BE8">
        <w:t xml:space="preserve"> in paragraphs </w:t>
      </w:r>
      <w:r w:rsidR="004D2BE8">
        <w:fldChar w:fldCharType="begin"/>
      </w:r>
      <w:r w:rsidR="004D2BE8">
        <w:instrText xml:space="preserve"> REF _ASICRef622 \w \h </w:instrText>
      </w:r>
      <w:r w:rsidR="004D2BE8">
        <w:fldChar w:fldCharType="separate"/>
      </w:r>
      <w:r w:rsidR="00314C7E">
        <w:t>83</w:t>
      </w:r>
      <w:r w:rsidR="004D2BE8">
        <w:fldChar w:fldCharType="end"/>
      </w:r>
      <w:r w:rsidR="004D2BE8">
        <w:t>–</w:t>
      </w:r>
      <w:r w:rsidR="004D2BE8">
        <w:fldChar w:fldCharType="begin"/>
      </w:r>
      <w:r w:rsidR="004D2BE8">
        <w:instrText xml:space="preserve"> REF _ASICRef647 \w \h </w:instrText>
      </w:r>
      <w:r w:rsidR="004D2BE8">
        <w:fldChar w:fldCharType="separate"/>
      </w:r>
      <w:r w:rsidR="00314C7E">
        <w:t>98</w:t>
      </w:r>
      <w:r w:rsidR="004D2BE8">
        <w:fldChar w:fldCharType="end"/>
      </w:r>
      <w:r w:rsidR="004D2BE8">
        <w:t>.</w:t>
      </w:r>
    </w:p>
    <w:p w14:paraId="27F55075" w14:textId="4F0A54FE" w:rsidR="008146DB" w:rsidRDefault="008146DB" w:rsidP="00136CC5">
      <w:pPr>
        <w:pStyle w:val="BodyText"/>
        <w:spacing w:line="290" w:lineRule="atLeast"/>
      </w:pPr>
      <w:r>
        <w:t>Subdivision 2.1B of Pt 7.5A of the Corporations Regulations also provides an exemption from the ASIC Rules reporting requirements for a derivative transaction of a small-scale, single-sided ASIC reporting entity where the entity’s counterparty is a foreign entity:</w:t>
      </w:r>
    </w:p>
    <w:p w14:paraId="091C50DB" w14:textId="77777777" w:rsidR="008146DB" w:rsidRDefault="008146DB" w:rsidP="00136CC5">
      <w:pPr>
        <w:pStyle w:val="subparaa"/>
        <w:spacing w:line="290" w:lineRule="atLeast"/>
      </w:pPr>
      <w:r>
        <w:t>subject to reporting requirements in one or more foreign jurisdictions (alternative reporting requirements) who will report the transaction to an ASIC-prescribed trade repository; or</w:t>
      </w:r>
    </w:p>
    <w:p w14:paraId="1E568574" w14:textId="32ED27B3" w:rsidR="008146DB" w:rsidRDefault="008146DB" w:rsidP="00136CC5">
      <w:pPr>
        <w:pStyle w:val="subparaa"/>
        <w:spacing w:line="290" w:lineRule="atLeast"/>
      </w:pPr>
      <w:r>
        <w:t>that will report the transaction to an ASIC-licensed trade repository.</w:t>
      </w:r>
    </w:p>
    <w:p w14:paraId="4F18DF82" w14:textId="794648CC" w:rsidR="00DC1C0E" w:rsidRPr="00DC1C0E" w:rsidRDefault="00DC1C0E" w:rsidP="00136CC5">
      <w:pPr>
        <w:pStyle w:val="Note"/>
        <w:spacing w:line="230" w:lineRule="atLeast"/>
      </w:pPr>
      <w:r w:rsidRPr="00DC1C0E">
        <w:t xml:space="preserve">Note: The </w:t>
      </w:r>
      <w:r w:rsidR="009155A5">
        <w:t xml:space="preserve">small-scale, single-sided ASIC reporting entity </w:t>
      </w:r>
      <w:r w:rsidRPr="00DC1C0E">
        <w:t>must make regular inquiries reasonably designed to determine whether the representation is correct, and have no reason to suspect that the representation is incorrect.</w:t>
      </w:r>
    </w:p>
    <w:p w14:paraId="784A66D7" w14:textId="6341D09C" w:rsidR="008146DB" w:rsidRDefault="008146DB" w:rsidP="00136CC5">
      <w:pPr>
        <w:pStyle w:val="BodyText"/>
        <w:spacing w:line="290" w:lineRule="atLeast"/>
      </w:pPr>
      <w:r>
        <w:t xml:space="preserve">We </w:t>
      </w:r>
      <w:r w:rsidR="009C1E8B">
        <w:t>consider</w:t>
      </w:r>
      <w:r>
        <w:t xml:space="preserve"> these types of transactions should be treated, for the purposes of </w:t>
      </w:r>
      <w:r w:rsidR="005076C7">
        <w:t>UTI generator</w:t>
      </w:r>
      <w:r>
        <w:t xml:space="preserve"> rules, as transactions in the jurisdiction of the sole counterparty with the reporting obligation and the </w:t>
      </w:r>
      <w:r w:rsidR="005076C7">
        <w:t>UTI generator</w:t>
      </w:r>
      <w:r>
        <w:t xml:space="preserve"> determined under the rules of that jurisdiction.</w:t>
      </w:r>
    </w:p>
    <w:p w14:paraId="0CF7167E" w14:textId="5EACD117" w:rsidR="00523BEE" w:rsidRDefault="00523BEE" w:rsidP="00C40082">
      <w:pPr>
        <w:pStyle w:val="Heading3"/>
      </w:pPr>
      <w:r>
        <w:t>Step 5 where both counterparties have reporting obligations</w:t>
      </w:r>
    </w:p>
    <w:p w14:paraId="20663B21" w14:textId="03891A75" w:rsidR="00523BEE" w:rsidRDefault="00523BEE" w:rsidP="00523BEE">
      <w:pPr>
        <w:pStyle w:val="BodyText"/>
      </w:pPr>
      <w:bookmarkStart w:id="61" w:name="_ASICRef622"/>
      <w:r>
        <w:t>Where both counterparties have ASIC reporting obligations</w:t>
      </w:r>
      <w:r w:rsidR="00B908D7">
        <w:t xml:space="preserve">, the UTI </w:t>
      </w:r>
      <w:r w:rsidR="0022679B">
        <w:t>Guidance</w:t>
      </w:r>
      <w:r w:rsidR="00B908D7">
        <w:t xml:space="preserve"> first points</w:t>
      </w:r>
      <w:r w:rsidR="00714583" w:rsidRPr="004E304A">
        <w:t>—</w:t>
      </w:r>
      <w:r w:rsidR="00226AAE">
        <w:t xml:space="preserve">at </w:t>
      </w:r>
      <w:r w:rsidR="00B3425A">
        <w:t xml:space="preserve">step </w:t>
      </w:r>
      <w:r w:rsidR="00226AAE">
        <w:t>6</w:t>
      </w:r>
      <w:r w:rsidR="00714583" w:rsidRPr="009F30AD">
        <w:t>—</w:t>
      </w:r>
      <w:r w:rsidR="00B908D7">
        <w:t xml:space="preserve">to the </w:t>
      </w:r>
      <w:r w:rsidR="00402C33">
        <w:t>confirmation platform</w:t>
      </w:r>
      <w:r w:rsidR="00B908D7">
        <w:t xml:space="preserve"> as the </w:t>
      </w:r>
      <w:r w:rsidR="005076C7">
        <w:t>UTI generator</w:t>
      </w:r>
      <w:r w:rsidR="00B908D7">
        <w:t xml:space="preserve"> where the </w:t>
      </w:r>
      <w:r w:rsidR="00402C33">
        <w:t>confirmation platform</w:t>
      </w:r>
      <w:r w:rsidR="00B908D7">
        <w:t xml:space="preserve"> is </w:t>
      </w:r>
      <w:r w:rsidR="00714583">
        <w:t>‘</w:t>
      </w:r>
      <w:r w:rsidR="00B908D7" w:rsidRPr="00B908D7">
        <w:t>able, willing and permitted to generate a UTI</w:t>
      </w:r>
      <w:r w:rsidR="00714583">
        <w:t>’</w:t>
      </w:r>
      <w:r w:rsidR="00B908D7">
        <w:t>.</w:t>
      </w:r>
      <w:bookmarkEnd w:id="61"/>
    </w:p>
    <w:p w14:paraId="1E96F8A9" w14:textId="38F19AFF" w:rsidR="00B908D7" w:rsidRDefault="00B908D7" w:rsidP="00B908D7">
      <w:pPr>
        <w:pStyle w:val="BodyText"/>
      </w:pPr>
      <w:r>
        <w:t xml:space="preserve">The condition of </w:t>
      </w:r>
      <w:r w:rsidR="00714583">
        <w:t>being ‘</w:t>
      </w:r>
      <w:r w:rsidRPr="00B908D7">
        <w:t>able, willing and permitted to generate a UTI</w:t>
      </w:r>
      <w:r w:rsidR="00714583">
        <w:t>’</w:t>
      </w:r>
      <w:r>
        <w:t xml:space="preserve"> recognises that </w:t>
      </w:r>
      <w:r w:rsidR="00402C33">
        <w:t>confirmation platform</w:t>
      </w:r>
      <w:r>
        <w:t xml:space="preserve">s are not ASIC </w:t>
      </w:r>
      <w:r w:rsidR="00714583">
        <w:t xml:space="preserve">reporting entities </w:t>
      </w:r>
      <w:r>
        <w:t>or reporting entities in other jurisdictions and are not otherwise regulated by ASIC or, generally, by authorities in other jurisdictions.</w:t>
      </w:r>
      <w:r w:rsidR="00226AAE">
        <w:t xml:space="preserve"> Generally, there are no existing legislative powers by which an obligation to generate a UTI can be imposed on a </w:t>
      </w:r>
      <w:r w:rsidR="00402C33">
        <w:t>confirmation platform</w:t>
      </w:r>
      <w:r w:rsidR="00226AAE">
        <w:t>.</w:t>
      </w:r>
    </w:p>
    <w:p w14:paraId="1EB2340C" w14:textId="6236942C" w:rsidR="00B908D7" w:rsidRDefault="00714583" w:rsidP="007F0A15">
      <w:pPr>
        <w:pStyle w:val="BodyText"/>
        <w:spacing w:line="290" w:lineRule="atLeast"/>
      </w:pPr>
      <w:r>
        <w:lastRenderedPageBreak/>
        <w:t>C</w:t>
      </w:r>
      <w:r w:rsidR="00402C33">
        <w:t>onfirmation platform</w:t>
      </w:r>
      <w:r w:rsidR="006B12DB">
        <w:t xml:space="preserve">s do currently generate transaction identifiers and market conventions and client services imperatives will likely be factors in </w:t>
      </w:r>
      <w:r w:rsidR="00402C33">
        <w:t>confirmation platform</w:t>
      </w:r>
      <w:r w:rsidR="006B12DB">
        <w:t>s’ decisions to be able and willing to generate a UTI.</w:t>
      </w:r>
    </w:p>
    <w:p w14:paraId="541CD4C1" w14:textId="3DC8B237" w:rsidR="00B908D7" w:rsidRDefault="006B12DB" w:rsidP="007F0A15">
      <w:pPr>
        <w:pStyle w:val="BodyText"/>
        <w:spacing w:line="290" w:lineRule="atLeast"/>
      </w:pPr>
      <w:r>
        <w:t xml:space="preserve">If a </w:t>
      </w:r>
      <w:r w:rsidR="00402C33">
        <w:t>confirmation platform</w:t>
      </w:r>
      <w:r>
        <w:t xml:space="preserve"> is not a</w:t>
      </w:r>
      <w:r w:rsidR="00D57E06">
        <w:t>ble, willing and permitted to generate a UTI, the UTI Guidance points to</w:t>
      </w:r>
      <w:r w:rsidR="00714583" w:rsidRPr="009F30AD">
        <w:t>—</w:t>
      </w:r>
      <w:r w:rsidR="00D57E06">
        <w:t xml:space="preserve">at </w:t>
      </w:r>
      <w:r w:rsidR="00B3425A">
        <w:t xml:space="preserve">steps </w:t>
      </w:r>
      <w:r w:rsidR="00D57E06">
        <w:t>7 to 9</w:t>
      </w:r>
      <w:r w:rsidR="00714583" w:rsidRPr="009F30AD">
        <w:t>—</w:t>
      </w:r>
      <w:r w:rsidR="00D57E06">
        <w:t xml:space="preserve">the jurisdiction’s rules taking a status-based approach to determining the </w:t>
      </w:r>
      <w:r w:rsidR="005076C7">
        <w:t>UTI generator</w:t>
      </w:r>
      <w:r w:rsidR="00D57E06">
        <w:t>.</w:t>
      </w:r>
    </w:p>
    <w:p w14:paraId="1601B760" w14:textId="3F1F908F" w:rsidR="00833D63" w:rsidRDefault="007676E8" w:rsidP="007F0A15">
      <w:pPr>
        <w:pStyle w:val="BodyText"/>
        <w:spacing w:line="290" w:lineRule="atLeast"/>
      </w:pPr>
      <w:r>
        <w:t>A status-based approach is, broadly, that different types of reporting entities can be identified</w:t>
      </w:r>
      <w:r w:rsidR="00714583" w:rsidRPr="009F30AD">
        <w:t>—</w:t>
      </w:r>
      <w:r>
        <w:t>such as ‘</w:t>
      </w:r>
      <w:r w:rsidR="00AB200D">
        <w:t xml:space="preserve">dealer’ </w:t>
      </w:r>
      <w:r w:rsidR="00714583">
        <w:t xml:space="preserve">versus </w:t>
      </w:r>
      <w:r>
        <w:t>‘</w:t>
      </w:r>
      <w:r w:rsidR="00AB200D">
        <w:t xml:space="preserve">client’ </w:t>
      </w:r>
      <w:r>
        <w:t>or ‘</w:t>
      </w:r>
      <w:r w:rsidR="00AB200D">
        <w:t xml:space="preserve">major dealer’ </w:t>
      </w:r>
      <w:r w:rsidR="00714583">
        <w:t xml:space="preserve">versus </w:t>
      </w:r>
      <w:r>
        <w:t>‘non-</w:t>
      </w:r>
      <w:r w:rsidR="00AB200D">
        <w:t>major dealer’</w:t>
      </w:r>
      <w:r w:rsidR="00714583" w:rsidRPr="009F30AD">
        <w:t>—</w:t>
      </w:r>
      <w:r>
        <w:t xml:space="preserve">and </w:t>
      </w:r>
      <w:r w:rsidR="00E50A26">
        <w:t>that, in transactions between counterparties of different type</w:t>
      </w:r>
      <w:r w:rsidR="00AB200D">
        <w:t>s</w:t>
      </w:r>
      <w:r w:rsidR="00E50A26">
        <w:t xml:space="preserve"> or status, </w:t>
      </w:r>
      <w:r w:rsidR="005076C7">
        <w:t>UTI generator</w:t>
      </w:r>
      <w:r w:rsidR="00E50A26">
        <w:t xml:space="preserve"> obligations are imposed on </w:t>
      </w:r>
      <w:r w:rsidR="00833D63">
        <w:t xml:space="preserve">one </w:t>
      </w:r>
      <w:r w:rsidR="00E50A26">
        <w:t>type</w:t>
      </w:r>
      <w:r w:rsidR="00833D63">
        <w:t xml:space="preserve"> in priority to the other type.</w:t>
      </w:r>
    </w:p>
    <w:p w14:paraId="313CE8A5" w14:textId="41821A98" w:rsidR="00D57E06" w:rsidRDefault="0028420D" w:rsidP="007F0A15">
      <w:pPr>
        <w:pStyle w:val="BodyText"/>
        <w:spacing w:line="290" w:lineRule="atLeast"/>
      </w:pPr>
      <w:r>
        <w:t>Status-based approaches are apparent in other jurisdictions’ current and/or proposed UTI rules</w:t>
      </w:r>
      <w:r w:rsidR="00AB200D">
        <w:t>:</w:t>
      </w:r>
    </w:p>
    <w:p w14:paraId="0A13EC4F" w14:textId="38F9819C" w:rsidR="0028420D" w:rsidRDefault="00AB200D" w:rsidP="007F0A15">
      <w:pPr>
        <w:pStyle w:val="subparaa"/>
        <w:spacing w:line="290" w:lineRule="atLeast"/>
      </w:pPr>
      <w:r>
        <w:t xml:space="preserve">the </w:t>
      </w:r>
      <w:r w:rsidR="001F1F4B">
        <w:t xml:space="preserve">final </w:t>
      </w:r>
      <w:r w:rsidR="0028420D">
        <w:t xml:space="preserve">CFTC status-based UTI rules provide that the </w:t>
      </w:r>
      <w:r w:rsidR="005076C7">
        <w:t>UTI generator</w:t>
      </w:r>
      <w:r w:rsidR="0028420D">
        <w:t xml:space="preserve"> is determined from a waterfall of </w:t>
      </w:r>
      <w:r>
        <w:t>swap dealer</w:t>
      </w:r>
      <w:r w:rsidR="0028420D">
        <w:t xml:space="preserve">, </w:t>
      </w:r>
      <w:r>
        <w:t xml:space="preserve">major swap participant </w:t>
      </w:r>
      <w:r w:rsidR="0028420D">
        <w:t>and financial entity;</w:t>
      </w:r>
    </w:p>
    <w:p w14:paraId="19B846B4" w14:textId="56EE1856" w:rsidR="0028420D" w:rsidRDefault="0028420D" w:rsidP="007F0A15">
      <w:pPr>
        <w:pStyle w:val="subparaa"/>
        <w:spacing w:line="290" w:lineRule="atLeast"/>
      </w:pPr>
      <w:r>
        <w:t>ESMA’</w:t>
      </w:r>
      <w:r w:rsidR="001109B7">
        <w:t>s</w:t>
      </w:r>
      <w:r w:rsidRPr="0028420D">
        <w:t xml:space="preserve"> </w:t>
      </w:r>
      <w:r>
        <w:t xml:space="preserve">proposed status-based UTI rules provide that the </w:t>
      </w:r>
      <w:r w:rsidR="005076C7">
        <w:t>UTI generator</w:t>
      </w:r>
      <w:r>
        <w:t xml:space="preserve"> is determined from a waterfall of </w:t>
      </w:r>
      <w:r w:rsidR="00AB200D">
        <w:t>financial counterparty</w:t>
      </w:r>
      <w:r>
        <w:t xml:space="preserve">, </w:t>
      </w:r>
      <w:r w:rsidR="00AB200D">
        <w:t>non</w:t>
      </w:r>
      <w:r>
        <w:t>-</w:t>
      </w:r>
      <w:r w:rsidR="00AB200D">
        <w:t xml:space="preserve">financial counterparty </w:t>
      </w:r>
      <w:r>
        <w:t xml:space="preserve">(subject to a clearing obligation) and </w:t>
      </w:r>
      <w:proofErr w:type="gramStart"/>
      <w:r>
        <w:t>other</w:t>
      </w:r>
      <w:proofErr w:type="gramEnd"/>
      <w:r>
        <w:t xml:space="preserve"> </w:t>
      </w:r>
      <w:r w:rsidR="004015F7">
        <w:t>non</w:t>
      </w:r>
      <w:r>
        <w:t>-</w:t>
      </w:r>
      <w:r w:rsidR="004015F7">
        <w:t>financial counterparty</w:t>
      </w:r>
      <w:r w:rsidR="00996F00">
        <w:t>.</w:t>
      </w:r>
    </w:p>
    <w:p w14:paraId="482CC8D4" w14:textId="2ABFE0CB" w:rsidR="00604627" w:rsidRDefault="001042F5" w:rsidP="007F0A15">
      <w:pPr>
        <w:pStyle w:val="BodyText"/>
        <w:spacing w:line="290" w:lineRule="atLeast"/>
      </w:pPr>
      <w:r>
        <w:t>Australian</w:t>
      </w:r>
      <w:r w:rsidR="00147C5B">
        <w:t xml:space="preserve"> financial services laws </w:t>
      </w:r>
      <w:r>
        <w:t xml:space="preserve">do not ordinarily classify ASIC </w:t>
      </w:r>
      <w:r w:rsidR="004015F7">
        <w:t xml:space="preserve">reporting entities </w:t>
      </w:r>
      <w:r>
        <w:t xml:space="preserve">in a way that is equivalent to US </w:t>
      </w:r>
      <w:r w:rsidR="004015F7">
        <w:t xml:space="preserve">swap dealers </w:t>
      </w:r>
      <w:r w:rsidR="00604627">
        <w:t xml:space="preserve">or </w:t>
      </w:r>
      <w:r w:rsidR="004015F7">
        <w:t>major swap participants</w:t>
      </w:r>
      <w:r w:rsidR="00604627">
        <w:t>. Consequently, we consider there is little merit in introducing entity classifications that seek to mirror the US status-based approach.</w:t>
      </w:r>
    </w:p>
    <w:p w14:paraId="34201E9D" w14:textId="26EFE58E" w:rsidR="00D30D51" w:rsidRDefault="00604627" w:rsidP="007F0A15">
      <w:pPr>
        <w:pStyle w:val="BodyText"/>
        <w:spacing w:line="290" w:lineRule="atLeast"/>
      </w:pPr>
      <w:r>
        <w:t>However, o</w:t>
      </w:r>
      <w:r w:rsidR="00832640">
        <w:t xml:space="preserve">ther than CCP reporting entities, all ASIC </w:t>
      </w:r>
      <w:r w:rsidR="004015F7">
        <w:t xml:space="preserve">reporting entities </w:t>
      </w:r>
      <w:r w:rsidR="00832640">
        <w:t xml:space="preserve">are essentially equivalent to an EU </w:t>
      </w:r>
      <w:r w:rsidR="004015F7">
        <w:t xml:space="preserve">financial counterparty </w:t>
      </w:r>
      <w:r w:rsidR="00832640">
        <w:t>and</w:t>
      </w:r>
      <w:r w:rsidR="00736E6A">
        <w:t xml:space="preserve"> we think that effective and efficient </w:t>
      </w:r>
      <w:r w:rsidR="0022679B">
        <w:t>UTI</w:t>
      </w:r>
      <w:r w:rsidR="00736E6A">
        <w:t xml:space="preserve"> rules </w:t>
      </w:r>
      <w:r w:rsidR="0022679B">
        <w:t xml:space="preserve">within the </w:t>
      </w:r>
      <w:r w:rsidR="00736E6A">
        <w:t xml:space="preserve">ASIC </w:t>
      </w:r>
      <w:r w:rsidR="0022679B">
        <w:t>R</w:t>
      </w:r>
      <w:r w:rsidR="00736E6A">
        <w:t>ules do not require any further sub-categorisation</w:t>
      </w:r>
      <w:r w:rsidR="00832640">
        <w:t xml:space="preserve">. This </w:t>
      </w:r>
      <w:r w:rsidR="009256CE">
        <w:t xml:space="preserve">aligns with ESMA’s approach of not distinguishing between </w:t>
      </w:r>
      <w:r w:rsidR="004015F7">
        <w:t xml:space="preserve">financial counterparties </w:t>
      </w:r>
      <w:r w:rsidR="009256CE">
        <w:t>of different types.</w:t>
      </w:r>
      <w:r w:rsidR="00814C85">
        <w:t xml:space="preserve"> This would also mean that the ASIC Rules would not introduce another </w:t>
      </w:r>
      <w:r w:rsidR="00832640">
        <w:t>jurisdictionally unique</w:t>
      </w:r>
      <w:r w:rsidR="00814C85">
        <w:t xml:space="preserve"> status-based approach.</w:t>
      </w:r>
    </w:p>
    <w:p w14:paraId="0F87F771" w14:textId="10B83291" w:rsidR="0016768F" w:rsidRDefault="0016768F" w:rsidP="007F0A15">
      <w:pPr>
        <w:pStyle w:val="BodyText"/>
        <w:spacing w:line="290" w:lineRule="atLeast"/>
      </w:pPr>
      <w:r>
        <w:t xml:space="preserve">ESMA’s proposed UTI rules for same-status </w:t>
      </w:r>
      <w:r w:rsidR="004015F7">
        <w:t xml:space="preserve">financial counterparties </w:t>
      </w:r>
      <w:r>
        <w:t>proposed two options for consultation feedback:</w:t>
      </w:r>
    </w:p>
    <w:p w14:paraId="084BD84C" w14:textId="5769B08C" w:rsidR="00FF1747" w:rsidRDefault="002D1ACC" w:rsidP="007F0A15">
      <w:pPr>
        <w:pStyle w:val="subparaa"/>
        <w:spacing w:line="290" w:lineRule="atLeast"/>
      </w:pPr>
      <w:r>
        <w:t xml:space="preserve">option </w:t>
      </w:r>
      <w:r w:rsidR="0016768F">
        <w:t xml:space="preserve">1 would be a tie-breaker for </w:t>
      </w:r>
      <w:r w:rsidR="005076C7">
        <w:t>UTI generator</w:t>
      </w:r>
      <w:r w:rsidR="0016768F">
        <w:t xml:space="preserve"> being the </w:t>
      </w:r>
      <w:r w:rsidR="00FF1747">
        <w:t xml:space="preserve">entity that is </w:t>
      </w:r>
      <w:r w:rsidR="0016768F">
        <w:t>the ‘seller’ or the ‘payer of leg 1’in the transaction,</w:t>
      </w:r>
      <w:r w:rsidR="00B25078">
        <w:t xml:space="preserve"> </w:t>
      </w:r>
      <w:r w:rsidR="0016768F">
        <w:t>where ‘seller’ is used for transactions of a type that ha</w:t>
      </w:r>
      <w:r w:rsidR="00315409">
        <w:t>ve</w:t>
      </w:r>
      <w:r w:rsidR="0016768F">
        <w:t xml:space="preserve"> a clear buyer </w:t>
      </w:r>
      <w:r w:rsidR="00315409">
        <w:t xml:space="preserve">and </w:t>
      </w:r>
      <w:r w:rsidR="0016768F">
        <w:t>seller and ‘payer of leg 1’ is used in all other cases;</w:t>
      </w:r>
    </w:p>
    <w:p w14:paraId="72581362" w14:textId="0CA6D4D0" w:rsidR="0016768F" w:rsidRDefault="002D1ACC" w:rsidP="007F0A15">
      <w:pPr>
        <w:pStyle w:val="subparaa"/>
        <w:spacing w:line="290" w:lineRule="atLeast"/>
      </w:pPr>
      <w:r>
        <w:t xml:space="preserve">option </w:t>
      </w:r>
      <w:r w:rsidR="0016768F">
        <w:t xml:space="preserve">2 would exclude a </w:t>
      </w:r>
      <w:r w:rsidR="00317745">
        <w:t>tie</w:t>
      </w:r>
      <w:r w:rsidR="00315409">
        <w:t>-</w:t>
      </w:r>
      <w:r w:rsidR="00317745">
        <w:t>breaker</w:t>
      </w:r>
      <w:r w:rsidR="0016768F">
        <w:t xml:space="preserve"> and </w:t>
      </w:r>
      <w:r w:rsidR="00653F4F">
        <w:t xml:space="preserve">rely on the </w:t>
      </w:r>
      <w:r w:rsidR="005076C7">
        <w:t>UTI generator</w:t>
      </w:r>
      <w:r w:rsidR="00653F4F">
        <w:t xml:space="preserve"> being determined by agreement between the counterparties,</w:t>
      </w:r>
      <w:r w:rsidR="00B25078">
        <w:t xml:space="preserve"> </w:t>
      </w:r>
      <w:r w:rsidR="00315409">
        <w:t xml:space="preserve">or </w:t>
      </w:r>
      <w:r w:rsidR="00B25078">
        <w:t>else</w:t>
      </w:r>
      <w:r w:rsidR="00653F4F">
        <w:t xml:space="preserve"> the </w:t>
      </w:r>
      <w:r w:rsidR="00B25078">
        <w:t xml:space="preserve">counterparty whose reversed LEI is higher-ranked when sorted </w:t>
      </w:r>
      <w:r w:rsidR="00653F4F">
        <w:t xml:space="preserve">with </w:t>
      </w:r>
      <w:r w:rsidR="00B25078">
        <w:t>the other counterparty’s reversed LEI.</w:t>
      </w:r>
    </w:p>
    <w:p w14:paraId="3FC6EADF" w14:textId="1326F597" w:rsidR="00E8186B" w:rsidRDefault="00814C85" w:rsidP="00814C85">
      <w:pPr>
        <w:pStyle w:val="BodyText"/>
      </w:pPr>
      <w:r>
        <w:lastRenderedPageBreak/>
        <w:t xml:space="preserve">We consider there are benefits for industry in aligning the ASIC </w:t>
      </w:r>
      <w:r w:rsidR="005076C7">
        <w:t>UTI generator</w:t>
      </w:r>
      <w:r>
        <w:t xml:space="preserve"> rules for </w:t>
      </w:r>
      <w:r w:rsidR="009822AC">
        <w:t xml:space="preserve">single-jurisdictional </w:t>
      </w:r>
      <w:r w:rsidR="00315409">
        <w:t xml:space="preserve">transactions </w:t>
      </w:r>
      <w:r>
        <w:t xml:space="preserve">with the </w:t>
      </w:r>
      <w:r w:rsidR="005076C7">
        <w:t>UTI generator</w:t>
      </w:r>
      <w:r>
        <w:t xml:space="preserve"> rules for </w:t>
      </w:r>
      <w:r w:rsidR="009822AC">
        <w:t xml:space="preserve">single-jurisdictional </w:t>
      </w:r>
      <w:r w:rsidR="00315409">
        <w:t xml:space="preserve">transactions </w:t>
      </w:r>
      <w:r>
        <w:t>in other jurisdictions.</w:t>
      </w:r>
      <w:r w:rsidR="00E8186B">
        <w:t xml:space="preserve"> </w:t>
      </w:r>
    </w:p>
    <w:p w14:paraId="3B310D0F" w14:textId="02BA49BF" w:rsidR="00D20C2A" w:rsidRDefault="00E8186B" w:rsidP="00814C85">
      <w:pPr>
        <w:pStyle w:val="BodyText"/>
      </w:pPr>
      <w:r>
        <w:t xml:space="preserve">This is because, for a </w:t>
      </w:r>
      <w:r w:rsidR="00315409">
        <w:t>cross</w:t>
      </w:r>
      <w:r>
        <w:t xml:space="preserve">-jurisdictional </w:t>
      </w:r>
      <w:r w:rsidR="00315409">
        <w:t>transaction</w:t>
      </w:r>
      <w:r>
        <w:t xml:space="preserve">, following the </w:t>
      </w:r>
      <w:r w:rsidR="005076C7">
        <w:t>UTI generator</w:t>
      </w:r>
      <w:r>
        <w:t xml:space="preserve"> rules of the jurisdiction with the sooner reporting deadline would generally mean following the </w:t>
      </w:r>
      <w:r w:rsidR="005076C7">
        <w:t>UTI generator</w:t>
      </w:r>
      <w:r>
        <w:t xml:space="preserve"> rules for a </w:t>
      </w:r>
      <w:r w:rsidR="009822AC">
        <w:t xml:space="preserve">single-jurisdictional </w:t>
      </w:r>
      <w:r w:rsidR="00315409">
        <w:t xml:space="preserve">transaction </w:t>
      </w:r>
      <w:r>
        <w:t>in that jurisdiction.</w:t>
      </w:r>
    </w:p>
    <w:p w14:paraId="67C554AD" w14:textId="28708BB3" w:rsidR="00814C85" w:rsidRDefault="00D20C2A" w:rsidP="00814C85">
      <w:pPr>
        <w:pStyle w:val="BodyText"/>
      </w:pPr>
      <w:r>
        <w:t xml:space="preserve">An ASIC </w:t>
      </w:r>
      <w:r w:rsidR="009E0748">
        <w:t>reporting entity</w:t>
      </w:r>
      <w:r>
        <w:t xml:space="preserve"> would then be able to have an internal </w:t>
      </w:r>
      <w:r w:rsidR="005076C7">
        <w:t>UTI generator</w:t>
      </w:r>
      <w:r>
        <w:t xml:space="preserve"> determination logic that is common </w:t>
      </w:r>
      <w:r w:rsidR="00B177F6">
        <w:t>for</w:t>
      </w:r>
      <w:r>
        <w:t xml:space="preserve"> its </w:t>
      </w:r>
      <w:r w:rsidR="009822AC">
        <w:t xml:space="preserve">single-jurisdictional </w:t>
      </w:r>
      <w:r w:rsidR="00315409">
        <w:t xml:space="preserve">transactions </w:t>
      </w:r>
      <w:r>
        <w:t xml:space="preserve">and its </w:t>
      </w:r>
      <w:r w:rsidR="00315409">
        <w:t>cross</w:t>
      </w:r>
      <w:r>
        <w:t xml:space="preserve">-jurisdictional </w:t>
      </w:r>
      <w:r w:rsidR="00315409">
        <w:t>transactions</w:t>
      </w:r>
      <w:r>
        <w:t xml:space="preserve">, where this is also the same determination logic used by its counterparty in a </w:t>
      </w:r>
      <w:r w:rsidR="00315409">
        <w:t>cross</w:t>
      </w:r>
      <w:r>
        <w:t xml:space="preserve">-jurisdictional </w:t>
      </w:r>
      <w:r w:rsidR="00315409">
        <w:t>transaction</w:t>
      </w:r>
      <w:r>
        <w:t>.</w:t>
      </w:r>
    </w:p>
    <w:p w14:paraId="48BD441B" w14:textId="5693CA2B" w:rsidR="00D20C2A" w:rsidRDefault="00B177F6" w:rsidP="00814C85">
      <w:pPr>
        <w:pStyle w:val="BodyText"/>
      </w:pPr>
      <w:r>
        <w:t xml:space="preserve">ESMA has not yet finalised the </w:t>
      </w:r>
      <w:r w:rsidR="005076C7">
        <w:t>UTI generator</w:t>
      </w:r>
      <w:r>
        <w:t xml:space="preserve"> rules proposed to </w:t>
      </w:r>
      <w:r w:rsidR="00315409">
        <w:t xml:space="preserve">be </w:t>
      </w:r>
      <w:r>
        <w:t xml:space="preserve">adopted in regulation by the </w:t>
      </w:r>
      <w:r w:rsidR="00670559">
        <w:t>European Union</w:t>
      </w:r>
      <w:r>
        <w:t xml:space="preserve">. In relation to </w:t>
      </w:r>
      <w:r w:rsidR="002D1ACC">
        <w:t xml:space="preserve">option </w:t>
      </w:r>
      <w:r>
        <w:t xml:space="preserve">1 and </w:t>
      </w:r>
      <w:r w:rsidR="002D1ACC">
        <w:t xml:space="preserve">option </w:t>
      </w:r>
      <w:r>
        <w:t xml:space="preserve">2, we can only identify </w:t>
      </w:r>
      <w:r w:rsidR="00013D19">
        <w:t>the International Swaps and Derivatives Association (</w:t>
      </w:r>
      <w:r>
        <w:t>ISDA</w:t>
      </w:r>
      <w:r w:rsidR="00013D19">
        <w:t>)</w:t>
      </w:r>
      <w:r>
        <w:t xml:space="preserve"> as having made a public submission on the proposed options and stating that it supported </w:t>
      </w:r>
      <w:r w:rsidR="002D1ACC">
        <w:t xml:space="preserve">option </w:t>
      </w:r>
      <w:r>
        <w:t xml:space="preserve">1. We </w:t>
      </w:r>
      <w:r w:rsidR="009C1E8B">
        <w:t>consider</w:t>
      </w:r>
      <w:r>
        <w:t xml:space="preserve"> either option is capable of being implemented as UTI rules within the ASIC Rules</w:t>
      </w:r>
      <w:r w:rsidR="0072630F">
        <w:t xml:space="preserve">, though we note that </w:t>
      </w:r>
      <w:r w:rsidR="002D1ACC">
        <w:t xml:space="preserve">option </w:t>
      </w:r>
      <w:r w:rsidR="0072630F">
        <w:t xml:space="preserve">1 would not </w:t>
      </w:r>
      <w:r w:rsidR="00116864">
        <w:t>allow</w:t>
      </w:r>
      <w:r w:rsidR="0072630F">
        <w:t xml:space="preserve"> the </w:t>
      </w:r>
      <w:r w:rsidR="005076C7">
        <w:t>UTI generator</w:t>
      </w:r>
      <w:r w:rsidR="0072630F">
        <w:t xml:space="preserve"> </w:t>
      </w:r>
      <w:r w:rsidR="00116864">
        <w:t xml:space="preserve">to </w:t>
      </w:r>
      <w:r w:rsidR="0072630F">
        <w:t>be determined by agreement between the transaction’s counterparties.</w:t>
      </w:r>
    </w:p>
    <w:p w14:paraId="68E5E889" w14:textId="27B7B8DF" w:rsidR="0072630F" w:rsidRDefault="0072630F" w:rsidP="00814C85">
      <w:pPr>
        <w:pStyle w:val="BodyText"/>
      </w:pPr>
      <w:r>
        <w:t>In principle</w:t>
      </w:r>
      <w:r w:rsidR="00B24DDC">
        <w:t xml:space="preserve">, </w:t>
      </w:r>
      <w:r w:rsidR="00171CAF">
        <w:t>subject to the final EU rules</w:t>
      </w:r>
      <w:r>
        <w:t xml:space="preserve">, we </w:t>
      </w:r>
      <w:r w:rsidR="00B24DDC">
        <w:t xml:space="preserve">currently intend to </w:t>
      </w:r>
      <w:r>
        <w:t>propose to</w:t>
      </w:r>
      <w:r w:rsidR="00B24DDC">
        <w:t xml:space="preserve"> adopt, as closely as practical, as UTI rules within the ASIC Rules an equivalent form of the EU UTI rules for same-status </w:t>
      </w:r>
      <w:r w:rsidR="00374C39">
        <w:t>financial counterparties</w:t>
      </w:r>
      <w:r w:rsidR="00B24DDC">
        <w:t>.</w:t>
      </w:r>
    </w:p>
    <w:p w14:paraId="7C33C337" w14:textId="7EBFB39A" w:rsidR="00BA1E13" w:rsidRDefault="00B25078" w:rsidP="00BA1E13">
      <w:pPr>
        <w:pStyle w:val="BodyText"/>
      </w:pPr>
      <w:bookmarkStart w:id="62" w:name="_Hlk90272931"/>
      <w:r>
        <w:t>T</w:t>
      </w:r>
      <w:r w:rsidR="00575B83">
        <w:t xml:space="preserve">he ESMA proposals </w:t>
      </w:r>
      <w:r>
        <w:t xml:space="preserve">also </w:t>
      </w:r>
      <w:r w:rsidR="00575B83">
        <w:t xml:space="preserve">include that </w:t>
      </w:r>
      <w:r w:rsidR="00B3425A">
        <w:t xml:space="preserve">step </w:t>
      </w:r>
      <w:r w:rsidR="00575B83">
        <w:t xml:space="preserve">6 </w:t>
      </w:r>
      <w:r w:rsidR="00116864">
        <w:t>‘</w:t>
      </w:r>
      <w:r w:rsidR="00575B83">
        <w:t>Confirmation</w:t>
      </w:r>
      <w:r w:rsidR="00402C33">
        <w:t xml:space="preserve"> platform</w:t>
      </w:r>
      <w:r w:rsidR="00575B83">
        <w:t xml:space="preserve"> as </w:t>
      </w:r>
      <w:r w:rsidR="005076C7">
        <w:t>UTI generator</w:t>
      </w:r>
      <w:r w:rsidR="00116864">
        <w:t>’</w:t>
      </w:r>
      <w:r w:rsidR="00575B83">
        <w:t xml:space="preserve"> applies to all transactions. W</w:t>
      </w:r>
      <w:r w:rsidR="00B13ED5">
        <w:t xml:space="preserve">hile it may be </w:t>
      </w:r>
      <w:r w:rsidR="00575B83">
        <w:t>un</w:t>
      </w:r>
      <w:r w:rsidR="00B13ED5">
        <w:t xml:space="preserve">common that a transaction </w:t>
      </w:r>
      <w:r w:rsidR="00575B83">
        <w:t xml:space="preserve">by an ASIC </w:t>
      </w:r>
      <w:r w:rsidR="009E0748">
        <w:t>reporting entity</w:t>
      </w:r>
      <w:r w:rsidR="00575B83">
        <w:t xml:space="preserve"> with an end user or a small-scale, single-sided </w:t>
      </w:r>
      <w:r w:rsidR="009E0748">
        <w:t>reporting entity</w:t>
      </w:r>
      <w:r w:rsidR="00575B83">
        <w:t xml:space="preserve"> is confirmed via a </w:t>
      </w:r>
      <w:r w:rsidR="00402C33">
        <w:t>confirmation platform</w:t>
      </w:r>
      <w:r w:rsidR="00575B83">
        <w:t xml:space="preserve">, we </w:t>
      </w:r>
      <w:r w:rsidR="009C1E8B">
        <w:t>consider</w:t>
      </w:r>
      <w:r w:rsidR="00575B83">
        <w:t xml:space="preserve"> it would simplify the </w:t>
      </w:r>
      <w:r w:rsidR="00E95C9C">
        <w:t xml:space="preserve">intended UTI rules </w:t>
      </w:r>
      <w:r w:rsidR="00575B83">
        <w:t>alignment</w:t>
      </w:r>
      <w:r w:rsidR="00E95C9C">
        <w:t xml:space="preserve"> to take the same approach in the ASIC Rules.</w:t>
      </w:r>
      <w:bookmarkEnd w:id="62"/>
    </w:p>
    <w:p w14:paraId="15AF52A4" w14:textId="759D358B" w:rsidR="00A75F75" w:rsidRDefault="00A75F75" w:rsidP="00A75F75">
      <w:pPr>
        <w:pStyle w:val="tabletitleindented"/>
        <w:ind w:left="2268" w:firstLine="0"/>
      </w:pPr>
      <w:bookmarkStart w:id="63" w:name="_Ref55901714"/>
      <w:r>
        <w:t xml:space="preserve">Table </w:t>
      </w:r>
      <w:r w:rsidR="007055A5">
        <w:fldChar w:fldCharType="begin"/>
      </w:r>
      <w:r w:rsidR="007055A5">
        <w:instrText xml:space="preserve"> SEQ Table \* ARABIC </w:instrText>
      </w:r>
      <w:r w:rsidR="007055A5">
        <w:fldChar w:fldCharType="separate"/>
      </w:r>
      <w:r w:rsidR="00314C7E">
        <w:rPr>
          <w:noProof/>
        </w:rPr>
        <w:t>4</w:t>
      </w:r>
      <w:r w:rsidR="007055A5">
        <w:rPr>
          <w:noProof/>
        </w:rPr>
        <w:fldChar w:fldCharType="end"/>
      </w:r>
      <w:bookmarkEnd w:id="63"/>
      <w:r>
        <w:t>:</w:t>
      </w:r>
      <w:r>
        <w:tab/>
      </w:r>
      <w:r w:rsidR="00B71338">
        <w:t>Single-jurisdiction</w:t>
      </w:r>
      <w:r>
        <w:t xml:space="preserve"> </w:t>
      </w:r>
      <w:r w:rsidR="00116864">
        <w:t>transactions</w:t>
      </w:r>
      <w:r w:rsidR="002D1ACC">
        <w:rPr>
          <w:rFonts w:ascii="Calibri" w:hAnsi="Calibri"/>
        </w:rPr>
        <w:t>—</w:t>
      </w:r>
      <w:r>
        <w:t>Summary of in-principle proposals</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379"/>
        <w:gridCol w:w="4423"/>
      </w:tblGrid>
      <w:tr w:rsidR="0027596E" w:rsidRPr="000540E1" w14:paraId="2D7E50B6" w14:textId="6861AFE2" w:rsidTr="004402F0">
        <w:trPr>
          <w:cantSplit/>
          <w:tblHeader/>
        </w:trPr>
        <w:tc>
          <w:tcPr>
            <w:tcW w:w="0" w:type="auto"/>
            <w:shd w:val="clear" w:color="auto" w:fill="C2E3FA"/>
          </w:tcPr>
          <w:p w14:paraId="3ED888BA" w14:textId="69189D21" w:rsidR="0027596E" w:rsidRPr="000540E1" w:rsidRDefault="0027596E" w:rsidP="00946EE3">
            <w:pPr>
              <w:pStyle w:val="tablehead"/>
            </w:pPr>
            <w:r>
              <w:t>Factor to consider</w:t>
            </w:r>
          </w:p>
        </w:tc>
        <w:tc>
          <w:tcPr>
            <w:tcW w:w="0" w:type="auto"/>
            <w:shd w:val="clear" w:color="auto" w:fill="C2E3FA"/>
          </w:tcPr>
          <w:p w14:paraId="14020B75" w14:textId="00B9BD52" w:rsidR="0027596E" w:rsidRPr="000540E1" w:rsidRDefault="0027596E" w:rsidP="00946EE3">
            <w:pPr>
              <w:pStyle w:val="tablehead"/>
            </w:pPr>
            <w:r>
              <w:t xml:space="preserve">ASIC </w:t>
            </w:r>
            <w:r w:rsidR="005076C7">
              <w:t>UTI generator</w:t>
            </w:r>
            <w:r>
              <w:t xml:space="preserve"> outcome</w:t>
            </w:r>
          </w:p>
        </w:tc>
      </w:tr>
      <w:tr w:rsidR="0027596E" w:rsidRPr="000540E1" w14:paraId="603B0F64" w14:textId="0F2A7991" w:rsidTr="004402F0">
        <w:trPr>
          <w:cantSplit/>
        </w:trPr>
        <w:tc>
          <w:tcPr>
            <w:tcW w:w="0" w:type="auto"/>
          </w:tcPr>
          <w:p w14:paraId="0456DA51" w14:textId="77777777" w:rsidR="0027596E" w:rsidRPr="002B63DA" w:rsidRDefault="0027596E" w:rsidP="0086388A">
            <w:pPr>
              <w:pStyle w:val="tbltext"/>
            </w:pPr>
            <w:r w:rsidRPr="002B63DA">
              <w:t>Has the transaction been electronically confirmed</w:t>
            </w:r>
            <w:r>
              <w:t>?</w:t>
            </w:r>
          </w:p>
        </w:tc>
        <w:tc>
          <w:tcPr>
            <w:tcW w:w="0" w:type="auto"/>
          </w:tcPr>
          <w:p w14:paraId="130213C5" w14:textId="58468A24" w:rsidR="0027596E" w:rsidRDefault="0027596E" w:rsidP="0086388A">
            <w:pPr>
              <w:pStyle w:val="tbltext"/>
            </w:pPr>
            <w:r>
              <w:t>If so, the confirmation platform</w:t>
            </w:r>
          </w:p>
          <w:p w14:paraId="51BD24D6" w14:textId="79CB6ABB" w:rsidR="0027596E" w:rsidRDefault="0027596E" w:rsidP="0086388A">
            <w:pPr>
              <w:pStyle w:val="tbltext"/>
            </w:pPr>
            <w:r>
              <w:t>Otherwise</w:t>
            </w:r>
          </w:p>
        </w:tc>
      </w:tr>
      <w:tr w:rsidR="0027596E" w:rsidRPr="000540E1" w14:paraId="009FAAFF" w14:textId="6D4E8080" w:rsidTr="004402F0">
        <w:trPr>
          <w:cantSplit/>
        </w:trPr>
        <w:tc>
          <w:tcPr>
            <w:tcW w:w="0" w:type="auto"/>
          </w:tcPr>
          <w:p w14:paraId="3009A675" w14:textId="3EC1EDDD" w:rsidR="0027596E" w:rsidRPr="002B63DA" w:rsidRDefault="0027596E" w:rsidP="00946EE3">
            <w:pPr>
              <w:pStyle w:val="tbltext"/>
            </w:pPr>
            <w:r w:rsidRPr="002B63DA">
              <w:t>Do</w:t>
            </w:r>
            <w:r>
              <w:t>es only one of the</w:t>
            </w:r>
            <w:r w:rsidRPr="002B63DA">
              <w:t xml:space="preserve"> counterparties have </w:t>
            </w:r>
            <w:r>
              <w:t xml:space="preserve">a </w:t>
            </w:r>
            <w:r w:rsidRPr="002B63DA">
              <w:t>reporting obligation?</w:t>
            </w:r>
          </w:p>
        </w:tc>
        <w:tc>
          <w:tcPr>
            <w:tcW w:w="0" w:type="auto"/>
          </w:tcPr>
          <w:p w14:paraId="3E61311C" w14:textId="77777777" w:rsidR="0027596E" w:rsidRDefault="0027596E" w:rsidP="0086388A">
            <w:pPr>
              <w:pStyle w:val="tbltext"/>
            </w:pPr>
            <w:r>
              <w:t>If so, the counterparty with the reporting obligation</w:t>
            </w:r>
          </w:p>
          <w:p w14:paraId="7D43AFBD" w14:textId="0BCA89DD" w:rsidR="0027596E" w:rsidRDefault="0027596E" w:rsidP="00946EE3">
            <w:pPr>
              <w:pStyle w:val="tbltext"/>
            </w:pPr>
            <w:r>
              <w:t>(i.e. not the end user or small-scale, single-sided reporting entity)</w:t>
            </w:r>
          </w:p>
          <w:p w14:paraId="28B9F2AD" w14:textId="68FBC78E" w:rsidR="0027596E" w:rsidRDefault="0027596E" w:rsidP="00946EE3">
            <w:pPr>
              <w:pStyle w:val="tbltext"/>
            </w:pPr>
            <w:r>
              <w:t xml:space="preserve">Otherwise, </w:t>
            </w:r>
            <w:r w:rsidR="002D1ACC">
              <w:t xml:space="preserve">option </w:t>
            </w:r>
            <w:r>
              <w:t xml:space="preserve">1 or </w:t>
            </w:r>
            <w:r w:rsidR="002D1ACC">
              <w:t xml:space="preserve">option </w:t>
            </w:r>
            <w:r>
              <w:t>2a/2b</w:t>
            </w:r>
          </w:p>
        </w:tc>
      </w:tr>
      <w:tr w:rsidR="0027596E" w:rsidRPr="000540E1" w14:paraId="1BE6503E" w14:textId="2F2694A4" w:rsidTr="004402F0">
        <w:trPr>
          <w:cantSplit/>
        </w:trPr>
        <w:tc>
          <w:tcPr>
            <w:tcW w:w="0" w:type="auto"/>
          </w:tcPr>
          <w:p w14:paraId="29261907" w14:textId="24B6A9FF" w:rsidR="0027596E" w:rsidRPr="002B63DA" w:rsidRDefault="0027596E" w:rsidP="00946EE3">
            <w:pPr>
              <w:pStyle w:val="tbltext"/>
            </w:pPr>
            <w:r>
              <w:lastRenderedPageBreak/>
              <w:t>Option 1</w:t>
            </w:r>
          </w:p>
        </w:tc>
        <w:tc>
          <w:tcPr>
            <w:tcW w:w="0" w:type="auto"/>
          </w:tcPr>
          <w:p w14:paraId="10976ABB" w14:textId="67EA1225" w:rsidR="0027596E" w:rsidRDefault="0027596E" w:rsidP="00946EE3">
            <w:pPr>
              <w:pStyle w:val="tbltext"/>
            </w:pPr>
            <w:r>
              <w:t>The counterparty that is the ‘seller’ or the ‘payer of leg 1’ in the transaction</w:t>
            </w:r>
          </w:p>
        </w:tc>
      </w:tr>
      <w:tr w:rsidR="0027596E" w:rsidRPr="000540E1" w14:paraId="5CD32317" w14:textId="694BE89D" w:rsidTr="004402F0">
        <w:trPr>
          <w:cantSplit/>
        </w:trPr>
        <w:tc>
          <w:tcPr>
            <w:tcW w:w="0" w:type="auto"/>
          </w:tcPr>
          <w:p w14:paraId="5843B4EB" w14:textId="0BEA9C83" w:rsidR="0027596E" w:rsidRPr="002B63DA" w:rsidRDefault="0027596E" w:rsidP="00946EE3">
            <w:pPr>
              <w:pStyle w:val="tbltext"/>
            </w:pPr>
            <w:r>
              <w:t>Option 2a</w:t>
            </w:r>
          </w:p>
        </w:tc>
        <w:tc>
          <w:tcPr>
            <w:tcW w:w="0" w:type="auto"/>
          </w:tcPr>
          <w:p w14:paraId="2686EEDD" w14:textId="77777777" w:rsidR="0027596E" w:rsidRDefault="0027596E" w:rsidP="00993D12">
            <w:pPr>
              <w:pStyle w:val="tbltext"/>
            </w:pPr>
            <w:r>
              <w:t>The counterparty as agreed between the counterparties</w:t>
            </w:r>
          </w:p>
          <w:p w14:paraId="357ECEDF" w14:textId="47D18A95" w:rsidR="0027596E" w:rsidRDefault="0027596E" w:rsidP="00946EE3">
            <w:pPr>
              <w:pStyle w:val="tbltext"/>
            </w:pPr>
            <w:r>
              <w:t>Otherwise</w:t>
            </w:r>
          </w:p>
        </w:tc>
      </w:tr>
      <w:tr w:rsidR="0027596E" w:rsidRPr="000540E1" w14:paraId="0AA0A889" w14:textId="4B0A7552" w:rsidTr="004402F0">
        <w:trPr>
          <w:cantSplit/>
        </w:trPr>
        <w:tc>
          <w:tcPr>
            <w:tcW w:w="0" w:type="auto"/>
          </w:tcPr>
          <w:p w14:paraId="3F4F1403" w14:textId="7A75B94C" w:rsidR="0027596E" w:rsidRPr="002B63DA" w:rsidRDefault="0027596E" w:rsidP="00946EE3">
            <w:pPr>
              <w:pStyle w:val="tbltext"/>
            </w:pPr>
            <w:r>
              <w:t>Option 2b</w:t>
            </w:r>
          </w:p>
        </w:tc>
        <w:tc>
          <w:tcPr>
            <w:tcW w:w="0" w:type="auto"/>
          </w:tcPr>
          <w:p w14:paraId="69D77B43" w14:textId="52E0624A" w:rsidR="0027596E" w:rsidRDefault="0027596E" w:rsidP="00946EE3">
            <w:pPr>
              <w:pStyle w:val="tbltext"/>
            </w:pPr>
            <w:r>
              <w:t xml:space="preserve">After sorting the LEIs of the counterparties </w:t>
            </w:r>
            <w:r w:rsidRPr="006B61A8">
              <w:t>with the characters of the identifiers reversed</w:t>
            </w:r>
            <w:r>
              <w:t>, the counterparty t</w:t>
            </w:r>
            <w:r w:rsidRPr="006B61A8">
              <w:t>hat comes first in this sort sequence</w:t>
            </w:r>
            <w:r>
              <w:t xml:space="preserve"> (reverse LEI sorting)</w:t>
            </w:r>
          </w:p>
        </w:tc>
      </w:tr>
    </w:tbl>
    <w:p w14:paraId="461B2C24" w14:textId="162A3C43" w:rsidR="00BA1E13" w:rsidRDefault="00B91FA1" w:rsidP="00BA1E13">
      <w:pPr>
        <w:pStyle w:val="BodyText"/>
      </w:pPr>
      <w:bookmarkStart w:id="64" w:name="_ASICRef647"/>
      <w:r>
        <w:t>A</w:t>
      </w:r>
      <w:r w:rsidR="00BA1E13">
        <w:t xml:space="preserve"> feature of this proposal is that for each of the cases of transactions between:</w:t>
      </w:r>
      <w:bookmarkEnd w:id="64"/>
    </w:p>
    <w:p w14:paraId="1A9362C6" w14:textId="5B6B71AB" w:rsidR="00BA1E13" w:rsidRDefault="00BA1E13" w:rsidP="00BA1E13">
      <w:pPr>
        <w:pStyle w:val="subparaa"/>
      </w:pPr>
      <w:r>
        <w:t>an Australian entity and an</w:t>
      </w:r>
      <w:r w:rsidR="00B91FA1">
        <w:t>other</w:t>
      </w:r>
      <w:r>
        <w:t xml:space="preserve"> Australian entity;</w:t>
      </w:r>
    </w:p>
    <w:p w14:paraId="0CDCA768" w14:textId="3A6541E8" w:rsidR="00BA1E13" w:rsidRDefault="00BA1E13" w:rsidP="00BA1E13">
      <w:pPr>
        <w:pStyle w:val="subparaa"/>
      </w:pPr>
      <w:r>
        <w:t xml:space="preserve">an Australian entity and an EU </w:t>
      </w:r>
      <w:r w:rsidR="008C5182">
        <w:t>financial counterparty</w:t>
      </w:r>
      <w:r>
        <w:t>;</w:t>
      </w:r>
    </w:p>
    <w:p w14:paraId="1986EB8C" w14:textId="3FE3DD8E" w:rsidR="00BA1E13" w:rsidRDefault="00BA1E13" w:rsidP="00BA1E13">
      <w:pPr>
        <w:pStyle w:val="subparaa"/>
      </w:pPr>
      <w:r>
        <w:t xml:space="preserve">an Australian </w:t>
      </w:r>
      <w:r w:rsidR="009E0748">
        <w:t>reporting entity</w:t>
      </w:r>
      <w:r>
        <w:t xml:space="preserve"> and an EU </w:t>
      </w:r>
      <w:r w:rsidR="008C5182">
        <w:t>financial counterparty</w:t>
      </w:r>
      <w:r>
        <w:t>;</w:t>
      </w:r>
      <w:r w:rsidR="00B91FA1">
        <w:t xml:space="preserve"> and</w:t>
      </w:r>
    </w:p>
    <w:p w14:paraId="3863B5DE" w14:textId="4D27FBA9" w:rsidR="00BA1E13" w:rsidRDefault="00BA1E13" w:rsidP="00BA1E13">
      <w:pPr>
        <w:pStyle w:val="subparaa"/>
      </w:pPr>
      <w:r>
        <w:t xml:space="preserve">an EU </w:t>
      </w:r>
      <w:r w:rsidR="008C5182">
        <w:t xml:space="preserve">financial counterparty </w:t>
      </w:r>
      <w:r w:rsidR="00B91FA1">
        <w:t xml:space="preserve">that is an ASIC </w:t>
      </w:r>
      <w:r w:rsidR="009E0748">
        <w:t>reporting entity</w:t>
      </w:r>
      <w:r w:rsidR="00B91FA1">
        <w:t xml:space="preserve"> and another EU </w:t>
      </w:r>
      <w:r w:rsidR="008C5182">
        <w:t xml:space="preserve">financial counterparty </w:t>
      </w:r>
      <w:r w:rsidR="00B91FA1">
        <w:t xml:space="preserve">that is an ASIC </w:t>
      </w:r>
      <w:r w:rsidR="009E0748">
        <w:t>reporting entity</w:t>
      </w:r>
      <w:r w:rsidR="002D1ACC">
        <w:t>,</w:t>
      </w:r>
    </w:p>
    <w:p w14:paraId="158AB298" w14:textId="606D357A" w:rsidR="00B91FA1" w:rsidRDefault="00B91FA1" w:rsidP="00B91FA1">
      <w:pPr>
        <w:pStyle w:val="Bodytextplain"/>
      </w:pPr>
      <w:r>
        <w:t xml:space="preserve">we </w:t>
      </w:r>
      <w:r w:rsidR="009C1E8B">
        <w:t>consider</w:t>
      </w:r>
      <w:r>
        <w:t xml:space="preserve"> the </w:t>
      </w:r>
      <w:r w:rsidR="005076C7">
        <w:t>UTI generator</w:t>
      </w:r>
      <w:r>
        <w:t xml:space="preserve"> logic that needs to be followed by the counterparties would be the same whether under the </w:t>
      </w:r>
      <w:r w:rsidR="00E0626B">
        <w:t xml:space="preserve">proposed </w:t>
      </w:r>
      <w:r>
        <w:t xml:space="preserve">ASIC Rules or under </w:t>
      </w:r>
      <w:r w:rsidR="00E0626B">
        <w:t>the ESMA proposals for EU rules</w:t>
      </w:r>
      <w:r w:rsidR="0014717A">
        <w:t>, as each may be applicable to the transaction</w:t>
      </w:r>
      <w:r w:rsidR="00E0626B">
        <w:t>.</w:t>
      </w:r>
    </w:p>
    <w:p w14:paraId="532ABFC7" w14:textId="1B41CB26" w:rsidR="00B25078" w:rsidRDefault="00B25078" w:rsidP="00E0626B">
      <w:pPr>
        <w:pStyle w:val="Proposalhead"/>
      </w:pPr>
      <w:r>
        <w:t>Proposal</w:t>
      </w:r>
    </w:p>
    <w:p w14:paraId="2A0C0CBC" w14:textId="5DD26577" w:rsidR="00B25078" w:rsidRDefault="00B25078">
      <w:pPr>
        <w:pStyle w:val="Proposaltext"/>
      </w:pPr>
      <w:r>
        <w:t xml:space="preserve">In principle, we propose to implement the elements of </w:t>
      </w:r>
      <w:r w:rsidR="003444C4">
        <w:fldChar w:fldCharType="begin"/>
      </w:r>
      <w:r w:rsidR="003444C4">
        <w:instrText xml:space="preserve"> REF _Ref55901714 \h </w:instrText>
      </w:r>
      <w:r w:rsidR="003444C4">
        <w:fldChar w:fldCharType="separate"/>
      </w:r>
      <w:r w:rsidR="00314C7E">
        <w:t xml:space="preserve">Table </w:t>
      </w:r>
      <w:r w:rsidR="00314C7E">
        <w:rPr>
          <w:noProof/>
        </w:rPr>
        <w:t>4</w:t>
      </w:r>
      <w:r w:rsidR="003444C4">
        <w:fldChar w:fldCharType="end"/>
      </w:r>
      <w:r w:rsidR="00C21161">
        <w:t xml:space="preserve"> </w:t>
      </w:r>
      <w:r>
        <w:t xml:space="preserve">as the steps of UTI rules for </w:t>
      </w:r>
      <w:r w:rsidR="009822AC">
        <w:t xml:space="preserve">single-jurisdictional </w:t>
      </w:r>
      <w:r w:rsidR="00972087">
        <w:t xml:space="preserve">transactions </w:t>
      </w:r>
      <w:r>
        <w:t xml:space="preserve">within the ASIC Rules. As these steps are intended to align with </w:t>
      </w:r>
      <w:r w:rsidR="00BA1E13">
        <w:t xml:space="preserve">the </w:t>
      </w:r>
      <w:r w:rsidR="00C21161">
        <w:t xml:space="preserve">EU </w:t>
      </w:r>
      <w:r w:rsidR="00BA1E13">
        <w:t>rules, our proposal is subject to the final EU rules.</w:t>
      </w:r>
    </w:p>
    <w:p w14:paraId="2B51612A" w14:textId="77777777" w:rsidR="00B25078" w:rsidRDefault="00B25078">
      <w:pPr>
        <w:pStyle w:val="Feedbackhead"/>
      </w:pPr>
      <w:r>
        <w:t>Your feedback</w:t>
      </w:r>
    </w:p>
    <w:p w14:paraId="25ED1F78" w14:textId="77777777" w:rsidR="00BA1E13" w:rsidRDefault="00BA1E13" w:rsidP="00BA1E13">
      <w:pPr>
        <w:pStyle w:val="Feedbackquestion"/>
      </w:pPr>
      <w:r>
        <w:t>Do you agree with this proposal? In your response, please give detailed reasons for your answer.</w:t>
      </w:r>
    </w:p>
    <w:p w14:paraId="6C094C11" w14:textId="5C6E656F" w:rsidR="00B25078" w:rsidRDefault="0014717A">
      <w:pPr>
        <w:pStyle w:val="Feedbackquestion"/>
      </w:pPr>
      <w:r>
        <w:t xml:space="preserve">Do you consider that either </w:t>
      </w:r>
      <w:r w:rsidR="002D1ACC">
        <w:t xml:space="preserve">option </w:t>
      </w:r>
      <w:r>
        <w:t xml:space="preserve">1 or </w:t>
      </w:r>
      <w:r w:rsidR="002D1ACC">
        <w:t xml:space="preserve">option </w:t>
      </w:r>
      <w:r>
        <w:t xml:space="preserve">2 </w:t>
      </w:r>
      <w:r w:rsidR="00FE518B">
        <w:t>or both should not be adopted in the ASIC Rules? In your response please give detailed reasons for your answer.</w:t>
      </w:r>
    </w:p>
    <w:p w14:paraId="49F67AC2" w14:textId="123635C8" w:rsidR="003D7E6B" w:rsidRDefault="003D7E6B">
      <w:pPr>
        <w:pStyle w:val="Feedbackquestion"/>
      </w:pPr>
      <w:r>
        <w:t xml:space="preserve">Noting that the proposal would not include the step of a </w:t>
      </w:r>
      <w:r w:rsidR="005076C7">
        <w:t>UTI generator</w:t>
      </w:r>
      <w:r>
        <w:t xml:space="preserve"> determination by agreement between the counterparties under </w:t>
      </w:r>
      <w:r w:rsidR="002D1ACC">
        <w:t xml:space="preserve">option </w:t>
      </w:r>
      <w:r>
        <w:t xml:space="preserve">2, do you consider that this form of </w:t>
      </w:r>
      <w:r w:rsidR="005076C7">
        <w:t>UTI generator</w:t>
      </w:r>
      <w:r>
        <w:t xml:space="preserve"> determination should be a step in the UTI rules within the ASIC Rules? In your response please give detailed reasons for your answer.</w:t>
      </w:r>
    </w:p>
    <w:p w14:paraId="0A9CC827" w14:textId="76A027D8" w:rsidR="00FE518B" w:rsidRDefault="00FE518B">
      <w:pPr>
        <w:pStyle w:val="Feedbackquestion"/>
      </w:pPr>
      <w:r>
        <w:lastRenderedPageBreak/>
        <w:t xml:space="preserve">Noting that the proposal focuses on aligning </w:t>
      </w:r>
      <w:proofErr w:type="spellStart"/>
      <w:r>
        <w:t>wit</w:t>
      </w:r>
      <w:r w:rsidR="004634F6">
        <w:tab/>
      </w:r>
      <w:r>
        <w:t>h</w:t>
      </w:r>
      <w:proofErr w:type="spellEnd"/>
      <w:r>
        <w:t xml:space="preserve"> the final EU rules, do you consider there are other specific jurisdictions </w:t>
      </w:r>
      <w:r w:rsidR="00C63387">
        <w:t xml:space="preserve">where aligning </w:t>
      </w:r>
      <w:r w:rsidR="00972087">
        <w:t xml:space="preserve">with </w:t>
      </w:r>
      <w:r w:rsidR="00C63387">
        <w:t>UTI rules should be of greater focus? In your response please give detailed reasons for your answer.</w:t>
      </w:r>
    </w:p>
    <w:p w14:paraId="7A2D9813" w14:textId="5D417A89" w:rsidR="003D7E6B" w:rsidRDefault="00A948FF">
      <w:pPr>
        <w:pStyle w:val="Feedbackquestion"/>
      </w:pPr>
      <w:r>
        <w:t xml:space="preserve">Do you consider there are combinations of types of counterparties to a </w:t>
      </w:r>
      <w:r w:rsidR="009822AC">
        <w:t xml:space="preserve">single-jurisdictional </w:t>
      </w:r>
      <w:r w:rsidR="00972087">
        <w:t xml:space="preserve">transaction </w:t>
      </w:r>
      <w:r>
        <w:t xml:space="preserve">where the </w:t>
      </w:r>
      <w:r w:rsidR="005076C7">
        <w:t>UTI generator</w:t>
      </w:r>
      <w:r>
        <w:t xml:space="preserve"> may not be determinable or would determine the </w:t>
      </w:r>
      <w:r w:rsidR="005076C7">
        <w:t>UTI generator</w:t>
      </w:r>
      <w:r>
        <w:t xml:space="preserve"> as a type of counterparty that is not your preferred </w:t>
      </w:r>
      <w:r w:rsidR="005076C7">
        <w:t>UTI generator</w:t>
      </w:r>
      <w:r>
        <w:t xml:space="preserve"> outcome? In your response please give detailed reasons for your answer.</w:t>
      </w:r>
    </w:p>
    <w:p w14:paraId="67CE7C4F" w14:textId="453A1FDA" w:rsidR="00A948FF" w:rsidRDefault="00A948FF">
      <w:pPr>
        <w:pStyle w:val="Feedbackquestion"/>
      </w:pPr>
      <w:r>
        <w:t>Do you have any other comments about the proposal?</w:t>
      </w:r>
    </w:p>
    <w:p w14:paraId="34BAB119" w14:textId="3406D268" w:rsidR="008F594D" w:rsidRDefault="008F594D" w:rsidP="00C40082">
      <w:pPr>
        <w:pStyle w:val="Heading2"/>
      </w:pPr>
      <w:bookmarkStart w:id="65" w:name="_Toc57146480"/>
      <w:r>
        <w:t xml:space="preserve">Determining </w:t>
      </w:r>
      <w:r w:rsidR="0068144E">
        <w:t xml:space="preserve">the </w:t>
      </w:r>
      <w:r w:rsidR="005076C7">
        <w:t>UTI generator</w:t>
      </w:r>
      <w:r w:rsidR="00972087" w:rsidRPr="00C21161">
        <w:t>—</w:t>
      </w:r>
      <w:r w:rsidR="00C40082">
        <w:t>C</w:t>
      </w:r>
      <w:r>
        <w:t xml:space="preserve">ross-jurisdictional </w:t>
      </w:r>
      <w:r w:rsidR="00972087">
        <w:t>transactions</w:t>
      </w:r>
      <w:bookmarkEnd w:id="65"/>
    </w:p>
    <w:p w14:paraId="54421D35" w14:textId="0C1AE2BF" w:rsidR="0023577D" w:rsidRDefault="00C40082" w:rsidP="00136CC5">
      <w:pPr>
        <w:pStyle w:val="BodyText"/>
        <w:spacing w:after="200"/>
      </w:pPr>
      <w:r>
        <w:t>I</w:t>
      </w:r>
      <w:r w:rsidR="0023577D">
        <w:t xml:space="preserve">f the transaction is </w:t>
      </w:r>
      <w:r>
        <w:t xml:space="preserve">a </w:t>
      </w:r>
      <w:r w:rsidR="00972087">
        <w:t>cross</w:t>
      </w:r>
      <w:r w:rsidR="0023577D">
        <w:t>-jurisdictional</w:t>
      </w:r>
      <w:r>
        <w:t xml:space="preserve"> </w:t>
      </w:r>
      <w:r w:rsidR="00972087">
        <w:t>transaction</w:t>
      </w:r>
      <w:r w:rsidR="0023577D">
        <w:t xml:space="preserve">, </w:t>
      </w:r>
      <w:r>
        <w:t>the UTI Guidance sets out</w:t>
      </w:r>
      <w:r w:rsidR="0023577D">
        <w:t>:</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607"/>
        <w:gridCol w:w="2852"/>
        <w:gridCol w:w="2853"/>
      </w:tblGrid>
      <w:tr w:rsidR="0023577D" w:rsidRPr="000540E1" w14:paraId="383C454D" w14:textId="77777777" w:rsidTr="00FF59D1">
        <w:trPr>
          <w:cantSplit/>
          <w:tblHeader/>
        </w:trPr>
        <w:tc>
          <w:tcPr>
            <w:tcW w:w="0" w:type="auto"/>
            <w:shd w:val="clear" w:color="auto" w:fill="C2E3FA"/>
          </w:tcPr>
          <w:p w14:paraId="233A0112" w14:textId="77777777" w:rsidR="0023577D" w:rsidRDefault="0023577D" w:rsidP="00FF59D1">
            <w:pPr>
              <w:pStyle w:val="tablehead"/>
            </w:pPr>
            <w:r>
              <w:t>Step</w:t>
            </w:r>
          </w:p>
        </w:tc>
        <w:tc>
          <w:tcPr>
            <w:tcW w:w="2852" w:type="dxa"/>
            <w:shd w:val="clear" w:color="auto" w:fill="C2E3FA"/>
          </w:tcPr>
          <w:p w14:paraId="0347E676" w14:textId="77777777" w:rsidR="0023577D" w:rsidRPr="000540E1" w:rsidRDefault="0023577D" w:rsidP="00FF59D1">
            <w:pPr>
              <w:pStyle w:val="tablehead"/>
            </w:pPr>
            <w:r>
              <w:t>Factor to consider</w:t>
            </w:r>
          </w:p>
        </w:tc>
        <w:tc>
          <w:tcPr>
            <w:tcW w:w="2853" w:type="dxa"/>
            <w:shd w:val="clear" w:color="auto" w:fill="C2E3FA"/>
          </w:tcPr>
          <w:p w14:paraId="7860E4F3" w14:textId="402E4884" w:rsidR="0023577D" w:rsidRPr="000540E1" w:rsidRDefault="005076C7" w:rsidP="00FF59D1">
            <w:pPr>
              <w:pStyle w:val="tablehead"/>
            </w:pPr>
            <w:r>
              <w:t>UTI generator</w:t>
            </w:r>
          </w:p>
        </w:tc>
      </w:tr>
      <w:tr w:rsidR="0023577D" w:rsidRPr="000540E1" w14:paraId="137B0704" w14:textId="77777777" w:rsidTr="00FF59D1">
        <w:trPr>
          <w:cantSplit/>
        </w:trPr>
        <w:tc>
          <w:tcPr>
            <w:tcW w:w="0" w:type="auto"/>
          </w:tcPr>
          <w:p w14:paraId="7B3B71A9" w14:textId="77777777" w:rsidR="0023577D" w:rsidRPr="000540E1" w:rsidRDefault="0023577D" w:rsidP="00FF59D1">
            <w:pPr>
              <w:pStyle w:val="tbltext"/>
            </w:pPr>
            <w:r>
              <w:t>4.</w:t>
            </w:r>
          </w:p>
        </w:tc>
        <w:tc>
          <w:tcPr>
            <w:tcW w:w="2852" w:type="dxa"/>
          </w:tcPr>
          <w:p w14:paraId="328466AB" w14:textId="4493A03A" w:rsidR="0023577D" w:rsidRPr="000540E1" w:rsidRDefault="0023577D" w:rsidP="00FF59D1">
            <w:pPr>
              <w:pStyle w:val="tbltext"/>
            </w:pPr>
            <w:r w:rsidRPr="002B63DA">
              <w:t>Is the transaction cross-jurisdictional (</w:t>
            </w:r>
            <w:r w:rsidR="00317745" w:rsidRPr="002B63DA">
              <w:t>i.e.</w:t>
            </w:r>
            <w:r w:rsidRPr="002B63DA">
              <w:t xml:space="preserve"> are the counterparties to the transaction subject to more than one jurisdiction’s reporting rules)?</w:t>
            </w:r>
          </w:p>
        </w:tc>
        <w:tc>
          <w:tcPr>
            <w:tcW w:w="2853" w:type="dxa"/>
          </w:tcPr>
          <w:p w14:paraId="1C6374C8" w14:textId="77777777" w:rsidR="0023577D" w:rsidRDefault="0023577D" w:rsidP="00FF59D1">
            <w:pPr>
              <w:pStyle w:val="tbltext"/>
            </w:pPr>
            <w:r>
              <w:t>If so, see step 10.</w:t>
            </w:r>
          </w:p>
          <w:p w14:paraId="2E83DB26" w14:textId="77777777" w:rsidR="0023577D" w:rsidRPr="000540E1" w:rsidRDefault="0023577D" w:rsidP="00FF59D1">
            <w:pPr>
              <w:pStyle w:val="tbltext"/>
            </w:pPr>
            <w:r>
              <w:t>Otherwise, see step 5.</w:t>
            </w:r>
          </w:p>
        </w:tc>
      </w:tr>
      <w:tr w:rsidR="0023577D" w:rsidRPr="000540E1" w14:paraId="24A8BC2A" w14:textId="77777777" w:rsidTr="00FF59D1">
        <w:trPr>
          <w:cantSplit/>
        </w:trPr>
        <w:tc>
          <w:tcPr>
            <w:tcW w:w="0" w:type="auto"/>
          </w:tcPr>
          <w:p w14:paraId="71C8DF7E" w14:textId="7D0B0305" w:rsidR="0023577D" w:rsidRDefault="0023577D" w:rsidP="00FF59D1">
            <w:pPr>
              <w:pStyle w:val="tbltext"/>
            </w:pPr>
            <w:r>
              <w:t>10.</w:t>
            </w:r>
          </w:p>
        </w:tc>
        <w:tc>
          <w:tcPr>
            <w:tcW w:w="2852" w:type="dxa"/>
          </w:tcPr>
          <w:p w14:paraId="4232EA12" w14:textId="205FD0C8" w:rsidR="0023577D" w:rsidRPr="002B63DA" w:rsidRDefault="0023577D" w:rsidP="00FF59D1">
            <w:pPr>
              <w:pStyle w:val="tbltext"/>
            </w:pPr>
            <w:r w:rsidRPr="0023577D">
              <w:t>Does one of the jurisdictions have a sooner deadline for reporting than the other(s)?</w:t>
            </w:r>
          </w:p>
        </w:tc>
        <w:tc>
          <w:tcPr>
            <w:tcW w:w="2853" w:type="dxa"/>
          </w:tcPr>
          <w:p w14:paraId="72553EE0" w14:textId="77777777" w:rsidR="0023577D" w:rsidRDefault="0023577D" w:rsidP="0023577D">
            <w:pPr>
              <w:pStyle w:val="tbltext"/>
            </w:pPr>
            <w:r>
              <w:t>If so, then the UTI generation rules of the jurisdiction with the sooner reporting deadline should be followed.</w:t>
            </w:r>
          </w:p>
          <w:p w14:paraId="6613E799" w14:textId="4B59FA94" w:rsidR="0023577D" w:rsidRDefault="0023577D" w:rsidP="0023577D">
            <w:pPr>
              <w:pStyle w:val="tbltext"/>
            </w:pPr>
            <w:r>
              <w:t>Otherwise, see step 11.</w:t>
            </w:r>
          </w:p>
        </w:tc>
      </w:tr>
      <w:tr w:rsidR="0023577D" w:rsidRPr="000540E1" w14:paraId="0DCDF07A" w14:textId="77777777" w:rsidTr="00FF59D1">
        <w:trPr>
          <w:cantSplit/>
        </w:trPr>
        <w:tc>
          <w:tcPr>
            <w:tcW w:w="0" w:type="auto"/>
          </w:tcPr>
          <w:p w14:paraId="3AC3643C" w14:textId="77777777" w:rsidR="0023577D" w:rsidRDefault="0023577D" w:rsidP="00FF59D1">
            <w:pPr>
              <w:pStyle w:val="tbltext"/>
            </w:pPr>
            <w:r>
              <w:t>11.</w:t>
            </w:r>
          </w:p>
        </w:tc>
        <w:tc>
          <w:tcPr>
            <w:tcW w:w="2852" w:type="dxa"/>
          </w:tcPr>
          <w:p w14:paraId="74E926C3" w14:textId="77777777" w:rsidR="0023577D" w:rsidRPr="002B63DA" w:rsidRDefault="0023577D" w:rsidP="00FF59D1">
            <w:pPr>
              <w:pStyle w:val="tbltext"/>
            </w:pPr>
            <w:r w:rsidRPr="002B63DA">
              <w:t>Do the counterparties have an agreement governing which entity should have responsibility for generating the UTI for this transaction?</w:t>
            </w:r>
          </w:p>
        </w:tc>
        <w:tc>
          <w:tcPr>
            <w:tcW w:w="2853" w:type="dxa"/>
          </w:tcPr>
          <w:p w14:paraId="2F81064B" w14:textId="77777777" w:rsidR="0023577D" w:rsidRDefault="0023577D" w:rsidP="00FF59D1">
            <w:pPr>
              <w:pStyle w:val="tbltext"/>
            </w:pPr>
            <w:r>
              <w:t>If so, the agreed entity.</w:t>
            </w:r>
          </w:p>
          <w:p w14:paraId="03DB440A" w14:textId="77777777" w:rsidR="0023577D" w:rsidRDefault="0023577D" w:rsidP="00FF59D1">
            <w:pPr>
              <w:pStyle w:val="tbltext"/>
            </w:pPr>
            <w:r>
              <w:t>Otherwise, see step 12.</w:t>
            </w:r>
          </w:p>
        </w:tc>
      </w:tr>
      <w:tr w:rsidR="0023577D" w:rsidRPr="000540E1" w14:paraId="65AA3C3C" w14:textId="77777777" w:rsidTr="00FF59D1">
        <w:trPr>
          <w:cantSplit/>
        </w:trPr>
        <w:tc>
          <w:tcPr>
            <w:tcW w:w="0" w:type="auto"/>
          </w:tcPr>
          <w:p w14:paraId="308F3EAE" w14:textId="77777777" w:rsidR="0023577D" w:rsidRDefault="0023577D" w:rsidP="00FF59D1">
            <w:pPr>
              <w:pStyle w:val="tbltext"/>
            </w:pPr>
            <w:r>
              <w:t>12.</w:t>
            </w:r>
          </w:p>
        </w:tc>
        <w:tc>
          <w:tcPr>
            <w:tcW w:w="2852" w:type="dxa"/>
          </w:tcPr>
          <w:p w14:paraId="02646232" w14:textId="77777777" w:rsidR="0023577D" w:rsidRPr="002B63DA" w:rsidRDefault="0023577D" w:rsidP="00FF59D1">
            <w:pPr>
              <w:pStyle w:val="tbltext"/>
            </w:pPr>
            <w:r w:rsidRPr="002B63DA">
              <w:t>Has the transaction been electronically confirmed or will it be and, if so, is the confirmation platform able, willing and permitted to generate a UTI within the required time frame under the applicable rules?</w:t>
            </w:r>
          </w:p>
        </w:tc>
        <w:tc>
          <w:tcPr>
            <w:tcW w:w="2853" w:type="dxa"/>
          </w:tcPr>
          <w:p w14:paraId="6017C87E" w14:textId="77777777" w:rsidR="0023577D" w:rsidRDefault="0023577D" w:rsidP="00FF59D1">
            <w:pPr>
              <w:pStyle w:val="tbltext"/>
            </w:pPr>
            <w:r>
              <w:t>If so, the confirmation platform.</w:t>
            </w:r>
          </w:p>
          <w:p w14:paraId="0B7369B0" w14:textId="77777777" w:rsidR="0023577D" w:rsidRDefault="0023577D" w:rsidP="00FF59D1">
            <w:pPr>
              <w:pStyle w:val="tbltext"/>
            </w:pPr>
            <w:r>
              <w:t>Otherwise, see step 13.</w:t>
            </w:r>
          </w:p>
        </w:tc>
      </w:tr>
    </w:tbl>
    <w:p w14:paraId="425E9683" w14:textId="130D99AF" w:rsidR="000B7B4A" w:rsidRPr="009A75F8" w:rsidRDefault="009A75F8" w:rsidP="009A75F8">
      <w:pPr>
        <w:pStyle w:val="Heading3"/>
      </w:pPr>
      <w:r>
        <w:lastRenderedPageBreak/>
        <w:t>Is the transaction cross-jurisdictional?</w:t>
      </w:r>
    </w:p>
    <w:p w14:paraId="6EC9C335" w14:textId="58DBAA98" w:rsidR="0059417C" w:rsidRDefault="009A75F8" w:rsidP="005B1CC3">
      <w:pPr>
        <w:pStyle w:val="BodyText"/>
      </w:pPr>
      <w:r>
        <w:t xml:space="preserve">The </w:t>
      </w:r>
      <w:r w:rsidR="00456DEE">
        <w:t xml:space="preserve">UTI </w:t>
      </w:r>
      <w:r>
        <w:t>Guidance explains a cross-jurisdictional transaction as one where ‘the</w:t>
      </w:r>
      <w:r w:rsidR="0059417C" w:rsidRPr="002B63DA">
        <w:t xml:space="preserve"> counterparties to the transaction </w:t>
      </w:r>
      <w:r w:rsidR="0059417C">
        <w:t xml:space="preserve">[are] </w:t>
      </w:r>
      <w:r w:rsidR="0059417C" w:rsidRPr="002B63DA">
        <w:t>subject to m</w:t>
      </w:r>
      <w:r w:rsidRPr="009A75F8">
        <w:t>ore than one jurisdiction’s reporting rules</w:t>
      </w:r>
      <w:r>
        <w:t>’</w:t>
      </w:r>
      <w:r w:rsidR="00972087">
        <w:t>.</w:t>
      </w:r>
    </w:p>
    <w:p w14:paraId="7B570874" w14:textId="48899CBA" w:rsidR="0059417C" w:rsidRDefault="009A75F8" w:rsidP="005B1CC3">
      <w:pPr>
        <w:pStyle w:val="BodyText"/>
      </w:pPr>
      <w:r>
        <w:t>We are</w:t>
      </w:r>
      <w:r w:rsidR="0059417C">
        <w:t xml:space="preserve"> aware of industry concerns that </w:t>
      </w:r>
      <w:r>
        <w:t xml:space="preserve">the scope of </w:t>
      </w:r>
      <w:r w:rsidR="00972087">
        <w:t xml:space="preserve">reportable transactions </w:t>
      </w:r>
      <w:r>
        <w:t xml:space="preserve">for foreign entities under the </w:t>
      </w:r>
      <w:r w:rsidR="0059417C">
        <w:t xml:space="preserve">ASIC </w:t>
      </w:r>
      <w:r w:rsidR="00592502">
        <w:t>R</w:t>
      </w:r>
      <w:r>
        <w:t xml:space="preserve">ules </w:t>
      </w:r>
      <w:r w:rsidR="0059417C">
        <w:t xml:space="preserve">can introduce uncertainties in determining the jurisdictions to which a transaction is reportable and thus the set of jurisdictions </w:t>
      </w:r>
      <w:r w:rsidR="00C53AFC">
        <w:t xml:space="preserve">from which the jurisdiction </w:t>
      </w:r>
      <w:r>
        <w:t xml:space="preserve">with the sooner deadline for reporting </w:t>
      </w:r>
      <w:r w:rsidR="00C53AFC">
        <w:t>needs to be identified.</w:t>
      </w:r>
    </w:p>
    <w:p w14:paraId="030FF014" w14:textId="695F60F3" w:rsidR="00C02087" w:rsidRDefault="00C02087" w:rsidP="005B1CC3">
      <w:pPr>
        <w:pStyle w:val="BodyText"/>
      </w:pPr>
      <w:r>
        <w:t xml:space="preserve">A principle of the UTI Guidance is that the </w:t>
      </w:r>
      <w:r w:rsidRPr="001461F2">
        <w:t xml:space="preserve">approach </w:t>
      </w:r>
      <w:r w:rsidR="007E4523">
        <w:t>‘</w:t>
      </w:r>
      <w:r w:rsidRPr="001461F2">
        <w:t>should make it straightforward to identify which entity is responsible for generating the UTI, using information that should be available at or before the point in the process when the UTI is needed</w:t>
      </w:r>
      <w:r>
        <w:t>’</w:t>
      </w:r>
      <w:r w:rsidRPr="001461F2">
        <w:t>.</w:t>
      </w:r>
    </w:p>
    <w:p w14:paraId="5539B16C" w14:textId="74D47BF8" w:rsidR="00C02087" w:rsidRDefault="00C02087" w:rsidP="005B1CC3">
      <w:pPr>
        <w:pStyle w:val="BodyText"/>
      </w:pPr>
      <w:bookmarkStart w:id="66" w:name="_ASICRef103"/>
      <w:r>
        <w:t>It follows that both counterparties to a transaction should only be required to rely on the information about each counterparty’s jurisdictional reporting requirements that is inherent in the information they convey to each other about the capacity in which they are acting for that transaction.</w:t>
      </w:r>
      <w:bookmarkEnd w:id="66"/>
    </w:p>
    <w:p w14:paraId="3E874B9A" w14:textId="6E7D52BA" w:rsidR="00C02087" w:rsidRDefault="009A75F8" w:rsidP="005B1CC3">
      <w:pPr>
        <w:pStyle w:val="BodyText"/>
      </w:pPr>
      <w:r>
        <w:t xml:space="preserve">We </w:t>
      </w:r>
      <w:r w:rsidR="009C1E8B">
        <w:t>consider</w:t>
      </w:r>
      <w:r>
        <w:t xml:space="preserve"> the </w:t>
      </w:r>
      <w:r w:rsidR="00456DEE">
        <w:t xml:space="preserve">UTI </w:t>
      </w:r>
      <w:r>
        <w:t>Guidance should be read with a focus on the jurisdictional reporting requirements of the ‘counterparties’ to the transaction</w:t>
      </w:r>
      <w:r w:rsidR="00592502" w:rsidRPr="00C21161">
        <w:t>—</w:t>
      </w:r>
      <w:r>
        <w:t xml:space="preserve">in particular, how each counterparty identifies itself to the other </w:t>
      </w:r>
      <w:r w:rsidR="00C02087">
        <w:t>counterparty in a transaction</w:t>
      </w:r>
      <w:r w:rsidR="00592502" w:rsidRPr="00C21161">
        <w:t>—</w:t>
      </w:r>
      <w:r w:rsidR="00C02087">
        <w:t>for example, as the Sydney branch of a foreign entity or as the ‘head office’ of a foreign entity</w:t>
      </w:r>
      <w:r w:rsidR="007E4523">
        <w:t xml:space="preserve"> and/or as having a relevant status </w:t>
      </w:r>
      <w:r w:rsidR="00BB4B1A">
        <w:t xml:space="preserve">that would overarchingly impact on a </w:t>
      </w:r>
      <w:r w:rsidR="005076C7">
        <w:t>UTI generator</w:t>
      </w:r>
      <w:r w:rsidR="00BB4B1A">
        <w:t xml:space="preserve"> determination </w:t>
      </w:r>
      <w:r w:rsidR="000B2E31">
        <w:t>(</w:t>
      </w:r>
      <w:r w:rsidR="007E4523">
        <w:t xml:space="preserve">e.g. a US </w:t>
      </w:r>
      <w:r w:rsidR="000B2E31">
        <w:t>swap dealer)</w:t>
      </w:r>
      <w:r w:rsidR="007E4523">
        <w:t>.</w:t>
      </w:r>
    </w:p>
    <w:p w14:paraId="2442BE0F" w14:textId="6C305180" w:rsidR="00B9668A" w:rsidRDefault="00C02087" w:rsidP="005B1CC3">
      <w:pPr>
        <w:pStyle w:val="BodyText"/>
      </w:pPr>
      <w:r>
        <w:t xml:space="preserve">Under this approach, </w:t>
      </w:r>
      <w:r w:rsidR="00B9668A">
        <w:t xml:space="preserve">if </w:t>
      </w:r>
      <w:r>
        <w:t>an ASIC Rules reporting requirement applies to a counterparty to a transaction</w:t>
      </w:r>
      <w:r w:rsidR="00B9668A">
        <w:t>,</w:t>
      </w:r>
      <w:r>
        <w:t xml:space="preserve"> solely because that entity has opted-in to</w:t>
      </w:r>
      <w:r w:rsidR="00B9668A">
        <w:t xml:space="preserve"> reporting ‘nexus’ transactions under the ASIC Rules, this would be disregarded by both counterparties to the transaction for the purposes of </w:t>
      </w:r>
      <w:r w:rsidR="00A92B99">
        <w:t xml:space="preserve">determining the </w:t>
      </w:r>
      <w:r w:rsidR="005076C7">
        <w:t>UTI generator</w:t>
      </w:r>
      <w:r w:rsidR="00B9668A">
        <w:t>.</w:t>
      </w:r>
    </w:p>
    <w:p w14:paraId="54B0D239" w14:textId="3995B9D3" w:rsidR="00A92B99" w:rsidRDefault="00A92B99" w:rsidP="005B1CC3">
      <w:pPr>
        <w:pStyle w:val="BodyText"/>
      </w:pPr>
      <w:r>
        <w:t xml:space="preserve">Similarly, </w:t>
      </w:r>
      <w:r w:rsidR="00B9668A">
        <w:t>if an ASIC Rules reporting requirement applies to a counterparty to a transaction, solely because that entity has entered into the transaction in this jurisdiction or booked the transaction to the account of its branch in this jurisdiction</w:t>
      </w:r>
      <w:r>
        <w:t xml:space="preserve"> but has</w:t>
      </w:r>
      <w:r w:rsidR="004D6A31">
        <w:t xml:space="preserve"> only</w:t>
      </w:r>
      <w:r>
        <w:t xml:space="preserve"> identified itself to the other counterparty as its ‘head office’, this would also be </w:t>
      </w:r>
      <w:r w:rsidR="00B9668A">
        <w:t>disregarded by both counterparties to the transaction.</w:t>
      </w:r>
    </w:p>
    <w:p w14:paraId="0923CB95" w14:textId="6A821319" w:rsidR="004D6A31" w:rsidRDefault="00A92B99" w:rsidP="005B1CC3">
      <w:pPr>
        <w:pStyle w:val="BodyText"/>
      </w:pPr>
      <w:bookmarkStart w:id="67" w:name="_ASICRef798"/>
      <w:r>
        <w:t>Counterparties to transactions would not be required to know more about the other counterparty’s jurisdictional reporting requirements than is inherent in the information they convey to each other about the capacity in which they are acting for that transaction.</w:t>
      </w:r>
      <w:bookmarkEnd w:id="67"/>
    </w:p>
    <w:p w14:paraId="659FB394" w14:textId="2AA64B0C" w:rsidR="004D6A31" w:rsidRDefault="00A92B99" w:rsidP="000B7B4A">
      <w:pPr>
        <w:pStyle w:val="BodyText"/>
      </w:pPr>
      <w:r>
        <w:lastRenderedPageBreak/>
        <w:t xml:space="preserve">ASIC </w:t>
      </w:r>
      <w:r w:rsidR="000B2E31">
        <w:t xml:space="preserve">reporting entities </w:t>
      </w:r>
      <w:r>
        <w:t xml:space="preserve">would be expected to acquire and maintain information about the jurisdictional reporting requirements of their counterparties but only down to </w:t>
      </w:r>
      <w:r w:rsidR="004D6A31">
        <w:t>any applicable branch location information and not down to any trader location information.</w:t>
      </w:r>
    </w:p>
    <w:p w14:paraId="221F7371" w14:textId="4DE481C9" w:rsidR="000C6F95" w:rsidRDefault="004D6A31" w:rsidP="000B7B4A">
      <w:pPr>
        <w:pStyle w:val="BodyText"/>
      </w:pPr>
      <w:r>
        <w:t xml:space="preserve">We note that in a </w:t>
      </w:r>
      <w:r w:rsidR="000B2E31">
        <w:t>cross</w:t>
      </w:r>
      <w:r>
        <w:t xml:space="preserve">-jurisdictional </w:t>
      </w:r>
      <w:r w:rsidR="000B2E31">
        <w:t>transaction</w:t>
      </w:r>
      <w:r>
        <w:t xml:space="preserve">, it is necessary that both counterparties take </w:t>
      </w:r>
      <w:r w:rsidR="007E471C">
        <w:t>a</w:t>
      </w:r>
      <w:r w:rsidR="007E4523">
        <w:t xml:space="preserve"> sufficiently similar </w:t>
      </w:r>
      <w:r>
        <w:t>approach to determining the set of jurisdictions from which the jurisdiction with the sooner deadline for reporting needs to be identified</w:t>
      </w:r>
      <w:r w:rsidR="000C6F95">
        <w:t>.</w:t>
      </w:r>
    </w:p>
    <w:p w14:paraId="6C78AA91" w14:textId="588BF0EF" w:rsidR="00906DAD" w:rsidRDefault="000C6F95" w:rsidP="000B7B4A">
      <w:pPr>
        <w:pStyle w:val="BodyText"/>
      </w:pPr>
      <w:r>
        <w:t>For example, notwithstanding that ‘Foreign Bank (Sydney branch)’ only identifies itself to its Country X counterparty as ‘Foreign Bank (head office)</w:t>
      </w:r>
      <w:r w:rsidR="00AB212A">
        <w:t>’</w:t>
      </w:r>
      <w:r>
        <w:t>, the reporting rules of Country X may require that the Country X counterparty interpret that a</w:t>
      </w:r>
      <w:r w:rsidR="00906DAD">
        <w:t>n</w:t>
      </w:r>
      <w:r>
        <w:t xml:space="preserve"> ASIC Rules reporting requirement applies to the transaction. The effect would then be that the counterparties would be considering different sets of jurisdictions and potentially determine a different jurisdiction </w:t>
      </w:r>
      <w:r w:rsidR="00906DAD">
        <w:t xml:space="preserve">that has the sooner deadline in reporting, which may then lead to the counterparties determining a different </w:t>
      </w:r>
      <w:r w:rsidR="005076C7">
        <w:t>UTI generator</w:t>
      </w:r>
      <w:r w:rsidR="00906DAD">
        <w:t>.</w:t>
      </w:r>
    </w:p>
    <w:p w14:paraId="6E8663CA" w14:textId="42E64CFF" w:rsidR="007E471C" w:rsidRDefault="00906DAD" w:rsidP="000B7B4A">
      <w:pPr>
        <w:pStyle w:val="BodyText"/>
      </w:pPr>
      <w:r>
        <w:t xml:space="preserve">In light of the cross-jurisdictional </w:t>
      </w:r>
      <w:r w:rsidR="007E4523">
        <w:t xml:space="preserve">interpretive alignment that is inherent </w:t>
      </w:r>
      <w:r w:rsidR="007E471C">
        <w:t xml:space="preserve">in assuring a common </w:t>
      </w:r>
      <w:r w:rsidR="005076C7">
        <w:t>UTI generator</w:t>
      </w:r>
      <w:r w:rsidR="007E471C">
        <w:t xml:space="preserve"> outcome among counterparties in different jurisdictions, we are not currently able to formally propose the above approach.</w:t>
      </w:r>
    </w:p>
    <w:p w14:paraId="2C83F660" w14:textId="321EE025" w:rsidR="00D7702D" w:rsidRDefault="007E471C" w:rsidP="008C662A">
      <w:pPr>
        <w:pStyle w:val="BodyText"/>
      </w:pPr>
      <w:r>
        <w:t xml:space="preserve">The Australian regulators have been engaged with our regional peer regulators and we consider there is merit in more fully assessing this approach, including further scenario analysis of cross-jurisdictional generic counterparty pairings in transactions. </w:t>
      </w:r>
      <w:r w:rsidR="00B72959">
        <w:t>We are also working within the CDIDE to encourage discussion and resolution of such issues.</w:t>
      </w:r>
    </w:p>
    <w:p w14:paraId="32C999F8" w14:textId="77777777" w:rsidR="008C662A" w:rsidRDefault="008C662A" w:rsidP="008C662A">
      <w:pPr>
        <w:pStyle w:val="Proposalhead"/>
      </w:pPr>
      <w:r>
        <w:t>Proposal</w:t>
      </w:r>
    </w:p>
    <w:p w14:paraId="7B2480A7" w14:textId="200925DC" w:rsidR="008C662A" w:rsidRDefault="00ED061C">
      <w:pPr>
        <w:pStyle w:val="Proposaltext"/>
      </w:pPr>
      <w:r>
        <w:t xml:space="preserve">We are not making a formal proposal in relation to </w:t>
      </w:r>
      <w:r w:rsidR="006D3393">
        <w:t xml:space="preserve">a UTI cross-jurisdictional test </w:t>
      </w:r>
      <w:r>
        <w:t>at this time but we seek your feedback</w:t>
      </w:r>
      <w:r w:rsidR="006D517B">
        <w:t xml:space="preserve"> as set out below.</w:t>
      </w:r>
    </w:p>
    <w:p w14:paraId="42688466" w14:textId="77777777" w:rsidR="008C662A" w:rsidRDefault="008C662A">
      <w:pPr>
        <w:pStyle w:val="Feedbackhead"/>
      </w:pPr>
      <w:r>
        <w:t>Your feedback</w:t>
      </w:r>
    </w:p>
    <w:p w14:paraId="05B219E3" w14:textId="2F8A513A" w:rsidR="006D517B" w:rsidRDefault="00BE4E79" w:rsidP="006D517B">
      <w:pPr>
        <w:pStyle w:val="Feedbackquestion"/>
      </w:pPr>
      <w:r>
        <w:t xml:space="preserve">Do you consider that </w:t>
      </w:r>
      <w:r w:rsidR="006D517B">
        <w:t xml:space="preserve">the approach </w:t>
      </w:r>
      <w:r w:rsidR="006D3393">
        <w:t xml:space="preserve">outlined in paragraphs </w:t>
      </w:r>
      <w:r w:rsidR="006D3393">
        <w:fldChar w:fldCharType="begin"/>
      </w:r>
      <w:r w:rsidR="006D3393">
        <w:instrText xml:space="preserve"> REF _ASICRef103 \w \h </w:instrText>
      </w:r>
      <w:r w:rsidR="006D3393">
        <w:fldChar w:fldCharType="separate"/>
      </w:r>
      <w:r w:rsidR="00314C7E">
        <w:t>103</w:t>
      </w:r>
      <w:r w:rsidR="006D3393">
        <w:fldChar w:fldCharType="end"/>
      </w:r>
      <w:r w:rsidR="006D3393">
        <w:t>–</w:t>
      </w:r>
      <w:r w:rsidR="006D3393">
        <w:fldChar w:fldCharType="begin"/>
      </w:r>
      <w:r w:rsidR="006D3393">
        <w:instrText xml:space="preserve"> REF _ASICRef798 \w \h </w:instrText>
      </w:r>
      <w:r w:rsidR="006D3393">
        <w:fldChar w:fldCharType="separate"/>
      </w:r>
      <w:r w:rsidR="00314C7E">
        <w:t>107</w:t>
      </w:r>
      <w:r w:rsidR="006D3393">
        <w:fldChar w:fldCharType="end"/>
      </w:r>
      <w:r w:rsidR="006D3393">
        <w:t xml:space="preserve"> </w:t>
      </w:r>
      <w:r>
        <w:t xml:space="preserve">would assist in clarifying the </w:t>
      </w:r>
      <w:r w:rsidR="006D517B">
        <w:t>determin</w:t>
      </w:r>
      <w:r>
        <w:t xml:space="preserve">ation of a </w:t>
      </w:r>
      <w:r w:rsidR="005076C7">
        <w:t>UTI generator</w:t>
      </w:r>
      <w:r w:rsidR="006D517B">
        <w:t>? In your response, please give detailed reasons for your answer.</w:t>
      </w:r>
    </w:p>
    <w:p w14:paraId="6E1B80F6" w14:textId="51C8B831" w:rsidR="00BB4B1A" w:rsidRDefault="006D517B" w:rsidP="006D517B">
      <w:pPr>
        <w:pStyle w:val="Feedbackquestion"/>
      </w:pPr>
      <w:r>
        <w:t xml:space="preserve">Do you consider that the capacity in which a counterparty is acting should include </w:t>
      </w:r>
      <w:r w:rsidR="00BB4B1A">
        <w:t xml:space="preserve">any status information that </w:t>
      </w:r>
      <w:r w:rsidR="00BB4B1A" w:rsidRPr="00BB4B1A">
        <w:t xml:space="preserve">would overarchingly impact on a </w:t>
      </w:r>
      <w:r w:rsidR="005076C7">
        <w:t>UTI generator</w:t>
      </w:r>
      <w:r w:rsidR="00BB4B1A" w:rsidRPr="00BB4B1A">
        <w:t xml:space="preserve"> determination</w:t>
      </w:r>
      <w:r w:rsidR="00BB4B1A">
        <w:t>?</w:t>
      </w:r>
      <w:r w:rsidR="00BE4E79">
        <w:t xml:space="preserve"> In your response, please give detailed reasons for your answer</w:t>
      </w:r>
      <w:r w:rsidR="00DD655A">
        <w:t>.</w:t>
      </w:r>
    </w:p>
    <w:p w14:paraId="7FDE60AB" w14:textId="733DA1BE" w:rsidR="00BB4B1A" w:rsidRDefault="00BB4B1A" w:rsidP="006D517B">
      <w:pPr>
        <w:pStyle w:val="Feedbackquestion"/>
      </w:pPr>
      <w:r>
        <w:lastRenderedPageBreak/>
        <w:t>Do you consider there are significant impediments for you in obtaining such capacity information from your counterparties or conveying such capacity information to them?</w:t>
      </w:r>
      <w:r w:rsidR="00BE4E79">
        <w:t xml:space="preserve"> In your response, please give detailed reasons for your answer</w:t>
      </w:r>
      <w:r w:rsidR="00DD655A">
        <w:t>.</w:t>
      </w:r>
    </w:p>
    <w:p w14:paraId="39EE327C" w14:textId="399C2CE3" w:rsidR="00BE4E79" w:rsidRDefault="00BB4B1A" w:rsidP="006D517B">
      <w:pPr>
        <w:pStyle w:val="Feedbackquestion"/>
      </w:pPr>
      <w:r>
        <w:t>Do you consider there are particular transaction circumstances</w:t>
      </w:r>
      <w:r w:rsidR="00507EF7">
        <w:t xml:space="preserve"> (</w:t>
      </w:r>
      <w:r>
        <w:t>such as counterparty domicile/branch location/status combinations</w:t>
      </w:r>
      <w:r w:rsidR="00507EF7">
        <w:t xml:space="preserve">) </w:t>
      </w:r>
      <w:r>
        <w:t xml:space="preserve">where </w:t>
      </w:r>
      <w:r w:rsidR="00BE4E79">
        <w:t>the approach</w:t>
      </w:r>
      <w:r>
        <w:t xml:space="preserve"> </w:t>
      </w:r>
      <w:r w:rsidR="006D3393">
        <w:t xml:space="preserve">outlined in paragraphs </w:t>
      </w:r>
      <w:r w:rsidR="006D3393">
        <w:fldChar w:fldCharType="begin"/>
      </w:r>
      <w:r w:rsidR="006D3393">
        <w:instrText xml:space="preserve"> REF _ASICRef103 \w \h </w:instrText>
      </w:r>
      <w:r w:rsidR="006D3393">
        <w:fldChar w:fldCharType="separate"/>
      </w:r>
      <w:r w:rsidR="00314C7E">
        <w:t>103</w:t>
      </w:r>
      <w:r w:rsidR="006D3393">
        <w:fldChar w:fldCharType="end"/>
      </w:r>
      <w:r w:rsidR="006D3393">
        <w:t>–</w:t>
      </w:r>
      <w:r w:rsidR="006D3393">
        <w:fldChar w:fldCharType="begin"/>
      </w:r>
      <w:r w:rsidR="006D3393">
        <w:instrText xml:space="preserve"> REF _ASICRef798 \w \h </w:instrText>
      </w:r>
      <w:r w:rsidR="006D3393">
        <w:fldChar w:fldCharType="separate"/>
      </w:r>
      <w:r w:rsidR="00314C7E">
        <w:t>107</w:t>
      </w:r>
      <w:r w:rsidR="006D3393">
        <w:fldChar w:fldCharType="end"/>
      </w:r>
      <w:r w:rsidR="006D3393">
        <w:t xml:space="preserve"> </w:t>
      </w:r>
      <w:r w:rsidR="00BE4E79">
        <w:t xml:space="preserve">would not assist in clarifying how to determine a </w:t>
      </w:r>
      <w:r w:rsidR="005076C7">
        <w:t>UTI generator</w:t>
      </w:r>
      <w:r w:rsidR="00BE4E79">
        <w:t>? In your response, please give detailed reasons for your answer.</w:t>
      </w:r>
    </w:p>
    <w:p w14:paraId="3EAC0F1A" w14:textId="0529FA46" w:rsidR="008C662A" w:rsidRDefault="006D517B" w:rsidP="0087655B">
      <w:pPr>
        <w:pStyle w:val="Feedbackquestion"/>
      </w:pPr>
      <w:r>
        <w:t xml:space="preserve">Do you have any other comments about the </w:t>
      </w:r>
      <w:r w:rsidR="00BE4E79">
        <w:t>approach</w:t>
      </w:r>
      <w:r w:rsidR="006D3393">
        <w:t xml:space="preserve"> outlined in paragraphs </w:t>
      </w:r>
      <w:r w:rsidR="006D3393">
        <w:fldChar w:fldCharType="begin"/>
      </w:r>
      <w:r w:rsidR="006D3393">
        <w:instrText xml:space="preserve"> REF _ASICRef103 \w \h </w:instrText>
      </w:r>
      <w:r w:rsidR="006D3393">
        <w:fldChar w:fldCharType="separate"/>
      </w:r>
      <w:r w:rsidR="00314C7E">
        <w:t>103</w:t>
      </w:r>
      <w:r w:rsidR="006D3393">
        <w:fldChar w:fldCharType="end"/>
      </w:r>
      <w:r w:rsidR="006D3393">
        <w:t>–</w:t>
      </w:r>
      <w:r w:rsidR="006D3393">
        <w:fldChar w:fldCharType="begin"/>
      </w:r>
      <w:r w:rsidR="006D3393">
        <w:instrText xml:space="preserve"> REF _ASICRef798 \w \h </w:instrText>
      </w:r>
      <w:r w:rsidR="006D3393">
        <w:fldChar w:fldCharType="separate"/>
      </w:r>
      <w:r w:rsidR="00314C7E">
        <w:t>107</w:t>
      </w:r>
      <w:r w:rsidR="006D3393">
        <w:fldChar w:fldCharType="end"/>
      </w:r>
      <w:r w:rsidR="00BE4E79">
        <w:t>?</w:t>
      </w:r>
    </w:p>
    <w:p w14:paraId="7928C8B2" w14:textId="543AD844" w:rsidR="008F594D" w:rsidRPr="00724864" w:rsidRDefault="00FB5E55" w:rsidP="00FB5E55">
      <w:pPr>
        <w:pStyle w:val="Heading3"/>
        <w:rPr>
          <w:highlight w:val="yellow"/>
        </w:rPr>
      </w:pPr>
      <w:r w:rsidRPr="0023577D">
        <w:t>Does one of the jurisdictions have a sooner deadline for reporting</w:t>
      </w:r>
      <w:r>
        <w:t>?</w:t>
      </w:r>
    </w:p>
    <w:p w14:paraId="385C075D" w14:textId="7E2C8153" w:rsidR="0005065E" w:rsidRDefault="0005065E" w:rsidP="00724864">
      <w:pPr>
        <w:pStyle w:val="BodyText"/>
      </w:pPr>
      <w:r>
        <w:t xml:space="preserve">Having determined that a transaction is cross-jurisdictional, the </w:t>
      </w:r>
      <w:r w:rsidR="00456DEE">
        <w:t xml:space="preserve">UTI </w:t>
      </w:r>
      <w:r>
        <w:t xml:space="preserve">Guidance then considers at </w:t>
      </w:r>
      <w:r w:rsidR="00B3425A">
        <w:t xml:space="preserve">step </w:t>
      </w:r>
      <w:r>
        <w:t>10 ‘</w:t>
      </w:r>
      <w:r w:rsidRPr="0005065E">
        <w:t>Does one of the jurisdictions have a sooner deadline for reporting than the other(s)?</w:t>
      </w:r>
      <w:r>
        <w:t>’ and, if so, ‘</w:t>
      </w:r>
      <w:r w:rsidRPr="0005065E">
        <w:t>the UTI generation rules of the jurisdiction with the sooner reporting deadline should be followed</w:t>
      </w:r>
      <w:r>
        <w:t>’.</w:t>
      </w:r>
    </w:p>
    <w:p w14:paraId="2C0C6171" w14:textId="1E20968A" w:rsidR="00724864" w:rsidRDefault="0005065E" w:rsidP="00724864">
      <w:pPr>
        <w:pStyle w:val="BodyText"/>
      </w:pPr>
      <w:r>
        <w:t xml:space="preserve">We </w:t>
      </w:r>
      <w:r w:rsidR="009C1E8B">
        <w:t>consider</w:t>
      </w:r>
      <w:r>
        <w:t xml:space="preserve"> it</w:t>
      </w:r>
      <w:r w:rsidR="00724864" w:rsidRPr="00724864">
        <w:t xml:space="preserve"> is unclear how jurisdictions interpret the</w:t>
      </w:r>
      <w:r w:rsidR="00724864">
        <w:t xml:space="preserve"> UTI Guidance’s</w:t>
      </w:r>
      <w:r w:rsidR="00724864" w:rsidRPr="00724864">
        <w:t xml:space="preserve"> ‘sooner deadline</w:t>
      </w:r>
      <w:r w:rsidR="00724864">
        <w:t xml:space="preserve"> for reporting</w:t>
      </w:r>
      <w:r w:rsidR="00724864" w:rsidRPr="00724864">
        <w:t>’ test</w:t>
      </w:r>
      <w:r>
        <w:t>.</w:t>
      </w:r>
    </w:p>
    <w:p w14:paraId="7CCA1943" w14:textId="6F3BD36B" w:rsidR="00687525" w:rsidRDefault="00724864" w:rsidP="00724864">
      <w:pPr>
        <w:pStyle w:val="BodyText"/>
      </w:pPr>
      <w:r>
        <w:t xml:space="preserve">Rule 2.2.3 of the ASIC </w:t>
      </w:r>
      <w:r w:rsidR="00DD655A">
        <w:t>R</w:t>
      </w:r>
      <w:r>
        <w:t>ules specifies a reporting deadline as ‘the end of the next Business Day after the requirement to report</w:t>
      </w:r>
      <w:r w:rsidR="00687525">
        <w:t xml:space="preserve"> the information or change arises’</w:t>
      </w:r>
      <w:r w:rsidR="00DD655A" w:rsidRPr="00DD52CC">
        <w:t>—</w:t>
      </w:r>
      <w:r w:rsidR="00687525">
        <w:t xml:space="preserve">the requirement arises when a </w:t>
      </w:r>
      <w:r w:rsidR="00DD655A">
        <w:t xml:space="preserve">reportable transaction </w:t>
      </w:r>
      <w:r w:rsidR="00687525">
        <w:t xml:space="preserve">occurs which is, per Rule 1.2.5, the entry into, modification, termination or assignment of an OTC </w:t>
      </w:r>
      <w:r w:rsidR="00A841AF">
        <w:t>derivative</w:t>
      </w:r>
      <w:r w:rsidR="00687525">
        <w:t>.</w:t>
      </w:r>
    </w:p>
    <w:p w14:paraId="05E259A9" w14:textId="049BF1A1" w:rsidR="00F304FC" w:rsidRDefault="00687525" w:rsidP="00724864">
      <w:pPr>
        <w:pStyle w:val="BodyText"/>
      </w:pPr>
      <w:r>
        <w:t xml:space="preserve">This is a ‘T+1’ reporting deadline, as is the reporting deadline in the </w:t>
      </w:r>
      <w:r w:rsidR="00670559">
        <w:t>European Union</w:t>
      </w:r>
      <w:r w:rsidR="00F304FC">
        <w:t xml:space="preserve">, </w:t>
      </w:r>
      <w:r w:rsidR="00670559">
        <w:t>the United Kingdom</w:t>
      </w:r>
      <w:r w:rsidR="00DD655A">
        <w:t xml:space="preserve">, </w:t>
      </w:r>
      <w:r w:rsidR="00670559" w:rsidRPr="00724864">
        <w:t>Canad</w:t>
      </w:r>
      <w:r w:rsidR="00670559">
        <w:t xml:space="preserve">a </w:t>
      </w:r>
      <w:r w:rsidR="00724864" w:rsidRPr="00724864">
        <w:t xml:space="preserve">and </w:t>
      </w:r>
      <w:r w:rsidR="00F304FC">
        <w:t>other jurisdictions.</w:t>
      </w:r>
    </w:p>
    <w:p w14:paraId="605655CC" w14:textId="7082EE00" w:rsidR="00683784" w:rsidRDefault="00683784" w:rsidP="00724864">
      <w:pPr>
        <w:pStyle w:val="BodyText"/>
      </w:pPr>
      <w:r>
        <w:t>As we understand the final CFTC rules, the vast majority of CFTC reportable transactions are subject to a real-time public repor</w:t>
      </w:r>
      <w:r w:rsidR="00724864" w:rsidRPr="00724864">
        <w:t>t</w:t>
      </w:r>
      <w:r>
        <w:t xml:space="preserve">ing requirement to report the transactions </w:t>
      </w:r>
      <w:r w:rsidRPr="00683784">
        <w:t>‘as soon as technologically possible’ (ASATP)</w:t>
      </w:r>
      <w:r>
        <w:t>. Some types of CFTC reportable transactions are not subject to this ASATP requirement, such as transactions created by clearing or following portfolio compression of CCP default management processes</w:t>
      </w:r>
      <w:r w:rsidR="00DD655A" w:rsidRPr="004E304A">
        <w:t>—</w:t>
      </w:r>
      <w:r>
        <w:t>these types of transactions are subject to, generally, a T+1 reporting deadline.</w:t>
      </w:r>
    </w:p>
    <w:p w14:paraId="2952F388" w14:textId="4A5EBD98" w:rsidR="00724864" w:rsidRDefault="00683784" w:rsidP="00724864">
      <w:pPr>
        <w:pStyle w:val="BodyText"/>
      </w:pPr>
      <w:r>
        <w:t xml:space="preserve">Where a </w:t>
      </w:r>
      <w:r w:rsidR="00DD655A">
        <w:t>cross</w:t>
      </w:r>
      <w:r>
        <w:t xml:space="preserve">-jurisdictional </w:t>
      </w:r>
      <w:r w:rsidR="00DD655A">
        <w:t xml:space="preserve">transaction </w:t>
      </w:r>
      <w:r>
        <w:t xml:space="preserve">is </w:t>
      </w:r>
      <w:r w:rsidRPr="002B63DA">
        <w:t>subject to m</w:t>
      </w:r>
      <w:r w:rsidRPr="009A75F8">
        <w:t>ore than one jurisdiction’s reporting rules</w:t>
      </w:r>
      <w:r>
        <w:t xml:space="preserve"> </w:t>
      </w:r>
      <w:r w:rsidR="0075766D">
        <w:t>and this involves more than one jurisdiction with a T+1 reporting deadline, w</w:t>
      </w:r>
      <w:r>
        <w:t xml:space="preserve">e </w:t>
      </w:r>
      <w:r w:rsidR="009C1E8B">
        <w:t>consider</w:t>
      </w:r>
      <w:r>
        <w:t xml:space="preserve"> </w:t>
      </w:r>
      <w:r w:rsidR="00A841AF">
        <w:t xml:space="preserve">that </w:t>
      </w:r>
      <w:r>
        <w:t>the p</w:t>
      </w:r>
      <w:r w:rsidR="00207DDE">
        <w:t xml:space="preserve">ossible interpretations </w:t>
      </w:r>
      <w:r w:rsidR="0075766D">
        <w:lastRenderedPageBreak/>
        <w:t xml:space="preserve">for </w:t>
      </w:r>
      <w:r>
        <w:t xml:space="preserve">determining which </w:t>
      </w:r>
      <w:r w:rsidR="0075766D">
        <w:t>jurisdiction has the sooner deadline for reporting include:</w:t>
      </w:r>
    </w:p>
    <w:p w14:paraId="664EA3FB" w14:textId="767F7E4E" w:rsidR="00207DDE" w:rsidRDefault="0075766D" w:rsidP="00207DDE">
      <w:pPr>
        <w:pStyle w:val="subparaa"/>
      </w:pPr>
      <w:r>
        <w:t>a ‘semantic’ interpretation such that a</w:t>
      </w:r>
      <w:r w:rsidR="00207DDE">
        <w:t>ll</w:t>
      </w:r>
      <w:r w:rsidR="00207DDE" w:rsidRPr="00207DDE">
        <w:t xml:space="preserve"> </w:t>
      </w:r>
      <w:r w:rsidR="00207DDE">
        <w:t xml:space="preserve">T+1 </w:t>
      </w:r>
      <w:r>
        <w:t xml:space="preserve">reporting </w:t>
      </w:r>
      <w:r w:rsidR="00207DDE">
        <w:t>deadline</w:t>
      </w:r>
      <w:r>
        <w:t>s</w:t>
      </w:r>
      <w:r w:rsidR="00207DDE">
        <w:t xml:space="preserve"> are the same</w:t>
      </w:r>
      <w:r>
        <w:t xml:space="preserve"> deadline</w:t>
      </w:r>
      <w:r w:rsidR="00207DDE">
        <w:t>;</w:t>
      </w:r>
    </w:p>
    <w:p w14:paraId="71F5C300" w14:textId="3B2DA49F" w:rsidR="00207DDE" w:rsidRDefault="0075766D" w:rsidP="00207DDE">
      <w:pPr>
        <w:pStyle w:val="subparaa"/>
      </w:pPr>
      <w:r>
        <w:t>a ‘follow the sun’ interpretation such that</w:t>
      </w:r>
      <w:r w:rsidR="00DD52CC">
        <w:t>, for example,</w:t>
      </w:r>
      <w:r>
        <w:t xml:space="preserve"> Australia is always sooner than </w:t>
      </w:r>
      <w:r w:rsidR="00207DDE">
        <w:t xml:space="preserve">the </w:t>
      </w:r>
      <w:r w:rsidR="00670559">
        <w:t>European Union</w:t>
      </w:r>
      <w:r w:rsidR="00207DDE">
        <w:t>/</w:t>
      </w:r>
      <w:r w:rsidR="00670559">
        <w:t xml:space="preserve">United Kingdom </w:t>
      </w:r>
      <w:r>
        <w:t xml:space="preserve">which </w:t>
      </w:r>
      <w:r w:rsidR="00207DDE">
        <w:t xml:space="preserve">is always sooner than the </w:t>
      </w:r>
      <w:r w:rsidR="00670559">
        <w:t>United States</w:t>
      </w:r>
      <w:r w:rsidR="00207DDE">
        <w:t>/Canada</w:t>
      </w:r>
      <w:r>
        <w:t>;</w:t>
      </w:r>
      <w:r w:rsidR="00207DDE">
        <w:t xml:space="preserve"> or</w:t>
      </w:r>
    </w:p>
    <w:p w14:paraId="29FB2377" w14:textId="77777777" w:rsidR="0075766D" w:rsidRDefault="0075766D" w:rsidP="00207DDE">
      <w:pPr>
        <w:pStyle w:val="subparaa"/>
      </w:pPr>
      <w:r>
        <w:t>an ‘execution clock’ interpretation such that the next occurring actual reporting deadline is sooner than, in turn, each of the successive actual reporting deadlines.</w:t>
      </w:r>
    </w:p>
    <w:p w14:paraId="6268846C" w14:textId="77777777" w:rsidR="00631905" w:rsidRDefault="00631905" w:rsidP="0075766D">
      <w:pPr>
        <w:pStyle w:val="BodyText"/>
      </w:pPr>
      <w:r>
        <w:t xml:space="preserve">By ‘execution clock’ interpretation, we mean that, at the time of execution of a transaction, there is a known number of hours until midnight on the day that is </w:t>
      </w:r>
      <w:r w:rsidR="00207DDE">
        <w:t xml:space="preserve">T+1 </w:t>
      </w:r>
      <w:r>
        <w:t>in each relevant jurisdiction and the jurisdiction in which this number of hours is the lowest number is the jurisdiction with the soonest deadline for reporting. For example:</w:t>
      </w:r>
    </w:p>
    <w:p w14:paraId="34F63837" w14:textId="652AAB20" w:rsidR="00017749" w:rsidRDefault="004C3C7E" w:rsidP="00631905">
      <w:pPr>
        <w:pStyle w:val="subparaa"/>
      </w:pPr>
      <w:r>
        <w:t xml:space="preserve">a </w:t>
      </w:r>
      <w:r w:rsidR="00631905">
        <w:t>transaction is executed between an Australian entity and an EU entity at 4</w:t>
      </w:r>
      <w:r w:rsidR="00CB6B6A">
        <w:t xml:space="preserve"> </w:t>
      </w:r>
      <w:r w:rsidR="00631905">
        <w:t>pm Sydney time Tuesday/7</w:t>
      </w:r>
      <w:r w:rsidR="00CB6B6A">
        <w:t xml:space="preserve"> </w:t>
      </w:r>
      <w:r w:rsidR="00631905">
        <w:t xml:space="preserve">am Paris time Tuesday. </w:t>
      </w:r>
      <w:r w:rsidR="00017749">
        <w:t>The Australian reporting deadline is 32 hours later and the EU reporting deadline is 41</w:t>
      </w:r>
      <w:r>
        <w:t> </w:t>
      </w:r>
      <w:r w:rsidR="00017749">
        <w:t>hours later. Therefore, Australia is the jurisdiction with the sooner reporting deadline</w:t>
      </w:r>
      <w:r w:rsidR="00A841AF">
        <w:t>;</w:t>
      </w:r>
    </w:p>
    <w:p w14:paraId="03FC3791" w14:textId="61113D41" w:rsidR="00017749" w:rsidRDefault="004C3C7E" w:rsidP="00017749">
      <w:pPr>
        <w:pStyle w:val="subparaa"/>
      </w:pPr>
      <w:r>
        <w:t xml:space="preserve">a </w:t>
      </w:r>
      <w:r w:rsidR="00017749">
        <w:t>transaction is executed 10 hours later between an Australian entity and an EU entity at 2</w:t>
      </w:r>
      <w:r w:rsidR="00CB6B6A">
        <w:t xml:space="preserve"> </w:t>
      </w:r>
      <w:r w:rsidR="00017749">
        <w:t>am Sydney time Wednesday/5</w:t>
      </w:r>
      <w:r w:rsidR="00CB6B6A">
        <w:t xml:space="preserve"> </w:t>
      </w:r>
      <w:r w:rsidR="00017749">
        <w:t xml:space="preserve">pm Paris time Tuesday. The Australian reporting deadline is 46 hours later and the EU reporting deadline is 31 hours later. Therefore, the </w:t>
      </w:r>
      <w:r w:rsidR="00670559">
        <w:t xml:space="preserve">European Union </w:t>
      </w:r>
      <w:r w:rsidR="00017749">
        <w:t>is the jurisdiction with the sooner reporting deadline.</w:t>
      </w:r>
    </w:p>
    <w:p w14:paraId="3B733CF4" w14:textId="5AEECE26" w:rsidR="00EF2D0D" w:rsidRDefault="00EF2D0D" w:rsidP="00017749">
      <w:pPr>
        <w:pStyle w:val="BodyText"/>
      </w:pPr>
      <w:r>
        <w:t>In practice, at a particular point in time, there would be a ‘queue’ of T+1 jurisdictions according to the amount of time remaining until each jurisdiction’s actual reporting deadline. As midnight passes in the jurisdiction at the front of the ‘queue’, that jurisdiction would move to the back of the queue. This cycling would occur through the course of the day and adjusting for changes in ‘</w:t>
      </w:r>
      <w:r w:rsidR="00317745">
        <w:t>summertime</w:t>
      </w:r>
      <w:r>
        <w:t>’ in each jurisdiction.</w:t>
      </w:r>
    </w:p>
    <w:p w14:paraId="5C634A19" w14:textId="27244861" w:rsidR="00EF2D0D" w:rsidRDefault="00017749" w:rsidP="00017749">
      <w:pPr>
        <w:pStyle w:val="BodyText"/>
      </w:pPr>
      <w:r>
        <w:t xml:space="preserve">An ‘execution clock’ interpretation </w:t>
      </w:r>
      <w:r w:rsidR="00EF2D0D">
        <w:t>would be a literal interpretation of the UTI Guidance</w:t>
      </w:r>
      <w:r w:rsidR="004C3C7E" w:rsidRPr="00DD52CC">
        <w:t>—</w:t>
      </w:r>
      <w:r w:rsidR="004C3C7E">
        <w:t>that is,</w:t>
      </w:r>
      <w:r w:rsidR="00EF2D0D">
        <w:t xml:space="preserve"> ‘sooner’ as measured in the time remaining until an actual reporting deadline occurs. However, it would seem to require a significant degree of clock synchronisation among counterparties to assure that the ‘queue’ is commonly understood at all points in time.</w:t>
      </w:r>
    </w:p>
    <w:p w14:paraId="609380D2" w14:textId="14C6F47F" w:rsidR="00651C13" w:rsidRDefault="00EF2D0D" w:rsidP="00017749">
      <w:pPr>
        <w:pStyle w:val="BodyText"/>
      </w:pPr>
      <w:r>
        <w:t>A ‘follow the sun’ interpretation is also a ‘queue’ but it is a static ‘queue</w:t>
      </w:r>
      <w:r w:rsidR="00651C13">
        <w:t xml:space="preserve">’ with the positions of the relevant jurisdictions never changing. Note that such a </w:t>
      </w:r>
      <w:r w:rsidR="004C3C7E">
        <w:t>‘</w:t>
      </w:r>
      <w:r w:rsidR="00651C13">
        <w:t>queue’ need not be sunrise-based</w:t>
      </w:r>
      <w:r w:rsidR="004C3C7E" w:rsidRPr="009F30AD">
        <w:t>—</w:t>
      </w:r>
      <w:r w:rsidR="00D138E1">
        <w:t xml:space="preserve">it </w:t>
      </w:r>
      <w:r w:rsidR="00651C13">
        <w:t>could be in any order but with the key feature that is forever static</w:t>
      </w:r>
      <w:r w:rsidR="00D138E1">
        <w:t xml:space="preserve"> and readily and commonly understood by counterparties</w:t>
      </w:r>
      <w:r w:rsidR="00651C13">
        <w:t>.</w:t>
      </w:r>
    </w:p>
    <w:p w14:paraId="0D9CC998" w14:textId="0C1AC88B" w:rsidR="00ED59BD" w:rsidRDefault="00ED59BD" w:rsidP="00A6701F">
      <w:pPr>
        <w:pStyle w:val="BodyText"/>
        <w:spacing w:line="290" w:lineRule="atLeast"/>
      </w:pPr>
      <w:r>
        <w:lastRenderedPageBreak/>
        <w:t xml:space="preserve">Under this </w:t>
      </w:r>
      <w:r w:rsidR="00D138E1">
        <w:t>approach</w:t>
      </w:r>
      <w:r>
        <w:t xml:space="preserve">, there are circumstances where the </w:t>
      </w:r>
      <w:r w:rsidR="005076C7">
        <w:t>UTI generator</w:t>
      </w:r>
      <w:r>
        <w:t xml:space="preserve"> would be determined by the rules of the jurisdiction that does not actually have the sooner reporting deadline and there may be some lack of incentive or compulsion for the prompt generation and transmission of the UTI. However, this potential risk is prevalent in all approaches and underscores the importance for regulators in all jurisdictions to provide the right incentives or compulsion for the prompt generation and transmission of the UTI.</w:t>
      </w:r>
    </w:p>
    <w:p w14:paraId="6069EAE8" w14:textId="41D4407B" w:rsidR="00207DDE" w:rsidRDefault="00ED59BD" w:rsidP="00A6701F">
      <w:pPr>
        <w:pStyle w:val="BodyText"/>
        <w:spacing w:line="290" w:lineRule="atLeast"/>
      </w:pPr>
      <w:r>
        <w:t xml:space="preserve">A ‘semantic’ interpretation that all T+1 reporting deadlines are the same reporting deadline </w:t>
      </w:r>
      <w:r w:rsidR="0005065E">
        <w:t>is allowed for in the UTI Guidance</w:t>
      </w:r>
      <w:r w:rsidR="004C3C7E" w:rsidRPr="009F30AD">
        <w:t>—</w:t>
      </w:r>
      <w:r w:rsidR="0005065E">
        <w:t xml:space="preserve">the answer to the </w:t>
      </w:r>
      <w:r w:rsidR="00B3425A">
        <w:t xml:space="preserve">step </w:t>
      </w:r>
      <w:r w:rsidR="0005065E">
        <w:t xml:space="preserve">10 question would be ‘No’ and the UTI Guidance then points to </w:t>
      </w:r>
      <w:r w:rsidR="00B3425A">
        <w:t>steps </w:t>
      </w:r>
      <w:r w:rsidR="0005065E">
        <w:t xml:space="preserve">11 </w:t>
      </w:r>
      <w:r w:rsidR="004C3C7E">
        <w:t>to</w:t>
      </w:r>
      <w:r w:rsidR="00DD52CC">
        <w:t xml:space="preserve"> </w:t>
      </w:r>
      <w:r w:rsidR="0005065E">
        <w:t>13, as required.</w:t>
      </w:r>
    </w:p>
    <w:p w14:paraId="0F7B7B42" w14:textId="71217DB8" w:rsidR="0005065E" w:rsidRDefault="0005065E" w:rsidP="00A6701F">
      <w:pPr>
        <w:pStyle w:val="BodyText"/>
        <w:spacing w:line="290" w:lineRule="atLeast"/>
      </w:pPr>
      <w:r>
        <w:t xml:space="preserve">We do </w:t>
      </w:r>
      <w:r w:rsidR="001D1991">
        <w:t xml:space="preserve">not have a strong regulatory preference for any particular approach, except that we anticipate that industry would </w:t>
      </w:r>
      <w:r>
        <w:t>not favour th</w:t>
      </w:r>
      <w:r w:rsidR="001D1991">
        <w:t>e</w:t>
      </w:r>
      <w:r>
        <w:t xml:space="preserve"> ‘semantic’ interpretation as it would lead to UTI steps that bear little alignment with the </w:t>
      </w:r>
      <w:r w:rsidR="009822AC">
        <w:t xml:space="preserve">single-jurisdictional </w:t>
      </w:r>
      <w:r w:rsidR="004C3C7E">
        <w:t xml:space="preserve">transaction </w:t>
      </w:r>
      <w:r w:rsidR="001D1991">
        <w:t>models of the UTI Guidance and as proposed or implemented in other jurisdictions.</w:t>
      </w:r>
    </w:p>
    <w:p w14:paraId="21F22DDE" w14:textId="2CE0EAAA" w:rsidR="001D1991" w:rsidRDefault="001D1991" w:rsidP="00A6701F">
      <w:pPr>
        <w:pStyle w:val="BodyText"/>
        <w:spacing w:line="290" w:lineRule="atLeast"/>
      </w:pPr>
      <w:r>
        <w:t>Our regulatory preference is rather that the approach is readily and commonly understood among counterparties</w:t>
      </w:r>
      <w:r w:rsidR="008C662A">
        <w:t xml:space="preserve">, </w:t>
      </w:r>
      <w:r>
        <w:t xml:space="preserve">supports unambiguous </w:t>
      </w:r>
      <w:r w:rsidR="005076C7">
        <w:t>UTI generator</w:t>
      </w:r>
      <w:r>
        <w:t xml:space="preserve"> outcomes </w:t>
      </w:r>
      <w:r w:rsidR="008C662A">
        <w:t>and minimises complexity.</w:t>
      </w:r>
    </w:p>
    <w:p w14:paraId="2A29F4D3" w14:textId="4B97481C" w:rsidR="008C662A" w:rsidRDefault="008C662A" w:rsidP="00A6701F">
      <w:pPr>
        <w:pStyle w:val="BodyText"/>
        <w:spacing w:line="290" w:lineRule="atLeast"/>
      </w:pPr>
      <w:r>
        <w:t xml:space="preserve">In light of the cross-jurisdictional interpretive alignment that is inherent in assuring a common </w:t>
      </w:r>
      <w:r w:rsidR="005076C7">
        <w:t>UTI generator</w:t>
      </w:r>
      <w:r>
        <w:t xml:space="preserve"> outcome among counterparties in different jurisdictions and to take into account stakeholders</w:t>
      </w:r>
      <w:r w:rsidR="001E578F">
        <w:t>’</w:t>
      </w:r>
      <w:r>
        <w:t xml:space="preserve"> views and preferences, we are not currently able to formally propose a particular approach.</w:t>
      </w:r>
    </w:p>
    <w:p w14:paraId="26A216A6" w14:textId="34DDEF32" w:rsidR="008C662A" w:rsidRDefault="008C662A" w:rsidP="00A6701F">
      <w:pPr>
        <w:pStyle w:val="BodyText"/>
        <w:spacing w:line="290" w:lineRule="atLeast"/>
      </w:pPr>
      <w:r>
        <w:t xml:space="preserve">However, we are also working within the CDIDE to encourage discussion and resolution of </w:t>
      </w:r>
      <w:r w:rsidR="001E578F">
        <w:t xml:space="preserve">these </w:t>
      </w:r>
      <w:r>
        <w:t>issues.</w:t>
      </w:r>
    </w:p>
    <w:p w14:paraId="0E9824BE" w14:textId="77777777" w:rsidR="008C662A" w:rsidRDefault="008C662A" w:rsidP="008C662A">
      <w:pPr>
        <w:pStyle w:val="Proposalhead"/>
      </w:pPr>
      <w:r>
        <w:t>Proposal</w:t>
      </w:r>
    </w:p>
    <w:p w14:paraId="7DC6448B" w14:textId="08C290FA" w:rsidR="008C662A" w:rsidRDefault="00B17A35" w:rsidP="00A6701F">
      <w:pPr>
        <w:pStyle w:val="Proposaltext"/>
        <w:spacing w:line="250" w:lineRule="atLeast"/>
      </w:pPr>
      <w:r>
        <w:t xml:space="preserve">We are not making a formal proposal in relation to </w:t>
      </w:r>
      <w:r w:rsidR="005578E4">
        <w:t>a method for determining the jurisdiction with the sooner deadline for reporting</w:t>
      </w:r>
      <w:r>
        <w:t xml:space="preserve"> at this time but we seek your feedback as set out below.</w:t>
      </w:r>
    </w:p>
    <w:p w14:paraId="3A407930" w14:textId="77777777" w:rsidR="008C662A" w:rsidRDefault="008C662A">
      <w:pPr>
        <w:pStyle w:val="Feedbackhead"/>
      </w:pPr>
      <w:r>
        <w:t>Your feedback</w:t>
      </w:r>
    </w:p>
    <w:p w14:paraId="20840407" w14:textId="412E2BFA" w:rsidR="00B17A35" w:rsidRDefault="00B17A35" w:rsidP="00A6701F">
      <w:pPr>
        <w:pStyle w:val="Feedbackquestion"/>
        <w:spacing w:line="250" w:lineRule="atLeast"/>
      </w:pPr>
      <w:r>
        <w:t>Do you consider there is uncertainty in how the UTI Guidance’s</w:t>
      </w:r>
      <w:r w:rsidRPr="00724864">
        <w:t xml:space="preserve"> ‘sooner deadline</w:t>
      </w:r>
      <w:r>
        <w:t xml:space="preserve"> for reporting</w:t>
      </w:r>
      <w:r w:rsidRPr="00724864">
        <w:t>’ test</w:t>
      </w:r>
      <w:r>
        <w:t xml:space="preserve"> is interpreted? In your response, please give detailed reasons for your answer.</w:t>
      </w:r>
    </w:p>
    <w:p w14:paraId="039B4901" w14:textId="2359F55B" w:rsidR="00B17A35" w:rsidRDefault="00B17A35" w:rsidP="00A6701F">
      <w:pPr>
        <w:pStyle w:val="Feedbackquestion"/>
        <w:spacing w:line="250" w:lineRule="atLeast"/>
      </w:pPr>
      <w:r>
        <w:t>Do you consider we have correctly identified the possible interpretations? In your response, please give detailed reasons for your answer</w:t>
      </w:r>
      <w:r w:rsidR="001E578F">
        <w:t>.</w:t>
      </w:r>
    </w:p>
    <w:p w14:paraId="45D6E72F" w14:textId="3A86E58F" w:rsidR="00B17A35" w:rsidRDefault="00B17A35" w:rsidP="00A6701F">
      <w:pPr>
        <w:pStyle w:val="Feedbackquestion"/>
        <w:spacing w:line="250" w:lineRule="atLeast"/>
      </w:pPr>
      <w:r>
        <w:t>Do you have a preferred single interpretation? In your response, please give detailed reasons for your answer</w:t>
      </w:r>
      <w:r w:rsidR="001E578F">
        <w:t>.</w:t>
      </w:r>
    </w:p>
    <w:p w14:paraId="56760778" w14:textId="3F574B40" w:rsidR="008C662A" w:rsidRDefault="00B17A35" w:rsidP="00A6701F">
      <w:pPr>
        <w:pStyle w:val="Feedbackquestion"/>
        <w:spacing w:line="250" w:lineRule="atLeast"/>
      </w:pPr>
      <w:r>
        <w:t>Do you have any other comments about this issue?</w:t>
      </w:r>
    </w:p>
    <w:p w14:paraId="5C6FE404" w14:textId="311A19E1" w:rsidR="008C662A" w:rsidRPr="00724864" w:rsidRDefault="008C662A" w:rsidP="008C662A">
      <w:pPr>
        <w:pStyle w:val="Heading3"/>
        <w:rPr>
          <w:highlight w:val="yellow"/>
        </w:rPr>
      </w:pPr>
      <w:r>
        <w:lastRenderedPageBreak/>
        <w:t xml:space="preserve">What are the rules when Australia is the jurisdiction with the </w:t>
      </w:r>
      <w:r w:rsidRPr="0023577D">
        <w:t>sooner deadline for reporting</w:t>
      </w:r>
      <w:r>
        <w:t>?</w:t>
      </w:r>
    </w:p>
    <w:p w14:paraId="44B68C1C" w14:textId="05B63789" w:rsidR="008C662A" w:rsidRDefault="008C662A" w:rsidP="00017749">
      <w:pPr>
        <w:pStyle w:val="BodyText"/>
      </w:pPr>
      <w:r>
        <w:t xml:space="preserve">Whichever is the final approach to determining the jurisdiction with the sooner deadline for reporting, there will be circumstances where Australia is the sooner jurisdiction and the </w:t>
      </w:r>
      <w:r w:rsidR="005076C7">
        <w:t>UTI generator</w:t>
      </w:r>
      <w:r>
        <w:t xml:space="preserve"> will be determined according to the ASIC Rules.</w:t>
      </w:r>
    </w:p>
    <w:p w14:paraId="531390BA" w14:textId="5D0F7841" w:rsidR="005E1137" w:rsidRDefault="003262F3" w:rsidP="00017749">
      <w:pPr>
        <w:pStyle w:val="BodyText"/>
      </w:pPr>
      <w:r>
        <w:t>In principle, w</w:t>
      </w:r>
      <w:r w:rsidR="008C662A">
        <w:t xml:space="preserve">e propose that the </w:t>
      </w:r>
      <w:r w:rsidR="005076C7">
        <w:t>UTI generator</w:t>
      </w:r>
      <w:r w:rsidR="008C662A">
        <w:t xml:space="preserve"> rules for a </w:t>
      </w:r>
      <w:r w:rsidR="00945692">
        <w:t>cross</w:t>
      </w:r>
      <w:r w:rsidR="008C662A">
        <w:t xml:space="preserve">-jurisdictional </w:t>
      </w:r>
      <w:r w:rsidR="00945692">
        <w:t xml:space="preserve">transaction </w:t>
      </w:r>
      <w:r w:rsidR="008C662A">
        <w:t xml:space="preserve">are the same rules as for a </w:t>
      </w:r>
      <w:r w:rsidR="009822AC">
        <w:t xml:space="preserve">single-jurisdictional </w:t>
      </w:r>
      <w:r w:rsidR="00945692">
        <w:t xml:space="preserve">transaction </w:t>
      </w:r>
      <w:r w:rsidR="005E1137">
        <w:t>(noting that</w:t>
      </w:r>
      <w:r w:rsidR="00945692">
        <w:t xml:space="preserve"> </w:t>
      </w:r>
      <w:r w:rsidR="005E1137">
        <w:t xml:space="preserve">our proposal for a </w:t>
      </w:r>
      <w:r w:rsidR="009822AC">
        <w:t xml:space="preserve">single-jurisdictional </w:t>
      </w:r>
      <w:r w:rsidR="00945692">
        <w:t xml:space="preserve">transaction </w:t>
      </w:r>
      <w:r w:rsidR="005E1137">
        <w:t>includes a yet to be finalised choice among two options), namely:</w:t>
      </w:r>
    </w:p>
    <w:p w14:paraId="0687B3B2" w14:textId="580C94D4" w:rsidR="005E1137" w:rsidRDefault="005E1137" w:rsidP="005E1137">
      <w:pPr>
        <w:pStyle w:val="subparaa"/>
      </w:pPr>
      <w:r>
        <w:t xml:space="preserve">if applicable, the </w:t>
      </w:r>
      <w:r w:rsidR="00402C33">
        <w:t>confirmation platform</w:t>
      </w:r>
      <w:r w:rsidR="00945692">
        <w:t>;</w:t>
      </w:r>
      <w:r>
        <w:t xml:space="preserve"> </w:t>
      </w:r>
      <w:r w:rsidR="00945692">
        <w:t>otherwise</w:t>
      </w:r>
    </w:p>
    <w:p w14:paraId="25B3FEE1" w14:textId="06BA7D10" w:rsidR="005E1137" w:rsidRDefault="005E1137" w:rsidP="005E1137">
      <w:pPr>
        <w:pStyle w:val="subparaa"/>
      </w:pPr>
      <w:r>
        <w:t xml:space="preserve">under </w:t>
      </w:r>
      <w:r w:rsidR="00B21924">
        <w:t xml:space="preserve">option </w:t>
      </w:r>
      <w:r>
        <w:t>1, t</w:t>
      </w:r>
      <w:r w:rsidRPr="005E1137">
        <w:t>he counterparty that is the ‘seller’ or the ‘payer of leg</w:t>
      </w:r>
      <w:r w:rsidR="00680666">
        <w:t> </w:t>
      </w:r>
      <w:r w:rsidRPr="005E1137">
        <w:t>1’</w:t>
      </w:r>
      <w:r w:rsidR="00945692">
        <w:t xml:space="preserve"> </w:t>
      </w:r>
      <w:r w:rsidRPr="005E1137">
        <w:t>in the transaction</w:t>
      </w:r>
      <w:r>
        <w:t>;</w:t>
      </w:r>
      <w:r w:rsidR="00945692">
        <w:t xml:space="preserve"> or</w:t>
      </w:r>
    </w:p>
    <w:p w14:paraId="6A820816" w14:textId="3B5C8224" w:rsidR="005E1137" w:rsidRDefault="005E1137" w:rsidP="005E1137">
      <w:pPr>
        <w:pStyle w:val="subparaa"/>
      </w:pPr>
      <w:r>
        <w:t xml:space="preserve">under </w:t>
      </w:r>
      <w:r w:rsidR="00B21924">
        <w:t xml:space="preserve">option </w:t>
      </w:r>
      <w:r>
        <w:t>2</w:t>
      </w:r>
      <w:r w:rsidR="00945692">
        <w:t>:</w:t>
      </w:r>
    </w:p>
    <w:p w14:paraId="0255D12E" w14:textId="36709BBF" w:rsidR="008C662A" w:rsidRDefault="005E1137" w:rsidP="005E1137">
      <w:pPr>
        <w:pStyle w:val="subsubparai"/>
      </w:pPr>
      <w:r>
        <w:t>if applicable, t</w:t>
      </w:r>
      <w:r w:rsidRPr="005E1137">
        <w:t>he counterparty as agreed between the counterparties</w:t>
      </w:r>
      <w:r>
        <w:t xml:space="preserve">; </w:t>
      </w:r>
      <w:r w:rsidR="00945692">
        <w:t>otherwise</w:t>
      </w:r>
    </w:p>
    <w:p w14:paraId="3419F611" w14:textId="117AD26D" w:rsidR="005E1137" w:rsidRDefault="005E1137" w:rsidP="003262F3">
      <w:pPr>
        <w:pStyle w:val="subsubparai"/>
      </w:pPr>
      <w:r>
        <w:t>a</w:t>
      </w:r>
      <w:r w:rsidRPr="005E1137">
        <w:t>fter sorting the LEIs of the counterparties with the characters of the identifiers reversed, the counterparty that comes first in this sort sequence</w:t>
      </w:r>
      <w:r>
        <w:t>.</w:t>
      </w:r>
    </w:p>
    <w:p w14:paraId="1E06E781" w14:textId="4494ECE8" w:rsidR="005E1137" w:rsidRDefault="00084434" w:rsidP="00017749">
      <w:pPr>
        <w:pStyle w:val="BodyText"/>
      </w:pPr>
      <w:r>
        <w:t xml:space="preserve">These proposed </w:t>
      </w:r>
      <w:r w:rsidR="003262F3">
        <w:t xml:space="preserve">rules </w:t>
      </w:r>
      <w:r>
        <w:t>would apply in the same manner for a transaction between an Australian entity and a foreign entity as for a transaction between two Australian entities.</w:t>
      </w:r>
    </w:p>
    <w:p w14:paraId="3358059B" w14:textId="66F962D0" w:rsidR="003262F3" w:rsidRDefault="003262F3" w:rsidP="00017749">
      <w:pPr>
        <w:pStyle w:val="BodyText"/>
      </w:pPr>
      <w:r>
        <w:t xml:space="preserve">We consider </w:t>
      </w:r>
      <w:r w:rsidR="007C10BC">
        <w:t>these</w:t>
      </w:r>
      <w:r>
        <w:t xml:space="preserve"> </w:t>
      </w:r>
      <w:r w:rsidR="007C10BC">
        <w:t xml:space="preserve">proposed </w:t>
      </w:r>
      <w:r>
        <w:t xml:space="preserve">rules will provide the same </w:t>
      </w:r>
      <w:r w:rsidR="005076C7">
        <w:t>UTI generator</w:t>
      </w:r>
      <w:r>
        <w:t xml:space="preserve"> outcome in a transaction between an Australian entity and an EU </w:t>
      </w:r>
      <w:r w:rsidR="00FC6F46">
        <w:t>financial counterparty</w:t>
      </w:r>
      <w:r>
        <w:t>, whether under the ASIC Rules or the ESMA proposals for EU</w:t>
      </w:r>
      <w:r w:rsidR="00B21924">
        <w:t> </w:t>
      </w:r>
      <w:r>
        <w:t xml:space="preserve">rules. This illustrates that </w:t>
      </w:r>
      <w:r w:rsidR="009618DE">
        <w:t>the way in which</w:t>
      </w:r>
      <w:r w:rsidR="00FC6F46">
        <w:t xml:space="preserve"> </w:t>
      </w:r>
      <w:r>
        <w:t xml:space="preserve">the sooner jurisdiction is </w:t>
      </w:r>
      <w:r w:rsidR="00FC6F46">
        <w:t xml:space="preserve">determined is </w:t>
      </w:r>
      <w:r w:rsidR="007C10BC">
        <w:t>unimportant</w:t>
      </w:r>
      <w:r>
        <w:t xml:space="preserve"> if the </w:t>
      </w:r>
      <w:r w:rsidR="005076C7">
        <w:t>UTI generator</w:t>
      </w:r>
      <w:r>
        <w:t xml:space="preserve"> outcomes are the same in either jurisdiction anyway.</w:t>
      </w:r>
    </w:p>
    <w:p w14:paraId="50F36B58" w14:textId="6E194F64" w:rsidR="003262F3" w:rsidRDefault="003262F3" w:rsidP="00017749">
      <w:pPr>
        <w:pStyle w:val="BodyText"/>
      </w:pPr>
      <w:r>
        <w:t xml:space="preserve">We </w:t>
      </w:r>
      <w:r w:rsidR="009C1E8B">
        <w:t>consider</w:t>
      </w:r>
      <w:r w:rsidR="00D60246">
        <w:t xml:space="preserve"> the above rules will likewise provide the same </w:t>
      </w:r>
      <w:r w:rsidR="005076C7">
        <w:t>UTI generator</w:t>
      </w:r>
      <w:r w:rsidR="00D60246">
        <w:t xml:space="preserve"> outcome in a transaction between an Australian entity and an EU </w:t>
      </w:r>
      <w:r w:rsidR="00FC6F46">
        <w:t>non</w:t>
      </w:r>
      <w:r w:rsidR="00D60246">
        <w:t xml:space="preserve">-financial </w:t>
      </w:r>
      <w:r w:rsidR="00FC6F46">
        <w:t>counterparty</w:t>
      </w:r>
      <w:r w:rsidR="00D60246">
        <w:t>, whether under the ASIC Rules or the ESMA proposals for EU rules.</w:t>
      </w:r>
    </w:p>
    <w:p w14:paraId="2DD2501A" w14:textId="192AF6A5" w:rsidR="00AF0299" w:rsidRDefault="00D60246" w:rsidP="00017749">
      <w:pPr>
        <w:pStyle w:val="BodyText"/>
      </w:pPr>
      <w:bookmarkStart w:id="68" w:name="_ASICRef284"/>
      <w:r>
        <w:t xml:space="preserve">However, there appear to be circumstances of difference between the above </w:t>
      </w:r>
      <w:r w:rsidR="005076C7">
        <w:t>UTI generator</w:t>
      </w:r>
      <w:r>
        <w:t xml:space="preserve"> outcome (under either jurisdiction’s rules) and the </w:t>
      </w:r>
      <w:r w:rsidR="005076C7">
        <w:t>UTI generator</w:t>
      </w:r>
      <w:r>
        <w:t xml:space="preserve"> outcome in a different transaction between an EU </w:t>
      </w:r>
      <w:r w:rsidR="00F64A41">
        <w:t xml:space="preserve">financial counterparty </w:t>
      </w:r>
      <w:r>
        <w:t xml:space="preserve">and an EU </w:t>
      </w:r>
      <w:r w:rsidR="00F64A41">
        <w:t>non</w:t>
      </w:r>
      <w:r>
        <w:t xml:space="preserve">-financial entity (i.e. an EU </w:t>
      </w:r>
      <w:r w:rsidR="009822AC">
        <w:t xml:space="preserve">single-jurisdictional </w:t>
      </w:r>
      <w:r w:rsidR="00F64A41">
        <w:t>transaction</w:t>
      </w:r>
      <w:r>
        <w:t>)</w:t>
      </w:r>
      <w:r w:rsidR="00AF0299">
        <w:t xml:space="preserve"> under </w:t>
      </w:r>
      <w:r w:rsidR="00B21924">
        <w:t xml:space="preserve">option </w:t>
      </w:r>
      <w:r w:rsidR="00AF0299">
        <w:t>1</w:t>
      </w:r>
      <w:r w:rsidR="00546B5C">
        <w:t xml:space="preserve"> in the ESMA proposal for EU rules</w:t>
      </w:r>
      <w:r w:rsidR="00F64A41">
        <w:t>.</w:t>
      </w:r>
      <w:bookmarkEnd w:id="68"/>
    </w:p>
    <w:p w14:paraId="4C9F4833" w14:textId="7D11FA03" w:rsidR="00AF0299" w:rsidRDefault="00F64A41" w:rsidP="00AF0299">
      <w:pPr>
        <w:pStyle w:val="subparaa"/>
      </w:pPr>
      <w:r>
        <w:t xml:space="preserve">In </w:t>
      </w:r>
      <w:r w:rsidR="00D60246">
        <w:t xml:space="preserve">this case, </w:t>
      </w:r>
      <w:r w:rsidR="00AF0299">
        <w:t xml:space="preserve">the EU status rule would require the </w:t>
      </w:r>
      <w:r w:rsidR="00D60246">
        <w:t xml:space="preserve">EU </w:t>
      </w:r>
      <w:r>
        <w:t xml:space="preserve">financial counterparty to </w:t>
      </w:r>
      <w:r w:rsidR="00AF0299">
        <w:t xml:space="preserve">be the </w:t>
      </w:r>
      <w:r w:rsidR="005076C7">
        <w:t>UTI generator</w:t>
      </w:r>
      <w:r w:rsidR="00AF0299">
        <w:t>.</w:t>
      </w:r>
    </w:p>
    <w:p w14:paraId="09C6F9A8" w14:textId="2044C460" w:rsidR="00D60246" w:rsidRDefault="00AF0299" w:rsidP="00AF0299">
      <w:pPr>
        <w:pStyle w:val="subparaa"/>
      </w:pPr>
      <w:r>
        <w:lastRenderedPageBreak/>
        <w:t xml:space="preserve">However, in the absence of a status rule that recognises ASIC </w:t>
      </w:r>
      <w:r w:rsidR="00F64A41">
        <w:t xml:space="preserve">reporting entities </w:t>
      </w:r>
      <w:r>
        <w:t xml:space="preserve">as ‘equivalent’ EU </w:t>
      </w:r>
      <w:r w:rsidR="00F64A41">
        <w:t>financial counterparties</w:t>
      </w:r>
      <w:r w:rsidR="00D60246">
        <w:t>,</w:t>
      </w:r>
      <w:r>
        <w:t xml:space="preserve"> the </w:t>
      </w:r>
      <w:r w:rsidR="00F64A41">
        <w:t>cross</w:t>
      </w:r>
      <w:r>
        <w:t xml:space="preserve">-jurisdictional </w:t>
      </w:r>
      <w:r w:rsidR="00F64A41">
        <w:t xml:space="preserve">transaction </w:t>
      </w:r>
      <w:r w:rsidR="005076C7">
        <w:t>UTI generator</w:t>
      </w:r>
      <w:r>
        <w:t xml:space="preserve"> outcome would be that the EU</w:t>
      </w:r>
      <w:r w:rsidR="00B21924">
        <w:t> </w:t>
      </w:r>
      <w:r w:rsidR="00F64A41">
        <w:t>non</w:t>
      </w:r>
      <w:r>
        <w:t xml:space="preserve">-financial </w:t>
      </w:r>
      <w:r w:rsidR="00F64A41">
        <w:t xml:space="preserve">counterparty </w:t>
      </w:r>
      <w:r w:rsidR="00680666">
        <w:t>is</w:t>
      </w:r>
      <w:r>
        <w:t xml:space="preserve"> the </w:t>
      </w:r>
      <w:r w:rsidR="005076C7">
        <w:t>UTI generator</w:t>
      </w:r>
      <w:r>
        <w:t xml:space="preserve"> where it is the ‘seller’ or ‘payer of </w:t>
      </w:r>
      <w:r w:rsidR="00680666">
        <w:t>l</w:t>
      </w:r>
      <w:r>
        <w:t>eg 1’.</w:t>
      </w:r>
    </w:p>
    <w:p w14:paraId="46DD71D3" w14:textId="41D8030F" w:rsidR="00C912FE" w:rsidRPr="00680666" w:rsidRDefault="00FF78DD" w:rsidP="00AF0299">
      <w:pPr>
        <w:pStyle w:val="BodyText"/>
      </w:pPr>
      <w:bookmarkStart w:id="69" w:name="_ASICRef263"/>
      <w:r>
        <w:t xml:space="preserve">If the desired </w:t>
      </w:r>
      <w:r w:rsidR="005076C7">
        <w:t>UTI generator</w:t>
      </w:r>
      <w:r>
        <w:t xml:space="preserve"> outcome is that EU </w:t>
      </w:r>
      <w:r w:rsidR="00680666">
        <w:t>non</w:t>
      </w:r>
      <w:r>
        <w:t xml:space="preserve">-financial </w:t>
      </w:r>
      <w:r w:rsidR="00680666">
        <w:t xml:space="preserve">counterparties are </w:t>
      </w:r>
      <w:r>
        <w:t xml:space="preserve">not the </w:t>
      </w:r>
      <w:r w:rsidR="005076C7">
        <w:t>UTI generator</w:t>
      </w:r>
      <w:r>
        <w:t xml:space="preserve"> in transactions with either an EU </w:t>
      </w:r>
      <w:r w:rsidR="00680666">
        <w:t xml:space="preserve">financial counterparty </w:t>
      </w:r>
      <w:r>
        <w:t xml:space="preserve">or a foreign entity ‘equivalent’ EU </w:t>
      </w:r>
      <w:r w:rsidR="00680666">
        <w:t xml:space="preserve">financial </w:t>
      </w:r>
      <w:r w:rsidR="00680666" w:rsidRPr="00680666">
        <w:t>counterparty</w:t>
      </w:r>
      <w:r w:rsidR="00680666" w:rsidRPr="00311B76">
        <w:t>—</w:t>
      </w:r>
      <w:r w:rsidR="00C912FE" w:rsidRPr="00680666">
        <w:t>and taking into account that either jurisdiction could be the sooner jurisdiction</w:t>
      </w:r>
      <w:r w:rsidR="00680666" w:rsidRPr="00471082">
        <w:t>—</w:t>
      </w:r>
      <w:r w:rsidR="00C912FE" w:rsidRPr="00680666">
        <w:t xml:space="preserve">it appears that </w:t>
      </w:r>
      <w:r w:rsidR="00A65DCD" w:rsidRPr="00680666">
        <w:t xml:space="preserve">a </w:t>
      </w:r>
      <w:r w:rsidR="00C912FE" w:rsidRPr="00680666">
        <w:t>solution may be that:</w:t>
      </w:r>
      <w:bookmarkEnd w:id="69"/>
    </w:p>
    <w:p w14:paraId="2131EF2B" w14:textId="37BB5EBE" w:rsidR="00C912FE" w:rsidRDefault="00680666" w:rsidP="00C912FE">
      <w:pPr>
        <w:pStyle w:val="subparaa"/>
      </w:pPr>
      <w:r>
        <w:t xml:space="preserve">the </w:t>
      </w:r>
      <w:r w:rsidR="00C912FE">
        <w:t xml:space="preserve">EU rules include a form of foreign entity ‘equivalent’ EU </w:t>
      </w:r>
      <w:r>
        <w:t xml:space="preserve">financial counterparty </w:t>
      </w:r>
      <w:r w:rsidR="00C912FE">
        <w:t>within their status rules; and</w:t>
      </w:r>
    </w:p>
    <w:p w14:paraId="2E5EC3BB" w14:textId="097143F5" w:rsidR="00AF0299" w:rsidRDefault="00680666" w:rsidP="00C912FE">
      <w:pPr>
        <w:pStyle w:val="subparaa"/>
      </w:pPr>
      <w:r>
        <w:t xml:space="preserve">the </w:t>
      </w:r>
      <w:r w:rsidR="00C912FE">
        <w:t>ASIC Rules include</w:t>
      </w:r>
      <w:r w:rsidRPr="009F30AD">
        <w:t>—</w:t>
      </w:r>
      <w:r w:rsidR="00C912FE">
        <w:t xml:space="preserve">possibly as a </w:t>
      </w:r>
      <w:r w:rsidR="000D5185">
        <w:t>‘</w:t>
      </w:r>
      <w:r w:rsidR="00C912FE">
        <w:t>special purpose</w:t>
      </w:r>
      <w:r w:rsidR="000D5185">
        <w:t>’</w:t>
      </w:r>
      <w:r w:rsidR="00C912FE">
        <w:t xml:space="preserve"> </w:t>
      </w:r>
      <w:r>
        <w:t>cross</w:t>
      </w:r>
      <w:r w:rsidR="00C912FE">
        <w:t xml:space="preserve">-jurisdictional </w:t>
      </w:r>
      <w:r>
        <w:t xml:space="preserve">transaction </w:t>
      </w:r>
      <w:r w:rsidR="00C912FE">
        <w:t>rule</w:t>
      </w:r>
      <w:r w:rsidRPr="009F30AD">
        <w:t>—</w:t>
      </w:r>
      <w:r w:rsidR="00C912FE">
        <w:t xml:space="preserve">an equivalent status rule that assigns </w:t>
      </w:r>
      <w:r w:rsidR="002D687F">
        <w:t>as</w:t>
      </w:r>
      <w:r w:rsidR="00C912FE">
        <w:t xml:space="preserve"> </w:t>
      </w:r>
      <w:r w:rsidR="005076C7">
        <w:t>UTI generator</w:t>
      </w:r>
      <w:r w:rsidR="00C912FE">
        <w:t xml:space="preserve"> </w:t>
      </w:r>
      <w:r w:rsidR="002D687F">
        <w:t xml:space="preserve">the ASIC </w:t>
      </w:r>
      <w:r w:rsidR="009E0748">
        <w:t>reporting entity</w:t>
      </w:r>
      <w:r w:rsidR="002D687F">
        <w:t>.</w:t>
      </w:r>
    </w:p>
    <w:p w14:paraId="7CF8C9E5" w14:textId="77777777" w:rsidR="00B05A28" w:rsidRDefault="00B05A28" w:rsidP="008E7C64">
      <w:pPr>
        <w:pStyle w:val="Proposalhead"/>
      </w:pPr>
      <w:r>
        <w:t>Proposal</w:t>
      </w:r>
    </w:p>
    <w:p w14:paraId="6F6648E7" w14:textId="029A38F6" w:rsidR="00B05A28" w:rsidRDefault="00B17A35" w:rsidP="00B17A35">
      <w:pPr>
        <w:pStyle w:val="Proposaltext"/>
      </w:pPr>
      <w:r>
        <w:t xml:space="preserve">In principle, we propose that the </w:t>
      </w:r>
      <w:r w:rsidR="005076C7">
        <w:t>UTI generator</w:t>
      </w:r>
      <w:r>
        <w:t xml:space="preserve"> rules for a </w:t>
      </w:r>
      <w:r w:rsidR="00680666">
        <w:t>cross</w:t>
      </w:r>
      <w:r>
        <w:t xml:space="preserve">-jurisdictional </w:t>
      </w:r>
      <w:r w:rsidR="00680666">
        <w:t xml:space="preserve">transaction </w:t>
      </w:r>
      <w:r>
        <w:t xml:space="preserve">are the same rules as for a </w:t>
      </w:r>
      <w:r w:rsidR="009822AC">
        <w:t xml:space="preserve">single-jurisdictional </w:t>
      </w:r>
      <w:r w:rsidR="00680666">
        <w:t>transaction</w:t>
      </w:r>
      <w:r>
        <w:t>.</w:t>
      </w:r>
    </w:p>
    <w:p w14:paraId="4207C9B8" w14:textId="77777777" w:rsidR="00B05A28" w:rsidRDefault="00B05A28">
      <w:pPr>
        <w:pStyle w:val="Feedbackhead"/>
      </w:pPr>
      <w:r>
        <w:t>Your feedback</w:t>
      </w:r>
    </w:p>
    <w:p w14:paraId="671F134B" w14:textId="77777777" w:rsidR="009C54B5" w:rsidRDefault="009C54B5" w:rsidP="009C54B5">
      <w:pPr>
        <w:pStyle w:val="Feedbackquestion"/>
      </w:pPr>
      <w:r>
        <w:t>Do you agree with this proposal? In your response, please give detailed reasons for your answer.</w:t>
      </w:r>
    </w:p>
    <w:p w14:paraId="30771BC4" w14:textId="7187E146" w:rsidR="009C54B5" w:rsidRDefault="009C54B5" w:rsidP="009C54B5">
      <w:pPr>
        <w:pStyle w:val="Feedbackquestion"/>
      </w:pPr>
      <w:r>
        <w:t xml:space="preserve">Do you agree that the above rules will provide the same </w:t>
      </w:r>
      <w:r w:rsidR="005076C7">
        <w:t>UTI generator</w:t>
      </w:r>
      <w:r>
        <w:t xml:space="preserve"> outcome in a transaction between an Australian entity and an EU </w:t>
      </w:r>
      <w:r w:rsidR="00680666">
        <w:t>financial counterparty</w:t>
      </w:r>
      <w:r>
        <w:t>, whether under the ASIC Rules or the ESMA proposals for EU rules? In your response, please give detailed reasons for your answer.</w:t>
      </w:r>
    </w:p>
    <w:p w14:paraId="7BF83AE8" w14:textId="77B5F3C2" w:rsidR="00B05A28" w:rsidRDefault="009C54B5" w:rsidP="0087655B">
      <w:pPr>
        <w:pStyle w:val="Feedbackquestion"/>
      </w:pPr>
      <w:r>
        <w:t xml:space="preserve">Do you agree that there can be the outcome </w:t>
      </w:r>
      <w:r w:rsidR="00046396">
        <w:t>(</w:t>
      </w:r>
      <w:r>
        <w:t xml:space="preserve">described </w:t>
      </w:r>
      <w:r w:rsidR="005578E4">
        <w:t xml:space="preserve">in paragraph </w:t>
      </w:r>
      <w:r w:rsidR="005578E4">
        <w:fldChar w:fldCharType="begin"/>
      </w:r>
      <w:r w:rsidR="005578E4">
        <w:instrText xml:space="preserve"> REF _ASICRef284 \w \h </w:instrText>
      </w:r>
      <w:r w:rsidR="005578E4">
        <w:fldChar w:fldCharType="separate"/>
      </w:r>
      <w:r w:rsidR="00314C7E">
        <w:t>134</w:t>
      </w:r>
      <w:r w:rsidR="005578E4">
        <w:fldChar w:fldCharType="end"/>
      </w:r>
      <w:r w:rsidR="00046396">
        <w:t>)</w:t>
      </w:r>
      <w:r>
        <w:t xml:space="preserve"> that an EU </w:t>
      </w:r>
      <w:r w:rsidR="00680666">
        <w:t>non</w:t>
      </w:r>
      <w:r>
        <w:t xml:space="preserve">-financial </w:t>
      </w:r>
      <w:r w:rsidR="00680666">
        <w:t xml:space="preserve">counterparty </w:t>
      </w:r>
      <w:r>
        <w:t xml:space="preserve">is the </w:t>
      </w:r>
      <w:r w:rsidR="005076C7">
        <w:t>UTI generator</w:t>
      </w:r>
      <w:r>
        <w:t xml:space="preserve"> in a transaction with an Australian </w:t>
      </w:r>
      <w:r w:rsidR="009E0748">
        <w:t>reporting entity</w:t>
      </w:r>
      <w:r>
        <w:t xml:space="preserve"> but not in a transaction with an EU </w:t>
      </w:r>
      <w:r w:rsidR="00680666">
        <w:t>financial counterparty</w:t>
      </w:r>
      <w:r>
        <w:t>? In your response, please give detailed reasons for your answer.</w:t>
      </w:r>
    </w:p>
    <w:p w14:paraId="042890AA" w14:textId="5400612A" w:rsidR="009C54B5" w:rsidRDefault="009C54B5" w:rsidP="009C54B5">
      <w:pPr>
        <w:pStyle w:val="Feedbackquestion"/>
      </w:pPr>
      <w:r>
        <w:t>Do you consider there are other particular transaction circumstances</w:t>
      </w:r>
      <w:r w:rsidR="00507EF7">
        <w:t xml:space="preserve"> (</w:t>
      </w:r>
      <w:r>
        <w:t>such as counterparty domicile/branch location/status</w:t>
      </w:r>
      <w:r w:rsidR="0087655B">
        <w:t>/jurisdictional</w:t>
      </w:r>
      <w:r>
        <w:t xml:space="preserve"> combinations</w:t>
      </w:r>
      <w:r w:rsidR="00507EF7">
        <w:t xml:space="preserve">) </w:t>
      </w:r>
      <w:r>
        <w:t>where the</w:t>
      </w:r>
      <w:r w:rsidR="0087655B">
        <w:t xml:space="preserve">re may be similar </w:t>
      </w:r>
      <w:r w:rsidR="00317745">
        <w:t>differences</w:t>
      </w:r>
      <w:r w:rsidR="0087655B">
        <w:t xml:space="preserve"> in a </w:t>
      </w:r>
      <w:r w:rsidR="005076C7">
        <w:t>UTI generator</w:t>
      </w:r>
      <w:r w:rsidR="0087655B">
        <w:t xml:space="preserve"> outcome?</w:t>
      </w:r>
      <w:r>
        <w:t xml:space="preserve"> In your response, please give detailed reasons for your answer.</w:t>
      </w:r>
    </w:p>
    <w:p w14:paraId="7167309D" w14:textId="39F7DFE7" w:rsidR="009C54B5" w:rsidRDefault="009C54B5" w:rsidP="009C54B5">
      <w:pPr>
        <w:pStyle w:val="Feedbackquestion"/>
      </w:pPr>
      <w:r>
        <w:t xml:space="preserve">Do you have any other comments about the </w:t>
      </w:r>
      <w:r w:rsidR="0087655B">
        <w:t>proposal?</w:t>
      </w:r>
    </w:p>
    <w:p w14:paraId="099B1577" w14:textId="00EF7817" w:rsidR="000D5185" w:rsidRPr="00724864" w:rsidRDefault="000D5185" w:rsidP="000D5185">
      <w:pPr>
        <w:pStyle w:val="Heading4"/>
        <w:rPr>
          <w:highlight w:val="yellow"/>
        </w:rPr>
      </w:pPr>
      <w:r>
        <w:lastRenderedPageBreak/>
        <w:t xml:space="preserve">Other possible ‘special purpose’ </w:t>
      </w:r>
      <w:r w:rsidR="00E12675">
        <w:t>cross</w:t>
      </w:r>
      <w:r>
        <w:t xml:space="preserve">-jurisdictional </w:t>
      </w:r>
      <w:r w:rsidR="00E12675">
        <w:t xml:space="preserve">transaction </w:t>
      </w:r>
      <w:r>
        <w:t>rules</w:t>
      </w:r>
    </w:p>
    <w:p w14:paraId="588BF151" w14:textId="63C3D5F5" w:rsidR="00DF1619" w:rsidRDefault="00DF1619" w:rsidP="000D5185">
      <w:pPr>
        <w:pStyle w:val="BodyText"/>
      </w:pPr>
      <w:r>
        <w:t xml:space="preserve">Though there appear to be types of transactions that are T+1 reportable transactions under the final CFTC rules which would also be </w:t>
      </w:r>
      <w:r w:rsidR="004827A0">
        <w:t>cross</w:t>
      </w:r>
      <w:r>
        <w:t xml:space="preserve">-jurisdictional </w:t>
      </w:r>
      <w:r w:rsidR="004827A0">
        <w:t xml:space="preserve">transactions </w:t>
      </w:r>
      <w:r>
        <w:t>when they involve an Australian entity as a counterparty, these appear likely to be a minority of CFTC reportable transactions. In addition, the CFTC expects that, for example, CCPs would continue to report, as per existing practices, on an ASATP basis for transactions that may otherwise be T+1 reportable transactions.</w:t>
      </w:r>
    </w:p>
    <w:p w14:paraId="410BEE43" w14:textId="2D9C59A2" w:rsidR="003969D0" w:rsidRPr="006F5532" w:rsidRDefault="00DF1619" w:rsidP="003969D0">
      <w:pPr>
        <w:pStyle w:val="BodyText"/>
      </w:pPr>
      <w:r>
        <w:t xml:space="preserve">In March 2020, </w:t>
      </w:r>
      <w:r w:rsidR="003969D0">
        <w:t xml:space="preserve">the </w:t>
      </w:r>
      <w:r>
        <w:t xml:space="preserve">ASIC </w:t>
      </w:r>
      <w:r w:rsidR="003969D0">
        <w:t>exemption for full UTI conformance was extended with the addition of a provision that ma</w:t>
      </w:r>
      <w:r>
        <w:t>de</w:t>
      </w:r>
      <w:r w:rsidR="003969D0">
        <w:t xml:space="preserve"> allowance for </w:t>
      </w:r>
      <w:r w:rsidR="00311D90">
        <w:t xml:space="preserve">the introduction of CFTC UTI rules </w:t>
      </w:r>
      <w:r w:rsidR="004827A0">
        <w:t>(</w:t>
      </w:r>
      <w:r w:rsidR="00311D90">
        <w:t>as was</w:t>
      </w:r>
      <w:r w:rsidR="004827A0">
        <w:t xml:space="preserve"> </w:t>
      </w:r>
      <w:r w:rsidR="008D57B1">
        <w:t xml:space="preserve">then </w:t>
      </w:r>
      <w:r w:rsidR="00311D90">
        <w:t>proposed</w:t>
      </w:r>
      <w:r w:rsidR="004827A0">
        <w:t>)</w:t>
      </w:r>
      <w:r w:rsidR="00311D90">
        <w:t xml:space="preserve">. The provision allowed for the possibility that there would be transactions for which a </w:t>
      </w:r>
      <w:r w:rsidR="00A65DCD">
        <w:t xml:space="preserve">future </w:t>
      </w:r>
      <w:r w:rsidR="00311D90">
        <w:t xml:space="preserve">CFTC cross-jurisdictional test identified Australia as a jurisdiction with a sooner reporting deadline and required the counterparties to the transaction to determine a UTI according to </w:t>
      </w:r>
      <w:r w:rsidR="004827A0">
        <w:t xml:space="preserve">the </w:t>
      </w:r>
      <w:r w:rsidR="00311D90">
        <w:t xml:space="preserve">ASIC Rules. The current ASIC Rules are not sufficiently comprehensive to prescribe a conforming </w:t>
      </w:r>
      <w:r w:rsidR="005076C7">
        <w:t>UTI generator</w:t>
      </w:r>
      <w:r w:rsidR="00311D90">
        <w:t xml:space="preserve"> and the provision has the effect of redirecting the counterparties to use the CFTC UTI </w:t>
      </w:r>
      <w:r w:rsidR="00430E1E">
        <w:t>rules</w:t>
      </w:r>
      <w:r w:rsidR="00311D90">
        <w:t>.</w:t>
      </w:r>
    </w:p>
    <w:p w14:paraId="76998625" w14:textId="66F45334" w:rsidR="00FD3953" w:rsidRDefault="00430E1E" w:rsidP="008D57B1">
      <w:pPr>
        <w:pStyle w:val="BodyText"/>
      </w:pPr>
      <w:r>
        <w:t>Given</w:t>
      </w:r>
      <w:r w:rsidR="008D57B1">
        <w:t xml:space="preserve"> the prevalence of CFTC reportable transactions that are required to be, or in practice would continue to be, reported on an ASATP basis, we are considering if a pragmatic </w:t>
      </w:r>
      <w:r w:rsidR="00A65DCD">
        <w:t xml:space="preserve">and effective </w:t>
      </w:r>
      <w:r w:rsidR="008D57B1">
        <w:t xml:space="preserve">proposal would be to adopt the principles of the above ASIC exemption in the ASIC Rules. That is, whenever there is </w:t>
      </w:r>
      <w:r w:rsidR="00A65DCD">
        <w:t xml:space="preserve">an </w:t>
      </w:r>
      <w:r w:rsidR="008D57B1">
        <w:t xml:space="preserve">ASIC </w:t>
      </w:r>
      <w:r>
        <w:t xml:space="preserve">reportable transaction </w:t>
      </w:r>
      <w:r w:rsidR="008D57B1">
        <w:t xml:space="preserve">that is cross-jurisdictional with the final CFTC rules, </w:t>
      </w:r>
      <w:r w:rsidR="00A65DCD">
        <w:t xml:space="preserve">the </w:t>
      </w:r>
      <w:r w:rsidR="005076C7">
        <w:t>UTI generator</w:t>
      </w:r>
      <w:r w:rsidR="00A65DCD">
        <w:t xml:space="preserve"> would be determined according to the final CFTC rules</w:t>
      </w:r>
      <w:r w:rsidRPr="00D15246">
        <w:t>—</w:t>
      </w:r>
      <w:r w:rsidR="00A65DCD">
        <w:t xml:space="preserve">in effect, that the CFTC is </w:t>
      </w:r>
      <w:r w:rsidR="008219D4">
        <w:t xml:space="preserve">deemed </w:t>
      </w:r>
      <w:r w:rsidR="00A65DCD">
        <w:t xml:space="preserve">to be the sooner jurisdiction in all such </w:t>
      </w:r>
      <w:r>
        <w:t>cross</w:t>
      </w:r>
      <w:r w:rsidR="00B1415B">
        <w:t>-jurisdictional</w:t>
      </w:r>
      <w:r w:rsidR="00A65DCD">
        <w:t xml:space="preserve"> </w:t>
      </w:r>
      <w:r>
        <w:t>transactions</w:t>
      </w:r>
      <w:r w:rsidR="00A65DCD">
        <w:t>.</w:t>
      </w:r>
    </w:p>
    <w:p w14:paraId="3B48A02C" w14:textId="42AA5C0F" w:rsidR="00BA6861" w:rsidRDefault="00584D73" w:rsidP="00EA00C9">
      <w:pPr>
        <w:pStyle w:val="BodyText"/>
      </w:pPr>
      <w:bookmarkStart w:id="70" w:name="_ASICRef279"/>
      <w:r>
        <w:t xml:space="preserve">In furthering our considerations of such a proposal, we would need to consider the </w:t>
      </w:r>
      <w:r w:rsidR="00BA6861">
        <w:t xml:space="preserve">full range of </w:t>
      </w:r>
      <w:r>
        <w:t>scenario</w:t>
      </w:r>
      <w:r w:rsidR="00BA6861">
        <w:t xml:space="preserve">s where a transaction is cross-jurisdictional with the ASIC Rules, the final CFTC rules and </w:t>
      </w:r>
      <w:r w:rsidR="003B3D6F">
        <w:t xml:space="preserve">one or more other </w:t>
      </w:r>
      <w:r w:rsidR="00BA6861">
        <w:t>jurisdiction</w:t>
      </w:r>
      <w:r w:rsidR="003B3D6F">
        <w:t>s</w:t>
      </w:r>
      <w:r w:rsidR="00BA6861">
        <w:t xml:space="preserve">’ rules (as may be proposed or anticipated). It is not currently clear to us that such a unilateral ‘special purpose’ provision in the ASIC Rules would not </w:t>
      </w:r>
      <w:r w:rsidR="00DF4951">
        <w:t>be unintentionally complex or conflict</w:t>
      </w:r>
      <w:r w:rsidR="00BA6861">
        <w:t xml:space="preserve"> with other jurisdictions’ rules.</w:t>
      </w:r>
      <w:bookmarkEnd w:id="70"/>
    </w:p>
    <w:p w14:paraId="1F1387FD" w14:textId="33036948" w:rsidR="002E0223" w:rsidRDefault="002E0223" w:rsidP="00EA00C9">
      <w:pPr>
        <w:pStyle w:val="BodyText"/>
      </w:pPr>
      <w:r>
        <w:t xml:space="preserve">Finally, </w:t>
      </w:r>
      <w:r w:rsidR="002D3CD0">
        <w:t xml:space="preserve">while </w:t>
      </w:r>
      <w:r>
        <w:t>we have discussed</w:t>
      </w:r>
      <w:r w:rsidR="00471082">
        <w:t xml:space="preserve"> at paragraphs </w:t>
      </w:r>
      <w:r w:rsidR="00471082">
        <w:fldChar w:fldCharType="begin"/>
      </w:r>
      <w:r w:rsidR="00471082">
        <w:instrText xml:space="preserve"> REF _ASICRef263 \w \h </w:instrText>
      </w:r>
      <w:r w:rsidR="00471082">
        <w:fldChar w:fldCharType="separate"/>
      </w:r>
      <w:r w:rsidR="00314C7E">
        <w:t>135</w:t>
      </w:r>
      <w:r w:rsidR="00471082">
        <w:fldChar w:fldCharType="end"/>
      </w:r>
      <w:r w:rsidR="00471082">
        <w:t>–</w:t>
      </w:r>
      <w:r w:rsidR="00471082">
        <w:fldChar w:fldCharType="begin"/>
      </w:r>
      <w:r w:rsidR="00471082">
        <w:instrText xml:space="preserve"> REF _ASICRef279 \w \h </w:instrText>
      </w:r>
      <w:r w:rsidR="00471082">
        <w:fldChar w:fldCharType="separate"/>
      </w:r>
      <w:r w:rsidR="00314C7E">
        <w:t>139</w:t>
      </w:r>
      <w:r w:rsidR="00471082">
        <w:fldChar w:fldCharType="end"/>
      </w:r>
      <w:r>
        <w:t xml:space="preserve"> possible ‘special purpose’ rules for transactions that are cross-jurisdictional with the EU and the CFTC jurisdictions</w:t>
      </w:r>
      <w:r w:rsidR="002D3CD0">
        <w:t>, t</w:t>
      </w:r>
      <w:r>
        <w:t xml:space="preserve">here are a number of other </w:t>
      </w:r>
      <w:r w:rsidR="005A584C">
        <w:t>T+1 jurisdictions</w:t>
      </w:r>
      <w:r w:rsidR="002D3CD0">
        <w:t>. However,</w:t>
      </w:r>
      <w:r w:rsidR="005A584C">
        <w:t xml:space="preserve"> we consider it would be problematic and complex </w:t>
      </w:r>
      <w:r w:rsidR="002F58DB">
        <w:t xml:space="preserve">for </w:t>
      </w:r>
      <w:r w:rsidR="005A584C">
        <w:t xml:space="preserve">the ASIC Rules </w:t>
      </w:r>
      <w:r w:rsidR="002F58DB">
        <w:t xml:space="preserve">to </w:t>
      </w:r>
      <w:r w:rsidR="005A584C">
        <w:t xml:space="preserve">include </w:t>
      </w:r>
      <w:r w:rsidR="005E2B6E">
        <w:t>‘special purpose’ provisions to accommodate multiple and diverse ‘special purpose’ situations.</w:t>
      </w:r>
    </w:p>
    <w:p w14:paraId="685500B1" w14:textId="77777777" w:rsidR="00DF2C3A" w:rsidRDefault="00DF2C3A" w:rsidP="008E7C64">
      <w:pPr>
        <w:pStyle w:val="Proposalhead"/>
      </w:pPr>
      <w:r>
        <w:lastRenderedPageBreak/>
        <w:t>Proposal</w:t>
      </w:r>
    </w:p>
    <w:p w14:paraId="1107D516" w14:textId="08395FC1" w:rsidR="008219D4" w:rsidRDefault="008219D4" w:rsidP="008219D4">
      <w:pPr>
        <w:pStyle w:val="Proposaltext"/>
      </w:pPr>
      <w:r>
        <w:t xml:space="preserve">We are not making a formal proposal </w:t>
      </w:r>
      <w:r w:rsidR="00471082">
        <w:t>for ‘special purpose’ rules as discussed at</w:t>
      </w:r>
      <w:r w:rsidR="00471082" w:rsidRPr="00471082">
        <w:t xml:space="preserve"> </w:t>
      </w:r>
      <w:r w:rsidR="00471082">
        <w:t xml:space="preserve">paragraphs </w:t>
      </w:r>
      <w:r w:rsidR="00471082">
        <w:fldChar w:fldCharType="begin"/>
      </w:r>
      <w:r w:rsidR="00471082">
        <w:instrText xml:space="preserve"> REF _ASICRef263 \w \h </w:instrText>
      </w:r>
      <w:r w:rsidR="00471082">
        <w:fldChar w:fldCharType="separate"/>
      </w:r>
      <w:r w:rsidR="00314C7E">
        <w:t>135</w:t>
      </w:r>
      <w:r w:rsidR="00471082">
        <w:fldChar w:fldCharType="end"/>
      </w:r>
      <w:r w:rsidR="00471082">
        <w:t>–</w:t>
      </w:r>
      <w:r w:rsidR="00471082">
        <w:fldChar w:fldCharType="begin"/>
      </w:r>
      <w:r w:rsidR="00471082">
        <w:instrText xml:space="preserve"> REF _ASICRef279 \w \h </w:instrText>
      </w:r>
      <w:r w:rsidR="00471082">
        <w:fldChar w:fldCharType="separate"/>
      </w:r>
      <w:r w:rsidR="00314C7E">
        <w:t>139</w:t>
      </w:r>
      <w:r w:rsidR="00471082">
        <w:fldChar w:fldCharType="end"/>
      </w:r>
      <w:r w:rsidR="00471082">
        <w:t xml:space="preserve"> </w:t>
      </w:r>
      <w:r>
        <w:t>at this time but we seek your feedback as set out below.</w:t>
      </w:r>
    </w:p>
    <w:p w14:paraId="748664F6" w14:textId="77777777" w:rsidR="008219D4" w:rsidRDefault="008219D4" w:rsidP="008219D4">
      <w:pPr>
        <w:pStyle w:val="Feedbackhead"/>
      </w:pPr>
      <w:r>
        <w:t>Your feedback</w:t>
      </w:r>
    </w:p>
    <w:p w14:paraId="62DC2581" w14:textId="035DCDB2" w:rsidR="008219D4" w:rsidRDefault="008219D4" w:rsidP="008219D4">
      <w:pPr>
        <w:pStyle w:val="Feedbackquestion"/>
      </w:pPr>
      <w:r>
        <w:t xml:space="preserve">Do you consider there is merit in considering a ‘special purpose’ rule that would, in effect, deem the CFTC to be the sooner jurisdiction in all such </w:t>
      </w:r>
      <w:r w:rsidR="002D3CD0">
        <w:t>cross</w:t>
      </w:r>
      <w:r w:rsidR="00B1415B">
        <w:t>-jurisdictional</w:t>
      </w:r>
      <w:r>
        <w:t xml:space="preserve"> </w:t>
      </w:r>
      <w:r w:rsidR="002D3CD0">
        <w:t>transactions</w:t>
      </w:r>
      <w:r>
        <w:t>? In your response, please give detailed reasons for your answer.</w:t>
      </w:r>
    </w:p>
    <w:p w14:paraId="3297B4AF" w14:textId="275B353F" w:rsidR="008219D4" w:rsidRDefault="008219D4" w:rsidP="008219D4">
      <w:pPr>
        <w:pStyle w:val="Feedbackquestion"/>
      </w:pPr>
      <w:r>
        <w:t>Do you consider there are particular transaction circumstances</w:t>
      </w:r>
      <w:r w:rsidR="002D3CD0">
        <w:t xml:space="preserve"> (</w:t>
      </w:r>
      <w:r>
        <w:t>such as counterparty domicile/branch location/status/jurisdictional combinations</w:t>
      </w:r>
      <w:r w:rsidR="00FB576C">
        <w:t>)</w:t>
      </w:r>
      <w:r>
        <w:t xml:space="preserve"> where there may be unintended </w:t>
      </w:r>
      <w:r w:rsidR="00DF4951">
        <w:t xml:space="preserve">complexities </w:t>
      </w:r>
      <w:r>
        <w:t>or conflicts with other jurisdictions’ rules under this approach? In your response, please give detailed reasons for your answer.</w:t>
      </w:r>
    </w:p>
    <w:p w14:paraId="00FB69DB" w14:textId="6AAED320" w:rsidR="008219D4" w:rsidRDefault="008219D4" w:rsidP="008219D4">
      <w:pPr>
        <w:pStyle w:val="Feedbackquestion"/>
      </w:pPr>
      <w:r>
        <w:t xml:space="preserve">Do you consider there may be other cross-jurisdictional situations which </w:t>
      </w:r>
      <w:r w:rsidR="00FB576C">
        <w:t>may</w:t>
      </w:r>
      <w:r>
        <w:t xml:space="preserve"> also merit a ‘special purpose’ UTI rule? In your response, please give detailed reasons for your answer.</w:t>
      </w:r>
    </w:p>
    <w:p w14:paraId="4B5DA831" w14:textId="56B347DB" w:rsidR="008219D4" w:rsidRDefault="008219D4" w:rsidP="008219D4">
      <w:pPr>
        <w:pStyle w:val="Feedbackquestion"/>
      </w:pPr>
      <w:r w:rsidRPr="008219D4">
        <w:t>Do you have any other comments about this issue?</w:t>
      </w:r>
    </w:p>
    <w:p w14:paraId="6A22AF47" w14:textId="711676D1" w:rsidR="00A02A15" w:rsidRDefault="00A02A15" w:rsidP="008219D4">
      <w:pPr>
        <w:pStyle w:val="Heading2"/>
      </w:pPr>
      <w:bookmarkStart w:id="71" w:name="_Toc57146481"/>
      <w:r>
        <w:t xml:space="preserve">Determining the </w:t>
      </w:r>
      <w:r w:rsidR="005076C7">
        <w:t>UTI generator</w:t>
      </w:r>
      <w:r w:rsidR="00FB576C" w:rsidRPr="009A3F41">
        <w:t>—</w:t>
      </w:r>
      <w:r>
        <w:t xml:space="preserve">Ultimate </w:t>
      </w:r>
      <w:r w:rsidR="00FB576C">
        <w:t>determinant</w:t>
      </w:r>
      <w:bookmarkEnd w:id="71"/>
    </w:p>
    <w:p w14:paraId="7AD442F2" w14:textId="19752BAA" w:rsidR="008E7C64" w:rsidRDefault="00D00CB4" w:rsidP="0068144E">
      <w:pPr>
        <w:pStyle w:val="BodyText"/>
        <w:spacing w:after="200"/>
      </w:pPr>
      <w:r>
        <w:t xml:space="preserve">If the </w:t>
      </w:r>
      <w:r w:rsidR="005076C7">
        <w:t>UTI generator</w:t>
      </w:r>
      <w:r>
        <w:t xml:space="preserve"> is not able to be determined under the </w:t>
      </w:r>
      <w:r w:rsidR="00BF266B">
        <w:t>g</w:t>
      </w:r>
      <w:r>
        <w:t xml:space="preserve">lobally </w:t>
      </w:r>
      <w:r w:rsidR="005043F9">
        <w:t>common</w:t>
      </w:r>
      <w:r>
        <w:t xml:space="preserve">, </w:t>
      </w:r>
      <w:r w:rsidR="009822AC">
        <w:t xml:space="preserve">single-jurisdictional </w:t>
      </w:r>
      <w:r w:rsidR="005043F9">
        <w:t xml:space="preserve">transaction </w:t>
      </w:r>
      <w:r>
        <w:t>o</w:t>
      </w:r>
      <w:r w:rsidR="00D00E6F">
        <w:t>r</w:t>
      </w:r>
      <w:r>
        <w:t xml:space="preserve"> </w:t>
      </w:r>
      <w:r w:rsidR="00BF266B">
        <w:t>c</w:t>
      </w:r>
      <w:r>
        <w:t xml:space="preserve">ross-jurisdictional </w:t>
      </w:r>
      <w:r w:rsidR="005043F9">
        <w:t xml:space="preserve">transaction </w:t>
      </w:r>
      <w:r>
        <w:t>streams, the UTI Guidance sets out:</w:t>
      </w:r>
    </w:p>
    <w:tbl>
      <w:tblPr>
        <w:tblW w:w="6312" w:type="dxa"/>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608"/>
        <w:gridCol w:w="2852"/>
        <w:gridCol w:w="2852"/>
      </w:tblGrid>
      <w:tr w:rsidR="0068144E" w:rsidRPr="000540E1" w14:paraId="7687E4D1" w14:textId="77777777" w:rsidTr="0068144E">
        <w:trPr>
          <w:cantSplit/>
          <w:tblHeader/>
        </w:trPr>
        <w:tc>
          <w:tcPr>
            <w:tcW w:w="482" w:type="pct"/>
            <w:shd w:val="clear" w:color="auto" w:fill="C2E3FA"/>
          </w:tcPr>
          <w:p w14:paraId="754248AB" w14:textId="05AA0767" w:rsidR="0068144E" w:rsidRDefault="0068144E" w:rsidP="00DC2E7E">
            <w:pPr>
              <w:pStyle w:val="tablehead"/>
            </w:pPr>
            <w:r>
              <w:t>Step</w:t>
            </w:r>
          </w:p>
        </w:tc>
        <w:tc>
          <w:tcPr>
            <w:tcW w:w="2259" w:type="pct"/>
            <w:shd w:val="clear" w:color="auto" w:fill="C2E3FA"/>
          </w:tcPr>
          <w:p w14:paraId="409AF924" w14:textId="7D67C9A4" w:rsidR="0068144E" w:rsidRPr="000540E1" w:rsidRDefault="0068144E" w:rsidP="00DC2E7E">
            <w:pPr>
              <w:pStyle w:val="tablehead"/>
            </w:pPr>
            <w:r>
              <w:t>Factor to consider</w:t>
            </w:r>
          </w:p>
        </w:tc>
        <w:tc>
          <w:tcPr>
            <w:tcW w:w="2259" w:type="pct"/>
            <w:shd w:val="clear" w:color="auto" w:fill="C2E3FA"/>
          </w:tcPr>
          <w:p w14:paraId="3798A893" w14:textId="3F18EA0E" w:rsidR="0068144E" w:rsidRPr="000540E1" w:rsidRDefault="005076C7" w:rsidP="00DC2E7E">
            <w:pPr>
              <w:pStyle w:val="tablehead"/>
            </w:pPr>
            <w:r>
              <w:t>UTI generator</w:t>
            </w:r>
          </w:p>
        </w:tc>
      </w:tr>
      <w:tr w:rsidR="0068144E" w:rsidRPr="000540E1" w14:paraId="0EC50D15" w14:textId="77777777" w:rsidTr="0068144E">
        <w:trPr>
          <w:cantSplit/>
        </w:trPr>
        <w:tc>
          <w:tcPr>
            <w:tcW w:w="482" w:type="pct"/>
          </w:tcPr>
          <w:p w14:paraId="69734829" w14:textId="6CB8BA66" w:rsidR="0068144E" w:rsidRPr="000540E1" w:rsidRDefault="0068144E" w:rsidP="00DC2E7E">
            <w:pPr>
              <w:pStyle w:val="tbltext"/>
            </w:pPr>
            <w:r>
              <w:t>13.</w:t>
            </w:r>
          </w:p>
        </w:tc>
        <w:tc>
          <w:tcPr>
            <w:tcW w:w="2259" w:type="pct"/>
          </w:tcPr>
          <w:p w14:paraId="0FA11A64" w14:textId="5167A1EA" w:rsidR="0068144E" w:rsidRPr="000540E1" w:rsidRDefault="00BF266B" w:rsidP="00DC2E7E">
            <w:pPr>
              <w:pStyle w:val="tbltext"/>
            </w:pPr>
            <w:r>
              <w:t xml:space="preserve">Is </w:t>
            </w:r>
            <w:r w:rsidRPr="00D00CB4">
              <w:t xml:space="preserve">there a single </w:t>
            </w:r>
            <w:r w:rsidR="00B90A14">
              <w:t>[trade repository]</w:t>
            </w:r>
            <w:r w:rsidR="00A402D5">
              <w:t xml:space="preserve"> </w:t>
            </w:r>
            <w:r w:rsidRPr="00D00CB4">
              <w:t xml:space="preserve">to which reports relating to the transaction have to be made, and </w:t>
            </w:r>
            <w:r>
              <w:t xml:space="preserve">is </w:t>
            </w:r>
            <w:r w:rsidRPr="00D00CB4">
              <w:t xml:space="preserve">that </w:t>
            </w:r>
            <w:r w:rsidR="008367B1">
              <w:t>[trade repository]</w:t>
            </w:r>
            <w:r w:rsidR="008367B1" w:rsidRPr="00D00CB4">
              <w:t xml:space="preserve"> </w:t>
            </w:r>
            <w:r w:rsidRPr="00D00CB4">
              <w:t>able, willing and permitted to generate UTIs under the applicable rules</w:t>
            </w:r>
            <w:r>
              <w:t>?</w:t>
            </w:r>
          </w:p>
        </w:tc>
        <w:tc>
          <w:tcPr>
            <w:tcW w:w="2259" w:type="pct"/>
          </w:tcPr>
          <w:p w14:paraId="1873F574" w14:textId="2F853CBB" w:rsidR="00BF266B" w:rsidRDefault="00BF266B" w:rsidP="00BF266B">
            <w:pPr>
              <w:pStyle w:val="tbltext"/>
            </w:pPr>
            <w:r>
              <w:t xml:space="preserve">If so, the </w:t>
            </w:r>
            <w:r w:rsidR="00B90A14">
              <w:t>[trade repository]</w:t>
            </w:r>
            <w:r>
              <w:t>.</w:t>
            </w:r>
          </w:p>
          <w:p w14:paraId="566228D3" w14:textId="339C13EC" w:rsidR="0068144E" w:rsidRPr="000540E1" w:rsidRDefault="00BF266B" w:rsidP="00BF266B">
            <w:pPr>
              <w:pStyle w:val="tbltext"/>
            </w:pPr>
            <w:r w:rsidRPr="00D00CB4">
              <w:t>Otherwise, one of the counterparties, based on sorting the identifiers of the counterparties with the characters of the identifier reversed and picking the counterparty that comes first in this sort sequence.</w:t>
            </w:r>
          </w:p>
        </w:tc>
      </w:tr>
    </w:tbl>
    <w:p w14:paraId="5FC27141" w14:textId="6227595E" w:rsidR="00D00E6F" w:rsidRDefault="00D00CB4" w:rsidP="00A02A15">
      <w:pPr>
        <w:pStyle w:val="BodyText"/>
      </w:pPr>
      <w:r>
        <w:t xml:space="preserve">Under the UTI rules that we are proposing or considering to propose, we intend that a </w:t>
      </w:r>
      <w:r w:rsidR="005076C7">
        <w:t>UTI generator</w:t>
      </w:r>
      <w:r>
        <w:t xml:space="preserve"> will be determined by one of the streams</w:t>
      </w:r>
      <w:r w:rsidR="00D00E6F">
        <w:t xml:space="preserve"> without invoking an </w:t>
      </w:r>
      <w:r w:rsidR="00BF266B">
        <w:t xml:space="preserve">ultimate determinant </w:t>
      </w:r>
      <w:r w:rsidR="00D00E6F">
        <w:t>step</w:t>
      </w:r>
      <w:r w:rsidR="00BF266B" w:rsidRPr="009A3F41">
        <w:t>—</w:t>
      </w:r>
      <w:r w:rsidR="00D00E6F">
        <w:t xml:space="preserve">noting that ‘reverse LEI sorting’ would be included in the </w:t>
      </w:r>
      <w:r w:rsidR="009822AC">
        <w:t xml:space="preserve">single-jurisdictional </w:t>
      </w:r>
      <w:r w:rsidR="00BF266B">
        <w:t xml:space="preserve">transaction </w:t>
      </w:r>
      <w:r w:rsidR="00D00E6F">
        <w:t xml:space="preserve">or </w:t>
      </w:r>
      <w:r w:rsidR="00BF266B">
        <w:t>cross</w:t>
      </w:r>
      <w:r w:rsidR="00D00E6F">
        <w:t xml:space="preserve">-jurisdictional </w:t>
      </w:r>
      <w:r w:rsidR="00BF266B">
        <w:t xml:space="preserve">transaction </w:t>
      </w:r>
      <w:r w:rsidR="00D00E6F">
        <w:t xml:space="preserve">streams under </w:t>
      </w:r>
      <w:r w:rsidR="00787D98">
        <w:t xml:space="preserve">option </w:t>
      </w:r>
      <w:r w:rsidR="00D00E6F">
        <w:t>2.</w:t>
      </w:r>
    </w:p>
    <w:p w14:paraId="62C5274A" w14:textId="19111D51" w:rsidR="00AE5E59" w:rsidRDefault="000D51AE" w:rsidP="00136CC5">
      <w:pPr>
        <w:pStyle w:val="BodyText"/>
        <w:spacing w:before="180" w:line="290" w:lineRule="atLeast"/>
      </w:pPr>
      <w:r>
        <w:lastRenderedPageBreak/>
        <w:t xml:space="preserve">Notwithstanding, it is necessary </w:t>
      </w:r>
      <w:r w:rsidR="00AE5E59">
        <w:t xml:space="preserve">as a completeness measure </w:t>
      </w:r>
      <w:r>
        <w:t xml:space="preserve">to ensure that the UTI rules within the ASIC Rules will produce a </w:t>
      </w:r>
      <w:r w:rsidR="005076C7">
        <w:t>UTI generator</w:t>
      </w:r>
      <w:r>
        <w:t xml:space="preserve"> outcome in all circumstances. </w:t>
      </w:r>
      <w:r w:rsidR="00C02B79">
        <w:t xml:space="preserve">In principle, we propose to provide for an </w:t>
      </w:r>
      <w:r w:rsidR="00BF266B">
        <w:t xml:space="preserve">ultimate determinant </w:t>
      </w:r>
      <w:r w:rsidR="00C02B79">
        <w:t>as per the UTI Guidance.</w:t>
      </w:r>
    </w:p>
    <w:p w14:paraId="47A3B06F" w14:textId="000799E0" w:rsidR="00A02A15" w:rsidRDefault="000D51AE" w:rsidP="00136CC5">
      <w:pPr>
        <w:pStyle w:val="BodyText"/>
        <w:spacing w:before="180" w:line="290" w:lineRule="atLeast"/>
      </w:pPr>
      <w:r>
        <w:t xml:space="preserve">In particular, if the ‘semantic’ interpretation of T+1 is adopted internationally, the UTI Guidance sets out </w:t>
      </w:r>
      <w:r w:rsidR="00AE5E59">
        <w:t xml:space="preserve">that the </w:t>
      </w:r>
      <w:r w:rsidR="005076C7">
        <w:t>UTI generator</w:t>
      </w:r>
      <w:r w:rsidR="00AE5E59">
        <w:t xml:space="preserve"> </w:t>
      </w:r>
      <w:r>
        <w:t xml:space="preserve">would be </w:t>
      </w:r>
      <w:r w:rsidR="00AE5E59">
        <w:t>determined by agreement between the counterparties (</w:t>
      </w:r>
      <w:r w:rsidR="00B3425A">
        <w:t xml:space="preserve">step </w:t>
      </w:r>
      <w:r w:rsidR="00AE5E59">
        <w:t>11)</w:t>
      </w:r>
      <w:r w:rsidR="00BF266B">
        <w:t xml:space="preserve">, or </w:t>
      </w:r>
      <w:r w:rsidR="00AE5E59">
        <w:t xml:space="preserve">else by the </w:t>
      </w:r>
      <w:r w:rsidR="00402C33">
        <w:t>confirmation platform</w:t>
      </w:r>
      <w:r w:rsidR="00AE5E59">
        <w:t xml:space="preserve"> (</w:t>
      </w:r>
      <w:r w:rsidR="00B3425A">
        <w:t xml:space="preserve">step </w:t>
      </w:r>
      <w:r w:rsidR="00AE5E59">
        <w:t>12)</w:t>
      </w:r>
      <w:r w:rsidR="00BF266B">
        <w:t>, or</w:t>
      </w:r>
      <w:r w:rsidR="00AE5E59">
        <w:t xml:space="preserve"> else by </w:t>
      </w:r>
      <w:r w:rsidR="00B3425A">
        <w:t xml:space="preserve">step </w:t>
      </w:r>
      <w:r w:rsidR="00AE5E59">
        <w:t xml:space="preserve">13. In this scenario, there would be reasonable prospects that </w:t>
      </w:r>
      <w:r w:rsidR="00B3425A">
        <w:t>s</w:t>
      </w:r>
      <w:r w:rsidR="00AE5E59">
        <w:t xml:space="preserve">tep 13 would be invoked as the preceding steps would not necessarily be applicable to a wide range of transaction circumstances. The ESMA proposal includes these steps for the case where there is not a sooner jurisdiction among the jurisdictions to a </w:t>
      </w:r>
      <w:r w:rsidR="00BF266B">
        <w:t>cross</w:t>
      </w:r>
      <w:r w:rsidR="00AE5E59">
        <w:t xml:space="preserve">-jurisdictional </w:t>
      </w:r>
      <w:r w:rsidR="00BF266B">
        <w:t>transaction</w:t>
      </w:r>
      <w:r w:rsidR="00AE5E59">
        <w:t>.</w:t>
      </w:r>
    </w:p>
    <w:p w14:paraId="5A8FABCE" w14:textId="77777777" w:rsidR="00AE5E59" w:rsidRDefault="00AE5E59" w:rsidP="006256CC">
      <w:pPr>
        <w:pStyle w:val="Proposalhead"/>
      </w:pPr>
      <w:r>
        <w:t>Proposal</w:t>
      </w:r>
    </w:p>
    <w:p w14:paraId="54BEF186" w14:textId="69429B41" w:rsidR="00AE5E59" w:rsidRDefault="00C02B79" w:rsidP="00136CC5">
      <w:pPr>
        <w:pStyle w:val="Proposaltext"/>
        <w:spacing w:before="180" w:line="250" w:lineRule="atLeast"/>
      </w:pPr>
      <w:r>
        <w:t xml:space="preserve">In principle, we propose to provide for an </w:t>
      </w:r>
      <w:r w:rsidR="00BF266B">
        <w:t xml:space="preserve">ultimate determinant </w:t>
      </w:r>
      <w:r>
        <w:t>as per the UTI Guidance.</w:t>
      </w:r>
    </w:p>
    <w:p w14:paraId="3C448CE7" w14:textId="77777777" w:rsidR="00AE5E59" w:rsidRDefault="00AE5E59">
      <w:pPr>
        <w:pStyle w:val="Feedbackhead"/>
      </w:pPr>
      <w:r>
        <w:t>Your feedback</w:t>
      </w:r>
    </w:p>
    <w:p w14:paraId="2CDE50FC" w14:textId="7AEE74B2" w:rsidR="00AE5E59" w:rsidRDefault="00C02B79" w:rsidP="00136CC5">
      <w:pPr>
        <w:pStyle w:val="Feedbackquestion"/>
        <w:spacing w:before="80" w:line="250" w:lineRule="atLeast"/>
      </w:pPr>
      <w:r>
        <w:t>Do you agree with this proposal? In your response, please give detailed reasons for your answer.</w:t>
      </w:r>
    </w:p>
    <w:p w14:paraId="2707983C" w14:textId="1A5E49BA" w:rsidR="00A379F0" w:rsidRDefault="00A379F0" w:rsidP="00A379F0">
      <w:pPr>
        <w:pStyle w:val="Heading2"/>
      </w:pPr>
      <w:bookmarkStart w:id="72" w:name="_Toc57146482"/>
      <w:r>
        <w:t xml:space="preserve">Determining the </w:t>
      </w:r>
      <w:r w:rsidR="005076C7">
        <w:t>UTI generator</w:t>
      </w:r>
      <w:r w:rsidR="00BF266B" w:rsidRPr="009A3F41">
        <w:t>—</w:t>
      </w:r>
      <w:r w:rsidR="00BF266B">
        <w:t>O</w:t>
      </w:r>
      <w:r w:rsidR="002360B8">
        <w:t>bligations of timeliness</w:t>
      </w:r>
      <w:r w:rsidR="00B86CD6">
        <w:t>, UTI not received</w:t>
      </w:r>
      <w:bookmarkEnd w:id="72"/>
    </w:p>
    <w:p w14:paraId="27C08249" w14:textId="744CE684" w:rsidR="00B86CD6" w:rsidRDefault="00B86CD6" w:rsidP="00B86CD6">
      <w:pPr>
        <w:pStyle w:val="Heading3"/>
      </w:pPr>
      <w:r>
        <w:t>Timely generation and provision of UTIs</w:t>
      </w:r>
    </w:p>
    <w:p w14:paraId="32ED7434" w14:textId="6CE82E2B" w:rsidR="00AE5E59" w:rsidRDefault="00A379F0" w:rsidP="00136CC5">
      <w:pPr>
        <w:pStyle w:val="BodyText"/>
        <w:spacing w:before="180" w:line="290" w:lineRule="atLeast"/>
      </w:pPr>
      <w:r>
        <w:t xml:space="preserve">In complying with the UTI rules within the ASIC Rules, there will be transaction situations where an ASIC </w:t>
      </w:r>
      <w:r w:rsidR="009E0748">
        <w:t>reporting entity</w:t>
      </w:r>
      <w:r>
        <w:t xml:space="preserve"> is required to receive and report a UTI generated by another entity. This other entity may be a CCP, </w:t>
      </w:r>
      <w:r w:rsidR="009E0748">
        <w:t>clearing member</w:t>
      </w:r>
      <w:r>
        <w:t xml:space="preserve">, </w:t>
      </w:r>
      <w:r w:rsidR="00BD464B">
        <w:t>trading platform</w:t>
      </w:r>
      <w:r>
        <w:t xml:space="preserve">, </w:t>
      </w:r>
      <w:r w:rsidR="00402C33">
        <w:t>confirmation platform</w:t>
      </w:r>
      <w:r>
        <w:t xml:space="preserve">, ASIC </w:t>
      </w:r>
      <w:r w:rsidR="009E0748">
        <w:t>reporting entity</w:t>
      </w:r>
      <w:r>
        <w:t xml:space="preserve"> or an entity that is not an ASIC </w:t>
      </w:r>
      <w:r w:rsidR="009E0748">
        <w:t>reporting entity</w:t>
      </w:r>
      <w:r>
        <w:t>.</w:t>
      </w:r>
    </w:p>
    <w:p w14:paraId="5E07BF41" w14:textId="205FC80F" w:rsidR="000B3B5E" w:rsidRDefault="00A379F0" w:rsidP="00136CC5">
      <w:pPr>
        <w:pStyle w:val="BodyText"/>
        <w:spacing w:before="180" w:line="290" w:lineRule="atLeast"/>
      </w:pPr>
      <w:r>
        <w:t xml:space="preserve">We intend to propose that the ASIC Rules require </w:t>
      </w:r>
      <w:r w:rsidR="00BD464B">
        <w:t xml:space="preserve">the </w:t>
      </w:r>
      <w:r>
        <w:t xml:space="preserve">ASIC </w:t>
      </w:r>
      <w:r w:rsidR="00BD464B">
        <w:t>reporting entities</w:t>
      </w:r>
      <w:r w:rsidR="00B50912">
        <w:t xml:space="preserve">, when acting as a </w:t>
      </w:r>
      <w:r w:rsidR="005076C7">
        <w:t>UTI generator</w:t>
      </w:r>
      <w:r w:rsidR="00B50912">
        <w:t xml:space="preserve">, </w:t>
      </w:r>
      <w:r w:rsidR="00BD464B">
        <w:t xml:space="preserve">to </w:t>
      </w:r>
      <w:r w:rsidR="00B50912">
        <w:t>generate a UTI and provide it to their counterparty with</w:t>
      </w:r>
      <w:r w:rsidR="000B3B5E">
        <w:t xml:space="preserve"> an obligation of timeliness.</w:t>
      </w:r>
    </w:p>
    <w:p w14:paraId="4407CF98" w14:textId="5AF317C8" w:rsidR="0092183B" w:rsidRDefault="00F346DE" w:rsidP="00136CC5">
      <w:pPr>
        <w:pStyle w:val="BodyText"/>
        <w:spacing w:before="180" w:line="290" w:lineRule="atLeast"/>
      </w:pPr>
      <w:r>
        <w:t>As a single-sided reporting regime</w:t>
      </w:r>
      <w:r w:rsidR="0092183B">
        <w:t xml:space="preserve">, the final CFTC rules appear to reflect that the non-reporting counterparty does not </w:t>
      </w:r>
      <w:r w:rsidR="00105736">
        <w:t xml:space="preserve">need </w:t>
      </w:r>
      <w:r w:rsidR="0092183B">
        <w:t>to receive a UTI for use in reporting and the obligation of timeliness appear</w:t>
      </w:r>
      <w:r w:rsidR="00BD464B">
        <w:t>s</w:t>
      </w:r>
      <w:r w:rsidR="0092183B">
        <w:t xml:space="preserve"> to range from ASATP to T+1, depending on the nature of the reporting counterparty.</w:t>
      </w:r>
    </w:p>
    <w:p w14:paraId="0FFE3289" w14:textId="056ABA65" w:rsidR="00A379F0" w:rsidRDefault="00F346DE" w:rsidP="00136CC5">
      <w:pPr>
        <w:pStyle w:val="BodyText"/>
        <w:spacing w:before="180" w:line="290" w:lineRule="atLeast"/>
      </w:pPr>
      <w:r w:rsidRPr="00105736">
        <w:rPr>
          <w:spacing w:val="-2"/>
        </w:rPr>
        <w:t>As a dual-sided reporting regime, w</w:t>
      </w:r>
      <w:r w:rsidR="000B3B5E" w:rsidRPr="00105736">
        <w:rPr>
          <w:spacing w:val="-2"/>
        </w:rPr>
        <w:t>e note that the ESMA proposals include that ESMA ‘considers inclusion of a more specific provision on timely generation and communication of the UTI’</w:t>
      </w:r>
      <w:r w:rsidR="00BD464B" w:rsidRPr="00105736">
        <w:rPr>
          <w:spacing w:val="-2"/>
        </w:rPr>
        <w:t>—</w:t>
      </w:r>
      <w:r w:rsidR="006B7E19">
        <w:rPr>
          <w:spacing w:val="-2"/>
        </w:rPr>
        <w:t>which</w:t>
      </w:r>
      <w:r w:rsidR="000B3B5E" w:rsidRPr="00105736">
        <w:rPr>
          <w:spacing w:val="-2"/>
        </w:rPr>
        <w:t xml:space="preserve"> is more specific than the requirement in the current EU rules that the UTI is communicated </w:t>
      </w:r>
      <w:r w:rsidR="004A73AB" w:rsidRPr="00105736">
        <w:rPr>
          <w:spacing w:val="-2"/>
        </w:rPr>
        <w:t>‘</w:t>
      </w:r>
      <w:r w:rsidR="000B3B5E" w:rsidRPr="00105736">
        <w:rPr>
          <w:spacing w:val="-2"/>
        </w:rPr>
        <w:t xml:space="preserve">in a timely </w:t>
      </w:r>
      <w:r w:rsidR="000B3B5E" w:rsidRPr="00105736">
        <w:rPr>
          <w:spacing w:val="-2"/>
        </w:rPr>
        <w:lastRenderedPageBreak/>
        <w:t>manner so that the [reporting counterparty] is able to meet its reporting obligation</w:t>
      </w:r>
      <w:r w:rsidR="004A73AB" w:rsidRPr="00105736">
        <w:rPr>
          <w:spacing w:val="-2"/>
        </w:rPr>
        <w:t>’. The ESMA proposals include ‘The timing for the generation could be specified as a fixed deadline (e.g. T+1, 12:00 a.m. UTC) or as an amount of time following to the conclusion of the contract (e.g. 12</w:t>
      </w:r>
      <w:r w:rsidR="004A73AB" w:rsidRPr="004A73AB">
        <w:t xml:space="preserve"> hours)</w:t>
      </w:r>
      <w:r w:rsidR="004A73AB">
        <w:t>’</w:t>
      </w:r>
      <w:r w:rsidR="004A73AB" w:rsidRPr="004A73AB">
        <w:t xml:space="preserve">. </w:t>
      </w:r>
      <w:r w:rsidR="004A73AB">
        <w:t>We note that ISDA’s feedback on this point included that UTI generation and communication is ‘largely unproblematic’ where there is electronic execution and confirmation but</w:t>
      </w:r>
      <w:r w:rsidR="006B7E19">
        <w:t>,</w:t>
      </w:r>
      <w:r w:rsidR="004A73AB">
        <w:t xml:space="preserve"> for paper confirmations</w:t>
      </w:r>
      <w:r w:rsidR="00C901BE">
        <w:t xml:space="preserve"> ‘</w:t>
      </w:r>
      <w:r w:rsidR="00C901BE" w:rsidRPr="00C901BE">
        <w:t>current industry processes for the communication of UTIs are not able to consistently meet a fixed timeline</w:t>
      </w:r>
      <w:r w:rsidR="00C901BE">
        <w:t>’.</w:t>
      </w:r>
    </w:p>
    <w:p w14:paraId="568D22F2" w14:textId="282AC386" w:rsidR="00C901BE" w:rsidRDefault="008127CC" w:rsidP="00136CC5">
      <w:pPr>
        <w:pStyle w:val="BodyText"/>
        <w:spacing w:before="180" w:line="290" w:lineRule="atLeast"/>
      </w:pPr>
      <w:r>
        <w:t xml:space="preserve">For </w:t>
      </w:r>
      <w:r w:rsidR="006B7E19">
        <w:t>cross</w:t>
      </w:r>
      <w:r>
        <w:t xml:space="preserve">-jurisdictional </w:t>
      </w:r>
      <w:r w:rsidR="006B7E19">
        <w:t>transactions</w:t>
      </w:r>
      <w:r>
        <w:t xml:space="preserve">, the </w:t>
      </w:r>
      <w:r w:rsidR="005076C7">
        <w:t>UTI generator</w:t>
      </w:r>
      <w:r>
        <w:t xml:space="preserve"> may not be a regulated entity in the jurisdiction of the entity that needs to receive and report the UTI. In order to comply with its own reporting requirements, the UTI recipient relies on the UTI generation and provision performance of the </w:t>
      </w:r>
      <w:r w:rsidR="005076C7">
        <w:t>UTI generator</w:t>
      </w:r>
      <w:r>
        <w:t xml:space="preserve">. It is important that regulatory authorities </w:t>
      </w:r>
      <w:r w:rsidR="005F091C">
        <w:t xml:space="preserve">(including ASIC) </w:t>
      </w:r>
      <w:r>
        <w:t xml:space="preserve">in the jurisdictions of the </w:t>
      </w:r>
      <w:r w:rsidR="005076C7">
        <w:t>UTI generator</w:t>
      </w:r>
      <w:r>
        <w:t xml:space="preserve"> </w:t>
      </w:r>
      <w:r w:rsidR="005F091C">
        <w:t>require timely UTI generation and provision performance to support the ability of UTI recipients to comply with their reporting requirements in other jurisdictions.</w:t>
      </w:r>
    </w:p>
    <w:p w14:paraId="367F7432" w14:textId="0B9BC500" w:rsidR="005F091C" w:rsidRDefault="005F091C" w:rsidP="00136CC5">
      <w:pPr>
        <w:pStyle w:val="BodyText"/>
        <w:spacing w:before="180" w:line="290" w:lineRule="atLeast"/>
      </w:pPr>
      <w:r>
        <w:t xml:space="preserve">Therefore, for an obligation of timeliness under the ASIC Rules, we </w:t>
      </w:r>
      <w:r w:rsidR="009C1E8B">
        <w:t>consider</w:t>
      </w:r>
      <w:r>
        <w:t xml:space="preserve"> it should be, at a minimum, no less stringent than the obligations of timeliness in the other jurisdictions that are most commonly involved in a </w:t>
      </w:r>
      <w:r w:rsidR="006B7E19">
        <w:t>cross</w:t>
      </w:r>
      <w:r>
        <w:t xml:space="preserve">-jurisdictional </w:t>
      </w:r>
      <w:r w:rsidR="006B7E19">
        <w:t xml:space="preserve">transaction </w:t>
      </w:r>
      <w:r>
        <w:t>under the ASIC Rules.</w:t>
      </w:r>
      <w:r w:rsidR="00F346DE">
        <w:t xml:space="preserve"> We will consider how such an obligation of timeliness may be expressed in light of </w:t>
      </w:r>
      <w:r w:rsidR="0092183B">
        <w:t>further developments in the UTI rules of other jurisdictions.</w:t>
      </w:r>
    </w:p>
    <w:p w14:paraId="75F5A601" w14:textId="6AB6665C" w:rsidR="0092183B" w:rsidRDefault="0092183B" w:rsidP="00136CC5">
      <w:pPr>
        <w:pStyle w:val="BodyText"/>
        <w:spacing w:before="180" w:line="290" w:lineRule="atLeast"/>
      </w:pPr>
      <w:r>
        <w:t xml:space="preserve">For a </w:t>
      </w:r>
      <w:r w:rsidR="009822AC">
        <w:t xml:space="preserve">single-jurisdictional </w:t>
      </w:r>
      <w:r w:rsidR="006B7E19">
        <w:t>transaction</w:t>
      </w:r>
      <w:r>
        <w:t>, where both counterparties do not have a reporting requirement under the rules of another jurisdiction, an obligation of timeliness may be expressed in a different manner</w:t>
      </w:r>
      <w:r w:rsidR="006B7E19" w:rsidRPr="00884796">
        <w:t>—</w:t>
      </w:r>
      <w:r>
        <w:t>such as more explicitly or to a shorter timeframe</w:t>
      </w:r>
      <w:r w:rsidR="006B7E19" w:rsidRPr="009F30AD">
        <w:t>—</w:t>
      </w:r>
      <w:r>
        <w:t xml:space="preserve">to that applicable to a </w:t>
      </w:r>
      <w:r w:rsidR="006B7E19">
        <w:t>cross</w:t>
      </w:r>
      <w:r>
        <w:t xml:space="preserve">-jurisdictional </w:t>
      </w:r>
      <w:r w:rsidR="006B7E19">
        <w:t>transaction</w:t>
      </w:r>
      <w:r>
        <w:t xml:space="preserve">. We will consider this issue as we consider an obligation of timeliness </w:t>
      </w:r>
      <w:r w:rsidR="006B7E19">
        <w:t>for cross</w:t>
      </w:r>
      <w:r>
        <w:t xml:space="preserve">-jurisdictional </w:t>
      </w:r>
      <w:r w:rsidR="006B7E19">
        <w:t>transactions</w:t>
      </w:r>
      <w:r>
        <w:t>.</w:t>
      </w:r>
    </w:p>
    <w:p w14:paraId="6DC891FD" w14:textId="163D6B94" w:rsidR="00B86CD6" w:rsidRDefault="00B86CD6" w:rsidP="00B86CD6">
      <w:pPr>
        <w:pStyle w:val="Heading3"/>
      </w:pPr>
      <w:r>
        <w:t>Provisions where UTI is not received</w:t>
      </w:r>
    </w:p>
    <w:p w14:paraId="774A05AC" w14:textId="553CBFDF" w:rsidR="00B86CD6" w:rsidRDefault="00B86CD6" w:rsidP="00136CC5">
      <w:pPr>
        <w:pStyle w:val="BodyText"/>
        <w:spacing w:before="180" w:line="290" w:lineRule="atLeast"/>
      </w:pPr>
      <w:r>
        <w:t xml:space="preserve">As discussed at </w:t>
      </w:r>
      <w:r w:rsidR="008A3498">
        <w:t xml:space="preserve">paragraphs </w:t>
      </w:r>
      <w:r>
        <w:fldChar w:fldCharType="begin"/>
      </w:r>
      <w:r>
        <w:instrText xml:space="preserve"> REF _ASICRef774 \w \h </w:instrText>
      </w:r>
      <w:r>
        <w:fldChar w:fldCharType="separate"/>
      </w:r>
      <w:r w:rsidR="00314C7E">
        <w:t>57</w:t>
      </w:r>
      <w:r>
        <w:fldChar w:fldCharType="end"/>
      </w:r>
      <w:r>
        <w:t>–</w:t>
      </w:r>
      <w:r>
        <w:fldChar w:fldCharType="begin"/>
      </w:r>
      <w:r>
        <w:instrText xml:space="preserve"> REF _ASICRef14 \w \h </w:instrText>
      </w:r>
      <w:r>
        <w:fldChar w:fldCharType="separate"/>
      </w:r>
      <w:r w:rsidR="00314C7E">
        <w:t>61</w:t>
      </w:r>
      <w:r>
        <w:fldChar w:fldCharType="end"/>
      </w:r>
      <w:r>
        <w:t xml:space="preserve"> and </w:t>
      </w:r>
      <w:r>
        <w:fldChar w:fldCharType="begin"/>
      </w:r>
      <w:r>
        <w:instrText xml:space="preserve"> REF _ASICRef45 \w \h </w:instrText>
      </w:r>
      <w:r>
        <w:fldChar w:fldCharType="separate"/>
      </w:r>
      <w:r w:rsidR="00314C7E">
        <w:t>66</w:t>
      </w:r>
      <w:r>
        <w:fldChar w:fldCharType="end"/>
      </w:r>
      <w:r>
        <w:t>–</w:t>
      </w:r>
      <w:r>
        <w:fldChar w:fldCharType="begin"/>
      </w:r>
      <w:r>
        <w:instrText xml:space="preserve"> REF _ASICRef414 \w \h </w:instrText>
      </w:r>
      <w:r>
        <w:fldChar w:fldCharType="separate"/>
      </w:r>
      <w:r w:rsidR="00314C7E">
        <w:t>67</w:t>
      </w:r>
      <w:r>
        <w:fldChar w:fldCharType="end"/>
      </w:r>
      <w:r>
        <w:t xml:space="preserve">, there are circumstances where a CCP or </w:t>
      </w:r>
      <w:r w:rsidR="009E0748">
        <w:t>clearing member</w:t>
      </w:r>
      <w:r w:rsidR="00EC2477">
        <w:t xml:space="preserve"> may not generate a UTI and provide it to an ASIC </w:t>
      </w:r>
      <w:r w:rsidR="009E0748">
        <w:t>reporting entity</w:t>
      </w:r>
      <w:r w:rsidR="00EC2477">
        <w:t xml:space="preserve">. This may be because the CCP or </w:t>
      </w:r>
      <w:r w:rsidR="009E0748">
        <w:t>clearing member</w:t>
      </w:r>
      <w:r w:rsidR="00EC2477">
        <w:t xml:space="preserve"> is not required in its home jurisdiction to be a </w:t>
      </w:r>
      <w:r w:rsidR="005076C7">
        <w:t>UTI generator</w:t>
      </w:r>
      <w:r w:rsidR="00EC2477">
        <w:t xml:space="preserve"> or those requirements have not come into force.</w:t>
      </w:r>
    </w:p>
    <w:p w14:paraId="2023060E" w14:textId="6D6258F5" w:rsidR="00EC2477" w:rsidRDefault="00EC2477" w:rsidP="00136CC5">
      <w:pPr>
        <w:pStyle w:val="BodyText"/>
        <w:spacing w:before="180" w:line="290" w:lineRule="atLeast"/>
      </w:pPr>
      <w:r>
        <w:t xml:space="preserve">This circumstance can also be extended to any entity that would be a </w:t>
      </w:r>
      <w:r w:rsidR="005076C7">
        <w:t>UTI generator</w:t>
      </w:r>
      <w:r>
        <w:t xml:space="preserve"> under the ASIC Rules and is not an ASIC </w:t>
      </w:r>
      <w:r w:rsidR="009E0748">
        <w:t>reporting entity</w:t>
      </w:r>
      <w:r>
        <w:t>.</w:t>
      </w:r>
    </w:p>
    <w:p w14:paraId="3B3433AF" w14:textId="70FBADB4" w:rsidR="0092183B" w:rsidRDefault="00EC2477" w:rsidP="00136CC5">
      <w:pPr>
        <w:pStyle w:val="BodyText"/>
        <w:spacing w:before="180" w:line="290" w:lineRule="atLeast"/>
      </w:pPr>
      <w:r>
        <w:t xml:space="preserve">The non-receipt of a UTI by an ASIC </w:t>
      </w:r>
      <w:r w:rsidR="009E0748">
        <w:t>reporting entity</w:t>
      </w:r>
      <w:r>
        <w:t xml:space="preserve"> may also occur where the </w:t>
      </w:r>
      <w:r w:rsidR="005076C7">
        <w:t>UTI generator</w:t>
      </w:r>
      <w:r>
        <w:t xml:space="preserve"> has not generated</w:t>
      </w:r>
      <w:r w:rsidR="00513A09">
        <w:t xml:space="preserve"> and/or provided the UTI to the ASIC </w:t>
      </w:r>
      <w:r w:rsidR="009E0748">
        <w:t>reporting entity</w:t>
      </w:r>
      <w:r w:rsidR="00513A09">
        <w:t>, notwithstanding obligations to do so under the ASIC Rules or the rules of another jurisdiction.</w:t>
      </w:r>
    </w:p>
    <w:p w14:paraId="0E534531" w14:textId="2266E9BD" w:rsidR="00513A09" w:rsidRPr="00136CC5" w:rsidRDefault="00513A09" w:rsidP="00136CC5">
      <w:pPr>
        <w:pStyle w:val="BodyText"/>
        <w:spacing w:before="180" w:line="290" w:lineRule="atLeast"/>
        <w:rPr>
          <w:spacing w:val="-2"/>
        </w:rPr>
      </w:pPr>
      <w:r w:rsidRPr="00136CC5">
        <w:rPr>
          <w:spacing w:val="-2"/>
        </w:rPr>
        <w:lastRenderedPageBreak/>
        <w:t xml:space="preserve">We discuss at </w:t>
      </w:r>
      <w:r w:rsidR="008A3498" w:rsidRPr="00136CC5">
        <w:rPr>
          <w:spacing w:val="-2"/>
        </w:rPr>
        <w:t xml:space="preserve">paragraph </w:t>
      </w:r>
      <w:r w:rsidRPr="00136CC5">
        <w:rPr>
          <w:spacing w:val="-2"/>
        </w:rPr>
        <w:fldChar w:fldCharType="begin"/>
      </w:r>
      <w:r w:rsidRPr="00136CC5">
        <w:rPr>
          <w:spacing w:val="-2"/>
        </w:rPr>
        <w:instrText xml:space="preserve"> REF _ASICRef862 \w \h </w:instrText>
      </w:r>
      <w:r w:rsidR="00E066C5">
        <w:rPr>
          <w:spacing w:val="-2"/>
        </w:rPr>
        <w:instrText xml:space="preserve"> \* MERGEFORMAT </w:instrText>
      </w:r>
      <w:r w:rsidRPr="00136CC5">
        <w:rPr>
          <w:spacing w:val="-2"/>
        </w:rPr>
      </w:r>
      <w:r w:rsidRPr="00136CC5">
        <w:rPr>
          <w:spacing w:val="-2"/>
        </w:rPr>
        <w:fldChar w:fldCharType="separate"/>
      </w:r>
      <w:r w:rsidR="00314C7E">
        <w:rPr>
          <w:spacing w:val="-2"/>
        </w:rPr>
        <w:t>60</w:t>
      </w:r>
      <w:r w:rsidRPr="00136CC5">
        <w:rPr>
          <w:spacing w:val="-2"/>
        </w:rPr>
        <w:fldChar w:fldCharType="end"/>
      </w:r>
      <w:r w:rsidRPr="00136CC5">
        <w:rPr>
          <w:spacing w:val="-2"/>
        </w:rPr>
        <w:t xml:space="preserve"> the potential for a temporary exemption to provide for circumstances where the </w:t>
      </w:r>
      <w:r w:rsidR="005076C7" w:rsidRPr="00136CC5">
        <w:rPr>
          <w:spacing w:val="-2"/>
        </w:rPr>
        <w:t>UTI generator</w:t>
      </w:r>
      <w:r w:rsidRPr="00136CC5">
        <w:rPr>
          <w:spacing w:val="-2"/>
        </w:rPr>
        <w:t xml:space="preserve"> requirements in other jurisdictions have not come into force.</w:t>
      </w:r>
      <w:r w:rsidR="005D7D44" w:rsidRPr="00136CC5">
        <w:rPr>
          <w:spacing w:val="-2"/>
        </w:rPr>
        <w:t xml:space="preserve"> This concept </w:t>
      </w:r>
      <w:r w:rsidR="006A227A" w:rsidRPr="00136CC5">
        <w:rPr>
          <w:spacing w:val="-2"/>
        </w:rPr>
        <w:t>may</w:t>
      </w:r>
      <w:r w:rsidR="005D7D44" w:rsidRPr="00136CC5">
        <w:rPr>
          <w:spacing w:val="-2"/>
        </w:rPr>
        <w:t xml:space="preserve"> be generalised as provisions in the ASIC Rules that address the non-receipt of a UTI for any reason.</w:t>
      </w:r>
    </w:p>
    <w:p w14:paraId="048868A6" w14:textId="2B39D15F" w:rsidR="00C74BFA" w:rsidRDefault="008A3498" w:rsidP="00136CC5">
      <w:pPr>
        <w:pStyle w:val="BodyText"/>
        <w:spacing w:before="180" w:line="290" w:lineRule="atLeast"/>
      </w:pPr>
      <w:r>
        <w:t>I</w:t>
      </w:r>
      <w:r w:rsidR="005D7D44">
        <w:t>n the second round of consultation</w:t>
      </w:r>
      <w:r>
        <w:t xml:space="preserve">, we may </w:t>
      </w:r>
      <w:r w:rsidR="00404AE3">
        <w:t>propose</w:t>
      </w:r>
      <w:r w:rsidR="005D7D44">
        <w:t xml:space="preserve"> that the ASIC Rules include </w:t>
      </w:r>
      <w:r w:rsidR="00611C4C">
        <w:t>requirements</w:t>
      </w:r>
      <w:r w:rsidR="005D7D44">
        <w:t xml:space="preserve"> </w:t>
      </w:r>
      <w:r w:rsidR="0073275B">
        <w:t xml:space="preserve">that </w:t>
      </w:r>
      <w:r w:rsidR="006A227A">
        <w:t xml:space="preserve">could </w:t>
      </w:r>
      <w:r w:rsidR="0073275B">
        <w:t>conceptually</w:t>
      </w:r>
      <w:r w:rsidR="006A227A">
        <w:t xml:space="preserve"> provide that</w:t>
      </w:r>
      <w:r w:rsidR="0073275B">
        <w:t>:</w:t>
      </w:r>
    </w:p>
    <w:p w14:paraId="363D016A" w14:textId="6421EE4B" w:rsidR="00C74BFA" w:rsidRDefault="00C74BFA" w:rsidP="00136CC5">
      <w:pPr>
        <w:pStyle w:val="subparaa"/>
        <w:spacing w:before="80" w:line="290" w:lineRule="atLeast"/>
      </w:pPr>
      <w:r>
        <w:t xml:space="preserve">if a </w:t>
      </w:r>
      <w:r w:rsidR="009E0748">
        <w:t>reporting entity</w:t>
      </w:r>
      <w:r>
        <w:t xml:space="preserve"> does not receive a UTI in time to use in reporting by the deadline for reporting, then</w:t>
      </w:r>
      <w:r w:rsidR="008A3498">
        <w:t>:</w:t>
      </w:r>
    </w:p>
    <w:p w14:paraId="6CDA7998" w14:textId="47DE6543" w:rsidR="00C74BFA" w:rsidRDefault="00C74BFA" w:rsidP="00136CC5">
      <w:pPr>
        <w:pStyle w:val="subsubparai"/>
        <w:spacing w:before="80" w:line="290" w:lineRule="atLeast"/>
      </w:pPr>
      <w:r>
        <w:t xml:space="preserve">the </w:t>
      </w:r>
      <w:r w:rsidR="009E0748">
        <w:t>reporting entity</w:t>
      </w:r>
      <w:r>
        <w:t xml:space="preserve"> must generate its own UTI and use that UTI in reporting the transaction</w:t>
      </w:r>
      <w:r w:rsidR="008A3498">
        <w:t>;</w:t>
      </w:r>
      <w:r>
        <w:t xml:space="preserve"> and</w:t>
      </w:r>
    </w:p>
    <w:p w14:paraId="5CA6F80A" w14:textId="6C9492E9" w:rsidR="00513A09" w:rsidRPr="005D7D44" w:rsidRDefault="00C74BFA" w:rsidP="00136CC5">
      <w:pPr>
        <w:pStyle w:val="subsubparai"/>
        <w:spacing w:before="80" w:line="290" w:lineRule="atLeast"/>
      </w:pPr>
      <w:r>
        <w:t xml:space="preserve">on receiving the UTI, the </w:t>
      </w:r>
      <w:r w:rsidR="009E0748">
        <w:t>reporting entity</w:t>
      </w:r>
      <w:r>
        <w:t xml:space="preserve"> </w:t>
      </w:r>
      <w:r w:rsidR="00404AE3">
        <w:t xml:space="preserve">must </w:t>
      </w:r>
      <w:r>
        <w:t>make the reports necessary to exit the first reported transaction and report the transaction with the received UTI.</w:t>
      </w:r>
    </w:p>
    <w:p w14:paraId="2B3F707A" w14:textId="77777777" w:rsidR="007A01D7" w:rsidRDefault="007A01D7" w:rsidP="00794F58">
      <w:pPr>
        <w:pStyle w:val="Proposalhead"/>
      </w:pPr>
      <w:r>
        <w:t>Proposal</w:t>
      </w:r>
    </w:p>
    <w:p w14:paraId="3BCAC75F" w14:textId="7FD8D89E" w:rsidR="007A01D7" w:rsidRDefault="000545FD" w:rsidP="00136CC5">
      <w:pPr>
        <w:pStyle w:val="Proposaltext"/>
        <w:spacing w:before="180" w:line="250" w:lineRule="atLeast"/>
      </w:pPr>
      <w:r w:rsidRPr="000545FD">
        <w:t xml:space="preserve">We intend to propose that the ASIC Rules require that ASIC </w:t>
      </w:r>
      <w:r w:rsidR="00404AE3">
        <w:t>r</w:t>
      </w:r>
      <w:r w:rsidR="00404AE3" w:rsidRPr="000545FD">
        <w:t xml:space="preserve">eporting </w:t>
      </w:r>
      <w:r w:rsidR="00404AE3">
        <w:t>e</w:t>
      </w:r>
      <w:r w:rsidR="00404AE3" w:rsidRPr="000545FD">
        <w:t>ntities</w:t>
      </w:r>
      <w:r w:rsidRPr="000545FD">
        <w:t xml:space="preserve">, when acting as a </w:t>
      </w:r>
      <w:r w:rsidR="005076C7">
        <w:t>UTI generator</w:t>
      </w:r>
      <w:r w:rsidRPr="000545FD">
        <w:t>, generate a UTI and provide it to their counterparty with an obligation of timeliness</w:t>
      </w:r>
      <w:r>
        <w:t>.</w:t>
      </w:r>
    </w:p>
    <w:p w14:paraId="6D4F5330" w14:textId="77777777" w:rsidR="007A01D7" w:rsidRDefault="007A01D7">
      <w:pPr>
        <w:pStyle w:val="Feedbackhead"/>
      </w:pPr>
      <w:r>
        <w:t>Your feedback</w:t>
      </w:r>
    </w:p>
    <w:p w14:paraId="78D1FF63" w14:textId="5415463D" w:rsidR="007A01D7" w:rsidRDefault="009A0E0E" w:rsidP="00136CC5">
      <w:pPr>
        <w:pStyle w:val="Feedbackquestion"/>
        <w:spacing w:before="80" w:line="250" w:lineRule="atLeast"/>
      </w:pPr>
      <w:r>
        <w:t>Do you agree with this proposal? In your response, please give detailed reasons for your answer.</w:t>
      </w:r>
    </w:p>
    <w:p w14:paraId="4590E210" w14:textId="40E9FC07" w:rsidR="00FF129A" w:rsidRDefault="009A0E0E" w:rsidP="00136CC5">
      <w:pPr>
        <w:pStyle w:val="Feedbackquestion"/>
        <w:spacing w:before="80" w:line="250" w:lineRule="atLeast"/>
      </w:pPr>
      <w:r>
        <w:t xml:space="preserve">Do you consider </w:t>
      </w:r>
      <w:r w:rsidR="00FF129A">
        <w:t xml:space="preserve">that an obligation of timeliness should refer to a fixed </w:t>
      </w:r>
      <w:r w:rsidR="00FF129A" w:rsidRPr="00FF129A">
        <w:t xml:space="preserve">deadline (e.g. T+1, 12:00 </w:t>
      </w:r>
      <w:r w:rsidR="00317745" w:rsidRPr="00FF129A">
        <w:t>a.m.</w:t>
      </w:r>
      <w:r w:rsidR="00FF129A">
        <w:t xml:space="preserve"> Sydney</w:t>
      </w:r>
      <w:r w:rsidR="00FF129A" w:rsidRPr="00FF129A">
        <w:t xml:space="preserve">) or as an amount of time </w:t>
      </w:r>
      <w:r w:rsidR="00FF129A">
        <w:t>after transaction execution (</w:t>
      </w:r>
      <w:r w:rsidR="00FF129A" w:rsidRPr="00FF129A">
        <w:t>e.g. 12</w:t>
      </w:r>
      <w:r w:rsidR="00404AE3">
        <w:t> </w:t>
      </w:r>
      <w:r w:rsidR="00FF129A" w:rsidRPr="00FF129A">
        <w:t>hours)</w:t>
      </w:r>
      <w:r w:rsidR="00FF129A">
        <w:t xml:space="preserve"> or as another timeliness reference? In your response, please give detailed reasons for your answer.</w:t>
      </w:r>
    </w:p>
    <w:p w14:paraId="4F347FC8" w14:textId="65A76AAD" w:rsidR="009A0E0E" w:rsidRDefault="00FF129A" w:rsidP="00136CC5">
      <w:pPr>
        <w:pStyle w:val="Feedbackquestion"/>
        <w:spacing w:before="80" w:line="250" w:lineRule="atLeast"/>
      </w:pPr>
      <w:r>
        <w:t xml:space="preserve">Do you consider there should be different obligations of timeliness for </w:t>
      </w:r>
      <w:r w:rsidR="009822AC">
        <w:t xml:space="preserve">single-jurisdictional </w:t>
      </w:r>
      <w:r w:rsidR="00404AE3">
        <w:t>transaction</w:t>
      </w:r>
      <w:r w:rsidR="00FB6063">
        <w:t>s</w:t>
      </w:r>
      <w:r w:rsidR="00404AE3">
        <w:t xml:space="preserve"> </w:t>
      </w:r>
      <w:r>
        <w:t xml:space="preserve">and </w:t>
      </w:r>
      <w:r w:rsidR="00404AE3">
        <w:t>cross</w:t>
      </w:r>
      <w:r>
        <w:t xml:space="preserve">-jurisdictional </w:t>
      </w:r>
      <w:r w:rsidR="00404AE3">
        <w:t>transactions</w:t>
      </w:r>
      <w:r>
        <w:t>? In your response, please give detailed reasons for your answer.</w:t>
      </w:r>
    </w:p>
    <w:p w14:paraId="4665B352" w14:textId="77777777" w:rsidR="00611C4C" w:rsidRDefault="00611C4C" w:rsidP="00DC6C20">
      <w:pPr>
        <w:pStyle w:val="Proposalhead"/>
      </w:pPr>
      <w:r>
        <w:t>Proposal</w:t>
      </w:r>
    </w:p>
    <w:p w14:paraId="469D3D36" w14:textId="3B735AAF" w:rsidR="00611C4C" w:rsidRDefault="00611C4C" w:rsidP="00136CC5">
      <w:pPr>
        <w:pStyle w:val="Proposaltext"/>
        <w:spacing w:before="180" w:line="250" w:lineRule="atLeast"/>
      </w:pPr>
      <w:r w:rsidRPr="00611C4C">
        <w:t xml:space="preserve">We </w:t>
      </w:r>
      <w:r w:rsidR="00404AE3">
        <w:t>may</w:t>
      </w:r>
      <w:r w:rsidRPr="00611C4C">
        <w:t xml:space="preserve"> propose in the second round of consultation that the ASIC Rules include </w:t>
      </w:r>
      <w:r>
        <w:t xml:space="preserve">requirements on </w:t>
      </w:r>
      <w:r w:rsidR="00404AE3">
        <w:t xml:space="preserve">reporting entities </w:t>
      </w:r>
      <w:r>
        <w:t xml:space="preserve">to report their own UTI when they do not receive the UTI from the other </w:t>
      </w:r>
      <w:r w:rsidR="005076C7">
        <w:t>UTI generator</w:t>
      </w:r>
      <w:r>
        <w:t xml:space="preserve"> and to re-report using that second UTI when it is received.</w:t>
      </w:r>
    </w:p>
    <w:p w14:paraId="19421417" w14:textId="77777777" w:rsidR="00611C4C" w:rsidRDefault="00611C4C">
      <w:pPr>
        <w:pStyle w:val="Feedbackhead"/>
      </w:pPr>
      <w:r>
        <w:t>Your feedback</w:t>
      </w:r>
    </w:p>
    <w:p w14:paraId="1709772C" w14:textId="1911FB08" w:rsidR="00611C4C" w:rsidRDefault="00611C4C" w:rsidP="00136CC5">
      <w:pPr>
        <w:pStyle w:val="Feedbackquestion"/>
        <w:spacing w:before="80" w:line="250" w:lineRule="atLeast"/>
      </w:pPr>
      <w:r>
        <w:t>Do you agree that we should propose such requirements? In your response, please give detailed reasons for your answer.</w:t>
      </w:r>
    </w:p>
    <w:p w14:paraId="790B6D1C" w14:textId="19FBDCB0" w:rsidR="00611C4C" w:rsidRPr="007A01D7" w:rsidRDefault="00611C4C" w:rsidP="00136CC5">
      <w:pPr>
        <w:pStyle w:val="Feedbackquestion"/>
        <w:spacing w:before="80" w:line="250" w:lineRule="atLeast"/>
      </w:pPr>
      <w:r>
        <w:t xml:space="preserve">What are the kinds of requirements that you consider we should take into account when drafting such a proposal? </w:t>
      </w:r>
      <w:r w:rsidRPr="00611C4C">
        <w:t>In your response, please give detailed reasons for your answer.</w:t>
      </w:r>
    </w:p>
    <w:p w14:paraId="004706B1" w14:textId="4884BC5C" w:rsidR="005A1D8D" w:rsidRDefault="005A1D8D" w:rsidP="0099665F">
      <w:pPr>
        <w:pStyle w:val="Heading1"/>
      </w:pPr>
      <w:bookmarkStart w:id="73" w:name="_ASICRef106"/>
      <w:bookmarkStart w:id="74" w:name="_Toc57146483"/>
      <w:bookmarkEnd w:id="37"/>
      <w:r>
        <w:lastRenderedPageBreak/>
        <w:t xml:space="preserve">The </w:t>
      </w:r>
      <w:r w:rsidR="006A33BB">
        <w:t xml:space="preserve">unique product identifier </w:t>
      </w:r>
      <w:r>
        <w:t>(UPI)</w:t>
      </w:r>
      <w:bookmarkEnd w:id="73"/>
      <w:bookmarkEnd w:id="74"/>
    </w:p>
    <w:p w14:paraId="2FD1C8B0" w14:textId="77777777" w:rsidR="0099665F" w:rsidRDefault="0099665F">
      <w:pPr>
        <w:pStyle w:val="KPhead"/>
      </w:pPr>
      <w:r>
        <w:t>Key points</w:t>
      </w:r>
    </w:p>
    <w:p w14:paraId="446C97DD" w14:textId="273AED9D" w:rsidR="00A22FE0" w:rsidRDefault="00A22FE0" w:rsidP="0011188E">
      <w:pPr>
        <w:pStyle w:val="KPtext"/>
        <w:spacing w:line="250" w:lineRule="atLeast"/>
      </w:pPr>
      <w:r>
        <w:t xml:space="preserve">The UPI is </w:t>
      </w:r>
      <w:r w:rsidR="002C563E">
        <w:t xml:space="preserve">a </w:t>
      </w:r>
      <w:r>
        <w:t>globally unique product identifier to be</w:t>
      </w:r>
      <w:r w:rsidR="00796887">
        <w:t xml:space="preserve"> </w:t>
      </w:r>
      <w:r>
        <w:t>used in derivative transaction reporting to identify the type of derivative that is the subject of the transaction.</w:t>
      </w:r>
    </w:p>
    <w:p w14:paraId="12107AA2" w14:textId="7D04ADD4" w:rsidR="00A22FE0" w:rsidRDefault="00A22FE0" w:rsidP="0011188E">
      <w:pPr>
        <w:pStyle w:val="KPtext"/>
        <w:spacing w:line="250" w:lineRule="atLeast"/>
      </w:pPr>
      <w:r>
        <w:t xml:space="preserve">As with other jurisdictions, we propose to implement the </w:t>
      </w:r>
      <w:r w:rsidR="005E0A03" w:rsidRPr="00675D9A">
        <w:rPr>
          <w:color w:val="000000" w:themeColor="text1"/>
        </w:rPr>
        <w:t>CPMI IOSCO</w:t>
      </w:r>
      <w:r w:rsidR="005E0A03">
        <w:rPr>
          <w:color w:val="000000" w:themeColor="text1"/>
        </w:rPr>
        <w:t xml:space="preserve"> </w:t>
      </w:r>
      <w:r>
        <w:t>UPI Guidance to specify UPIs in derivative transaction reporting.</w:t>
      </w:r>
    </w:p>
    <w:p w14:paraId="1E0CD02C" w14:textId="62B44B3C" w:rsidR="0099665F" w:rsidRDefault="00A22FE0" w:rsidP="0011188E">
      <w:pPr>
        <w:pStyle w:val="KPtext"/>
        <w:spacing w:line="250" w:lineRule="atLeast"/>
      </w:pPr>
      <w:r>
        <w:t xml:space="preserve">The UPI will embed certain data element information but the UPI system is not currently operational. Our current approach is to </w:t>
      </w:r>
      <w:r w:rsidRPr="00A22FE0">
        <w:t xml:space="preserve">specify a data element set that assumes the </w:t>
      </w:r>
      <w:r w:rsidR="00C10BC3">
        <w:t xml:space="preserve">future operationalisation of the </w:t>
      </w:r>
      <w:r w:rsidRPr="00A22FE0">
        <w:t xml:space="preserve">UPI system </w:t>
      </w:r>
      <w:r w:rsidR="00C10BC3">
        <w:t>but to consider for our final ASIC Rules proposals including the data elements that are not, at that time, available as UPI</w:t>
      </w:r>
      <w:r w:rsidR="0011188E">
        <w:t>-</w:t>
      </w:r>
      <w:r w:rsidR="00C10BC3">
        <w:t>embedded information.</w:t>
      </w:r>
    </w:p>
    <w:p w14:paraId="1A2C053F" w14:textId="72256097" w:rsidR="007A01D7" w:rsidRDefault="007A01D7" w:rsidP="007A01D7">
      <w:pPr>
        <w:pStyle w:val="Heading2"/>
      </w:pPr>
      <w:bookmarkStart w:id="75" w:name="_Toc57146484"/>
      <w:r>
        <w:t>Background</w:t>
      </w:r>
      <w:bookmarkEnd w:id="75"/>
    </w:p>
    <w:p w14:paraId="18B8B2E6" w14:textId="1ABA71DC" w:rsidR="00FA1441" w:rsidRDefault="00FA1441" w:rsidP="0011188E">
      <w:pPr>
        <w:pStyle w:val="BodyText"/>
        <w:spacing w:line="290" w:lineRule="atLeast"/>
      </w:pPr>
      <w:r>
        <w:t>The UPI is a</w:t>
      </w:r>
      <w:r w:rsidR="00FB0278">
        <w:t xml:space="preserve"> product</w:t>
      </w:r>
      <w:r>
        <w:t xml:space="preserve"> taxonomy for OTC derivatives. Other taxonomies are the ISDA taxonomy and the ISO Classification of Financial Instruments (CFI). ISINs are also used for individual OTC derivative instruments</w:t>
      </w:r>
      <w:r w:rsidR="00FB0278">
        <w:t xml:space="preserve"> in some jurisdictions</w:t>
      </w:r>
      <w:r>
        <w:t>.</w:t>
      </w:r>
    </w:p>
    <w:p w14:paraId="00B3ECF0" w14:textId="15914C75" w:rsidR="00FA1441" w:rsidRDefault="00FA1441" w:rsidP="0011188E">
      <w:pPr>
        <w:pStyle w:val="BodyText"/>
        <w:spacing w:line="290" w:lineRule="atLeast"/>
      </w:pPr>
      <w:r>
        <w:t xml:space="preserve">The granularity hierarchy of these taxonomies is </w:t>
      </w:r>
      <w:r w:rsidR="00FB0278">
        <w:t xml:space="preserve">the </w:t>
      </w:r>
      <w:r>
        <w:t>CFI as the least granular</w:t>
      </w:r>
      <w:r w:rsidR="00FB0278">
        <w:t xml:space="preserve">, followed by the </w:t>
      </w:r>
      <w:r>
        <w:t>UPI</w:t>
      </w:r>
      <w:r w:rsidR="00FB0278">
        <w:t>,</w:t>
      </w:r>
      <w:r>
        <w:t xml:space="preserve"> </w:t>
      </w:r>
      <w:r w:rsidR="00FB0278">
        <w:t>with</w:t>
      </w:r>
      <w:r>
        <w:t xml:space="preserve"> ISIN as the most granular.</w:t>
      </w:r>
    </w:p>
    <w:p w14:paraId="11955C54" w14:textId="2D62C628" w:rsidR="00FA1441" w:rsidRDefault="00FA1441" w:rsidP="0011188E">
      <w:pPr>
        <w:pStyle w:val="BodyText"/>
        <w:spacing w:line="290" w:lineRule="atLeast"/>
      </w:pPr>
      <w:r>
        <w:t>For example, the CFI for a plain vanilla, interest rate swap is SRCCSP. The information content of the CFI, UPI and ISIN is</w:t>
      </w:r>
      <w:r w:rsidR="00582202">
        <w:t xml:space="preserve"> set out in </w:t>
      </w:r>
      <w:r w:rsidR="006A7ED4">
        <w:fldChar w:fldCharType="begin"/>
      </w:r>
      <w:r w:rsidR="006A7ED4">
        <w:instrText xml:space="preserve"> REF _Ref56433417 \h </w:instrText>
      </w:r>
      <w:r w:rsidR="006A7ED4">
        <w:fldChar w:fldCharType="separate"/>
      </w:r>
      <w:r w:rsidR="00314C7E">
        <w:t xml:space="preserve">Table </w:t>
      </w:r>
      <w:r w:rsidR="00314C7E">
        <w:rPr>
          <w:noProof/>
        </w:rPr>
        <w:t>5</w:t>
      </w:r>
      <w:r w:rsidR="006A7ED4">
        <w:fldChar w:fldCharType="end"/>
      </w:r>
      <w:r w:rsidR="00582202">
        <w:t>.</w:t>
      </w:r>
    </w:p>
    <w:p w14:paraId="10F707DF" w14:textId="2FC1B417" w:rsidR="00FA1441" w:rsidRDefault="00FA1441" w:rsidP="00FA1441">
      <w:pPr>
        <w:pStyle w:val="tabletitleindented"/>
      </w:pPr>
      <w:bookmarkStart w:id="76" w:name="_Ref56433417"/>
      <w:r>
        <w:t xml:space="preserve">Table </w:t>
      </w:r>
      <w:r w:rsidR="007055A5">
        <w:fldChar w:fldCharType="begin"/>
      </w:r>
      <w:r w:rsidR="007055A5">
        <w:instrText xml:space="preserve"> SEQ Table \* ARABIC </w:instrText>
      </w:r>
      <w:r w:rsidR="007055A5">
        <w:fldChar w:fldCharType="separate"/>
      </w:r>
      <w:r w:rsidR="00314C7E">
        <w:rPr>
          <w:noProof/>
        </w:rPr>
        <w:t>5</w:t>
      </w:r>
      <w:r w:rsidR="007055A5">
        <w:rPr>
          <w:noProof/>
        </w:rPr>
        <w:fldChar w:fldCharType="end"/>
      </w:r>
      <w:bookmarkEnd w:id="76"/>
      <w:r>
        <w:t>:</w:t>
      </w:r>
      <w:r>
        <w:tab/>
      </w:r>
      <w:r w:rsidR="007741FF">
        <w:t>Overview of the information content by taxonomy</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117"/>
        <w:gridCol w:w="5685"/>
      </w:tblGrid>
      <w:tr w:rsidR="00FA1441" w:rsidRPr="000540E1" w14:paraId="38445826" w14:textId="77777777" w:rsidTr="00FA1441">
        <w:trPr>
          <w:cantSplit/>
          <w:tblHeader/>
        </w:trPr>
        <w:tc>
          <w:tcPr>
            <w:tcW w:w="0" w:type="auto"/>
            <w:shd w:val="clear" w:color="auto" w:fill="C2E3FA"/>
          </w:tcPr>
          <w:p w14:paraId="41BDBC4B" w14:textId="0AE2A548" w:rsidR="00FA1441" w:rsidRPr="000540E1" w:rsidRDefault="00FA1441" w:rsidP="0011188E">
            <w:pPr>
              <w:pStyle w:val="tablehead"/>
            </w:pPr>
            <w:r>
              <w:t>Taxonomy</w:t>
            </w:r>
          </w:p>
        </w:tc>
        <w:tc>
          <w:tcPr>
            <w:tcW w:w="0" w:type="auto"/>
            <w:shd w:val="clear" w:color="auto" w:fill="C2E3FA"/>
          </w:tcPr>
          <w:p w14:paraId="39CAE873" w14:textId="34CB84E9" w:rsidR="00FA1441" w:rsidRPr="000540E1" w:rsidRDefault="00FA1441" w:rsidP="0011188E">
            <w:pPr>
              <w:pStyle w:val="tablehead"/>
            </w:pPr>
            <w:r>
              <w:t>Information content</w:t>
            </w:r>
          </w:p>
        </w:tc>
      </w:tr>
      <w:tr w:rsidR="00FA1441" w:rsidRPr="000540E1" w14:paraId="796D81E8" w14:textId="77777777" w:rsidTr="00FA1441">
        <w:trPr>
          <w:cantSplit/>
        </w:trPr>
        <w:tc>
          <w:tcPr>
            <w:tcW w:w="0" w:type="auto"/>
          </w:tcPr>
          <w:p w14:paraId="4BE0839F" w14:textId="2489C4EC" w:rsidR="00FA1441" w:rsidRPr="000540E1" w:rsidRDefault="00FA1441" w:rsidP="0011188E">
            <w:pPr>
              <w:pStyle w:val="tbltext"/>
            </w:pPr>
            <w:r>
              <w:t>CFI</w:t>
            </w:r>
          </w:p>
        </w:tc>
        <w:tc>
          <w:tcPr>
            <w:tcW w:w="0" w:type="auto"/>
          </w:tcPr>
          <w:p w14:paraId="30F67183" w14:textId="40FB4E43" w:rsidR="00FA1441" w:rsidRPr="000540E1" w:rsidRDefault="00FA1441" w:rsidP="0011188E">
            <w:pPr>
              <w:pStyle w:val="tbltext"/>
            </w:pPr>
            <w:r>
              <w:t>Interest rate asset class, swap instrument type, single-currency, fixed-floating, constant notional</w:t>
            </w:r>
          </w:p>
        </w:tc>
      </w:tr>
      <w:tr w:rsidR="00FA1441" w:rsidRPr="000540E1" w14:paraId="00B1E4D5" w14:textId="77777777" w:rsidTr="00FA1441">
        <w:trPr>
          <w:cantSplit/>
        </w:trPr>
        <w:tc>
          <w:tcPr>
            <w:tcW w:w="0" w:type="auto"/>
          </w:tcPr>
          <w:p w14:paraId="35332E4C" w14:textId="7B05EE36" w:rsidR="00FA1441" w:rsidRPr="000540E1" w:rsidRDefault="00FA1441" w:rsidP="0011188E">
            <w:pPr>
              <w:pStyle w:val="tbltext"/>
            </w:pPr>
            <w:r>
              <w:t>UPI</w:t>
            </w:r>
          </w:p>
        </w:tc>
        <w:tc>
          <w:tcPr>
            <w:tcW w:w="0" w:type="auto"/>
          </w:tcPr>
          <w:p w14:paraId="2A91A89B" w14:textId="327B6776" w:rsidR="00FA1441" w:rsidRDefault="00FA1441" w:rsidP="0011188E">
            <w:pPr>
              <w:pStyle w:val="tbltext"/>
            </w:pPr>
            <w:r>
              <w:t>As above plus</w:t>
            </w:r>
            <w:r w:rsidR="007741FF">
              <w:t>, for example</w:t>
            </w:r>
            <w:r>
              <w:t>:</w:t>
            </w:r>
          </w:p>
          <w:p w14:paraId="791DA0E2" w14:textId="129BBBEB" w:rsidR="00FA1441" w:rsidRPr="000540E1" w:rsidRDefault="00ED5480" w:rsidP="0011188E">
            <w:pPr>
              <w:pStyle w:val="tbltext"/>
              <w:ind w:left="284"/>
            </w:pPr>
            <w:r>
              <w:t xml:space="preserve">Reference </w:t>
            </w:r>
            <w:r w:rsidR="00A22FE0">
              <w:t>rate c</w:t>
            </w:r>
            <w:r w:rsidR="00FA1441">
              <w:t>urrency</w:t>
            </w:r>
            <w:r w:rsidR="00A22FE0">
              <w:t xml:space="preserve"> </w:t>
            </w:r>
            <w:r w:rsidR="00FA1441">
              <w:t xml:space="preserve">is e.g. </w:t>
            </w:r>
            <w:r w:rsidR="00EA00C9">
              <w:t>AUD</w:t>
            </w:r>
            <w:r w:rsidR="00FA1441">
              <w:t xml:space="preserve">, reference rate is e.g. 3mth </w:t>
            </w:r>
            <w:r w:rsidR="00EA00C9">
              <w:t>BBSW</w:t>
            </w:r>
          </w:p>
        </w:tc>
      </w:tr>
      <w:tr w:rsidR="00FA1441" w:rsidRPr="000540E1" w14:paraId="17050B2A" w14:textId="77777777" w:rsidTr="00FA1441">
        <w:trPr>
          <w:cantSplit/>
        </w:trPr>
        <w:tc>
          <w:tcPr>
            <w:tcW w:w="0" w:type="auto"/>
          </w:tcPr>
          <w:p w14:paraId="34FD3EEE" w14:textId="6BBC6D2B" w:rsidR="00FA1441" w:rsidRPr="000540E1" w:rsidRDefault="00FA1441" w:rsidP="0011188E">
            <w:pPr>
              <w:pStyle w:val="tbltext"/>
            </w:pPr>
            <w:r>
              <w:t>ISIN</w:t>
            </w:r>
          </w:p>
        </w:tc>
        <w:tc>
          <w:tcPr>
            <w:tcW w:w="0" w:type="auto"/>
          </w:tcPr>
          <w:p w14:paraId="658B5EAD" w14:textId="2CA45AEB" w:rsidR="00FA1441" w:rsidRDefault="00FA1441" w:rsidP="0011188E">
            <w:pPr>
              <w:pStyle w:val="tbltext"/>
            </w:pPr>
            <w:r>
              <w:t>As above plus</w:t>
            </w:r>
            <w:r w:rsidR="007741FF">
              <w:t>, for example</w:t>
            </w:r>
            <w:r>
              <w:t>:</w:t>
            </w:r>
          </w:p>
          <w:p w14:paraId="43A4740E" w14:textId="32978A8B" w:rsidR="00FA1441" w:rsidRPr="000540E1" w:rsidRDefault="00FA1441" w:rsidP="0011188E">
            <w:pPr>
              <w:pStyle w:val="tbltext"/>
              <w:ind w:left="284"/>
            </w:pPr>
            <w:r>
              <w:t>End date is e.g. 15 October 2025</w:t>
            </w:r>
          </w:p>
        </w:tc>
      </w:tr>
    </w:tbl>
    <w:p w14:paraId="06C8C647" w14:textId="0840348E" w:rsidR="00FA1441" w:rsidRPr="0011188E" w:rsidRDefault="004A61A6" w:rsidP="0011188E">
      <w:pPr>
        <w:pStyle w:val="BodyText"/>
        <w:spacing w:line="290" w:lineRule="atLeast"/>
        <w:rPr>
          <w:spacing w:val="-2"/>
        </w:rPr>
      </w:pPr>
      <w:r w:rsidRPr="0011188E">
        <w:rPr>
          <w:spacing w:val="-2"/>
        </w:rPr>
        <w:t xml:space="preserve">The UPI Guidance </w:t>
      </w:r>
      <w:r w:rsidR="007834EF" w:rsidRPr="0011188E">
        <w:rPr>
          <w:spacing w:val="-2"/>
        </w:rPr>
        <w:t xml:space="preserve">provides a system design and suggested reference data elements and reference data values. The FSB has determined that the reference data elements and values should be to an ISO standard and that </w:t>
      </w:r>
      <w:r w:rsidR="00582202" w:rsidRPr="0011188E">
        <w:rPr>
          <w:spacing w:val="-2"/>
        </w:rPr>
        <w:t xml:space="preserve">the </w:t>
      </w:r>
      <w:r w:rsidR="0092161C" w:rsidRPr="0011188E">
        <w:rPr>
          <w:spacing w:val="-2"/>
        </w:rPr>
        <w:t xml:space="preserve">DSB has </w:t>
      </w:r>
      <w:r w:rsidR="0092161C" w:rsidRPr="0011188E">
        <w:rPr>
          <w:spacing w:val="-2"/>
        </w:rPr>
        <w:lastRenderedPageBreak/>
        <w:t>been designated as the service provider for the UPI system. The DSB is a subsidiary of ANNA and currently issues ISINs for OTC derivative products.</w:t>
      </w:r>
      <w:r w:rsidR="00931D66" w:rsidRPr="0011188E">
        <w:rPr>
          <w:spacing w:val="-2"/>
        </w:rPr>
        <w:t xml:space="preserve"> The ROC is the </w:t>
      </w:r>
      <w:r w:rsidR="0011188E">
        <w:rPr>
          <w:spacing w:val="-2"/>
        </w:rPr>
        <w:t>i</w:t>
      </w:r>
      <w:r w:rsidR="0011188E" w:rsidRPr="0011188E">
        <w:rPr>
          <w:spacing w:val="-2"/>
        </w:rPr>
        <w:t xml:space="preserve">nternational </w:t>
      </w:r>
      <w:r w:rsidR="0011188E">
        <w:rPr>
          <w:spacing w:val="-2"/>
        </w:rPr>
        <w:t>g</w:t>
      </w:r>
      <w:r w:rsidR="0011188E" w:rsidRPr="0011188E">
        <w:rPr>
          <w:spacing w:val="-2"/>
        </w:rPr>
        <w:t xml:space="preserve">overnance </w:t>
      </w:r>
      <w:r w:rsidR="0011188E">
        <w:rPr>
          <w:spacing w:val="-2"/>
        </w:rPr>
        <w:t>b</w:t>
      </w:r>
      <w:r w:rsidR="0011188E" w:rsidRPr="0011188E">
        <w:rPr>
          <w:spacing w:val="-2"/>
        </w:rPr>
        <w:t xml:space="preserve">ody </w:t>
      </w:r>
      <w:r w:rsidR="00931D66" w:rsidRPr="0011188E">
        <w:rPr>
          <w:spacing w:val="-2"/>
        </w:rPr>
        <w:t>for the UPI system.</w:t>
      </w:r>
    </w:p>
    <w:p w14:paraId="75C6144D" w14:textId="612F460F" w:rsidR="00931D66" w:rsidRDefault="00931D66" w:rsidP="0011188E">
      <w:pPr>
        <w:pStyle w:val="BodyText"/>
        <w:spacing w:line="290" w:lineRule="atLeast"/>
      </w:pPr>
      <w:r w:rsidRPr="00931D66">
        <w:t>The UPI intends to adopt a</w:t>
      </w:r>
      <w:r>
        <w:t>n</w:t>
      </w:r>
      <w:r w:rsidRPr="00931D66">
        <w:t xml:space="preserve"> </w:t>
      </w:r>
      <w:r>
        <w:t xml:space="preserve">internationally </w:t>
      </w:r>
      <w:r w:rsidRPr="00931D66">
        <w:t>common product schema, with its attendant simplification for reporting entities</w:t>
      </w:r>
      <w:r w:rsidR="0092161C">
        <w:t xml:space="preserve">, </w:t>
      </w:r>
      <w:r w:rsidRPr="00931D66">
        <w:t>cross-</w:t>
      </w:r>
      <w:r w:rsidR="0092161C">
        <w:t xml:space="preserve">trade repository </w:t>
      </w:r>
      <w:r w:rsidRPr="00931D66">
        <w:t>interoperability</w:t>
      </w:r>
      <w:r w:rsidR="0092161C">
        <w:t xml:space="preserve"> and regulatory authorities</w:t>
      </w:r>
      <w:r w:rsidRPr="00931D66">
        <w:t>.</w:t>
      </w:r>
    </w:p>
    <w:p w14:paraId="23240607" w14:textId="444C98A6" w:rsidR="0092161C" w:rsidRDefault="00436F73" w:rsidP="0011188E">
      <w:pPr>
        <w:pStyle w:val="BodyText"/>
        <w:spacing w:line="290" w:lineRule="atLeast"/>
      </w:pPr>
      <w:r>
        <w:t>The UPI Guidance explains that a UPI code should be a semantically meaningless code</w:t>
      </w:r>
      <w:r w:rsidR="00B45241" w:rsidRPr="00884796">
        <w:t>—</w:t>
      </w:r>
      <w:r>
        <w:t>that is, that the individual characters in the code do not convey any information of themselves but which, as a whole code, maps to an explanation in a reference data library of the set of product attributes associated with that code.</w:t>
      </w:r>
      <w:r w:rsidR="00716705">
        <w:t xml:space="preserve"> </w:t>
      </w:r>
      <w:r>
        <w:t xml:space="preserve">The UPI </w:t>
      </w:r>
      <w:r w:rsidR="001F1C66">
        <w:t xml:space="preserve">Guidance also explains </w:t>
      </w:r>
      <w:r>
        <w:t xml:space="preserve">that a </w:t>
      </w:r>
      <w:r w:rsidR="00716705">
        <w:t xml:space="preserve">UPI Code of </w:t>
      </w:r>
      <w:r>
        <w:t>12 character</w:t>
      </w:r>
      <w:r w:rsidR="00716705">
        <w:t>s</w:t>
      </w:r>
      <w:r>
        <w:t xml:space="preserve"> w</w:t>
      </w:r>
      <w:r w:rsidR="00716705">
        <w:t xml:space="preserve">ould </w:t>
      </w:r>
      <w:r>
        <w:t xml:space="preserve">be consistent with being long enough </w:t>
      </w:r>
      <w:r w:rsidR="00716705">
        <w:t>to cover the range of product attribute permutations and short enough to be practical for manual data entry (for the least automated of market participants).</w:t>
      </w:r>
    </w:p>
    <w:p w14:paraId="0CF3E37E" w14:textId="3390B889" w:rsidR="00716705" w:rsidRDefault="00716705" w:rsidP="0011188E">
      <w:pPr>
        <w:pStyle w:val="BodyText"/>
        <w:spacing w:line="290" w:lineRule="atLeast"/>
      </w:pPr>
      <w:r>
        <w:t xml:space="preserve">The UPI Guidance suggests that a UPI code retrieval or creation process would entail an entity making a query or request, comprising the set of product attributes of the derivative transaction for which a UPI </w:t>
      </w:r>
      <w:r w:rsidR="00CB3458">
        <w:t xml:space="preserve">code </w:t>
      </w:r>
      <w:r>
        <w:t xml:space="preserve">is required, and being returned with the UPI </w:t>
      </w:r>
      <w:r w:rsidR="00CB3458">
        <w:t xml:space="preserve">code </w:t>
      </w:r>
      <w:r>
        <w:t xml:space="preserve">that matches those product attributes or </w:t>
      </w:r>
      <w:r w:rsidR="00ED67F2">
        <w:t xml:space="preserve">a newly created UPI </w:t>
      </w:r>
      <w:r w:rsidR="00CB3458">
        <w:t xml:space="preserve">code </w:t>
      </w:r>
      <w:r w:rsidR="00ED67F2">
        <w:t xml:space="preserve">if that set of product attributes does not already have a UPI </w:t>
      </w:r>
      <w:r w:rsidR="00CB3458">
        <w:t>code</w:t>
      </w:r>
      <w:r w:rsidR="00ED67F2">
        <w:t>.</w:t>
      </w:r>
    </w:p>
    <w:p w14:paraId="22506805" w14:textId="501D2EE5" w:rsidR="00186BE0" w:rsidRDefault="00186BE0" w:rsidP="00186BE0">
      <w:pPr>
        <w:pStyle w:val="Heading2"/>
      </w:pPr>
      <w:bookmarkStart w:id="77" w:name="_Toc57146485"/>
      <w:r>
        <w:t xml:space="preserve">Operationalising the UPI </w:t>
      </w:r>
      <w:r w:rsidR="00517DCC">
        <w:t>system</w:t>
      </w:r>
      <w:bookmarkEnd w:id="77"/>
    </w:p>
    <w:p w14:paraId="7F1CA4AA" w14:textId="6CCE8B5E" w:rsidR="00931D66" w:rsidRDefault="00186BE0" w:rsidP="0011188E">
      <w:pPr>
        <w:pStyle w:val="BodyText"/>
        <w:spacing w:line="290" w:lineRule="atLeast"/>
      </w:pPr>
      <w:r>
        <w:t xml:space="preserve">Though the governance and operational arrangements have been established, as set out in Section </w:t>
      </w:r>
      <w:r>
        <w:fldChar w:fldCharType="begin"/>
      </w:r>
      <w:r>
        <w:instrText xml:space="preserve"> REF _ASICRef524 \w \h </w:instrText>
      </w:r>
      <w:r>
        <w:fldChar w:fldCharType="separate"/>
      </w:r>
      <w:r w:rsidR="00314C7E">
        <w:t>B</w:t>
      </w:r>
      <w:r>
        <w:fldChar w:fldCharType="end"/>
      </w:r>
      <w:r>
        <w:t>, t</w:t>
      </w:r>
      <w:r w:rsidR="00931D66">
        <w:t>he international operationalisation of the UPI is less well developed than for the UTI and the CDE</w:t>
      </w:r>
      <w:r w:rsidR="00EA00C9">
        <w:t xml:space="preserve"> and no UPIs have been issued to date.</w:t>
      </w:r>
    </w:p>
    <w:p w14:paraId="232B3AD2" w14:textId="04ECA0D3" w:rsidR="005A1D8D" w:rsidRDefault="00186BE0" w:rsidP="0011188E">
      <w:pPr>
        <w:pStyle w:val="BodyText"/>
        <w:spacing w:line="290" w:lineRule="atLeast"/>
      </w:pPr>
      <w:r>
        <w:t>As the designated service provider, the DSB needs to establish the technology systems to maintain the reference data library of reference data elements</w:t>
      </w:r>
      <w:r w:rsidR="003F2CD7">
        <w:t xml:space="preserve"> (the product attributes) and establish the access arrangements for the retrieval of UPI </w:t>
      </w:r>
      <w:r w:rsidR="00CB3458">
        <w:t xml:space="preserve">codes </w:t>
      </w:r>
      <w:r w:rsidR="003F2CD7">
        <w:t>given product attributes and the retrieval of product attributes given codes.</w:t>
      </w:r>
    </w:p>
    <w:p w14:paraId="3ED5D3D9" w14:textId="3F490E72" w:rsidR="00593337" w:rsidRDefault="00593337" w:rsidP="0011188E">
      <w:pPr>
        <w:pStyle w:val="BodyText"/>
        <w:spacing w:line="290" w:lineRule="atLeast"/>
      </w:pPr>
      <w:bookmarkStart w:id="78" w:name="_ASICRef709"/>
      <w:r>
        <w:t xml:space="preserve">The UPI Guidance sets out suggested </w:t>
      </w:r>
      <w:r w:rsidRPr="00593337">
        <w:t xml:space="preserve">allowable values for </w:t>
      </w:r>
      <w:r>
        <w:t xml:space="preserve">reference data elements but expects that the list of allowable values will be further refined during the implementation of the UPI system. The identifiers for </w:t>
      </w:r>
      <w:r w:rsidR="006D0A16">
        <w:t>underlying assets or benchmarks was highlighted as an area that needed to take into account applicable regulatory requirements in any given jurisdiction.</w:t>
      </w:r>
    </w:p>
    <w:p w14:paraId="1AF52008" w14:textId="77777777" w:rsidR="006D0A16" w:rsidRDefault="006D0A16" w:rsidP="0011188E">
      <w:pPr>
        <w:pStyle w:val="BodyText"/>
        <w:spacing w:line="290" w:lineRule="atLeast"/>
      </w:pPr>
      <w:r>
        <w:t>We currently anticipate significant advances in the development of the UPI system over the next year with a possible full operationalisation in the second half of 2022.</w:t>
      </w:r>
    </w:p>
    <w:p w14:paraId="166A4305" w14:textId="39B71537" w:rsidR="006D0A16" w:rsidRDefault="006D0A16" w:rsidP="006D0A16">
      <w:pPr>
        <w:pStyle w:val="Heading2"/>
      </w:pPr>
      <w:bookmarkStart w:id="79" w:name="_Toc57146486"/>
      <w:r>
        <w:lastRenderedPageBreak/>
        <w:t>UPI</w:t>
      </w:r>
      <w:r w:rsidR="002E0F75">
        <w:t>-</w:t>
      </w:r>
      <w:r>
        <w:t>embedded information</w:t>
      </w:r>
      <w:bookmarkEnd w:id="79"/>
    </w:p>
    <w:p w14:paraId="38EAA028" w14:textId="04E277E7" w:rsidR="006D0A16" w:rsidRDefault="00EA00C9" w:rsidP="00EA00C9">
      <w:pPr>
        <w:pStyle w:val="BodyText"/>
      </w:pPr>
      <w:r>
        <w:t xml:space="preserve">One of the UPI features is that it intends to embed information that would otherwise be provided in stand-alone </w:t>
      </w:r>
      <w:r w:rsidR="006D0A16">
        <w:t xml:space="preserve">derivative transaction </w:t>
      </w:r>
      <w:r>
        <w:t xml:space="preserve">data </w:t>
      </w:r>
      <w:r w:rsidR="001156A2">
        <w:t>element</w:t>
      </w:r>
      <w:r>
        <w:t>s</w:t>
      </w:r>
      <w:r w:rsidR="00CB3458" w:rsidRPr="00884796">
        <w:t>—</w:t>
      </w:r>
      <w:r>
        <w:t xml:space="preserve">for example, that the </w:t>
      </w:r>
      <w:r w:rsidR="006D0A16">
        <w:t xml:space="preserve">option is a European call option or that the floating rate reference rate </w:t>
      </w:r>
      <w:r>
        <w:t>is 3-month BBSW</w:t>
      </w:r>
      <w:r w:rsidR="006D0A16">
        <w:t>.</w:t>
      </w:r>
    </w:p>
    <w:p w14:paraId="5EEDF51F" w14:textId="56463EBC" w:rsidR="00EA00C9" w:rsidRDefault="00EA00C9" w:rsidP="00032C0F">
      <w:pPr>
        <w:pStyle w:val="BodyText"/>
      </w:pPr>
      <w:bookmarkStart w:id="80" w:name="_ASICRef468"/>
      <w:bookmarkEnd w:id="78"/>
      <w:r>
        <w:t xml:space="preserve">Under the uncertainty of UPI operationalisation, the CFTC has proposed that the redundant </w:t>
      </w:r>
      <w:r w:rsidR="002F5E28">
        <w:t xml:space="preserve">data </w:t>
      </w:r>
      <w:r w:rsidR="001156A2">
        <w:t>element</w:t>
      </w:r>
      <w:r>
        <w:t xml:space="preserve">s continue to be reported until the CFTC ‘designates’ a UPI schema. ESMA has proposed that the redundant </w:t>
      </w:r>
      <w:r w:rsidR="002F5E28">
        <w:t xml:space="preserve">data </w:t>
      </w:r>
      <w:r w:rsidR="001156A2">
        <w:t>element</w:t>
      </w:r>
      <w:r>
        <w:t>s remain specified in their rules data set but has sought consultation feedback on their future removal.</w:t>
      </w:r>
      <w:bookmarkEnd w:id="80"/>
    </w:p>
    <w:p w14:paraId="294E3DCA" w14:textId="7F1E83B3" w:rsidR="00C94D45" w:rsidRDefault="00EA00C9" w:rsidP="00EA00C9">
      <w:pPr>
        <w:pStyle w:val="BodyText"/>
      </w:pPr>
      <w:r>
        <w:t>We envisage that the long-term position under the ASIC Rules would be that the</w:t>
      </w:r>
      <w:r w:rsidR="001A1160">
        <w:t xml:space="preserve"> </w:t>
      </w:r>
      <w:r>
        <w:t xml:space="preserve">ASIC Rules data </w:t>
      </w:r>
      <w:r w:rsidR="001156A2">
        <w:t>element</w:t>
      </w:r>
      <w:r>
        <w:t xml:space="preserve"> set</w:t>
      </w:r>
      <w:r w:rsidR="001A1160">
        <w:t xml:space="preserve"> would not duplicate information that is embedded in the UPI</w:t>
      </w:r>
      <w:r>
        <w:t>. We currently propose to make final ASIC Rules in</w:t>
      </w:r>
      <w:r w:rsidR="00C94D45">
        <w:t xml:space="preserve"> Q3</w:t>
      </w:r>
      <w:r w:rsidR="00130A66">
        <w:t>–</w:t>
      </w:r>
      <w:r w:rsidR="00F46DA0">
        <w:t>Q4</w:t>
      </w:r>
      <w:r w:rsidR="00C94D45">
        <w:t xml:space="preserve"> of 2021 and we anticipate that the operationalisation of the UPI system will be significantly advanced by that time.</w:t>
      </w:r>
    </w:p>
    <w:p w14:paraId="23D1EB0E" w14:textId="3FA69CAE" w:rsidR="005B5D59" w:rsidRDefault="001A1160" w:rsidP="00EA00C9">
      <w:pPr>
        <w:pStyle w:val="BodyText"/>
      </w:pPr>
      <w:r>
        <w:t xml:space="preserve">Our approach in this first round of consultation is to </w:t>
      </w:r>
      <w:r w:rsidR="00C94D45">
        <w:t xml:space="preserve">specify a data </w:t>
      </w:r>
      <w:r w:rsidR="001156A2">
        <w:t>element</w:t>
      </w:r>
      <w:r w:rsidR="00C94D45">
        <w:t xml:space="preserve"> set that assumes that the UPI system will be </w:t>
      </w:r>
      <w:r w:rsidR="005B5D59">
        <w:t xml:space="preserve">sufficiently </w:t>
      </w:r>
      <w:r w:rsidR="00C94D45">
        <w:t>operational by th</w:t>
      </w:r>
      <w:r w:rsidR="005B5D59">
        <w:t xml:space="preserve">at time and not require additional </w:t>
      </w:r>
      <w:r w:rsidR="002F5E28">
        <w:t xml:space="preserve">data </w:t>
      </w:r>
      <w:r w:rsidR="001156A2">
        <w:t>element</w:t>
      </w:r>
      <w:r w:rsidR="005B5D59">
        <w:t>s for information that is otherwise embedded within the UPI.</w:t>
      </w:r>
    </w:p>
    <w:p w14:paraId="16119F96" w14:textId="1BB9A1F5" w:rsidR="00EA00C9" w:rsidRDefault="001156A2" w:rsidP="00032C0F">
      <w:pPr>
        <w:pStyle w:val="BodyText"/>
      </w:pPr>
      <w:r>
        <w:t xml:space="preserve">However, in the event that the UPI system is not sufficiently operational by that time, we are </w:t>
      </w:r>
      <w:r w:rsidR="00CE7204">
        <w:t xml:space="preserve">planning </w:t>
      </w:r>
      <w:r>
        <w:t xml:space="preserve">to adopt a conservative approach of ensuring that the additional </w:t>
      </w:r>
      <w:r w:rsidR="002F5E28">
        <w:t xml:space="preserve">data </w:t>
      </w:r>
      <w:r>
        <w:t>elements are specified in the ASIC Rules and re-evaluate their removal when they can be substituted by UPI-embedded information.</w:t>
      </w:r>
    </w:p>
    <w:p w14:paraId="3E184143" w14:textId="26AEA6B0" w:rsidR="00953571" w:rsidRDefault="00953571" w:rsidP="0099665F">
      <w:pPr>
        <w:pStyle w:val="Heading1"/>
      </w:pPr>
      <w:bookmarkStart w:id="81" w:name="_Toc57146487"/>
      <w:r>
        <w:lastRenderedPageBreak/>
        <w:t xml:space="preserve">The </w:t>
      </w:r>
      <w:r w:rsidR="00130A66">
        <w:t xml:space="preserve">critical data elements </w:t>
      </w:r>
      <w:r>
        <w:t>(CDE)</w:t>
      </w:r>
      <w:bookmarkEnd w:id="81"/>
    </w:p>
    <w:p w14:paraId="6C9ADF5B" w14:textId="77777777" w:rsidR="0099665F" w:rsidRDefault="0099665F">
      <w:pPr>
        <w:pStyle w:val="KPhead"/>
      </w:pPr>
      <w:r>
        <w:t>Key points</w:t>
      </w:r>
    </w:p>
    <w:p w14:paraId="0C7788D1" w14:textId="19654B32" w:rsidR="0099665F" w:rsidRPr="001955AC" w:rsidRDefault="00822C89" w:rsidP="00456DEE">
      <w:pPr>
        <w:pStyle w:val="KPtext"/>
        <w:spacing w:line="250" w:lineRule="atLeast"/>
        <w:rPr>
          <w:color w:val="000000" w:themeColor="text1"/>
        </w:rPr>
      </w:pPr>
      <w:r w:rsidRPr="001955AC">
        <w:rPr>
          <w:color w:val="000000" w:themeColor="text1"/>
        </w:rPr>
        <w:t xml:space="preserve">We propose to implement the </w:t>
      </w:r>
      <w:r w:rsidRPr="00675D9A">
        <w:rPr>
          <w:color w:val="000000" w:themeColor="text1"/>
        </w:rPr>
        <w:t>CPMI IOSCO</w:t>
      </w:r>
      <w:r w:rsidR="004A61A6">
        <w:rPr>
          <w:color w:val="000000" w:themeColor="text1"/>
        </w:rPr>
        <w:t xml:space="preserve"> CDE Guidance.</w:t>
      </w:r>
    </w:p>
    <w:p w14:paraId="4DB23E5D" w14:textId="621BB0EF" w:rsidR="00822C89" w:rsidRDefault="00822C89" w:rsidP="00456DEE">
      <w:pPr>
        <w:pStyle w:val="KPtext"/>
        <w:spacing w:line="250" w:lineRule="atLeast"/>
        <w:rPr>
          <w:color w:val="000000" w:themeColor="text1"/>
        </w:rPr>
      </w:pPr>
      <w:r w:rsidRPr="001955AC">
        <w:rPr>
          <w:color w:val="000000" w:themeColor="text1"/>
        </w:rPr>
        <w:t xml:space="preserve">This will improve </w:t>
      </w:r>
      <w:r w:rsidR="00501412">
        <w:rPr>
          <w:color w:val="000000" w:themeColor="text1"/>
        </w:rPr>
        <w:t xml:space="preserve">and simplify the </w:t>
      </w:r>
      <w:r w:rsidRPr="001955AC">
        <w:rPr>
          <w:color w:val="000000" w:themeColor="text1"/>
        </w:rPr>
        <w:t xml:space="preserve">ASIC Rules dataset and </w:t>
      </w:r>
      <w:r w:rsidR="00501412">
        <w:rPr>
          <w:color w:val="000000" w:themeColor="text1"/>
        </w:rPr>
        <w:t xml:space="preserve">better align with the reporting </w:t>
      </w:r>
      <w:r w:rsidRPr="001955AC">
        <w:rPr>
          <w:color w:val="000000" w:themeColor="text1"/>
        </w:rPr>
        <w:t>requirements in other jurisdictions</w:t>
      </w:r>
      <w:r w:rsidR="00501412">
        <w:rPr>
          <w:color w:val="000000" w:themeColor="text1"/>
        </w:rPr>
        <w:t xml:space="preserve">, as they also implement this </w:t>
      </w:r>
      <w:r w:rsidR="00BD776C">
        <w:rPr>
          <w:color w:val="000000" w:themeColor="text1"/>
        </w:rPr>
        <w:t>technical</w:t>
      </w:r>
      <w:r w:rsidR="00675D9A">
        <w:rPr>
          <w:color w:val="000000" w:themeColor="text1"/>
        </w:rPr>
        <w:t xml:space="preserve"> </w:t>
      </w:r>
      <w:r w:rsidR="00BD776C">
        <w:rPr>
          <w:color w:val="000000" w:themeColor="text1"/>
        </w:rPr>
        <w:t>g</w:t>
      </w:r>
      <w:r w:rsidR="00675D9A">
        <w:rPr>
          <w:color w:val="000000" w:themeColor="text1"/>
        </w:rPr>
        <w:t>uidance</w:t>
      </w:r>
      <w:r w:rsidR="00501412">
        <w:rPr>
          <w:color w:val="000000" w:themeColor="text1"/>
        </w:rPr>
        <w:t>.</w:t>
      </w:r>
    </w:p>
    <w:p w14:paraId="01C5DCFA" w14:textId="656236D5" w:rsidR="00501412" w:rsidRPr="001955AC" w:rsidRDefault="00501412" w:rsidP="00456DEE">
      <w:pPr>
        <w:pStyle w:val="KPtext"/>
        <w:spacing w:line="250" w:lineRule="atLeast"/>
        <w:rPr>
          <w:color w:val="000000" w:themeColor="text1"/>
        </w:rPr>
      </w:pPr>
      <w:r>
        <w:rPr>
          <w:color w:val="000000" w:themeColor="text1"/>
        </w:rPr>
        <w:t xml:space="preserve">Our approach to implementing this </w:t>
      </w:r>
      <w:r w:rsidR="00BD776C">
        <w:rPr>
          <w:color w:val="000000" w:themeColor="text1"/>
        </w:rPr>
        <w:t xml:space="preserve">technical guidance </w:t>
      </w:r>
      <w:r>
        <w:rPr>
          <w:color w:val="000000" w:themeColor="text1"/>
        </w:rPr>
        <w:t xml:space="preserve">is </w:t>
      </w:r>
      <w:r w:rsidR="00A55C33">
        <w:rPr>
          <w:color w:val="000000" w:themeColor="text1"/>
        </w:rPr>
        <w:t xml:space="preserve">to </w:t>
      </w:r>
      <w:r w:rsidR="00A80D8F">
        <w:rPr>
          <w:color w:val="000000" w:themeColor="text1"/>
        </w:rPr>
        <w:t>satisfy our regulatory needs whil</w:t>
      </w:r>
      <w:r w:rsidR="00BD776C">
        <w:rPr>
          <w:color w:val="000000" w:themeColor="text1"/>
        </w:rPr>
        <w:t>e</w:t>
      </w:r>
      <w:r>
        <w:rPr>
          <w:color w:val="000000" w:themeColor="text1"/>
        </w:rPr>
        <w:t xml:space="preserve"> maximis</w:t>
      </w:r>
      <w:r w:rsidR="00A80D8F">
        <w:rPr>
          <w:color w:val="000000" w:themeColor="text1"/>
        </w:rPr>
        <w:t>ing</w:t>
      </w:r>
      <w:r>
        <w:rPr>
          <w:color w:val="000000" w:themeColor="text1"/>
        </w:rPr>
        <w:t xml:space="preserve"> </w:t>
      </w:r>
      <w:r w:rsidR="00A80D8F">
        <w:rPr>
          <w:color w:val="000000" w:themeColor="text1"/>
        </w:rPr>
        <w:t xml:space="preserve">the </w:t>
      </w:r>
      <w:r>
        <w:rPr>
          <w:color w:val="000000" w:themeColor="text1"/>
        </w:rPr>
        <w:t xml:space="preserve">data elements that are common to overseas jurisdictions and </w:t>
      </w:r>
      <w:r w:rsidR="00BD776C">
        <w:rPr>
          <w:color w:val="000000" w:themeColor="text1"/>
        </w:rPr>
        <w:t xml:space="preserve">minimising the </w:t>
      </w:r>
      <w:r>
        <w:rPr>
          <w:color w:val="000000" w:themeColor="text1"/>
        </w:rPr>
        <w:t>data elements that are unique to the ASIC R</w:t>
      </w:r>
      <w:r w:rsidR="00A80D8F">
        <w:rPr>
          <w:color w:val="000000" w:themeColor="text1"/>
        </w:rPr>
        <w:t>u</w:t>
      </w:r>
      <w:r>
        <w:rPr>
          <w:color w:val="000000" w:themeColor="text1"/>
        </w:rPr>
        <w:t>les.</w:t>
      </w:r>
    </w:p>
    <w:p w14:paraId="227FEE40" w14:textId="35D3E82B" w:rsidR="003543A8" w:rsidRDefault="003543A8" w:rsidP="003543A8">
      <w:pPr>
        <w:pStyle w:val="Heading2"/>
      </w:pPr>
      <w:bookmarkStart w:id="82" w:name="_Toc57146488"/>
      <w:r>
        <w:t>Background</w:t>
      </w:r>
      <w:bookmarkEnd w:id="82"/>
    </w:p>
    <w:p w14:paraId="7F0581BC" w14:textId="58D962C3" w:rsidR="00953571" w:rsidRPr="00AB76B8" w:rsidRDefault="00953571" w:rsidP="00456DEE">
      <w:pPr>
        <w:pStyle w:val="BodyText"/>
        <w:spacing w:line="290" w:lineRule="atLeast"/>
      </w:pPr>
      <w:bookmarkStart w:id="83" w:name="_Hlk57100127"/>
      <w:r w:rsidRPr="00AB76B8">
        <w:t xml:space="preserve">The CDE </w:t>
      </w:r>
      <w:r w:rsidR="00456DEE">
        <w:t>is</w:t>
      </w:r>
      <w:r w:rsidR="00456DEE" w:rsidRPr="00AB76B8">
        <w:t xml:space="preserve"> </w:t>
      </w:r>
      <w:r w:rsidRPr="00AB76B8">
        <w:t xml:space="preserve">a set of derivative transaction data </w:t>
      </w:r>
      <w:r w:rsidR="001156A2">
        <w:t>element</w:t>
      </w:r>
      <w:r w:rsidRPr="00AB76B8">
        <w:t xml:space="preserve">s in specified data types and formats and, where relevant, allowed values. </w:t>
      </w:r>
      <w:r w:rsidR="00456DEE">
        <w:t>It is</w:t>
      </w:r>
      <w:r w:rsidRPr="00AB76B8">
        <w:t xml:space="preserve"> intended to be the universe of data </w:t>
      </w:r>
      <w:r w:rsidR="001156A2">
        <w:t>element</w:t>
      </w:r>
      <w:r w:rsidRPr="00AB76B8">
        <w:t>s from which regulators can draw to form their individual datasets. Harmonising the datasets of jurisdictions internationally has been a clarion call from industry since the inception of trade reporting.</w:t>
      </w:r>
    </w:p>
    <w:bookmarkEnd w:id="83"/>
    <w:p w14:paraId="114F0621" w14:textId="0594E3D6" w:rsidR="00953571" w:rsidRDefault="00953571" w:rsidP="00456DEE">
      <w:pPr>
        <w:pStyle w:val="BodyText"/>
        <w:spacing w:line="290" w:lineRule="atLeast"/>
      </w:pPr>
      <w:r w:rsidRPr="00AB76B8">
        <w:t xml:space="preserve">CPMI IOSCO has published </w:t>
      </w:r>
      <w:r w:rsidR="004A61A6">
        <w:t xml:space="preserve">the </w:t>
      </w:r>
      <w:r w:rsidR="00970EE1" w:rsidRPr="00CE7204">
        <w:t xml:space="preserve">CDE </w:t>
      </w:r>
      <w:r w:rsidR="0022679B" w:rsidRPr="00CE7204">
        <w:t>Guidance</w:t>
      </w:r>
      <w:r w:rsidR="00970EE1">
        <w:t xml:space="preserve"> </w:t>
      </w:r>
      <w:r w:rsidRPr="00AB76B8">
        <w:t xml:space="preserve">which is in </w:t>
      </w:r>
      <w:r w:rsidR="00BD776C">
        <w:t xml:space="preserve">the </w:t>
      </w:r>
      <w:r w:rsidRPr="00AB76B8">
        <w:t>pro</w:t>
      </w:r>
      <w:r w:rsidR="00BD776C">
        <w:t>c</w:t>
      </w:r>
      <w:r w:rsidRPr="00AB76B8">
        <w:t>ess of being adopted as an ISO standard.</w:t>
      </w:r>
    </w:p>
    <w:p w14:paraId="1FAAEB25" w14:textId="6E365B04" w:rsidR="00953571" w:rsidRPr="00AB76B8" w:rsidRDefault="00953571" w:rsidP="00456DEE">
      <w:pPr>
        <w:pStyle w:val="BodyText"/>
        <w:spacing w:line="290" w:lineRule="atLeast"/>
      </w:pPr>
      <w:r w:rsidRPr="00AB76B8">
        <w:t xml:space="preserve">Implementing the CDE </w:t>
      </w:r>
      <w:r w:rsidR="0022679B">
        <w:t>Guidance</w:t>
      </w:r>
      <w:r w:rsidR="00970EE1">
        <w:t xml:space="preserve"> </w:t>
      </w:r>
      <w:r w:rsidR="0089751A">
        <w:t xml:space="preserve">in the ASIC Rules </w:t>
      </w:r>
      <w:r w:rsidRPr="00AB76B8">
        <w:t xml:space="preserve">will be beneficial to </w:t>
      </w:r>
      <w:r w:rsidR="0089751A">
        <w:t xml:space="preserve">Australian regulators and </w:t>
      </w:r>
      <w:r w:rsidR="00BD776C">
        <w:t xml:space="preserve">reporting entities </w:t>
      </w:r>
      <w:r w:rsidRPr="00AB76B8">
        <w:t>in:</w:t>
      </w:r>
    </w:p>
    <w:p w14:paraId="356EA4EA" w14:textId="7A2D25CE" w:rsidR="0089751A" w:rsidRDefault="0089751A" w:rsidP="00456DEE">
      <w:pPr>
        <w:pStyle w:val="subparaa"/>
        <w:spacing w:line="290" w:lineRule="atLeast"/>
      </w:pPr>
      <w:r>
        <w:t>e</w:t>
      </w:r>
      <w:r w:rsidR="00953571" w:rsidRPr="00AB76B8">
        <w:t xml:space="preserve">xpanding the dataset for important data </w:t>
      </w:r>
      <w:r w:rsidR="001156A2">
        <w:t>element</w:t>
      </w:r>
      <w:r w:rsidR="00953571" w:rsidRPr="00AB76B8">
        <w:t xml:space="preserve">s not </w:t>
      </w:r>
      <w:r w:rsidR="00822C89">
        <w:t>currently</w:t>
      </w:r>
      <w:r w:rsidR="00953571" w:rsidRPr="00AB76B8">
        <w:t xml:space="preserve"> in the ASIC Rules</w:t>
      </w:r>
      <w:r>
        <w:t>;</w:t>
      </w:r>
    </w:p>
    <w:p w14:paraId="7B0BA508" w14:textId="1AB63018" w:rsidR="00953571" w:rsidRDefault="0089751A" w:rsidP="00456DEE">
      <w:pPr>
        <w:pStyle w:val="subparaa"/>
        <w:spacing w:line="290" w:lineRule="atLeast"/>
      </w:pPr>
      <w:r>
        <w:t xml:space="preserve">removing many data </w:t>
      </w:r>
      <w:r w:rsidR="001156A2">
        <w:t>element</w:t>
      </w:r>
      <w:r>
        <w:t xml:space="preserve">s that are either unique to the ASIC Rules or </w:t>
      </w:r>
      <w:r w:rsidR="00972C8D">
        <w:t xml:space="preserve">are </w:t>
      </w:r>
      <w:r>
        <w:t>duplicative within the ASIC rules;</w:t>
      </w:r>
    </w:p>
    <w:p w14:paraId="7A279E40" w14:textId="141D1376" w:rsidR="0089751A" w:rsidRPr="00456DEE" w:rsidRDefault="0089751A" w:rsidP="00456DEE">
      <w:pPr>
        <w:pStyle w:val="subparaa"/>
        <w:spacing w:line="290" w:lineRule="atLeast"/>
        <w:rPr>
          <w:spacing w:val="-2"/>
        </w:rPr>
      </w:pPr>
      <w:r w:rsidRPr="00456DEE">
        <w:rPr>
          <w:spacing w:val="-2"/>
        </w:rPr>
        <w:t xml:space="preserve">minimising the need for </w:t>
      </w:r>
      <w:r w:rsidR="00990C8D" w:rsidRPr="00456DEE">
        <w:rPr>
          <w:spacing w:val="-2"/>
        </w:rPr>
        <w:t>reporting entities</w:t>
      </w:r>
      <w:r w:rsidR="00972C8D" w:rsidRPr="00456DEE">
        <w:rPr>
          <w:spacing w:val="-2"/>
        </w:rPr>
        <w:t xml:space="preserve"> that report under the ASIC Rules and under the rules of one or more other jurisdictions </w:t>
      </w:r>
      <w:r w:rsidRPr="00456DEE">
        <w:rPr>
          <w:spacing w:val="-2"/>
        </w:rPr>
        <w:t xml:space="preserve">to prepare and make transaction reports of differing content </w:t>
      </w:r>
      <w:r w:rsidR="00972C8D" w:rsidRPr="00456DEE">
        <w:rPr>
          <w:spacing w:val="-2"/>
        </w:rPr>
        <w:t>for the same transaction;</w:t>
      </w:r>
    </w:p>
    <w:p w14:paraId="08C725C3" w14:textId="30E6CDE4" w:rsidR="00953571" w:rsidRPr="00AB76B8" w:rsidRDefault="00972C8D" w:rsidP="00456DEE">
      <w:pPr>
        <w:pStyle w:val="subparaa"/>
        <w:spacing w:line="290" w:lineRule="atLeast"/>
      </w:pPr>
      <w:r>
        <w:t xml:space="preserve">clarifying the definitions of </w:t>
      </w:r>
      <w:r w:rsidR="002F5E28">
        <w:t xml:space="preserve">data </w:t>
      </w:r>
      <w:r w:rsidR="001156A2">
        <w:t>element</w:t>
      </w:r>
      <w:r>
        <w:t xml:space="preserve">s and their allowed values and formats to reduce ambiguity and complexity for </w:t>
      </w:r>
      <w:r w:rsidR="00990C8D">
        <w:t xml:space="preserve">reporting entities </w:t>
      </w:r>
      <w:r>
        <w:t xml:space="preserve">and </w:t>
      </w:r>
      <w:r w:rsidR="00953571" w:rsidRPr="00AB76B8">
        <w:t>improv</w:t>
      </w:r>
      <w:r>
        <w:t>e the</w:t>
      </w:r>
      <w:r w:rsidR="00953571" w:rsidRPr="00AB76B8">
        <w:t xml:space="preserve"> conformance and consistency in data values </w:t>
      </w:r>
      <w:r>
        <w:t>reported.</w:t>
      </w:r>
    </w:p>
    <w:p w14:paraId="5B005512" w14:textId="027A10F9" w:rsidR="00953571" w:rsidRPr="00AB76B8" w:rsidRDefault="00953571" w:rsidP="00456DEE">
      <w:pPr>
        <w:pStyle w:val="BodyText"/>
        <w:spacing w:line="290" w:lineRule="atLeast"/>
      </w:pPr>
      <w:r w:rsidRPr="00AB76B8">
        <w:t xml:space="preserve">The </w:t>
      </w:r>
      <w:r w:rsidR="00970EE1">
        <w:t xml:space="preserve">CDE </w:t>
      </w:r>
      <w:r w:rsidR="0022679B">
        <w:t>Guidance</w:t>
      </w:r>
      <w:r w:rsidRPr="00AB76B8">
        <w:t xml:space="preserve"> is not prescriptive and allows for variations according to individual jurisdictional circumstances. ASIC’s approach to implementing the </w:t>
      </w:r>
      <w:r w:rsidR="00970EE1">
        <w:t xml:space="preserve">CDE </w:t>
      </w:r>
      <w:r w:rsidR="0022679B">
        <w:t>Guidance</w:t>
      </w:r>
      <w:r w:rsidRPr="00AB76B8">
        <w:t xml:space="preserve"> is to determine our preferred dataset having primary regard to the </w:t>
      </w:r>
      <w:r w:rsidR="00A80D8F">
        <w:t xml:space="preserve">regulatory </w:t>
      </w:r>
      <w:r w:rsidRPr="00AB76B8">
        <w:t xml:space="preserve">needs of </w:t>
      </w:r>
      <w:r w:rsidR="00BA0B53">
        <w:t>the Australian regulators</w:t>
      </w:r>
      <w:r w:rsidRPr="00AB76B8">
        <w:t xml:space="preserve">. We </w:t>
      </w:r>
      <w:r w:rsidR="00D74D85">
        <w:t xml:space="preserve">also seek to </w:t>
      </w:r>
      <w:r w:rsidRPr="00AB76B8">
        <w:t>align</w:t>
      </w:r>
      <w:r w:rsidR="00516A17">
        <w:t xml:space="preserve"> wit</w:t>
      </w:r>
      <w:r w:rsidRPr="00AB76B8">
        <w:t>h other jurisdictions’ rules</w:t>
      </w:r>
      <w:r w:rsidR="00516A17">
        <w:t xml:space="preserve"> and minimise requiring data </w:t>
      </w:r>
      <w:r w:rsidR="001156A2">
        <w:t>element</w:t>
      </w:r>
      <w:r w:rsidR="00516A17">
        <w:t>s that are unique to the ASIC Rules.</w:t>
      </w:r>
    </w:p>
    <w:p w14:paraId="09EE3A16" w14:textId="203DCE5D" w:rsidR="00516A17" w:rsidRDefault="00516A17" w:rsidP="00516A17">
      <w:pPr>
        <w:pStyle w:val="Heading2"/>
      </w:pPr>
      <w:bookmarkStart w:id="84" w:name="_Toc57146489"/>
      <w:bookmarkStart w:id="85" w:name="_Hlk51817984"/>
      <w:r>
        <w:lastRenderedPageBreak/>
        <w:t>Overview of proposals</w:t>
      </w:r>
      <w:bookmarkEnd w:id="84"/>
    </w:p>
    <w:p w14:paraId="09BA550F" w14:textId="2427EB85" w:rsidR="00953571" w:rsidRDefault="00516A17" w:rsidP="007F06BD">
      <w:pPr>
        <w:pStyle w:val="BodyText"/>
        <w:rPr>
          <w:rFonts w:eastAsiaTheme="minorHAnsi"/>
        </w:rPr>
      </w:pPr>
      <w:r>
        <w:rPr>
          <w:rFonts w:eastAsiaTheme="minorHAnsi"/>
        </w:rPr>
        <w:t>In this first round of consultation, we se</w:t>
      </w:r>
      <w:r w:rsidR="007F06BD">
        <w:rPr>
          <w:rFonts w:eastAsiaTheme="minorHAnsi"/>
        </w:rPr>
        <w:t xml:space="preserve">t out </w:t>
      </w:r>
      <w:r>
        <w:rPr>
          <w:rFonts w:eastAsiaTheme="minorHAnsi"/>
        </w:rPr>
        <w:t xml:space="preserve">the data </w:t>
      </w:r>
      <w:r w:rsidR="001156A2">
        <w:rPr>
          <w:rFonts w:eastAsiaTheme="minorHAnsi"/>
        </w:rPr>
        <w:t>element</w:t>
      </w:r>
      <w:r>
        <w:rPr>
          <w:rFonts w:eastAsiaTheme="minorHAnsi"/>
        </w:rPr>
        <w:t xml:space="preserve">s that we propose to include in the </w:t>
      </w:r>
      <w:r w:rsidR="007F06BD">
        <w:rPr>
          <w:rFonts w:eastAsiaTheme="minorHAnsi"/>
        </w:rPr>
        <w:t>ASIC</w:t>
      </w:r>
      <w:r>
        <w:rPr>
          <w:rFonts w:eastAsiaTheme="minorHAnsi"/>
        </w:rPr>
        <w:t xml:space="preserve"> Rules, as well as the data </w:t>
      </w:r>
      <w:r w:rsidR="001156A2">
        <w:rPr>
          <w:rFonts w:eastAsiaTheme="minorHAnsi"/>
        </w:rPr>
        <w:t>element</w:t>
      </w:r>
      <w:r>
        <w:rPr>
          <w:rFonts w:eastAsiaTheme="minorHAnsi"/>
        </w:rPr>
        <w:t xml:space="preserve">s </w:t>
      </w:r>
      <w:r w:rsidR="006954CF">
        <w:rPr>
          <w:rFonts w:eastAsiaTheme="minorHAnsi"/>
        </w:rPr>
        <w:t>that we are considering for inclusion in proposals in the second round of consultation.</w:t>
      </w:r>
    </w:p>
    <w:p w14:paraId="150E9961" w14:textId="357DEC2A" w:rsidR="007F06BD" w:rsidRDefault="00AE4BB0" w:rsidP="007F06BD">
      <w:pPr>
        <w:pStyle w:val="BodyText"/>
        <w:rPr>
          <w:rFonts w:eastAsiaTheme="minorHAnsi"/>
        </w:rPr>
      </w:pPr>
      <w:r>
        <w:rPr>
          <w:rFonts w:eastAsiaTheme="minorHAnsi"/>
        </w:rPr>
        <w:fldChar w:fldCharType="begin"/>
      </w:r>
      <w:r>
        <w:rPr>
          <w:rFonts w:eastAsiaTheme="minorHAnsi"/>
        </w:rPr>
        <w:instrText xml:space="preserve"> REF _Ref56436270 \h </w:instrText>
      </w:r>
      <w:r>
        <w:rPr>
          <w:rFonts w:eastAsiaTheme="minorHAnsi"/>
        </w:rPr>
      </w:r>
      <w:r>
        <w:rPr>
          <w:rFonts w:eastAsiaTheme="minorHAnsi"/>
        </w:rPr>
        <w:fldChar w:fldCharType="separate"/>
      </w:r>
      <w:r w:rsidR="00314C7E">
        <w:t xml:space="preserve">Table </w:t>
      </w:r>
      <w:r w:rsidR="00314C7E">
        <w:rPr>
          <w:noProof/>
        </w:rPr>
        <w:t>6</w:t>
      </w:r>
      <w:r>
        <w:rPr>
          <w:rFonts w:eastAsiaTheme="minorHAnsi"/>
        </w:rPr>
        <w:fldChar w:fldCharType="end"/>
      </w:r>
      <w:r w:rsidR="006954CF">
        <w:rPr>
          <w:rFonts w:eastAsiaTheme="minorHAnsi"/>
        </w:rPr>
        <w:t xml:space="preserve"> sets out the number of </w:t>
      </w:r>
      <w:r w:rsidR="002F5E28">
        <w:rPr>
          <w:rFonts w:eastAsiaTheme="minorHAnsi"/>
        </w:rPr>
        <w:t xml:space="preserve">data </w:t>
      </w:r>
      <w:r w:rsidR="001156A2">
        <w:rPr>
          <w:rFonts w:eastAsiaTheme="minorHAnsi"/>
        </w:rPr>
        <w:t>element</w:t>
      </w:r>
      <w:r w:rsidR="006954CF">
        <w:rPr>
          <w:rFonts w:eastAsiaTheme="minorHAnsi"/>
        </w:rPr>
        <w:t xml:space="preserve">s ‘Proposed’ and ‘Considering’ that are common to various combinations of the ASIC Rules, the </w:t>
      </w:r>
      <w:r w:rsidR="00970EE1">
        <w:rPr>
          <w:rFonts w:eastAsiaTheme="minorHAnsi"/>
        </w:rPr>
        <w:t xml:space="preserve">CDE </w:t>
      </w:r>
      <w:r w:rsidR="0022679B">
        <w:rPr>
          <w:rFonts w:eastAsiaTheme="minorHAnsi"/>
        </w:rPr>
        <w:t>Guidance</w:t>
      </w:r>
      <w:r w:rsidR="006954CF">
        <w:rPr>
          <w:rFonts w:eastAsiaTheme="minorHAnsi"/>
        </w:rPr>
        <w:t xml:space="preserve">, the final CFTC rules and the </w:t>
      </w:r>
      <w:r w:rsidR="000127C8">
        <w:rPr>
          <w:rFonts w:eastAsiaTheme="minorHAnsi"/>
        </w:rPr>
        <w:t>ESMA proposals for EU rules</w:t>
      </w:r>
      <w:r w:rsidR="00485BD4">
        <w:rPr>
          <w:rFonts w:eastAsiaTheme="minorHAnsi"/>
        </w:rPr>
        <w:t>.</w:t>
      </w:r>
    </w:p>
    <w:p w14:paraId="30E00E59" w14:textId="5461FF08" w:rsidR="00897EF6" w:rsidRDefault="00897EF6" w:rsidP="00897EF6">
      <w:pPr>
        <w:pStyle w:val="tabletitleindented"/>
      </w:pPr>
      <w:bookmarkStart w:id="86" w:name="_Ref56436270"/>
      <w:r>
        <w:t xml:space="preserve">Table </w:t>
      </w:r>
      <w:r w:rsidR="007055A5">
        <w:fldChar w:fldCharType="begin"/>
      </w:r>
      <w:r w:rsidR="007055A5">
        <w:instrText xml:space="preserve"> SEQ Table \* ARABIC </w:instrText>
      </w:r>
      <w:r w:rsidR="007055A5">
        <w:fldChar w:fldCharType="separate"/>
      </w:r>
      <w:r w:rsidR="00314C7E">
        <w:rPr>
          <w:noProof/>
        </w:rPr>
        <w:t>6</w:t>
      </w:r>
      <w:r w:rsidR="007055A5">
        <w:rPr>
          <w:noProof/>
        </w:rPr>
        <w:fldChar w:fldCharType="end"/>
      </w:r>
      <w:bookmarkEnd w:id="86"/>
      <w:r>
        <w:t>:</w:t>
      </w:r>
      <w:r>
        <w:tab/>
      </w:r>
      <w:r w:rsidR="006954CF">
        <w:t xml:space="preserve">Number of ASIC Rules </w:t>
      </w:r>
      <w:r w:rsidR="002F5E28">
        <w:t xml:space="preserve">data </w:t>
      </w:r>
      <w:r w:rsidR="001156A2">
        <w:t>element</w:t>
      </w:r>
      <w:r w:rsidR="006954CF">
        <w:t>s common to jurisdictions</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2694"/>
        <w:gridCol w:w="1913"/>
        <w:gridCol w:w="1914"/>
      </w:tblGrid>
      <w:tr w:rsidR="00897EF6" w:rsidRPr="000540E1" w14:paraId="194ACD26" w14:textId="77777777" w:rsidTr="00020D19">
        <w:trPr>
          <w:cantSplit/>
          <w:tblHeader/>
        </w:trPr>
        <w:tc>
          <w:tcPr>
            <w:tcW w:w="2694" w:type="dxa"/>
            <w:shd w:val="clear" w:color="auto" w:fill="C2E3FA"/>
          </w:tcPr>
          <w:p w14:paraId="284CEAF4" w14:textId="0FE29F5B" w:rsidR="00897EF6" w:rsidRDefault="00897EF6" w:rsidP="000B5BBA">
            <w:pPr>
              <w:pStyle w:val="tablehead"/>
            </w:pPr>
            <w:r>
              <w:t>Jur</w:t>
            </w:r>
            <w:r w:rsidR="00516A17">
              <w:t>i</w:t>
            </w:r>
            <w:r>
              <w:t>s</w:t>
            </w:r>
            <w:r w:rsidR="00516A17">
              <w:t>d</w:t>
            </w:r>
            <w:r>
              <w:t>ictions</w:t>
            </w:r>
          </w:p>
        </w:tc>
        <w:tc>
          <w:tcPr>
            <w:tcW w:w="1913" w:type="dxa"/>
            <w:shd w:val="clear" w:color="auto" w:fill="C2E3FA"/>
          </w:tcPr>
          <w:p w14:paraId="29DE5FAB" w14:textId="77777777" w:rsidR="00897EF6" w:rsidRPr="000540E1" w:rsidRDefault="00897EF6" w:rsidP="00897EF6">
            <w:pPr>
              <w:pStyle w:val="tablehead"/>
              <w:jc w:val="center"/>
            </w:pPr>
            <w:r>
              <w:t>Proposed</w:t>
            </w:r>
          </w:p>
        </w:tc>
        <w:tc>
          <w:tcPr>
            <w:tcW w:w="1914" w:type="dxa"/>
            <w:shd w:val="clear" w:color="auto" w:fill="C2E3FA"/>
          </w:tcPr>
          <w:p w14:paraId="5308F278" w14:textId="3DA3F9DA" w:rsidR="00897EF6" w:rsidRPr="000540E1" w:rsidRDefault="00897EF6" w:rsidP="00897EF6">
            <w:pPr>
              <w:pStyle w:val="tablehead"/>
              <w:jc w:val="center"/>
            </w:pPr>
            <w:r>
              <w:t>Consider</w:t>
            </w:r>
            <w:r w:rsidR="006954CF">
              <w:t>ing</w:t>
            </w:r>
          </w:p>
        </w:tc>
      </w:tr>
      <w:tr w:rsidR="00897EF6" w:rsidRPr="000540E1" w14:paraId="23BA35D9" w14:textId="77777777" w:rsidTr="00020D19">
        <w:trPr>
          <w:cantSplit/>
        </w:trPr>
        <w:tc>
          <w:tcPr>
            <w:tcW w:w="2694" w:type="dxa"/>
          </w:tcPr>
          <w:p w14:paraId="65ACDF54" w14:textId="4D25BBC1" w:rsidR="00897EF6" w:rsidRPr="000540E1" w:rsidRDefault="00897EF6" w:rsidP="000B5BBA">
            <w:pPr>
              <w:pStyle w:val="tbltext"/>
            </w:pPr>
            <w:r>
              <w:t xml:space="preserve">ASIC, CDE, CFTC, </w:t>
            </w:r>
            <w:r w:rsidR="006954CF">
              <w:t>EU</w:t>
            </w:r>
          </w:p>
        </w:tc>
        <w:tc>
          <w:tcPr>
            <w:tcW w:w="1913" w:type="dxa"/>
          </w:tcPr>
          <w:p w14:paraId="34008005" w14:textId="59C04827" w:rsidR="00897EF6" w:rsidRPr="000540E1" w:rsidRDefault="00B82477" w:rsidP="00897EF6">
            <w:pPr>
              <w:pStyle w:val="tbltext"/>
              <w:jc w:val="center"/>
            </w:pPr>
            <w:r>
              <w:t>81</w:t>
            </w:r>
          </w:p>
        </w:tc>
        <w:tc>
          <w:tcPr>
            <w:tcW w:w="1914" w:type="dxa"/>
          </w:tcPr>
          <w:p w14:paraId="123C05E1" w14:textId="77777777" w:rsidR="00897EF6" w:rsidRPr="000540E1" w:rsidRDefault="00897EF6" w:rsidP="00897EF6">
            <w:pPr>
              <w:pStyle w:val="tbltext"/>
              <w:jc w:val="center"/>
            </w:pPr>
            <w:r>
              <w:t>0</w:t>
            </w:r>
          </w:p>
        </w:tc>
      </w:tr>
      <w:tr w:rsidR="00897EF6" w:rsidRPr="000540E1" w14:paraId="5092163C" w14:textId="77777777" w:rsidTr="00020D19">
        <w:trPr>
          <w:cantSplit/>
        </w:trPr>
        <w:tc>
          <w:tcPr>
            <w:tcW w:w="2694" w:type="dxa"/>
          </w:tcPr>
          <w:p w14:paraId="39B086A5" w14:textId="77777777" w:rsidR="00897EF6" w:rsidRDefault="00897EF6" w:rsidP="000B5BBA">
            <w:pPr>
              <w:pStyle w:val="tbltext"/>
            </w:pPr>
            <w:r>
              <w:t>ASIC, CDE, CFTC</w:t>
            </w:r>
          </w:p>
        </w:tc>
        <w:tc>
          <w:tcPr>
            <w:tcW w:w="1913" w:type="dxa"/>
          </w:tcPr>
          <w:p w14:paraId="442A465A" w14:textId="46BBB4A1" w:rsidR="00897EF6" w:rsidRDefault="00B82477" w:rsidP="000B5BBA">
            <w:pPr>
              <w:pStyle w:val="tbltext"/>
              <w:jc w:val="center"/>
            </w:pPr>
            <w:r>
              <w:t>15</w:t>
            </w:r>
          </w:p>
        </w:tc>
        <w:tc>
          <w:tcPr>
            <w:tcW w:w="1914" w:type="dxa"/>
          </w:tcPr>
          <w:p w14:paraId="24D9BF71" w14:textId="5C4AA0CF" w:rsidR="00897EF6" w:rsidRDefault="00B82477" w:rsidP="000B5BBA">
            <w:pPr>
              <w:pStyle w:val="tbltext"/>
              <w:jc w:val="center"/>
            </w:pPr>
            <w:r>
              <w:t>1</w:t>
            </w:r>
          </w:p>
        </w:tc>
      </w:tr>
      <w:tr w:rsidR="00897EF6" w:rsidRPr="000540E1" w14:paraId="384B7721" w14:textId="77777777" w:rsidTr="00020D19">
        <w:trPr>
          <w:cantSplit/>
        </w:trPr>
        <w:tc>
          <w:tcPr>
            <w:tcW w:w="2694" w:type="dxa"/>
          </w:tcPr>
          <w:p w14:paraId="66910568" w14:textId="1E988E55" w:rsidR="00897EF6" w:rsidRPr="000540E1" w:rsidRDefault="00897EF6" w:rsidP="000B5BBA">
            <w:pPr>
              <w:pStyle w:val="tbltext"/>
            </w:pPr>
            <w:r>
              <w:t xml:space="preserve">ASIC, CDE, </w:t>
            </w:r>
            <w:r w:rsidR="006954CF">
              <w:t>EU</w:t>
            </w:r>
          </w:p>
        </w:tc>
        <w:tc>
          <w:tcPr>
            <w:tcW w:w="1913" w:type="dxa"/>
          </w:tcPr>
          <w:p w14:paraId="64895227" w14:textId="6E70960A" w:rsidR="00897EF6" w:rsidRPr="000540E1" w:rsidRDefault="00B82477" w:rsidP="000B5BBA">
            <w:pPr>
              <w:pStyle w:val="tbltext"/>
              <w:jc w:val="center"/>
            </w:pPr>
            <w:r>
              <w:t>8</w:t>
            </w:r>
          </w:p>
        </w:tc>
        <w:tc>
          <w:tcPr>
            <w:tcW w:w="1914" w:type="dxa"/>
          </w:tcPr>
          <w:p w14:paraId="0321872D" w14:textId="52017F03" w:rsidR="00897EF6" w:rsidRPr="000540E1" w:rsidRDefault="00B82477" w:rsidP="000B5BBA">
            <w:pPr>
              <w:pStyle w:val="tbltext"/>
              <w:jc w:val="center"/>
            </w:pPr>
            <w:r>
              <w:t>12</w:t>
            </w:r>
          </w:p>
        </w:tc>
      </w:tr>
      <w:tr w:rsidR="006954CF" w:rsidRPr="000540E1" w14:paraId="6FF9C626" w14:textId="77777777" w:rsidTr="00020D19">
        <w:trPr>
          <w:cantSplit/>
        </w:trPr>
        <w:tc>
          <w:tcPr>
            <w:tcW w:w="2694" w:type="dxa"/>
          </w:tcPr>
          <w:p w14:paraId="50BEB9F8" w14:textId="761E94C5" w:rsidR="006954CF" w:rsidRDefault="006954CF" w:rsidP="000B5BBA">
            <w:pPr>
              <w:pStyle w:val="tbltext"/>
            </w:pPr>
            <w:r>
              <w:t>ASIC, CDE, CFTC &amp;/or EU</w:t>
            </w:r>
          </w:p>
        </w:tc>
        <w:tc>
          <w:tcPr>
            <w:tcW w:w="1913" w:type="dxa"/>
          </w:tcPr>
          <w:p w14:paraId="3FF13723" w14:textId="1CADC0AF" w:rsidR="006954CF" w:rsidRDefault="00B82477" w:rsidP="00897EF6">
            <w:pPr>
              <w:pStyle w:val="tbltext"/>
              <w:jc w:val="center"/>
            </w:pPr>
            <w:r>
              <w:t>104</w:t>
            </w:r>
          </w:p>
        </w:tc>
        <w:tc>
          <w:tcPr>
            <w:tcW w:w="1914" w:type="dxa"/>
          </w:tcPr>
          <w:p w14:paraId="23DCFD9A" w14:textId="1FE9B18A" w:rsidR="006954CF" w:rsidRDefault="00B82477" w:rsidP="00897EF6">
            <w:pPr>
              <w:pStyle w:val="tbltext"/>
              <w:jc w:val="center"/>
            </w:pPr>
            <w:r>
              <w:t>13</w:t>
            </w:r>
          </w:p>
        </w:tc>
      </w:tr>
      <w:tr w:rsidR="00897EF6" w:rsidRPr="000540E1" w14:paraId="0A3FBE34" w14:textId="77777777" w:rsidTr="00020D19">
        <w:trPr>
          <w:cantSplit/>
        </w:trPr>
        <w:tc>
          <w:tcPr>
            <w:tcW w:w="2694" w:type="dxa"/>
          </w:tcPr>
          <w:p w14:paraId="0F6BE0E1" w14:textId="564FF7CB" w:rsidR="00897EF6" w:rsidRPr="000540E1" w:rsidRDefault="00897EF6" w:rsidP="000B5BBA">
            <w:pPr>
              <w:pStyle w:val="tbltext"/>
            </w:pPr>
            <w:r>
              <w:t xml:space="preserve">ASIC, CFTC, </w:t>
            </w:r>
            <w:r w:rsidR="006954CF">
              <w:t>EU</w:t>
            </w:r>
          </w:p>
        </w:tc>
        <w:tc>
          <w:tcPr>
            <w:tcW w:w="1913" w:type="dxa"/>
          </w:tcPr>
          <w:p w14:paraId="389ECC7D" w14:textId="4C052C74" w:rsidR="00897EF6" w:rsidRPr="000540E1" w:rsidRDefault="00B82477" w:rsidP="00897EF6">
            <w:pPr>
              <w:pStyle w:val="tbltext"/>
              <w:jc w:val="center"/>
            </w:pPr>
            <w:r>
              <w:t>6</w:t>
            </w:r>
          </w:p>
        </w:tc>
        <w:tc>
          <w:tcPr>
            <w:tcW w:w="1914" w:type="dxa"/>
          </w:tcPr>
          <w:p w14:paraId="3F17AC74" w14:textId="77777777" w:rsidR="00897EF6" w:rsidRPr="000540E1" w:rsidRDefault="00B82477" w:rsidP="00897EF6">
            <w:pPr>
              <w:pStyle w:val="tbltext"/>
              <w:jc w:val="center"/>
            </w:pPr>
            <w:r>
              <w:t>4</w:t>
            </w:r>
          </w:p>
        </w:tc>
      </w:tr>
      <w:tr w:rsidR="00897EF6" w:rsidRPr="000540E1" w14:paraId="6E86395E" w14:textId="77777777" w:rsidTr="00020D19">
        <w:trPr>
          <w:cantSplit/>
        </w:trPr>
        <w:tc>
          <w:tcPr>
            <w:tcW w:w="2694" w:type="dxa"/>
          </w:tcPr>
          <w:p w14:paraId="5EF8F309" w14:textId="77777777" w:rsidR="00897EF6" w:rsidRDefault="00897EF6" w:rsidP="000B5BBA">
            <w:pPr>
              <w:pStyle w:val="tbltext"/>
            </w:pPr>
            <w:r>
              <w:t>ASIC, CFTC</w:t>
            </w:r>
          </w:p>
        </w:tc>
        <w:tc>
          <w:tcPr>
            <w:tcW w:w="1913" w:type="dxa"/>
          </w:tcPr>
          <w:p w14:paraId="0F908FB1" w14:textId="46FFCF6B" w:rsidR="00897EF6" w:rsidRDefault="00B82477" w:rsidP="000B5BBA">
            <w:pPr>
              <w:pStyle w:val="tbltext"/>
              <w:jc w:val="center"/>
            </w:pPr>
            <w:r>
              <w:t>8</w:t>
            </w:r>
          </w:p>
        </w:tc>
        <w:tc>
          <w:tcPr>
            <w:tcW w:w="1914" w:type="dxa"/>
          </w:tcPr>
          <w:p w14:paraId="37E53099" w14:textId="387B9830" w:rsidR="00897EF6" w:rsidRDefault="00B82477" w:rsidP="000B5BBA">
            <w:pPr>
              <w:pStyle w:val="tbltext"/>
              <w:jc w:val="center"/>
            </w:pPr>
            <w:r>
              <w:t>1</w:t>
            </w:r>
          </w:p>
        </w:tc>
      </w:tr>
      <w:tr w:rsidR="00897EF6" w:rsidRPr="000540E1" w14:paraId="64BAC293" w14:textId="77777777" w:rsidTr="00020D19">
        <w:trPr>
          <w:cantSplit/>
        </w:trPr>
        <w:tc>
          <w:tcPr>
            <w:tcW w:w="2694" w:type="dxa"/>
          </w:tcPr>
          <w:p w14:paraId="66374D9C" w14:textId="7F1A76B1" w:rsidR="00897EF6" w:rsidRDefault="00897EF6" w:rsidP="000B5BBA">
            <w:pPr>
              <w:pStyle w:val="tbltext"/>
            </w:pPr>
            <w:r>
              <w:t xml:space="preserve">ASIC, </w:t>
            </w:r>
            <w:r w:rsidR="006954CF">
              <w:t>EU</w:t>
            </w:r>
          </w:p>
        </w:tc>
        <w:tc>
          <w:tcPr>
            <w:tcW w:w="1913" w:type="dxa"/>
          </w:tcPr>
          <w:p w14:paraId="72A93C93" w14:textId="50559803" w:rsidR="00897EF6" w:rsidRDefault="00926D7E" w:rsidP="00897EF6">
            <w:pPr>
              <w:pStyle w:val="tbltext"/>
              <w:jc w:val="center"/>
            </w:pPr>
            <w:r>
              <w:t>5</w:t>
            </w:r>
          </w:p>
        </w:tc>
        <w:tc>
          <w:tcPr>
            <w:tcW w:w="1914" w:type="dxa"/>
          </w:tcPr>
          <w:p w14:paraId="6185CA9D" w14:textId="21D545A7" w:rsidR="00897EF6" w:rsidRDefault="00926D7E" w:rsidP="00897EF6">
            <w:pPr>
              <w:pStyle w:val="tbltext"/>
              <w:jc w:val="center"/>
            </w:pPr>
            <w:r>
              <w:t>1</w:t>
            </w:r>
          </w:p>
        </w:tc>
      </w:tr>
      <w:tr w:rsidR="006954CF" w:rsidRPr="000540E1" w14:paraId="06F650BB" w14:textId="77777777" w:rsidTr="00020D19">
        <w:trPr>
          <w:cantSplit/>
        </w:trPr>
        <w:tc>
          <w:tcPr>
            <w:tcW w:w="2694" w:type="dxa"/>
          </w:tcPr>
          <w:p w14:paraId="476A161F" w14:textId="15A1D9DA" w:rsidR="006954CF" w:rsidRDefault="006954CF" w:rsidP="001A2627">
            <w:pPr>
              <w:pStyle w:val="tbltext"/>
            </w:pPr>
            <w:r>
              <w:t>ASIC, CFTC &amp;/or EU</w:t>
            </w:r>
          </w:p>
        </w:tc>
        <w:tc>
          <w:tcPr>
            <w:tcW w:w="1913" w:type="dxa"/>
          </w:tcPr>
          <w:p w14:paraId="4BDF7CCD" w14:textId="217411A3" w:rsidR="006954CF" w:rsidRDefault="00926D7E" w:rsidP="001A2627">
            <w:pPr>
              <w:pStyle w:val="tbltext"/>
              <w:jc w:val="center"/>
            </w:pPr>
            <w:r>
              <w:t>19</w:t>
            </w:r>
          </w:p>
        </w:tc>
        <w:tc>
          <w:tcPr>
            <w:tcW w:w="1914" w:type="dxa"/>
          </w:tcPr>
          <w:p w14:paraId="57C3A0A2" w14:textId="10CCDBDC" w:rsidR="006954CF" w:rsidRDefault="00926D7E" w:rsidP="001A2627">
            <w:pPr>
              <w:pStyle w:val="tbltext"/>
              <w:jc w:val="center"/>
            </w:pPr>
            <w:r>
              <w:t>6</w:t>
            </w:r>
          </w:p>
        </w:tc>
      </w:tr>
      <w:tr w:rsidR="00897EF6" w:rsidRPr="000540E1" w14:paraId="32B509F8" w14:textId="77777777" w:rsidTr="00020D19">
        <w:trPr>
          <w:cantSplit/>
        </w:trPr>
        <w:tc>
          <w:tcPr>
            <w:tcW w:w="2694" w:type="dxa"/>
          </w:tcPr>
          <w:p w14:paraId="6BC75D90" w14:textId="1E1D7547" w:rsidR="00897EF6" w:rsidRDefault="00897EF6" w:rsidP="000B5BBA">
            <w:pPr>
              <w:pStyle w:val="tbltext"/>
            </w:pPr>
            <w:r>
              <w:t>ASIC</w:t>
            </w:r>
            <w:r w:rsidR="000240FA">
              <w:t>-only</w:t>
            </w:r>
          </w:p>
        </w:tc>
        <w:tc>
          <w:tcPr>
            <w:tcW w:w="1913" w:type="dxa"/>
          </w:tcPr>
          <w:p w14:paraId="5A5D472F" w14:textId="77777777" w:rsidR="00897EF6" w:rsidRDefault="00897EF6" w:rsidP="00897EF6">
            <w:pPr>
              <w:pStyle w:val="tbltext"/>
              <w:jc w:val="center"/>
            </w:pPr>
            <w:r>
              <w:t>1</w:t>
            </w:r>
          </w:p>
        </w:tc>
        <w:tc>
          <w:tcPr>
            <w:tcW w:w="1914" w:type="dxa"/>
          </w:tcPr>
          <w:p w14:paraId="4780C93D" w14:textId="77777777" w:rsidR="00897EF6" w:rsidRDefault="00897EF6" w:rsidP="00897EF6">
            <w:pPr>
              <w:pStyle w:val="tbltext"/>
              <w:jc w:val="center"/>
            </w:pPr>
            <w:r>
              <w:t>0</w:t>
            </w:r>
          </w:p>
        </w:tc>
      </w:tr>
    </w:tbl>
    <w:p w14:paraId="0D0FE743" w14:textId="16A94252" w:rsidR="00047B1C" w:rsidRDefault="00442E99" w:rsidP="00047B1C">
      <w:pPr>
        <w:pStyle w:val="BodyText"/>
        <w:rPr>
          <w:rFonts w:eastAsiaTheme="minorHAnsi"/>
        </w:rPr>
      </w:pPr>
      <w:r>
        <w:rPr>
          <w:rFonts w:eastAsiaTheme="minorHAnsi"/>
        </w:rPr>
        <w:t xml:space="preserve">We currently propose a </w:t>
      </w:r>
      <w:r w:rsidR="001156A2">
        <w:rPr>
          <w:rFonts w:eastAsiaTheme="minorHAnsi"/>
        </w:rPr>
        <w:t>data element</w:t>
      </w:r>
      <w:r>
        <w:rPr>
          <w:rFonts w:eastAsiaTheme="minorHAnsi"/>
        </w:rPr>
        <w:t xml:space="preserve"> set of 1</w:t>
      </w:r>
      <w:r w:rsidR="00B82477">
        <w:rPr>
          <w:rFonts w:eastAsiaTheme="minorHAnsi"/>
        </w:rPr>
        <w:t>2</w:t>
      </w:r>
      <w:r w:rsidR="00926D7E">
        <w:rPr>
          <w:rFonts w:eastAsiaTheme="minorHAnsi"/>
        </w:rPr>
        <w:t>4</w:t>
      </w:r>
      <w:r>
        <w:rPr>
          <w:rFonts w:eastAsiaTheme="minorHAnsi"/>
        </w:rPr>
        <w:t xml:space="preserve"> </w:t>
      </w:r>
      <w:r w:rsidR="001156A2">
        <w:rPr>
          <w:rFonts w:eastAsiaTheme="minorHAnsi"/>
        </w:rPr>
        <w:t>element</w:t>
      </w:r>
      <w:r>
        <w:rPr>
          <w:rFonts w:eastAsiaTheme="minorHAnsi"/>
        </w:rPr>
        <w:t>s, of which:</w:t>
      </w:r>
    </w:p>
    <w:p w14:paraId="4BFB9212" w14:textId="76620DE4" w:rsidR="00442E99" w:rsidRDefault="00442E99" w:rsidP="00442E99">
      <w:pPr>
        <w:pStyle w:val="subparaa"/>
        <w:rPr>
          <w:rFonts w:eastAsiaTheme="minorHAnsi"/>
        </w:rPr>
      </w:pPr>
      <w:r>
        <w:rPr>
          <w:rFonts w:eastAsiaTheme="minorHAnsi"/>
        </w:rPr>
        <w:t>8</w:t>
      </w:r>
      <w:r w:rsidR="00B82477">
        <w:rPr>
          <w:rFonts w:eastAsiaTheme="minorHAnsi"/>
        </w:rPr>
        <w:t>1</w:t>
      </w:r>
      <w:r>
        <w:rPr>
          <w:rFonts w:eastAsiaTheme="minorHAnsi"/>
        </w:rPr>
        <w:t xml:space="preserve"> </w:t>
      </w:r>
      <w:r w:rsidR="001156A2">
        <w:rPr>
          <w:rFonts w:eastAsiaTheme="minorHAnsi"/>
        </w:rPr>
        <w:t>element</w:t>
      </w:r>
      <w:r>
        <w:rPr>
          <w:rFonts w:eastAsiaTheme="minorHAnsi"/>
        </w:rPr>
        <w:t>s (</w:t>
      </w:r>
      <w:r w:rsidR="00B82477">
        <w:rPr>
          <w:rFonts w:eastAsiaTheme="minorHAnsi"/>
        </w:rPr>
        <w:t>6</w:t>
      </w:r>
      <w:r w:rsidR="00926D7E">
        <w:rPr>
          <w:rFonts w:eastAsiaTheme="minorHAnsi"/>
        </w:rPr>
        <w:t>5</w:t>
      </w:r>
      <w:r>
        <w:rPr>
          <w:rFonts w:eastAsiaTheme="minorHAnsi"/>
        </w:rPr>
        <w:t xml:space="preserve">%) are common to ASIC, CDE, CFTC and the </w:t>
      </w:r>
      <w:r w:rsidR="00C74572">
        <w:rPr>
          <w:rFonts w:eastAsiaTheme="minorHAnsi"/>
        </w:rPr>
        <w:t>European Union</w:t>
      </w:r>
      <w:r>
        <w:rPr>
          <w:rFonts w:eastAsiaTheme="minorHAnsi"/>
        </w:rPr>
        <w:t>;</w:t>
      </w:r>
    </w:p>
    <w:p w14:paraId="694F1CE3" w14:textId="2ABBD652" w:rsidR="00442E99" w:rsidRDefault="00442E99" w:rsidP="00442E99">
      <w:pPr>
        <w:pStyle w:val="subparaa"/>
        <w:rPr>
          <w:rFonts w:eastAsiaTheme="minorHAnsi"/>
        </w:rPr>
      </w:pPr>
      <w:r>
        <w:rPr>
          <w:rFonts w:eastAsiaTheme="minorHAnsi"/>
        </w:rPr>
        <w:t>2</w:t>
      </w:r>
      <w:r w:rsidR="00B82477">
        <w:rPr>
          <w:rFonts w:eastAsiaTheme="minorHAnsi"/>
        </w:rPr>
        <w:t>3</w:t>
      </w:r>
      <w:r>
        <w:rPr>
          <w:rFonts w:eastAsiaTheme="minorHAnsi"/>
        </w:rPr>
        <w:t xml:space="preserve"> </w:t>
      </w:r>
      <w:r w:rsidR="001156A2">
        <w:rPr>
          <w:rFonts w:eastAsiaTheme="minorHAnsi"/>
        </w:rPr>
        <w:t>element</w:t>
      </w:r>
      <w:r>
        <w:rPr>
          <w:rFonts w:eastAsiaTheme="minorHAnsi"/>
        </w:rPr>
        <w:t>s (1</w:t>
      </w:r>
      <w:r w:rsidR="00B82477">
        <w:rPr>
          <w:rFonts w:eastAsiaTheme="minorHAnsi"/>
        </w:rPr>
        <w:t>9</w:t>
      </w:r>
      <w:r>
        <w:rPr>
          <w:rFonts w:eastAsiaTheme="minorHAnsi"/>
        </w:rPr>
        <w:t xml:space="preserve">%) are common to ASIC, CDE and one of CFTC and the </w:t>
      </w:r>
      <w:r w:rsidR="00C74572">
        <w:rPr>
          <w:rFonts w:eastAsiaTheme="minorHAnsi"/>
        </w:rPr>
        <w:t>European Union</w:t>
      </w:r>
      <w:r>
        <w:rPr>
          <w:rFonts w:eastAsiaTheme="minorHAnsi"/>
        </w:rPr>
        <w:t>;</w:t>
      </w:r>
    </w:p>
    <w:p w14:paraId="4608EFFE" w14:textId="1056CD2B" w:rsidR="00442E99" w:rsidRDefault="00442E99" w:rsidP="00442E99">
      <w:pPr>
        <w:pStyle w:val="subparaa"/>
        <w:rPr>
          <w:rFonts w:eastAsiaTheme="minorHAnsi"/>
        </w:rPr>
      </w:pPr>
      <w:r>
        <w:rPr>
          <w:rFonts w:eastAsiaTheme="minorHAnsi"/>
        </w:rPr>
        <w:t>1</w:t>
      </w:r>
      <w:r w:rsidR="00926D7E">
        <w:rPr>
          <w:rFonts w:eastAsiaTheme="minorHAnsi"/>
        </w:rPr>
        <w:t>9</w:t>
      </w:r>
      <w:r>
        <w:rPr>
          <w:rFonts w:eastAsiaTheme="minorHAnsi"/>
        </w:rPr>
        <w:t xml:space="preserve"> </w:t>
      </w:r>
      <w:r w:rsidR="001156A2">
        <w:rPr>
          <w:rFonts w:eastAsiaTheme="minorHAnsi"/>
        </w:rPr>
        <w:t>element</w:t>
      </w:r>
      <w:r>
        <w:rPr>
          <w:rFonts w:eastAsiaTheme="minorHAnsi"/>
        </w:rPr>
        <w:t>s (1</w:t>
      </w:r>
      <w:r w:rsidR="00926D7E">
        <w:rPr>
          <w:rFonts w:eastAsiaTheme="minorHAnsi"/>
        </w:rPr>
        <w:t>5</w:t>
      </w:r>
      <w:r>
        <w:rPr>
          <w:rFonts w:eastAsiaTheme="minorHAnsi"/>
        </w:rPr>
        <w:t xml:space="preserve">%) are not CDE </w:t>
      </w:r>
      <w:r w:rsidR="001156A2">
        <w:rPr>
          <w:rFonts w:eastAsiaTheme="minorHAnsi"/>
        </w:rPr>
        <w:t>element</w:t>
      </w:r>
      <w:r>
        <w:rPr>
          <w:rFonts w:eastAsiaTheme="minorHAnsi"/>
        </w:rPr>
        <w:t xml:space="preserve">s but are common to ASIC and one of CFTC and the </w:t>
      </w:r>
      <w:r w:rsidR="00C74572">
        <w:rPr>
          <w:rFonts w:eastAsiaTheme="minorHAnsi"/>
        </w:rPr>
        <w:t>European Union</w:t>
      </w:r>
      <w:r>
        <w:rPr>
          <w:rFonts w:eastAsiaTheme="minorHAnsi"/>
        </w:rPr>
        <w:t>; and</w:t>
      </w:r>
    </w:p>
    <w:p w14:paraId="4E68E894" w14:textId="308C94E8" w:rsidR="00442E99" w:rsidRPr="00B70651" w:rsidRDefault="00990C8D" w:rsidP="00442E99">
      <w:pPr>
        <w:pStyle w:val="subparaa"/>
        <w:rPr>
          <w:rFonts w:eastAsiaTheme="minorHAnsi"/>
        </w:rPr>
      </w:pPr>
      <w:r>
        <w:rPr>
          <w:rFonts w:eastAsiaTheme="minorHAnsi"/>
        </w:rPr>
        <w:t xml:space="preserve">one </w:t>
      </w:r>
      <w:r w:rsidR="001156A2">
        <w:rPr>
          <w:rFonts w:eastAsiaTheme="minorHAnsi"/>
        </w:rPr>
        <w:t>element</w:t>
      </w:r>
      <w:r w:rsidR="00442E99">
        <w:rPr>
          <w:rFonts w:eastAsiaTheme="minorHAnsi"/>
        </w:rPr>
        <w:t xml:space="preserve"> (1%) is an ASIC-only </w:t>
      </w:r>
      <w:r w:rsidR="001156A2">
        <w:rPr>
          <w:rFonts w:eastAsiaTheme="minorHAnsi"/>
        </w:rPr>
        <w:t>element</w:t>
      </w:r>
      <w:r w:rsidRPr="009A3F41">
        <w:rPr>
          <w:rFonts w:eastAsiaTheme="minorHAnsi"/>
        </w:rPr>
        <w:t>—</w:t>
      </w:r>
      <w:r w:rsidR="00442E99">
        <w:rPr>
          <w:rFonts w:eastAsiaTheme="minorHAnsi"/>
        </w:rPr>
        <w:t xml:space="preserve">this </w:t>
      </w:r>
      <w:r w:rsidR="001156A2">
        <w:rPr>
          <w:rFonts w:eastAsiaTheme="minorHAnsi"/>
        </w:rPr>
        <w:t>element</w:t>
      </w:r>
      <w:r w:rsidR="00442E99">
        <w:rPr>
          <w:rFonts w:eastAsiaTheme="minorHAnsi"/>
        </w:rPr>
        <w:t xml:space="preserve"> is </w:t>
      </w:r>
      <w:r w:rsidR="00B70651">
        <w:rPr>
          <w:rFonts w:eastAsiaTheme="minorHAnsi"/>
        </w:rPr>
        <w:t>‘</w:t>
      </w:r>
      <w:r w:rsidR="00442E99">
        <w:t>Execution Agent of counterparty 1</w:t>
      </w:r>
      <w:r w:rsidR="00B70651">
        <w:t>’</w:t>
      </w:r>
      <w:r w:rsidR="00442E99">
        <w:t>.</w:t>
      </w:r>
    </w:p>
    <w:p w14:paraId="76E46485" w14:textId="0D7BDFA5" w:rsidR="00B70651" w:rsidRDefault="00B70651" w:rsidP="00136CC5">
      <w:pPr>
        <w:pStyle w:val="BodyText"/>
        <w:spacing w:line="290" w:lineRule="atLeast"/>
        <w:rPr>
          <w:rFonts w:eastAsiaTheme="minorHAnsi"/>
        </w:rPr>
      </w:pPr>
      <w:r>
        <w:rPr>
          <w:rFonts w:eastAsiaTheme="minorHAnsi"/>
        </w:rPr>
        <w:t xml:space="preserve">The major changes proposed to the current ASIC rules </w:t>
      </w:r>
      <w:r w:rsidR="001156A2">
        <w:rPr>
          <w:rFonts w:eastAsiaTheme="minorHAnsi"/>
        </w:rPr>
        <w:t>data element</w:t>
      </w:r>
      <w:r>
        <w:rPr>
          <w:rFonts w:eastAsiaTheme="minorHAnsi"/>
        </w:rPr>
        <w:t xml:space="preserve"> set are:</w:t>
      </w:r>
    </w:p>
    <w:p w14:paraId="60689643" w14:textId="5D4E5546" w:rsidR="00B70651" w:rsidRDefault="00B70651" w:rsidP="00136CC5">
      <w:pPr>
        <w:pStyle w:val="subparaa"/>
        <w:spacing w:line="290" w:lineRule="atLeast"/>
        <w:rPr>
          <w:rFonts w:eastAsiaTheme="minorHAnsi"/>
        </w:rPr>
      </w:pPr>
      <w:r>
        <w:rPr>
          <w:rFonts w:eastAsiaTheme="minorHAnsi"/>
        </w:rPr>
        <w:t xml:space="preserve">the removal of </w:t>
      </w:r>
      <w:r w:rsidR="000253D5">
        <w:rPr>
          <w:rFonts w:eastAsiaTheme="minorHAnsi"/>
        </w:rPr>
        <w:t>multiple ‘</w:t>
      </w:r>
      <w:r w:rsidR="002D6752">
        <w:rPr>
          <w:rFonts w:eastAsiaTheme="minorHAnsi"/>
        </w:rPr>
        <w:t>n</w:t>
      </w:r>
      <w:r>
        <w:rPr>
          <w:rFonts w:eastAsiaTheme="minorHAnsi"/>
        </w:rPr>
        <w:t>ame’</w:t>
      </w:r>
      <w:r w:rsidR="000253D5">
        <w:rPr>
          <w:rFonts w:eastAsiaTheme="minorHAnsi"/>
        </w:rPr>
        <w:t xml:space="preserve"> </w:t>
      </w:r>
      <w:r w:rsidR="001156A2">
        <w:rPr>
          <w:rFonts w:eastAsiaTheme="minorHAnsi"/>
        </w:rPr>
        <w:t>element</w:t>
      </w:r>
      <w:r w:rsidR="000253D5">
        <w:rPr>
          <w:rFonts w:eastAsiaTheme="minorHAnsi"/>
        </w:rPr>
        <w:t>s;</w:t>
      </w:r>
    </w:p>
    <w:p w14:paraId="5C61D08E" w14:textId="6CBD553A" w:rsidR="000253D5" w:rsidRDefault="002D6752" w:rsidP="00136CC5">
      <w:pPr>
        <w:pStyle w:val="subparaa"/>
        <w:spacing w:line="290" w:lineRule="atLeast"/>
        <w:rPr>
          <w:rFonts w:eastAsiaTheme="minorHAnsi"/>
        </w:rPr>
      </w:pPr>
      <w:r>
        <w:rPr>
          <w:rFonts w:eastAsiaTheme="minorHAnsi"/>
        </w:rPr>
        <w:t xml:space="preserve">the removal of extraneous </w:t>
      </w:r>
      <w:r w:rsidR="001156A2">
        <w:rPr>
          <w:rFonts w:eastAsiaTheme="minorHAnsi"/>
        </w:rPr>
        <w:t>element</w:t>
      </w:r>
      <w:r>
        <w:rPr>
          <w:rFonts w:eastAsiaTheme="minorHAnsi"/>
        </w:rPr>
        <w:t xml:space="preserve">s </w:t>
      </w:r>
      <w:r w:rsidRPr="002D6752">
        <w:rPr>
          <w:rFonts w:eastAsiaTheme="minorHAnsi"/>
        </w:rPr>
        <w:t xml:space="preserve">whose information content is </w:t>
      </w:r>
      <w:r>
        <w:rPr>
          <w:rFonts w:eastAsiaTheme="minorHAnsi"/>
        </w:rPr>
        <w:t xml:space="preserve">fully or </w:t>
      </w:r>
      <w:r w:rsidRPr="002D6752">
        <w:rPr>
          <w:rFonts w:eastAsiaTheme="minorHAnsi"/>
        </w:rPr>
        <w:t xml:space="preserve">substantially provided by another </w:t>
      </w:r>
      <w:r w:rsidR="001156A2">
        <w:rPr>
          <w:rFonts w:eastAsiaTheme="minorHAnsi"/>
        </w:rPr>
        <w:t>element</w:t>
      </w:r>
      <w:r>
        <w:rPr>
          <w:rFonts w:eastAsiaTheme="minorHAnsi"/>
        </w:rPr>
        <w:t>;</w:t>
      </w:r>
    </w:p>
    <w:p w14:paraId="38D160D5" w14:textId="6BBBAB47" w:rsidR="00926D7E" w:rsidRDefault="00926D7E" w:rsidP="00136CC5">
      <w:pPr>
        <w:pStyle w:val="subparaa"/>
        <w:spacing w:line="290" w:lineRule="atLeast"/>
        <w:rPr>
          <w:rFonts w:eastAsiaTheme="minorHAnsi"/>
        </w:rPr>
      </w:pPr>
      <w:r>
        <w:rPr>
          <w:rFonts w:eastAsiaTheme="minorHAnsi"/>
        </w:rPr>
        <w:lastRenderedPageBreak/>
        <w:t>the removal of multiple ‘delivery timing and location’ elements for commodity derivatives;</w:t>
      </w:r>
    </w:p>
    <w:p w14:paraId="03990E6C" w14:textId="36C1B9BE" w:rsidR="002D6752" w:rsidRDefault="002D6752" w:rsidP="00136CC5">
      <w:pPr>
        <w:pStyle w:val="subparaa"/>
        <w:spacing w:line="290" w:lineRule="atLeast"/>
        <w:rPr>
          <w:rFonts w:eastAsiaTheme="minorHAnsi"/>
        </w:rPr>
      </w:pPr>
      <w:r>
        <w:rPr>
          <w:rFonts w:eastAsiaTheme="minorHAnsi"/>
        </w:rPr>
        <w:t xml:space="preserve">the substitution of </w:t>
      </w:r>
      <w:r w:rsidRPr="002D6752">
        <w:rPr>
          <w:rFonts w:eastAsiaTheme="minorHAnsi"/>
        </w:rPr>
        <w:t xml:space="preserve">asset class-specific </w:t>
      </w:r>
      <w:r>
        <w:rPr>
          <w:rFonts w:eastAsiaTheme="minorHAnsi"/>
        </w:rPr>
        <w:t>‘side’ or ‘l</w:t>
      </w:r>
      <w:r w:rsidRPr="002D6752">
        <w:rPr>
          <w:rFonts w:eastAsiaTheme="minorHAnsi"/>
        </w:rPr>
        <w:t>eg 1/</w:t>
      </w:r>
      <w:r>
        <w:rPr>
          <w:rFonts w:eastAsiaTheme="minorHAnsi"/>
        </w:rPr>
        <w:t xml:space="preserve">leg </w:t>
      </w:r>
      <w:r w:rsidRPr="002D6752">
        <w:rPr>
          <w:rFonts w:eastAsiaTheme="minorHAnsi"/>
        </w:rPr>
        <w:t>2</w:t>
      </w:r>
      <w:r>
        <w:rPr>
          <w:rFonts w:eastAsiaTheme="minorHAnsi"/>
        </w:rPr>
        <w:t>’</w:t>
      </w:r>
      <w:r w:rsidRPr="002D6752">
        <w:rPr>
          <w:rFonts w:eastAsiaTheme="minorHAnsi"/>
        </w:rPr>
        <w:t xml:space="preserve"> </w:t>
      </w:r>
      <w:r w:rsidR="001156A2">
        <w:rPr>
          <w:rFonts w:eastAsiaTheme="minorHAnsi"/>
        </w:rPr>
        <w:t>element</w:t>
      </w:r>
      <w:r w:rsidRPr="002D6752">
        <w:rPr>
          <w:rFonts w:eastAsiaTheme="minorHAnsi"/>
        </w:rPr>
        <w:t xml:space="preserve">s </w:t>
      </w:r>
      <w:r>
        <w:rPr>
          <w:rFonts w:eastAsiaTheme="minorHAnsi"/>
        </w:rPr>
        <w:t xml:space="preserve">with the </w:t>
      </w:r>
      <w:r w:rsidR="00970EE1">
        <w:rPr>
          <w:rFonts w:eastAsiaTheme="minorHAnsi"/>
        </w:rPr>
        <w:t xml:space="preserve">CDE </w:t>
      </w:r>
      <w:r w:rsidR="0022679B">
        <w:rPr>
          <w:rFonts w:eastAsiaTheme="minorHAnsi"/>
        </w:rPr>
        <w:t>Guidance</w:t>
      </w:r>
      <w:r>
        <w:rPr>
          <w:rFonts w:eastAsiaTheme="minorHAnsi"/>
        </w:rPr>
        <w:t xml:space="preserve">’s more </w:t>
      </w:r>
      <w:r w:rsidRPr="002D6752">
        <w:rPr>
          <w:rFonts w:eastAsiaTheme="minorHAnsi"/>
        </w:rPr>
        <w:t>generic</w:t>
      </w:r>
      <w:r>
        <w:rPr>
          <w:rFonts w:eastAsiaTheme="minorHAnsi"/>
        </w:rPr>
        <w:t>, cross-asset class</w:t>
      </w:r>
      <w:r w:rsidRPr="002D6752">
        <w:rPr>
          <w:rFonts w:eastAsiaTheme="minorHAnsi"/>
        </w:rPr>
        <w:t xml:space="preserve"> </w:t>
      </w:r>
      <w:r w:rsidR="001156A2">
        <w:rPr>
          <w:rFonts w:eastAsiaTheme="minorHAnsi"/>
        </w:rPr>
        <w:t>element</w:t>
      </w:r>
      <w:r w:rsidRPr="002D6752">
        <w:rPr>
          <w:rFonts w:eastAsiaTheme="minorHAnsi"/>
        </w:rPr>
        <w:t>s</w:t>
      </w:r>
      <w:r>
        <w:rPr>
          <w:rFonts w:eastAsiaTheme="minorHAnsi"/>
        </w:rPr>
        <w:t>;</w:t>
      </w:r>
    </w:p>
    <w:p w14:paraId="5E838345" w14:textId="2385380F" w:rsidR="002D6752" w:rsidRDefault="002D6752" w:rsidP="00136CC5">
      <w:pPr>
        <w:pStyle w:val="subparaa"/>
        <w:spacing w:line="290" w:lineRule="atLeast"/>
        <w:rPr>
          <w:rFonts w:eastAsiaTheme="minorHAnsi"/>
        </w:rPr>
      </w:pPr>
      <w:r>
        <w:rPr>
          <w:rFonts w:eastAsiaTheme="minorHAnsi"/>
        </w:rPr>
        <w:t xml:space="preserve">the addition of ‘price information’ </w:t>
      </w:r>
      <w:r w:rsidR="001156A2">
        <w:rPr>
          <w:rFonts w:eastAsiaTheme="minorHAnsi"/>
        </w:rPr>
        <w:t>element</w:t>
      </w:r>
      <w:r>
        <w:rPr>
          <w:rFonts w:eastAsiaTheme="minorHAnsi"/>
        </w:rPr>
        <w:t xml:space="preserve">s to adopt the more comprehensive treatment of this kind of information in the </w:t>
      </w:r>
      <w:r w:rsidR="00970EE1">
        <w:rPr>
          <w:rFonts w:eastAsiaTheme="minorHAnsi"/>
        </w:rPr>
        <w:t xml:space="preserve">CDE </w:t>
      </w:r>
      <w:r w:rsidR="0022679B">
        <w:rPr>
          <w:rFonts w:eastAsiaTheme="minorHAnsi"/>
        </w:rPr>
        <w:t>Guidance</w:t>
      </w:r>
      <w:r>
        <w:rPr>
          <w:rFonts w:eastAsiaTheme="minorHAnsi"/>
        </w:rPr>
        <w:t>;</w:t>
      </w:r>
    </w:p>
    <w:p w14:paraId="2B372963" w14:textId="2E640D4C" w:rsidR="002D6752" w:rsidRDefault="002D6752" w:rsidP="00136CC5">
      <w:pPr>
        <w:pStyle w:val="subparaa"/>
        <w:spacing w:line="290" w:lineRule="atLeast"/>
        <w:rPr>
          <w:rFonts w:eastAsiaTheme="minorHAnsi"/>
        </w:rPr>
      </w:pPr>
      <w:r>
        <w:rPr>
          <w:rFonts w:eastAsiaTheme="minorHAnsi"/>
        </w:rPr>
        <w:t>the addition of ‘</w:t>
      </w:r>
      <w:r w:rsidR="0020357B">
        <w:rPr>
          <w:rFonts w:eastAsiaTheme="minorHAnsi"/>
        </w:rPr>
        <w:t>c</w:t>
      </w:r>
      <w:r>
        <w:rPr>
          <w:rFonts w:eastAsiaTheme="minorHAnsi"/>
        </w:rPr>
        <w:t xml:space="preserve">ollateral price information’ </w:t>
      </w:r>
      <w:r w:rsidR="001156A2">
        <w:rPr>
          <w:rFonts w:eastAsiaTheme="minorHAnsi"/>
        </w:rPr>
        <w:t>element</w:t>
      </w:r>
      <w:r>
        <w:rPr>
          <w:rFonts w:eastAsiaTheme="minorHAnsi"/>
        </w:rPr>
        <w:t xml:space="preserve">s to adopt the more comprehensive treatment of this kind of information in the </w:t>
      </w:r>
      <w:r w:rsidR="00970EE1">
        <w:rPr>
          <w:rFonts w:eastAsiaTheme="minorHAnsi"/>
        </w:rPr>
        <w:t xml:space="preserve">CDE </w:t>
      </w:r>
      <w:r w:rsidR="0022679B">
        <w:rPr>
          <w:rFonts w:eastAsiaTheme="minorHAnsi"/>
        </w:rPr>
        <w:t>Guidance</w:t>
      </w:r>
      <w:r>
        <w:rPr>
          <w:rFonts w:eastAsiaTheme="minorHAnsi"/>
        </w:rPr>
        <w:t>;</w:t>
      </w:r>
    </w:p>
    <w:p w14:paraId="6D2965FD" w14:textId="26C69F33" w:rsidR="002D6752" w:rsidRDefault="0020357B" w:rsidP="00136CC5">
      <w:pPr>
        <w:pStyle w:val="subparaa"/>
        <w:spacing w:line="290" w:lineRule="atLeast"/>
        <w:rPr>
          <w:rFonts w:eastAsiaTheme="minorHAnsi"/>
        </w:rPr>
      </w:pPr>
      <w:r>
        <w:rPr>
          <w:rFonts w:eastAsiaTheme="minorHAnsi"/>
        </w:rPr>
        <w:t>th</w:t>
      </w:r>
      <w:r w:rsidR="002D6752">
        <w:rPr>
          <w:rFonts w:eastAsiaTheme="minorHAnsi"/>
        </w:rPr>
        <w:t xml:space="preserve">e addition of </w:t>
      </w:r>
      <w:r>
        <w:rPr>
          <w:rFonts w:eastAsiaTheme="minorHAnsi"/>
        </w:rPr>
        <w:t xml:space="preserve">‘credit derivative tranche and index factor’ </w:t>
      </w:r>
      <w:r w:rsidR="001156A2">
        <w:rPr>
          <w:rFonts w:eastAsiaTheme="minorHAnsi"/>
        </w:rPr>
        <w:t>element</w:t>
      </w:r>
      <w:r>
        <w:rPr>
          <w:rFonts w:eastAsiaTheme="minorHAnsi"/>
        </w:rPr>
        <w:t xml:space="preserve">s and ‘structured product’ </w:t>
      </w:r>
      <w:r w:rsidR="001156A2">
        <w:rPr>
          <w:rFonts w:eastAsiaTheme="minorHAnsi"/>
        </w:rPr>
        <w:t>element</w:t>
      </w:r>
      <w:r>
        <w:rPr>
          <w:rFonts w:eastAsiaTheme="minorHAnsi"/>
        </w:rPr>
        <w:t>s to elaborate on risk exposures in credit derivatives and in combination/package transactions;</w:t>
      </w:r>
    </w:p>
    <w:p w14:paraId="3C296AAE" w14:textId="75705F73" w:rsidR="0020357B" w:rsidRDefault="0020357B" w:rsidP="00136CC5">
      <w:pPr>
        <w:pStyle w:val="subparaa"/>
        <w:spacing w:line="290" w:lineRule="atLeast"/>
        <w:rPr>
          <w:rFonts w:eastAsiaTheme="minorHAnsi"/>
        </w:rPr>
      </w:pPr>
      <w:r>
        <w:rPr>
          <w:rFonts w:eastAsiaTheme="minorHAnsi"/>
        </w:rPr>
        <w:t xml:space="preserve">the addition of ‘prior transaction identifiers’ and ‘event </w:t>
      </w:r>
      <w:proofErr w:type="spellStart"/>
      <w:r>
        <w:rPr>
          <w:rFonts w:eastAsiaTheme="minorHAnsi"/>
        </w:rPr>
        <w:t>timestamps’</w:t>
      </w:r>
      <w:proofErr w:type="spellEnd"/>
      <w:r>
        <w:rPr>
          <w:rFonts w:eastAsiaTheme="minorHAnsi"/>
        </w:rPr>
        <w:t xml:space="preserve"> to make the sequence and timing of transactions more transparent to the Australian regulators</w:t>
      </w:r>
      <w:r w:rsidR="00926D7E">
        <w:rPr>
          <w:rFonts w:eastAsiaTheme="minorHAnsi"/>
        </w:rPr>
        <w:t>;</w:t>
      </w:r>
    </w:p>
    <w:p w14:paraId="23A4CAC5" w14:textId="75F7DF9D" w:rsidR="00926D7E" w:rsidRDefault="00926D7E" w:rsidP="00136CC5">
      <w:pPr>
        <w:pStyle w:val="subparaa"/>
        <w:spacing w:line="290" w:lineRule="atLeast"/>
        <w:rPr>
          <w:rFonts w:eastAsiaTheme="minorHAnsi"/>
        </w:rPr>
      </w:pPr>
      <w:r>
        <w:rPr>
          <w:rFonts w:eastAsiaTheme="minorHAnsi"/>
        </w:rPr>
        <w:t xml:space="preserve">the addition of indicators relating to non-standard features of transactions to </w:t>
      </w:r>
      <w:r w:rsidR="00FC242C">
        <w:rPr>
          <w:rFonts w:eastAsiaTheme="minorHAnsi"/>
        </w:rPr>
        <w:t xml:space="preserve">assist </w:t>
      </w:r>
      <w:r w:rsidR="00432728">
        <w:rPr>
          <w:rFonts w:eastAsiaTheme="minorHAnsi"/>
        </w:rPr>
        <w:t>in clarifying risk and exposure understandings;</w:t>
      </w:r>
    </w:p>
    <w:p w14:paraId="414A8EBC" w14:textId="12E05C2F" w:rsidR="00432728" w:rsidRDefault="00432728" w:rsidP="00136CC5">
      <w:pPr>
        <w:pStyle w:val="subparaa"/>
        <w:spacing w:line="290" w:lineRule="atLeast"/>
        <w:rPr>
          <w:rFonts w:eastAsiaTheme="minorHAnsi"/>
        </w:rPr>
      </w:pPr>
      <w:r>
        <w:rPr>
          <w:rFonts w:eastAsiaTheme="minorHAnsi"/>
        </w:rPr>
        <w:t xml:space="preserve">the addition of non-reporting counterparty categorisation elements </w:t>
      </w:r>
      <w:r w:rsidR="007065EF">
        <w:rPr>
          <w:rFonts w:eastAsiaTheme="minorHAnsi"/>
        </w:rPr>
        <w:t xml:space="preserve">and intragroup indicators </w:t>
      </w:r>
      <w:r>
        <w:rPr>
          <w:rFonts w:eastAsiaTheme="minorHAnsi"/>
        </w:rPr>
        <w:t>to elaborate on geographic</w:t>
      </w:r>
      <w:r w:rsidR="007065EF">
        <w:rPr>
          <w:rFonts w:eastAsiaTheme="minorHAnsi"/>
        </w:rPr>
        <w:t xml:space="preserve">, </w:t>
      </w:r>
      <w:r>
        <w:rPr>
          <w:rFonts w:eastAsiaTheme="minorHAnsi"/>
        </w:rPr>
        <w:t xml:space="preserve">inter-sectoral </w:t>
      </w:r>
      <w:r w:rsidR="007065EF">
        <w:rPr>
          <w:rFonts w:eastAsiaTheme="minorHAnsi"/>
        </w:rPr>
        <w:t xml:space="preserve">and intragroup </w:t>
      </w:r>
      <w:r>
        <w:rPr>
          <w:rFonts w:eastAsiaTheme="minorHAnsi"/>
        </w:rPr>
        <w:t>risks and exposures.</w:t>
      </w:r>
    </w:p>
    <w:p w14:paraId="6B5F10B3" w14:textId="7B52FB7B" w:rsidR="00A03D04" w:rsidRDefault="00A03D04" w:rsidP="00A03D04">
      <w:pPr>
        <w:pStyle w:val="Heading3"/>
        <w:rPr>
          <w:rFonts w:eastAsiaTheme="minorHAnsi"/>
        </w:rPr>
      </w:pPr>
      <w:r>
        <w:rPr>
          <w:rFonts w:eastAsiaTheme="minorHAnsi"/>
        </w:rPr>
        <w:t>Current exclusion of UPI-embedded information</w:t>
      </w:r>
    </w:p>
    <w:p w14:paraId="517509F3" w14:textId="60375187" w:rsidR="00113042" w:rsidRDefault="00A03D04" w:rsidP="00136CC5">
      <w:pPr>
        <w:pStyle w:val="BodyText"/>
        <w:spacing w:line="290" w:lineRule="atLeast"/>
      </w:pPr>
      <w:r w:rsidRPr="00113042">
        <w:rPr>
          <w:rFonts w:eastAsiaTheme="minorHAnsi"/>
        </w:rPr>
        <w:t xml:space="preserve">As we discuss at </w:t>
      </w:r>
      <w:r w:rsidR="00990C8D">
        <w:rPr>
          <w:rFonts w:eastAsiaTheme="minorHAnsi"/>
        </w:rPr>
        <w:t xml:space="preserve">paragraphs </w:t>
      </w:r>
      <w:r w:rsidRPr="00113042">
        <w:rPr>
          <w:rFonts w:eastAsiaTheme="minorHAnsi"/>
        </w:rPr>
        <w:fldChar w:fldCharType="begin"/>
      </w:r>
      <w:r w:rsidRPr="00113042">
        <w:rPr>
          <w:rFonts w:eastAsiaTheme="minorHAnsi"/>
        </w:rPr>
        <w:instrText xml:space="preserve"> REF _ASICRef709 \w \h </w:instrText>
      </w:r>
      <w:r w:rsidRPr="00113042">
        <w:rPr>
          <w:rFonts w:eastAsiaTheme="minorHAnsi"/>
        </w:rPr>
      </w:r>
      <w:r w:rsidRPr="00113042">
        <w:rPr>
          <w:rFonts w:eastAsiaTheme="minorHAnsi"/>
        </w:rPr>
        <w:fldChar w:fldCharType="separate"/>
      </w:r>
      <w:r w:rsidR="00314C7E">
        <w:rPr>
          <w:rFonts w:eastAsiaTheme="minorHAnsi"/>
        </w:rPr>
        <w:t>166</w:t>
      </w:r>
      <w:r w:rsidRPr="00113042">
        <w:rPr>
          <w:rFonts w:eastAsiaTheme="minorHAnsi"/>
        </w:rPr>
        <w:fldChar w:fldCharType="end"/>
      </w:r>
      <w:r w:rsidRPr="00113042">
        <w:rPr>
          <w:rFonts w:eastAsiaTheme="minorHAnsi"/>
        </w:rPr>
        <w:t>–</w:t>
      </w:r>
      <w:r w:rsidR="00990C8D">
        <w:rPr>
          <w:rFonts w:eastAsiaTheme="minorHAnsi"/>
        </w:rPr>
        <w:fldChar w:fldCharType="begin"/>
      </w:r>
      <w:r w:rsidR="00990C8D">
        <w:rPr>
          <w:rFonts w:eastAsiaTheme="minorHAnsi"/>
        </w:rPr>
        <w:instrText xml:space="preserve"> REF _ASICRef468 \w \h </w:instrText>
      </w:r>
      <w:r w:rsidR="00990C8D">
        <w:rPr>
          <w:rFonts w:eastAsiaTheme="minorHAnsi"/>
        </w:rPr>
      </w:r>
      <w:r w:rsidR="00990C8D">
        <w:rPr>
          <w:rFonts w:eastAsiaTheme="minorHAnsi"/>
        </w:rPr>
        <w:fldChar w:fldCharType="separate"/>
      </w:r>
      <w:r w:rsidR="00314C7E">
        <w:rPr>
          <w:rFonts w:eastAsiaTheme="minorHAnsi"/>
        </w:rPr>
        <w:t>169</w:t>
      </w:r>
      <w:r w:rsidR="00990C8D">
        <w:rPr>
          <w:rFonts w:eastAsiaTheme="minorHAnsi"/>
        </w:rPr>
        <w:fldChar w:fldCharType="end"/>
      </w:r>
      <w:r w:rsidRPr="00113042">
        <w:rPr>
          <w:rFonts w:eastAsiaTheme="minorHAnsi"/>
        </w:rPr>
        <w:t xml:space="preserve">, </w:t>
      </w:r>
      <w:r w:rsidR="00113042" w:rsidRPr="00113042">
        <w:rPr>
          <w:rFonts w:eastAsiaTheme="minorHAnsi"/>
        </w:rPr>
        <w:t xml:space="preserve">the UPI system is currently underdeveloped and there is </w:t>
      </w:r>
      <w:r w:rsidR="00113042">
        <w:t>uncertainty about the timing and scope of its full operationalisation. We currently propose to make final ASIC Rules in Q3</w:t>
      </w:r>
      <w:r w:rsidR="00990C8D">
        <w:t>–</w:t>
      </w:r>
      <w:r w:rsidR="00113042">
        <w:t xml:space="preserve">Q4 of 2021 </w:t>
      </w:r>
      <w:r w:rsidR="004C2556">
        <w:t>to come into force in Q3</w:t>
      </w:r>
      <w:r w:rsidR="00990C8D">
        <w:t>–</w:t>
      </w:r>
      <w:r w:rsidR="004C2556">
        <w:t xml:space="preserve">Q4 of 2022 </w:t>
      </w:r>
      <w:r w:rsidR="00113042">
        <w:t>and we anticipate that the operationalisation of the UPI system will be significantly advanced by that time.</w:t>
      </w:r>
    </w:p>
    <w:p w14:paraId="5803A1ED" w14:textId="3D85E8F0" w:rsidR="001A1160" w:rsidRDefault="001A1160" w:rsidP="00136CC5">
      <w:pPr>
        <w:pStyle w:val="BodyText"/>
        <w:spacing w:line="290" w:lineRule="atLeast"/>
      </w:pPr>
      <w:r>
        <w:t xml:space="preserve">Our approach in this first round of consultation is to specify a data element set that assumes that the UPI system will be sufficiently operational by that time and not require additional </w:t>
      </w:r>
      <w:r w:rsidR="002F5E28">
        <w:t xml:space="preserve">data </w:t>
      </w:r>
      <w:r>
        <w:t>elements for information that is otherwise embedded within the UPI.</w:t>
      </w:r>
    </w:p>
    <w:p w14:paraId="5EC91EE1" w14:textId="43237656" w:rsidR="00113042" w:rsidRDefault="00113042" w:rsidP="00136CC5">
      <w:pPr>
        <w:pStyle w:val="BodyText"/>
        <w:spacing w:line="290" w:lineRule="atLeast"/>
      </w:pPr>
      <w:r>
        <w:t xml:space="preserve">However, in the event that the UPI system is not sufficiently operational by that time, we are </w:t>
      </w:r>
      <w:r w:rsidR="00CE7204">
        <w:t xml:space="preserve">planning </w:t>
      </w:r>
      <w:r>
        <w:t xml:space="preserve">to adopt a conservative approach of ensuring that the additional </w:t>
      </w:r>
      <w:r w:rsidR="002F5E28">
        <w:t xml:space="preserve">data </w:t>
      </w:r>
      <w:r w:rsidR="001156A2">
        <w:t>element</w:t>
      </w:r>
      <w:r>
        <w:t>s are specified in the ASIC Rules and re-evaluate their removal when they can be substituted by UPI-embedded information.</w:t>
      </w:r>
    </w:p>
    <w:p w14:paraId="6562DE27" w14:textId="03ACF19E" w:rsidR="001156A2" w:rsidRDefault="000127C8" w:rsidP="001156A2">
      <w:pPr>
        <w:pStyle w:val="Heading3"/>
        <w:rPr>
          <w:rFonts w:eastAsiaTheme="minorHAnsi"/>
        </w:rPr>
      </w:pPr>
      <w:r>
        <w:rPr>
          <w:rFonts w:eastAsiaTheme="minorHAnsi"/>
        </w:rPr>
        <w:lastRenderedPageBreak/>
        <w:t>Definitions, s</w:t>
      </w:r>
      <w:r w:rsidR="001156A2">
        <w:rPr>
          <w:rFonts w:eastAsiaTheme="minorHAnsi"/>
        </w:rPr>
        <w:t>tandards, formats and allowable values for data elements</w:t>
      </w:r>
    </w:p>
    <w:p w14:paraId="435D7F50" w14:textId="1468325F" w:rsidR="00113042" w:rsidRDefault="001156A2" w:rsidP="00A03D04">
      <w:pPr>
        <w:pStyle w:val="BodyText"/>
        <w:rPr>
          <w:rFonts w:eastAsiaTheme="minorHAnsi"/>
        </w:rPr>
      </w:pPr>
      <w:r>
        <w:rPr>
          <w:rFonts w:eastAsiaTheme="minorHAnsi"/>
        </w:rPr>
        <w:t xml:space="preserve">In this first consultation, we have focused on setting out our proposals for </w:t>
      </w:r>
      <w:r w:rsidR="00320621">
        <w:rPr>
          <w:rFonts w:eastAsiaTheme="minorHAnsi"/>
        </w:rPr>
        <w:t xml:space="preserve">the Australian regulators’ </w:t>
      </w:r>
      <w:r>
        <w:rPr>
          <w:rFonts w:eastAsiaTheme="minorHAnsi"/>
        </w:rPr>
        <w:t>preferred data elements</w:t>
      </w:r>
      <w:r w:rsidR="000127C8">
        <w:rPr>
          <w:rFonts w:eastAsiaTheme="minorHAnsi"/>
        </w:rPr>
        <w:t>.</w:t>
      </w:r>
    </w:p>
    <w:p w14:paraId="27864435" w14:textId="05083AA8" w:rsidR="005A4EE3" w:rsidRDefault="001156A2" w:rsidP="00113042">
      <w:pPr>
        <w:pStyle w:val="BodyText"/>
      </w:pPr>
      <w:r>
        <w:t xml:space="preserve">For each data element, the </w:t>
      </w:r>
      <w:r w:rsidR="00970EE1">
        <w:t xml:space="preserve">CDE </w:t>
      </w:r>
      <w:r w:rsidR="0022679B">
        <w:t>Guidance</w:t>
      </w:r>
      <w:r>
        <w:t xml:space="preserve"> also sets out </w:t>
      </w:r>
      <w:r w:rsidR="000127C8">
        <w:t xml:space="preserve">a definition, </w:t>
      </w:r>
      <w:r>
        <w:t>an existing industry standard (if applicable), a format and the allowable values for the data element</w:t>
      </w:r>
      <w:r w:rsidR="005A4EE3">
        <w:t>.</w:t>
      </w:r>
    </w:p>
    <w:p w14:paraId="3C10EAEB" w14:textId="11083838" w:rsidR="000127C8" w:rsidRDefault="000127C8" w:rsidP="00113042">
      <w:pPr>
        <w:pStyle w:val="BodyText"/>
      </w:pPr>
      <w:r>
        <w:t xml:space="preserve">For data elements drawn from </w:t>
      </w:r>
      <w:r w:rsidR="00501C01">
        <w:t>the final CFTC rules or the ESMA proposals that are not CDEs, those sources also set out definitions, formats and allowable values</w:t>
      </w:r>
      <w:r w:rsidR="000A08C2">
        <w:t>.</w:t>
      </w:r>
    </w:p>
    <w:p w14:paraId="4D3F0323" w14:textId="08B4D9FB" w:rsidR="005A4EE3" w:rsidRDefault="005A4EE3" w:rsidP="00113042">
      <w:pPr>
        <w:pStyle w:val="BodyText"/>
      </w:pPr>
      <w:r>
        <w:t xml:space="preserve">We currently intend to propose that the ASIC Rules will likewise specify </w:t>
      </w:r>
      <w:r w:rsidR="007637F5">
        <w:t xml:space="preserve">the data elements and their definitions in the ASIC Rules and the </w:t>
      </w:r>
      <w:r>
        <w:t>standards, formats and allowable values in a technical specification</w:t>
      </w:r>
      <w:r w:rsidR="007637F5">
        <w:t>.</w:t>
      </w:r>
      <w:r>
        <w:t xml:space="preserve"> We currently intend to make proposals </w:t>
      </w:r>
      <w:r w:rsidR="007637F5">
        <w:t xml:space="preserve">of these </w:t>
      </w:r>
      <w:r w:rsidR="004C2556">
        <w:t xml:space="preserve">specific </w:t>
      </w:r>
      <w:r w:rsidR="007637F5">
        <w:t xml:space="preserve">details </w:t>
      </w:r>
      <w:r>
        <w:t>in the second round of consultation.</w:t>
      </w:r>
    </w:p>
    <w:p w14:paraId="70E45FED" w14:textId="71FA9223" w:rsidR="00113042" w:rsidRDefault="005A4EE3" w:rsidP="00113042">
      <w:pPr>
        <w:pStyle w:val="BodyText"/>
      </w:pPr>
      <w:r>
        <w:t xml:space="preserve">In general, we propose to adopt the </w:t>
      </w:r>
      <w:r w:rsidR="007637F5">
        <w:t xml:space="preserve">definitions, </w:t>
      </w:r>
      <w:r>
        <w:t xml:space="preserve">standards, formats and allowable values for each data element as set out in </w:t>
      </w:r>
      <w:r w:rsidR="007637F5">
        <w:t xml:space="preserve">the </w:t>
      </w:r>
      <w:r>
        <w:t>CDE</w:t>
      </w:r>
      <w:r w:rsidR="00970EE1">
        <w:t xml:space="preserve"> </w:t>
      </w:r>
      <w:r w:rsidR="0022679B">
        <w:t>Guidance</w:t>
      </w:r>
      <w:r w:rsidR="007637F5">
        <w:t xml:space="preserve">, the final CFTC rules </w:t>
      </w:r>
      <w:r w:rsidR="00085E54">
        <w:t>or</w:t>
      </w:r>
      <w:r w:rsidR="004C2556">
        <w:t xml:space="preserve"> the EU rules</w:t>
      </w:r>
      <w:r w:rsidR="00085E54">
        <w:t xml:space="preserve"> from which the data element is drawn</w:t>
      </w:r>
      <w:r w:rsidR="004C2556">
        <w:t xml:space="preserve">. </w:t>
      </w:r>
      <w:r w:rsidR="00B25E3F">
        <w:t xml:space="preserve">For </w:t>
      </w:r>
      <w:r w:rsidR="004C2556">
        <w:t xml:space="preserve">the few </w:t>
      </w:r>
      <w:r w:rsidR="00B25E3F">
        <w:t>d</w:t>
      </w:r>
      <w:r>
        <w:t>ata element</w:t>
      </w:r>
      <w:r w:rsidR="00B25E3F">
        <w:t>s</w:t>
      </w:r>
      <w:r w:rsidR="004C2556">
        <w:t xml:space="preserve"> that are unique to the ASIC Rules or require a definition that varies from the definition</w:t>
      </w:r>
      <w:r w:rsidR="00085E54">
        <w:t xml:space="preserve"> in the CDE Guidance, the final CFTC rules or the EU rules</w:t>
      </w:r>
      <w:r w:rsidR="004C2556">
        <w:t>, we intend to propose the comparable set of definitions, standards, formats and allowable values.</w:t>
      </w:r>
    </w:p>
    <w:p w14:paraId="55CF4871" w14:textId="48E6C1D2" w:rsidR="00586A34" w:rsidRDefault="00586A34" w:rsidP="00586A34">
      <w:pPr>
        <w:pStyle w:val="Heading3"/>
        <w:rPr>
          <w:rFonts w:eastAsiaTheme="minorHAnsi"/>
        </w:rPr>
      </w:pPr>
      <w:r>
        <w:rPr>
          <w:rFonts w:eastAsiaTheme="minorHAnsi"/>
        </w:rPr>
        <w:t>Treatment of existing transactions and other transitional issues</w:t>
      </w:r>
    </w:p>
    <w:p w14:paraId="7222541D" w14:textId="77777777" w:rsidR="006C38B0" w:rsidRDefault="00586A34" w:rsidP="00586A34">
      <w:pPr>
        <w:pStyle w:val="BodyText"/>
        <w:rPr>
          <w:rFonts w:eastAsiaTheme="minorHAnsi"/>
        </w:rPr>
      </w:pPr>
      <w:r>
        <w:rPr>
          <w:rFonts w:eastAsiaTheme="minorHAnsi"/>
        </w:rPr>
        <w:t xml:space="preserve">In the event that the ASIC Rules dataset </w:t>
      </w:r>
      <w:r w:rsidR="008573F6">
        <w:rPr>
          <w:rFonts w:eastAsiaTheme="minorHAnsi"/>
        </w:rPr>
        <w:t xml:space="preserve">is amended in the manner set out in this section, </w:t>
      </w:r>
      <w:r w:rsidR="006C38B0">
        <w:rPr>
          <w:rFonts w:eastAsiaTheme="minorHAnsi"/>
        </w:rPr>
        <w:t>we currently anticipate that the reporting requirements will apply to new transactions entered into from a particular date.</w:t>
      </w:r>
    </w:p>
    <w:p w14:paraId="6A06B219" w14:textId="3FF6CBA1" w:rsidR="007E76CB" w:rsidRDefault="00FC02BF" w:rsidP="00586A34">
      <w:pPr>
        <w:pStyle w:val="BodyText"/>
        <w:rPr>
          <w:rFonts w:eastAsiaTheme="minorHAnsi"/>
        </w:rPr>
      </w:pPr>
      <w:r>
        <w:rPr>
          <w:rFonts w:eastAsiaTheme="minorHAnsi"/>
        </w:rPr>
        <w:t xml:space="preserve">We currently intend to consider </w:t>
      </w:r>
      <w:r w:rsidR="000A08C2">
        <w:rPr>
          <w:rFonts w:eastAsiaTheme="minorHAnsi"/>
        </w:rPr>
        <w:t>making</w:t>
      </w:r>
      <w:r>
        <w:rPr>
          <w:rFonts w:eastAsiaTheme="minorHAnsi"/>
        </w:rPr>
        <w:t xml:space="preserve"> proposals </w:t>
      </w:r>
      <w:r w:rsidR="007E76CB">
        <w:rPr>
          <w:rFonts w:eastAsiaTheme="minorHAnsi"/>
        </w:rPr>
        <w:t xml:space="preserve">in the </w:t>
      </w:r>
      <w:r>
        <w:rPr>
          <w:rFonts w:eastAsiaTheme="minorHAnsi"/>
        </w:rPr>
        <w:t>second round of consultation</w:t>
      </w:r>
      <w:r w:rsidR="007E76CB">
        <w:rPr>
          <w:rFonts w:eastAsiaTheme="minorHAnsi"/>
        </w:rPr>
        <w:t xml:space="preserve"> that address matters such as:</w:t>
      </w:r>
    </w:p>
    <w:p w14:paraId="1748A3B5" w14:textId="6ED7C29B" w:rsidR="007E76CB" w:rsidRDefault="007E76CB" w:rsidP="007E76CB">
      <w:pPr>
        <w:pStyle w:val="subparaa"/>
        <w:rPr>
          <w:rFonts w:eastAsiaTheme="minorHAnsi"/>
        </w:rPr>
      </w:pPr>
      <w:r>
        <w:rPr>
          <w:rFonts w:eastAsiaTheme="minorHAnsi"/>
        </w:rPr>
        <w:t xml:space="preserve">enabling </w:t>
      </w:r>
      <w:r w:rsidR="00CC3CFB">
        <w:rPr>
          <w:rFonts w:eastAsiaTheme="minorHAnsi"/>
        </w:rPr>
        <w:t xml:space="preserve">reporting entities </w:t>
      </w:r>
      <w:r w:rsidR="00FC02BF">
        <w:rPr>
          <w:rFonts w:eastAsiaTheme="minorHAnsi"/>
        </w:rPr>
        <w:t xml:space="preserve">to commence reporting from an earlier date </w:t>
      </w:r>
      <w:r>
        <w:rPr>
          <w:rFonts w:eastAsiaTheme="minorHAnsi"/>
        </w:rPr>
        <w:t>than the date from which the amended ASIC Rules apply; and</w:t>
      </w:r>
    </w:p>
    <w:p w14:paraId="0F93C007" w14:textId="6713DC82" w:rsidR="00C62732" w:rsidRDefault="007E76CB" w:rsidP="007E76CB">
      <w:pPr>
        <w:pStyle w:val="subparaa"/>
        <w:rPr>
          <w:rFonts w:eastAsiaTheme="minorHAnsi"/>
        </w:rPr>
      </w:pPr>
      <w:r>
        <w:rPr>
          <w:rFonts w:eastAsiaTheme="minorHAnsi"/>
        </w:rPr>
        <w:t>the treatment of transactions that were reported under the current ASIC Rules</w:t>
      </w:r>
      <w:r w:rsidR="00910ED4" w:rsidRPr="009A3F41">
        <w:rPr>
          <w:rFonts w:eastAsiaTheme="minorHAnsi"/>
        </w:rPr>
        <w:t>—</w:t>
      </w:r>
      <w:r>
        <w:rPr>
          <w:rFonts w:eastAsiaTheme="minorHAnsi"/>
        </w:rPr>
        <w:t>for example</w:t>
      </w:r>
      <w:r w:rsidR="00910ED4">
        <w:rPr>
          <w:rFonts w:eastAsiaTheme="minorHAnsi"/>
        </w:rPr>
        <w:t>,</w:t>
      </w:r>
      <w:r>
        <w:rPr>
          <w:rFonts w:eastAsiaTheme="minorHAnsi"/>
        </w:rPr>
        <w:t xml:space="preserve"> th</w:t>
      </w:r>
      <w:r w:rsidR="00C62732">
        <w:rPr>
          <w:rFonts w:eastAsiaTheme="minorHAnsi"/>
        </w:rPr>
        <w:t>at such transactions:</w:t>
      </w:r>
    </w:p>
    <w:p w14:paraId="525DDE84" w14:textId="77777777" w:rsidR="00C62732" w:rsidRDefault="00C62732" w:rsidP="00C62732">
      <w:pPr>
        <w:pStyle w:val="subsubparai"/>
        <w:rPr>
          <w:rFonts w:eastAsiaTheme="minorHAnsi"/>
        </w:rPr>
      </w:pPr>
      <w:r>
        <w:rPr>
          <w:rFonts w:eastAsiaTheme="minorHAnsi"/>
        </w:rPr>
        <w:t>need not be reported again under the amended ASIC Rules;</w:t>
      </w:r>
    </w:p>
    <w:p w14:paraId="3F615AFA" w14:textId="77777777" w:rsidR="00C62732" w:rsidRDefault="00C62732" w:rsidP="00C62732">
      <w:pPr>
        <w:pStyle w:val="subsubparai"/>
        <w:rPr>
          <w:rFonts w:eastAsiaTheme="minorHAnsi"/>
        </w:rPr>
      </w:pPr>
      <w:r>
        <w:rPr>
          <w:rFonts w:eastAsiaTheme="minorHAnsi"/>
        </w:rPr>
        <w:t>need to be reported again but only in certain circumstances; and/or</w:t>
      </w:r>
    </w:p>
    <w:p w14:paraId="0C1AE91A" w14:textId="547ED3A3" w:rsidR="00586A34" w:rsidRDefault="00C62732" w:rsidP="00C62732">
      <w:pPr>
        <w:pStyle w:val="subsubparai"/>
        <w:rPr>
          <w:rFonts w:eastAsiaTheme="minorHAnsi"/>
        </w:rPr>
      </w:pPr>
      <w:r>
        <w:rPr>
          <w:rFonts w:eastAsiaTheme="minorHAnsi"/>
        </w:rPr>
        <w:t xml:space="preserve">need to be reported again </w:t>
      </w:r>
      <w:r w:rsidR="00910ED4">
        <w:rPr>
          <w:rFonts w:eastAsiaTheme="minorHAnsi"/>
        </w:rPr>
        <w:t xml:space="preserve">in </w:t>
      </w:r>
      <w:r>
        <w:rPr>
          <w:rFonts w:eastAsiaTheme="minorHAnsi"/>
        </w:rPr>
        <w:t>all circumstances.</w:t>
      </w:r>
    </w:p>
    <w:p w14:paraId="4D49C3EF" w14:textId="4C1D2009" w:rsidR="002B70A5" w:rsidRDefault="002E6584" w:rsidP="002B70A5">
      <w:pPr>
        <w:pStyle w:val="Heading3"/>
        <w:rPr>
          <w:rFonts w:eastAsiaTheme="minorHAnsi"/>
        </w:rPr>
      </w:pPr>
      <w:r>
        <w:rPr>
          <w:rFonts w:eastAsiaTheme="minorHAnsi"/>
        </w:rPr>
        <w:lastRenderedPageBreak/>
        <w:t>Interpreting the data elements tables</w:t>
      </w:r>
    </w:p>
    <w:p w14:paraId="1828366A" w14:textId="20FF4687" w:rsidR="00D16BBD" w:rsidRDefault="00970EE1" w:rsidP="00136CC5">
      <w:pPr>
        <w:pStyle w:val="BodyText"/>
        <w:spacing w:line="310" w:lineRule="atLeast"/>
        <w:rPr>
          <w:rFonts w:eastAsiaTheme="minorHAnsi"/>
        </w:rPr>
      </w:pPr>
      <w:r>
        <w:rPr>
          <w:rFonts w:eastAsiaTheme="minorHAnsi"/>
        </w:rPr>
        <w:t xml:space="preserve">The information and </w:t>
      </w:r>
      <w:r w:rsidR="002E6584">
        <w:rPr>
          <w:rFonts w:eastAsiaTheme="minorHAnsi"/>
        </w:rPr>
        <w:t xml:space="preserve">data elements </w:t>
      </w:r>
      <w:r>
        <w:rPr>
          <w:rFonts w:eastAsiaTheme="minorHAnsi"/>
        </w:rPr>
        <w:t xml:space="preserve">tables </w:t>
      </w:r>
      <w:r w:rsidR="002E6584">
        <w:rPr>
          <w:rFonts w:eastAsiaTheme="minorHAnsi"/>
        </w:rPr>
        <w:t xml:space="preserve">in paragraphs </w:t>
      </w:r>
      <w:r w:rsidR="002E6584">
        <w:rPr>
          <w:rFonts w:eastAsiaTheme="minorHAnsi"/>
        </w:rPr>
        <w:fldChar w:fldCharType="begin"/>
      </w:r>
      <w:r w:rsidR="002E6584">
        <w:rPr>
          <w:rFonts w:eastAsiaTheme="minorHAnsi"/>
        </w:rPr>
        <w:instrText xml:space="preserve"> REF _ASICRef295 \w \h </w:instrText>
      </w:r>
      <w:r w:rsidR="002E6584">
        <w:rPr>
          <w:rFonts w:eastAsiaTheme="minorHAnsi"/>
        </w:rPr>
      </w:r>
      <w:r w:rsidR="002E6584">
        <w:rPr>
          <w:rFonts w:eastAsiaTheme="minorHAnsi"/>
        </w:rPr>
        <w:fldChar w:fldCharType="separate"/>
      </w:r>
      <w:r w:rsidR="00314C7E">
        <w:rPr>
          <w:rFonts w:eastAsiaTheme="minorHAnsi"/>
        </w:rPr>
        <w:t>193</w:t>
      </w:r>
      <w:r w:rsidR="002E6584">
        <w:rPr>
          <w:rFonts w:eastAsiaTheme="minorHAnsi"/>
        </w:rPr>
        <w:fldChar w:fldCharType="end"/>
      </w:r>
      <w:r w:rsidR="002E6584">
        <w:rPr>
          <w:rFonts w:eastAsiaTheme="minorHAnsi"/>
        </w:rPr>
        <w:t>–</w:t>
      </w:r>
      <w:r w:rsidR="002E6584">
        <w:rPr>
          <w:rFonts w:eastAsiaTheme="minorHAnsi"/>
        </w:rPr>
        <w:fldChar w:fldCharType="begin"/>
      </w:r>
      <w:r w:rsidR="002E6584">
        <w:rPr>
          <w:rFonts w:eastAsiaTheme="minorHAnsi"/>
        </w:rPr>
        <w:instrText xml:space="preserve"> REF _ASICRef382 \w \h </w:instrText>
      </w:r>
      <w:r w:rsidR="002E6584">
        <w:rPr>
          <w:rFonts w:eastAsiaTheme="minorHAnsi"/>
        </w:rPr>
      </w:r>
      <w:r w:rsidR="002E6584">
        <w:rPr>
          <w:rFonts w:eastAsiaTheme="minorHAnsi"/>
        </w:rPr>
        <w:fldChar w:fldCharType="separate"/>
      </w:r>
      <w:r w:rsidR="00314C7E">
        <w:rPr>
          <w:rFonts w:eastAsiaTheme="minorHAnsi"/>
        </w:rPr>
        <w:t>333</w:t>
      </w:r>
      <w:r w:rsidR="002E6584">
        <w:rPr>
          <w:rFonts w:eastAsiaTheme="minorHAnsi"/>
        </w:rPr>
        <w:fldChar w:fldCharType="end"/>
      </w:r>
      <w:r w:rsidR="002E6584">
        <w:rPr>
          <w:rFonts w:eastAsiaTheme="minorHAnsi"/>
        </w:rPr>
        <w:t xml:space="preserve"> </w:t>
      </w:r>
      <w:r>
        <w:rPr>
          <w:rFonts w:eastAsiaTheme="minorHAnsi"/>
        </w:rPr>
        <w:t xml:space="preserve">are organised according to the groupings by types of data elements as set out in the </w:t>
      </w:r>
      <w:r w:rsidR="002B70A5">
        <w:rPr>
          <w:rFonts w:eastAsiaTheme="minorHAnsi"/>
        </w:rPr>
        <w:t>CDE</w:t>
      </w:r>
      <w:r>
        <w:rPr>
          <w:rFonts w:eastAsiaTheme="minorHAnsi"/>
        </w:rPr>
        <w:t xml:space="preserve"> </w:t>
      </w:r>
      <w:r w:rsidR="0022679B">
        <w:rPr>
          <w:rFonts w:eastAsiaTheme="minorHAnsi"/>
        </w:rPr>
        <w:t>Guidance</w:t>
      </w:r>
      <w:r>
        <w:rPr>
          <w:rFonts w:eastAsiaTheme="minorHAnsi"/>
        </w:rPr>
        <w:t>.</w:t>
      </w:r>
    </w:p>
    <w:p w14:paraId="4C0C70A9" w14:textId="5E854573" w:rsidR="00D16BBD" w:rsidRDefault="00D16BBD" w:rsidP="00136CC5">
      <w:pPr>
        <w:pStyle w:val="BodyText"/>
        <w:spacing w:after="200" w:line="310" w:lineRule="atLeast"/>
        <w:rPr>
          <w:rFonts w:eastAsiaTheme="minorHAnsi"/>
        </w:rPr>
      </w:pPr>
      <w:r>
        <w:rPr>
          <w:rFonts w:eastAsiaTheme="minorHAnsi"/>
        </w:rPr>
        <w:t xml:space="preserve">In the </w:t>
      </w:r>
      <w:r w:rsidR="002E6584">
        <w:rPr>
          <w:rFonts w:eastAsiaTheme="minorHAnsi"/>
        </w:rPr>
        <w:t xml:space="preserve">data elements </w:t>
      </w:r>
      <w:r>
        <w:rPr>
          <w:rFonts w:eastAsiaTheme="minorHAnsi"/>
        </w:rPr>
        <w:t>tables, the terms used have the following meanings:</w:t>
      </w:r>
    </w:p>
    <w:tbl>
      <w:tblPr>
        <w:tblW w:w="6804" w:type="dxa"/>
        <w:tblInd w:w="2268" w:type="dxa"/>
        <w:tblBorders>
          <w:top w:val="single" w:sz="4" w:space="0" w:color="999999"/>
          <w:bottom w:val="single" w:sz="4" w:space="0" w:color="999999"/>
          <w:insideH w:val="single" w:sz="4" w:space="0" w:color="999999"/>
        </w:tblBorders>
        <w:tblLayout w:type="fixed"/>
        <w:tblCellMar>
          <w:bottom w:w="113" w:type="dxa"/>
        </w:tblCellMar>
        <w:tblLook w:val="0680" w:firstRow="0" w:lastRow="0" w:firstColumn="1" w:lastColumn="0" w:noHBand="1" w:noVBand="1"/>
      </w:tblPr>
      <w:tblGrid>
        <w:gridCol w:w="1701"/>
        <w:gridCol w:w="5103"/>
      </w:tblGrid>
      <w:tr w:rsidR="00D16BBD" w:rsidRPr="000540E1" w14:paraId="41D3F378" w14:textId="77777777" w:rsidTr="00D16BBD">
        <w:trPr>
          <w:cantSplit/>
        </w:trPr>
        <w:tc>
          <w:tcPr>
            <w:tcW w:w="1701" w:type="dxa"/>
            <w:shd w:val="clear" w:color="auto" w:fill="C2E3FA"/>
          </w:tcPr>
          <w:p w14:paraId="1849AAA2" w14:textId="7189DC9B" w:rsidR="00D16BBD" w:rsidRPr="000540E1" w:rsidRDefault="00D16BBD" w:rsidP="00136CC5">
            <w:pPr>
              <w:pStyle w:val="tablehead"/>
              <w:spacing w:line="260" w:lineRule="atLeast"/>
            </w:pPr>
            <w:r>
              <w:t>Data element</w:t>
            </w:r>
          </w:p>
        </w:tc>
        <w:tc>
          <w:tcPr>
            <w:tcW w:w="5103" w:type="dxa"/>
          </w:tcPr>
          <w:p w14:paraId="5D23CF48" w14:textId="3FC7FB70" w:rsidR="00D16BBD" w:rsidRPr="000540E1" w:rsidRDefault="00D16BBD" w:rsidP="00136CC5">
            <w:pPr>
              <w:pStyle w:val="tbltext"/>
              <w:spacing w:line="260" w:lineRule="atLeast"/>
            </w:pPr>
            <w:r>
              <w:t>The name of the data element</w:t>
            </w:r>
          </w:p>
        </w:tc>
      </w:tr>
      <w:tr w:rsidR="00D16BBD" w:rsidRPr="000540E1" w14:paraId="2CBBB3B5" w14:textId="77777777" w:rsidTr="00D16BBD">
        <w:trPr>
          <w:cantSplit/>
        </w:trPr>
        <w:tc>
          <w:tcPr>
            <w:tcW w:w="1701" w:type="dxa"/>
            <w:shd w:val="clear" w:color="auto" w:fill="C2E3FA"/>
          </w:tcPr>
          <w:p w14:paraId="7B301529" w14:textId="1CB40C2B" w:rsidR="00D16BBD" w:rsidRPr="000540E1" w:rsidRDefault="00D16BBD" w:rsidP="00136CC5">
            <w:pPr>
              <w:pStyle w:val="tablehead"/>
              <w:spacing w:line="260" w:lineRule="atLeast"/>
            </w:pPr>
            <w:r>
              <w:t>Definition</w:t>
            </w:r>
            <w:r w:rsidR="00927759">
              <w:rPr>
                <w:rFonts w:ascii="Calibri" w:hAnsi="Calibri"/>
              </w:rPr>
              <w:t>—</w:t>
            </w:r>
            <w:r w:rsidR="00927759">
              <w:t>S</w:t>
            </w:r>
            <w:r>
              <w:t>ummary of key points</w:t>
            </w:r>
          </w:p>
        </w:tc>
        <w:tc>
          <w:tcPr>
            <w:tcW w:w="5103" w:type="dxa"/>
          </w:tcPr>
          <w:p w14:paraId="5F2B8338" w14:textId="764562B3" w:rsidR="00D16BBD" w:rsidRDefault="00D16BBD" w:rsidP="00136CC5">
            <w:pPr>
              <w:pStyle w:val="tbltext"/>
              <w:spacing w:line="260" w:lineRule="atLeast"/>
            </w:pPr>
            <w:r>
              <w:t xml:space="preserve">{…} indicates the </w:t>
            </w:r>
            <w:r w:rsidR="009B70AF">
              <w:t>s</w:t>
            </w:r>
            <w:r>
              <w:t>ource of the definition as {CDE TG</w:t>
            </w:r>
            <w:r w:rsidR="0022679B">
              <w:t xml:space="preserve"> i.e. CDE Guidance</w:t>
            </w:r>
            <w:r>
              <w:t>}, {CFTC}, {</w:t>
            </w:r>
            <w:r w:rsidR="005C1566">
              <w:t>ESMA</w:t>
            </w:r>
            <w:r>
              <w:t>} or {ASIC}</w:t>
            </w:r>
          </w:p>
          <w:p w14:paraId="102381E2" w14:textId="42438944" w:rsidR="00D16BBD" w:rsidRDefault="00D16BBD" w:rsidP="00136CC5">
            <w:pPr>
              <w:pStyle w:val="tbltext"/>
              <w:spacing w:line="260" w:lineRule="atLeast"/>
            </w:pPr>
            <w:r>
              <w:t>The text of the definition is often summarised to key points</w:t>
            </w:r>
            <w:r w:rsidR="006529CA" w:rsidRPr="00E96086">
              <w:t>—</w:t>
            </w:r>
            <w:r>
              <w:t>the full text definition is found in its source regulation or technical specification</w:t>
            </w:r>
          </w:p>
          <w:p w14:paraId="7EA8CC8A" w14:textId="117E0060" w:rsidR="00C91C86" w:rsidRPr="000540E1" w:rsidRDefault="00C91C86" w:rsidP="00E96086">
            <w:pPr>
              <w:pStyle w:val="tblnote"/>
            </w:pPr>
            <w:r>
              <w:t>Note: We are not formally proposing specific definitions in this first round of consultation</w:t>
            </w:r>
          </w:p>
        </w:tc>
      </w:tr>
      <w:tr w:rsidR="00D16BBD" w:rsidRPr="000540E1" w14:paraId="430D2BEF" w14:textId="77777777" w:rsidTr="00D16BBD">
        <w:trPr>
          <w:cantSplit/>
        </w:trPr>
        <w:tc>
          <w:tcPr>
            <w:tcW w:w="1701" w:type="dxa"/>
            <w:shd w:val="clear" w:color="auto" w:fill="C2E3FA"/>
          </w:tcPr>
          <w:p w14:paraId="37E9FE0C" w14:textId="4FAA9FAD" w:rsidR="00D16BBD" w:rsidRPr="000540E1" w:rsidRDefault="00D16BBD" w:rsidP="00136CC5">
            <w:pPr>
              <w:pStyle w:val="tablehead"/>
              <w:spacing w:line="260" w:lineRule="atLeast"/>
            </w:pPr>
            <w:r>
              <w:t>Element number references</w:t>
            </w:r>
          </w:p>
        </w:tc>
        <w:tc>
          <w:tcPr>
            <w:tcW w:w="5103" w:type="dxa"/>
          </w:tcPr>
          <w:p w14:paraId="46279BB0" w14:textId="77777777" w:rsidR="00D16BBD" w:rsidRDefault="00BB6084" w:rsidP="00136CC5">
            <w:pPr>
              <w:pStyle w:val="tbltext"/>
              <w:spacing w:line="260" w:lineRule="atLeast"/>
            </w:pPr>
            <w:r>
              <w:t>The cross-referencing to a data element’s ‘source’.</w:t>
            </w:r>
          </w:p>
          <w:p w14:paraId="3AE7E093" w14:textId="13409E60" w:rsidR="00736A2B" w:rsidRDefault="00BB6084" w:rsidP="00136CC5">
            <w:pPr>
              <w:pStyle w:val="tbltext"/>
              <w:spacing w:line="260" w:lineRule="atLeast"/>
            </w:pPr>
            <w:r>
              <w:t>‘CDE</w:t>
            </w:r>
            <w:r w:rsidR="009B70AF">
              <w:t>’</w:t>
            </w:r>
            <w:r>
              <w:t xml:space="preserve"> means the CDE </w:t>
            </w:r>
            <w:r w:rsidR="0022679B">
              <w:t>Guidance</w:t>
            </w:r>
          </w:p>
          <w:p w14:paraId="02F1FBBD" w14:textId="30F89371" w:rsidR="00BB6084" w:rsidRDefault="009B70AF" w:rsidP="00136CC5">
            <w:pPr>
              <w:pStyle w:val="tablebullet"/>
              <w:spacing w:line="260" w:lineRule="atLeast"/>
            </w:pPr>
            <w:r>
              <w:t xml:space="preserve">the number is the number as found in the CDE </w:t>
            </w:r>
            <w:r w:rsidR="0022679B">
              <w:t>Guidance</w:t>
            </w:r>
          </w:p>
          <w:p w14:paraId="02C854D2" w14:textId="77777777" w:rsidR="00736A2B" w:rsidRDefault="00BB6084" w:rsidP="00136CC5">
            <w:pPr>
              <w:pStyle w:val="tbltext"/>
              <w:spacing w:line="260" w:lineRule="atLeast"/>
            </w:pPr>
            <w:r>
              <w:t>‘CFTC’ means the final CFTC rules</w:t>
            </w:r>
          </w:p>
          <w:p w14:paraId="7FA57CE3" w14:textId="656A1600" w:rsidR="00BB6084" w:rsidRDefault="009B70AF" w:rsidP="00136CC5">
            <w:pPr>
              <w:pStyle w:val="tablebullet"/>
              <w:spacing w:line="260" w:lineRule="atLeast"/>
            </w:pPr>
            <w:r>
              <w:t xml:space="preserve">the number is the number as found in </w:t>
            </w:r>
            <w:r w:rsidRPr="009B70AF">
              <w:t>Appendix 1 to Part</w:t>
            </w:r>
            <w:r w:rsidR="009E0FD2">
              <w:t> </w:t>
            </w:r>
            <w:r w:rsidRPr="009B70AF">
              <w:t xml:space="preserve">45—Swap Data Elements </w:t>
            </w:r>
            <w:r>
              <w:t>of the final CFTC rules</w:t>
            </w:r>
          </w:p>
          <w:p w14:paraId="73301F57" w14:textId="77777777" w:rsidR="00736A2B" w:rsidRDefault="009B70AF" w:rsidP="00136CC5">
            <w:pPr>
              <w:pStyle w:val="tbltext"/>
              <w:spacing w:line="260" w:lineRule="atLeast"/>
            </w:pPr>
            <w:r>
              <w:t>‘</w:t>
            </w:r>
            <w:r w:rsidR="005C1566">
              <w:t>ESMA</w:t>
            </w:r>
            <w:r w:rsidR="00BB6084">
              <w:t xml:space="preserve">’ means the </w:t>
            </w:r>
            <w:r w:rsidR="000127C8">
              <w:t>ESMA proposals</w:t>
            </w:r>
          </w:p>
          <w:p w14:paraId="148550D8" w14:textId="33F5CB29" w:rsidR="00BB6084" w:rsidRDefault="009B70AF" w:rsidP="00136CC5">
            <w:pPr>
              <w:pStyle w:val="tablebullet"/>
              <w:spacing w:line="260" w:lineRule="atLeast"/>
            </w:pPr>
            <w:r>
              <w:t>the number means</w:t>
            </w:r>
            <w:r w:rsidR="00736A2B">
              <w:t xml:space="preserve"> a combination of the table number and the table row number as found in Annex IV of the ESMA proposals</w:t>
            </w:r>
            <w:r w:rsidR="00DC2E7E" w:rsidRPr="009A3F41">
              <w:t>—</w:t>
            </w:r>
            <w:r w:rsidR="00736A2B">
              <w:t>e.g. 1.4 means row 4 in Table 1</w:t>
            </w:r>
          </w:p>
          <w:p w14:paraId="0C4EB623" w14:textId="77DE9C4E" w:rsidR="00BB6084" w:rsidRDefault="00BB6084" w:rsidP="00136CC5">
            <w:pPr>
              <w:pStyle w:val="tbltext"/>
              <w:spacing w:line="260" w:lineRule="atLeast"/>
            </w:pPr>
            <w:r>
              <w:t xml:space="preserve">‘ASIC’ means the </w:t>
            </w:r>
            <w:r w:rsidRPr="00E96086">
              <w:rPr>
                <w:i/>
                <w:iCs/>
              </w:rPr>
              <w:t>current</w:t>
            </w:r>
            <w:r w:rsidRPr="00827F6A">
              <w:t xml:space="preserve"> ASIC Rules</w:t>
            </w:r>
          </w:p>
          <w:p w14:paraId="321F5C8A" w14:textId="31DAE7E0" w:rsidR="00736A2B" w:rsidRPr="00736A2B" w:rsidRDefault="00736A2B" w:rsidP="00136CC5">
            <w:pPr>
              <w:pStyle w:val="tablebullet"/>
              <w:spacing w:line="260" w:lineRule="atLeast"/>
            </w:pPr>
            <w:r>
              <w:t xml:space="preserve">the number means a combination of an abbreviation to the table number and the table item number as found in </w:t>
            </w:r>
            <w:r w:rsidRPr="00736A2B">
              <w:t>Part</w:t>
            </w:r>
            <w:r w:rsidR="009E0FD2">
              <w:t> </w:t>
            </w:r>
            <w:r w:rsidRPr="00736A2B">
              <w:t>S2.1</w:t>
            </w:r>
            <w:r>
              <w:t xml:space="preserve"> of the ASIC Rules</w:t>
            </w:r>
            <w:r w:rsidR="00DC2E7E" w:rsidRPr="009F30AD">
              <w:t>—</w:t>
            </w:r>
            <w:r>
              <w:t xml:space="preserve">e.g. </w:t>
            </w:r>
            <w:r w:rsidR="006A734C">
              <w:t>4.1</w:t>
            </w:r>
            <w:r>
              <w:t xml:space="preserve"> means item </w:t>
            </w:r>
            <w:r w:rsidR="006A734C">
              <w:t>1</w:t>
            </w:r>
            <w:r>
              <w:t xml:space="preserve"> in </w:t>
            </w:r>
            <w:r w:rsidRPr="00736A2B">
              <w:t>Table S2.1(</w:t>
            </w:r>
            <w:r w:rsidR="006A734C">
              <w:t>4</w:t>
            </w:r>
            <w:r w:rsidRPr="00736A2B">
              <w:t>)</w:t>
            </w:r>
            <w:r w:rsidR="006A734C">
              <w:t xml:space="preserve"> where ‘4’ is the abbreviation to </w:t>
            </w:r>
            <w:r w:rsidR="006A734C" w:rsidRPr="00736A2B">
              <w:t>Table S2.1(</w:t>
            </w:r>
            <w:r w:rsidR="006A734C">
              <w:t>4</w:t>
            </w:r>
            <w:r w:rsidR="006A734C" w:rsidRPr="00736A2B">
              <w:t>)</w:t>
            </w:r>
          </w:p>
          <w:p w14:paraId="26C3DD4A" w14:textId="2AB3E680" w:rsidR="00827F6A" w:rsidRPr="00827F6A" w:rsidRDefault="00827F6A" w:rsidP="00136CC5">
            <w:pPr>
              <w:pStyle w:val="tbltext"/>
              <w:spacing w:line="260" w:lineRule="atLeast"/>
            </w:pPr>
            <w:r w:rsidRPr="00827F6A">
              <w:t>In most cases, the cross-referencing is precise but</w:t>
            </w:r>
            <w:r>
              <w:t>,</w:t>
            </w:r>
            <w:r w:rsidR="00E557A8">
              <w:t xml:space="preserve"> </w:t>
            </w:r>
            <w:r w:rsidRPr="00827F6A">
              <w:t>in some cases</w:t>
            </w:r>
            <w:r>
              <w:t>, it is to a ‘like’</w:t>
            </w:r>
            <w:r w:rsidR="00E557A8">
              <w:t xml:space="preserve"> </w:t>
            </w:r>
            <w:r>
              <w:t>data element</w:t>
            </w:r>
          </w:p>
        </w:tc>
      </w:tr>
    </w:tbl>
    <w:p w14:paraId="3D77B19F" w14:textId="11C8181A" w:rsidR="00646098" w:rsidRDefault="00646098" w:rsidP="00B91402">
      <w:pPr>
        <w:pStyle w:val="Heading2"/>
        <w:rPr>
          <w:rFonts w:eastAsiaTheme="minorHAnsi"/>
        </w:rPr>
      </w:pPr>
      <w:bookmarkStart w:id="87" w:name="_Toc57146490"/>
      <w:r>
        <w:rPr>
          <w:rFonts w:eastAsiaTheme="minorHAnsi"/>
        </w:rPr>
        <w:t>Data elements related to dates and timestamps</w:t>
      </w:r>
      <w:bookmarkEnd w:id="87"/>
    </w:p>
    <w:p w14:paraId="445161B4" w14:textId="37E63445" w:rsidR="00646098" w:rsidRPr="00646098" w:rsidRDefault="00827F6A" w:rsidP="00646098">
      <w:pPr>
        <w:pStyle w:val="BodyText"/>
        <w:rPr>
          <w:rFonts w:eastAsiaTheme="minorHAnsi"/>
        </w:rPr>
      </w:pPr>
      <w:bookmarkStart w:id="88" w:name="_ASICRef295"/>
      <w:r>
        <w:rPr>
          <w:rFonts w:eastAsiaTheme="minorHAnsi"/>
        </w:rPr>
        <w:t>We propose to include the following data elements in the ASIC Rules. Except for ‘</w:t>
      </w:r>
      <w:r w:rsidR="00507621">
        <w:rPr>
          <w:rFonts w:eastAsiaTheme="minorHAnsi"/>
        </w:rPr>
        <w:t xml:space="preserve">event </w:t>
      </w:r>
      <w:r>
        <w:rPr>
          <w:rFonts w:eastAsiaTheme="minorHAnsi"/>
        </w:rPr>
        <w:t>timestamp’, all of these data elements are in the current ASIC Rules.</w:t>
      </w:r>
      <w:bookmarkEnd w:id="88"/>
    </w:p>
    <w:p w14:paraId="34C1C027" w14:textId="22D81E1C" w:rsidR="00646098" w:rsidRDefault="00646098" w:rsidP="00646098">
      <w:pPr>
        <w:pStyle w:val="tabletitlefullwidth"/>
      </w:pPr>
      <w:bookmarkStart w:id="89" w:name="_Ref55372566"/>
      <w:r>
        <w:lastRenderedPageBreak/>
        <w:t xml:space="preserve">Table </w:t>
      </w:r>
      <w:r w:rsidR="007055A5">
        <w:fldChar w:fldCharType="begin"/>
      </w:r>
      <w:r w:rsidR="007055A5">
        <w:instrText xml:space="preserve"> SEQ Table \* ARABIC </w:instrText>
      </w:r>
      <w:r w:rsidR="007055A5">
        <w:fldChar w:fldCharType="separate"/>
      </w:r>
      <w:r w:rsidR="00314C7E">
        <w:rPr>
          <w:noProof/>
        </w:rPr>
        <w:t>7</w:t>
      </w:r>
      <w:r w:rsidR="007055A5">
        <w:rPr>
          <w:noProof/>
        </w:rPr>
        <w:fldChar w:fldCharType="end"/>
      </w:r>
      <w:bookmarkEnd w:id="89"/>
      <w:r>
        <w:t>:</w:t>
      </w:r>
      <w:r>
        <w:tab/>
      </w:r>
      <w:r w:rsidR="000B4B18">
        <w:t>Proposed data elements related to dates and timestamps</w:t>
      </w:r>
    </w:p>
    <w:tbl>
      <w:tblPr>
        <w:tblW w:w="9071"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4422"/>
        <w:gridCol w:w="737"/>
        <w:gridCol w:w="737"/>
        <w:gridCol w:w="737"/>
        <w:gridCol w:w="737"/>
      </w:tblGrid>
      <w:tr w:rsidR="002C3CFD" w:rsidRPr="000540E1" w14:paraId="7283D691" w14:textId="2CA86807" w:rsidTr="00ED16A9">
        <w:trPr>
          <w:cantSplit/>
          <w:tblHeader/>
        </w:trPr>
        <w:tc>
          <w:tcPr>
            <w:tcW w:w="1701" w:type="dxa"/>
            <w:shd w:val="clear" w:color="auto" w:fill="C2E3FA"/>
          </w:tcPr>
          <w:p w14:paraId="5CBCAE89" w14:textId="46CB6C5D" w:rsidR="002C3CFD" w:rsidRDefault="002C3CFD" w:rsidP="00646098">
            <w:pPr>
              <w:pStyle w:val="tablehead"/>
            </w:pPr>
          </w:p>
        </w:tc>
        <w:tc>
          <w:tcPr>
            <w:tcW w:w="4422" w:type="dxa"/>
            <w:shd w:val="clear" w:color="auto" w:fill="C2E3FA"/>
          </w:tcPr>
          <w:p w14:paraId="4D80AB2A" w14:textId="05091703" w:rsidR="002C3CFD" w:rsidRDefault="002C3CFD" w:rsidP="00646098">
            <w:pPr>
              <w:pStyle w:val="tablehead"/>
            </w:pPr>
          </w:p>
        </w:tc>
        <w:tc>
          <w:tcPr>
            <w:tcW w:w="2948" w:type="dxa"/>
            <w:gridSpan w:val="4"/>
            <w:shd w:val="clear" w:color="auto" w:fill="C2E3FA"/>
          </w:tcPr>
          <w:p w14:paraId="53ABA1CB" w14:textId="1F979CCB" w:rsidR="002C3CFD" w:rsidRPr="000540E1" w:rsidRDefault="001156A2" w:rsidP="002C3CFD">
            <w:pPr>
              <w:pStyle w:val="tablehead"/>
              <w:jc w:val="center"/>
            </w:pPr>
            <w:r>
              <w:t>Element</w:t>
            </w:r>
            <w:r w:rsidR="002C3CFD">
              <w:t xml:space="preserve"> number references</w:t>
            </w:r>
          </w:p>
        </w:tc>
      </w:tr>
      <w:tr w:rsidR="00646098" w:rsidRPr="000540E1" w14:paraId="677A9D93" w14:textId="41759186" w:rsidTr="00ED16A9">
        <w:trPr>
          <w:cantSplit/>
          <w:tblHeader/>
        </w:trPr>
        <w:tc>
          <w:tcPr>
            <w:tcW w:w="1701" w:type="dxa"/>
            <w:shd w:val="clear" w:color="auto" w:fill="C2E3FA"/>
          </w:tcPr>
          <w:p w14:paraId="04665B2C" w14:textId="0AED2FBD" w:rsidR="00646098" w:rsidRDefault="00646098" w:rsidP="00646098">
            <w:pPr>
              <w:pStyle w:val="tablehead"/>
            </w:pPr>
            <w:r>
              <w:t>Data element</w:t>
            </w:r>
          </w:p>
        </w:tc>
        <w:tc>
          <w:tcPr>
            <w:tcW w:w="4422" w:type="dxa"/>
            <w:shd w:val="clear" w:color="auto" w:fill="C2E3FA"/>
          </w:tcPr>
          <w:p w14:paraId="7ED496FF" w14:textId="6F4B7D23" w:rsidR="00646098" w:rsidRDefault="00277807" w:rsidP="00646098">
            <w:pPr>
              <w:pStyle w:val="tablehead"/>
            </w:pPr>
            <w:r>
              <w:t>Definition</w:t>
            </w:r>
            <w:r w:rsidR="00DC2E7E" w:rsidRPr="004E304A">
              <w:t>—</w:t>
            </w:r>
            <w:r w:rsidR="00DC2E7E">
              <w:t>S</w:t>
            </w:r>
            <w:r>
              <w:t>ummary of key points</w:t>
            </w:r>
          </w:p>
        </w:tc>
        <w:tc>
          <w:tcPr>
            <w:tcW w:w="737" w:type="dxa"/>
            <w:shd w:val="clear" w:color="auto" w:fill="C2E3FA"/>
          </w:tcPr>
          <w:p w14:paraId="6746E79B" w14:textId="456A6B82" w:rsidR="00646098" w:rsidRPr="000540E1" w:rsidRDefault="00646098" w:rsidP="002C3CFD">
            <w:pPr>
              <w:pStyle w:val="tablehead"/>
              <w:jc w:val="center"/>
            </w:pPr>
            <w:r>
              <w:t>CD</w:t>
            </w:r>
            <w:r w:rsidR="00D16BBD">
              <w:t>E</w:t>
            </w:r>
          </w:p>
        </w:tc>
        <w:tc>
          <w:tcPr>
            <w:tcW w:w="737" w:type="dxa"/>
            <w:shd w:val="clear" w:color="auto" w:fill="C2E3FA"/>
          </w:tcPr>
          <w:p w14:paraId="008ACA2C" w14:textId="318E20D5" w:rsidR="00646098" w:rsidRPr="000540E1" w:rsidRDefault="00646098" w:rsidP="002C3CFD">
            <w:pPr>
              <w:pStyle w:val="tablehead"/>
              <w:jc w:val="center"/>
            </w:pPr>
            <w:r>
              <w:t>CFTC</w:t>
            </w:r>
          </w:p>
        </w:tc>
        <w:tc>
          <w:tcPr>
            <w:tcW w:w="737" w:type="dxa"/>
            <w:shd w:val="clear" w:color="auto" w:fill="C2E3FA"/>
          </w:tcPr>
          <w:p w14:paraId="208BE8AD" w14:textId="676F19B2" w:rsidR="00646098" w:rsidRDefault="005C1566" w:rsidP="002C3CFD">
            <w:pPr>
              <w:pStyle w:val="tablehead"/>
              <w:jc w:val="center"/>
            </w:pPr>
            <w:r>
              <w:t>ESMA</w:t>
            </w:r>
          </w:p>
        </w:tc>
        <w:tc>
          <w:tcPr>
            <w:tcW w:w="737" w:type="dxa"/>
            <w:shd w:val="clear" w:color="auto" w:fill="C2E3FA"/>
          </w:tcPr>
          <w:p w14:paraId="565CA4A9" w14:textId="34321FA3" w:rsidR="00646098" w:rsidRDefault="00646098" w:rsidP="002C3CFD">
            <w:pPr>
              <w:pStyle w:val="tablehead"/>
              <w:jc w:val="center"/>
            </w:pPr>
            <w:r>
              <w:t>ASIC</w:t>
            </w:r>
          </w:p>
        </w:tc>
      </w:tr>
      <w:tr w:rsidR="00646098" w:rsidRPr="000540E1" w14:paraId="0DF1372B" w14:textId="5C7965EF" w:rsidTr="00ED16A9">
        <w:trPr>
          <w:cantSplit/>
        </w:trPr>
        <w:tc>
          <w:tcPr>
            <w:tcW w:w="1701" w:type="dxa"/>
          </w:tcPr>
          <w:p w14:paraId="0C239AE5" w14:textId="3E0C981C" w:rsidR="00646098" w:rsidRPr="000540E1" w:rsidRDefault="00646098" w:rsidP="00646098">
            <w:pPr>
              <w:pStyle w:val="tbltext"/>
            </w:pPr>
            <w:r>
              <w:t xml:space="preserve">Effective </w:t>
            </w:r>
            <w:r w:rsidR="00DC2E7E">
              <w:t>date</w:t>
            </w:r>
          </w:p>
        </w:tc>
        <w:tc>
          <w:tcPr>
            <w:tcW w:w="4422" w:type="dxa"/>
          </w:tcPr>
          <w:p w14:paraId="67BD0D65" w14:textId="221F889E" w:rsidR="00646098" w:rsidRPr="000540E1" w:rsidRDefault="008F72A3" w:rsidP="00646098">
            <w:pPr>
              <w:pStyle w:val="tbltext"/>
            </w:pPr>
            <w:r>
              <w:t>{</w:t>
            </w:r>
            <w:r w:rsidR="00646098">
              <w:t>CDE TG</w:t>
            </w:r>
            <w:r>
              <w:t>}</w:t>
            </w:r>
            <w:r w:rsidR="00646098">
              <w:t xml:space="preserve"> </w:t>
            </w:r>
            <w:r w:rsidR="00646098" w:rsidRPr="00646098">
              <w:t>Unadjusted date at which obligations under the OTC derivative transaction come into effect, as included in the confirmation</w:t>
            </w:r>
            <w:r w:rsidR="008535D7">
              <w:t>.</w:t>
            </w:r>
          </w:p>
        </w:tc>
        <w:tc>
          <w:tcPr>
            <w:tcW w:w="737" w:type="dxa"/>
          </w:tcPr>
          <w:p w14:paraId="3BA449E1" w14:textId="4A1F4CBC" w:rsidR="00646098" w:rsidRPr="000540E1" w:rsidRDefault="00646098" w:rsidP="002C3CFD">
            <w:pPr>
              <w:pStyle w:val="tbltext"/>
              <w:jc w:val="center"/>
            </w:pPr>
            <w:r>
              <w:t>2.1</w:t>
            </w:r>
          </w:p>
        </w:tc>
        <w:tc>
          <w:tcPr>
            <w:tcW w:w="737" w:type="dxa"/>
          </w:tcPr>
          <w:p w14:paraId="65FBF4F5" w14:textId="17AC9CB0" w:rsidR="00646098" w:rsidRPr="000540E1" w:rsidRDefault="002C3CFD" w:rsidP="002C3CFD">
            <w:pPr>
              <w:pStyle w:val="tbltext"/>
              <w:jc w:val="center"/>
            </w:pPr>
            <w:r>
              <w:t>94</w:t>
            </w:r>
          </w:p>
        </w:tc>
        <w:tc>
          <w:tcPr>
            <w:tcW w:w="737" w:type="dxa"/>
          </w:tcPr>
          <w:p w14:paraId="46328913" w14:textId="1BF94720" w:rsidR="00646098" w:rsidRPr="000540E1" w:rsidRDefault="002C3CFD" w:rsidP="002C3CFD">
            <w:pPr>
              <w:pStyle w:val="tbltext"/>
              <w:jc w:val="center"/>
            </w:pPr>
            <w:r>
              <w:t>2.38</w:t>
            </w:r>
          </w:p>
        </w:tc>
        <w:tc>
          <w:tcPr>
            <w:tcW w:w="737" w:type="dxa"/>
          </w:tcPr>
          <w:p w14:paraId="38486C4C" w14:textId="50A6349B" w:rsidR="00646098" w:rsidRPr="000540E1" w:rsidRDefault="002C3CFD" w:rsidP="002C3CFD">
            <w:pPr>
              <w:pStyle w:val="tbltext"/>
              <w:jc w:val="center"/>
            </w:pPr>
            <w:r>
              <w:t>1.27</w:t>
            </w:r>
          </w:p>
        </w:tc>
      </w:tr>
      <w:tr w:rsidR="00646098" w:rsidRPr="000540E1" w14:paraId="5BE95514" w14:textId="587F62EF" w:rsidTr="00ED16A9">
        <w:trPr>
          <w:cantSplit/>
        </w:trPr>
        <w:tc>
          <w:tcPr>
            <w:tcW w:w="1701" w:type="dxa"/>
          </w:tcPr>
          <w:p w14:paraId="14F136C9" w14:textId="61089C74" w:rsidR="00646098" w:rsidRPr="000540E1" w:rsidRDefault="00ED16A9" w:rsidP="00646098">
            <w:pPr>
              <w:pStyle w:val="tbltext"/>
            </w:pPr>
            <w:r>
              <w:t xml:space="preserve">Expiration </w:t>
            </w:r>
            <w:r w:rsidR="00DC2E7E">
              <w:t>date</w:t>
            </w:r>
          </w:p>
        </w:tc>
        <w:tc>
          <w:tcPr>
            <w:tcW w:w="4422" w:type="dxa"/>
          </w:tcPr>
          <w:p w14:paraId="253AC747" w14:textId="6B603BD8" w:rsidR="00646098" w:rsidRPr="000540E1" w:rsidRDefault="008F72A3" w:rsidP="00646098">
            <w:pPr>
              <w:pStyle w:val="tbltext"/>
            </w:pPr>
            <w:r>
              <w:t>{</w:t>
            </w:r>
            <w:r w:rsidR="00DB2F38">
              <w:t>CDE TG</w:t>
            </w:r>
            <w:r>
              <w:t>}</w:t>
            </w:r>
            <w:r w:rsidR="00DB2F38">
              <w:t xml:space="preserve"> </w:t>
            </w:r>
            <w:r w:rsidR="00DB2F38" w:rsidRPr="00DB2F38">
              <w:t>Unadjusted date at which obligations under the OTC derivative transaction stop being effective, as included in the confirmation.</w:t>
            </w:r>
          </w:p>
        </w:tc>
        <w:tc>
          <w:tcPr>
            <w:tcW w:w="737" w:type="dxa"/>
          </w:tcPr>
          <w:p w14:paraId="6D37AA80" w14:textId="377A9877" w:rsidR="00646098" w:rsidRPr="000540E1" w:rsidRDefault="00DB2F38" w:rsidP="002C3CFD">
            <w:pPr>
              <w:pStyle w:val="tbltext"/>
              <w:jc w:val="center"/>
            </w:pPr>
            <w:r>
              <w:t>2.2</w:t>
            </w:r>
          </w:p>
        </w:tc>
        <w:tc>
          <w:tcPr>
            <w:tcW w:w="737" w:type="dxa"/>
          </w:tcPr>
          <w:p w14:paraId="79DE3021" w14:textId="79A331FF" w:rsidR="00646098" w:rsidRPr="000540E1" w:rsidRDefault="00DB2F38" w:rsidP="002C3CFD">
            <w:pPr>
              <w:pStyle w:val="tbltext"/>
              <w:jc w:val="center"/>
            </w:pPr>
            <w:r>
              <w:t>95</w:t>
            </w:r>
          </w:p>
        </w:tc>
        <w:tc>
          <w:tcPr>
            <w:tcW w:w="737" w:type="dxa"/>
          </w:tcPr>
          <w:p w14:paraId="728ED761" w14:textId="03AB85E8" w:rsidR="00646098" w:rsidRPr="000540E1" w:rsidRDefault="00BE0828" w:rsidP="002C3CFD">
            <w:pPr>
              <w:pStyle w:val="tbltext"/>
              <w:jc w:val="center"/>
            </w:pPr>
            <w:r>
              <w:t>2.39</w:t>
            </w:r>
          </w:p>
        </w:tc>
        <w:tc>
          <w:tcPr>
            <w:tcW w:w="737" w:type="dxa"/>
          </w:tcPr>
          <w:p w14:paraId="2A034E68" w14:textId="04A06B18" w:rsidR="00646098" w:rsidRPr="000540E1" w:rsidRDefault="00BE0828" w:rsidP="002C3CFD">
            <w:pPr>
              <w:pStyle w:val="tbltext"/>
              <w:jc w:val="center"/>
            </w:pPr>
            <w:r>
              <w:t>1.28</w:t>
            </w:r>
            <w:r>
              <w:br/>
              <w:t>1.46</w:t>
            </w:r>
          </w:p>
        </w:tc>
      </w:tr>
      <w:tr w:rsidR="00646098" w:rsidRPr="000540E1" w14:paraId="22FD6F7C" w14:textId="72C11D47" w:rsidTr="00ED16A9">
        <w:trPr>
          <w:cantSplit/>
        </w:trPr>
        <w:tc>
          <w:tcPr>
            <w:tcW w:w="1701" w:type="dxa"/>
          </w:tcPr>
          <w:p w14:paraId="53739FAA" w14:textId="10F845AA" w:rsidR="00646098" w:rsidRPr="000540E1" w:rsidRDefault="00BE0828" w:rsidP="00646098">
            <w:pPr>
              <w:pStyle w:val="tbltext"/>
            </w:pPr>
            <w:r>
              <w:t>Reporting timestamp</w:t>
            </w:r>
          </w:p>
        </w:tc>
        <w:tc>
          <w:tcPr>
            <w:tcW w:w="4422" w:type="dxa"/>
          </w:tcPr>
          <w:p w14:paraId="31DD667D" w14:textId="742FDE12" w:rsidR="00646098" w:rsidRPr="000540E1" w:rsidRDefault="008F72A3" w:rsidP="00646098">
            <w:pPr>
              <w:pStyle w:val="tbltext"/>
            </w:pPr>
            <w:r>
              <w:t>{</w:t>
            </w:r>
            <w:r w:rsidR="00BE0828">
              <w:t>CDE TG</w:t>
            </w:r>
            <w:r>
              <w:t>}</w:t>
            </w:r>
            <w:r w:rsidR="00BE0828">
              <w:t xml:space="preserve"> </w:t>
            </w:r>
            <w:r w:rsidR="00BE0828" w:rsidRPr="00BE0828">
              <w:t>Date and time of the submission of the report to the trade repository</w:t>
            </w:r>
            <w:r w:rsidR="008535D7">
              <w:t>.</w:t>
            </w:r>
          </w:p>
        </w:tc>
        <w:tc>
          <w:tcPr>
            <w:tcW w:w="737" w:type="dxa"/>
          </w:tcPr>
          <w:p w14:paraId="36F00FD6" w14:textId="03572770" w:rsidR="00646098" w:rsidRPr="000540E1" w:rsidRDefault="00BE0828" w:rsidP="002C3CFD">
            <w:pPr>
              <w:pStyle w:val="tbltext"/>
              <w:jc w:val="center"/>
            </w:pPr>
            <w:r>
              <w:t>2.4</w:t>
            </w:r>
          </w:p>
        </w:tc>
        <w:tc>
          <w:tcPr>
            <w:tcW w:w="737" w:type="dxa"/>
          </w:tcPr>
          <w:p w14:paraId="2171BA1B" w14:textId="6583A6C4" w:rsidR="00646098" w:rsidRPr="000540E1" w:rsidRDefault="00BE0828" w:rsidP="002C3CFD">
            <w:pPr>
              <w:pStyle w:val="tbltext"/>
              <w:jc w:val="center"/>
            </w:pPr>
            <w:r>
              <w:t>97</w:t>
            </w:r>
          </w:p>
        </w:tc>
        <w:tc>
          <w:tcPr>
            <w:tcW w:w="737" w:type="dxa"/>
          </w:tcPr>
          <w:p w14:paraId="764D64F0" w14:textId="00964050" w:rsidR="00646098" w:rsidRPr="000540E1" w:rsidRDefault="00BE0828" w:rsidP="002C3CFD">
            <w:pPr>
              <w:pStyle w:val="tbltext"/>
              <w:jc w:val="center"/>
            </w:pPr>
            <w:r>
              <w:t>1.1</w:t>
            </w:r>
          </w:p>
        </w:tc>
        <w:tc>
          <w:tcPr>
            <w:tcW w:w="737" w:type="dxa"/>
          </w:tcPr>
          <w:p w14:paraId="758D2174" w14:textId="47A6A634" w:rsidR="00646098" w:rsidRPr="000540E1" w:rsidRDefault="00BE0828" w:rsidP="002C3CFD">
            <w:pPr>
              <w:pStyle w:val="tbltext"/>
              <w:jc w:val="center"/>
            </w:pPr>
            <w:r>
              <w:t>1.39</w:t>
            </w:r>
          </w:p>
        </w:tc>
      </w:tr>
      <w:tr w:rsidR="00BE0828" w:rsidRPr="000540E1" w14:paraId="73280CA1" w14:textId="77777777" w:rsidTr="00ED16A9">
        <w:trPr>
          <w:cantSplit/>
        </w:trPr>
        <w:tc>
          <w:tcPr>
            <w:tcW w:w="1701" w:type="dxa"/>
          </w:tcPr>
          <w:p w14:paraId="6AEACD40" w14:textId="4D4B3EC3" w:rsidR="00BE0828" w:rsidRDefault="00BE0828" w:rsidP="00646098">
            <w:pPr>
              <w:pStyle w:val="tbltext"/>
            </w:pPr>
            <w:r>
              <w:t>Execution timestamp</w:t>
            </w:r>
          </w:p>
        </w:tc>
        <w:tc>
          <w:tcPr>
            <w:tcW w:w="4422" w:type="dxa"/>
          </w:tcPr>
          <w:p w14:paraId="4CD0FF71" w14:textId="14B1F18F" w:rsidR="00BE0828" w:rsidRDefault="008F72A3" w:rsidP="00646098">
            <w:pPr>
              <w:pStyle w:val="tbltext"/>
            </w:pPr>
            <w:r>
              <w:t>{</w:t>
            </w:r>
            <w:r w:rsidR="00BE0828">
              <w:t>CDE TG</w:t>
            </w:r>
            <w:r>
              <w:t>}</w:t>
            </w:r>
            <w:r w:rsidR="00BE0828">
              <w:t xml:space="preserve"> </w:t>
            </w:r>
            <w:r w:rsidR="00BE0828" w:rsidRPr="00BE0828">
              <w:t>Date and time a transaction was originally executed, resulting in the generation of a new UTI. This data element remains unchanged throughout the life of the UTI.</w:t>
            </w:r>
          </w:p>
        </w:tc>
        <w:tc>
          <w:tcPr>
            <w:tcW w:w="737" w:type="dxa"/>
          </w:tcPr>
          <w:p w14:paraId="08E4812C" w14:textId="4E30CA03" w:rsidR="00BE0828" w:rsidRDefault="00BE0828" w:rsidP="002C3CFD">
            <w:pPr>
              <w:pStyle w:val="tbltext"/>
              <w:jc w:val="center"/>
            </w:pPr>
            <w:r>
              <w:t>2.5</w:t>
            </w:r>
          </w:p>
        </w:tc>
        <w:tc>
          <w:tcPr>
            <w:tcW w:w="737" w:type="dxa"/>
          </w:tcPr>
          <w:p w14:paraId="413C36C6" w14:textId="06EEBB73" w:rsidR="00BE0828" w:rsidRDefault="00BE0828" w:rsidP="002C3CFD">
            <w:pPr>
              <w:pStyle w:val="tbltext"/>
              <w:jc w:val="center"/>
            </w:pPr>
            <w:r>
              <w:t>96</w:t>
            </w:r>
          </w:p>
        </w:tc>
        <w:tc>
          <w:tcPr>
            <w:tcW w:w="737" w:type="dxa"/>
          </w:tcPr>
          <w:p w14:paraId="3E0E0FD7" w14:textId="410FDE14" w:rsidR="00BE0828" w:rsidRDefault="00BE0828" w:rsidP="002C3CFD">
            <w:pPr>
              <w:pStyle w:val="tbltext"/>
              <w:jc w:val="center"/>
            </w:pPr>
            <w:r>
              <w:t>2.37</w:t>
            </w:r>
          </w:p>
        </w:tc>
        <w:tc>
          <w:tcPr>
            <w:tcW w:w="737" w:type="dxa"/>
          </w:tcPr>
          <w:p w14:paraId="3C8270A4" w14:textId="03F38CA9" w:rsidR="00BE0828" w:rsidRDefault="00BE0828" w:rsidP="002C3CFD">
            <w:pPr>
              <w:pStyle w:val="tbltext"/>
              <w:jc w:val="center"/>
            </w:pPr>
            <w:r>
              <w:t>1.37</w:t>
            </w:r>
          </w:p>
        </w:tc>
      </w:tr>
      <w:tr w:rsidR="00BE0828" w:rsidRPr="000540E1" w14:paraId="76343D23" w14:textId="77777777" w:rsidTr="00ED16A9">
        <w:trPr>
          <w:cantSplit/>
        </w:trPr>
        <w:tc>
          <w:tcPr>
            <w:tcW w:w="1701" w:type="dxa"/>
          </w:tcPr>
          <w:p w14:paraId="12A18CD5" w14:textId="68F8F280" w:rsidR="00BE0828" w:rsidRDefault="00BE0828" w:rsidP="00646098">
            <w:pPr>
              <w:pStyle w:val="tbltext"/>
            </w:pPr>
            <w:r>
              <w:t>Event timestamp</w:t>
            </w:r>
          </w:p>
        </w:tc>
        <w:tc>
          <w:tcPr>
            <w:tcW w:w="4422" w:type="dxa"/>
          </w:tcPr>
          <w:p w14:paraId="5AA494C7" w14:textId="75F252EC" w:rsidR="00BE0828" w:rsidRDefault="008F72A3" w:rsidP="00646098">
            <w:pPr>
              <w:pStyle w:val="tbltext"/>
            </w:pPr>
            <w:r>
              <w:t>{</w:t>
            </w:r>
            <w:r w:rsidR="00BE0828">
              <w:t>CFTC</w:t>
            </w:r>
            <w:r>
              <w:t>}</w:t>
            </w:r>
            <w:r w:rsidR="00BE0828">
              <w:t xml:space="preserve"> </w:t>
            </w:r>
            <w:r w:rsidR="00BE0828" w:rsidRPr="00BE0828">
              <w:t>Date and time of occurrence of the event as determined by the reporting counterparty or a service provider.</w:t>
            </w:r>
          </w:p>
        </w:tc>
        <w:tc>
          <w:tcPr>
            <w:tcW w:w="737" w:type="dxa"/>
          </w:tcPr>
          <w:p w14:paraId="76EC887B" w14:textId="4A3F946A" w:rsidR="00BE0828" w:rsidRDefault="00DC2E7E" w:rsidP="002C3CFD">
            <w:pPr>
              <w:pStyle w:val="tbltext"/>
              <w:jc w:val="center"/>
            </w:pPr>
            <w:r>
              <w:t>n/a</w:t>
            </w:r>
          </w:p>
        </w:tc>
        <w:tc>
          <w:tcPr>
            <w:tcW w:w="737" w:type="dxa"/>
          </w:tcPr>
          <w:p w14:paraId="26F372D7" w14:textId="77777777" w:rsidR="00BE0828" w:rsidRDefault="00AB5930" w:rsidP="002C3CFD">
            <w:pPr>
              <w:pStyle w:val="tbltext"/>
              <w:jc w:val="center"/>
            </w:pPr>
            <w:r>
              <w:t>30</w:t>
            </w:r>
          </w:p>
          <w:p w14:paraId="6B3CCFFD" w14:textId="7BB73CCB" w:rsidR="00BF3595" w:rsidRDefault="00BF3595" w:rsidP="002C3CFD">
            <w:pPr>
              <w:pStyle w:val="tbltext"/>
              <w:jc w:val="center"/>
            </w:pPr>
            <w:r>
              <w:t>date</w:t>
            </w:r>
            <w:r>
              <w:br/>
              <w:t>time</w:t>
            </w:r>
          </w:p>
        </w:tc>
        <w:tc>
          <w:tcPr>
            <w:tcW w:w="737" w:type="dxa"/>
          </w:tcPr>
          <w:p w14:paraId="2C5F309C" w14:textId="77777777" w:rsidR="00BE0828" w:rsidRDefault="009C2CB3" w:rsidP="002C3CFD">
            <w:pPr>
              <w:pStyle w:val="tbltext"/>
              <w:jc w:val="center"/>
            </w:pPr>
            <w:r>
              <w:t>2.151</w:t>
            </w:r>
          </w:p>
          <w:p w14:paraId="1704201D" w14:textId="04228205" w:rsidR="00BF3595" w:rsidRDefault="00BF3595" w:rsidP="002C3CFD">
            <w:pPr>
              <w:pStyle w:val="tbltext"/>
              <w:jc w:val="center"/>
            </w:pPr>
            <w:r>
              <w:t>date</w:t>
            </w:r>
          </w:p>
        </w:tc>
        <w:tc>
          <w:tcPr>
            <w:tcW w:w="737" w:type="dxa"/>
          </w:tcPr>
          <w:p w14:paraId="1450AE1D" w14:textId="5877FD4D" w:rsidR="00BE0828" w:rsidRDefault="00DC2E7E" w:rsidP="002C3CFD">
            <w:pPr>
              <w:pStyle w:val="tbltext"/>
              <w:jc w:val="center"/>
            </w:pPr>
            <w:r>
              <w:t>n/a</w:t>
            </w:r>
          </w:p>
        </w:tc>
      </w:tr>
      <w:tr w:rsidR="00A35ED0" w:rsidRPr="000540E1" w14:paraId="6DFE92E8" w14:textId="77777777" w:rsidTr="00ED16A9">
        <w:trPr>
          <w:cantSplit/>
        </w:trPr>
        <w:tc>
          <w:tcPr>
            <w:tcW w:w="1701" w:type="dxa"/>
          </w:tcPr>
          <w:p w14:paraId="0094AA1B" w14:textId="42A6DCC7" w:rsidR="00A35ED0" w:rsidRDefault="00A35ED0" w:rsidP="00646098">
            <w:pPr>
              <w:pStyle w:val="tbltext"/>
            </w:pPr>
            <w:r>
              <w:t>Clearing timestamp</w:t>
            </w:r>
          </w:p>
        </w:tc>
        <w:tc>
          <w:tcPr>
            <w:tcW w:w="4422" w:type="dxa"/>
          </w:tcPr>
          <w:p w14:paraId="0ABF1130" w14:textId="3C6AEEDE" w:rsidR="00A35ED0" w:rsidRDefault="008F72A3" w:rsidP="00646098">
            <w:pPr>
              <w:pStyle w:val="tbltext"/>
            </w:pPr>
            <w:r>
              <w:t>{</w:t>
            </w:r>
            <w:r w:rsidR="005C1566">
              <w:t>ESMA</w:t>
            </w:r>
            <w:r>
              <w:t>}</w:t>
            </w:r>
            <w:r w:rsidR="00A35ED0">
              <w:t xml:space="preserve"> </w:t>
            </w:r>
            <w:r w:rsidR="00A35ED0" w:rsidRPr="00A35ED0">
              <w:t xml:space="preserve">Time and date when clearing </w:t>
            </w:r>
            <w:r w:rsidR="00277807">
              <w:t xml:space="preserve">by a CCP </w:t>
            </w:r>
            <w:r w:rsidR="00A35ED0" w:rsidRPr="00A35ED0">
              <w:t>took place.</w:t>
            </w:r>
          </w:p>
          <w:p w14:paraId="180E7931" w14:textId="77777777" w:rsidR="00B5308E" w:rsidRDefault="00B5308E" w:rsidP="00646098">
            <w:pPr>
              <w:pStyle w:val="tbltext"/>
            </w:pPr>
            <w:r>
              <w:t>OR</w:t>
            </w:r>
          </w:p>
          <w:p w14:paraId="624E78A1" w14:textId="7C7BBC79" w:rsidR="00B5308E" w:rsidRDefault="00B5308E" w:rsidP="00646098">
            <w:pPr>
              <w:pStyle w:val="tbltext"/>
            </w:pPr>
            <w:r>
              <w:t xml:space="preserve">{ASIC} </w:t>
            </w:r>
            <w:r w:rsidRPr="00B5308E">
              <w:t>the time and date the Derivative was cleared.</w:t>
            </w:r>
          </w:p>
        </w:tc>
        <w:tc>
          <w:tcPr>
            <w:tcW w:w="737" w:type="dxa"/>
          </w:tcPr>
          <w:p w14:paraId="77769E20" w14:textId="7CF9A1FD" w:rsidR="00A35ED0" w:rsidRDefault="00DC2E7E" w:rsidP="002C3CFD">
            <w:pPr>
              <w:pStyle w:val="tbltext"/>
              <w:jc w:val="center"/>
            </w:pPr>
            <w:r>
              <w:t>n/a</w:t>
            </w:r>
          </w:p>
        </w:tc>
        <w:tc>
          <w:tcPr>
            <w:tcW w:w="737" w:type="dxa"/>
          </w:tcPr>
          <w:p w14:paraId="1C9D3953" w14:textId="36DBC421" w:rsidR="00A35ED0" w:rsidRDefault="00A35ED0" w:rsidP="002C3CFD">
            <w:pPr>
              <w:pStyle w:val="tbltext"/>
              <w:jc w:val="center"/>
            </w:pPr>
            <w:r>
              <w:t>10</w:t>
            </w:r>
          </w:p>
        </w:tc>
        <w:tc>
          <w:tcPr>
            <w:tcW w:w="737" w:type="dxa"/>
          </w:tcPr>
          <w:p w14:paraId="56ACD6D4" w14:textId="46EB10FD" w:rsidR="00A35ED0" w:rsidRDefault="00A35ED0" w:rsidP="002C3CFD">
            <w:pPr>
              <w:pStyle w:val="tbltext"/>
              <w:jc w:val="center"/>
            </w:pPr>
            <w:r>
              <w:t>2.27</w:t>
            </w:r>
          </w:p>
        </w:tc>
        <w:tc>
          <w:tcPr>
            <w:tcW w:w="737" w:type="dxa"/>
          </w:tcPr>
          <w:p w14:paraId="3FBA6D44" w14:textId="431BCC90" w:rsidR="00A35ED0" w:rsidRDefault="00A35ED0" w:rsidP="002C3CFD">
            <w:pPr>
              <w:pStyle w:val="tbltext"/>
              <w:jc w:val="center"/>
            </w:pPr>
            <w:r>
              <w:t>1.38</w:t>
            </w:r>
          </w:p>
        </w:tc>
      </w:tr>
    </w:tbl>
    <w:p w14:paraId="1D7DBF46" w14:textId="1A5722EC" w:rsidR="00C93300" w:rsidRDefault="00C93300" w:rsidP="00646098">
      <w:pPr>
        <w:pStyle w:val="BodyText"/>
        <w:rPr>
          <w:rFonts w:eastAsiaTheme="minorHAnsi"/>
        </w:rPr>
      </w:pPr>
      <w:r>
        <w:rPr>
          <w:rFonts w:eastAsiaTheme="minorHAnsi"/>
        </w:rPr>
        <w:t>‘</w:t>
      </w:r>
      <w:r w:rsidR="00827F6A">
        <w:rPr>
          <w:rFonts w:eastAsiaTheme="minorHAnsi"/>
        </w:rPr>
        <w:t>E</w:t>
      </w:r>
      <w:r>
        <w:rPr>
          <w:rFonts w:eastAsiaTheme="minorHAnsi"/>
        </w:rPr>
        <w:t xml:space="preserve">ffective date’ is clarified in the CDE </w:t>
      </w:r>
      <w:r w:rsidR="0022679B">
        <w:rPr>
          <w:rFonts w:eastAsiaTheme="minorHAnsi"/>
        </w:rPr>
        <w:t>Guidance</w:t>
      </w:r>
      <w:r>
        <w:rPr>
          <w:rFonts w:eastAsiaTheme="minorHAnsi"/>
        </w:rPr>
        <w:t xml:space="preserve"> as </w:t>
      </w:r>
      <w:r w:rsidR="00C91C86">
        <w:rPr>
          <w:rFonts w:eastAsiaTheme="minorHAnsi"/>
        </w:rPr>
        <w:t xml:space="preserve">the date </w:t>
      </w:r>
      <w:r>
        <w:rPr>
          <w:rFonts w:eastAsiaTheme="minorHAnsi"/>
        </w:rPr>
        <w:t>‘</w:t>
      </w:r>
      <w:r w:rsidRPr="00646098">
        <w:t>as included in the confirmation</w:t>
      </w:r>
      <w:r>
        <w:rPr>
          <w:rFonts w:eastAsiaTheme="minorHAnsi"/>
        </w:rPr>
        <w:t xml:space="preserve">’. We </w:t>
      </w:r>
      <w:r w:rsidR="00EB5D86">
        <w:rPr>
          <w:rFonts w:eastAsiaTheme="minorHAnsi"/>
        </w:rPr>
        <w:t xml:space="preserve">interpret this </w:t>
      </w:r>
      <w:r>
        <w:rPr>
          <w:rFonts w:eastAsiaTheme="minorHAnsi"/>
        </w:rPr>
        <w:t xml:space="preserve">to mean that this </w:t>
      </w:r>
      <w:r w:rsidR="002F5E28">
        <w:rPr>
          <w:rFonts w:eastAsiaTheme="minorHAnsi"/>
        </w:rPr>
        <w:t xml:space="preserve">data </w:t>
      </w:r>
      <w:r>
        <w:rPr>
          <w:rFonts w:eastAsiaTheme="minorHAnsi"/>
        </w:rPr>
        <w:t>element is not applicable to derivative transactions that do not have an ‘</w:t>
      </w:r>
      <w:r w:rsidR="00DC2E7E">
        <w:rPr>
          <w:rFonts w:eastAsiaTheme="minorHAnsi"/>
        </w:rPr>
        <w:t xml:space="preserve">effective </w:t>
      </w:r>
      <w:r>
        <w:rPr>
          <w:rFonts w:eastAsiaTheme="minorHAnsi"/>
        </w:rPr>
        <w:t>date’ included in the confirmation</w:t>
      </w:r>
      <w:r w:rsidR="00DC2E7E" w:rsidRPr="00E96086">
        <w:rPr>
          <w:rFonts w:eastAsiaTheme="minorHAnsi"/>
        </w:rPr>
        <w:t>—</w:t>
      </w:r>
      <w:r>
        <w:rPr>
          <w:rFonts w:eastAsiaTheme="minorHAnsi"/>
        </w:rPr>
        <w:t xml:space="preserve">for example, for an FX </w:t>
      </w:r>
      <w:r w:rsidR="00DC2E7E">
        <w:rPr>
          <w:rFonts w:eastAsiaTheme="minorHAnsi"/>
        </w:rPr>
        <w:t xml:space="preserve">forward </w:t>
      </w:r>
      <w:r>
        <w:rPr>
          <w:rFonts w:eastAsiaTheme="minorHAnsi"/>
        </w:rPr>
        <w:t>transaction that only includes an ‘</w:t>
      </w:r>
      <w:r w:rsidR="00DC2E7E">
        <w:rPr>
          <w:rFonts w:eastAsiaTheme="minorHAnsi"/>
        </w:rPr>
        <w:t xml:space="preserve">execution </w:t>
      </w:r>
      <w:r>
        <w:rPr>
          <w:rFonts w:eastAsiaTheme="minorHAnsi"/>
        </w:rPr>
        <w:t>timestamp’ and an ‘</w:t>
      </w:r>
      <w:r w:rsidR="00DC2E7E">
        <w:rPr>
          <w:rFonts w:eastAsiaTheme="minorHAnsi"/>
        </w:rPr>
        <w:t xml:space="preserve">expiration </w:t>
      </w:r>
      <w:r>
        <w:rPr>
          <w:rFonts w:eastAsiaTheme="minorHAnsi"/>
        </w:rPr>
        <w:t>date’ in its confirmation.</w:t>
      </w:r>
    </w:p>
    <w:p w14:paraId="72FB7B9A" w14:textId="150A0539" w:rsidR="00646098" w:rsidRDefault="00EB5D86" w:rsidP="00646098">
      <w:pPr>
        <w:pStyle w:val="BodyText"/>
        <w:rPr>
          <w:rFonts w:eastAsiaTheme="minorHAnsi"/>
        </w:rPr>
      </w:pPr>
      <w:r>
        <w:rPr>
          <w:rFonts w:eastAsiaTheme="minorHAnsi"/>
        </w:rPr>
        <w:t xml:space="preserve">We note that the CFTC’s </w:t>
      </w:r>
      <w:r w:rsidR="00EC37CE">
        <w:rPr>
          <w:rFonts w:eastAsiaTheme="minorHAnsi"/>
        </w:rPr>
        <w:t>technical specification includes ‘For commodities swaps, report the pricing start date’ and that stakeholder feedback to ESMA’s consultation proposed that ‘</w:t>
      </w:r>
      <w:r w:rsidR="00DC2E7E">
        <w:rPr>
          <w:rFonts w:eastAsiaTheme="minorHAnsi"/>
        </w:rPr>
        <w:t xml:space="preserve">execution </w:t>
      </w:r>
      <w:r w:rsidR="00EC37CE">
        <w:rPr>
          <w:rFonts w:eastAsiaTheme="minorHAnsi"/>
        </w:rPr>
        <w:t>timestamp’ should be reported as ‘</w:t>
      </w:r>
      <w:r w:rsidR="00DC2E7E">
        <w:rPr>
          <w:rFonts w:eastAsiaTheme="minorHAnsi"/>
        </w:rPr>
        <w:t xml:space="preserve">effective </w:t>
      </w:r>
      <w:r w:rsidR="00EC37CE">
        <w:rPr>
          <w:rFonts w:eastAsiaTheme="minorHAnsi"/>
        </w:rPr>
        <w:t>date’ in addition to being reported as ‘</w:t>
      </w:r>
      <w:r w:rsidR="00DC2E7E">
        <w:rPr>
          <w:rFonts w:eastAsiaTheme="minorHAnsi"/>
        </w:rPr>
        <w:t xml:space="preserve">execution </w:t>
      </w:r>
      <w:r w:rsidR="00EC37CE">
        <w:rPr>
          <w:rFonts w:eastAsiaTheme="minorHAnsi"/>
        </w:rPr>
        <w:t>timestamp’.</w:t>
      </w:r>
    </w:p>
    <w:p w14:paraId="68B3E502" w14:textId="786BB2A5" w:rsidR="00051292" w:rsidRDefault="00EC37CE" w:rsidP="00E96086">
      <w:pPr>
        <w:pStyle w:val="BodyText"/>
        <w:keepNext/>
        <w:rPr>
          <w:rFonts w:eastAsiaTheme="minorHAnsi"/>
        </w:rPr>
      </w:pPr>
      <w:r>
        <w:rPr>
          <w:rFonts w:eastAsiaTheme="minorHAnsi"/>
        </w:rPr>
        <w:t xml:space="preserve">We </w:t>
      </w:r>
      <w:r w:rsidR="001A2627">
        <w:rPr>
          <w:rFonts w:eastAsiaTheme="minorHAnsi"/>
        </w:rPr>
        <w:t>expect</w:t>
      </w:r>
      <w:r>
        <w:rPr>
          <w:rFonts w:eastAsiaTheme="minorHAnsi"/>
        </w:rPr>
        <w:t xml:space="preserve"> that the </w:t>
      </w:r>
      <w:r w:rsidR="00051292">
        <w:rPr>
          <w:rFonts w:eastAsiaTheme="minorHAnsi"/>
        </w:rPr>
        <w:t xml:space="preserve">transaction information </w:t>
      </w:r>
      <w:r>
        <w:rPr>
          <w:rFonts w:eastAsiaTheme="minorHAnsi"/>
        </w:rPr>
        <w:t xml:space="preserve">outcome </w:t>
      </w:r>
      <w:r w:rsidR="00051292">
        <w:rPr>
          <w:rFonts w:eastAsiaTheme="minorHAnsi"/>
        </w:rPr>
        <w:t>should be that:</w:t>
      </w:r>
    </w:p>
    <w:p w14:paraId="28820011" w14:textId="3C7709CA" w:rsidR="001A2627" w:rsidRDefault="00051292" w:rsidP="00051292">
      <w:pPr>
        <w:pStyle w:val="subparaa"/>
        <w:rPr>
          <w:rFonts w:eastAsiaTheme="minorHAnsi"/>
        </w:rPr>
      </w:pPr>
      <w:r>
        <w:rPr>
          <w:rFonts w:eastAsiaTheme="minorHAnsi"/>
        </w:rPr>
        <w:t xml:space="preserve">all transactions </w:t>
      </w:r>
      <w:r w:rsidR="001A2627">
        <w:rPr>
          <w:rFonts w:eastAsiaTheme="minorHAnsi"/>
        </w:rPr>
        <w:t>are reported with an ‘</w:t>
      </w:r>
      <w:r w:rsidR="00DC2E7E">
        <w:rPr>
          <w:rFonts w:eastAsiaTheme="minorHAnsi"/>
        </w:rPr>
        <w:t xml:space="preserve">execution </w:t>
      </w:r>
      <w:r w:rsidR="001A2627">
        <w:rPr>
          <w:rFonts w:eastAsiaTheme="minorHAnsi"/>
        </w:rPr>
        <w:t>timestamp’; and</w:t>
      </w:r>
    </w:p>
    <w:p w14:paraId="57F0A27B" w14:textId="52A3B0EB" w:rsidR="00EC37CE" w:rsidRDefault="001A2627" w:rsidP="00051292">
      <w:pPr>
        <w:pStyle w:val="subparaa"/>
        <w:rPr>
          <w:rFonts w:eastAsiaTheme="minorHAnsi"/>
        </w:rPr>
      </w:pPr>
      <w:r>
        <w:rPr>
          <w:rFonts w:eastAsiaTheme="minorHAnsi"/>
        </w:rPr>
        <w:t>for transactions where future cashflows or payouts are, or begin to be, first determined on, or from, a subsequent date</w:t>
      </w:r>
      <w:r w:rsidR="00DC2E7E" w:rsidRPr="00E96086">
        <w:rPr>
          <w:rFonts w:eastAsiaTheme="minorHAnsi"/>
        </w:rPr>
        <w:t>—</w:t>
      </w:r>
      <w:r>
        <w:rPr>
          <w:rFonts w:eastAsiaTheme="minorHAnsi"/>
        </w:rPr>
        <w:t>such as the accrual of interest amounts or the fixing of reference rates or prices</w:t>
      </w:r>
      <w:r w:rsidR="00DC2E7E" w:rsidRPr="009F30AD">
        <w:rPr>
          <w:rFonts w:eastAsiaTheme="minorHAnsi"/>
        </w:rPr>
        <w:t>—</w:t>
      </w:r>
      <w:r>
        <w:rPr>
          <w:rFonts w:eastAsiaTheme="minorHAnsi"/>
        </w:rPr>
        <w:t>that subsequent date is reported as the ‘</w:t>
      </w:r>
      <w:r w:rsidR="003D70AF">
        <w:rPr>
          <w:rFonts w:eastAsiaTheme="minorHAnsi"/>
        </w:rPr>
        <w:t xml:space="preserve">effective </w:t>
      </w:r>
      <w:r>
        <w:rPr>
          <w:rFonts w:eastAsiaTheme="minorHAnsi"/>
        </w:rPr>
        <w:t>date’.</w:t>
      </w:r>
    </w:p>
    <w:p w14:paraId="15AB55AF" w14:textId="2F535307" w:rsidR="001A2627" w:rsidRDefault="001A2627" w:rsidP="001A2627">
      <w:pPr>
        <w:pStyle w:val="BodyText"/>
        <w:rPr>
          <w:rFonts w:eastAsiaTheme="minorHAnsi"/>
        </w:rPr>
      </w:pPr>
      <w:r>
        <w:rPr>
          <w:rFonts w:eastAsiaTheme="minorHAnsi"/>
        </w:rPr>
        <w:lastRenderedPageBreak/>
        <w:t xml:space="preserve">We welcome feedback </w:t>
      </w:r>
      <w:bookmarkStart w:id="90" w:name="_Hlk53916795"/>
      <w:r>
        <w:rPr>
          <w:rFonts w:eastAsiaTheme="minorHAnsi"/>
        </w:rPr>
        <w:t>on whether:</w:t>
      </w:r>
    </w:p>
    <w:p w14:paraId="2AA4EDBA" w14:textId="6CC70A80" w:rsidR="001A2627" w:rsidRDefault="001A2627" w:rsidP="001A2627">
      <w:pPr>
        <w:pStyle w:val="subparaa"/>
        <w:rPr>
          <w:rFonts w:eastAsiaTheme="minorHAnsi"/>
        </w:rPr>
      </w:pPr>
      <w:r>
        <w:rPr>
          <w:rFonts w:eastAsiaTheme="minorHAnsi"/>
        </w:rPr>
        <w:t>there is a need to clarify the meaning of ‘</w:t>
      </w:r>
      <w:r w:rsidR="003D70AF">
        <w:rPr>
          <w:rFonts w:eastAsiaTheme="minorHAnsi"/>
        </w:rPr>
        <w:t xml:space="preserve">effective </w:t>
      </w:r>
      <w:r w:rsidR="001E15C6">
        <w:rPr>
          <w:rFonts w:eastAsiaTheme="minorHAnsi"/>
        </w:rPr>
        <w:t>d</w:t>
      </w:r>
      <w:r>
        <w:rPr>
          <w:rFonts w:eastAsiaTheme="minorHAnsi"/>
        </w:rPr>
        <w:t>ate’</w:t>
      </w:r>
      <w:r w:rsidR="004C60B2">
        <w:rPr>
          <w:rFonts w:eastAsiaTheme="minorHAnsi"/>
        </w:rPr>
        <w:t>;</w:t>
      </w:r>
    </w:p>
    <w:p w14:paraId="1BFF3E51" w14:textId="2AEAB641" w:rsidR="004C60B2" w:rsidRDefault="004C60B2" w:rsidP="001A2627">
      <w:pPr>
        <w:pStyle w:val="subparaa"/>
        <w:rPr>
          <w:rFonts w:eastAsiaTheme="minorHAnsi"/>
        </w:rPr>
      </w:pPr>
      <w:r>
        <w:rPr>
          <w:rFonts w:eastAsiaTheme="minorHAnsi"/>
        </w:rPr>
        <w:t xml:space="preserve">there are particular types of transactions </w:t>
      </w:r>
      <w:r w:rsidR="001E15C6">
        <w:rPr>
          <w:rFonts w:eastAsiaTheme="minorHAnsi"/>
        </w:rPr>
        <w:t>for which determining ‘</w:t>
      </w:r>
      <w:r w:rsidR="003D70AF">
        <w:rPr>
          <w:rFonts w:eastAsiaTheme="minorHAnsi"/>
        </w:rPr>
        <w:t>e</w:t>
      </w:r>
      <w:r w:rsidR="001E15C6">
        <w:rPr>
          <w:rFonts w:eastAsiaTheme="minorHAnsi"/>
        </w:rPr>
        <w:t>ffective date’ is problematic; and</w:t>
      </w:r>
    </w:p>
    <w:p w14:paraId="73666037" w14:textId="0F810A8B" w:rsidR="001E15C6" w:rsidRDefault="001E15C6" w:rsidP="001A2627">
      <w:pPr>
        <w:pStyle w:val="subparaa"/>
        <w:rPr>
          <w:rFonts w:eastAsiaTheme="minorHAnsi"/>
        </w:rPr>
      </w:pPr>
      <w:r>
        <w:rPr>
          <w:rFonts w:eastAsiaTheme="minorHAnsi"/>
        </w:rPr>
        <w:t>in the absence of a determinable ‘</w:t>
      </w:r>
      <w:r w:rsidR="003D70AF">
        <w:rPr>
          <w:rFonts w:eastAsiaTheme="minorHAnsi"/>
        </w:rPr>
        <w:t>e</w:t>
      </w:r>
      <w:r>
        <w:rPr>
          <w:rFonts w:eastAsiaTheme="minorHAnsi"/>
        </w:rPr>
        <w:t>ffective date’, ‘</w:t>
      </w:r>
      <w:r w:rsidR="003D70AF">
        <w:rPr>
          <w:rFonts w:eastAsiaTheme="minorHAnsi"/>
        </w:rPr>
        <w:t>e</w:t>
      </w:r>
      <w:r>
        <w:rPr>
          <w:rFonts w:eastAsiaTheme="minorHAnsi"/>
        </w:rPr>
        <w:t>xecution timestamp</w:t>
      </w:r>
      <w:r w:rsidR="003D70AF">
        <w:rPr>
          <w:rFonts w:eastAsiaTheme="minorHAnsi"/>
        </w:rPr>
        <w:t>’</w:t>
      </w:r>
      <w:r>
        <w:rPr>
          <w:rFonts w:eastAsiaTheme="minorHAnsi"/>
        </w:rPr>
        <w:t xml:space="preserve"> should be reported instead.</w:t>
      </w:r>
      <w:bookmarkEnd w:id="90"/>
    </w:p>
    <w:p w14:paraId="0535319C" w14:textId="5750C4CD" w:rsidR="001E15C6" w:rsidRPr="001E15C6" w:rsidRDefault="001E15C6" w:rsidP="001E15C6">
      <w:pPr>
        <w:pStyle w:val="BodyText"/>
        <w:rPr>
          <w:rFonts w:eastAsiaTheme="minorHAnsi"/>
        </w:rPr>
      </w:pPr>
      <w:r>
        <w:rPr>
          <w:rFonts w:eastAsiaTheme="minorHAnsi"/>
        </w:rPr>
        <w:t>‘Expiration date’ is intended to apply to all types of transactions, including swaps, forwards and options. It would be a single data element used instead of both</w:t>
      </w:r>
      <w:r w:rsidR="00C91C86">
        <w:rPr>
          <w:rFonts w:eastAsiaTheme="minorHAnsi"/>
        </w:rPr>
        <w:t xml:space="preserve"> of the current ASIC Rules data elements of</w:t>
      </w:r>
      <w:r>
        <w:rPr>
          <w:rFonts w:eastAsiaTheme="minorHAnsi"/>
        </w:rPr>
        <w:t xml:space="preserve"> ‘</w:t>
      </w:r>
      <w:r w:rsidR="003D70AF">
        <w:rPr>
          <w:rFonts w:eastAsiaTheme="minorHAnsi"/>
        </w:rPr>
        <w:t>m</w:t>
      </w:r>
      <w:r w:rsidR="003D70AF" w:rsidRPr="001E15C6">
        <w:rPr>
          <w:rFonts w:eastAsiaTheme="minorHAnsi"/>
        </w:rPr>
        <w:t>aturity</w:t>
      </w:r>
      <w:r w:rsidRPr="001E15C6">
        <w:rPr>
          <w:rFonts w:eastAsiaTheme="minorHAnsi"/>
        </w:rPr>
        <w:t>, termination or</w:t>
      </w:r>
      <w:r>
        <w:rPr>
          <w:rFonts w:eastAsiaTheme="minorHAnsi"/>
        </w:rPr>
        <w:t xml:space="preserve"> end date’ and ‘</w:t>
      </w:r>
      <w:r w:rsidR="003D70AF">
        <w:rPr>
          <w:rFonts w:eastAsiaTheme="minorHAnsi"/>
        </w:rPr>
        <w:t>o</w:t>
      </w:r>
      <w:r w:rsidR="003D70AF" w:rsidRPr="001E15C6">
        <w:rPr>
          <w:rFonts w:eastAsiaTheme="minorHAnsi"/>
        </w:rPr>
        <w:t xml:space="preserve">ption </w:t>
      </w:r>
      <w:r w:rsidRPr="001E15C6">
        <w:rPr>
          <w:rFonts w:eastAsiaTheme="minorHAnsi"/>
        </w:rPr>
        <w:t>expiration date</w:t>
      </w:r>
      <w:r>
        <w:rPr>
          <w:rFonts w:eastAsiaTheme="minorHAnsi"/>
        </w:rPr>
        <w:t>’.</w:t>
      </w:r>
    </w:p>
    <w:p w14:paraId="4F21E4C8" w14:textId="646A60D7" w:rsidR="00BC5656" w:rsidRDefault="001E15C6" w:rsidP="001E15C6">
      <w:pPr>
        <w:pStyle w:val="BodyText"/>
        <w:rPr>
          <w:rFonts w:eastAsiaTheme="minorHAnsi"/>
        </w:rPr>
      </w:pPr>
      <w:r>
        <w:rPr>
          <w:rFonts w:eastAsiaTheme="minorHAnsi"/>
        </w:rPr>
        <w:t>‘Reporting timestamp’ and ‘</w:t>
      </w:r>
      <w:r w:rsidR="003D70AF">
        <w:rPr>
          <w:rFonts w:eastAsiaTheme="minorHAnsi"/>
        </w:rPr>
        <w:t xml:space="preserve">execution </w:t>
      </w:r>
      <w:r>
        <w:rPr>
          <w:rFonts w:eastAsiaTheme="minorHAnsi"/>
        </w:rPr>
        <w:t>timestamp’ replace the corresponding data elements in the current ASIC Rules. Note that</w:t>
      </w:r>
      <w:r w:rsidR="003D70AF">
        <w:rPr>
          <w:rFonts w:eastAsiaTheme="minorHAnsi"/>
        </w:rPr>
        <w:t xml:space="preserve"> in the second round of consultation</w:t>
      </w:r>
      <w:r>
        <w:rPr>
          <w:rFonts w:eastAsiaTheme="minorHAnsi"/>
        </w:rPr>
        <w:t xml:space="preserve"> we intend to propose </w:t>
      </w:r>
      <w:r w:rsidR="00BC5656">
        <w:rPr>
          <w:rFonts w:eastAsiaTheme="minorHAnsi"/>
        </w:rPr>
        <w:t>that all timestamp data elements be UTC time rather than AEDT/AEST.</w:t>
      </w:r>
    </w:p>
    <w:p w14:paraId="4CC6DB77" w14:textId="53B036D2" w:rsidR="00BC5656" w:rsidRDefault="00BC5656" w:rsidP="001E15C6">
      <w:pPr>
        <w:pStyle w:val="BodyText"/>
        <w:rPr>
          <w:rFonts w:eastAsiaTheme="minorHAnsi"/>
        </w:rPr>
      </w:pPr>
      <w:r>
        <w:rPr>
          <w:rFonts w:eastAsiaTheme="minorHAnsi"/>
        </w:rPr>
        <w:t>‘</w:t>
      </w:r>
      <w:r w:rsidR="009C2CB3">
        <w:rPr>
          <w:rFonts w:eastAsiaTheme="minorHAnsi"/>
        </w:rPr>
        <w:t>Event timestamp</w:t>
      </w:r>
      <w:r>
        <w:rPr>
          <w:rFonts w:eastAsiaTheme="minorHAnsi"/>
        </w:rPr>
        <w:t xml:space="preserve">’ is not in the CDE </w:t>
      </w:r>
      <w:r w:rsidR="0022679B">
        <w:rPr>
          <w:rFonts w:eastAsiaTheme="minorHAnsi"/>
        </w:rPr>
        <w:t>Guidance</w:t>
      </w:r>
      <w:r>
        <w:rPr>
          <w:rFonts w:eastAsiaTheme="minorHAnsi"/>
        </w:rPr>
        <w:t xml:space="preserve"> but </w:t>
      </w:r>
      <w:r w:rsidR="003D70AF">
        <w:rPr>
          <w:rFonts w:eastAsiaTheme="minorHAnsi"/>
        </w:rPr>
        <w:t xml:space="preserve">it </w:t>
      </w:r>
      <w:r>
        <w:rPr>
          <w:rFonts w:eastAsiaTheme="minorHAnsi"/>
        </w:rPr>
        <w:t xml:space="preserve">is in the final CFTC rules and the </w:t>
      </w:r>
      <w:r w:rsidR="000127C8">
        <w:rPr>
          <w:rFonts w:eastAsiaTheme="minorHAnsi"/>
        </w:rPr>
        <w:t>ESMA proposals</w:t>
      </w:r>
      <w:r>
        <w:rPr>
          <w:rFonts w:eastAsiaTheme="minorHAnsi"/>
        </w:rPr>
        <w:t xml:space="preserve"> and would be required with the related ‘</w:t>
      </w:r>
      <w:r w:rsidR="003D70AF">
        <w:rPr>
          <w:rFonts w:eastAsiaTheme="minorHAnsi"/>
        </w:rPr>
        <w:t xml:space="preserve">event </w:t>
      </w:r>
      <w:r>
        <w:rPr>
          <w:rFonts w:eastAsiaTheme="minorHAnsi"/>
        </w:rPr>
        <w:t>type’ data element</w:t>
      </w:r>
      <w:r w:rsidR="00BF3595">
        <w:rPr>
          <w:rFonts w:eastAsiaTheme="minorHAnsi"/>
        </w:rPr>
        <w:t>. The ‘</w:t>
      </w:r>
      <w:r w:rsidR="003D70AF">
        <w:rPr>
          <w:rFonts w:eastAsiaTheme="minorHAnsi"/>
        </w:rPr>
        <w:t xml:space="preserve">event </w:t>
      </w:r>
      <w:r w:rsidR="00BF3595">
        <w:rPr>
          <w:rFonts w:eastAsiaTheme="minorHAnsi"/>
        </w:rPr>
        <w:t xml:space="preserve">type’ </w:t>
      </w:r>
      <w:r w:rsidR="002F5E28">
        <w:rPr>
          <w:rFonts w:eastAsiaTheme="minorHAnsi"/>
        </w:rPr>
        <w:t xml:space="preserve">data </w:t>
      </w:r>
      <w:r w:rsidR="00BF3595">
        <w:rPr>
          <w:rFonts w:eastAsiaTheme="minorHAnsi"/>
        </w:rPr>
        <w:t xml:space="preserve">element </w:t>
      </w:r>
      <w:r w:rsidR="00464D9F">
        <w:rPr>
          <w:rFonts w:eastAsiaTheme="minorHAnsi"/>
        </w:rPr>
        <w:t>is a further explanation of ‘</w:t>
      </w:r>
      <w:r w:rsidR="003D70AF">
        <w:rPr>
          <w:rFonts w:eastAsiaTheme="minorHAnsi"/>
        </w:rPr>
        <w:t xml:space="preserve">action </w:t>
      </w:r>
      <w:r w:rsidR="00464D9F">
        <w:rPr>
          <w:rFonts w:eastAsiaTheme="minorHAnsi"/>
        </w:rPr>
        <w:t>type’</w:t>
      </w:r>
      <w:r w:rsidR="00BF3595">
        <w:rPr>
          <w:rFonts w:eastAsiaTheme="minorHAnsi"/>
        </w:rPr>
        <w:t>, but only in relation to the ‘</w:t>
      </w:r>
      <w:r w:rsidR="003D70AF">
        <w:rPr>
          <w:rFonts w:eastAsiaTheme="minorHAnsi"/>
        </w:rPr>
        <w:t xml:space="preserve">action </w:t>
      </w:r>
      <w:r w:rsidR="00BF3595">
        <w:rPr>
          <w:rFonts w:eastAsiaTheme="minorHAnsi"/>
        </w:rPr>
        <w:t xml:space="preserve">type’ </w:t>
      </w:r>
      <w:r w:rsidR="005516FE">
        <w:rPr>
          <w:rFonts w:eastAsiaTheme="minorHAnsi"/>
        </w:rPr>
        <w:t xml:space="preserve">that makes a transaction a </w:t>
      </w:r>
      <w:r w:rsidR="003D70AF">
        <w:rPr>
          <w:rFonts w:eastAsiaTheme="minorHAnsi"/>
        </w:rPr>
        <w:t xml:space="preserve">reportable transaction </w:t>
      </w:r>
      <w:r w:rsidR="00BF3595">
        <w:rPr>
          <w:rFonts w:eastAsiaTheme="minorHAnsi"/>
        </w:rPr>
        <w:t>(i.e. entry into, modification, termination or assignment of a derivative)</w:t>
      </w:r>
      <w:r w:rsidR="005516FE">
        <w:rPr>
          <w:rFonts w:eastAsiaTheme="minorHAnsi"/>
        </w:rPr>
        <w:t xml:space="preserve"> rather than, for example, an ‘error’ report.</w:t>
      </w:r>
    </w:p>
    <w:p w14:paraId="5DB5C00F" w14:textId="6722F211" w:rsidR="00721E7F" w:rsidRDefault="00721E7F" w:rsidP="001E15C6">
      <w:pPr>
        <w:pStyle w:val="BodyText"/>
        <w:rPr>
          <w:rFonts w:eastAsiaTheme="minorHAnsi"/>
        </w:rPr>
      </w:pPr>
      <w:r>
        <w:rPr>
          <w:rFonts w:eastAsiaTheme="minorHAnsi"/>
        </w:rPr>
        <w:t>For these ‘</w:t>
      </w:r>
      <w:r w:rsidR="003D70AF">
        <w:rPr>
          <w:rFonts w:eastAsiaTheme="minorHAnsi"/>
        </w:rPr>
        <w:t xml:space="preserve">action </w:t>
      </w:r>
      <w:r>
        <w:rPr>
          <w:rFonts w:eastAsiaTheme="minorHAnsi"/>
        </w:rPr>
        <w:t>type</w:t>
      </w:r>
      <w:r w:rsidR="003D70AF">
        <w:rPr>
          <w:rFonts w:eastAsiaTheme="minorHAnsi"/>
        </w:rPr>
        <w:t>–e</w:t>
      </w:r>
      <w:r>
        <w:rPr>
          <w:rFonts w:eastAsiaTheme="minorHAnsi"/>
        </w:rPr>
        <w:t>vent type’ combinations, a date-time ‘</w:t>
      </w:r>
      <w:r w:rsidR="003D70AF">
        <w:rPr>
          <w:rFonts w:eastAsiaTheme="minorHAnsi"/>
        </w:rPr>
        <w:t>e</w:t>
      </w:r>
      <w:r>
        <w:rPr>
          <w:rFonts w:eastAsiaTheme="minorHAnsi"/>
        </w:rPr>
        <w:t>vent timestamp’ is equivalent to ‘</w:t>
      </w:r>
      <w:r w:rsidR="003D70AF">
        <w:rPr>
          <w:rFonts w:eastAsiaTheme="minorHAnsi"/>
        </w:rPr>
        <w:t>e</w:t>
      </w:r>
      <w:r>
        <w:rPr>
          <w:rFonts w:eastAsiaTheme="minorHAnsi"/>
        </w:rPr>
        <w:t>xecution timestamp’.</w:t>
      </w:r>
    </w:p>
    <w:p w14:paraId="5905B65A" w14:textId="019FF3BB" w:rsidR="009C2CB3" w:rsidRDefault="00721E7F" w:rsidP="00721E7F">
      <w:pPr>
        <w:pStyle w:val="Note"/>
        <w:rPr>
          <w:rFonts w:eastAsiaTheme="minorHAnsi"/>
        </w:rPr>
      </w:pPr>
      <w:r>
        <w:rPr>
          <w:rFonts w:eastAsiaTheme="minorHAnsi"/>
        </w:rPr>
        <w:t xml:space="preserve">Note: ‘Event date’ </w:t>
      </w:r>
      <w:r w:rsidR="00B5308E">
        <w:rPr>
          <w:rFonts w:eastAsiaTheme="minorHAnsi"/>
        </w:rPr>
        <w:t xml:space="preserve">in the </w:t>
      </w:r>
      <w:r w:rsidR="000127C8">
        <w:rPr>
          <w:rFonts w:eastAsiaTheme="minorHAnsi"/>
        </w:rPr>
        <w:t>ESMA proposals</w:t>
      </w:r>
      <w:r w:rsidR="00B5308E">
        <w:rPr>
          <w:rFonts w:eastAsiaTheme="minorHAnsi"/>
        </w:rPr>
        <w:t xml:space="preserve"> </w:t>
      </w:r>
      <w:r w:rsidR="005578E4">
        <w:rPr>
          <w:rFonts w:eastAsiaTheme="minorHAnsi"/>
        </w:rPr>
        <w:t xml:space="preserve">has a </w:t>
      </w:r>
      <w:r w:rsidR="00B5308E">
        <w:rPr>
          <w:rFonts w:eastAsiaTheme="minorHAnsi"/>
        </w:rPr>
        <w:t xml:space="preserve">different </w:t>
      </w:r>
      <w:r w:rsidR="005578E4">
        <w:rPr>
          <w:rFonts w:eastAsiaTheme="minorHAnsi"/>
        </w:rPr>
        <w:t xml:space="preserve">meaning </w:t>
      </w:r>
      <w:r w:rsidR="00B5308E">
        <w:rPr>
          <w:rFonts w:eastAsiaTheme="minorHAnsi"/>
        </w:rPr>
        <w:t>to ‘</w:t>
      </w:r>
      <w:r w:rsidR="003D70AF">
        <w:rPr>
          <w:rFonts w:eastAsiaTheme="minorHAnsi"/>
        </w:rPr>
        <w:t>e</w:t>
      </w:r>
      <w:r w:rsidR="00B5308E">
        <w:rPr>
          <w:rFonts w:eastAsiaTheme="minorHAnsi"/>
        </w:rPr>
        <w:t>vent timestamp’</w:t>
      </w:r>
      <w:r w:rsidR="005578E4">
        <w:rPr>
          <w:rFonts w:eastAsiaTheme="minorHAnsi"/>
        </w:rPr>
        <w:t xml:space="preserve"> in </w:t>
      </w:r>
      <w:r w:rsidR="005578E4">
        <w:rPr>
          <w:rFonts w:eastAsiaTheme="minorHAnsi"/>
        </w:rPr>
        <w:fldChar w:fldCharType="begin"/>
      </w:r>
      <w:r w:rsidR="005578E4">
        <w:rPr>
          <w:rFonts w:eastAsiaTheme="minorHAnsi"/>
        </w:rPr>
        <w:instrText xml:space="preserve"> REF _Ref55372566 \h </w:instrText>
      </w:r>
      <w:r w:rsidR="005578E4">
        <w:rPr>
          <w:rFonts w:eastAsiaTheme="minorHAnsi"/>
        </w:rPr>
      </w:r>
      <w:r w:rsidR="005578E4">
        <w:rPr>
          <w:rFonts w:eastAsiaTheme="minorHAnsi"/>
        </w:rPr>
        <w:fldChar w:fldCharType="separate"/>
      </w:r>
      <w:r w:rsidR="00314C7E">
        <w:t xml:space="preserve">Table </w:t>
      </w:r>
      <w:r w:rsidR="00314C7E">
        <w:rPr>
          <w:noProof/>
        </w:rPr>
        <w:t>7</w:t>
      </w:r>
      <w:r w:rsidR="005578E4">
        <w:rPr>
          <w:rFonts w:eastAsiaTheme="minorHAnsi"/>
        </w:rPr>
        <w:fldChar w:fldCharType="end"/>
      </w:r>
      <w:r w:rsidR="009D5084">
        <w:rPr>
          <w:rFonts w:eastAsiaTheme="minorHAnsi"/>
        </w:rPr>
        <w:t xml:space="preserve">: </w:t>
      </w:r>
      <w:r w:rsidR="00B5308E">
        <w:rPr>
          <w:rFonts w:eastAsiaTheme="minorHAnsi"/>
        </w:rPr>
        <w:t>‘</w:t>
      </w:r>
      <w:r w:rsidR="00142283">
        <w:rPr>
          <w:rFonts w:eastAsiaTheme="minorHAnsi"/>
        </w:rPr>
        <w:t>e</w:t>
      </w:r>
      <w:r w:rsidR="00B5308E">
        <w:rPr>
          <w:rFonts w:eastAsiaTheme="minorHAnsi"/>
        </w:rPr>
        <w:t xml:space="preserve">vent date’ is defined as </w:t>
      </w:r>
      <w:r w:rsidR="00142283">
        <w:rPr>
          <w:rFonts w:eastAsiaTheme="minorHAnsi"/>
        </w:rPr>
        <w:t xml:space="preserve">the </w:t>
      </w:r>
      <w:r w:rsidR="00B5308E">
        <w:rPr>
          <w:rFonts w:eastAsiaTheme="minorHAnsi"/>
        </w:rPr>
        <w:t>‘</w:t>
      </w:r>
      <w:r w:rsidR="00142283">
        <w:rPr>
          <w:rFonts w:eastAsiaTheme="minorHAnsi"/>
        </w:rPr>
        <w:t>d</w:t>
      </w:r>
      <w:r w:rsidR="00B5308E" w:rsidRPr="00B5308E">
        <w:rPr>
          <w:rFonts w:eastAsiaTheme="minorHAnsi"/>
        </w:rPr>
        <w:t>ate on which the reportable event relating to the derivative contract and captured by the report took place or, in case of a modification</w:t>
      </w:r>
      <w:r w:rsidR="00142283">
        <w:rPr>
          <w:rFonts w:eastAsiaTheme="minorHAnsi"/>
        </w:rPr>
        <w:t>,</w:t>
      </w:r>
      <w:r w:rsidR="00B5308E" w:rsidRPr="00B5308E">
        <w:rPr>
          <w:rFonts w:eastAsiaTheme="minorHAnsi"/>
        </w:rPr>
        <w:t xml:space="preserve"> when the modification </w:t>
      </w:r>
      <w:r w:rsidR="009D5084" w:rsidRPr="00B5308E">
        <w:rPr>
          <w:rFonts w:eastAsiaTheme="minorHAnsi"/>
        </w:rPr>
        <w:t>bec</w:t>
      </w:r>
      <w:r w:rsidR="009D5084">
        <w:rPr>
          <w:rFonts w:eastAsiaTheme="minorHAnsi"/>
        </w:rPr>
        <w:t>a</w:t>
      </w:r>
      <w:r w:rsidR="009D5084" w:rsidRPr="00B5308E">
        <w:rPr>
          <w:rFonts w:eastAsiaTheme="minorHAnsi"/>
        </w:rPr>
        <w:t xml:space="preserve">me </w:t>
      </w:r>
      <w:r w:rsidR="00B5308E" w:rsidRPr="00B5308E">
        <w:rPr>
          <w:rFonts w:eastAsiaTheme="minorHAnsi"/>
        </w:rPr>
        <w:t>effective</w:t>
      </w:r>
      <w:r w:rsidR="009D5084">
        <w:rPr>
          <w:rFonts w:eastAsiaTheme="minorHAnsi"/>
        </w:rPr>
        <w:t>’</w:t>
      </w:r>
      <w:r w:rsidR="00B5308E" w:rsidRPr="00B5308E">
        <w:rPr>
          <w:rFonts w:eastAsiaTheme="minorHAnsi"/>
        </w:rPr>
        <w:t>.</w:t>
      </w:r>
    </w:p>
    <w:p w14:paraId="07E3BA78" w14:textId="38844C1A" w:rsidR="009C2CB3" w:rsidRDefault="00B5308E" w:rsidP="00646098">
      <w:pPr>
        <w:pStyle w:val="BodyText"/>
        <w:rPr>
          <w:rFonts w:eastAsiaTheme="minorHAnsi"/>
        </w:rPr>
      </w:pPr>
      <w:r>
        <w:rPr>
          <w:rFonts w:eastAsiaTheme="minorHAnsi"/>
        </w:rPr>
        <w:t xml:space="preserve">‘Clearing timestamp’ is not in the CDE </w:t>
      </w:r>
      <w:r w:rsidR="0022679B">
        <w:rPr>
          <w:rFonts w:eastAsiaTheme="minorHAnsi"/>
        </w:rPr>
        <w:t>Guidance</w:t>
      </w:r>
      <w:r>
        <w:rPr>
          <w:rFonts w:eastAsiaTheme="minorHAnsi"/>
        </w:rPr>
        <w:t xml:space="preserve"> but is in the final CFTC rules, the </w:t>
      </w:r>
      <w:r w:rsidR="000127C8">
        <w:rPr>
          <w:rFonts w:eastAsiaTheme="minorHAnsi"/>
        </w:rPr>
        <w:t>ESMA proposals</w:t>
      </w:r>
      <w:r>
        <w:rPr>
          <w:rFonts w:eastAsiaTheme="minorHAnsi"/>
        </w:rPr>
        <w:t xml:space="preserve"> and the current ASIC Rules. As the definition in the </w:t>
      </w:r>
      <w:r w:rsidR="008366C5">
        <w:rPr>
          <w:rFonts w:eastAsiaTheme="minorHAnsi"/>
        </w:rPr>
        <w:t>ESMA proposals</w:t>
      </w:r>
      <w:r>
        <w:rPr>
          <w:rFonts w:eastAsiaTheme="minorHAnsi"/>
        </w:rPr>
        <w:t xml:space="preserve"> is almost identical to that in the current ASIC Rules, in the interests of minimising definitions proliferation, we currently propose to adopt the EU rules definition in the second round of consultation.</w:t>
      </w:r>
    </w:p>
    <w:p w14:paraId="7312E872" w14:textId="77777777" w:rsidR="004C0A11" w:rsidRDefault="004C0A11" w:rsidP="005E2C08">
      <w:pPr>
        <w:pStyle w:val="Proposalhead"/>
      </w:pPr>
      <w:r>
        <w:t>Proposal</w:t>
      </w:r>
    </w:p>
    <w:p w14:paraId="376C5FF1" w14:textId="1C8F7973" w:rsidR="004C0A11" w:rsidRDefault="00116961">
      <w:pPr>
        <w:pStyle w:val="Proposaltext"/>
      </w:pPr>
      <w:r>
        <w:t xml:space="preserve">We propose to include in the ASIC Rules the data elements related to dates and timestamps set out in </w:t>
      </w:r>
      <w:r w:rsidR="00142283">
        <w:fldChar w:fldCharType="begin"/>
      </w:r>
      <w:r w:rsidR="00142283">
        <w:instrText xml:space="preserve"> REF _Ref55372566 \h </w:instrText>
      </w:r>
      <w:r w:rsidR="00142283">
        <w:fldChar w:fldCharType="separate"/>
      </w:r>
      <w:r w:rsidR="00314C7E">
        <w:t xml:space="preserve">Table </w:t>
      </w:r>
      <w:r w:rsidR="00314C7E">
        <w:rPr>
          <w:noProof/>
        </w:rPr>
        <w:t>7</w:t>
      </w:r>
      <w:r w:rsidR="00142283">
        <w:fldChar w:fldCharType="end"/>
      </w:r>
      <w:r>
        <w:t>.</w:t>
      </w:r>
    </w:p>
    <w:p w14:paraId="53A96436" w14:textId="77777777" w:rsidR="004C0A11" w:rsidRDefault="004C0A11">
      <w:pPr>
        <w:pStyle w:val="Feedbackhead"/>
      </w:pPr>
      <w:r>
        <w:t>Your feedback</w:t>
      </w:r>
    </w:p>
    <w:p w14:paraId="2C19310E" w14:textId="77777777" w:rsidR="00116961" w:rsidRDefault="00116961">
      <w:pPr>
        <w:pStyle w:val="Feedbackquestion"/>
      </w:pPr>
      <w:r>
        <w:t>Do you agree with this proposal? In your response, please give detailed reasons for your answer.</w:t>
      </w:r>
    </w:p>
    <w:p w14:paraId="2EB9595B" w14:textId="3367E526" w:rsidR="00116961" w:rsidRDefault="00116961" w:rsidP="00116961">
      <w:pPr>
        <w:pStyle w:val="Feedbackquestion"/>
      </w:pPr>
      <w:r>
        <w:t>In relation to ‘</w:t>
      </w:r>
      <w:r w:rsidR="00142283">
        <w:t>e</w:t>
      </w:r>
      <w:r>
        <w:t xml:space="preserve">ffective </w:t>
      </w:r>
      <w:r w:rsidR="00142283">
        <w:t>d</w:t>
      </w:r>
      <w:r>
        <w:t xml:space="preserve">ate’, do you </w:t>
      </w:r>
      <w:r w:rsidR="008573F6">
        <w:t>consider</w:t>
      </w:r>
      <w:r>
        <w:t xml:space="preserve"> that:</w:t>
      </w:r>
    </w:p>
    <w:p w14:paraId="1F57C708" w14:textId="33CEB082" w:rsidR="00116961" w:rsidRDefault="00116961" w:rsidP="00116961">
      <w:pPr>
        <w:pStyle w:val="Feedbacksubquestion"/>
      </w:pPr>
      <w:r>
        <w:t>there is a need to clarify the meaning of ‘</w:t>
      </w:r>
      <w:r w:rsidR="00142283">
        <w:t>e</w:t>
      </w:r>
      <w:r>
        <w:t>ffective date’;</w:t>
      </w:r>
    </w:p>
    <w:p w14:paraId="057B3642" w14:textId="1B562C91" w:rsidR="00116961" w:rsidRDefault="00116961" w:rsidP="005E2C08">
      <w:pPr>
        <w:pStyle w:val="Feedbacksubquestion"/>
      </w:pPr>
      <w:r>
        <w:lastRenderedPageBreak/>
        <w:t>there are particular types of transactions for which determining ‘</w:t>
      </w:r>
      <w:r w:rsidR="00142283">
        <w:t>e</w:t>
      </w:r>
      <w:r>
        <w:t>ffective date’ is problematic; or</w:t>
      </w:r>
    </w:p>
    <w:p w14:paraId="5E8E5424" w14:textId="7E4C11F9" w:rsidR="00116961" w:rsidRDefault="00116961" w:rsidP="005E2C08">
      <w:pPr>
        <w:pStyle w:val="Feedbacksubquestion"/>
      </w:pPr>
      <w:r>
        <w:t>in the absence of a determinable ‘</w:t>
      </w:r>
      <w:r w:rsidR="00142283">
        <w:t xml:space="preserve">effective </w:t>
      </w:r>
      <w:r>
        <w:t>date’, ‘</w:t>
      </w:r>
      <w:r w:rsidR="00142283">
        <w:t xml:space="preserve">execution </w:t>
      </w:r>
      <w:r>
        <w:t>timestamp</w:t>
      </w:r>
      <w:r w:rsidR="00142283">
        <w:t>’</w:t>
      </w:r>
      <w:r>
        <w:t xml:space="preserve"> should be reported instead</w:t>
      </w:r>
      <w:r w:rsidR="00142283">
        <w:t>?</w:t>
      </w:r>
    </w:p>
    <w:p w14:paraId="24764648" w14:textId="586C7C34" w:rsidR="004C0A11" w:rsidRDefault="001E09FA" w:rsidP="001E09FA">
      <w:pPr>
        <w:pStyle w:val="Feedbackquestion"/>
        <w:numPr>
          <w:ilvl w:val="0"/>
          <w:numId w:val="0"/>
        </w:numPr>
        <w:tabs>
          <w:tab w:val="left" w:pos="3828"/>
        </w:tabs>
        <w:ind w:left="3799" w:hanging="567"/>
      </w:pPr>
      <w:r>
        <w:tab/>
      </w:r>
      <w:r w:rsidR="00116961">
        <w:t xml:space="preserve">In your response, please </w:t>
      </w:r>
      <w:r w:rsidR="00116961" w:rsidRPr="00B63368">
        <w:t xml:space="preserve">give detailed reasons for your </w:t>
      </w:r>
      <w:r w:rsidR="00116961">
        <w:t>answer.</w:t>
      </w:r>
    </w:p>
    <w:p w14:paraId="09925834" w14:textId="475A6AA1" w:rsidR="00116961" w:rsidRDefault="00E476C1" w:rsidP="00116961">
      <w:pPr>
        <w:pStyle w:val="Feedbackquestion"/>
      </w:pPr>
      <w:r>
        <w:t>Do you agree that ‘</w:t>
      </w:r>
      <w:r w:rsidR="00142283">
        <w:t>e</w:t>
      </w:r>
      <w:r>
        <w:t xml:space="preserve">vent timestamp’ should be a timestamp data element and not a date data element? In your response, please </w:t>
      </w:r>
      <w:r w:rsidRPr="00B63368">
        <w:t xml:space="preserve">give detailed reasons for your </w:t>
      </w:r>
      <w:r>
        <w:t>answer</w:t>
      </w:r>
      <w:r w:rsidR="00142283">
        <w:t>.</w:t>
      </w:r>
    </w:p>
    <w:p w14:paraId="34C4B2A2" w14:textId="2909D272" w:rsidR="008573F6" w:rsidRDefault="001E09FA" w:rsidP="00C62732">
      <w:pPr>
        <w:pStyle w:val="Feedbackquestion"/>
      </w:pPr>
      <w:bookmarkStart w:id="91" w:name="_Hlk53921329"/>
      <w:r>
        <w:t xml:space="preserve">Do you </w:t>
      </w:r>
      <w:r w:rsidR="008573F6">
        <w:t xml:space="preserve">consider </w:t>
      </w:r>
      <w:r>
        <w:t xml:space="preserve">that you will have </w:t>
      </w:r>
      <w:r w:rsidR="00790DEA">
        <w:t>particular</w:t>
      </w:r>
      <w:r>
        <w:t xml:space="preserve"> interpretation or implementation issues with the data elements</w:t>
      </w:r>
      <w:r w:rsidR="00CB0A2A">
        <w:t xml:space="preserve"> set out in </w:t>
      </w:r>
      <w:r w:rsidR="00CB0A2A">
        <w:fldChar w:fldCharType="begin"/>
      </w:r>
      <w:r w:rsidR="00CB0A2A">
        <w:instrText xml:space="preserve"> REF _Ref55372566 \h </w:instrText>
      </w:r>
      <w:r w:rsidR="00CB0A2A">
        <w:fldChar w:fldCharType="separate"/>
      </w:r>
      <w:r w:rsidR="00314C7E">
        <w:t xml:space="preserve">Table </w:t>
      </w:r>
      <w:r w:rsidR="00314C7E">
        <w:rPr>
          <w:noProof/>
        </w:rPr>
        <w:t>7</w:t>
      </w:r>
      <w:r w:rsidR="00CB0A2A">
        <w:fldChar w:fldCharType="end"/>
      </w:r>
      <w:r>
        <w:t xml:space="preserve">? In your response, please </w:t>
      </w:r>
      <w:r w:rsidRPr="00B63368">
        <w:t xml:space="preserve">give detailed reasons for your </w:t>
      </w:r>
      <w:r>
        <w:t>answer.</w:t>
      </w:r>
      <w:bookmarkEnd w:id="91"/>
    </w:p>
    <w:p w14:paraId="13A855EB" w14:textId="4CA28954" w:rsidR="00572DB6" w:rsidRDefault="00572DB6" w:rsidP="00B91402">
      <w:pPr>
        <w:pStyle w:val="Heading2"/>
        <w:rPr>
          <w:rFonts w:eastAsiaTheme="minorHAnsi"/>
        </w:rPr>
      </w:pPr>
      <w:bookmarkStart w:id="92" w:name="_Toc57146491"/>
      <w:r>
        <w:rPr>
          <w:rFonts w:eastAsiaTheme="minorHAnsi"/>
        </w:rPr>
        <w:t>Data elements related to counterparties and beneficiaries</w:t>
      </w:r>
      <w:bookmarkEnd w:id="92"/>
    </w:p>
    <w:p w14:paraId="27A12A29" w14:textId="5C4DFC7C" w:rsidR="00F30DC0" w:rsidRDefault="000B4B18" w:rsidP="00F30DC0">
      <w:pPr>
        <w:pStyle w:val="BodyText"/>
        <w:rPr>
          <w:rFonts w:eastAsiaTheme="minorHAnsi"/>
        </w:rPr>
      </w:pPr>
      <w:r>
        <w:rPr>
          <w:rFonts w:eastAsiaTheme="minorHAnsi"/>
        </w:rPr>
        <w:t>We propose to include the following data elements in the ASIC Rules.</w:t>
      </w:r>
    </w:p>
    <w:p w14:paraId="0E3E52DF" w14:textId="37DAE2A5" w:rsidR="004857CC" w:rsidRPr="004857CC" w:rsidRDefault="004857CC" w:rsidP="004857CC">
      <w:pPr>
        <w:pStyle w:val="tabletitlefullwidth"/>
      </w:pPr>
      <w:bookmarkStart w:id="93" w:name="_Ref55911814"/>
      <w:bookmarkStart w:id="94" w:name="_Hlk53375482"/>
      <w:r>
        <w:t xml:space="preserve">Table </w:t>
      </w:r>
      <w:r w:rsidR="007055A5">
        <w:fldChar w:fldCharType="begin"/>
      </w:r>
      <w:r w:rsidR="007055A5">
        <w:instrText xml:space="preserve"> SEQ Table \* ARABIC </w:instrText>
      </w:r>
      <w:r w:rsidR="007055A5">
        <w:fldChar w:fldCharType="separate"/>
      </w:r>
      <w:r w:rsidR="00314C7E">
        <w:rPr>
          <w:noProof/>
        </w:rPr>
        <w:t>8</w:t>
      </w:r>
      <w:r w:rsidR="007055A5">
        <w:rPr>
          <w:noProof/>
        </w:rPr>
        <w:fldChar w:fldCharType="end"/>
      </w:r>
      <w:bookmarkEnd w:id="93"/>
      <w:r>
        <w:t>:</w:t>
      </w:r>
      <w:r>
        <w:tab/>
      </w:r>
      <w:r w:rsidR="000270BC">
        <w:t>Proposed data elements related to counterparties and beneficiaries</w:t>
      </w:r>
    </w:p>
    <w:bookmarkEnd w:id="94"/>
    <w:tbl>
      <w:tblPr>
        <w:tblW w:w="9072"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0"/>
        <w:gridCol w:w="4396"/>
        <w:gridCol w:w="764"/>
        <w:gridCol w:w="727"/>
        <w:gridCol w:w="10"/>
        <w:gridCol w:w="727"/>
        <w:gridCol w:w="10"/>
        <w:gridCol w:w="738"/>
      </w:tblGrid>
      <w:tr w:rsidR="00F30DC0" w:rsidRPr="000540E1" w14:paraId="0D469F39" w14:textId="77777777" w:rsidTr="00874FAA">
        <w:trPr>
          <w:cantSplit/>
          <w:tblHeader/>
        </w:trPr>
        <w:tc>
          <w:tcPr>
            <w:tcW w:w="1700" w:type="dxa"/>
            <w:shd w:val="clear" w:color="auto" w:fill="C2E3FA"/>
          </w:tcPr>
          <w:p w14:paraId="311E8BAE" w14:textId="77777777" w:rsidR="00F30DC0" w:rsidRDefault="00F30DC0" w:rsidP="0099665F">
            <w:pPr>
              <w:pStyle w:val="tablehead"/>
            </w:pPr>
          </w:p>
        </w:tc>
        <w:tc>
          <w:tcPr>
            <w:tcW w:w="4396" w:type="dxa"/>
            <w:shd w:val="clear" w:color="auto" w:fill="C2E3FA"/>
          </w:tcPr>
          <w:p w14:paraId="7BE15412" w14:textId="77777777" w:rsidR="00F30DC0" w:rsidRDefault="00F30DC0" w:rsidP="0099665F">
            <w:pPr>
              <w:pStyle w:val="tablehead"/>
            </w:pPr>
          </w:p>
        </w:tc>
        <w:tc>
          <w:tcPr>
            <w:tcW w:w="2976" w:type="dxa"/>
            <w:gridSpan w:val="6"/>
            <w:shd w:val="clear" w:color="auto" w:fill="C2E3FA"/>
          </w:tcPr>
          <w:p w14:paraId="0E6329C8" w14:textId="67E2463D" w:rsidR="00F30DC0" w:rsidRPr="000540E1" w:rsidRDefault="001156A2" w:rsidP="0099665F">
            <w:pPr>
              <w:pStyle w:val="tablehead"/>
              <w:jc w:val="center"/>
            </w:pPr>
            <w:r>
              <w:t>Element</w:t>
            </w:r>
            <w:r w:rsidR="00F30DC0">
              <w:t xml:space="preserve"> number references</w:t>
            </w:r>
          </w:p>
        </w:tc>
      </w:tr>
      <w:tr w:rsidR="00F30DC0" w:rsidRPr="000540E1" w14:paraId="5A0690D0" w14:textId="77777777" w:rsidTr="00874FAA">
        <w:trPr>
          <w:cantSplit/>
          <w:tblHeader/>
        </w:trPr>
        <w:tc>
          <w:tcPr>
            <w:tcW w:w="1700" w:type="dxa"/>
            <w:shd w:val="clear" w:color="auto" w:fill="C2E3FA"/>
          </w:tcPr>
          <w:p w14:paraId="6956FEB5" w14:textId="77777777" w:rsidR="00F30DC0" w:rsidRDefault="00F30DC0" w:rsidP="0099665F">
            <w:pPr>
              <w:pStyle w:val="tablehead"/>
            </w:pPr>
            <w:r>
              <w:t>Data element</w:t>
            </w:r>
          </w:p>
        </w:tc>
        <w:tc>
          <w:tcPr>
            <w:tcW w:w="4396" w:type="dxa"/>
            <w:shd w:val="clear" w:color="auto" w:fill="C2E3FA"/>
          </w:tcPr>
          <w:p w14:paraId="49765E03" w14:textId="3A3AE7C4" w:rsidR="00F30DC0" w:rsidRDefault="00277807" w:rsidP="0099665F">
            <w:pPr>
              <w:pStyle w:val="tablehead"/>
            </w:pPr>
            <w:r>
              <w:t>Definition</w:t>
            </w:r>
            <w:r w:rsidR="0043102E">
              <w:rPr>
                <w:rFonts w:ascii="Calibri" w:hAnsi="Calibri"/>
              </w:rPr>
              <w:t>—</w:t>
            </w:r>
            <w:r w:rsidR="0043102E">
              <w:t>S</w:t>
            </w:r>
            <w:r>
              <w:t>ummary of key points</w:t>
            </w:r>
          </w:p>
        </w:tc>
        <w:tc>
          <w:tcPr>
            <w:tcW w:w="764" w:type="dxa"/>
            <w:shd w:val="clear" w:color="auto" w:fill="C2E3FA"/>
          </w:tcPr>
          <w:p w14:paraId="5D018762" w14:textId="7BDD64AA" w:rsidR="00F30DC0" w:rsidRPr="000540E1" w:rsidRDefault="00F30DC0" w:rsidP="0099665F">
            <w:pPr>
              <w:pStyle w:val="tablehead"/>
              <w:jc w:val="center"/>
            </w:pPr>
            <w:r>
              <w:t>CDE</w:t>
            </w:r>
          </w:p>
        </w:tc>
        <w:tc>
          <w:tcPr>
            <w:tcW w:w="737" w:type="dxa"/>
            <w:gridSpan w:val="2"/>
            <w:shd w:val="clear" w:color="auto" w:fill="C2E3FA"/>
          </w:tcPr>
          <w:p w14:paraId="1EB3A2D4" w14:textId="77777777" w:rsidR="00F30DC0" w:rsidRPr="000540E1" w:rsidRDefault="00F30DC0" w:rsidP="0099665F">
            <w:pPr>
              <w:pStyle w:val="tablehead"/>
              <w:jc w:val="center"/>
            </w:pPr>
            <w:r>
              <w:t>CFTC</w:t>
            </w:r>
          </w:p>
        </w:tc>
        <w:tc>
          <w:tcPr>
            <w:tcW w:w="737" w:type="dxa"/>
            <w:gridSpan w:val="2"/>
            <w:shd w:val="clear" w:color="auto" w:fill="C2E3FA"/>
          </w:tcPr>
          <w:p w14:paraId="6C7A6BE4" w14:textId="1F04AC54" w:rsidR="00F30DC0" w:rsidRDefault="005C1566" w:rsidP="0099665F">
            <w:pPr>
              <w:pStyle w:val="tablehead"/>
              <w:jc w:val="center"/>
            </w:pPr>
            <w:r>
              <w:t>ESMA</w:t>
            </w:r>
          </w:p>
        </w:tc>
        <w:tc>
          <w:tcPr>
            <w:tcW w:w="738" w:type="dxa"/>
            <w:shd w:val="clear" w:color="auto" w:fill="C2E3FA"/>
          </w:tcPr>
          <w:p w14:paraId="2F89F19B" w14:textId="77777777" w:rsidR="00F30DC0" w:rsidRDefault="00F30DC0" w:rsidP="0099665F">
            <w:pPr>
              <w:pStyle w:val="tablehead"/>
              <w:jc w:val="center"/>
            </w:pPr>
            <w:r>
              <w:t>ASIC</w:t>
            </w:r>
          </w:p>
        </w:tc>
      </w:tr>
      <w:tr w:rsidR="00F30DC0" w:rsidRPr="000540E1" w14:paraId="0C7B3E70" w14:textId="77777777" w:rsidTr="00874FAA">
        <w:trPr>
          <w:cantSplit/>
        </w:trPr>
        <w:tc>
          <w:tcPr>
            <w:tcW w:w="1700" w:type="dxa"/>
          </w:tcPr>
          <w:p w14:paraId="48EE5CAB" w14:textId="47FBCDAC" w:rsidR="00F30DC0" w:rsidRPr="000540E1" w:rsidRDefault="00F30DC0" w:rsidP="0099665F">
            <w:pPr>
              <w:pStyle w:val="tbltext"/>
            </w:pPr>
            <w:r w:rsidRPr="00F30DC0">
              <w:t>Counterparty 1 (reporting counterparty)</w:t>
            </w:r>
          </w:p>
        </w:tc>
        <w:tc>
          <w:tcPr>
            <w:tcW w:w="4396" w:type="dxa"/>
          </w:tcPr>
          <w:p w14:paraId="6BF966D1" w14:textId="0419D219" w:rsidR="00F30DC0" w:rsidRDefault="008F72A3" w:rsidP="00F30DC0">
            <w:pPr>
              <w:pStyle w:val="tbltext"/>
            </w:pPr>
            <w:r>
              <w:t>{</w:t>
            </w:r>
            <w:r w:rsidR="00F30DC0">
              <w:t>CDE TG</w:t>
            </w:r>
            <w:r>
              <w:t>}</w:t>
            </w:r>
            <w:r w:rsidR="00F30DC0">
              <w:t xml:space="preserve"> Identifier</w:t>
            </w:r>
            <w:r w:rsidR="001968C5">
              <w:t xml:space="preserve"> (LEI)</w:t>
            </w:r>
            <w:r w:rsidR="00F30DC0">
              <w:t xml:space="preserve"> of the counterparty to an OTC derivative transaction who is fulfilling its reporting obligation via the report in question.</w:t>
            </w:r>
          </w:p>
          <w:p w14:paraId="7B65F58B" w14:textId="396E50F0" w:rsidR="00F30DC0" w:rsidRPr="000540E1" w:rsidRDefault="00F30DC0" w:rsidP="00F30DC0">
            <w:pPr>
              <w:pStyle w:val="tbltext"/>
            </w:pPr>
            <w:r>
              <w:t>In the case of a</w:t>
            </w:r>
            <w:r w:rsidR="008F72A3">
              <w:t xml:space="preserve"> d</w:t>
            </w:r>
            <w:r>
              <w:t>erivative transaction executed by a fund manager on behalf of a fund, the fund and not the fund manager is reported as the counterparty.</w:t>
            </w:r>
          </w:p>
        </w:tc>
        <w:tc>
          <w:tcPr>
            <w:tcW w:w="764" w:type="dxa"/>
          </w:tcPr>
          <w:p w14:paraId="1189C524" w14:textId="7C804F81" w:rsidR="00F30DC0" w:rsidRPr="000540E1" w:rsidRDefault="00F30DC0" w:rsidP="0099665F">
            <w:pPr>
              <w:pStyle w:val="tbltext"/>
              <w:jc w:val="center"/>
            </w:pPr>
            <w:r>
              <w:t>2.6</w:t>
            </w:r>
          </w:p>
        </w:tc>
        <w:tc>
          <w:tcPr>
            <w:tcW w:w="737" w:type="dxa"/>
            <w:gridSpan w:val="2"/>
          </w:tcPr>
          <w:p w14:paraId="6D5CC26D" w14:textId="79AE437D" w:rsidR="00F30DC0" w:rsidRPr="000540E1" w:rsidRDefault="00F30DC0" w:rsidP="0099665F">
            <w:pPr>
              <w:pStyle w:val="tbltext"/>
              <w:jc w:val="center"/>
            </w:pPr>
            <w:r>
              <w:t>13</w:t>
            </w:r>
          </w:p>
        </w:tc>
        <w:tc>
          <w:tcPr>
            <w:tcW w:w="737" w:type="dxa"/>
            <w:gridSpan w:val="2"/>
          </w:tcPr>
          <w:p w14:paraId="1A9BD353" w14:textId="3C59B789" w:rsidR="00F30DC0" w:rsidRPr="000540E1" w:rsidRDefault="00F30DC0" w:rsidP="0099665F">
            <w:pPr>
              <w:pStyle w:val="tbltext"/>
              <w:jc w:val="center"/>
            </w:pPr>
            <w:r>
              <w:t>1.4</w:t>
            </w:r>
          </w:p>
        </w:tc>
        <w:tc>
          <w:tcPr>
            <w:tcW w:w="738" w:type="dxa"/>
          </w:tcPr>
          <w:p w14:paraId="6706D737" w14:textId="0BD5782B" w:rsidR="00F30DC0" w:rsidRPr="000540E1" w:rsidRDefault="00F30DC0" w:rsidP="0099665F">
            <w:pPr>
              <w:pStyle w:val="tbltext"/>
              <w:jc w:val="center"/>
            </w:pPr>
            <w:r>
              <w:t>1.5</w:t>
            </w:r>
          </w:p>
        </w:tc>
      </w:tr>
      <w:tr w:rsidR="00FA10FC" w:rsidRPr="000540E1" w14:paraId="58F6930A" w14:textId="77777777" w:rsidTr="00874FAA">
        <w:tblPrEx>
          <w:tblLook w:val="0620" w:firstRow="1" w:lastRow="0" w:firstColumn="0" w:lastColumn="0" w:noHBand="1" w:noVBand="1"/>
        </w:tblPrEx>
        <w:trPr>
          <w:cantSplit/>
        </w:trPr>
        <w:tc>
          <w:tcPr>
            <w:tcW w:w="1700" w:type="dxa"/>
          </w:tcPr>
          <w:p w14:paraId="5B28F266" w14:textId="6372DB98" w:rsidR="00FA10FC" w:rsidRPr="000540E1" w:rsidRDefault="009E0748" w:rsidP="00274C82">
            <w:pPr>
              <w:pStyle w:val="tbltext"/>
            </w:pPr>
            <w:r>
              <w:t>Reporting entity</w:t>
            </w:r>
          </w:p>
        </w:tc>
        <w:tc>
          <w:tcPr>
            <w:tcW w:w="4396" w:type="dxa"/>
          </w:tcPr>
          <w:p w14:paraId="4CE80939" w14:textId="485F396C" w:rsidR="00FA10FC" w:rsidRDefault="00FA10FC" w:rsidP="00274C82">
            <w:pPr>
              <w:pStyle w:val="tbltext"/>
            </w:pPr>
            <w:r>
              <w:t xml:space="preserve">{ASIC} Identifier </w:t>
            </w:r>
            <w:r w:rsidR="001968C5">
              <w:t xml:space="preserve">(LEI) </w:t>
            </w:r>
            <w:r>
              <w:t xml:space="preserve">of the </w:t>
            </w:r>
            <w:r w:rsidR="009E0748">
              <w:t>reporting entity</w:t>
            </w:r>
            <w:r w:rsidR="004C73E4">
              <w:t>.</w:t>
            </w:r>
          </w:p>
          <w:p w14:paraId="7CB6A532" w14:textId="57F7041D" w:rsidR="00FA10FC" w:rsidRPr="000540E1" w:rsidRDefault="00FA10FC" w:rsidP="00274C82">
            <w:pPr>
              <w:pStyle w:val="tbltext"/>
            </w:pPr>
            <w:r>
              <w:t xml:space="preserve">broadly equivalent to </w:t>
            </w:r>
            <w:r w:rsidR="005C1566">
              <w:t>ESMA</w:t>
            </w:r>
            <w:r>
              <w:t xml:space="preserve">’s </w:t>
            </w:r>
            <w:r w:rsidR="002F5E28">
              <w:t xml:space="preserve">data </w:t>
            </w:r>
            <w:r>
              <w:t>element ‘</w:t>
            </w:r>
            <w:r w:rsidR="00A45CFE">
              <w:t xml:space="preserve">entity </w:t>
            </w:r>
            <w:r>
              <w:t>responsible for reporting’ that identifies the manager of a fund or a pension scheme.</w:t>
            </w:r>
          </w:p>
        </w:tc>
        <w:tc>
          <w:tcPr>
            <w:tcW w:w="764" w:type="dxa"/>
          </w:tcPr>
          <w:p w14:paraId="05EC7909" w14:textId="3B0417F1" w:rsidR="00FA10FC" w:rsidRPr="000540E1" w:rsidRDefault="00A45CFE" w:rsidP="00274C82">
            <w:pPr>
              <w:pStyle w:val="tbltext"/>
              <w:jc w:val="center"/>
            </w:pPr>
            <w:r>
              <w:t>n/a</w:t>
            </w:r>
          </w:p>
        </w:tc>
        <w:tc>
          <w:tcPr>
            <w:tcW w:w="727" w:type="dxa"/>
          </w:tcPr>
          <w:p w14:paraId="5BEC0A23" w14:textId="19BFC587" w:rsidR="00FA10FC" w:rsidRPr="000540E1" w:rsidRDefault="00A45CFE" w:rsidP="00274C82">
            <w:pPr>
              <w:pStyle w:val="tbltext"/>
              <w:jc w:val="center"/>
            </w:pPr>
            <w:r>
              <w:t>n/a</w:t>
            </w:r>
          </w:p>
        </w:tc>
        <w:tc>
          <w:tcPr>
            <w:tcW w:w="737" w:type="dxa"/>
            <w:gridSpan w:val="2"/>
          </w:tcPr>
          <w:p w14:paraId="094DBF94" w14:textId="77777777" w:rsidR="00FA10FC" w:rsidRPr="000540E1" w:rsidRDefault="00FA10FC" w:rsidP="00274C82">
            <w:pPr>
              <w:pStyle w:val="tbltext"/>
              <w:jc w:val="center"/>
            </w:pPr>
            <w:r>
              <w:t>1.3</w:t>
            </w:r>
          </w:p>
        </w:tc>
        <w:tc>
          <w:tcPr>
            <w:tcW w:w="748" w:type="dxa"/>
            <w:gridSpan w:val="2"/>
          </w:tcPr>
          <w:p w14:paraId="06BB4299" w14:textId="50BDA2A0" w:rsidR="00FA10FC" w:rsidRPr="000540E1" w:rsidRDefault="00A45CFE" w:rsidP="00274C82">
            <w:pPr>
              <w:pStyle w:val="tbltext"/>
              <w:jc w:val="center"/>
            </w:pPr>
            <w:r>
              <w:t>n/a</w:t>
            </w:r>
          </w:p>
        </w:tc>
      </w:tr>
      <w:tr w:rsidR="00F30DC0" w:rsidRPr="000540E1" w14:paraId="6237D9B6" w14:textId="77777777" w:rsidTr="00874FAA">
        <w:trPr>
          <w:cantSplit/>
        </w:trPr>
        <w:tc>
          <w:tcPr>
            <w:tcW w:w="1700" w:type="dxa"/>
          </w:tcPr>
          <w:p w14:paraId="6F16FFEA" w14:textId="7EA36467" w:rsidR="00F30DC0" w:rsidRPr="000540E1" w:rsidRDefault="00F30DC0" w:rsidP="0099665F">
            <w:pPr>
              <w:pStyle w:val="tbltext"/>
            </w:pPr>
            <w:r>
              <w:t>Counterparty 2</w:t>
            </w:r>
          </w:p>
        </w:tc>
        <w:tc>
          <w:tcPr>
            <w:tcW w:w="4396" w:type="dxa"/>
          </w:tcPr>
          <w:p w14:paraId="12BB6063" w14:textId="7D58F63C" w:rsidR="00F30DC0" w:rsidRDefault="008F72A3" w:rsidP="008F72A3">
            <w:pPr>
              <w:pStyle w:val="tbltext"/>
            </w:pPr>
            <w:r>
              <w:t>{</w:t>
            </w:r>
            <w:r w:rsidR="00F30DC0">
              <w:t>CDE TG</w:t>
            </w:r>
            <w:r>
              <w:t>}</w:t>
            </w:r>
            <w:r w:rsidR="00F30DC0">
              <w:t xml:space="preserve"> Identifier of the second counterparty to an OTC derivative transaction</w:t>
            </w:r>
            <w:r>
              <w:t>.</w:t>
            </w:r>
          </w:p>
          <w:p w14:paraId="3BCA8A19" w14:textId="6420BFF0" w:rsidR="00DF4951" w:rsidRDefault="00DF4951" w:rsidP="008F72A3">
            <w:pPr>
              <w:pStyle w:val="tbltext"/>
            </w:pPr>
            <w:r>
              <w:t>In the case of a derivative transaction executed by a fund manager on behalf of a fund, the fund and not the fund manager is reported as the counterparty.</w:t>
            </w:r>
          </w:p>
          <w:p w14:paraId="6789604E" w14:textId="17EA0212" w:rsidR="001968C5" w:rsidRDefault="001968C5" w:rsidP="008F72A3">
            <w:pPr>
              <w:pStyle w:val="tbltext"/>
            </w:pPr>
            <w:r>
              <w:t xml:space="preserve">Identifier as LEI or </w:t>
            </w:r>
            <w:r w:rsidR="001169C5" w:rsidRPr="001169C5">
              <w:t>‘</w:t>
            </w:r>
            <w:r w:rsidRPr="001169C5">
              <w:t xml:space="preserve">CDE </w:t>
            </w:r>
            <w:r w:rsidR="004C73E4">
              <w:t>natural person identifier</w:t>
            </w:r>
            <w:r w:rsidR="004C73E4" w:rsidRPr="001169C5">
              <w:t>’</w:t>
            </w:r>
            <w:r w:rsidR="004C73E4">
              <w:t>.</w:t>
            </w:r>
          </w:p>
          <w:p w14:paraId="60649ACF" w14:textId="42077F3A" w:rsidR="001968C5" w:rsidRPr="000540E1" w:rsidRDefault="001169C5" w:rsidP="00E96086">
            <w:pPr>
              <w:pStyle w:val="tblnote"/>
            </w:pPr>
            <w:r w:rsidRPr="00BB507D">
              <w:t xml:space="preserve">Note: </w:t>
            </w:r>
            <w:r>
              <w:t xml:space="preserve">At </w:t>
            </w:r>
            <w:r w:rsidR="001968C5">
              <w:t xml:space="preserve">CDE TG </w:t>
            </w:r>
            <w:r>
              <w:t xml:space="preserve">2.7, the identifier of a </w:t>
            </w:r>
            <w:r w:rsidRPr="001169C5">
              <w:t xml:space="preserve">natural person who </w:t>
            </w:r>
            <w:r w:rsidR="00A45CFE">
              <w:t>is</w:t>
            </w:r>
            <w:r w:rsidR="00A45CFE" w:rsidRPr="001169C5">
              <w:t xml:space="preserve"> </w:t>
            </w:r>
            <w:r w:rsidRPr="001169C5">
              <w:t xml:space="preserve">acting as </w:t>
            </w:r>
            <w:r w:rsidR="00A45CFE">
              <w:t xml:space="preserve">a </w:t>
            </w:r>
            <w:r w:rsidRPr="001169C5">
              <w:t>private individual (</w:t>
            </w:r>
            <w:r>
              <w:t xml:space="preserve">i.e. not LEI-eligible) is specified as the </w:t>
            </w:r>
            <w:r w:rsidRPr="001169C5">
              <w:t>LEI of the reporting counterparty followed by a unique identifier assigned and maintained consistently by the reporting counterparty for that natural person</w:t>
            </w:r>
            <w:r>
              <w:t>.</w:t>
            </w:r>
          </w:p>
        </w:tc>
        <w:tc>
          <w:tcPr>
            <w:tcW w:w="764" w:type="dxa"/>
          </w:tcPr>
          <w:p w14:paraId="0E93D922" w14:textId="65BA6B8D" w:rsidR="00F30DC0" w:rsidRPr="000540E1" w:rsidRDefault="00F30DC0" w:rsidP="0099665F">
            <w:pPr>
              <w:pStyle w:val="tbltext"/>
              <w:jc w:val="center"/>
            </w:pPr>
            <w:r>
              <w:t>2.7</w:t>
            </w:r>
          </w:p>
        </w:tc>
        <w:tc>
          <w:tcPr>
            <w:tcW w:w="737" w:type="dxa"/>
            <w:gridSpan w:val="2"/>
          </w:tcPr>
          <w:p w14:paraId="58FDB056" w14:textId="3C6F70F9" w:rsidR="00F30DC0" w:rsidRPr="000540E1" w:rsidRDefault="00F30DC0" w:rsidP="0099665F">
            <w:pPr>
              <w:pStyle w:val="tbltext"/>
              <w:jc w:val="center"/>
            </w:pPr>
            <w:r>
              <w:t>14</w:t>
            </w:r>
          </w:p>
        </w:tc>
        <w:tc>
          <w:tcPr>
            <w:tcW w:w="737" w:type="dxa"/>
            <w:gridSpan w:val="2"/>
          </w:tcPr>
          <w:p w14:paraId="1762BBEB" w14:textId="2F7A7F7E" w:rsidR="00F30DC0" w:rsidRPr="000540E1" w:rsidRDefault="00F30DC0" w:rsidP="0099665F">
            <w:pPr>
              <w:pStyle w:val="tbltext"/>
              <w:jc w:val="center"/>
            </w:pPr>
            <w:r>
              <w:t>1.9</w:t>
            </w:r>
          </w:p>
        </w:tc>
        <w:tc>
          <w:tcPr>
            <w:tcW w:w="738" w:type="dxa"/>
          </w:tcPr>
          <w:p w14:paraId="41CFF6B2" w14:textId="70CFE37C" w:rsidR="00F30DC0" w:rsidRPr="000540E1" w:rsidRDefault="00F30DC0" w:rsidP="0099665F">
            <w:pPr>
              <w:pStyle w:val="tbltext"/>
              <w:jc w:val="center"/>
            </w:pPr>
            <w:r>
              <w:t>1.7</w:t>
            </w:r>
          </w:p>
        </w:tc>
      </w:tr>
      <w:tr w:rsidR="00F30DC0" w:rsidRPr="000540E1" w14:paraId="4701BFD2" w14:textId="77777777" w:rsidTr="00874FAA">
        <w:trPr>
          <w:cantSplit/>
        </w:trPr>
        <w:tc>
          <w:tcPr>
            <w:tcW w:w="1700" w:type="dxa"/>
          </w:tcPr>
          <w:p w14:paraId="13A80D29" w14:textId="3C55631D" w:rsidR="00F30DC0" w:rsidRPr="000540E1" w:rsidRDefault="00F30DC0" w:rsidP="00F30DC0">
            <w:pPr>
              <w:pStyle w:val="tbltext"/>
            </w:pPr>
            <w:bookmarkStart w:id="95" w:name="_Hlk53573736"/>
            <w:r>
              <w:lastRenderedPageBreak/>
              <w:t>Counterparty 2 identifier type</w:t>
            </w:r>
          </w:p>
        </w:tc>
        <w:tc>
          <w:tcPr>
            <w:tcW w:w="4396" w:type="dxa"/>
          </w:tcPr>
          <w:p w14:paraId="310DA2E8" w14:textId="34A8B1F5" w:rsidR="00F30DC0" w:rsidRPr="000540E1" w:rsidRDefault="008F72A3" w:rsidP="00F30DC0">
            <w:pPr>
              <w:pStyle w:val="tbltext"/>
            </w:pPr>
            <w:r>
              <w:t>{</w:t>
            </w:r>
            <w:r w:rsidR="00F30DC0">
              <w:t>CDE TG</w:t>
            </w:r>
            <w:r>
              <w:t>}</w:t>
            </w:r>
            <w:r w:rsidR="00F30DC0">
              <w:t xml:space="preserve"> </w:t>
            </w:r>
            <w:r w:rsidR="00F30DC0" w:rsidRPr="00F30DC0">
              <w:t xml:space="preserve">Indicator of whether LEI was used to identify the </w:t>
            </w:r>
            <w:r w:rsidR="004C73E4">
              <w:t>c</w:t>
            </w:r>
            <w:r w:rsidR="004C73E4" w:rsidRPr="00F30DC0">
              <w:t xml:space="preserve">ounterparty </w:t>
            </w:r>
            <w:r w:rsidR="00F30DC0" w:rsidRPr="00F30DC0">
              <w:t>2.</w:t>
            </w:r>
          </w:p>
        </w:tc>
        <w:tc>
          <w:tcPr>
            <w:tcW w:w="764" w:type="dxa"/>
          </w:tcPr>
          <w:p w14:paraId="732F5CEB" w14:textId="1497A1E8" w:rsidR="00F30DC0" w:rsidRPr="000540E1" w:rsidRDefault="00F30DC0" w:rsidP="00F30DC0">
            <w:pPr>
              <w:pStyle w:val="tbltext"/>
              <w:jc w:val="center"/>
            </w:pPr>
            <w:r>
              <w:t>2.8</w:t>
            </w:r>
          </w:p>
        </w:tc>
        <w:tc>
          <w:tcPr>
            <w:tcW w:w="737" w:type="dxa"/>
            <w:gridSpan w:val="2"/>
          </w:tcPr>
          <w:p w14:paraId="7B0C9DE0" w14:textId="6F05F45D" w:rsidR="00F30DC0" w:rsidRPr="000540E1" w:rsidRDefault="00F30DC0" w:rsidP="00F30DC0">
            <w:pPr>
              <w:pStyle w:val="tbltext"/>
              <w:jc w:val="center"/>
            </w:pPr>
            <w:r>
              <w:t>15</w:t>
            </w:r>
          </w:p>
        </w:tc>
        <w:tc>
          <w:tcPr>
            <w:tcW w:w="737" w:type="dxa"/>
            <w:gridSpan w:val="2"/>
          </w:tcPr>
          <w:p w14:paraId="2E1199FB" w14:textId="2C99349B" w:rsidR="00F30DC0" w:rsidRPr="000540E1" w:rsidRDefault="00F30DC0" w:rsidP="00F30DC0">
            <w:pPr>
              <w:pStyle w:val="tbltext"/>
              <w:jc w:val="center"/>
            </w:pPr>
            <w:r>
              <w:t>1.8</w:t>
            </w:r>
          </w:p>
        </w:tc>
        <w:tc>
          <w:tcPr>
            <w:tcW w:w="738" w:type="dxa"/>
          </w:tcPr>
          <w:p w14:paraId="744CF28B" w14:textId="0553886B" w:rsidR="00F30DC0" w:rsidRPr="000540E1" w:rsidRDefault="004C73E4" w:rsidP="00F30DC0">
            <w:pPr>
              <w:pStyle w:val="tbltext"/>
              <w:jc w:val="center"/>
            </w:pPr>
            <w:r>
              <w:t>n/a</w:t>
            </w:r>
          </w:p>
        </w:tc>
      </w:tr>
      <w:tr w:rsidR="00FA10FC" w:rsidRPr="000540E1" w14:paraId="18F0C14A" w14:textId="77777777" w:rsidTr="00874FAA">
        <w:tblPrEx>
          <w:tblLook w:val="0620" w:firstRow="1" w:lastRow="0" w:firstColumn="0" w:lastColumn="0" w:noHBand="1" w:noVBand="1"/>
        </w:tblPrEx>
        <w:trPr>
          <w:cantSplit/>
        </w:trPr>
        <w:tc>
          <w:tcPr>
            <w:tcW w:w="1700" w:type="dxa"/>
          </w:tcPr>
          <w:p w14:paraId="10E94794" w14:textId="77777777" w:rsidR="00FA10FC" w:rsidRPr="000540E1" w:rsidRDefault="00FA10FC" w:rsidP="00274C82">
            <w:pPr>
              <w:pStyle w:val="tbltext"/>
            </w:pPr>
            <w:r>
              <w:t>Country of counterparty 2</w:t>
            </w:r>
          </w:p>
        </w:tc>
        <w:tc>
          <w:tcPr>
            <w:tcW w:w="4396" w:type="dxa"/>
          </w:tcPr>
          <w:p w14:paraId="606BA2B9" w14:textId="40EAC217" w:rsidR="00FA10FC" w:rsidRPr="000540E1" w:rsidRDefault="00FA10FC" w:rsidP="00274C82">
            <w:pPr>
              <w:pStyle w:val="tbltext"/>
            </w:pPr>
            <w:r>
              <w:t>{</w:t>
            </w:r>
            <w:r w:rsidR="005C1566">
              <w:t>ESMA</w:t>
            </w:r>
            <w:r>
              <w:t xml:space="preserve">} </w:t>
            </w:r>
            <w:r w:rsidRPr="009C126A">
              <w:t>In case the counterparty 2 is a natural person, the code of country of residence of that person</w:t>
            </w:r>
            <w:r w:rsidR="004C73E4">
              <w:t>.</w:t>
            </w:r>
          </w:p>
        </w:tc>
        <w:tc>
          <w:tcPr>
            <w:tcW w:w="764" w:type="dxa"/>
          </w:tcPr>
          <w:p w14:paraId="1C4E889F" w14:textId="7066767E" w:rsidR="00FA10FC" w:rsidRPr="000540E1" w:rsidRDefault="004C73E4" w:rsidP="00274C82">
            <w:pPr>
              <w:pStyle w:val="tbltext"/>
              <w:jc w:val="center"/>
            </w:pPr>
            <w:r>
              <w:t>n/a</w:t>
            </w:r>
          </w:p>
        </w:tc>
        <w:tc>
          <w:tcPr>
            <w:tcW w:w="727" w:type="dxa"/>
          </w:tcPr>
          <w:p w14:paraId="0BDC0771" w14:textId="2BEFE16D" w:rsidR="00FA10FC" w:rsidRPr="000540E1" w:rsidRDefault="004C73E4" w:rsidP="00274C82">
            <w:pPr>
              <w:pStyle w:val="tbltext"/>
              <w:jc w:val="center"/>
            </w:pPr>
            <w:r>
              <w:t>n/a</w:t>
            </w:r>
          </w:p>
        </w:tc>
        <w:tc>
          <w:tcPr>
            <w:tcW w:w="737" w:type="dxa"/>
            <w:gridSpan w:val="2"/>
          </w:tcPr>
          <w:p w14:paraId="13163F10" w14:textId="77777777" w:rsidR="00FA10FC" w:rsidRPr="000540E1" w:rsidRDefault="00FA10FC" w:rsidP="00274C82">
            <w:pPr>
              <w:pStyle w:val="tbltext"/>
              <w:jc w:val="center"/>
            </w:pPr>
            <w:r>
              <w:t>1.10</w:t>
            </w:r>
          </w:p>
        </w:tc>
        <w:tc>
          <w:tcPr>
            <w:tcW w:w="748" w:type="dxa"/>
            <w:gridSpan w:val="2"/>
          </w:tcPr>
          <w:p w14:paraId="577E0774" w14:textId="73512519" w:rsidR="00FA10FC" w:rsidRPr="000540E1" w:rsidRDefault="004C73E4" w:rsidP="00274C82">
            <w:pPr>
              <w:pStyle w:val="tbltext"/>
              <w:jc w:val="center"/>
            </w:pPr>
            <w:r>
              <w:t>n/a</w:t>
            </w:r>
          </w:p>
        </w:tc>
      </w:tr>
      <w:tr w:rsidR="00432728" w:rsidRPr="000540E1" w14:paraId="1DFDEA77" w14:textId="77777777" w:rsidTr="00874FAA">
        <w:trPr>
          <w:cantSplit/>
        </w:trPr>
        <w:tc>
          <w:tcPr>
            <w:tcW w:w="1700" w:type="dxa"/>
          </w:tcPr>
          <w:p w14:paraId="0CB29D82" w14:textId="36F41231" w:rsidR="00432728" w:rsidRDefault="00432728" w:rsidP="00E30A53">
            <w:pPr>
              <w:pStyle w:val="tbltext"/>
            </w:pPr>
            <w:r>
              <w:t>Nature of counterparty 2</w:t>
            </w:r>
          </w:p>
        </w:tc>
        <w:tc>
          <w:tcPr>
            <w:tcW w:w="4396" w:type="dxa"/>
          </w:tcPr>
          <w:p w14:paraId="24F29478" w14:textId="77777777" w:rsidR="00432728" w:rsidRPr="00432728" w:rsidRDefault="00432728" w:rsidP="00432728">
            <w:pPr>
              <w:pStyle w:val="Note"/>
              <w:ind w:left="0"/>
              <w:rPr>
                <w:rFonts w:ascii="Arial" w:hAnsi="Arial" w:cs="Arial"/>
                <w:szCs w:val="18"/>
              </w:rPr>
            </w:pPr>
            <w:r w:rsidRPr="00432728">
              <w:rPr>
                <w:rFonts w:ascii="Arial" w:hAnsi="Arial" w:cs="Arial"/>
                <w:szCs w:val="18"/>
              </w:rPr>
              <w:t>{ASIC} Indicator of the nature of counterparty.</w:t>
            </w:r>
          </w:p>
          <w:p w14:paraId="34C77217" w14:textId="4CCAAF3C" w:rsidR="00432728" w:rsidRDefault="00432728" w:rsidP="00E96086">
            <w:pPr>
              <w:pStyle w:val="tblnote"/>
            </w:pPr>
            <w:r w:rsidRPr="00BB507D">
              <w:t xml:space="preserve">Note: </w:t>
            </w:r>
            <w:r w:rsidR="00991D1F">
              <w:t>S</w:t>
            </w:r>
            <w:r>
              <w:t xml:space="preserve">ee proposed schema </w:t>
            </w:r>
            <w:r w:rsidR="00E833E5">
              <w:t xml:space="preserve">set out in </w:t>
            </w:r>
            <w:r w:rsidR="00E833E5">
              <w:fldChar w:fldCharType="begin"/>
            </w:r>
            <w:r w:rsidR="00E833E5">
              <w:instrText xml:space="preserve"> REF _Ref55911705 \h </w:instrText>
            </w:r>
            <w:r w:rsidR="00E833E5">
              <w:fldChar w:fldCharType="separate"/>
            </w:r>
            <w:r w:rsidR="00314C7E">
              <w:t xml:space="preserve">Table </w:t>
            </w:r>
            <w:r w:rsidR="00314C7E">
              <w:rPr>
                <w:noProof/>
              </w:rPr>
              <w:t>9</w:t>
            </w:r>
            <w:r w:rsidR="00E833E5">
              <w:fldChar w:fldCharType="end"/>
            </w:r>
            <w:r w:rsidR="00991D1F">
              <w:t>.</w:t>
            </w:r>
          </w:p>
        </w:tc>
        <w:tc>
          <w:tcPr>
            <w:tcW w:w="764" w:type="dxa"/>
          </w:tcPr>
          <w:p w14:paraId="6270B55E" w14:textId="1D5C1787" w:rsidR="00432728" w:rsidRDefault="004C73E4" w:rsidP="00E30A53">
            <w:pPr>
              <w:pStyle w:val="tbltext"/>
              <w:jc w:val="center"/>
            </w:pPr>
            <w:r>
              <w:t>n/a</w:t>
            </w:r>
          </w:p>
        </w:tc>
        <w:tc>
          <w:tcPr>
            <w:tcW w:w="737" w:type="dxa"/>
            <w:gridSpan w:val="2"/>
          </w:tcPr>
          <w:p w14:paraId="18EACF43" w14:textId="38FA6185" w:rsidR="00432728" w:rsidRDefault="004C73E4" w:rsidP="00E30A53">
            <w:pPr>
              <w:pStyle w:val="tbltext"/>
              <w:jc w:val="center"/>
            </w:pPr>
            <w:r>
              <w:t>n/a</w:t>
            </w:r>
          </w:p>
        </w:tc>
        <w:tc>
          <w:tcPr>
            <w:tcW w:w="737" w:type="dxa"/>
            <w:gridSpan w:val="2"/>
          </w:tcPr>
          <w:p w14:paraId="031DF757" w14:textId="2A8F488F" w:rsidR="00432728" w:rsidRDefault="00432728" w:rsidP="00E30A53">
            <w:pPr>
              <w:pStyle w:val="tbltext"/>
              <w:jc w:val="center"/>
            </w:pPr>
            <w:r>
              <w:t>1.11</w:t>
            </w:r>
          </w:p>
        </w:tc>
        <w:tc>
          <w:tcPr>
            <w:tcW w:w="738" w:type="dxa"/>
          </w:tcPr>
          <w:p w14:paraId="2FA66859" w14:textId="591CA378" w:rsidR="00432728" w:rsidRDefault="004C73E4" w:rsidP="00E30A53">
            <w:pPr>
              <w:pStyle w:val="tbltext"/>
              <w:jc w:val="center"/>
            </w:pPr>
            <w:r>
              <w:t>n/a</w:t>
            </w:r>
          </w:p>
        </w:tc>
      </w:tr>
      <w:tr w:rsidR="006F7990" w:rsidRPr="000540E1" w14:paraId="7AD2B9D0" w14:textId="77777777" w:rsidTr="00874FAA">
        <w:trPr>
          <w:cantSplit/>
        </w:trPr>
        <w:tc>
          <w:tcPr>
            <w:tcW w:w="1700" w:type="dxa"/>
          </w:tcPr>
          <w:p w14:paraId="356A81EF" w14:textId="08F9CC00" w:rsidR="006F7990" w:rsidRDefault="006F7990" w:rsidP="006F7990">
            <w:pPr>
              <w:pStyle w:val="tbltext"/>
            </w:pPr>
            <w:r>
              <w:t>Intragroup</w:t>
            </w:r>
          </w:p>
        </w:tc>
        <w:tc>
          <w:tcPr>
            <w:tcW w:w="4396" w:type="dxa"/>
          </w:tcPr>
          <w:p w14:paraId="04E9A213" w14:textId="498A4FDE" w:rsidR="006F7990" w:rsidRDefault="006F7990" w:rsidP="006F7990">
            <w:pPr>
              <w:pStyle w:val="tbltext"/>
            </w:pPr>
            <w:r>
              <w:t xml:space="preserve">{ASIC} </w:t>
            </w:r>
            <w:r w:rsidRPr="007065EF">
              <w:t xml:space="preserve">Indicates whether the </w:t>
            </w:r>
            <w:r>
              <w:t xml:space="preserve">derivative </w:t>
            </w:r>
            <w:r w:rsidRPr="007065EF">
              <w:t xml:space="preserve">was entered into as an intragroup transaction, defined </w:t>
            </w:r>
            <w:r>
              <w:t xml:space="preserve">as a transaction with a </w:t>
            </w:r>
            <w:r w:rsidRPr="007065EF">
              <w:t>related part</w:t>
            </w:r>
            <w:r>
              <w:t xml:space="preserve">y </w:t>
            </w:r>
            <w:r w:rsidRPr="007065EF">
              <w:t xml:space="preserve">that </w:t>
            </w:r>
            <w:r>
              <w:t xml:space="preserve">is </w:t>
            </w:r>
            <w:r w:rsidRPr="007065EF">
              <w:t>not consolidated at the domestic book reporting level. Related parties include the parent entity, controlled entities, joint venture entities and other branches under the same parent entity.</w:t>
            </w:r>
          </w:p>
        </w:tc>
        <w:tc>
          <w:tcPr>
            <w:tcW w:w="764" w:type="dxa"/>
          </w:tcPr>
          <w:p w14:paraId="11FB5932" w14:textId="3664FDFE" w:rsidR="006F7990" w:rsidRDefault="004C73E4" w:rsidP="006F7990">
            <w:pPr>
              <w:pStyle w:val="tbltext"/>
              <w:jc w:val="center"/>
            </w:pPr>
            <w:r>
              <w:t>n/a</w:t>
            </w:r>
          </w:p>
        </w:tc>
        <w:tc>
          <w:tcPr>
            <w:tcW w:w="737" w:type="dxa"/>
            <w:gridSpan w:val="2"/>
          </w:tcPr>
          <w:p w14:paraId="72997FAB" w14:textId="1C2BA992" w:rsidR="006F7990" w:rsidRDefault="004C73E4" w:rsidP="006F7990">
            <w:pPr>
              <w:pStyle w:val="tbltext"/>
              <w:jc w:val="center"/>
            </w:pPr>
            <w:r>
              <w:t>n/a</w:t>
            </w:r>
          </w:p>
        </w:tc>
        <w:tc>
          <w:tcPr>
            <w:tcW w:w="737" w:type="dxa"/>
            <w:gridSpan w:val="2"/>
          </w:tcPr>
          <w:p w14:paraId="05C3BF48" w14:textId="0AA2A6B6" w:rsidR="006F7990" w:rsidRDefault="006F7990" w:rsidP="006F7990">
            <w:pPr>
              <w:pStyle w:val="tbltext"/>
              <w:jc w:val="center"/>
            </w:pPr>
            <w:r w:rsidRPr="00653B1C">
              <w:t>2.32</w:t>
            </w:r>
          </w:p>
        </w:tc>
        <w:tc>
          <w:tcPr>
            <w:tcW w:w="738" w:type="dxa"/>
          </w:tcPr>
          <w:p w14:paraId="418DDFE2" w14:textId="09C23BFE" w:rsidR="006F7990" w:rsidRDefault="004C73E4" w:rsidP="006F7990">
            <w:pPr>
              <w:pStyle w:val="tbltext"/>
              <w:jc w:val="center"/>
            </w:pPr>
            <w:r>
              <w:t>n/a</w:t>
            </w:r>
          </w:p>
        </w:tc>
      </w:tr>
      <w:tr w:rsidR="00F30DC0" w:rsidRPr="000540E1" w14:paraId="1782B13F" w14:textId="77777777" w:rsidTr="00874FAA">
        <w:trPr>
          <w:cantSplit/>
        </w:trPr>
        <w:tc>
          <w:tcPr>
            <w:tcW w:w="1700" w:type="dxa"/>
          </w:tcPr>
          <w:p w14:paraId="2928C8E9" w14:textId="60889E47" w:rsidR="00F30DC0" w:rsidRDefault="00F30DC0" w:rsidP="00F30DC0">
            <w:pPr>
              <w:pStyle w:val="tbltext"/>
            </w:pPr>
            <w:r>
              <w:t>Beneficiary 1</w:t>
            </w:r>
          </w:p>
        </w:tc>
        <w:tc>
          <w:tcPr>
            <w:tcW w:w="4396" w:type="dxa"/>
          </w:tcPr>
          <w:p w14:paraId="7B44EB4A" w14:textId="475B73E9" w:rsidR="00F30DC0" w:rsidRDefault="008F72A3" w:rsidP="00EB6AD9">
            <w:pPr>
              <w:pStyle w:val="tbltext"/>
            </w:pPr>
            <w:r>
              <w:t>{</w:t>
            </w:r>
            <w:r w:rsidR="00F30DC0">
              <w:t>CDE TG</w:t>
            </w:r>
            <w:r>
              <w:t>}</w:t>
            </w:r>
            <w:r w:rsidR="00F30DC0">
              <w:t xml:space="preserve"> </w:t>
            </w:r>
            <w:r w:rsidR="00EB6AD9">
              <w:t xml:space="preserve">Identifier of the beneficiary of an OTC derivative transaction for </w:t>
            </w:r>
            <w:r w:rsidR="00991D1F">
              <w:t xml:space="preserve">counterparty </w:t>
            </w:r>
            <w:r w:rsidR="00EB6AD9">
              <w:t>1.</w:t>
            </w:r>
          </w:p>
          <w:p w14:paraId="1CB06285" w14:textId="202C2EA9" w:rsidR="001968C5" w:rsidRDefault="001968C5" w:rsidP="00EB6AD9">
            <w:pPr>
              <w:pStyle w:val="tbltext"/>
            </w:pPr>
            <w:r>
              <w:t xml:space="preserve">Identifier as LEI or </w:t>
            </w:r>
            <w:r w:rsidR="001169C5" w:rsidRPr="001169C5">
              <w:t>‘</w:t>
            </w:r>
            <w:r w:rsidRPr="001169C5">
              <w:t xml:space="preserve">CDE </w:t>
            </w:r>
            <w:r w:rsidR="00991D1F">
              <w:t>natural person i</w:t>
            </w:r>
            <w:r w:rsidR="001169C5">
              <w:t>dentifier</w:t>
            </w:r>
            <w:r w:rsidR="001169C5" w:rsidRPr="001169C5">
              <w:t>’</w:t>
            </w:r>
            <w:r w:rsidR="00991D1F">
              <w:t>.</w:t>
            </w:r>
          </w:p>
        </w:tc>
        <w:tc>
          <w:tcPr>
            <w:tcW w:w="764" w:type="dxa"/>
          </w:tcPr>
          <w:p w14:paraId="35C053EC" w14:textId="79402AEC" w:rsidR="00F30DC0" w:rsidRDefault="00EB6AD9" w:rsidP="00F30DC0">
            <w:pPr>
              <w:pStyle w:val="tbltext"/>
              <w:jc w:val="center"/>
            </w:pPr>
            <w:r>
              <w:t>2.9</w:t>
            </w:r>
          </w:p>
        </w:tc>
        <w:tc>
          <w:tcPr>
            <w:tcW w:w="737" w:type="dxa"/>
            <w:gridSpan w:val="2"/>
          </w:tcPr>
          <w:p w14:paraId="2E6042C7" w14:textId="0027C7ED" w:rsidR="00F30DC0" w:rsidRDefault="004C73E4" w:rsidP="00F30DC0">
            <w:pPr>
              <w:pStyle w:val="tbltext"/>
              <w:jc w:val="center"/>
            </w:pPr>
            <w:r>
              <w:t>n/a</w:t>
            </w:r>
          </w:p>
        </w:tc>
        <w:tc>
          <w:tcPr>
            <w:tcW w:w="737" w:type="dxa"/>
            <w:gridSpan w:val="2"/>
          </w:tcPr>
          <w:p w14:paraId="3DEE8F0E" w14:textId="0A377593" w:rsidR="00F30DC0" w:rsidRDefault="00EB6AD9" w:rsidP="00F30DC0">
            <w:pPr>
              <w:pStyle w:val="tbltext"/>
              <w:jc w:val="center"/>
            </w:pPr>
            <w:r>
              <w:t>1.18</w:t>
            </w:r>
          </w:p>
        </w:tc>
        <w:tc>
          <w:tcPr>
            <w:tcW w:w="738" w:type="dxa"/>
          </w:tcPr>
          <w:p w14:paraId="03F2DFDC" w14:textId="5001D90B" w:rsidR="00F30DC0" w:rsidRDefault="00EB6AD9" w:rsidP="00F30DC0">
            <w:pPr>
              <w:pStyle w:val="tbltext"/>
              <w:jc w:val="center"/>
            </w:pPr>
            <w:r>
              <w:t>1.10</w:t>
            </w:r>
          </w:p>
        </w:tc>
      </w:tr>
      <w:tr w:rsidR="00F30DC0" w:rsidRPr="000540E1" w14:paraId="48CDA0DA" w14:textId="77777777" w:rsidTr="00874FAA">
        <w:trPr>
          <w:cantSplit/>
        </w:trPr>
        <w:tc>
          <w:tcPr>
            <w:tcW w:w="1700" w:type="dxa"/>
          </w:tcPr>
          <w:p w14:paraId="0BD68BD1" w14:textId="304EF29F" w:rsidR="00F30DC0" w:rsidRDefault="003A4ED2" w:rsidP="00F30DC0">
            <w:pPr>
              <w:pStyle w:val="tbltext"/>
            </w:pPr>
            <w:r>
              <w:t>Beneficiary 1 type</w:t>
            </w:r>
          </w:p>
        </w:tc>
        <w:tc>
          <w:tcPr>
            <w:tcW w:w="4396" w:type="dxa"/>
          </w:tcPr>
          <w:p w14:paraId="40BE80CE" w14:textId="00540010" w:rsidR="00F30DC0" w:rsidRDefault="008F72A3" w:rsidP="00F30DC0">
            <w:pPr>
              <w:pStyle w:val="tbltext"/>
            </w:pPr>
            <w:r>
              <w:t>{</w:t>
            </w:r>
            <w:r w:rsidR="003A4ED2">
              <w:t>CDE TG</w:t>
            </w:r>
            <w:r>
              <w:t>}</w:t>
            </w:r>
            <w:r w:rsidR="003A4ED2">
              <w:t xml:space="preserve"> </w:t>
            </w:r>
            <w:r w:rsidR="003A4ED2" w:rsidRPr="003A4ED2">
              <w:t>Indicator of whether LEI was used to identify the beneficiary 1.</w:t>
            </w:r>
          </w:p>
        </w:tc>
        <w:tc>
          <w:tcPr>
            <w:tcW w:w="764" w:type="dxa"/>
          </w:tcPr>
          <w:p w14:paraId="67603B4C" w14:textId="1DA3EC9F" w:rsidR="00F30DC0" w:rsidRDefault="003A4ED2" w:rsidP="00F30DC0">
            <w:pPr>
              <w:pStyle w:val="tbltext"/>
              <w:jc w:val="center"/>
            </w:pPr>
            <w:r>
              <w:t>2.10</w:t>
            </w:r>
          </w:p>
        </w:tc>
        <w:tc>
          <w:tcPr>
            <w:tcW w:w="737" w:type="dxa"/>
            <w:gridSpan w:val="2"/>
          </w:tcPr>
          <w:p w14:paraId="71CFB1FE" w14:textId="3EA0EFF8" w:rsidR="00F30DC0" w:rsidRDefault="004C73E4" w:rsidP="00F30DC0">
            <w:pPr>
              <w:pStyle w:val="tbltext"/>
              <w:jc w:val="center"/>
            </w:pPr>
            <w:r>
              <w:t>n/a</w:t>
            </w:r>
          </w:p>
        </w:tc>
        <w:tc>
          <w:tcPr>
            <w:tcW w:w="737" w:type="dxa"/>
            <w:gridSpan w:val="2"/>
          </w:tcPr>
          <w:p w14:paraId="47EC3FE1" w14:textId="182F2896" w:rsidR="00F30DC0" w:rsidRDefault="003A4ED2" w:rsidP="00F30DC0">
            <w:pPr>
              <w:pStyle w:val="tbltext"/>
              <w:jc w:val="center"/>
            </w:pPr>
            <w:r>
              <w:t>1.17</w:t>
            </w:r>
          </w:p>
        </w:tc>
        <w:tc>
          <w:tcPr>
            <w:tcW w:w="738" w:type="dxa"/>
          </w:tcPr>
          <w:p w14:paraId="4D5B7613" w14:textId="48F125E7" w:rsidR="00F30DC0" w:rsidRDefault="004C73E4" w:rsidP="00F30DC0">
            <w:pPr>
              <w:pStyle w:val="tbltext"/>
              <w:jc w:val="center"/>
            </w:pPr>
            <w:r>
              <w:t>n/a</w:t>
            </w:r>
          </w:p>
        </w:tc>
      </w:tr>
      <w:bookmarkEnd w:id="95"/>
      <w:tr w:rsidR="00FA10FC" w:rsidRPr="000540E1" w14:paraId="1622371D" w14:textId="77777777" w:rsidTr="00874FAA">
        <w:tblPrEx>
          <w:tblLook w:val="0620" w:firstRow="1" w:lastRow="0" w:firstColumn="0" w:lastColumn="0" w:noHBand="1" w:noVBand="1"/>
        </w:tblPrEx>
        <w:trPr>
          <w:cantSplit/>
        </w:trPr>
        <w:tc>
          <w:tcPr>
            <w:tcW w:w="1700" w:type="dxa"/>
          </w:tcPr>
          <w:p w14:paraId="4E68010B" w14:textId="77777777" w:rsidR="00FA10FC" w:rsidRDefault="00FA10FC" w:rsidP="00274C82">
            <w:pPr>
              <w:pStyle w:val="tbltext"/>
            </w:pPr>
            <w:r>
              <w:t>Broker ID</w:t>
            </w:r>
          </w:p>
        </w:tc>
        <w:tc>
          <w:tcPr>
            <w:tcW w:w="4396" w:type="dxa"/>
          </w:tcPr>
          <w:p w14:paraId="06FCF1AB" w14:textId="27F270FA" w:rsidR="00FA10FC" w:rsidRDefault="00FA10FC" w:rsidP="00274C82">
            <w:pPr>
              <w:pStyle w:val="tbltext"/>
            </w:pPr>
            <w:r>
              <w:t>{</w:t>
            </w:r>
            <w:r w:rsidR="005C1566">
              <w:t>ESMA</w:t>
            </w:r>
            <w:r>
              <w:t xml:space="preserve">} </w:t>
            </w:r>
            <w:r w:rsidR="00991D1F">
              <w:t>When</w:t>
            </w:r>
            <w:r w:rsidRPr="00736BFC">
              <w:t xml:space="preserve"> a broker acts as intermediary for counterparty 1 without becoming a counterparty </w:t>
            </w:r>
            <w:r w:rsidR="00507621">
              <w:t>themselves</w:t>
            </w:r>
            <w:r w:rsidRPr="00736BFC">
              <w:t>, counterparty 1 shall identify this broker by a unique code</w:t>
            </w:r>
            <w:r w:rsidR="00586A34">
              <w:t xml:space="preserve"> (i.e. LEI)</w:t>
            </w:r>
            <w:r w:rsidR="00991D1F">
              <w:t>.</w:t>
            </w:r>
          </w:p>
        </w:tc>
        <w:tc>
          <w:tcPr>
            <w:tcW w:w="764" w:type="dxa"/>
          </w:tcPr>
          <w:p w14:paraId="30CFEB76" w14:textId="512AB00D" w:rsidR="00FA10FC" w:rsidRPr="000540E1" w:rsidRDefault="004C73E4" w:rsidP="00274C82">
            <w:pPr>
              <w:pStyle w:val="tbltext"/>
              <w:jc w:val="center"/>
            </w:pPr>
            <w:r>
              <w:t>n/a</w:t>
            </w:r>
          </w:p>
        </w:tc>
        <w:tc>
          <w:tcPr>
            <w:tcW w:w="727" w:type="dxa"/>
          </w:tcPr>
          <w:p w14:paraId="3388EC81" w14:textId="3623E848" w:rsidR="00FA10FC" w:rsidRPr="000540E1" w:rsidRDefault="004C73E4" w:rsidP="00274C82">
            <w:pPr>
              <w:pStyle w:val="tbltext"/>
              <w:jc w:val="center"/>
            </w:pPr>
            <w:r>
              <w:t>n/a</w:t>
            </w:r>
          </w:p>
        </w:tc>
        <w:tc>
          <w:tcPr>
            <w:tcW w:w="737" w:type="dxa"/>
            <w:gridSpan w:val="2"/>
          </w:tcPr>
          <w:p w14:paraId="26E5D427" w14:textId="77777777" w:rsidR="00FA10FC" w:rsidRDefault="00FA10FC" w:rsidP="00274C82">
            <w:pPr>
              <w:pStyle w:val="tbltext"/>
              <w:jc w:val="center"/>
            </w:pPr>
            <w:r>
              <w:t>1.15</w:t>
            </w:r>
          </w:p>
        </w:tc>
        <w:tc>
          <w:tcPr>
            <w:tcW w:w="748" w:type="dxa"/>
            <w:gridSpan w:val="2"/>
          </w:tcPr>
          <w:p w14:paraId="5A0893FD" w14:textId="77777777" w:rsidR="00FA10FC" w:rsidRPr="000540E1" w:rsidRDefault="00FA10FC" w:rsidP="00274C82">
            <w:pPr>
              <w:pStyle w:val="tbltext"/>
              <w:jc w:val="center"/>
            </w:pPr>
            <w:r>
              <w:t>1.15</w:t>
            </w:r>
          </w:p>
        </w:tc>
      </w:tr>
      <w:tr w:rsidR="00FA10FC" w:rsidRPr="000540E1" w14:paraId="370C436A" w14:textId="77777777" w:rsidTr="00874FAA">
        <w:tblPrEx>
          <w:tblLook w:val="0620" w:firstRow="1" w:lastRow="0" w:firstColumn="0" w:lastColumn="0" w:noHBand="1" w:noVBand="1"/>
        </w:tblPrEx>
        <w:trPr>
          <w:cantSplit/>
        </w:trPr>
        <w:tc>
          <w:tcPr>
            <w:tcW w:w="1700" w:type="dxa"/>
          </w:tcPr>
          <w:p w14:paraId="39A92415" w14:textId="64DDB91E" w:rsidR="00FA10FC" w:rsidRDefault="00FA10FC" w:rsidP="00274C82">
            <w:pPr>
              <w:pStyle w:val="tbltext"/>
            </w:pPr>
            <w:bookmarkStart w:id="96" w:name="_Hlk53574939"/>
            <w:r>
              <w:t xml:space="preserve">Execution </w:t>
            </w:r>
            <w:r w:rsidR="00A45CFE">
              <w:t xml:space="preserve">agent </w:t>
            </w:r>
            <w:r>
              <w:t>of counterparty 1</w:t>
            </w:r>
          </w:p>
        </w:tc>
        <w:tc>
          <w:tcPr>
            <w:tcW w:w="4396" w:type="dxa"/>
          </w:tcPr>
          <w:p w14:paraId="28DA1D96" w14:textId="0ABBFBBB" w:rsidR="00FA10FC" w:rsidRDefault="00FA10FC" w:rsidP="00274C82">
            <w:pPr>
              <w:pStyle w:val="tbltext"/>
            </w:pPr>
            <w:r>
              <w:t xml:space="preserve">{ASIC} Where an entity enters into a transaction as an agent of counterparty 1 without becoming a counterparty itself, the identifier </w:t>
            </w:r>
            <w:r w:rsidR="00586A34">
              <w:t xml:space="preserve">(LEI) </w:t>
            </w:r>
            <w:r>
              <w:t>of the agent</w:t>
            </w:r>
            <w:r w:rsidR="00991D1F">
              <w:t>.</w:t>
            </w:r>
          </w:p>
        </w:tc>
        <w:tc>
          <w:tcPr>
            <w:tcW w:w="764" w:type="dxa"/>
          </w:tcPr>
          <w:p w14:paraId="52ADC2CE" w14:textId="33C9D170" w:rsidR="00FA10FC" w:rsidRPr="000540E1" w:rsidRDefault="004C73E4" w:rsidP="00274C82">
            <w:pPr>
              <w:pStyle w:val="tbltext"/>
              <w:jc w:val="center"/>
            </w:pPr>
            <w:r>
              <w:t>n/a</w:t>
            </w:r>
          </w:p>
        </w:tc>
        <w:tc>
          <w:tcPr>
            <w:tcW w:w="727" w:type="dxa"/>
          </w:tcPr>
          <w:p w14:paraId="6F174554" w14:textId="1D3AB375" w:rsidR="00FA10FC" w:rsidRPr="000540E1" w:rsidRDefault="004C73E4" w:rsidP="00274C82">
            <w:pPr>
              <w:pStyle w:val="tbltext"/>
              <w:jc w:val="center"/>
            </w:pPr>
            <w:r>
              <w:t>n/a</w:t>
            </w:r>
          </w:p>
        </w:tc>
        <w:tc>
          <w:tcPr>
            <w:tcW w:w="737" w:type="dxa"/>
            <w:gridSpan w:val="2"/>
          </w:tcPr>
          <w:p w14:paraId="6ACBA851" w14:textId="0865EEA7" w:rsidR="00FA10FC" w:rsidRDefault="004C73E4" w:rsidP="00274C82">
            <w:pPr>
              <w:pStyle w:val="tbltext"/>
              <w:jc w:val="center"/>
            </w:pPr>
            <w:r>
              <w:t>n/a</w:t>
            </w:r>
          </w:p>
        </w:tc>
        <w:tc>
          <w:tcPr>
            <w:tcW w:w="748" w:type="dxa"/>
            <w:gridSpan w:val="2"/>
          </w:tcPr>
          <w:p w14:paraId="22050E8F" w14:textId="0D40F64C" w:rsidR="00FA10FC" w:rsidRDefault="004C73E4" w:rsidP="00274C82">
            <w:pPr>
              <w:pStyle w:val="tbltext"/>
              <w:jc w:val="center"/>
            </w:pPr>
            <w:r>
              <w:t>n/a</w:t>
            </w:r>
          </w:p>
        </w:tc>
      </w:tr>
    </w:tbl>
    <w:bookmarkEnd w:id="96"/>
    <w:p w14:paraId="64B8CD7B" w14:textId="0A0A24D0" w:rsidR="000270BC" w:rsidRPr="000270BC" w:rsidRDefault="001B122A" w:rsidP="00F30DC0">
      <w:pPr>
        <w:pStyle w:val="BodyText"/>
        <w:rPr>
          <w:rFonts w:eastAsiaTheme="minorHAnsi"/>
        </w:rPr>
      </w:pPr>
      <w:r>
        <w:rPr>
          <w:rFonts w:eastAsiaTheme="minorHAnsi"/>
        </w:rPr>
        <w:t>‘Counterparty 1 (reporting counterparty</w:t>
      </w:r>
      <w:r w:rsidR="000270BC">
        <w:rPr>
          <w:rFonts w:eastAsiaTheme="minorHAnsi"/>
        </w:rPr>
        <w:t>)</w:t>
      </w:r>
      <w:r>
        <w:rPr>
          <w:rFonts w:eastAsiaTheme="minorHAnsi"/>
        </w:rPr>
        <w:t xml:space="preserve">’ </w:t>
      </w:r>
      <w:r w:rsidR="000270BC">
        <w:rPr>
          <w:rFonts w:eastAsiaTheme="minorHAnsi"/>
        </w:rPr>
        <w:t>is the same as ‘</w:t>
      </w:r>
      <w:r w:rsidR="00991D1F">
        <w:rPr>
          <w:rFonts w:eastAsiaTheme="minorHAnsi"/>
        </w:rPr>
        <w:t xml:space="preserve">identifier </w:t>
      </w:r>
      <w:r w:rsidR="000270BC">
        <w:rPr>
          <w:rFonts w:eastAsiaTheme="minorHAnsi"/>
        </w:rPr>
        <w:t xml:space="preserve">of </w:t>
      </w:r>
      <w:r w:rsidR="00991D1F">
        <w:rPr>
          <w:rFonts w:eastAsiaTheme="minorHAnsi"/>
        </w:rPr>
        <w:t xml:space="preserve">reporting counterparty’ </w:t>
      </w:r>
      <w:r w:rsidR="000270BC">
        <w:rPr>
          <w:rFonts w:eastAsiaTheme="minorHAnsi"/>
        </w:rPr>
        <w:t>in the current ASIC Rules, except that ‘</w:t>
      </w:r>
      <w:r w:rsidR="00C26053">
        <w:t xml:space="preserve">[i]n </w:t>
      </w:r>
      <w:r w:rsidR="000270BC">
        <w:t>the case of a derivative transaction executed by a fund manager on behalf of a fund, the fund and not the fund manager is reported as the counterparty’.</w:t>
      </w:r>
    </w:p>
    <w:p w14:paraId="59338AEA" w14:textId="068BE2F7" w:rsidR="00FA10FC" w:rsidRPr="00FA10FC" w:rsidRDefault="00FA10FC" w:rsidP="00F30DC0">
      <w:pPr>
        <w:pStyle w:val="BodyText"/>
        <w:rPr>
          <w:rFonts w:eastAsiaTheme="minorHAnsi"/>
        </w:rPr>
      </w:pPr>
      <w:r>
        <w:t xml:space="preserve">The current ASIC Rules define </w:t>
      </w:r>
      <w:r w:rsidR="009E0748">
        <w:t>reporting entity</w:t>
      </w:r>
      <w:r>
        <w:t xml:space="preserve"> as, among other things, an </w:t>
      </w:r>
      <w:r w:rsidR="00041735">
        <w:t>Australian financial services (</w:t>
      </w:r>
      <w:r>
        <w:t>AFS</w:t>
      </w:r>
      <w:r w:rsidR="00041735">
        <w:t>)</w:t>
      </w:r>
      <w:r>
        <w:t xml:space="preserve"> </w:t>
      </w:r>
      <w:r w:rsidR="00A65611">
        <w:t>licensee</w:t>
      </w:r>
      <w:r>
        <w:t xml:space="preserve">, which includes responsible entities and trustees of funds or schemes. A </w:t>
      </w:r>
      <w:r w:rsidR="00A65611">
        <w:t>reporting counterpart</w:t>
      </w:r>
      <w:r>
        <w:t xml:space="preserve">y is a </w:t>
      </w:r>
      <w:r w:rsidR="009E0748">
        <w:t>reporting entity</w:t>
      </w:r>
      <w:r>
        <w:t xml:space="preserve"> in relation to a </w:t>
      </w:r>
      <w:r w:rsidR="00A65611">
        <w:t>reportable transact</w:t>
      </w:r>
      <w:r>
        <w:t>ion.</w:t>
      </w:r>
    </w:p>
    <w:p w14:paraId="7AB18BA9" w14:textId="326E1A7E" w:rsidR="00F30DC0" w:rsidRPr="00FA10FC" w:rsidRDefault="000270BC" w:rsidP="00F30DC0">
      <w:pPr>
        <w:pStyle w:val="BodyText"/>
        <w:rPr>
          <w:rFonts w:eastAsiaTheme="minorHAnsi"/>
        </w:rPr>
      </w:pPr>
      <w:r>
        <w:t xml:space="preserve">Actual </w:t>
      </w:r>
      <w:r w:rsidR="00FA10FC">
        <w:t xml:space="preserve">transaction reporting under the current ASIC Rules has been a mixture of </w:t>
      </w:r>
      <w:r w:rsidR="00A65611">
        <w:t>reporting counterpart</w:t>
      </w:r>
      <w:r w:rsidR="00FA10FC">
        <w:t>ies identifying themselves as the responsible entity or trustee of a fund or scheme and identifying themselves as the fund or scheme itself.</w:t>
      </w:r>
    </w:p>
    <w:p w14:paraId="4FB32C99" w14:textId="2F7FA8B1" w:rsidR="00FA10FC" w:rsidRPr="00FA10FC" w:rsidRDefault="00FA10FC" w:rsidP="00136CC5">
      <w:pPr>
        <w:pStyle w:val="BodyText"/>
        <w:spacing w:line="290" w:lineRule="atLeast"/>
        <w:rPr>
          <w:rFonts w:eastAsiaTheme="minorHAnsi"/>
        </w:rPr>
      </w:pPr>
      <w:r>
        <w:lastRenderedPageBreak/>
        <w:t xml:space="preserve">We propose to adopt the CDE </w:t>
      </w:r>
      <w:r w:rsidR="0022679B">
        <w:t>Guidance</w:t>
      </w:r>
      <w:r>
        <w:t xml:space="preserve"> approach of specifying that the </w:t>
      </w:r>
      <w:r w:rsidR="00A65611">
        <w:t>reporting counterpart</w:t>
      </w:r>
      <w:r>
        <w:t>y is the fund or scheme in these cases.</w:t>
      </w:r>
    </w:p>
    <w:p w14:paraId="790EEFCC" w14:textId="04137632" w:rsidR="00FA10FC" w:rsidRPr="008205E9" w:rsidRDefault="00FA10FC" w:rsidP="00136CC5">
      <w:pPr>
        <w:pStyle w:val="BodyText"/>
        <w:spacing w:line="290" w:lineRule="atLeast"/>
        <w:rPr>
          <w:rFonts w:eastAsiaTheme="minorHAnsi"/>
        </w:rPr>
      </w:pPr>
      <w:r>
        <w:t xml:space="preserve">However, </w:t>
      </w:r>
      <w:r w:rsidR="008205E9">
        <w:t>to ensure that the entity with responsibility for reporting is identified in transaction reports, we also propose to include ‘</w:t>
      </w:r>
      <w:r w:rsidR="009E0748">
        <w:t>reporting entity</w:t>
      </w:r>
      <w:r w:rsidR="008205E9">
        <w:t xml:space="preserve">’ as a data element. This data element is </w:t>
      </w:r>
      <w:r w:rsidR="008205E9" w:rsidRPr="008205E9">
        <w:t xml:space="preserve">broadly equivalent to </w:t>
      </w:r>
      <w:r w:rsidR="008205E9">
        <w:t xml:space="preserve">the </w:t>
      </w:r>
      <w:r w:rsidR="00670559">
        <w:t>European Union</w:t>
      </w:r>
      <w:r w:rsidR="00670559" w:rsidRPr="008205E9">
        <w:t xml:space="preserve">’s </w:t>
      </w:r>
      <w:r w:rsidR="008205E9">
        <w:t xml:space="preserve">proposed data </w:t>
      </w:r>
      <w:r w:rsidR="008205E9" w:rsidRPr="008205E9">
        <w:t xml:space="preserve">element </w:t>
      </w:r>
      <w:r w:rsidR="008205E9">
        <w:t xml:space="preserve">of the </w:t>
      </w:r>
      <w:r w:rsidR="008205E9" w:rsidRPr="008205E9">
        <w:t>‘</w:t>
      </w:r>
      <w:r w:rsidR="00DE1770">
        <w:t>e</w:t>
      </w:r>
      <w:r w:rsidR="00DE1770" w:rsidRPr="008205E9">
        <w:t xml:space="preserve">ntity </w:t>
      </w:r>
      <w:r w:rsidR="008205E9" w:rsidRPr="008205E9">
        <w:t>responsible for reporting’ that identifies the manager of a fund or a pension scheme</w:t>
      </w:r>
      <w:r w:rsidR="008205E9">
        <w:t>.</w:t>
      </w:r>
    </w:p>
    <w:p w14:paraId="20F64EAB" w14:textId="5239FF84" w:rsidR="008205E9" w:rsidRDefault="008205E9" w:rsidP="00136CC5">
      <w:pPr>
        <w:pStyle w:val="BodyText"/>
        <w:spacing w:line="290" w:lineRule="atLeast"/>
        <w:rPr>
          <w:rFonts w:eastAsiaTheme="minorHAnsi"/>
        </w:rPr>
      </w:pPr>
      <w:r>
        <w:t>In addition to seeking feedback from stakeholders on the inclusion of this data element, we also seek feedback on whether it should be defined in terms of</w:t>
      </w:r>
      <w:r w:rsidR="008D3CA9">
        <w:t>, for example,</w:t>
      </w:r>
      <w:r>
        <w:t xml:space="preserve"> ‘</w:t>
      </w:r>
      <w:r w:rsidR="00DE1770">
        <w:t xml:space="preserve">where </w:t>
      </w:r>
      <w:r w:rsidR="00616E2B">
        <w:t xml:space="preserve">counterparty </w:t>
      </w:r>
      <w:r>
        <w:t xml:space="preserve">1 is not the </w:t>
      </w:r>
      <w:r w:rsidR="009E0748">
        <w:t>reporting entity</w:t>
      </w:r>
      <w:r>
        <w:t xml:space="preserve">, the identifier of the </w:t>
      </w:r>
      <w:r w:rsidR="009E0748">
        <w:t>reporting entity</w:t>
      </w:r>
      <w:r>
        <w:t>’</w:t>
      </w:r>
      <w:r w:rsidR="008367B1" w:rsidRPr="00A829C7">
        <w:t>—</w:t>
      </w:r>
      <w:r>
        <w:t xml:space="preserve">that is, the data element is not required to be reported </w:t>
      </w:r>
      <w:r w:rsidR="005516FE">
        <w:t xml:space="preserve">where </w:t>
      </w:r>
      <w:r w:rsidR="008C4C7D">
        <w:t xml:space="preserve">counterparty </w:t>
      </w:r>
      <w:r w:rsidR="005516FE">
        <w:t xml:space="preserve">1 is also the </w:t>
      </w:r>
      <w:r w:rsidR="009E0748">
        <w:t>reporting entity</w:t>
      </w:r>
      <w:r w:rsidR="005516FE">
        <w:t>.</w:t>
      </w:r>
    </w:p>
    <w:p w14:paraId="66FA807F" w14:textId="28C2F848" w:rsidR="005516FE" w:rsidRDefault="005516FE" w:rsidP="00136CC5">
      <w:pPr>
        <w:pStyle w:val="BodyText"/>
        <w:spacing w:line="290" w:lineRule="atLeast"/>
        <w:rPr>
          <w:rFonts w:eastAsiaTheme="minorHAnsi"/>
        </w:rPr>
      </w:pPr>
      <w:r>
        <w:rPr>
          <w:rFonts w:eastAsiaTheme="minorHAnsi"/>
        </w:rPr>
        <w:t>‘Counterparty 2’ and ‘</w:t>
      </w:r>
      <w:r w:rsidR="008C4C7D">
        <w:rPr>
          <w:rFonts w:eastAsiaTheme="minorHAnsi"/>
        </w:rPr>
        <w:t xml:space="preserve">beneficiary </w:t>
      </w:r>
      <w:r>
        <w:rPr>
          <w:rFonts w:eastAsiaTheme="minorHAnsi"/>
        </w:rPr>
        <w:t>1’ directly substitute for the corresponding data elements in the current ASIC Rules.</w:t>
      </w:r>
      <w:r w:rsidR="00586A34">
        <w:rPr>
          <w:rFonts w:eastAsiaTheme="minorHAnsi"/>
        </w:rPr>
        <w:t xml:space="preserve"> The identifier required to be reported is an LEI or the CDE </w:t>
      </w:r>
      <w:r w:rsidR="005207D4">
        <w:rPr>
          <w:rFonts w:eastAsiaTheme="minorHAnsi"/>
        </w:rPr>
        <w:t xml:space="preserve">Guidance </w:t>
      </w:r>
      <w:r w:rsidR="000E7247">
        <w:rPr>
          <w:rFonts w:eastAsiaTheme="minorHAnsi"/>
        </w:rPr>
        <w:t>natural person identifier</w:t>
      </w:r>
      <w:r w:rsidR="00586A34">
        <w:rPr>
          <w:rFonts w:eastAsiaTheme="minorHAnsi"/>
        </w:rPr>
        <w:t>.</w:t>
      </w:r>
    </w:p>
    <w:p w14:paraId="7ED8633F" w14:textId="10569B49" w:rsidR="000B4B18" w:rsidRPr="005516FE" w:rsidRDefault="005516FE" w:rsidP="00136CC5">
      <w:pPr>
        <w:pStyle w:val="BodyText"/>
        <w:spacing w:line="290" w:lineRule="atLeast"/>
        <w:rPr>
          <w:rFonts w:eastAsiaTheme="minorHAnsi"/>
        </w:rPr>
      </w:pPr>
      <w:r w:rsidRPr="005516FE">
        <w:rPr>
          <w:rFonts w:eastAsiaTheme="minorHAnsi"/>
        </w:rPr>
        <w:t>‘Counterparty 2 identifier type’ and ‘</w:t>
      </w:r>
      <w:r w:rsidR="008C4C7D">
        <w:rPr>
          <w:rFonts w:eastAsiaTheme="minorHAnsi"/>
        </w:rPr>
        <w:t>b</w:t>
      </w:r>
      <w:r w:rsidR="008C4C7D" w:rsidRPr="005516FE">
        <w:rPr>
          <w:rFonts w:eastAsiaTheme="minorHAnsi"/>
        </w:rPr>
        <w:t xml:space="preserve">eneficiary </w:t>
      </w:r>
      <w:r w:rsidRPr="005516FE">
        <w:rPr>
          <w:rFonts w:eastAsiaTheme="minorHAnsi"/>
        </w:rPr>
        <w:t>1 typ</w:t>
      </w:r>
      <w:r>
        <w:rPr>
          <w:rFonts w:eastAsiaTheme="minorHAnsi"/>
        </w:rPr>
        <w:t>e’</w:t>
      </w:r>
      <w:r w:rsidR="004421A3">
        <w:rPr>
          <w:rFonts w:eastAsiaTheme="minorHAnsi"/>
        </w:rPr>
        <w:t xml:space="preserve"> </w:t>
      </w:r>
      <w:r w:rsidR="00485237">
        <w:rPr>
          <w:rFonts w:eastAsiaTheme="minorHAnsi"/>
        </w:rPr>
        <w:t xml:space="preserve">are </w:t>
      </w:r>
      <w:r w:rsidR="004A2760">
        <w:rPr>
          <w:rFonts w:eastAsiaTheme="minorHAnsi"/>
        </w:rPr>
        <w:t>true or false values</w:t>
      </w:r>
      <w:r w:rsidR="00485237">
        <w:rPr>
          <w:rFonts w:eastAsiaTheme="minorHAnsi"/>
        </w:rPr>
        <w:t xml:space="preserve"> for whether an LEI was used to identify the party. This is broadly equivalent to the ‘identifier prefix’ data elements that are already within the scope of </w:t>
      </w:r>
      <w:r w:rsidR="007D3DDF">
        <w:rPr>
          <w:rFonts w:eastAsiaTheme="minorHAnsi"/>
        </w:rPr>
        <w:t xml:space="preserve">trade repositories’ </w:t>
      </w:r>
      <w:r w:rsidR="00485237">
        <w:rPr>
          <w:rFonts w:eastAsiaTheme="minorHAnsi"/>
        </w:rPr>
        <w:t xml:space="preserve">in-bound data elements, except that, as we propose that there only be LEI and non-LEI identifier types, </w:t>
      </w:r>
      <w:r w:rsidR="004255E7">
        <w:rPr>
          <w:rFonts w:eastAsiaTheme="minorHAnsi"/>
        </w:rPr>
        <w:t xml:space="preserve">having </w:t>
      </w:r>
      <w:r w:rsidR="004A2760">
        <w:rPr>
          <w:rFonts w:eastAsiaTheme="minorHAnsi"/>
        </w:rPr>
        <w:t>t</w:t>
      </w:r>
      <w:r w:rsidR="00485237">
        <w:rPr>
          <w:rFonts w:eastAsiaTheme="minorHAnsi"/>
        </w:rPr>
        <w:t>rue</w:t>
      </w:r>
      <w:r w:rsidR="004A2760">
        <w:rPr>
          <w:rFonts w:eastAsiaTheme="minorHAnsi"/>
        </w:rPr>
        <w:t xml:space="preserve"> or f</w:t>
      </w:r>
      <w:r w:rsidR="00485237">
        <w:rPr>
          <w:rFonts w:eastAsiaTheme="minorHAnsi"/>
        </w:rPr>
        <w:t xml:space="preserve">alse values for these data elements </w:t>
      </w:r>
      <w:r w:rsidR="004255E7">
        <w:rPr>
          <w:rFonts w:eastAsiaTheme="minorHAnsi"/>
        </w:rPr>
        <w:t xml:space="preserve">is </w:t>
      </w:r>
      <w:r w:rsidR="00485237">
        <w:rPr>
          <w:rFonts w:eastAsiaTheme="minorHAnsi"/>
        </w:rPr>
        <w:t>appropriate.</w:t>
      </w:r>
    </w:p>
    <w:p w14:paraId="4E646338" w14:textId="6A32BC20" w:rsidR="000B4B18" w:rsidRDefault="00485237" w:rsidP="00136CC5">
      <w:pPr>
        <w:pStyle w:val="BodyText"/>
        <w:spacing w:line="290" w:lineRule="atLeast"/>
        <w:rPr>
          <w:rFonts w:eastAsiaTheme="minorHAnsi"/>
        </w:rPr>
      </w:pPr>
      <w:r>
        <w:rPr>
          <w:rFonts w:eastAsiaTheme="minorHAnsi"/>
        </w:rPr>
        <w:t>‘</w:t>
      </w:r>
      <w:r w:rsidRPr="00485237">
        <w:rPr>
          <w:rFonts w:eastAsiaTheme="minorHAnsi"/>
        </w:rPr>
        <w:t>Country of counterparty 2</w:t>
      </w:r>
      <w:r>
        <w:rPr>
          <w:rFonts w:eastAsiaTheme="minorHAnsi"/>
        </w:rPr>
        <w:t xml:space="preserve">’ is proposed to be adopted from the </w:t>
      </w:r>
      <w:r w:rsidR="00670559">
        <w:t>European Union</w:t>
      </w:r>
      <w:r>
        <w:rPr>
          <w:rFonts w:eastAsiaTheme="minorHAnsi"/>
        </w:rPr>
        <w:t xml:space="preserve">’s proposed rules as, where counterparty 2 is a natural person, the ISO </w:t>
      </w:r>
      <w:r w:rsidR="00B7161C">
        <w:rPr>
          <w:rFonts w:eastAsiaTheme="minorHAnsi"/>
        </w:rPr>
        <w:t>two</w:t>
      </w:r>
      <w:r>
        <w:rPr>
          <w:rFonts w:eastAsiaTheme="minorHAnsi"/>
        </w:rPr>
        <w:t xml:space="preserve">-digit country code for the residence of that person. We </w:t>
      </w:r>
      <w:r w:rsidR="009C1E8B">
        <w:rPr>
          <w:rFonts w:eastAsiaTheme="minorHAnsi"/>
        </w:rPr>
        <w:t>consider</w:t>
      </w:r>
      <w:r>
        <w:rPr>
          <w:rFonts w:eastAsiaTheme="minorHAnsi"/>
        </w:rPr>
        <w:t xml:space="preserve"> this is an important data element that will enable ASIC to more clearly monitor the scope</w:t>
      </w:r>
      <w:r w:rsidR="00F35186">
        <w:rPr>
          <w:rFonts w:eastAsiaTheme="minorHAnsi"/>
        </w:rPr>
        <w:t xml:space="preserve">, </w:t>
      </w:r>
      <w:r>
        <w:rPr>
          <w:rFonts w:eastAsiaTheme="minorHAnsi"/>
        </w:rPr>
        <w:t xml:space="preserve">nature </w:t>
      </w:r>
      <w:r w:rsidR="00F35186">
        <w:rPr>
          <w:rFonts w:eastAsiaTheme="minorHAnsi"/>
        </w:rPr>
        <w:t xml:space="preserve">and geographic spread </w:t>
      </w:r>
      <w:r>
        <w:rPr>
          <w:rFonts w:eastAsiaTheme="minorHAnsi"/>
        </w:rPr>
        <w:t xml:space="preserve">of trading by </w:t>
      </w:r>
      <w:r w:rsidR="008A5B87">
        <w:rPr>
          <w:rFonts w:eastAsiaTheme="minorHAnsi"/>
        </w:rPr>
        <w:t>reporting entit</w:t>
      </w:r>
      <w:r>
        <w:rPr>
          <w:rFonts w:eastAsiaTheme="minorHAnsi"/>
        </w:rPr>
        <w:t>ies with retail clients</w:t>
      </w:r>
      <w:r w:rsidR="00F35186">
        <w:rPr>
          <w:rFonts w:eastAsiaTheme="minorHAnsi"/>
        </w:rPr>
        <w:t>.</w:t>
      </w:r>
    </w:p>
    <w:p w14:paraId="4B8EAEAA" w14:textId="055DD85C" w:rsidR="00F35186" w:rsidRDefault="00F35186" w:rsidP="00F35186">
      <w:pPr>
        <w:pStyle w:val="Note"/>
        <w:rPr>
          <w:rFonts w:eastAsiaTheme="minorHAnsi"/>
        </w:rPr>
      </w:pPr>
      <w:r>
        <w:rPr>
          <w:rFonts w:eastAsiaTheme="minorHAnsi"/>
        </w:rPr>
        <w:t xml:space="preserve">Note: </w:t>
      </w:r>
      <w:r w:rsidR="00B7161C">
        <w:rPr>
          <w:rFonts w:eastAsiaTheme="minorHAnsi"/>
        </w:rPr>
        <w:t>W</w:t>
      </w:r>
      <w:r>
        <w:rPr>
          <w:rFonts w:eastAsiaTheme="minorHAnsi"/>
        </w:rPr>
        <w:t xml:space="preserve">here </w:t>
      </w:r>
      <w:r w:rsidR="00B7161C">
        <w:rPr>
          <w:rFonts w:eastAsiaTheme="minorHAnsi"/>
        </w:rPr>
        <w:t xml:space="preserve">counterparty </w:t>
      </w:r>
      <w:r w:rsidR="001E2F61">
        <w:rPr>
          <w:rFonts w:eastAsiaTheme="minorHAnsi"/>
        </w:rPr>
        <w:t xml:space="preserve">2 is identified with an LEI, the country of </w:t>
      </w:r>
      <w:r w:rsidR="00B7161C">
        <w:rPr>
          <w:rFonts w:eastAsiaTheme="minorHAnsi"/>
        </w:rPr>
        <w:t xml:space="preserve">counterparty </w:t>
      </w:r>
      <w:r w:rsidR="001E2F61">
        <w:rPr>
          <w:rFonts w:eastAsiaTheme="minorHAnsi"/>
        </w:rPr>
        <w:t>2 is available from the LEI database.</w:t>
      </w:r>
    </w:p>
    <w:p w14:paraId="166D92C6" w14:textId="4B1E0053" w:rsidR="007065EF" w:rsidRDefault="007065EF" w:rsidP="00136CC5">
      <w:pPr>
        <w:pStyle w:val="BodyText"/>
        <w:spacing w:line="290" w:lineRule="atLeast"/>
        <w:rPr>
          <w:rFonts w:eastAsiaTheme="minorHAnsi"/>
        </w:rPr>
      </w:pPr>
      <w:r>
        <w:rPr>
          <w:rFonts w:eastAsiaTheme="minorHAnsi"/>
        </w:rPr>
        <w:t xml:space="preserve">‘Nature </w:t>
      </w:r>
      <w:r w:rsidRPr="00485237">
        <w:rPr>
          <w:rFonts w:eastAsiaTheme="minorHAnsi"/>
        </w:rPr>
        <w:t>of counterparty 2</w:t>
      </w:r>
      <w:r>
        <w:rPr>
          <w:rFonts w:eastAsiaTheme="minorHAnsi"/>
        </w:rPr>
        <w:t xml:space="preserve">’ is proposed to be adopted </w:t>
      </w:r>
      <w:r w:rsidR="00C032D6">
        <w:rPr>
          <w:rFonts w:eastAsiaTheme="minorHAnsi"/>
        </w:rPr>
        <w:t>in a similar manner to</w:t>
      </w:r>
      <w:r>
        <w:rPr>
          <w:rFonts w:eastAsiaTheme="minorHAnsi"/>
        </w:rPr>
        <w:t xml:space="preserve"> the </w:t>
      </w:r>
      <w:r w:rsidRPr="00485237">
        <w:rPr>
          <w:rFonts w:eastAsiaTheme="minorHAnsi"/>
        </w:rPr>
        <w:t>EU</w:t>
      </w:r>
      <w:r>
        <w:rPr>
          <w:rFonts w:eastAsiaTheme="minorHAnsi"/>
        </w:rPr>
        <w:t xml:space="preserve"> rules to enable the Australian regulators to more clearly monitor inter-sectoral risk and exposures.</w:t>
      </w:r>
    </w:p>
    <w:p w14:paraId="4ACD6D5C" w14:textId="77777777" w:rsidR="00D33DA3" w:rsidRDefault="00D33DA3" w:rsidP="00136CC5">
      <w:pPr>
        <w:pStyle w:val="BodyText"/>
        <w:spacing w:line="290" w:lineRule="atLeast"/>
        <w:rPr>
          <w:rFonts w:eastAsiaTheme="minorHAnsi"/>
        </w:rPr>
      </w:pPr>
      <w:r>
        <w:rPr>
          <w:rFonts w:eastAsiaTheme="minorHAnsi"/>
        </w:rPr>
        <w:t>We propose the following schema with indicative indicator definition</w:t>
      </w:r>
      <w:r w:rsidR="007065EF">
        <w:rPr>
          <w:rFonts w:eastAsiaTheme="minorHAnsi"/>
        </w:rPr>
        <w:t>s</w:t>
      </w:r>
      <w:r>
        <w:rPr>
          <w:rFonts w:eastAsiaTheme="minorHAnsi"/>
        </w:rPr>
        <w:t>:</w:t>
      </w:r>
    </w:p>
    <w:p w14:paraId="2BD6E2F8" w14:textId="4CA8E894" w:rsidR="00D33DA3" w:rsidRDefault="00D33DA3" w:rsidP="00D33DA3">
      <w:pPr>
        <w:pStyle w:val="tabletitleindented"/>
      </w:pPr>
      <w:bookmarkStart w:id="97" w:name="_Ref55911705"/>
      <w:r>
        <w:t xml:space="preserve">Table </w:t>
      </w:r>
      <w:r w:rsidR="007055A5">
        <w:fldChar w:fldCharType="begin"/>
      </w:r>
      <w:r w:rsidR="007055A5">
        <w:instrText xml:space="preserve"> SEQ </w:instrText>
      </w:r>
      <w:r w:rsidR="007055A5">
        <w:instrText xml:space="preserve">Table \* ARABIC </w:instrText>
      </w:r>
      <w:r w:rsidR="007055A5">
        <w:fldChar w:fldCharType="separate"/>
      </w:r>
      <w:r w:rsidR="00314C7E">
        <w:rPr>
          <w:noProof/>
        </w:rPr>
        <w:t>9</w:t>
      </w:r>
      <w:r w:rsidR="007055A5">
        <w:rPr>
          <w:noProof/>
        </w:rPr>
        <w:fldChar w:fldCharType="end"/>
      </w:r>
      <w:bookmarkEnd w:id="97"/>
      <w:r>
        <w:t>:</w:t>
      </w:r>
      <w:r>
        <w:tab/>
        <w:t xml:space="preserve">Schema for </w:t>
      </w:r>
      <w:r w:rsidR="008C4C7D">
        <w:t xml:space="preserve">‘nature </w:t>
      </w:r>
      <w:r>
        <w:t>of counterparty 2</w:t>
      </w:r>
      <w:r w:rsidR="008C4C7D">
        <w:t>’</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993"/>
        <w:gridCol w:w="5528"/>
      </w:tblGrid>
      <w:tr w:rsidR="00D33DA3" w:rsidRPr="000540E1" w14:paraId="4746A621" w14:textId="77777777" w:rsidTr="00136CC5">
        <w:trPr>
          <w:cantSplit/>
          <w:tblHeader/>
        </w:trPr>
        <w:tc>
          <w:tcPr>
            <w:tcW w:w="993" w:type="dxa"/>
            <w:shd w:val="clear" w:color="auto" w:fill="C2E3FA"/>
          </w:tcPr>
          <w:p w14:paraId="231B0594" w14:textId="1F6B2C55" w:rsidR="00D33DA3" w:rsidRPr="000540E1" w:rsidRDefault="00D33DA3" w:rsidP="00E30A53">
            <w:pPr>
              <w:pStyle w:val="tablehead"/>
            </w:pPr>
            <w:r>
              <w:t>Value</w:t>
            </w:r>
          </w:p>
        </w:tc>
        <w:tc>
          <w:tcPr>
            <w:tcW w:w="5528" w:type="dxa"/>
            <w:shd w:val="clear" w:color="auto" w:fill="C2E3FA"/>
          </w:tcPr>
          <w:p w14:paraId="0A21A1BE" w14:textId="08473673" w:rsidR="00D33DA3" w:rsidRPr="000540E1" w:rsidRDefault="00D33DA3" w:rsidP="00E30A53">
            <w:pPr>
              <w:pStyle w:val="tablehead"/>
            </w:pPr>
            <w:r>
              <w:t>Indicative definition</w:t>
            </w:r>
          </w:p>
        </w:tc>
      </w:tr>
      <w:tr w:rsidR="00D33DA3" w:rsidRPr="000540E1" w14:paraId="7A464B66" w14:textId="77777777" w:rsidTr="00136CC5">
        <w:trPr>
          <w:cantSplit/>
        </w:trPr>
        <w:tc>
          <w:tcPr>
            <w:tcW w:w="993" w:type="dxa"/>
          </w:tcPr>
          <w:p w14:paraId="1DC91BCC" w14:textId="77777777" w:rsidR="00D33DA3" w:rsidRPr="000540E1" w:rsidRDefault="00D33DA3" w:rsidP="00E30A53">
            <w:pPr>
              <w:pStyle w:val="tbltext"/>
            </w:pPr>
            <w:r>
              <w:t>1</w:t>
            </w:r>
          </w:p>
        </w:tc>
        <w:tc>
          <w:tcPr>
            <w:tcW w:w="5528" w:type="dxa"/>
          </w:tcPr>
          <w:p w14:paraId="5E5B93E9" w14:textId="5D065A40" w:rsidR="00D33DA3" w:rsidRPr="000540E1" w:rsidRDefault="00D33DA3" w:rsidP="00D33DA3">
            <w:pPr>
              <w:pStyle w:val="tbltext"/>
            </w:pPr>
            <w:r>
              <w:t>Major Australian bank</w:t>
            </w:r>
          </w:p>
        </w:tc>
      </w:tr>
      <w:tr w:rsidR="00D33DA3" w:rsidRPr="000540E1" w14:paraId="5DB52A78" w14:textId="77777777" w:rsidTr="00136CC5">
        <w:trPr>
          <w:cantSplit/>
        </w:trPr>
        <w:tc>
          <w:tcPr>
            <w:tcW w:w="993" w:type="dxa"/>
          </w:tcPr>
          <w:p w14:paraId="7B8B4EFC" w14:textId="77777777" w:rsidR="00D33DA3" w:rsidRPr="000540E1" w:rsidRDefault="00D33DA3" w:rsidP="00E30A53">
            <w:pPr>
              <w:pStyle w:val="tbltext"/>
            </w:pPr>
            <w:r>
              <w:t>2</w:t>
            </w:r>
          </w:p>
        </w:tc>
        <w:tc>
          <w:tcPr>
            <w:tcW w:w="5528" w:type="dxa"/>
          </w:tcPr>
          <w:p w14:paraId="723B082A" w14:textId="42B00FA4" w:rsidR="00D33DA3" w:rsidRPr="000540E1" w:rsidRDefault="00D33DA3" w:rsidP="00D33DA3">
            <w:pPr>
              <w:pStyle w:val="tbltext"/>
            </w:pPr>
            <w:r>
              <w:t>Other Australian ADI</w:t>
            </w:r>
          </w:p>
        </w:tc>
      </w:tr>
      <w:tr w:rsidR="00D33DA3" w:rsidRPr="000540E1" w14:paraId="201B2B98" w14:textId="77777777" w:rsidTr="00136CC5">
        <w:trPr>
          <w:cantSplit/>
        </w:trPr>
        <w:tc>
          <w:tcPr>
            <w:tcW w:w="993" w:type="dxa"/>
          </w:tcPr>
          <w:p w14:paraId="0A18EB76" w14:textId="77777777" w:rsidR="00D33DA3" w:rsidRPr="000540E1" w:rsidRDefault="00D33DA3" w:rsidP="00E30A53">
            <w:pPr>
              <w:pStyle w:val="tbltext"/>
            </w:pPr>
            <w:r>
              <w:t>3</w:t>
            </w:r>
          </w:p>
        </w:tc>
        <w:tc>
          <w:tcPr>
            <w:tcW w:w="5528" w:type="dxa"/>
          </w:tcPr>
          <w:p w14:paraId="0D62BDE1" w14:textId="08519942" w:rsidR="00D33DA3" w:rsidRPr="000540E1" w:rsidRDefault="00D33DA3" w:rsidP="00D33DA3">
            <w:pPr>
              <w:pStyle w:val="tbltext"/>
            </w:pPr>
            <w:r>
              <w:t>Foreign bank</w:t>
            </w:r>
            <w:r w:rsidR="008C4C7D">
              <w:rPr>
                <w:rFonts w:ascii="Calibri" w:hAnsi="Calibri"/>
              </w:rPr>
              <w:t>—</w:t>
            </w:r>
            <w:r>
              <w:t>local branch or subsidiary</w:t>
            </w:r>
          </w:p>
        </w:tc>
      </w:tr>
      <w:tr w:rsidR="00D33DA3" w:rsidRPr="000540E1" w14:paraId="1956F23B" w14:textId="77777777" w:rsidTr="00136CC5">
        <w:trPr>
          <w:cantSplit/>
        </w:trPr>
        <w:tc>
          <w:tcPr>
            <w:tcW w:w="993" w:type="dxa"/>
          </w:tcPr>
          <w:p w14:paraId="155CBA97" w14:textId="77777777" w:rsidR="00D33DA3" w:rsidRPr="000540E1" w:rsidRDefault="00D33DA3" w:rsidP="00E30A53">
            <w:pPr>
              <w:pStyle w:val="tbltext"/>
            </w:pPr>
            <w:r>
              <w:lastRenderedPageBreak/>
              <w:t>4</w:t>
            </w:r>
          </w:p>
        </w:tc>
        <w:tc>
          <w:tcPr>
            <w:tcW w:w="5528" w:type="dxa"/>
          </w:tcPr>
          <w:p w14:paraId="66D1CA9E" w14:textId="39A6711B" w:rsidR="00D33DA3" w:rsidRPr="000540E1" w:rsidRDefault="00D33DA3" w:rsidP="00D33DA3">
            <w:pPr>
              <w:pStyle w:val="tbltext"/>
            </w:pPr>
            <w:r>
              <w:t>Foreign bank</w:t>
            </w:r>
            <w:r w:rsidR="008C4C7D">
              <w:rPr>
                <w:rFonts w:ascii="Calibri" w:hAnsi="Calibri"/>
              </w:rPr>
              <w:t>—</w:t>
            </w:r>
            <w:r>
              <w:t>overseas</w:t>
            </w:r>
          </w:p>
        </w:tc>
      </w:tr>
      <w:tr w:rsidR="00D33DA3" w:rsidRPr="000540E1" w14:paraId="7B103197" w14:textId="77777777" w:rsidTr="00136CC5">
        <w:trPr>
          <w:cantSplit/>
        </w:trPr>
        <w:tc>
          <w:tcPr>
            <w:tcW w:w="993" w:type="dxa"/>
          </w:tcPr>
          <w:p w14:paraId="669E2A31" w14:textId="77777777" w:rsidR="00D33DA3" w:rsidRPr="000540E1" w:rsidRDefault="00D33DA3" w:rsidP="00E30A53">
            <w:pPr>
              <w:pStyle w:val="tbltext"/>
            </w:pPr>
            <w:r>
              <w:t>5</w:t>
            </w:r>
          </w:p>
        </w:tc>
        <w:tc>
          <w:tcPr>
            <w:tcW w:w="5528" w:type="dxa"/>
          </w:tcPr>
          <w:p w14:paraId="051112F0" w14:textId="6C9F2D3E" w:rsidR="00D33DA3" w:rsidRPr="000540E1" w:rsidRDefault="00D33DA3" w:rsidP="00D33DA3">
            <w:pPr>
              <w:pStyle w:val="tbltext"/>
            </w:pPr>
            <w:r>
              <w:t>Australian superannuation fund</w:t>
            </w:r>
          </w:p>
        </w:tc>
      </w:tr>
      <w:tr w:rsidR="00D33DA3" w:rsidRPr="000540E1" w14:paraId="519D9765" w14:textId="77777777" w:rsidTr="00136CC5">
        <w:trPr>
          <w:cantSplit/>
        </w:trPr>
        <w:tc>
          <w:tcPr>
            <w:tcW w:w="993" w:type="dxa"/>
          </w:tcPr>
          <w:p w14:paraId="23AA5728" w14:textId="77777777" w:rsidR="00D33DA3" w:rsidRPr="001E6658" w:rsidRDefault="00D33DA3" w:rsidP="00E30A53">
            <w:pPr>
              <w:pStyle w:val="tbltext"/>
            </w:pPr>
            <w:r w:rsidRPr="001E6658">
              <w:t>6</w:t>
            </w:r>
          </w:p>
        </w:tc>
        <w:tc>
          <w:tcPr>
            <w:tcW w:w="5528" w:type="dxa"/>
          </w:tcPr>
          <w:p w14:paraId="5830579A" w14:textId="414DF50C" w:rsidR="00D33DA3" w:rsidRPr="000540E1" w:rsidRDefault="00D33DA3" w:rsidP="00D33DA3">
            <w:pPr>
              <w:pStyle w:val="tbltext"/>
            </w:pPr>
            <w:r w:rsidRPr="001E6658">
              <w:t>Foreign superannuation fund</w:t>
            </w:r>
            <w:r w:rsidR="009F7E62">
              <w:rPr>
                <w:rFonts w:ascii="Calibri" w:hAnsi="Calibri"/>
              </w:rPr>
              <w:t>—</w:t>
            </w:r>
            <w:r w:rsidRPr="001E6658">
              <w:t>local branch or subsidiary</w:t>
            </w:r>
          </w:p>
        </w:tc>
      </w:tr>
      <w:tr w:rsidR="00D33DA3" w:rsidRPr="000540E1" w14:paraId="0AAAA2E1" w14:textId="77777777" w:rsidTr="00136CC5">
        <w:trPr>
          <w:cantSplit/>
        </w:trPr>
        <w:tc>
          <w:tcPr>
            <w:tcW w:w="993" w:type="dxa"/>
          </w:tcPr>
          <w:p w14:paraId="5F55530D" w14:textId="77777777" w:rsidR="00D33DA3" w:rsidRPr="000540E1" w:rsidRDefault="00D33DA3" w:rsidP="00E30A53">
            <w:pPr>
              <w:pStyle w:val="tbltext"/>
            </w:pPr>
            <w:r>
              <w:t>7</w:t>
            </w:r>
          </w:p>
        </w:tc>
        <w:tc>
          <w:tcPr>
            <w:tcW w:w="5528" w:type="dxa"/>
          </w:tcPr>
          <w:p w14:paraId="62059178" w14:textId="66BE97D6" w:rsidR="00D33DA3" w:rsidRPr="000540E1" w:rsidRDefault="00D33DA3" w:rsidP="00D33DA3">
            <w:pPr>
              <w:pStyle w:val="tbltext"/>
            </w:pPr>
            <w:r>
              <w:t>Foreign superannuation fund</w:t>
            </w:r>
            <w:r w:rsidR="009F7E62">
              <w:rPr>
                <w:rFonts w:ascii="Calibri" w:hAnsi="Calibri"/>
              </w:rPr>
              <w:t>—</w:t>
            </w:r>
            <w:r>
              <w:t>overseas</w:t>
            </w:r>
          </w:p>
        </w:tc>
      </w:tr>
      <w:tr w:rsidR="00D33DA3" w:rsidRPr="000540E1" w14:paraId="3D96C7BB" w14:textId="77777777" w:rsidTr="00136CC5">
        <w:trPr>
          <w:cantSplit/>
        </w:trPr>
        <w:tc>
          <w:tcPr>
            <w:tcW w:w="993" w:type="dxa"/>
          </w:tcPr>
          <w:p w14:paraId="25336BF6" w14:textId="77777777" w:rsidR="00D33DA3" w:rsidRPr="000540E1" w:rsidRDefault="00D33DA3" w:rsidP="00E30A53">
            <w:pPr>
              <w:pStyle w:val="tbltext"/>
            </w:pPr>
            <w:r>
              <w:t>8</w:t>
            </w:r>
          </w:p>
        </w:tc>
        <w:tc>
          <w:tcPr>
            <w:tcW w:w="5528" w:type="dxa"/>
          </w:tcPr>
          <w:p w14:paraId="73346F17" w14:textId="69E754A1" w:rsidR="00D33DA3" w:rsidRPr="000540E1" w:rsidRDefault="00D33DA3" w:rsidP="00D33DA3">
            <w:pPr>
              <w:pStyle w:val="tbltext"/>
            </w:pPr>
            <w:r>
              <w:t>Other Australian financial institution</w:t>
            </w:r>
          </w:p>
        </w:tc>
      </w:tr>
      <w:tr w:rsidR="00D33DA3" w:rsidRPr="000540E1" w14:paraId="1C401A04" w14:textId="77777777" w:rsidTr="00136CC5">
        <w:trPr>
          <w:cantSplit/>
        </w:trPr>
        <w:tc>
          <w:tcPr>
            <w:tcW w:w="993" w:type="dxa"/>
          </w:tcPr>
          <w:p w14:paraId="31F176AC" w14:textId="77777777" w:rsidR="00D33DA3" w:rsidRPr="000540E1" w:rsidRDefault="00D33DA3" w:rsidP="00E30A53">
            <w:pPr>
              <w:pStyle w:val="tbltext"/>
            </w:pPr>
            <w:r>
              <w:t>9</w:t>
            </w:r>
          </w:p>
        </w:tc>
        <w:tc>
          <w:tcPr>
            <w:tcW w:w="5528" w:type="dxa"/>
          </w:tcPr>
          <w:p w14:paraId="0641900E" w14:textId="38D3DBB6" w:rsidR="00D33DA3" w:rsidRPr="000540E1" w:rsidRDefault="00D33DA3" w:rsidP="00D33DA3">
            <w:pPr>
              <w:pStyle w:val="tbltext"/>
            </w:pPr>
            <w:r>
              <w:t>Other foreign financial institution</w:t>
            </w:r>
            <w:r w:rsidR="009F7E62">
              <w:rPr>
                <w:rFonts w:ascii="Calibri" w:hAnsi="Calibri"/>
              </w:rPr>
              <w:t>—</w:t>
            </w:r>
            <w:r>
              <w:t>local branch or subsidiary</w:t>
            </w:r>
          </w:p>
        </w:tc>
      </w:tr>
      <w:tr w:rsidR="00D33DA3" w:rsidRPr="000540E1" w14:paraId="7ABAC4FE" w14:textId="77777777" w:rsidTr="00136CC5">
        <w:trPr>
          <w:cantSplit/>
        </w:trPr>
        <w:tc>
          <w:tcPr>
            <w:tcW w:w="993" w:type="dxa"/>
          </w:tcPr>
          <w:p w14:paraId="35650AE8" w14:textId="77777777" w:rsidR="00D33DA3" w:rsidRPr="000540E1" w:rsidRDefault="00D33DA3" w:rsidP="00E30A53">
            <w:pPr>
              <w:pStyle w:val="tbltext"/>
            </w:pPr>
            <w:r>
              <w:t>10</w:t>
            </w:r>
          </w:p>
        </w:tc>
        <w:tc>
          <w:tcPr>
            <w:tcW w:w="5528" w:type="dxa"/>
          </w:tcPr>
          <w:p w14:paraId="4671118A" w14:textId="32A0AF55" w:rsidR="00D33DA3" w:rsidRPr="000540E1" w:rsidRDefault="00D33DA3" w:rsidP="00D33DA3">
            <w:pPr>
              <w:pStyle w:val="tbltext"/>
            </w:pPr>
            <w:r>
              <w:t>Other foreign financial institution</w:t>
            </w:r>
            <w:r w:rsidR="009F7E62">
              <w:rPr>
                <w:rFonts w:ascii="Calibri" w:hAnsi="Calibri"/>
              </w:rPr>
              <w:t>—</w:t>
            </w:r>
            <w:r>
              <w:t>overseas</w:t>
            </w:r>
          </w:p>
        </w:tc>
      </w:tr>
      <w:tr w:rsidR="00D33DA3" w:rsidRPr="000540E1" w14:paraId="372A0C6B" w14:textId="77777777" w:rsidTr="00136CC5">
        <w:trPr>
          <w:cantSplit/>
        </w:trPr>
        <w:tc>
          <w:tcPr>
            <w:tcW w:w="993" w:type="dxa"/>
          </w:tcPr>
          <w:p w14:paraId="336899D4" w14:textId="77777777" w:rsidR="00D33DA3" w:rsidRPr="000540E1" w:rsidRDefault="00D33DA3" w:rsidP="00E30A53">
            <w:pPr>
              <w:pStyle w:val="tbltext"/>
            </w:pPr>
            <w:r>
              <w:t>11</w:t>
            </w:r>
          </w:p>
        </w:tc>
        <w:tc>
          <w:tcPr>
            <w:tcW w:w="5528" w:type="dxa"/>
          </w:tcPr>
          <w:p w14:paraId="572B6762" w14:textId="57669101" w:rsidR="00D33DA3" w:rsidRPr="000540E1" w:rsidRDefault="00D33DA3" w:rsidP="00D33DA3">
            <w:pPr>
              <w:pStyle w:val="tbltext"/>
            </w:pPr>
            <w:r>
              <w:t>Non-financial institution</w:t>
            </w:r>
          </w:p>
        </w:tc>
      </w:tr>
      <w:tr w:rsidR="00D33DA3" w:rsidRPr="000540E1" w14:paraId="0B92854C" w14:textId="77777777" w:rsidTr="00136CC5">
        <w:trPr>
          <w:cantSplit/>
        </w:trPr>
        <w:tc>
          <w:tcPr>
            <w:tcW w:w="993" w:type="dxa"/>
          </w:tcPr>
          <w:p w14:paraId="32AE9375" w14:textId="329B8C08" w:rsidR="00D33DA3" w:rsidRPr="000540E1" w:rsidRDefault="00D33DA3" w:rsidP="00E30A53">
            <w:pPr>
              <w:pStyle w:val="tbltext"/>
            </w:pPr>
            <w:r>
              <w:t>12</w:t>
            </w:r>
          </w:p>
        </w:tc>
        <w:tc>
          <w:tcPr>
            <w:tcW w:w="5528" w:type="dxa"/>
          </w:tcPr>
          <w:p w14:paraId="7C600AFD" w14:textId="3E73ADD0" w:rsidR="00D33DA3" w:rsidRPr="000540E1" w:rsidRDefault="00D33DA3" w:rsidP="006F7990">
            <w:pPr>
              <w:pStyle w:val="tbltext"/>
            </w:pPr>
            <w:r>
              <w:t>Natural person</w:t>
            </w:r>
          </w:p>
        </w:tc>
      </w:tr>
    </w:tbl>
    <w:p w14:paraId="204B71F5" w14:textId="2FEDE3AA" w:rsidR="006F7990" w:rsidRDefault="009F7E62" w:rsidP="001E71C8">
      <w:pPr>
        <w:pStyle w:val="BodyText"/>
        <w:spacing w:line="290" w:lineRule="atLeast"/>
        <w:rPr>
          <w:rFonts w:eastAsiaTheme="minorHAnsi"/>
        </w:rPr>
      </w:pPr>
      <w:r w:rsidDel="009F7E62">
        <w:t xml:space="preserve"> </w:t>
      </w:r>
      <w:r w:rsidR="006F7990">
        <w:rPr>
          <w:rFonts w:eastAsiaTheme="minorHAnsi"/>
        </w:rPr>
        <w:t xml:space="preserve">‘Intragroup’ is proposed to be adopted </w:t>
      </w:r>
      <w:r w:rsidR="00C032D6">
        <w:rPr>
          <w:rFonts w:eastAsiaTheme="minorHAnsi"/>
        </w:rPr>
        <w:t>in a similar manner to</w:t>
      </w:r>
      <w:r w:rsidR="00C032D6" w:rsidDel="00C032D6">
        <w:rPr>
          <w:rFonts w:eastAsiaTheme="minorHAnsi"/>
        </w:rPr>
        <w:t xml:space="preserve"> </w:t>
      </w:r>
      <w:r w:rsidR="006F7990">
        <w:rPr>
          <w:rFonts w:eastAsiaTheme="minorHAnsi"/>
        </w:rPr>
        <w:t xml:space="preserve">the </w:t>
      </w:r>
      <w:r w:rsidR="006F7990" w:rsidRPr="00485237">
        <w:rPr>
          <w:rFonts w:eastAsiaTheme="minorHAnsi"/>
        </w:rPr>
        <w:t>EU</w:t>
      </w:r>
      <w:r w:rsidR="006F7990">
        <w:rPr>
          <w:rFonts w:eastAsiaTheme="minorHAnsi"/>
        </w:rPr>
        <w:t xml:space="preserve"> rules to enable the Australian regulators to more clearly monitor intragroup risk and exposures.</w:t>
      </w:r>
    </w:p>
    <w:p w14:paraId="0C199D9A" w14:textId="270F58B6" w:rsidR="00600CAD" w:rsidRDefault="00600CAD" w:rsidP="001E71C8">
      <w:pPr>
        <w:pStyle w:val="BodyText"/>
        <w:spacing w:line="290" w:lineRule="atLeast"/>
        <w:rPr>
          <w:rFonts w:eastAsiaTheme="minorHAnsi"/>
        </w:rPr>
      </w:pPr>
      <w:r>
        <w:rPr>
          <w:rFonts w:eastAsiaTheme="minorHAnsi"/>
        </w:rPr>
        <w:t>‘Broker ID’ directly substitutes for the corresponding data element in the current ASIC Rules. Though it is not a CDE</w:t>
      </w:r>
      <w:r w:rsidR="00C032D6">
        <w:rPr>
          <w:rFonts w:eastAsiaTheme="minorHAnsi"/>
        </w:rPr>
        <w:t xml:space="preserve"> data element</w:t>
      </w:r>
      <w:r>
        <w:rPr>
          <w:rFonts w:eastAsiaTheme="minorHAnsi"/>
        </w:rPr>
        <w:t xml:space="preserve">, we consider it is important for market conduct monitoring purposes to identify parties involved in </w:t>
      </w:r>
      <w:r w:rsidR="009C1E8B">
        <w:rPr>
          <w:rFonts w:eastAsiaTheme="minorHAnsi"/>
        </w:rPr>
        <w:t>derivative transaction</w:t>
      </w:r>
      <w:r>
        <w:rPr>
          <w:rFonts w:eastAsiaTheme="minorHAnsi"/>
        </w:rPr>
        <w:t>s, such as brokers.</w:t>
      </w:r>
    </w:p>
    <w:p w14:paraId="56B0A70E" w14:textId="10B5EDE4" w:rsidR="00DF4203" w:rsidRDefault="00600CAD" w:rsidP="001E71C8">
      <w:pPr>
        <w:pStyle w:val="BodyText"/>
        <w:spacing w:line="290" w:lineRule="atLeast"/>
        <w:rPr>
          <w:rFonts w:eastAsiaTheme="minorHAnsi"/>
        </w:rPr>
      </w:pPr>
      <w:r>
        <w:rPr>
          <w:rFonts w:eastAsiaTheme="minorHAnsi"/>
        </w:rPr>
        <w:t>Likewise, though ‘</w:t>
      </w:r>
      <w:r w:rsidR="00256098">
        <w:rPr>
          <w:rFonts w:eastAsiaTheme="minorHAnsi"/>
        </w:rPr>
        <w:t>e</w:t>
      </w:r>
      <w:r w:rsidR="00256098" w:rsidRPr="00600CAD">
        <w:rPr>
          <w:rFonts w:eastAsiaTheme="minorHAnsi"/>
        </w:rPr>
        <w:t xml:space="preserve">xecution </w:t>
      </w:r>
      <w:r w:rsidR="00256098">
        <w:rPr>
          <w:rFonts w:eastAsiaTheme="minorHAnsi"/>
        </w:rPr>
        <w:t>a</w:t>
      </w:r>
      <w:r w:rsidR="00256098" w:rsidRPr="00600CAD">
        <w:rPr>
          <w:rFonts w:eastAsiaTheme="minorHAnsi"/>
        </w:rPr>
        <w:t xml:space="preserve">gent </w:t>
      </w:r>
      <w:r w:rsidRPr="00600CAD">
        <w:rPr>
          <w:rFonts w:eastAsiaTheme="minorHAnsi"/>
        </w:rPr>
        <w:t>of counterparty 1</w:t>
      </w:r>
      <w:r>
        <w:rPr>
          <w:rFonts w:eastAsiaTheme="minorHAnsi"/>
        </w:rPr>
        <w:t xml:space="preserve">’ is neither a CDE nor a </w:t>
      </w:r>
      <w:r w:rsidR="00672140">
        <w:rPr>
          <w:rFonts w:eastAsiaTheme="minorHAnsi"/>
        </w:rPr>
        <w:t>CF</w:t>
      </w:r>
      <w:r w:rsidR="00C032D6">
        <w:rPr>
          <w:rFonts w:eastAsiaTheme="minorHAnsi"/>
        </w:rPr>
        <w:t>T</w:t>
      </w:r>
      <w:r w:rsidR="00672140">
        <w:rPr>
          <w:rFonts w:eastAsiaTheme="minorHAnsi"/>
        </w:rPr>
        <w:t>C</w:t>
      </w:r>
      <w:r>
        <w:rPr>
          <w:rFonts w:eastAsiaTheme="minorHAnsi"/>
        </w:rPr>
        <w:t xml:space="preserve"> or </w:t>
      </w:r>
      <w:r w:rsidR="00672140">
        <w:rPr>
          <w:rFonts w:eastAsiaTheme="minorHAnsi"/>
        </w:rPr>
        <w:t>ESMA</w:t>
      </w:r>
      <w:r>
        <w:rPr>
          <w:rFonts w:eastAsiaTheme="minorHAnsi"/>
        </w:rPr>
        <w:t xml:space="preserve"> data element, we consider it is important to identify such </w:t>
      </w:r>
      <w:r w:rsidR="0043102E">
        <w:rPr>
          <w:rFonts w:eastAsiaTheme="minorHAnsi"/>
        </w:rPr>
        <w:t xml:space="preserve">execution agents </w:t>
      </w:r>
      <w:r>
        <w:rPr>
          <w:rFonts w:eastAsiaTheme="minorHAnsi"/>
        </w:rPr>
        <w:t>as parties involved in derivative transactions</w:t>
      </w:r>
      <w:r w:rsidR="00DF4203">
        <w:rPr>
          <w:rFonts w:eastAsiaTheme="minorHAnsi"/>
        </w:rPr>
        <w:t>.</w:t>
      </w:r>
    </w:p>
    <w:p w14:paraId="5790B816" w14:textId="74334897" w:rsidR="00600CAD" w:rsidRDefault="00DF4203" w:rsidP="001E71C8">
      <w:pPr>
        <w:pStyle w:val="BodyText"/>
        <w:spacing w:line="290" w:lineRule="atLeast"/>
        <w:rPr>
          <w:rFonts w:eastAsiaTheme="minorHAnsi"/>
        </w:rPr>
      </w:pPr>
      <w:r>
        <w:rPr>
          <w:rFonts w:eastAsiaTheme="minorHAnsi"/>
        </w:rPr>
        <w:t>In addition</w:t>
      </w:r>
      <w:r w:rsidR="00600CAD">
        <w:rPr>
          <w:rFonts w:eastAsiaTheme="minorHAnsi"/>
        </w:rPr>
        <w:t>,</w:t>
      </w:r>
      <w:r>
        <w:rPr>
          <w:rFonts w:eastAsiaTheme="minorHAnsi"/>
        </w:rPr>
        <w:t xml:space="preserve"> we understand that such </w:t>
      </w:r>
      <w:r w:rsidR="0043102E">
        <w:rPr>
          <w:rFonts w:eastAsiaTheme="minorHAnsi"/>
        </w:rPr>
        <w:t xml:space="preserve">execution agents </w:t>
      </w:r>
      <w:r>
        <w:rPr>
          <w:rFonts w:eastAsiaTheme="minorHAnsi"/>
        </w:rPr>
        <w:t xml:space="preserve">often play a role in transaction reporting by either directly reporting transactions on behalf of </w:t>
      </w:r>
      <w:r w:rsidR="0043102E">
        <w:rPr>
          <w:rFonts w:eastAsiaTheme="minorHAnsi"/>
        </w:rPr>
        <w:t xml:space="preserve">counterparty </w:t>
      </w:r>
      <w:r>
        <w:rPr>
          <w:rFonts w:eastAsiaTheme="minorHAnsi"/>
        </w:rPr>
        <w:t xml:space="preserve">1 or arranging that a reporting services provider reports the transactions. This transaction reporting role may be limited to each new transaction or may also include ongoing valuation and/or collateral reporting. By identifying such </w:t>
      </w:r>
      <w:r w:rsidR="0043102E">
        <w:rPr>
          <w:rFonts w:eastAsiaTheme="minorHAnsi"/>
        </w:rPr>
        <w:t>execution agents</w:t>
      </w:r>
      <w:r>
        <w:rPr>
          <w:rFonts w:eastAsiaTheme="minorHAnsi"/>
        </w:rPr>
        <w:t xml:space="preserve">, we have clearer insights into understanding, for example, the differing reporting practices and levels of reporting compliance observable within funds with multiple </w:t>
      </w:r>
      <w:r w:rsidR="0043102E">
        <w:rPr>
          <w:rFonts w:eastAsiaTheme="minorHAnsi"/>
        </w:rPr>
        <w:t>execution agents</w:t>
      </w:r>
      <w:r w:rsidR="006E6C11">
        <w:rPr>
          <w:rFonts w:eastAsiaTheme="minorHAnsi"/>
        </w:rPr>
        <w:t>.</w:t>
      </w:r>
    </w:p>
    <w:p w14:paraId="2A0C87EC" w14:textId="683080DF" w:rsidR="006E6C11" w:rsidRPr="001E71C8" w:rsidRDefault="006E6C11" w:rsidP="001E71C8">
      <w:pPr>
        <w:pStyle w:val="BodyText"/>
        <w:spacing w:line="290" w:lineRule="atLeast"/>
        <w:rPr>
          <w:rFonts w:eastAsiaTheme="minorHAnsi"/>
          <w:spacing w:val="-2"/>
        </w:rPr>
      </w:pPr>
      <w:r w:rsidRPr="001E71C8">
        <w:rPr>
          <w:rFonts w:eastAsiaTheme="minorHAnsi"/>
          <w:spacing w:val="-2"/>
        </w:rPr>
        <w:t xml:space="preserve">For a fund or scheme, the data elements </w:t>
      </w:r>
      <w:r w:rsidR="00933B34" w:rsidRPr="001E71C8">
        <w:rPr>
          <w:rFonts w:eastAsiaTheme="minorHAnsi"/>
          <w:spacing w:val="-2"/>
        </w:rPr>
        <w:t xml:space="preserve">of ‘reporting entity’, ‘counterparty 1’ and ‘execution agent of counterparty 1’ </w:t>
      </w:r>
      <w:r w:rsidRPr="001E71C8">
        <w:rPr>
          <w:rFonts w:eastAsiaTheme="minorHAnsi"/>
          <w:spacing w:val="-2"/>
        </w:rPr>
        <w:t>would identify each of the key parties as:</w:t>
      </w:r>
    </w:p>
    <w:p w14:paraId="54804206" w14:textId="36971B7A" w:rsidR="006E6C11" w:rsidRDefault="006E6C11" w:rsidP="001E71C8">
      <w:pPr>
        <w:pStyle w:val="subparaa"/>
        <w:spacing w:line="290" w:lineRule="atLeast"/>
        <w:rPr>
          <w:rFonts w:eastAsiaTheme="minorHAnsi"/>
        </w:rPr>
      </w:pPr>
      <w:r>
        <w:rPr>
          <w:rFonts w:eastAsiaTheme="minorHAnsi"/>
        </w:rPr>
        <w:t>the responsible entity or trustee as the ‘</w:t>
      </w:r>
      <w:r w:rsidR="009E0748">
        <w:rPr>
          <w:rFonts w:eastAsiaTheme="minorHAnsi"/>
        </w:rPr>
        <w:t>reporting entity</w:t>
      </w:r>
      <w:r>
        <w:rPr>
          <w:rFonts w:eastAsiaTheme="minorHAnsi"/>
        </w:rPr>
        <w:t>’;</w:t>
      </w:r>
    </w:p>
    <w:p w14:paraId="6B5ECAAF" w14:textId="6E74BC64" w:rsidR="006E6C11" w:rsidRDefault="006E6C11" w:rsidP="001E71C8">
      <w:pPr>
        <w:pStyle w:val="subparaa"/>
        <w:spacing w:line="290" w:lineRule="atLeast"/>
        <w:rPr>
          <w:rFonts w:eastAsiaTheme="minorHAnsi"/>
        </w:rPr>
      </w:pPr>
      <w:r>
        <w:rPr>
          <w:rFonts w:eastAsiaTheme="minorHAnsi"/>
        </w:rPr>
        <w:t>the fund or scheme itself as ‘</w:t>
      </w:r>
      <w:r w:rsidR="0043102E">
        <w:rPr>
          <w:rFonts w:eastAsiaTheme="minorHAnsi"/>
        </w:rPr>
        <w:t xml:space="preserve">counterparty </w:t>
      </w:r>
      <w:r>
        <w:rPr>
          <w:rFonts w:eastAsiaTheme="minorHAnsi"/>
        </w:rPr>
        <w:t>1’; and</w:t>
      </w:r>
    </w:p>
    <w:p w14:paraId="1BE76C31" w14:textId="48B154F2" w:rsidR="006E6C11" w:rsidRDefault="006E6C11" w:rsidP="001E71C8">
      <w:pPr>
        <w:pStyle w:val="subparaa"/>
        <w:spacing w:line="290" w:lineRule="atLeast"/>
        <w:rPr>
          <w:rFonts w:eastAsiaTheme="minorHAnsi"/>
        </w:rPr>
      </w:pPr>
      <w:r>
        <w:rPr>
          <w:rFonts w:eastAsiaTheme="minorHAnsi"/>
        </w:rPr>
        <w:t>one or more in-house or external fund managers as ‘</w:t>
      </w:r>
      <w:r w:rsidR="0043102E">
        <w:rPr>
          <w:rFonts w:eastAsiaTheme="minorHAnsi"/>
        </w:rPr>
        <w:t xml:space="preserve">execution agent </w:t>
      </w:r>
      <w:r>
        <w:rPr>
          <w:rFonts w:eastAsiaTheme="minorHAnsi"/>
        </w:rPr>
        <w:t>of counterparty 1’</w:t>
      </w:r>
      <w:r w:rsidR="0043102E">
        <w:rPr>
          <w:rFonts w:eastAsiaTheme="minorHAnsi"/>
        </w:rPr>
        <w:t>.</w:t>
      </w:r>
    </w:p>
    <w:p w14:paraId="626AA875" w14:textId="77777777" w:rsidR="00586A34" w:rsidRDefault="00586A34" w:rsidP="005E2C08">
      <w:pPr>
        <w:pStyle w:val="Proposalhead"/>
      </w:pPr>
      <w:r>
        <w:lastRenderedPageBreak/>
        <w:t>Proposal</w:t>
      </w:r>
    </w:p>
    <w:p w14:paraId="30CD6F37" w14:textId="3FC33F43" w:rsidR="00586A34" w:rsidRDefault="00586A34" w:rsidP="00CC4F6F">
      <w:pPr>
        <w:pStyle w:val="Proposaltext"/>
        <w:spacing w:line="250" w:lineRule="atLeast"/>
      </w:pPr>
      <w:r>
        <w:t xml:space="preserve">We propose to include in the ASIC Rules the data elements related to </w:t>
      </w:r>
      <w:r w:rsidR="00581717">
        <w:t>counterparties and beneficiaries</w:t>
      </w:r>
      <w:r>
        <w:t xml:space="preserve"> set out in </w:t>
      </w:r>
      <w:r w:rsidR="005207D4">
        <w:fldChar w:fldCharType="begin"/>
      </w:r>
      <w:r w:rsidR="005207D4">
        <w:instrText xml:space="preserve"> REF _Ref55911814 \h </w:instrText>
      </w:r>
      <w:r w:rsidR="005207D4">
        <w:fldChar w:fldCharType="separate"/>
      </w:r>
      <w:r w:rsidR="00314C7E">
        <w:t xml:space="preserve">Table </w:t>
      </w:r>
      <w:r w:rsidR="00314C7E">
        <w:rPr>
          <w:noProof/>
        </w:rPr>
        <w:t>8</w:t>
      </w:r>
      <w:r w:rsidR="005207D4">
        <w:fldChar w:fldCharType="end"/>
      </w:r>
      <w:r>
        <w:t>.</w:t>
      </w:r>
    </w:p>
    <w:p w14:paraId="543066B3" w14:textId="77777777" w:rsidR="00586A34" w:rsidRDefault="00586A34">
      <w:pPr>
        <w:pStyle w:val="Feedbackhead"/>
      </w:pPr>
      <w:r>
        <w:t>Your feedback</w:t>
      </w:r>
    </w:p>
    <w:p w14:paraId="2068DC58" w14:textId="77777777" w:rsidR="00586A34" w:rsidRDefault="00586A34" w:rsidP="00CC4F6F">
      <w:pPr>
        <w:pStyle w:val="Feedbackquestion"/>
        <w:spacing w:line="250" w:lineRule="atLeast"/>
      </w:pPr>
      <w:r>
        <w:t>Do you agree with this proposal? In your response, please give detailed reasons for your answer.</w:t>
      </w:r>
    </w:p>
    <w:p w14:paraId="3341D997" w14:textId="2C286242" w:rsidR="00086C30" w:rsidRPr="00086C30" w:rsidRDefault="00086C30" w:rsidP="00CC4F6F">
      <w:pPr>
        <w:pStyle w:val="Feedbackquestion"/>
        <w:spacing w:line="250" w:lineRule="atLeast"/>
      </w:pPr>
      <w:r w:rsidRPr="00086C30">
        <w:t>Do you consider that you will have particular interpretation or implementation issues with the data elements</w:t>
      </w:r>
      <w:r w:rsidR="00CB0A2A">
        <w:t xml:space="preserve"> set out in </w:t>
      </w:r>
      <w:r w:rsidR="00CB0A2A">
        <w:fldChar w:fldCharType="begin"/>
      </w:r>
      <w:r w:rsidR="00CB0A2A">
        <w:instrText xml:space="preserve"> REF _Ref55911814 \h </w:instrText>
      </w:r>
      <w:r w:rsidR="00CB0A2A">
        <w:fldChar w:fldCharType="separate"/>
      </w:r>
      <w:r w:rsidR="00314C7E">
        <w:t xml:space="preserve">Table </w:t>
      </w:r>
      <w:r w:rsidR="00314C7E">
        <w:rPr>
          <w:noProof/>
        </w:rPr>
        <w:t>8</w:t>
      </w:r>
      <w:r w:rsidR="00CB0A2A">
        <w:fldChar w:fldCharType="end"/>
      </w:r>
      <w:r w:rsidRPr="00086C30">
        <w:t>? In your response, please give detailed reasons for your answer.</w:t>
      </w:r>
    </w:p>
    <w:p w14:paraId="5FE0B312" w14:textId="181C5DCB" w:rsidR="00586A34" w:rsidRDefault="00586A34" w:rsidP="00CC4F6F">
      <w:pPr>
        <w:pStyle w:val="Feedbackquestion"/>
        <w:spacing w:line="250" w:lineRule="atLeast"/>
      </w:pPr>
      <w:r>
        <w:t>In relation to ‘</w:t>
      </w:r>
      <w:r w:rsidR="009E0748">
        <w:t>reporting entity</w:t>
      </w:r>
      <w:r>
        <w:t xml:space="preserve">’, do you </w:t>
      </w:r>
      <w:r w:rsidR="00C62732">
        <w:t>consider that this should be reported in all circumstances or only reported where it is a different entity to ‘</w:t>
      </w:r>
      <w:r w:rsidR="0043102E">
        <w:t xml:space="preserve">counterparty </w:t>
      </w:r>
      <w:r w:rsidR="00C62732">
        <w:t>1 (reporting counterparty)?</w:t>
      </w:r>
    </w:p>
    <w:p w14:paraId="0FF02B8B" w14:textId="5EAA67C7" w:rsidR="00395704" w:rsidRDefault="00395704" w:rsidP="00395704">
      <w:pPr>
        <w:pStyle w:val="Heading3"/>
        <w:rPr>
          <w:rFonts w:eastAsiaTheme="minorHAnsi"/>
        </w:rPr>
      </w:pPr>
      <w:r>
        <w:rPr>
          <w:rFonts w:eastAsiaTheme="minorHAnsi"/>
        </w:rPr>
        <w:t>Data elements related to direction</w:t>
      </w:r>
    </w:p>
    <w:p w14:paraId="0BC3252D" w14:textId="0A936B49" w:rsidR="00395704" w:rsidRDefault="00395704" w:rsidP="00CC4F6F">
      <w:pPr>
        <w:pStyle w:val="BodyText"/>
        <w:spacing w:line="290" w:lineRule="atLeast"/>
        <w:rPr>
          <w:rFonts w:eastAsiaTheme="minorHAnsi"/>
        </w:rPr>
      </w:pPr>
      <w:r>
        <w:rPr>
          <w:rFonts w:eastAsiaTheme="minorHAnsi"/>
        </w:rPr>
        <w:t xml:space="preserve">In the CDE </w:t>
      </w:r>
      <w:r w:rsidR="0022679B">
        <w:rPr>
          <w:rFonts w:eastAsiaTheme="minorHAnsi"/>
        </w:rPr>
        <w:t>Guidance</w:t>
      </w:r>
      <w:r>
        <w:rPr>
          <w:rFonts w:eastAsiaTheme="minorHAnsi"/>
        </w:rPr>
        <w:t xml:space="preserve">, </w:t>
      </w:r>
      <w:r w:rsidR="0043102E">
        <w:rPr>
          <w:rFonts w:eastAsiaTheme="minorHAnsi"/>
        </w:rPr>
        <w:t>‘</w:t>
      </w:r>
      <w:r>
        <w:rPr>
          <w:rFonts w:eastAsiaTheme="minorHAnsi"/>
        </w:rPr>
        <w:t>direction</w:t>
      </w:r>
      <w:r w:rsidR="0043102E">
        <w:rPr>
          <w:rFonts w:eastAsiaTheme="minorHAnsi"/>
        </w:rPr>
        <w:t>’</w:t>
      </w:r>
      <w:r>
        <w:rPr>
          <w:rFonts w:eastAsiaTheme="minorHAnsi"/>
        </w:rPr>
        <w:t xml:space="preserve"> refers to the </w:t>
      </w:r>
      <w:r w:rsidR="0043102E">
        <w:rPr>
          <w:rFonts w:eastAsiaTheme="minorHAnsi"/>
        </w:rPr>
        <w:t>‘</w:t>
      </w:r>
      <w:r>
        <w:rPr>
          <w:rFonts w:eastAsiaTheme="minorHAnsi"/>
        </w:rPr>
        <w:t>side</w:t>
      </w:r>
      <w:r w:rsidR="0043102E">
        <w:rPr>
          <w:rFonts w:eastAsiaTheme="minorHAnsi"/>
        </w:rPr>
        <w:t>’</w:t>
      </w:r>
      <w:r>
        <w:rPr>
          <w:rFonts w:eastAsiaTheme="minorHAnsi"/>
        </w:rPr>
        <w:t xml:space="preserve"> taken by each party to the transaction</w:t>
      </w:r>
      <w:r w:rsidR="0043102E" w:rsidRPr="00A829C7">
        <w:rPr>
          <w:rFonts w:eastAsiaTheme="minorHAnsi"/>
        </w:rPr>
        <w:t>—</w:t>
      </w:r>
      <w:r>
        <w:rPr>
          <w:rFonts w:eastAsiaTheme="minorHAnsi"/>
        </w:rPr>
        <w:t xml:space="preserve">i.e. </w:t>
      </w:r>
      <w:r w:rsidR="0043102E">
        <w:rPr>
          <w:rFonts w:eastAsiaTheme="minorHAnsi"/>
        </w:rPr>
        <w:t>buyer</w:t>
      </w:r>
      <w:r>
        <w:rPr>
          <w:rFonts w:eastAsiaTheme="minorHAnsi"/>
        </w:rPr>
        <w:t>/</w:t>
      </w:r>
      <w:r w:rsidR="0043102E">
        <w:rPr>
          <w:rFonts w:eastAsiaTheme="minorHAnsi"/>
        </w:rPr>
        <w:t>seller</w:t>
      </w:r>
      <w:r>
        <w:rPr>
          <w:rFonts w:eastAsiaTheme="minorHAnsi"/>
        </w:rPr>
        <w:t xml:space="preserve">, </w:t>
      </w:r>
      <w:r w:rsidR="0043102E">
        <w:rPr>
          <w:rFonts w:eastAsiaTheme="minorHAnsi"/>
        </w:rPr>
        <w:t>payer</w:t>
      </w:r>
      <w:r>
        <w:rPr>
          <w:rFonts w:eastAsiaTheme="minorHAnsi"/>
        </w:rPr>
        <w:t>/</w:t>
      </w:r>
      <w:r w:rsidR="0043102E">
        <w:rPr>
          <w:rFonts w:eastAsiaTheme="minorHAnsi"/>
        </w:rPr>
        <w:t>receiver</w:t>
      </w:r>
      <w:r>
        <w:rPr>
          <w:rFonts w:eastAsiaTheme="minorHAnsi"/>
        </w:rPr>
        <w:t>.</w:t>
      </w:r>
    </w:p>
    <w:p w14:paraId="1AB01F14" w14:textId="1029413B" w:rsidR="00395704" w:rsidRDefault="00395704" w:rsidP="00CC4F6F">
      <w:pPr>
        <w:pStyle w:val="subparaa"/>
        <w:spacing w:line="290" w:lineRule="atLeast"/>
        <w:rPr>
          <w:rFonts w:eastAsiaTheme="minorHAnsi"/>
        </w:rPr>
      </w:pPr>
      <w:r>
        <w:rPr>
          <w:rFonts w:eastAsiaTheme="minorHAnsi"/>
        </w:rPr>
        <w:t xml:space="preserve">CDE </w:t>
      </w:r>
      <w:r w:rsidR="0022679B">
        <w:rPr>
          <w:rFonts w:eastAsiaTheme="minorHAnsi"/>
        </w:rPr>
        <w:t>Guidance</w:t>
      </w:r>
      <w:r>
        <w:rPr>
          <w:rFonts w:eastAsiaTheme="minorHAnsi"/>
        </w:rPr>
        <w:t xml:space="preserve"> </w:t>
      </w:r>
      <w:r w:rsidR="002D14FD">
        <w:rPr>
          <w:rFonts w:eastAsiaTheme="minorHAnsi"/>
        </w:rPr>
        <w:t xml:space="preserve">model </w:t>
      </w:r>
      <w:r>
        <w:rPr>
          <w:rFonts w:eastAsiaTheme="minorHAnsi"/>
        </w:rPr>
        <w:t xml:space="preserve">1 applies to types of transactions where it is commonly understood that one party is the </w:t>
      </w:r>
      <w:r w:rsidR="0043102E">
        <w:rPr>
          <w:rFonts w:eastAsiaTheme="minorHAnsi"/>
        </w:rPr>
        <w:t>‘b</w:t>
      </w:r>
      <w:r>
        <w:rPr>
          <w:rFonts w:eastAsiaTheme="minorHAnsi"/>
        </w:rPr>
        <w:t>uyer</w:t>
      </w:r>
      <w:r w:rsidR="0043102E">
        <w:rPr>
          <w:rFonts w:eastAsiaTheme="minorHAnsi"/>
        </w:rPr>
        <w:t>’</w:t>
      </w:r>
      <w:r>
        <w:rPr>
          <w:rFonts w:eastAsiaTheme="minorHAnsi"/>
        </w:rPr>
        <w:t xml:space="preserve"> and the other party is the </w:t>
      </w:r>
      <w:r w:rsidR="0043102E">
        <w:rPr>
          <w:rFonts w:eastAsiaTheme="minorHAnsi"/>
        </w:rPr>
        <w:t>‘</w:t>
      </w:r>
      <w:r w:rsidR="00131016">
        <w:rPr>
          <w:rFonts w:eastAsiaTheme="minorHAnsi"/>
        </w:rPr>
        <w:t>seller’</w:t>
      </w:r>
      <w:r w:rsidR="0043102E" w:rsidRPr="00A829C7">
        <w:rPr>
          <w:rFonts w:eastAsiaTheme="minorHAnsi"/>
        </w:rPr>
        <w:t>—</w:t>
      </w:r>
      <w:r>
        <w:rPr>
          <w:rFonts w:eastAsiaTheme="minorHAnsi"/>
        </w:rPr>
        <w:t>for example, in a plain vanilla option transaction; and</w:t>
      </w:r>
    </w:p>
    <w:p w14:paraId="012BAD6D" w14:textId="19B828BC" w:rsidR="00395704" w:rsidRDefault="00395704" w:rsidP="00CC4F6F">
      <w:pPr>
        <w:pStyle w:val="subparaa"/>
        <w:spacing w:line="290" w:lineRule="atLeast"/>
        <w:rPr>
          <w:rFonts w:eastAsiaTheme="minorHAnsi"/>
        </w:rPr>
      </w:pPr>
      <w:r>
        <w:rPr>
          <w:rFonts w:eastAsiaTheme="minorHAnsi"/>
        </w:rPr>
        <w:t xml:space="preserve">CDE </w:t>
      </w:r>
      <w:r w:rsidR="0022679B">
        <w:rPr>
          <w:rFonts w:eastAsiaTheme="minorHAnsi"/>
        </w:rPr>
        <w:t>Guidance</w:t>
      </w:r>
      <w:r>
        <w:rPr>
          <w:rFonts w:eastAsiaTheme="minorHAnsi"/>
        </w:rPr>
        <w:t xml:space="preserve"> </w:t>
      </w:r>
      <w:r w:rsidR="00E97524">
        <w:rPr>
          <w:rFonts w:eastAsiaTheme="minorHAnsi"/>
        </w:rPr>
        <w:t xml:space="preserve">model </w:t>
      </w:r>
      <w:r>
        <w:rPr>
          <w:rFonts w:eastAsiaTheme="minorHAnsi"/>
        </w:rPr>
        <w:t xml:space="preserve">2 applies to types of transactions </w:t>
      </w:r>
      <w:r w:rsidR="00387F58">
        <w:rPr>
          <w:rFonts w:eastAsiaTheme="minorHAnsi"/>
        </w:rPr>
        <w:t xml:space="preserve">where it is commonly understood that one party is the </w:t>
      </w:r>
      <w:r w:rsidR="00131016">
        <w:rPr>
          <w:rFonts w:eastAsiaTheme="minorHAnsi"/>
        </w:rPr>
        <w:t>‘p</w:t>
      </w:r>
      <w:r w:rsidR="00387F58">
        <w:rPr>
          <w:rFonts w:eastAsiaTheme="minorHAnsi"/>
        </w:rPr>
        <w:t>ayer</w:t>
      </w:r>
      <w:r w:rsidR="00131016">
        <w:rPr>
          <w:rFonts w:eastAsiaTheme="minorHAnsi"/>
        </w:rPr>
        <w:t>’</w:t>
      </w:r>
      <w:r w:rsidR="00387F58">
        <w:rPr>
          <w:rFonts w:eastAsiaTheme="minorHAnsi"/>
        </w:rPr>
        <w:t xml:space="preserve"> of </w:t>
      </w:r>
      <w:r w:rsidR="00131016">
        <w:rPr>
          <w:rFonts w:eastAsiaTheme="minorHAnsi"/>
        </w:rPr>
        <w:t xml:space="preserve">leg </w:t>
      </w:r>
      <w:r w:rsidR="00387F58">
        <w:rPr>
          <w:rFonts w:eastAsiaTheme="minorHAnsi"/>
        </w:rPr>
        <w:t xml:space="preserve">1 and the </w:t>
      </w:r>
      <w:r w:rsidR="00131016">
        <w:rPr>
          <w:rFonts w:eastAsiaTheme="minorHAnsi"/>
        </w:rPr>
        <w:t>‘r</w:t>
      </w:r>
      <w:r w:rsidR="00387F58">
        <w:rPr>
          <w:rFonts w:eastAsiaTheme="minorHAnsi"/>
        </w:rPr>
        <w:t>eceiver</w:t>
      </w:r>
      <w:r w:rsidR="00131016">
        <w:rPr>
          <w:rFonts w:eastAsiaTheme="minorHAnsi"/>
        </w:rPr>
        <w:t>’</w:t>
      </w:r>
      <w:r w:rsidR="00387F58">
        <w:rPr>
          <w:rFonts w:eastAsiaTheme="minorHAnsi"/>
        </w:rPr>
        <w:t xml:space="preserve"> of </w:t>
      </w:r>
      <w:r w:rsidR="00131016">
        <w:rPr>
          <w:rFonts w:eastAsiaTheme="minorHAnsi"/>
        </w:rPr>
        <w:t xml:space="preserve">leg </w:t>
      </w:r>
      <w:r w:rsidR="00387F58">
        <w:rPr>
          <w:rFonts w:eastAsiaTheme="minorHAnsi"/>
        </w:rPr>
        <w:t>2 and vice versa for the other party</w:t>
      </w:r>
      <w:r w:rsidR="00131016" w:rsidRPr="004270E6">
        <w:rPr>
          <w:rFonts w:eastAsiaTheme="minorHAnsi"/>
        </w:rPr>
        <w:t>—</w:t>
      </w:r>
      <w:r w:rsidR="00387F58">
        <w:rPr>
          <w:rFonts w:eastAsiaTheme="minorHAnsi"/>
        </w:rPr>
        <w:t xml:space="preserve">for example, in </w:t>
      </w:r>
      <w:r w:rsidR="007F4541">
        <w:rPr>
          <w:rFonts w:eastAsiaTheme="minorHAnsi"/>
        </w:rPr>
        <w:t xml:space="preserve">a </w:t>
      </w:r>
      <w:r w:rsidR="00387F58">
        <w:rPr>
          <w:rFonts w:eastAsiaTheme="minorHAnsi"/>
        </w:rPr>
        <w:t xml:space="preserve">fixed-rate </w:t>
      </w:r>
      <w:r w:rsidR="00131016">
        <w:rPr>
          <w:rFonts w:eastAsiaTheme="minorHAnsi"/>
        </w:rPr>
        <w:t xml:space="preserve">versus </w:t>
      </w:r>
      <w:r w:rsidR="00387F58">
        <w:rPr>
          <w:rFonts w:eastAsiaTheme="minorHAnsi"/>
        </w:rPr>
        <w:t>floating-rate interest rate swap.</w:t>
      </w:r>
    </w:p>
    <w:p w14:paraId="6FC69999" w14:textId="0DC0749E" w:rsidR="00387F58" w:rsidRDefault="00387F58" w:rsidP="00CC4F6F">
      <w:pPr>
        <w:pStyle w:val="BodyText"/>
        <w:spacing w:line="290" w:lineRule="atLeast"/>
        <w:rPr>
          <w:rFonts w:eastAsiaTheme="minorHAnsi"/>
        </w:rPr>
      </w:pPr>
      <w:r>
        <w:rPr>
          <w:rFonts w:eastAsiaTheme="minorHAnsi"/>
        </w:rPr>
        <w:t xml:space="preserve">For each of </w:t>
      </w:r>
      <w:r w:rsidR="00E97524">
        <w:rPr>
          <w:rFonts w:eastAsiaTheme="minorHAnsi"/>
        </w:rPr>
        <w:t xml:space="preserve">model </w:t>
      </w:r>
      <w:r>
        <w:rPr>
          <w:rFonts w:eastAsiaTheme="minorHAnsi"/>
        </w:rPr>
        <w:t xml:space="preserve">1 and </w:t>
      </w:r>
      <w:r w:rsidR="00E97524">
        <w:rPr>
          <w:rFonts w:eastAsiaTheme="minorHAnsi"/>
        </w:rPr>
        <w:t xml:space="preserve">model </w:t>
      </w:r>
      <w:r>
        <w:rPr>
          <w:rFonts w:eastAsiaTheme="minorHAnsi"/>
        </w:rPr>
        <w:t xml:space="preserve">2, the CDE </w:t>
      </w:r>
      <w:r w:rsidR="0022679B">
        <w:rPr>
          <w:rFonts w:eastAsiaTheme="minorHAnsi"/>
        </w:rPr>
        <w:t>Guidance</w:t>
      </w:r>
      <w:r>
        <w:rPr>
          <w:rFonts w:eastAsiaTheme="minorHAnsi"/>
        </w:rPr>
        <w:t xml:space="preserve"> further provides for two options:</w:t>
      </w:r>
    </w:p>
    <w:p w14:paraId="31AB2C67" w14:textId="5F6E6768" w:rsidR="00387F58" w:rsidRDefault="00131016" w:rsidP="00CC4F6F">
      <w:pPr>
        <w:pStyle w:val="subparaa"/>
        <w:spacing w:line="290" w:lineRule="atLeast"/>
        <w:rPr>
          <w:rFonts w:eastAsiaTheme="minorHAnsi"/>
        </w:rPr>
      </w:pPr>
      <w:r>
        <w:rPr>
          <w:rFonts w:eastAsiaTheme="minorHAnsi"/>
        </w:rPr>
        <w:t xml:space="preserve">report </w:t>
      </w:r>
      <w:r w:rsidR="00387F58">
        <w:rPr>
          <w:rFonts w:eastAsiaTheme="minorHAnsi"/>
        </w:rPr>
        <w:t xml:space="preserve">the role of </w:t>
      </w:r>
      <w:r>
        <w:rPr>
          <w:rFonts w:eastAsiaTheme="minorHAnsi"/>
        </w:rPr>
        <w:t xml:space="preserve">counterparty </w:t>
      </w:r>
      <w:r w:rsidR="00387F58">
        <w:rPr>
          <w:rFonts w:eastAsiaTheme="minorHAnsi"/>
        </w:rPr>
        <w:t>1, for example:</w:t>
      </w:r>
    </w:p>
    <w:p w14:paraId="0BF9088D" w14:textId="77958172" w:rsidR="00387F58" w:rsidRDefault="00131016" w:rsidP="00CC4F6F">
      <w:pPr>
        <w:pStyle w:val="subsubparai"/>
        <w:spacing w:line="290" w:lineRule="atLeast"/>
        <w:rPr>
          <w:rFonts w:eastAsiaTheme="minorHAnsi"/>
        </w:rPr>
      </w:pPr>
      <w:r>
        <w:rPr>
          <w:rFonts w:eastAsiaTheme="minorHAnsi"/>
        </w:rPr>
        <w:t xml:space="preserve">counterparty </w:t>
      </w:r>
      <w:r w:rsidR="00387F58">
        <w:rPr>
          <w:rFonts w:eastAsiaTheme="minorHAnsi"/>
        </w:rPr>
        <w:t xml:space="preserve">1 is the </w:t>
      </w:r>
      <w:r>
        <w:rPr>
          <w:rFonts w:eastAsiaTheme="minorHAnsi"/>
        </w:rPr>
        <w:t>buyer</w:t>
      </w:r>
      <w:r w:rsidR="00387F58">
        <w:rPr>
          <w:rFonts w:eastAsiaTheme="minorHAnsi"/>
        </w:rPr>
        <w:t>; or</w:t>
      </w:r>
    </w:p>
    <w:p w14:paraId="2ED2F1FF" w14:textId="347FA81B" w:rsidR="00387F58" w:rsidRDefault="00131016" w:rsidP="00CC4F6F">
      <w:pPr>
        <w:pStyle w:val="subsubparai"/>
        <w:spacing w:line="290" w:lineRule="atLeast"/>
        <w:rPr>
          <w:rFonts w:eastAsiaTheme="minorHAnsi"/>
        </w:rPr>
      </w:pPr>
      <w:r>
        <w:rPr>
          <w:rFonts w:eastAsiaTheme="minorHAnsi"/>
        </w:rPr>
        <w:t xml:space="preserve">counterparty </w:t>
      </w:r>
      <w:r w:rsidR="00387F58">
        <w:rPr>
          <w:rFonts w:eastAsiaTheme="minorHAnsi"/>
        </w:rPr>
        <w:t xml:space="preserve">1 is the </w:t>
      </w:r>
      <w:r>
        <w:rPr>
          <w:rFonts w:eastAsiaTheme="minorHAnsi"/>
        </w:rPr>
        <w:t xml:space="preserve">payer </w:t>
      </w:r>
      <w:r w:rsidR="00387F58">
        <w:rPr>
          <w:rFonts w:eastAsiaTheme="minorHAnsi"/>
        </w:rPr>
        <w:t xml:space="preserve">of </w:t>
      </w:r>
      <w:r w:rsidR="00856E5B">
        <w:rPr>
          <w:rFonts w:eastAsiaTheme="minorHAnsi"/>
        </w:rPr>
        <w:t xml:space="preserve">leg </w:t>
      </w:r>
      <w:r w:rsidR="00387F58">
        <w:rPr>
          <w:rFonts w:eastAsiaTheme="minorHAnsi"/>
        </w:rPr>
        <w:t>1; or</w:t>
      </w:r>
    </w:p>
    <w:p w14:paraId="169C6FE6" w14:textId="2060F657" w:rsidR="00387F58" w:rsidRDefault="00856E5B" w:rsidP="00CC4F6F">
      <w:pPr>
        <w:pStyle w:val="subparaa"/>
        <w:spacing w:line="290" w:lineRule="atLeast"/>
        <w:rPr>
          <w:rFonts w:eastAsiaTheme="minorHAnsi"/>
        </w:rPr>
      </w:pPr>
      <w:r>
        <w:rPr>
          <w:rFonts w:eastAsiaTheme="minorHAnsi"/>
        </w:rPr>
        <w:t xml:space="preserve">report </w:t>
      </w:r>
      <w:r w:rsidR="00387F58">
        <w:rPr>
          <w:rFonts w:eastAsiaTheme="minorHAnsi"/>
        </w:rPr>
        <w:t xml:space="preserve">the party that </w:t>
      </w:r>
      <w:r w:rsidR="00777990">
        <w:rPr>
          <w:rFonts w:eastAsiaTheme="minorHAnsi"/>
        </w:rPr>
        <w:t>has the</w:t>
      </w:r>
      <w:r w:rsidR="00387F58">
        <w:rPr>
          <w:rFonts w:eastAsiaTheme="minorHAnsi"/>
        </w:rPr>
        <w:t xml:space="preserve"> role, for example:</w:t>
      </w:r>
    </w:p>
    <w:p w14:paraId="243D8624" w14:textId="5624AD87" w:rsidR="00387F58" w:rsidRDefault="007C7C77" w:rsidP="00CC4F6F">
      <w:pPr>
        <w:pStyle w:val="subsubparai"/>
        <w:spacing w:line="290" w:lineRule="atLeast"/>
        <w:rPr>
          <w:rFonts w:eastAsiaTheme="minorHAnsi"/>
        </w:rPr>
      </w:pPr>
      <w:r>
        <w:rPr>
          <w:rFonts w:eastAsiaTheme="minorHAnsi"/>
        </w:rPr>
        <w:t>t</w:t>
      </w:r>
      <w:r w:rsidR="00387F58">
        <w:rPr>
          <w:rFonts w:eastAsiaTheme="minorHAnsi"/>
        </w:rPr>
        <w:t xml:space="preserve">he </w:t>
      </w:r>
      <w:r w:rsidR="00856E5B">
        <w:rPr>
          <w:rFonts w:eastAsiaTheme="minorHAnsi"/>
        </w:rPr>
        <w:t xml:space="preserve">buyer </w:t>
      </w:r>
      <w:r w:rsidR="00387F58">
        <w:rPr>
          <w:rFonts w:eastAsiaTheme="minorHAnsi"/>
        </w:rPr>
        <w:t xml:space="preserve">is </w:t>
      </w:r>
      <w:r w:rsidR="00856E5B">
        <w:rPr>
          <w:rFonts w:eastAsiaTheme="minorHAnsi"/>
        </w:rPr>
        <w:t xml:space="preserve">counterparty </w:t>
      </w:r>
      <w:r w:rsidR="00387F58">
        <w:rPr>
          <w:rFonts w:eastAsiaTheme="minorHAnsi"/>
        </w:rPr>
        <w:t>1; or</w:t>
      </w:r>
    </w:p>
    <w:p w14:paraId="099D608A" w14:textId="00C830D6" w:rsidR="00387F58" w:rsidRDefault="007C7C77" w:rsidP="00CC4F6F">
      <w:pPr>
        <w:pStyle w:val="subsubparai"/>
        <w:spacing w:line="290" w:lineRule="atLeast"/>
        <w:rPr>
          <w:rFonts w:eastAsiaTheme="minorHAnsi"/>
        </w:rPr>
      </w:pPr>
      <w:r>
        <w:rPr>
          <w:rFonts w:eastAsiaTheme="minorHAnsi"/>
        </w:rPr>
        <w:t>t</w:t>
      </w:r>
      <w:r w:rsidR="00387F58">
        <w:rPr>
          <w:rFonts w:eastAsiaTheme="minorHAnsi"/>
        </w:rPr>
        <w:t xml:space="preserve">he </w:t>
      </w:r>
      <w:r w:rsidR="00856E5B">
        <w:rPr>
          <w:rFonts w:eastAsiaTheme="minorHAnsi"/>
        </w:rPr>
        <w:t xml:space="preserve">payer </w:t>
      </w:r>
      <w:r w:rsidR="00387F58">
        <w:rPr>
          <w:rFonts w:eastAsiaTheme="minorHAnsi"/>
        </w:rPr>
        <w:t xml:space="preserve">of </w:t>
      </w:r>
      <w:r w:rsidR="00856E5B">
        <w:rPr>
          <w:rFonts w:eastAsiaTheme="minorHAnsi"/>
        </w:rPr>
        <w:t xml:space="preserve">leg </w:t>
      </w:r>
      <w:r w:rsidR="00387F58">
        <w:rPr>
          <w:rFonts w:eastAsiaTheme="minorHAnsi"/>
        </w:rPr>
        <w:t xml:space="preserve">1 is </w:t>
      </w:r>
      <w:r w:rsidR="00856E5B">
        <w:rPr>
          <w:rFonts w:eastAsiaTheme="minorHAnsi"/>
        </w:rPr>
        <w:t xml:space="preserve">counterparty </w:t>
      </w:r>
      <w:r w:rsidR="00387F58">
        <w:rPr>
          <w:rFonts w:eastAsiaTheme="minorHAnsi"/>
        </w:rPr>
        <w:t>1</w:t>
      </w:r>
      <w:r w:rsidR="00856E5B">
        <w:rPr>
          <w:rFonts w:eastAsiaTheme="minorHAnsi"/>
        </w:rPr>
        <w:t>.</w:t>
      </w:r>
    </w:p>
    <w:p w14:paraId="3436D86E" w14:textId="28A40C7F" w:rsidR="008A746A" w:rsidRDefault="008A746A" w:rsidP="00CC4F6F">
      <w:pPr>
        <w:pStyle w:val="BodyText"/>
        <w:spacing w:line="290" w:lineRule="atLeast"/>
        <w:rPr>
          <w:rFonts w:eastAsiaTheme="minorHAnsi"/>
        </w:rPr>
      </w:pPr>
      <w:r>
        <w:rPr>
          <w:rFonts w:eastAsiaTheme="minorHAnsi"/>
        </w:rPr>
        <w:t>The ASIC Rules currently provide for a mixture of the above approaches</w:t>
      </w:r>
      <w:r w:rsidR="00777990">
        <w:rPr>
          <w:rFonts w:eastAsiaTheme="minorHAnsi"/>
        </w:rPr>
        <w:t>, for example:</w:t>
      </w:r>
    </w:p>
    <w:p w14:paraId="5CA03B84" w14:textId="16847327" w:rsidR="008A746A" w:rsidRDefault="00856E5B" w:rsidP="00CC4F6F">
      <w:pPr>
        <w:pStyle w:val="subparaa"/>
        <w:spacing w:line="290" w:lineRule="atLeast"/>
        <w:rPr>
          <w:rFonts w:eastAsiaTheme="minorHAnsi"/>
        </w:rPr>
      </w:pPr>
      <w:r>
        <w:rPr>
          <w:rFonts w:eastAsiaTheme="minorHAnsi"/>
        </w:rPr>
        <w:t>i</w:t>
      </w:r>
      <w:r w:rsidRPr="00161BB3">
        <w:rPr>
          <w:rFonts w:eastAsiaTheme="minorHAnsi"/>
        </w:rPr>
        <w:t xml:space="preserve">tem </w:t>
      </w:r>
      <w:r w:rsidR="008A746A" w:rsidRPr="00161BB3">
        <w:rPr>
          <w:rFonts w:eastAsiaTheme="minorHAnsi"/>
        </w:rPr>
        <w:t>33 of Table S2.1(1)</w:t>
      </w:r>
      <w:r w:rsidR="00161BB3" w:rsidRPr="00161BB3">
        <w:rPr>
          <w:rFonts w:eastAsiaTheme="minorHAnsi"/>
        </w:rPr>
        <w:t xml:space="preserve">: Common data </w:t>
      </w:r>
      <w:r w:rsidR="00E95459">
        <w:rPr>
          <w:rFonts w:eastAsiaTheme="minorHAnsi"/>
        </w:rPr>
        <w:t xml:space="preserve">[1.33] </w:t>
      </w:r>
      <w:r w:rsidR="00161BB3" w:rsidRPr="00161BB3">
        <w:rPr>
          <w:rFonts w:eastAsiaTheme="minorHAnsi"/>
        </w:rPr>
        <w:t xml:space="preserve">is </w:t>
      </w:r>
      <w:r>
        <w:rPr>
          <w:rFonts w:eastAsiaTheme="minorHAnsi"/>
        </w:rPr>
        <w:t>‘</w:t>
      </w:r>
      <w:r w:rsidR="00161BB3" w:rsidRPr="00161BB3">
        <w:rPr>
          <w:rFonts w:eastAsiaTheme="minorHAnsi"/>
        </w:rPr>
        <w:t>Counterparty side (buy/sell</w:t>
      </w:r>
      <w:r w:rsidRPr="00161BB3">
        <w:rPr>
          <w:rFonts w:eastAsiaTheme="minorHAnsi"/>
        </w:rPr>
        <w:t>)</w:t>
      </w:r>
      <w:r>
        <w:rPr>
          <w:rFonts w:eastAsiaTheme="minorHAnsi"/>
        </w:rPr>
        <w:t>’</w:t>
      </w:r>
      <w:r w:rsidRPr="00161BB3">
        <w:rPr>
          <w:rFonts w:eastAsiaTheme="minorHAnsi"/>
        </w:rPr>
        <w:t xml:space="preserve"> </w:t>
      </w:r>
      <w:r w:rsidR="00161BB3" w:rsidRPr="00161BB3">
        <w:rPr>
          <w:rFonts w:eastAsiaTheme="minorHAnsi"/>
        </w:rPr>
        <w:t xml:space="preserve">requiring </w:t>
      </w:r>
      <w:r>
        <w:rPr>
          <w:rFonts w:eastAsiaTheme="minorHAnsi"/>
        </w:rPr>
        <w:t>‘</w:t>
      </w:r>
      <w:r w:rsidR="00161BB3" w:rsidRPr="00161BB3">
        <w:rPr>
          <w:rFonts w:eastAsiaTheme="minorHAnsi"/>
        </w:rPr>
        <w:t xml:space="preserve">A notation to indicate whether the </w:t>
      </w:r>
      <w:r w:rsidR="009A0128">
        <w:rPr>
          <w:rFonts w:eastAsiaTheme="minorHAnsi"/>
        </w:rPr>
        <w:t>R</w:t>
      </w:r>
      <w:r w:rsidR="00A65611">
        <w:rPr>
          <w:rFonts w:eastAsiaTheme="minorHAnsi"/>
        </w:rPr>
        <w:t xml:space="preserve">eporting </w:t>
      </w:r>
      <w:r>
        <w:rPr>
          <w:rFonts w:eastAsiaTheme="minorHAnsi"/>
        </w:rPr>
        <w:t>C</w:t>
      </w:r>
      <w:r w:rsidR="00A65611">
        <w:rPr>
          <w:rFonts w:eastAsiaTheme="minorHAnsi"/>
        </w:rPr>
        <w:t>ounterpart</w:t>
      </w:r>
      <w:r w:rsidR="00161BB3" w:rsidRPr="00161BB3">
        <w:rPr>
          <w:rFonts w:eastAsiaTheme="minorHAnsi"/>
        </w:rPr>
        <w:t xml:space="preserve">y is the buyer or seller of the Derivative to which the </w:t>
      </w:r>
      <w:r>
        <w:rPr>
          <w:rFonts w:eastAsiaTheme="minorHAnsi"/>
        </w:rPr>
        <w:t>R</w:t>
      </w:r>
      <w:r w:rsidR="00A65611">
        <w:rPr>
          <w:rFonts w:eastAsiaTheme="minorHAnsi"/>
        </w:rPr>
        <w:t xml:space="preserve">eportable </w:t>
      </w:r>
      <w:r>
        <w:rPr>
          <w:rFonts w:eastAsiaTheme="minorHAnsi"/>
        </w:rPr>
        <w:t>T</w:t>
      </w:r>
      <w:r w:rsidR="00A65611">
        <w:rPr>
          <w:rFonts w:eastAsiaTheme="minorHAnsi"/>
        </w:rPr>
        <w:t>ransact</w:t>
      </w:r>
      <w:r w:rsidR="00161BB3" w:rsidRPr="00161BB3">
        <w:rPr>
          <w:rFonts w:eastAsiaTheme="minorHAnsi"/>
        </w:rPr>
        <w:t>ion relates</w:t>
      </w:r>
      <w:r>
        <w:rPr>
          <w:rFonts w:eastAsiaTheme="minorHAnsi"/>
        </w:rPr>
        <w:t>’</w:t>
      </w:r>
      <w:r w:rsidRPr="00856E5B">
        <w:rPr>
          <w:rFonts w:eastAsiaTheme="minorHAnsi"/>
        </w:rPr>
        <w:t>—</w:t>
      </w:r>
      <w:r w:rsidR="00161BB3">
        <w:rPr>
          <w:rFonts w:eastAsiaTheme="minorHAnsi"/>
        </w:rPr>
        <w:t xml:space="preserve">the value reported in this </w:t>
      </w:r>
      <w:r w:rsidR="002F5E28">
        <w:rPr>
          <w:rFonts w:eastAsiaTheme="minorHAnsi"/>
        </w:rPr>
        <w:t xml:space="preserve">data </w:t>
      </w:r>
      <w:r w:rsidR="001156A2">
        <w:rPr>
          <w:rFonts w:eastAsiaTheme="minorHAnsi"/>
        </w:rPr>
        <w:t>element</w:t>
      </w:r>
      <w:r w:rsidR="00161BB3">
        <w:rPr>
          <w:rFonts w:eastAsiaTheme="minorHAnsi"/>
        </w:rPr>
        <w:t xml:space="preserve"> is, for example, </w:t>
      </w:r>
      <w:r>
        <w:rPr>
          <w:rFonts w:eastAsiaTheme="minorHAnsi"/>
        </w:rPr>
        <w:t>‘</w:t>
      </w:r>
      <w:r w:rsidR="00161BB3">
        <w:rPr>
          <w:rFonts w:eastAsiaTheme="minorHAnsi"/>
        </w:rPr>
        <w:t>B</w:t>
      </w:r>
      <w:r>
        <w:rPr>
          <w:rFonts w:eastAsiaTheme="minorHAnsi"/>
        </w:rPr>
        <w:t xml:space="preserve">’ </w:t>
      </w:r>
      <w:r w:rsidR="00161BB3">
        <w:rPr>
          <w:rFonts w:eastAsiaTheme="minorHAnsi"/>
        </w:rPr>
        <w:t xml:space="preserve">or </w:t>
      </w:r>
      <w:r>
        <w:rPr>
          <w:rFonts w:eastAsiaTheme="minorHAnsi"/>
        </w:rPr>
        <w:t>‘</w:t>
      </w:r>
      <w:r w:rsidR="00161BB3">
        <w:rPr>
          <w:rFonts w:eastAsiaTheme="minorHAnsi"/>
        </w:rPr>
        <w:t>S</w:t>
      </w:r>
      <w:r>
        <w:rPr>
          <w:rFonts w:eastAsiaTheme="minorHAnsi"/>
        </w:rPr>
        <w:t>’</w:t>
      </w:r>
      <w:r w:rsidR="00161BB3">
        <w:rPr>
          <w:rFonts w:eastAsiaTheme="minorHAnsi"/>
        </w:rPr>
        <w:t xml:space="preserve"> or </w:t>
      </w:r>
      <w:r>
        <w:rPr>
          <w:rFonts w:eastAsiaTheme="minorHAnsi"/>
        </w:rPr>
        <w:t>‘b</w:t>
      </w:r>
      <w:r w:rsidR="00161BB3">
        <w:rPr>
          <w:rFonts w:eastAsiaTheme="minorHAnsi"/>
        </w:rPr>
        <w:t>uyer</w:t>
      </w:r>
      <w:r>
        <w:rPr>
          <w:rFonts w:eastAsiaTheme="minorHAnsi"/>
        </w:rPr>
        <w:t>’</w:t>
      </w:r>
      <w:r w:rsidR="00161BB3">
        <w:rPr>
          <w:rFonts w:eastAsiaTheme="minorHAnsi"/>
        </w:rPr>
        <w:t xml:space="preserve"> or </w:t>
      </w:r>
      <w:r>
        <w:rPr>
          <w:rFonts w:eastAsiaTheme="minorHAnsi"/>
        </w:rPr>
        <w:t>‘s</w:t>
      </w:r>
      <w:r w:rsidR="00161BB3">
        <w:rPr>
          <w:rFonts w:eastAsiaTheme="minorHAnsi"/>
        </w:rPr>
        <w:t>eller</w:t>
      </w:r>
      <w:r>
        <w:rPr>
          <w:rFonts w:eastAsiaTheme="minorHAnsi"/>
        </w:rPr>
        <w:t>’</w:t>
      </w:r>
      <w:r w:rsidRPr="004270E6">
        <w:rPr>
          <w:rFonts w:eastAsiaTheme="minorHAnsi"/>
        </w:rPr>
        <w:t>—</w:t>
      </w:r>
      <w:r w:rsidR="00777990">
        <w:rPr>
          <w:rFonts w:eastAsiaTheme="minorHAnsi"/>
        </w:rPr>
        <w:t xml:space="preserve">i.e. the role of </w:t>
      </w:r>
      <w:r>
        <w:rPr>
          <w:rFonts w:eastAsiaTheme="minorHAnsi"/>
        </w:rPr>
        <w:t xml:space="preserve">counterparty </w:t>
      </w:r>
      <w:r w:rsidR="00777990">
        <w:rPr>
          <w:rFonts w:eastAsiaTheme="minorHAnsi"/>
        </w:rPr>
        <w:t>1</w:t>
      </w:r>
      <w:r w:rsidR="00161BB3">
        <w:rPr>
          <w:rFonts w:eastAsiaTheme="minorHAnsi"/>
        </w:rPr>
        <w:t>;</w:t>
      </w:r>
    </w:p>
    <w:p w14:paraId="205B7992" w14:textId="0EC9266A" w:rsidR="00161BB3" w:rsidRDefault="00856E5B" w:rsidP="0099665F">
      <w:pPr>
        <w:pStyle w:val="subparaa"/>
        <w:rPr>
          <w:rFonts w:eastAsiaTheme="minorHAnsi"/>
        </w:rPr>
      </w:pPr>
      <w:r>
        <w:rPr>
          <w:rFonts w:eastAsiaTheme="minorHAnsi"/>
        </w:rPr>
        <w:lastRenderedPageBreak/>
        <w:t xml:space="preserve">item </w:t>
      </w:r>
      <w:r w:rsidR="00161BB3">
        <w:rPr>
          <w:rFonts w:eastAsiaTheme="minorHAnsi"/>
        </w:rPr>
        <w:t xml:space="preserve">6 of Table S2.1(5): Interest </w:t>
      </w:r>
      <w:r w:rsidR="00E95459">
        <w:rPr>
          <w:rFonts w:eastAsiaTheme="minorHAnsi"/>
        </w:rPr>
        <w:t xml:space="preserve">[5.6] </w:t>
      </w:r>
      <w:r w:rsidR="00777990">
        <w:rPr>
          <w:rFonts w:eastAsiaTheme="minorHAnsi"/>
        </w:rPr>
        <w:t xml:space="preserve">is </w:t>
      </w:r>
      <w:r>
        <w:rPr>
          <w:rFonts w:eastAsiaTheme="minorHAnsi"/>
        </w:rPr>
        <w:t>‘</w:t>
      </w:r>
      <w:r w:rsidR="00777990">
        <w:rPr>
          <w:rFonts w:eastAsiaTheme="minorHAnsi"/>
        </w:rPr>
        <w:t>Payer (fixed rate)</w:t>
      </w:r>
      <w:r>
        <w:rPr>
          <w:rFonts w:eastAsiaTheme="minorHAnsi"/>
        </w:rPr>
        <w:t>’</w:t>
      </w:r>
      <w:r w:rsidR="00777990">
        <w:rPr>
          <w:rFonts w:eastAsiaTheme="minorHAnsi"/>
        </w:rPr>
        <w:t xml:space="preserve"> requiring </w:t>
      </w:r>
      <w:r>
        <w:rPr>
          <w:rFonts w:eastAsiaTheme="minorHAnsi"/>
        </w:rPr>
        <w:t>‘</w:t>
      </w:r>
      <w:r w:rsidR="00777990" w:rsidRPr="00777990">
        <w:rPr>
          <w:rFonts w:eastAsiaTheme="minorHAnsi"/>
        </w:rPr>
        <w:t>An identifier of the counterparty that pays the fixed rate</w:t>
      </w:r>
      <w:r>
        <w:rPr>
          <w:rFonts w:eastAsiaTheme="minorHAnsi"/>
        </w:rPr>
        <w:t>’</w:t>
      </w:r>
      <w:r w:rsidRPr="004270E6">
        <w:rPr>
          <w:rFonts w:eastAsiaTheme="minorHAnsi"/>
        </w:rPr>
        <w:t>—</w:t>
      </w:r>
      <w:r w:rsidR="00777990">
        <w:rPr>
          <w:rFonts w:eastAsiaTheme="minorHAnsi"/>
        </w:rPr>
        <w:t xml:space="preserve">the party that has the role of </w:t>
      </w:r>
      <w:r w:rsidR="009A0128">
        <w:rPr>
          <w:rFonts w:eastAsiaTheme="minorHAnsi"/>
        </w:rPr>
        <w:t xml:space="preserve">payer </w:t>
      </w:r>
      <w:r w:rsidR="00777990">
        <w:rPr>
          <w:rFonts w:eastAsiaTheme="minorHAnsi"/>
        </w:rPr>
        <w:t>(fixed rate).</w:t>
      </w:r>
    </w:p>
    <w:p w14:paraId="522EA601" w14:textId="62EA2A44" w:rsidR="00E95459" w:rsidRDefault="00E95459" w:rsidP="00E95459">
      <w:pPr>
        <w:pStyle w:val="Note"/>
        <w:rPr>
          <w:rFonts w:eastAsiaTheme="minorHAnsi"/>
        </w:rPr>
      </w:pPr>
      <w:r>
        <w:rPr>
          <w:rFonts w:eastAsiaTheme="minorHAnsi"/>
        </w:rPr>
        <w:t xml:space="preserve">Note: Also, 3.1 and 3.3 require </w:t>
      </w:r>
      <w:r w:rsidR="009A0128">
        <w:rPr>
          <w:rFonts w:eastAsiaTheme="minorHAnsi"/>
        </w:rPr>
        <w:t>‘</w:t>
      </w:r>
      <w:r>
        <w:rPr>
          <w:rFonts w:eastAsiaTheme="minorHAnsi"/>
        </w:rPr>
        <w:t>Identifier of the counterparty purchasing protection</w:t>
      </w:r>
      <w:r w:rsidR="009A0128">
        <w:rPr>
          <w:rFonts w:eastAsiaTheme="minorHAnsi"/>
        </w:rPr>
        <w:t>’</w:t>
      </w:r>
      <w:r>
        <w:rPr>
          <w:rFonts w:eastAsiaTheme="minorHAnsi"/>
        </w:rPr>
        <w:t xml:space="preserve"> and </w:t>
      </w:r>
      <w:r w:rsidR="009A0128">
        <w:rPr>
          <w:rFonts w:eastAsiaTheme="minorHAnsi"/>
        </w:rPr>
        <w:t>‘</w:t>
      </w:r>
      <w:r>
        <w:rPr>
          <w:rFonts w:eastAsiaTheme="minorHAnsi"/>
        </w:rPr>
        <w:t>Identifier of the counterparty purchasing protection</w:t>
      </w:r>
      <w:r w:rsidR="009A0128">
        <w:rPr>
          <w:rFonts w:eastAsiaTheme="minorHAnsi"/>
        </w:rPr>
        <w:t>’</w:t>
      </w:r>
      <w:r>
        <w:rPr>
          <w:rFonts w:eastAsiaTheme="minorHAnsi"/>
        </w:rPr>
        <w:t xml:space="preserve">; 5.7 and 5.9 require </w:t>
      </w:r>
      <w:r w:rsidR="009A0128">
        <w:rPr>
          <w:rFonts w:eastAsiaTheme="minorHAnsi"/>
        </w:rPr>
        <w:t>‘</w:t>
      </w:r>
      <w:r w:rsidRPr="00E95459">
        <w:rPr>
          <w:rFonts w:eastAsiaTheme="minorHAnsi"/>
        </w:rPr>
        <w:t>The identifier of the counterparty that pays the floating rate leg 1</w:t>
      </w:r>
      <w:r w:rsidR="009A0128">
        <w:rPr>
          <w:rFonts w:eastAsiaTheme="minorHAnsi"/>
        </w:rPr>
        <w:t>’</w:t>
      </w:r>
      <w:r>
        <w:rPr>
          <w:rFonts w:eastAsiaTheme="minorHAnsi"/>
        </w:rPr>
        <w:t xml:space="preserve"> and </w:t>
      </w:r>
      <w:r w:rsidR="009A0128">
        <w:rPr>
          <w:rFonts w:eastAsiaTheme="minorHAnsi"/>
        </w:rPr>
        <w:t>‘</w:t>
      </w:r>
      <w:r w:rsidRPr="00E95459">
        <w:rPr>
          <w:rFonts w:eastAsiaTheme="minorHAnsi"/>
        </w:rPr>
        <w:t xml:space="preserve">The identifier of the counterparty that pays the floating rate leg </w:t>
      </w:r>
      <w:r>
        <w:rPr>
          <w:rFonts w:eastAsiaTheme="minorHAnsi"/>
        </w:rPr>
        <w:t>2</w:t>
      </w:r>
      <w:r w:rsidR="009A0128">
        <w:rPr>
          <w:rFonts w:eastAsiaTheme="minorHAnsi"/>
        </w:rPr>
        <w:t>’</w:t>
      </w:r>
      <w:r>
        <w:rPr>
          <w:rFonts w:eastAsiaTheme="minorHAnsi"/>
        </w:rPr>
        <w:t xml:space="preserve"> and 5.11 requires </w:t>
      </w:r>
      <w:r w:rsidR="009A0128">
        <w:rPr>
          <w:rFonts w:eastAsiaTheme="minorHAnsi"/>
        </w:rPr>
        <w:t>‘</w:t>
      </w:r>
      <w:r w:rsidRPr="00E95459">
        <w:rPr>
          <w:rFonts w:eastAsiaTheme="minorHAnsi"/>
        </w:rPr>
        <w:t>A notation to indicate whether the Reporting Counterparty is</w:t>
      </w:r>
      <w:r w:rsidR="001D62A1">
        <w:rPr>
          <w:rFonts w:eastAsiaTheme="minorHAnsi"/>
        </w:rPr>
        <w:t xml:space="preserve"> </w:t>
      </w:r>
      <w:r w:rsidRPr="00E95459">
        <w:rPr>
          <w:rFonts w:eastAsiaTheme="minorHAnsi"/>
        </w:rPr>
        <w:t>paying or receiving the fixed rate</w:t>
      </w:r>
      <w:r w:rsidR="009A0128">
        <w:rPr>
          <w:rFonts w:eastAsiaTheme="minorHAnsi"/>
        </w:rPr>
        <w:t>’</w:t>
      </w:r>
      <w:r w:rsidRPr="00E95459">
        <w:rPr>
          <w:rFonts w:eastAsiaTheme="minorHAnsi"/>
        </w:rPr>
        <w:t>.</w:t>
      </w:r>
    </w:p>
    <w:p w14:paraId="246C7041" w14:textId="4A44E3FB" w:rsidR="00777990" w:rsidRDefault="00B111A3" w:rsidP="00777990">
      <w:pPr>
        <w:pStyle w:val="BodyText"/>
        <w:rPr>
          <w:rFonts w:eastAsiaTheme="minorHAnsi"/>
        </w:rPr>
      </w:pPr>
      <w:r>
        <w:rPr>
          <w:rFonts w:eastAsiaTheme="minorHAnsi"/>
        </w:rPr>
        <w:t xml:space="preserve">The </w:t>
      </w:r>
      <w:r w:rsidR="00432728">
        <w:rPr>
          <w:rFonts w:eastAsiaTheme="minorHAnsi"/>
        </w:rPr>
        <w:t xml:space="preserve">final </w:t>
      </w:r>
      <w:r>
        <w:rPr>
          <w:rFonts w:eastAsiaTheme="minorHAnsi"/>
        </w:rPr>
        <w:t>CFTC</w:t>
      </w:r>
      <w:r w:rsidR="001D62A1">
        <w:rPr>
          <w:rFonts w:eastAsiaTheme="minorHAnsi"/>
        </w:rPr>
        <w:t xml:space="preserve"> rules adopt the identifier option as </w:t>
      </w:r>
      <w:r w:rsidR="00E97524">
        <w:rPr>
          <w:rFonts w:eastAsiaTheme="minorHAnsi"/>
        </w:rPr>
        <w:t xml:space="preserve">model </w:t>
      </w:r>
      <w:r w:rsidR="001D62A1">
        <w:rPr>
          <w:rFonts w:eastAsiaTheme="minorHAnsi"/>
        </w:rPr>
        <w:t xml:space="preserve">1 </w:t>
      </w:r>
      <w:r w:rsidR="009A0128">
        <w:rPr>
          <w:rFonts w:eastAsiaTheme="minorHAnsi"/>
        </w:rPr>
        <w:t>‘</w:t>
      </w:r>
      <w:r w:rsidR="001D62A1">
        <w:rPr>
          <w:rFonts w:eastAsiaTheme="minorHAnsi"/>
        </w:rPr>
        <w:t>Buyer identifier</w:t>
      </w:r>
      <w:r w:rsidR="009A0128">
        <w:rPr>
          <w:rFonts w:eastAsiaTheme="minorHAnsi"/>
        </w:rPr>
        <w:t>’</w:t>
      </w:r>
      <w:r w:rsidR="001D62A1">
        <w:rPr>
          <w:rFonts w:eastAsiaTheme="minorHAnsi"/>
        </w:rPr>
        <w:t>/</w:t>
      </w:r>
      <w:r w:rsidR="009A0128">
        <w:rPr>
          <w:rFonts w:eastAsiaTheme="minorHAnsi"/>
        </w:rPr>
        <w:t>‘</w:t>
      </w:r>
      <w:r w:rsidR="001D62A1">
        <w:rPr>
          <w:rFonts w:eastAsiaTheme="minorHAnsi"/>
        </w:rPr>
        <w:t>Seller identifier</w:t>
      </w:r>
      <w:r w:rsidR="009A0128">
        <w:rPr>
          <w:rFonts w:eastAsiaTheme="minorHAnsi"/>
        </w:rPr>
        <w:t>’</w:t>
      </w:r>
      <w:r w:rsidR="001D62A1">
        <w:rPr>
          <w:rFonts w:eastAsiaTheme="minorHAnsi"/>
        </w:rPr>
        <w:t xml:space="preserve"> and </w:t>
      </w:r>
      <w:r w:rsidR="00E97524">
        <w:rPr>
          <w:rFonts w:eastAsiaTheme="minorHAnsi"/>
        </w:rPr>
        <w:t xml:space="preserve">model </w:t>
      </w:r>
      <w:r w:rsidR="001D62A1">
        <w:rPr>
          <w:rFonts w:eastAsiaTheme="minorHAnsi"/>
        </w:rPr>
        <w:t xml:space="preserve">2 </w:t>
      </w:r>
      <w:r w:rsidR="009A0128">
        <w:rPr>
          <w:rFonts w:eastAsiaTheme="minorHAnsi"/>
        </w:rPr>
        <w:t>‘</w:t>
      </w:r>
      <w:r w:rsidR="001D62A1">
        <w:rPr>
          <w:rFonts w:eastAsiaTheme="minorHAnsi"/>
        </w:rPr>
        <w:t>Payer identifier</w:t>
      </w:r>
      <w:r w:rsidR="009A0128">
        <w:rPr>
          <w:rFonts w:eastAsiaTheme="minorHAnsi"/>
        </w:rPr>
        <w:t>’</w:t>
      </w:r>
      <w:r w:rsidR="001D62A1">
        <w:rPr>
          <w:rFonts w:eastAsiaTheme="minorHAnsi"/>
        </w:rPr>
        <w:t>/</w:t>
      </w:r>
      <w:r w:rsidR="009A0128">
        <w:rPr>
          <w:rFonts w:eastAsiaTheme="minorHAnsi"/>
        </w:rPr>
        <w:t>‘</w:t>
      </w:r>
      <w:r w:rsidR="001D62A1">
        <w:rPr>
          <w:rFonts w:eastAsiaTheme="minorHAnsi"/>
        </w:rPr>
        <w:t>Receiver identifier</w:t>
      </w:r>
      <w:r w:rsidR="009A0128">
        <w:rPr>
          <w:rFonts w:eastAsiaTheme="minorHAnsi"/>
        </w:rPr>
        <w:t>’</w:t>
      </w:r>
      <w:r w:rsidR="001D62A1">
        <w:rPr>
          <w:rFonts w:eastAsiaTheme="minorHAnsi"/>
        </w:rPr>
        <w:t>.</w:t>
      </w:r>
    </w:p>
    <w:p w14:paraId="1D19A879" w14:textId="202D6E54" w:rsidR="001D62A1" w:rsidRPr="00161BB3" w:rsidRDefault="005C1566" w:rsidP="00777990">
      <w:pPr>
        <w:pStyle w:val="BodyText"/>
        <w:rPr>
          <w:rFonts w:eastAsiaTheme="minorHAnsi"/>
        </w:rPr>
      </w:pPr>
      <w:r>
        <w:rPr>
          <w:rFonts w:eastAsiaTheme="minorHAnsi"/>
        </w:rPr>
        <w:t>ESMA</w:t>
      </w:r>
      <w:r w:rsidR="001D62A1">
        <w:rPr>
          <w:rFonts w:eastAsiaTheme="minorHAnsi"/>
        </w:rPr>
        <w:t xml:space="preserve"> has proposed the indicator</w:t>
      </w:r>
      <w:r w:rsidR="007C7C77">
        <w:rPr>
          <w:rFonts w:eastAsiaTheme="minorHAnsi"/>
        </w:rPr>
        <w:t xml:space="preserve"> (or ‘role’)</w:t>
      </w:r>
      <w:r w:rsidR="001D62A1">
        <w:rPr>
          <w:rFonts w:eastAsiaTheme="minorHAnsi"/>
        </w:rPr>
        <w:t xml:space="preserve"> option as </w:t>
      </w:r>
      <w:r w:rsidR="00E97524">
        <w:rPr>
          <w:rFonts w:eastAsiaTheme="minorHAnsi"/>
        </w:rPr>
        <w:t xml:space="preserve">model </w:t>
      </w:r>
      <w:r w:rsidR="001D62A1">
        <w:rPr>
          <w:rFonts w:eastAsiaTheme="minorHAnsi"/>
        </w:rPr>
        <w:t xml:space="preserve">1 </w:t>
      </w:r>
      <w:r w:rsidR="009A0128">
        <w:rPr>
          <w:rFonts w:eastAsiaTheme="minorHAnsi"/>
        </w:rPr>
        <w:t>‘</w:t>
      </w:r>
      <w:r w:rsidR="001D62A1">
        <w:rPr>
          <w:rFonts w:eastAsiaTheme="minorHAnsi"/>
        </w:rPr>
        <w:t>Counterparty 1 is buyer/seller</w:t>
      </w:r>
      <w:r w:rsidR="009A0128">
        <w:rPr>
          <w:rFonts w:eastAsiaTheme="minorHAnsi"/>
        </w:rPr>
        <w:t>’</w:t>
      </w:r>
      <w:r w:rsidR="001D62A1">
        <w:rPr>
          <w:rFonts w:eastAsiaTheme="minorHAnsi"/>
        </w:rPr>
        <w:t xml:space="preserve"> and </w:t>
      </w:r>
      <w:r w:rsidR="00E97524">
        <w:rPr>
          <w:rFonts w:eastAsiaTheme="minorHAnsi"/>
        </w:rPr>
        <w:t xml:space="preserve">model </w:t>
      </w:r>
      <w:r w:rsidR="005207D4">
        <w:rPr>
          <w:rFonts w:eastAsiaTheme="minorHAnsi"/>
        </w:rPr>
        <w:t xml:space="preserve">2 </w:t>
      </w:r>
      <w:r w:rsidR="009A0128">
        <w:rPr>
          <w:rFonts w:eastAsiaTheme="minorHAnsi"/>
        </w:rPr>
        <w:t>‘</w:t>
      </w:r>
      <w:r w:rsidR="001D62A1">
        <w:rPr>
          <w:rFonts w:eastAsiaTheme="minorHAnsi"/>
        </w:rPr>
        <w:t>Counterparty 1 is Leg1 payer/receiver</w:t>
      </w:r>
      <w:r w:rsidR="009A0128">
        <w:rPr>
          <w:rFonts w:eastAsiaTheme="minorHAnsi"/>
        </w:rPr>
        <w:t>’</w:t>
      </w:r>
      <w:r w:rsidR="001D62A1">
        <w:rPr>
          <w:rFonts w:eastAsiaTheme="minorHAnsi"/>
        </w:rPr>
        <w:t xml:space="preserve"> and </w:t>
      </w:r>
      <w:r w:rsidR="009A0128">
        <w:rPr>
          <w:rFonts w:eastAsiaTheme="minorHAnsi"/>
        </w:rPr>
        <w:t>‘</w:t>
      </w:r>
      <w:r w:rsidR="001D62A1">
        <w:rPr>
          <w:rFonts w:eastAsiaTheme="minorHAnsi"/>
        </w:rPr>
        <w:t>Counterparty 1 is Leg 2 payer/receiver</w:t>
      </w:r>
      <w:r w:rsidR="009A0128">
        <w:rPr>
          <w:rFonts w:eastAsiaTheme="minorHAnsi"/>
        </w:rPr>
        <w:t>’</w:t>
      </w:r>
      <w:r w:rsidR="001D62A1">
        <w:rPr>
          <w:rFonts w:eastAsiaTheme="minorHAnsi"/>
        </w:rPr>
        <w:t>.</w:t>
      </w:r>
    </w:p>
    <w:p w14:paraId="56205CD0" w14:textId="2AFCBEDF" w:rsidR="004857CC" w:rsidRPr="004857CC" w:rsidRDefault="004857CC" w:rsidP="004857CC">
      <w:pPr>
        <w:pStyle w:val="tabletitlefullwidth"/>
      </w:pPr>
      <w:bookmarkStart w:id="98" w:name="_Ref55916641"/>
      <w:r>
        <w:t xml:space="preserve">Table </w:t>
      </w:r>
      <w:r w:rsidR="007055A5">
        <w:fldChar w:fldCharType="begin"/>
      </w:r>
      <w:r w:rsidR="007055A5">
        <w:instrText xml:space="preserve"> SEQ Table \* ARABIC </w:instrText>
      </w:r>
      <w:r w:rsidR="007055A5">
        <w:fldChar w:fldCharType="separate"/>
      </w:r>
      <w:r w:rsidR="00314C7E">
        <w:rPr>
          <w:noProof/>
        </w:rPr>
        <w:t>10</w:t>
      </w:r>
      <w:r w:rsidR="007055A5">
        <w:rPr>
          <w:noProof/>
        </w:rPr>
        <w:fldChar w:fldCharType="end"/>
      </w:r>
      <w:bookmarkEnd w:id="98"/>
      <w:r>
        <w:t>:</w:t>
      </w:r>
      <w:r>
        <w:tab/>
      </w:r>
      <w:r w:rsidR="007C7C77">
        <w:t xml:space="preserve">CDE </w:t>
      </w:r>
      <w:r w:rsidR="0022679B">
        <w:t>Guidance</w:t>
      </w:r>
      <w:r w:rsidR="007C7C77">
        <w:t xml:space="preserve"> elections related to </w:t>
      </w:r>
      <w:r w:rsidR="009A0128">
        <w:t>direction</w:t>
      </w:r>
    </w:p>
    <w:tbl>
      <w:tblPr>
        <w:tblW w:w="9071"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701"/>
        <w:gridCol w:w="4422"/>
        <w:gridCol w:w="737"/>
        <w:gridCol w:w="737"/>
        <w:gridCol w:w="737"/>
        <w:gridCol w:w="737"/>
      </w:tblGrid>
      <w:tr w:rsidR="00395704" w:rsidRPr="000540E1" w14:paraId="7E4D9FC4" w14:textId="77777777" w:rsidTr="0099665F">
        <w:trPr>
          <w:cantSplit/>
          <w:tblHeader/>
        </w:trPr>
        <w:tc>
          <w:tcPr>
            <w:tcW w:w="1701" w:type="dxa"/>
            <w:shd w:val="clear" w:color="auto" w:fill="C2E3FA"/>
          </w:tcPr>
          <w:p w14:paraId="40010E01" w14:textId="77777777" w:rsidR="00395704" w:rsidRDefault="00395704" w:rsidP="0099665F">
            <w:pPr>
              <w:pStyle w:val="tablehead"/>
            </w:pPr>
          </w:p>
        </w:tc>
        <w:tc>
          <w:tcPr>
            <w:tcW w:w="4422" w:type="dxa"/>
            <w:shd w:val="clear" w:color="auto" w:fill="C2E3FA"/>
          </w:tcPr>
          <w:p w14:paraId="0383019A" w14:textId="77777777" w:rsidR="00395704" w:rsidRDefault="00395704" w:rsidP="0099665F">
            <w:pPr>
              <w:pStyle w:val="tablehead"/>
            </w:pPr>
          </w:p>
        </w:tc>
        <w:tc>
          <w:tcPr>
            <w:tcW w:w="2948" w:type="dxa"/>
            <w:gridSpan w:val="4"/>
            <w:shd w:val="clear" w:color="auto" w:fill="C2E3FA"/>
          </w:tcPr>
          <w:p w14:paraId="53E11E20" w14:textId="3876AA4B" w:rsidR="00395704" w:rsidRPr="000540E1" w:rsidRDefault="001156A2" w:rsidP="0099665F">
            <w:pPr>
              <w:pStyle w:val="tablehead"/>
              <w:jc w:val="center"/>
            </w:pPr>
            <w:r>
              <w:t>Element</w:t>
            </w:r>
            <w:r w:rsidR="00395704">
              <w:t xml:space="preserve"> number references</w:t>
            </w:r>
          </w:p>
        </w:tc>
      </w:tr>
      <w:tr w:rsidR="00395704" w:rsidRPr="000540E1" w14:paraId="2158D67D" w14:textId="77777777" w:rsidTr="0099665F">
        <w:trPr>
          <w:cantSplit/>
          <w:tblHeader/>
        </w:trPr>
        <w:tc>
          <w:tcPr>
            <w:tcW w:w="1701" w:type="dxa"/>
            <w:shd w:val="clear" w:color="auto" w:fill="C2E3FA"/>
          </w:tcPr>
          <w:p w14:paraId="02F722DC" w14:textId="77777777" w:rsidR="00395704" w:rsidRDefault="00395704" w:rsidP="0099665F">
            <w:pPr>
              <w:pStyle w:val="tablehead"/>
            </w:pPr>
            <w:r>
              <w:t>Data element</w:t>
            </w:r>
          </w:p>
        </w:tc>
        <w:tc>
          <w:tcPr>
            <w:tcW w:w="4422" w:type="dxa"/>
            <w:shd w:val="clear" w:color="auto" w:fill="C2E3FA"/>
          </w:tcPr>
          <w:p w14:paraId="5E0100C0" w14:textId="1BBAE2F1" w:rsidR="00395704" w:rsidRDefault="00277807" w:rsidP="0099665F">
            <w:pPr>
              <w:pStyle w:val="tablehead"/>
            </w:pPr>
            <w:r>
              <w:t>Definition</w:t>
            </w:r>
            <w:r w:rsidR="009A0128">
              <w:rPr>
                <w:rFonts w:ascii="Calibri" w:hAnsi="Calibri"/>
              </w:rPr>
              <w:t>—</w:t>
            </w:r>
            <w:r w:rsidR="009A0128">
              <w:t>S</w:t>
            </w:r>
            <w:r>
              <w:t>ummary of key points</w:t>
            </w:r>
          </w:p>
        </w:tc>
        <w:tc>
          <w:tcPr>
            <w:tcW w:w="737" w:type="dxa"/>
            <w:shd w:val="clear" w:color="auto" w:fill="C2E3FA"/>
          </w:tcPr>
          <w:p w14:paraId="6786B3BF" w14:textId="1DAB6896" w:rsidR="00395704" w:rsidRPr="000540E1" w:rsidRDefault="00395704" w:rsidP="0099665F">
            <w:pPr>
              <w:pStyle w:val="tablehead"/>
              <w:jc w:val="center"/>
            </w:pPr>
            <w:r>
              <w:t>CDE</w:t>
            </w:r>
          </w:p>
        </w:tc>
        <w:tc>
          <w:tcPr>
            <w:tcW w:w="737" w:type="dxa"/>
            <w:shd w:val="clear" w:color="auto" w:fill="C2E3FA"/>
          </w:tcPr>
          <w:p w14:paraId="35AA89BE" w14:textId="77777777" w:rsidR="00395704" w:rsidRPr="000540E1" w:rsidRDefault="00395704" w:rsidP="0099665F">
            <w:pPr>
              <w:pStyle w:val="tablehead"/>
              <w:jc w:val="center"/>
            </w:pPr>
            <w:r>
              <w:t>CFTC</w:t>
            </w:r>
          </w:p>
        </w:tc>
        <w:tc>
          <w:tcPr>
            <w:tcW w:w="737" w:type="dxa"/>
            <w:shd w:val="clear" w:color="auto" w:fill="C2E3FA"/>
          </w:tcPr>
          <w:p w14:paraId="6A731251" w14:textId="2EC8DE25" w:rsidR="00395704" w:rsidRDefault="005C1566" w:rsidP="0099665F">
            <w:pPr>
              <w:pStyle w:val="tablehead"/>
              <w:jc w:val="center"/>
            </w:pPr>
            <w:r>
              <w:t>ESMA</w:t>
            </w:r>
          </w:p>
        </w:tc>
        <w:tc>
          <w:tcPr>
            <w:tcW w:w="737" w:type="dxa"/>
            <w:shd w:val="clear" w:color="auto" w:fill="C2E3FA"/>
          </w:tcPr>
          <w:p w14:paraId="5B929487" w14:textId="77777777" w:rsidR="00395704" w:rsidRDefault="00395704" w:rsidP="0099665F">
            <w:pPr>
              <w:pStyle w:val="tablehead"/>
              <w:jc w:val="center"/>
            </w:pPr>
            <w:r>
              <w:t>ASIC</w:t>
            </w:r>
          </w:p>
        </w:tc>
      </w:tr>
      <w:tr w:rsidR="00395704" w:rsidRPr="000540E1" w14:paraId="4773E3B6" w14:textId="77777777" w:rsidTr="0099665F">
        <w:trPr>
          <w:cantSplit/>
        </w:trPr>
        <w:tc>
          <w:tcPr>
            <w:tcW w:w="1701" w:type="dxa"/>
          </w:tcPr>
          <w:p w14:paraId="68292BE9" w14:textId="6BA0F0DD" w:rsidR="00395704" w:rsidRPr="000540E1" w:rsidRDefault="00B111A3" w:rsidP="0099665F">
            <w:pPr>
              <w:pStyle w:val="tbltext"/>
            </w:pPr>
            <w:r>
              <w:t>Direction 1</w:t>
            </w:r>
            <w:r w:rsidR="00AA0592">
              <w:rPr>
                <w:rFonts w:ascii="Calibri" w:hAnsi="Calibri"/>
              </w:rPr>
              <w:t>—</w:t>
            </w:r>
            <w:r>
              <w:t>Buyer identifier</w:t>
            </w:r>
          </w:p>
        </w:tc>
        <w:tc>
          <w:tcPr>
            <w:tcW w:w="4422" w:type="dxa"/>
          </w:tcPr>
          <w:p w14:paraId="02456167" w14:textId="480D524A" w:rsidR="00905D22" w:rsidRPr="000540E1" w:rsidRDefault="008F72A3" w:rsidP="00B111A3">
            <w:pPr>
              <w:pStyle w:val="tbltext"/>
            </w:pPr>
            <w:r>
              <w:t>{</w:t>
            </w:r>
            <w:r w:rsidR="00395704">
              <w:t>CDE TG</w:t>
            </w:r>
            <w:r>
              <w:t>}</w:t>
            </w:r>
            <w:r w:rsidR="00395704">
              <w:t xml:space="preserve"> Identifier of the counterparty </w:t>
            </w:r>
            <w:r w:rsidR="00B111A3">
              <w:t>that is the buyer [and the counterparty that is the seller], as determined at the time of the transaction.</w:t>
            </w:r>
          </w:p>
        </w:tc>
        <w:tc>
          <w:tcPr>
            <w:tcW w:w="737" w:type="dxa"/>
          </w:tcPr>
          <w:p w14:paraId="3AB6593A" w14:textId="248726AB" w:rsidR="00395704" w:rsidRPr="000540E1" w:rsidRDefault="00B111A3" w:rsidP="0099665F">
            <w:pPr>
              <w:pStyle w:val="tbltext"/>
              <w:jc w:val="center"/>
            </w:pPr>
            <w:r>
              <w:t>2.13.1</w:t>
            </w:r>
          </w:p>
        </w:tc>
        <w:tc>
          <w:tcPr>
            <w:tcW w:w="737" w:type="dxa"/>
          </w:tcPr>
          <w:p w14:paraId="0089D161" w14:textId="054AE06A" w:rsidR="00395704" w:rsidRPr="000540E1" w:rsidRDefault="00B111A3" w:rsidP="0099665F">
            <w:pPr>
              <w:pStyle w:val="tbltext"/>
              <w:jc w:val="center"/>
            </w:pPr>
            <w:r>
              <w:t>18</w:t>
            </w:r>
          </w:p>
        </w:tc>
        <w:tc>
          <w:tcPr>
            <w:tcW w:w="737" w:type="dxa"/>
          </w:tcPr>
          <w:p w14:paraId="42322F69" w14:textId="28AC9EFB" w:rsidR="00395704" w:rsidRPr="000540E1" w:rsidRDefault="00E96086" w:rsidP="0099665F">
            <w:pPr>
              <w:pStyle w:val="tbltext"/>
              <w:jc w:val="center"/>
            </w:pPr>
            <w:r>
              <w:t>n/a</w:t>
            </w:r>
          </w:p>
        </w:tc>
        <w:tc>
          <w:tcPr>
            <w:tcW w:w="737" w:type="dxa"/>
          </w:tcPr>
          <w:p w14:paraId="1A519954" w14:textId="6D45455F" w:rsidR="00395704" w:rsidRPr="000540E1" w:rsidRDefault="00E95459" w:rsidP="0099665F">
            <w:pPr>
              <w:pStyle w:val="tbltext"/>
              <w:jc w:val="center"/>
            </w:pPr>
            <w:r>
              <w:t>3.1</w:t>
            </w:r>
          </w:p>
        </w:tc>
      </w:tr>
      <w:tr w:rsidR="00E96086" w:rsidRPr="000540E1" w14:paraId="6FDE96AB" w14:textId="77777777" w:rsidTr="0099665F">
        <w:trPr>
          <w:cantSplit/>
        </w:trPr>
        <w:tc>
          <w:tcPr>
            <w:tcW w:w="1701" w:type="dxa"/>
          </w:tcPr>
          <w:p w14:paraId="43F39FCC" w14:textId="18454520" w:rsidR="00E96086" w:rsidRPr="000540E1" w:rsidRDefault="00E96086" w:rsidP="00E96086">
            <w:pPr>
              <w:pStyle w:val="tbltext"/>
            </w:pPr>
            <w:r>
              <w:t>Direction 1</w:t>
            </w:r>
            <w:r w:rsidR="00AA0592">
              <w:rPr>
                <w:rFonts w:ascii="Calibri" w:hAnsi="Calibri"/>
              </w:rPr>
              <w:t>—</w:t>
            </w:r>
            <w:r w:rsidR="00AA0592">
              <w:br/>
            </w:r>
            <w:r>
              <w:t>Seller identifier</w:t>
            </w:r>
          </w:p>
        </w:tc>
        <w:tc>
          <w:tcPr>
            <w:tcW w:w="4422" w:type="dxa"/>
          </w:tcPr>
          <w:p w14:paraId="44C8C356" w14:textId="1812A5FE" w:rsidR="00E96086" w:rsidRPr="000540E1" w:rsidRDefault="00E96086" w:rsidP="00E96086">
            <w:pPr>
              <w:pStyle w:val="tbltext"/>
            </w:pPr>
            <w:r>
              <w:t>{CDE TG} Identifier of [the counterparty that is the buyer and] the counterparty that is the seller, as determined at the time of the transaction.</w:t>
            </w:r>
          </w:p>
        </w:tc>
        <w:tc>
          <w:tcPr>
            <w:tcW w:w="737" w:type="dxa"/>
          </w:tcPr>
          <w:p w14:paraId="64FA8E62" w14:textId="1994E004" w:rsidR="00E96086" w:rsidRPr="000540E1" w:rsidRDefault="00E96086" w:rsidP="00E96086">
            <w:pPr>
              <w:pStyle w:val="tbltext"/>
              <w:jc w:val="center"/>
            </w:pPr>
            <w:r>
              <w:t>2.13.1</w:t>
            </w:r>
          </w:p>
        </w:tc>
        <w:tc>
          <w:tcPr>
            <w:tcW w:w="737" w:type="dxa"/>
          </w:tcPr>
          <w:p w14:paraId="7B354520" w14:textId="35C89FDF" w:rsidR="00E96086" w:rsidRPr="000540E1" w:rsidRDefault="00E96086" w:rsidP="00E96086">
            <w:pPr>
              <w:pStyle w:val="tbltext"/>
              <w:jc w:val="center"/>
            </w:pPr>
            <w:r>
              <w:t>19</w:t>
            </w:r>
          </w:p>
        </w:tc>
        <w:tc>
          <w:tcPr>
            <w:tcW w:w="737" w:type="dxa"/>
          </w:tcPr>
          <w:p w14:paraId="45A9E2AC" w14:textId="0D08B8BE" w:rsidR="00E96086" w:rsidRPr="000540E1" w:rsidRDefault="00E96086" w:rsidP="00E96086">
            <w:pPr>
              <w:pStyle w:val="tbltext"/>
              <w:jc w:val="center"/>
            </w:pPr>
            <w:r>
              <w:t>n/a</w:t>
            </w:r>
          </w:p>
        </w:tc>
        <w:tc>
          <w:tcPr>
            <w:tcW w:w="737" w:type="dxa"/>
          </w:tcPr>
          <w:p w14:paraId="2169B8AD" w14:textId="5E70D6EC" w:rsidR="00E96086" w:rsidRPr="000540E1" w:rsidRDefault="00E96086" w:rsidP="00E96086">
            <w:pPr>
              <w:pStyle w:val="tbltext"/>
              <w:jc w:val="center"/>
            </w:pPr>
            <w:r>
              <w:t>3.3</w:t>
            </w:r>
          </w:p>
        </w:tc>
      </w:tr>
      <w:tr w:rsidR="00E96086" w:rsidRPr="000540E1" w14:paraId="718DFA93" w14:textId="77777777" w:rsidTr="0099665F">
        <w:trPr>
          <w:cantSplit/>
        </w:trPr>
        <w:tc>
          <w:tcPr>
            <w:tcW w:w="1701" w:type="dxa"/>
          </w:tcPr>
          <w:p w14:paraId="5D7D1488" w14:textId="3718816D" w:rsidR="00E96086" w:rsidRPr="000540E1" w:rsidRDefault="00E96086" w:rsidP="00E96086">
            <w:pPr>
              <w:pStyle w:val="tbltext"/>
            </w:pPr>
            <w:r>
              <w:t>Direction 2</w:t>
            </w:r>
            <w:r w:rsidR="00AA0592">
              <w:rPr>
                <w:rFonts w:ascii="Calibri" w:hAnsi="Calibri"/>
              </w:rPr>
              <w:t>—</w:t>
            </w:r>
            <w:r>
              <w:t>Payer identifier</w:t>
            </w:r>
            <w:r w:rsidR="00AA0592">
              <w:rPr>
                <w:rFonts w:ascii="Calibri" w:hAnsi="Calibri"/>
              </w:rPr>
              <w:t>—</w:t>
            </w:r>
            <w:r>
              <w:t>Leg 1</w:t>
            </w:r>
          </w:p>
        </w:tc>
        <w:tc>
          <w:tcPr>
            <w:tcW w:w="4422" w:type="dxa"/>
          </w:tcPr>
          <w:p w14:paraId="22897D4D" w14:textId="00BAD3A2" w:rsidR="00E96086" w:rsidRPr="000540E1" w:rsidRDefault="00E96086" w:rsidP="00E96086">
            <w:pPr>
              <w:pStyle w:val="tbltext"/>
            </w:pPr>
            <w:r>
              <w:t xml:space="preserve">{CDE TG} </w:t>
            </w:r>
            <w:r w:rsidRPr="00B111A3">
              <w:t xml:space="preserve">Identifier of the counterparty of the payer leg </w:t>
            </w:r>
            <w:r>
              <w:t>[</w:t>
            </w:r>
            <w:r w:rsidRPr="00B111A3">
              <w:t>and the counterparty of the receiver leg</w:t>
            </w:r>
            <w:r>
              <w:t>]</w:t>
            </w:r>
            <w:r w:rsidRPr="00B111A3">
              <w:t xml:space="preserve"> as determined at the time of the transaction.</w:t>
            </w:r>
          </w:p>
        </w:tc>
        <w:tc>
          <w:tcPr>
            <w:tcW w:w="737" w:type="dxa"/>
          </w:tcPr>
          <w:p w14:paraId="0F98A8ED" w14:textId="77777777" w:rsidR="00E96086" w:rsidRPr="000540E1" w:rsidRDefault="00E96086" w:rsidP="00E96086">
            <w:pPr>
              <w:pStyle w:val="tbltext"/>
              <w:jc w:val="center"/>
            </w:pPr>
            <w:r>
              <w:t>2.13.2</w:t>
            </w:r>
          </w:p>
        </w:tc>
        <w:tc>
          <w:tcPr>
            <w:tcW w:w="737" w:type="dxa"/>
          </w:tcPr>
          <w:p w14:paraId="6E95372E" w14:textId="77777777" w:rsidR="00E96086" w:rsidRPr="000540E1" w:rsidRDefault="00E96086" w:rsidP="00E96086">
            <w:pPr>
              <w:pStyle w:val="tbltext"/>
              <w:jc w:val="center"/>
            </w:pPr>
            <w:r>
              <w:t>20</w:t>
            </w:r>
          </w:p>
        </w:tc>
        <w:tc>
          <w:tcPr>
            <w:tcW w:w="737" w:type="dxa"/>
          </w:tcPr>
          <w:p w14:paraId="6D72CA8E" w14:textId="75F70A83" w:rsidR="00E96086" w:rsidRPr="000540E1" w:rsidRDefault="00E96086" w:rsidP="00E96086">
            <w:pPr>
              <w:pStyle w:val="tbltext"/>
              <w:jc w:val="center"/>
            </w:pPr>
            <w:r>
              <w:t>n/a</w:t>
            </w:r>
          </w:p>
        </w:tc>
        <w:tc>
          <w:tcPr>
            <w:tcW w:w="737" w:type="dxa"/>
          </w:tcPr>
          <w:p w14:paraId="67D1AAAF" w14:textId="4716A9A0" w:rsidR="00E96086" w:rsidRPr="000540E1" w:rsidRDefault="00E96086" w:rsidP="00CC4F6F">
            <w:pPr>
              <w:pStyle w:val="tbltext"/>
              <w:jc w:val="center"/>
            </w:pPr>
            <w:r>
              <w:t>5.6</w:t>
            </w:r>
            <w:r w:rsidR="00CC4F6F">
              <w:br/>
            </w:r>
            <w:r>
              <w:t>5.7</w:t>
            </w:r>
          </w:p>
        </w:tc>
      </w:tr>
      <w:tr w:rsidR="00E96086" w:rsidRPr="000540E1" w14:paraId="243DAC04" w14:textId="77777777" w:rsidTr="0099665F">
        <w:trPr>
          <w:cantSplit/>
        </w:trPr>
        <w:tc>
          <w:tcPr>
            <w:tcW w:w="1701" w:type="dxa"/>
          </w:tcPr>
          <w:p w14:paraId="6ED2D508" w14:textId="63AD2507" w:rsidR="00E96086" w:rsidRPr="000540E1" w:rsidRDefault="00E96086" w:rsidP="00E96086">
            <w:pPr>
              <w:pStyle w:val="tbltext"/>
            </w:pPr>
            <w:r>
              <w:t>Direction 2</w:t>
            </w:r>
            <w:r w:rsidR="00AA0592">
              <w:rPr>
                <w:rFonts w:ascii="Calibri" w:hAnsi="Calibri"/>
              </w:rPr>
              <w:t>—</w:t>
            </w:r>
            <w:r>
              <w:t>Payer identifier</w:t>
            </w:r>
            <w:r w:rsidR="00AA0592">
              <w:rPr>
                <w:rFonts w:ascii="Calibri" w:hAnsi="Calibri"/>
              </w:rPr>
              <w:t>—</w:t>
            </w:r>
            <w:r>
              <w:t>Leg 2</w:t>
            </w:r>
          </w:p>
        </w:tc>
        <w:tc>
          <w:tcPr>
            <w:tcW w:w="4422" w:type="dxa"/>
          </w:tcPr>
          <w:p w14:paraId="29438905" w14:textId="1B02DA9F" w:rsidR="00E96086" w:rsidRPr="000540E1" w:rsidRDefault="00E96086" w:rsidP="00E96086">
            <w:pPr>
              <w:pStyle w:val="tbltext"/>
            </w:pPr>
            <w:r>
              <w:t xml:space="preserve">{CDE TG} </w:t>
            </w:r>
            <w:r w:rsidRPr="00B111A3">
              <w:t xml:space="preserve">Identifier of the counterparty of the payer leg </w:t>
            </w:r>
            <w:r>
              <w:t>[</w:t>
            </w:r>
            <w:r w:rsidRPr="00B111A3">
              <w:t>and the counterparty of the receiver leg</w:t>
            </w:r>
            <w:r>
              <w:t>]</w:t>
            </w:r>
            <w:r w:rsidRPr="00B111A3">
              <w:t xml:space="preserve"> as determined at the time of the transaction.</w:t>
            </w:r>
          </w:p>
        </w:tc>
        <w:tc>
          <w:tcPr>
            <w:tcW w:w="737" w:type="dxa"/>
          </w:tcPr>
          <w:p w14:paraId="1EEC5B10" w14:textId="77777777" w:rsidR="00E96086" w:rsidRPr="000540E1" w:rsidRDefault="00E96086" w:rsidP="00E96086">
            <w:pPr>
              <w:pStyle w:val="tbltext"/>
              <w:jc w:val="center"/>
            </w:pPr>
            <w:r>
              <w:t>2.13.2</w:t>
            </w:r>
          </w:p>
        </w:tc>
        <w:tc>
          <w:tcPr>
            <w:tcW w:w="737" w:type="dxa"/>
          </w:tcPr>
          <w:p w14:paraId="6C6E2AE9" w14:textId="77777777" w:rsidR="00E96086" w:rsidRPr="000540E1" w:rsidRDefault="00E96086" w:rsidP="00E96086">
            <w:pPr>
              <w:pStyle w:val="tbltext"/>
              <w:jc w:val="center"/>
            </w:pPr>
            <w:r>
              <w:t>20</w:t>
            </w:r>
          </w:p>
        </w:tc>
        <w:tc>
          <w:tcPr>
            <w:tcW w:w="737" w:type="dxa"/>
          </w:tcPr>
          <w:p w14:paraId="59710C07" w14:textId="4EB553DD" w:rsidR="00E96086" w:rsidRPr="000540E1" w:rsidRDefault="00E96086" w:rsidP="00E96086">
            <w:pPr>
              <w:pStyle w:val="tbltext"/>
              <w:jc w:val="center"/>
            </w:pPr>
            <w:r>
              <w:t>n/a</w:t>
            </w:r>
          </w:p>
        </w:tc>
        <w:tc>
          <w:tcPr>
            <w:tcW w:w="737" w:type="dxa"/>
          </w:tcPr>
          <w:p w14:paraId="60E74B39" w14:textId="60579AD6" w:rsidR="00E96086" w:rsidRPr="000540E1" w:rsidRDefault="00E96086" w:rsidP="00CC4F6F">
            <w:pPr>
              <w:pStyle w:val="tbltext"/>
              <w:jc w:val="center"/>
            </w:pPr>
            <w:r>
              <w:t>5.6</w:t>
            </w:r>
            <w:r w:rsidR="00CC4F6F">
              <w:br/>
            </w:r>
            <w:r>
              <w:t>5.9</w:t>
            </w:r>
          </w:p>
        </w:tc>
      </w:tr>
      <w:tr w:rsidR="00E96086" w:rsidRPr="000540E1" w14:paraId="2B047DFB" w14:textId="77777777" w:rsidTr="0099665F">
        <w:trPr>
          <w:cantSplit/>
        </w:trPr>
        <w:tc>
          <w:tcPr>
            <w:tcW w:w="1701" w:type="dxa"/>
          </w:tcPr>
          <w:p w14:paraId="49470572" w14:textId="34F8F4F6" w:rsidR="00E96086" w:rsidRPr="000540E1" w:rsidRDefault="00E96086" w:rsidP="00E96086">
            <w:pPr>
              <w:pStyle w:val="tbltext"/>
            </w:pPr>
            <w:r>
              <w:t>Direction 2</w:t>
            </w:r>
            <w:r w:rsidR="00AA0592">
              <w:rPr>
                <w:rFonts w:ascii="Calibri" w:hAnsi="Calibri"/>
              </w:rPr>
              <w:t>—</w:t>
            </w:r>
            <w:r>
              <w:t>Receiver identifier</w:t>
            </w:r>
            <w:r w:rsidR="00AA0592">
              <w:rPr>
                <w:rFonts w:ascii="Calibri" w:hAnsi="Calibri"/>
              </w:rPr>
              <w:t>—</w:t>
            </w:r>
            <w:r>
              <w:t>Leg 1</w:t>
            </w:r>
          </w:p>
        </w:tc>
        <w:tc>
          <w:tcPr>
            <w:tcW w:w="4422" w:type="dxa"/>
          </w:tcPr>
          <w:p w14:paraId="44A8D2D6" w14:textId="432EADAA" w:rsidR="00E96086" w:rsidRPr="000540E1" w:rsidRDefault="00E96086" w:rsidP="00E96086">
            <w:pPr>
              <w:pStyle w:val="tbltext"/>
            </w:pPr>
            <w:r>
              <w:t xml:space="preserve">{CDE TG} </w:t>
            </w:r>
            <w:r w:rsidRPr="00B111A3">
              <w:t xml:space="preserve">Identifier of </w:t>
            </w:r>
            <w:r>
              <w:t>[</w:t>
            </w:r>
            <w:r w:rsidRPr="00B111A3">
              <w:t>the counterparty of the payer leg and</w:t>
            </w:r>
            <w:r>
              <w:t>]</w:t>
            </w:r>
            <w:r w:rsidRPr="00B111A3">
              <w:t xml:space="preserve"> the counterparty of the receiver leg as determined at the time of the transaction.</w:t>
            </w:r>
          </w:p>
        </w:tc>
        <w:tc>
          <w:tcPr>
            <w:tcW w:w="737" w:type="dxa"/>
          </w:tcPr>
          <w:p w14:paraId="1BAD2F37" w14:textId="3A575839" w:rsidR="00E96086" w:rsidRPr="000540E1" w:rsidRDefault="00E96086" w:rsidP="00E96086">
            <w:pPr>
              <w:pStyle w:val="tbltext"/>
              <w:jc w:val="center"/>
            </w:pPr>
            <w:r>
              <w:t>2.13.2</w:t>
            </w:r>
          </w:p>
        </w:tc>
        <w:tc>
          <w:tcPr>
            <w:tcW w:w="737" w:type="dxa"/>
          </w:tcPr>
          <w:p w14:paraId="5DF911CB" w14:textId="0EFE5262" w:rsidR="00E96086" w:rsidRPr="000540E1" w:rsidRDefault="00E96086" w:rsidP="00E96086">
            <w:pPr>
              <w:pStyle w:val="tbltext"/>
              <w:jc w:val="center"/>
            </w:pPr>
            <w:r>
              <w:t>21</w:t>
            </w:r>
          </w:p>
        </w:tc>
        <w:tc>
          <w:tcPr>
            <w:tcW w:w="737" w:type="dxa"/>
          </w:tcPr>
          <w:p w14:paraId="372C7728" w14:textId="232B1973" w:rsidR="00E96086" w:rsidRPr="000540E1" w:rsidRDefault="00E96086" w:rsidP="00E96086">
            <w:pPr>
              <w:pStyle w:val="tbltext"/>
              <w:jc w:val="center"/>
            </w:pPr>
            <w:r>
              <w:t>n/a</w:t>
            </w:r>
          </w:p>
        </w:tc>
        <w:tc>
          <w:tcPr>
            <w:tcW w:w="737" w:type="dxa"/>
          </w:tcPr>
          <w:p w14:paraId="3FE40E47" w14:textId="3D2075DC" w:rsidR="00E96086" w:rsidRPr="000540E1" w:rsidRDefault="00E96086" w:rsidP="00E96086">
            <w:pPr>
              <w:pStyle w:val="tbltext"/>
              <w:jc w:val="center"/>
            </w:pPr>
            <w:r>
              <w:t>n/a</w:t>
            </w:r>
          </w:p>
        </w:tc>
      </w:tr>
      <w:tr w:rsidR="00E96086" w:rsidRPr="000540E1" w14:paraId="29CC5048" w14:textId="77777777" w:rsidTr="0099665F">
        <w:trPr>
          <w:cantSplit/>
        </w:trPr>
        <w:tc>
          <w:tcPr>
            <w:tcW w:w="1701" w:type="dxa"/>
          </w:tcPr>
          <w:p w14:paraId="2539BE99" w14:textId="4912BE28" w:rsidR="00E96086" w:rsidRPr="000540E1" w:rsidRDefault="00E96086" w:rsidP="00E96086">
            <w:pPr>
              <w:pStyle w:val="tbltext"/>
            </w:pPr>
            <w:r>
              <w:t>Direction 2</w:t>
            </w:r>
            <w:r w:rsidR="00AA0592">
              <w:rPr>
                <w:rFonts w:ascii="Calibri" w:hAnsi="Calibri"/>
              </w:rPr>
              <w:t>—</w:t>
            </w:r>
            <w:r>
              <w:t>Receiver identifier</w:t>
            </w:r>
            <w:r w:rsidR="00AA0592">
              <w:rPr>
                <w:rFonts w:ascii="Calibri" w:hAnsi="Calibri"/>
              </w:rPr>
              <w:t>—</w:t>
            </w:r>
            <w:r>
              <w:t>Leg 2</w:t>
            </w:r>
          </w:p>
        </w:tc>
        <w:tc>
          <w:tcPr>
            <w:tcW w:w="4422" w:type="dxa"/>
          </w:tcPr>
          <w:p w14:paraId="3351AB8E" w14:textId="6318D6D5" w:rsidR="00E96086" w:rsidRPr="000540E1" w:rsidRDefault="00E96086" w:rsidP="00E96086">
            <w:pPr>
              <w:pStyle w:val="tbltext"/>
            </w:pPr>
            <w:r>
              <w:t xml:space="preserve">{CDE TG} </w:t>
            </w:r>
            <w:r w:rsidRPr="00B111A3">
              <w:t xml:space="preserve">Identifier of </w:t>
            </w:r>
            <w:r>
              <w:t>[</w:t>
            </w:r>
            <w:r w:rsidRPr="00B111A3">
              <w:t>the counterparty of the payer leg and</w:t>
            </w:r>
            <w:r>
              <w:t>]</w:t>
            </w:r>
            <w:r w:rsidRPr="00B111A3">
              <w:t xml:space="preserve"> the counterparty of the receiver leg as determined at the time of the transaction.</w:t>
            </w:r>
          </w:p>
        </w:tc>
        <w:tc>
          <w:tcPr>
            <w:tcW w:w="737" w:type="dxa"/>
          </w:tcPr>
          <w:p w14:paraId="5F2F345C" w14:textId="77777777" w:rsidR="00E96086" w:rsidRPr="000540E1" w:rsidRDefault="00E96086" w:rsidP="00E96086">
            <w:pPr>
              <w:pStyle w:val="tbltext"/>
              <w:jc w:val="center"/>
            </w:pPr>
            <w:r>
              <w:t>2.13.2</w:t>
            </w:r>
          </w:p>
        </w:tc>
        <w:tc>
          <w:tcPr>
            <w:tcW w:w="737" w:type="dxa"/>
          </w:tcPr>
          <w:p w14:paraId="30F89C18" w14:textId="2963CA7D" w:rsidR="00E96086" w:rsidRPr="000540E1" w:rsidRDefault="00E96086" w:rsidP="00E96086">
            <w:pPr>
              <w:pStyle w:val="tbltext"/>
              <w:jc w:val="center"/>
            </w:pPr>
            <w:r>
              <w:t>21</w:t>
            </w:r>
          </w:p>
        </w:tc>
        <w:tc>
          <w:tcPr>
            <w:tcW w:w="737" w:type="dxa"/>
          </w:tcPr>
          <w:p w14:paraId="4C89030F" w14:textId="55F05C61" w:rsidR="00E96086" w:rsidRPr="000540E1" w:rsidRDefault="00E96086" w:rsidP="00E96086">
            <w:pPr>
              <w:pStyle w:val="tbltext"/>
              <w:jc w:val="center"/>
            </w:pPr>
            <w:r>
              <w:t>n/a</w:t>
            </w:r>
          </w:p>
        </w:tc>
        <w:tc>
          <w:tcPr>
            <w:tcW w:w="737" w:type="dxa"/>
          </w:tcPr>
          <w:p w14:paraId="3F473516" w14:textId="4AF3C41C" w:rsidR="00E96086" w:rsidRPr="000540E1" w:rsidRDefault="00E96086" w:rsidP="00E96086">
            <w:pPr>
              <w:pStyle w:val="tbltext"/>
              <w:jc w:val="center"/>
            </w:pPr>
            <w:r>
              <w:t>n/a</w:t>
            </w:r>
          </w:p>
        </w:tc>
      </w:tr>
      <w:tr w:rsidR="00E96086" w:rsidRPr="000540E1" w14:paraId="3CAD3847" w14:textId="77777777" w:rsidTr="0099665F">
        <w:trPr>
          <w:cantSplit/>
        </w:trPr>
        <w:tc>
          <w:tcPr>
            <w:tcW w:w="1701" w:type="dxa"/>
          </w:tcPr>
          <w:p w14:paraId="375E0DA8" w14:textId="507451AA" w:rsidR="00E96086" w:rsidRPr="000540E1" w:rsidRDefault="00E96086" w:rsidP="00E96086">
            <w:pPr>
              <w:pStyle w:val="tbltext"/>
            </w:pPr>
            <w:r>
              <w:t>Direction 1</w:t>
            </w:r>
          </w:p>
        </w:tc>
        <w:tc>
          <w:tcPr>
            <w:tcW w:w="4422" w:type="dxa"/>
          </w:tcPr>
          <w:p w14:paraId="44FB325B" w14:textId="58FC5302" w:rsidR="00E96086" w:rsidRDefault="00E96086" w:rsidP="00E96086">
            <w:pPr>
              <w:pStyle w:val="tbltext"/>
            </w:pPr>
            <w:r>
              <w:t xml:space="preserve">{CDE TG} </w:t>
            </w:r>
            <w:r w:rsidRPr="00905D22">
              <w:t>Indicator of whether the reporting counterparty is the buyer or the seller as determined at the time of the transaction.</w:t>
            </w:r>
          </w:p>
          <w:p w14:paraId="2E3EAB31" w14:textId="0290F659" w:rsidR="00E96086" w:rsidRPr="000540E1" w:rsidRDefault="00E96086" w:rsidP="00E96086">
            <w:pPr>
              <w:pStyle w:val="tbltext"/>
            </w:pPr>
            <w:r>
              <w:t>Indicator as BYER = buyer, SLLR = seller.</w:t>
            </w:r>
          </w:p>
        </w:tc>
        <w:tc>
          <w:tcPr>
            <w:tcW w:w="737" w:type="dxa"/>
          </w:tcPr>
          <w:p w14:paraId="353A4361" w14:textId="77777777" w:rsidR="00E96086" w:rsidRPr="000540E1" w:rsidRDefault="00E96086" w:rsidP="00E96086">
            <w:pPr>
              <w:pStyle w:val="tbltext"/>
              <w:jc w:val="center"/>
            </w:pPr>
            <w:r>
              <w:t>2.13.1</w:t>
            </w:r>
          </w:p>
        </w:tc>
        <w:tc>
          <w:tcPr>
            <w:tcW w:w="737" w:type="dxa"/>
          </w:tcPr>
          <w:p w14:paraId="1737AC25" w14:textId="16492D3C" w:rsidR="00E96086" w:rsidRPr="000540E1" w:rsidRDefault="00E96086" w:rsidP="00E96086">
            <w:pPr>
              <w:pStyle w:val="tbltext"/>
              <w:jc w:val="center"/>
            </w:pPr>
            <w:r>
              <w:t>n/a</w:t>
            </w:r>
          </w:p>
        </w:tc>
        <w:tc>
          <w:tcPr>
            <w:tcW w:w="737" w:type="dxa"/>
          </w:tcPr>
          <w:p w14:paraId="4DD3BAFE" w14:textId="56F2CAAB" w:rsidR="00E96086" w:rsidRPr="000540E1" w:rsidRDefault="00E96086" w:rsidP="00E96086">
            <w:pPr>
              <w:pStyle w:val="tbltext"/>
              <w:jc w:val="center"/>
            </w:pPr>
            <w:r>
              <w:t>19</w:t>
            </w:r>
          </w:p>
        </w:tc>
        <w:tc>
          <w:tcPr>
            <w:tcW w:w="737" w:type="dxa"/>
          </w:tcPr>
          <w:p w14:paraId="4EB97AEA" w14:textId="4A953CEB" w:rsidR="00E96086" w:rsidRPr="000540E1" w:rsidRDefault="00E96086" w:rsidP="00E96086">
            <w:pPr>
              <w:pStyle w:val="tbltext"/>
              <w:jc w:val="center"/>
            </w:pPr>
            <w:r>
              <w:t>1.33</w:t>
            </w:r>
          </w:p>
        </w:tc>
      </w:tr>
      <w:tr w:rsidR="00E96086" w:rsidRPr="000540E1" w14:paraId="14B0EDE6" w14:textId="77777777" w:rsidTr="0099665F">
        <w:trPr>
          <w:cantSplit/>
        </w:trPr>
        <w:tc>
          <w:tcPr>
            <w:tcW w:w="1701" w:type="dxa"/>
          </w:tcPr>
          <w:p w14:paraId="5C54CA64" w14:textId="6F15D3E1" w:rsidR="00E96086" w:rsidRPr="000540E1" w:rsidRDefault="00E96086" w:rsidP="00E96086">
            <w:pPr>
              <w:pStyle w:val="tbltext"/>
            </w:pPr>
            <w:r>
              <w:lastRenderedPageBreak/>
              <w:t>Direction 2</w:t>
            </w:r>
            <w:r w:rsidR="00AA0592">
              <w:rPr>
                <w:rFonts w:ascii="Calibri" w:hAnsi="Calibri"/>
              </w:rPr>
              <w:t>—</w:t>
            </w:r>
            <w:r>
              <w:br/>
              <w:t>Leg 1</w:t>
            </w:r>
          </w:p>
        </w:tc>
        <w:tc>
          <w:tcPr>
            <w:tcW w:w="4422" w:type="dxa"/>
          </w:tcPr>
          <w:p w14:paraId="41FAEE06" w14:textId="7B04F666" w:rsidR="00E96086" w:rsidRDefault="00E96086" w:rsidP="00E96086">
            <w:pPr>
              <w:pStyle w:val="tbltext"/>
            </w:pPr>
            <w:r>
              <w:t xml:space="preserve">{CDE TG} </w:t>
            </w:r>
            <w:r w:rsidRPr="00905D22">
              <w:t>Indicator of whether the reporting counterparty is the payer or the receiver of the leg as determined at the time of the transaction.</w:t>
            </w:r>
          </w:p>
          <w:p w14:paraId="3BE54CEC" w14:textId="095AFC62" w:rsidR="00E96086" w:rsidRPr="000540E1" w:rsidRDefault="00E96086" w:rsidP="00E96086">
            <w:pPr>
              <w:pStyle w:val="tbltext"/>
            </w:pPr>
            <w:r>
              <w:t>Indicator as MAKE = payer, TAKE = receiver.</w:t>
            </w:r>
          </w:p>
        </w:tc>
        <w:tc>
          <w:tcPr>
            <w:tcW w:w="737" w:type="dxa"/>
          </w:tcPr>
          <w:p w14:paraId="66C4D778" w14:textId="768B68B2" w:rsidR="00E96086" w:rsidRPr="000540E1" w:rsidRDefault="00E96086" w:rsidP="00E96086">
            <w:pPr>
              <w:pStyle w:val="tbltext"/>
              <w:jc w:val="center"/>
            </w:pPr>
            <w:r>
              <w:t>2.13.2</w:t>
            </w:r>
          </w:p>
        </w:tc>
        <w:tc>
          <w:tcPr>
            <w:tcW w:w="737" w:type="dxa"/>
          </w:tcPr>
          <w:p w14:paraId="288AF95A" w14:textId="785DC36A" w:rsidR="00E96086" w:rsidRPr="000540E1" w:rsidRDefault="00E96086" w:rsidP="00E96086">
            <w:pPr>
              <w:pStyle w:val="tbltext"/>
              <w:jc w:val="center"/>
            </w:pPr>
            <w:r>
              <w:t>n/a</w:t>
            </w:r>
          </w:p>
        </w:tc>
        <w:tc>
          <w:tcPr>
            <w:tcW w:w="737" w:type="dxa"/>
          </w:tcPr>
          <w:p w14:paraId="768CB49A" w14:textId="0EA0CA8E" w:rsidR="00E96086" w:rsidRPr="000540E1" w:rsidRDefault="00E96086" w:rsidP="00E96086">
            <w:pPr>
              <w:pStyle w:val="tbltext"/>
              <w:jc w:val="center"/>
            </w:pPr>
            <w:r>
              <w:t>20</w:t>
            </w:r>
          </w:p>
        </w:tc>
        <w:tc>
          <w:tcPr>
            <w:tcW w:w="737" w:type="dxa"/>
          </w:tcPr>
          <w:p w14:paraId="0EF98005" w14:textId="4B9BD076" w:rsidR="00E96086" w:rsidRPr="000540E1" w:rsidRDefault="00E96086" w:rsidP="00E96086">
            <w:pPr>
              <w:pStyle w:val="tbltext"/>
              <w:jc w:val="center"/>
            </w:pPr>
            <w:r>
              <w:t>5.11</w:t>
            </w:r>
          </w:p>
        </w:tc>
      </w:tr>
      <w:tr w:rsidR="00E96086" w:rsidRPr="000540E1" w14:paraId="33A564D7" w14:textId="77777777" w:rsidTr="0099665F">
        <w:trPr>
          <w:cantSplit/>
        </w:trPr>
        <w:tc>
          <w:tcPr>
            <w:tcW w:w="1701" w:type="dxa"/>
          </w:tcPr>
          <w:p w14:paraId="62A35F3A" w14:textId="336E464A" w:rsidR="00E96086" w:rsidRPr="000540E1" w:rsidRDefault="00E96086" w:rsidP="00E96086">
            <w:pPr>
              <w:pStyle w:val="tbltext"/>
            </w:pPr>
            <w:r>
              <w:t>Direction 2</w:t>
            </w:r>
            <w:r w:rsidR="00AA0592">
              <w:rPr>
                <w:rFonts w:ascii="Calibri" w:hAnsi="Calibri"/>
              </w:rPr>
              <w:t>—</w:t>
            </w:r>
            <w:r>
              <w:br/>
              <w:t>Leg 2</w:t>
            </w:r>
          </w:p>
        </w:tc>
        <w:tc>
          <w:tcPr>
            <w:tcW w:w="4422" w:type="dxa"/>
          </w:tcPr>
          <w:p w14:paraId="2477E440" w14:textId="71ADC109" w:rsidR="00E96086" w:rsidRDefault="00E96086" w:rsidP="00E96086">
            <w:pPr>
              <w:pStyle w:val="tbltext"/>
            </w:pPr>
            <w:r>
              <w:t xml:space="preserve">{CDE TG} </w:t>
            </w:r>
            <w:r w:rsidRPr="00905D22">
              <w:t>Indicator of whether the reporting counterparty is the payer or the receiver of the leg as determined at the time of the transaction.</w:t>
            </w:r>
          </w:p>
          <w:p w14:paraId="308929A2" w14:textId="267C392D" w:rsidR="00E96086" w:rsidRPr="000540E1" w:rsidRDefault="00E96086" w:rsidP="00E96086">
            <w:pPr>
              <w:pStyle w:val="tbltext"/>
            </w:pPr>
            <w:r>
              <w:t>Indicator as MAKE = payer, TAKE = receiver.</w:t>
            </w:r>
          </w:p>
        </w:tc>
        <w:tc>
          <w:tcPr>
            <w:tcW w:w="737" w:type="dxa"/>
          </w:tcPr>
          <w:p w14:paraId="190F0578" w14:textId="77777777" w:rsidR="00E96086" w:rsidRPr="000540E1" w:rsidRDefault="00E96086" w:rsidP="00E96086">
            <w:pPr>
              <w:pStyle w:val="tbltext"/>
              <w:jc w:val="center"/>
            </w:pPr>
            <w:r>
              <w:t>2.13.2</w:t>
            </w:r>
          </w:p>
        </w:tc>
        <w:tc>
          <w:tcPr>
            <w:tcW w:w="737" w:type="dxa"/>
          </w:tcPr>
          <w:p w14:paraId="7051895C" w14:textId="1B84B360" w:rsidR="00E96086" w:rsidRPr="000540E1" w:rsidRDefault="00E96086" w:rsidP="00E96086">
            <w:pPr>
              <w:pStyle w:val="tbltext"/>
              <w:jc w:val="center"/>
            </w:pPr>
            <w:r>
              <w:t>n/a</w:t>
            </w:r>
          </w:p>
        </w:tc>
        <w:tc>
          <w:tcPr>
            <w:tcW w:w="737" w:type="dxa"/>
          </w:tcPr>
          <w:p w14:paraId="030F742E" w14:textId="6A91F0B2" w:rsidR="00E96086" w:rsidRPr="000540E1" w:rsidRDefault="00E96086" w:rsidP="00E96086">
            <w:pPr>
              <w:pStyle w:val="tbltext"/>
              <w:jc w:val="center"/>
            </w:pPr>
            <w:r>
              <w:t>21</w:t>
            </w:r>
          </w:p>
        </w:tc>
        <w:tc>
          <w:tcPr>
            <w:tcW w:w="737" w:type="dxa"/>
          </w:tcPr>
          <w:p w14:paraId="02E8AF9A" w14:textId="2AE08C8A" w:rsidR="00E96086" w:rsidRPr="000540E1" w:rsidRDefault="00E96086" w:rsidP="00E96086">
            <w:pPr>
              <w:pStyle w:val="tbltext"/>
              <w:jc w:val="center"/>
            </w:pPr>
            <w:r>
              <w:t>5.11</w:t>
            </w:r>
          </w:p>
        </w:tc>
      </w:tr>
    </w:tbl>
    <w:p w14:paraId="5B2ABFD8" w14:textId="05EBAED0" w:rsidR="00395704" w:rsidRDefault="00672140" w:rsidP="00395704">
      <w:pPr>
        <w:pStyle w:val="BodyText"/>
        <w:rPr>
          <w:rFonts w:eastAsiaTheme="minorHAnsi"/>
        </w:rPr>
      </w:pPr>
      <w:r>
        <w:rPr>
          <w:rFonts w:eastAsiaTheme="minorHAnsi"/>
        </w:rPr>
        <w:t xml:space="preserve">We </w:t>
      </w:r>
      <w:r w:rsidR="007C7C77">
        <w:rPr>
          <w:rFonts w:eastAsiaTheme="minorHAnsi"/>
        </w:rPr>
        <w:t>propose to make elections for ‘</w:t>
      </w:r>
      <w:r w:rsidR="00B84EBC">
        <w:rPr>
          <w:rFonts w:eastAsiaTheme="minorHAnsi"/>
        </w:rPr>
        <w:t xml:space="preserve">direction’ </w:t>
      </w:r>
      <w:r w:rsidR="007C7C77">
        <w:rPr>
          <w:rFonts w:eastAsiaTheme="minorHAnsi"/>
        </w:rPr>
        <w:t xml:space="preserve">as proposed by </w:t>
      </w:r>
      <w:r w:rsidR="005C1566">
        <w:rPr>
          <w:rFonts w:eastAsiaTheme="minorHAnsi"/>
        </w:rPr>
        <w:t>ESMA</w:t>
      </w:r>
      <w:r w:rsidR="007C7C77">
        <w:rPr>
          <w:rFonts w:eastAsiaTheme="minorHAnsi"/>
        </w:rPr>
        <w:t>.</w:t>
      </w:r>
      <w:r>
        <w:rPr>
          <w:rFonts w:eastAsiaTheme="minorHAnsi"/>
        </w:rPr>
        <w:t xml:space="preserve"> We do so because:</w:t>
      </w:r>
    </w:p>
    <w:p w14:paraId="2B477836" w14:textId="3D9E1F61" w:rsidR="007C7C77" w:rsidRDefault="00B84EBC" w:rsidP="007C7C77">
      <w:pPr>
        <w:pStyle w:val="subparaa"/>
        <w:rPr>
          <w:rFonts w:eastAsiaTheme="minorHAnsi"/>
        </w:rPr>
      </w:pPr>
      <w:r>
        <w:rPr>
          <w:rFonts w:eastAsiaTheme="minorHAnsi"/>
        </w:rPr>
        <w:t xml:space="preserve">less </w:t>
      </w:r>
      <w:r w:rsidR="007C7C77">
        <w:rPr>
          <w:rFonts w:eastAsiaTheme="minorHAnsi"/>
        </w:rPr>
        <w:t xml:space="preserve">data elements are required under the </w:t>
      </w:r>
      <w:r w:rsidR="005C1566">
        <w:rPr>
          <w:rFonts w:eastAsiaTheme="minorHAnsi"/>
        </w:rPr>
        <w:t>ESMA</w:t>
      </w:r>
      <w:r w:rsidR="007C7C77">
        <w:rPr>
          <w:rFonts w:eastAsiaTheme="minorHAnsi"/>
        </w:rPr>
        <w:t xml:space="preserve"> approach;</w:t>
      </w:r>
    </w:p>
    <w:p w14:paraId="2784FE5C" w14:textId="42E688A3" w:rsidR="007C7C77" w:rsidRDefault="00B84EBC" w:rsidP="007C7C77">
      <w:pPr>
        <w:pStyle w:val="subparaa"/>
        <w:rPr>
          <w:rFonts w:eastAsiaTheme="minorHAnsi"/>
        </w:rPr>
      </w:pPr>
      <w:r>
        <w:rPr>
          <w:rFonts w:eastAsiaTheme="minorHAnsi"/>
        </w:rPr>
        <w:t xml:space="preserve">the </w:t>
      </w:r>
      <w:r w:rsidR="007C7C77">
        <w:rPr>
          <w:rFonts w:eastAsiaTheme="minorHAnsi"/>
        </w:rPr>
        <w:t xml:space="preserve">information is more intuitively organised as the roles of </w:t>
      </w:r>
      <w:r>
        <w:rPr>
          <w:rFonts w:eastAsiaTheme="minorHAnsi"/>
        </w:rPr>
        <w:t xml:space="preserve">counterparty </w:t>
      </w:r>
      <w:r w:rsidR="007C7C77">
        <w:rPr>
          <w:rFonts w:eastAsiaTheme="minorHAnsi"/>
        </w:rPr>
        <w:t>1 rather than which counterparty takes which role.</w:t>
      </w:r>
    </w:p>
    <w:p w14:paraId="490706F1" w14:textId="77777777" w:rsidR="001C01F6" w:rsidRDefault="001C01F6" w:rsidP="005E2C08">
      <w:pPr>
        <w:pStyle w:val="Proposalhead"/>
      </w:pPr>
      <w:r>
        <w:t>Proposal</w:t>
      </w:r>
    </w:p>
    <w:p w14:paraId="2DA215F5" w14:textId="4ABFADFC" w:rsidR="001C01F6" w:rsidRDefault="001C01F6">
      <w:pPr>
        <w:pStyle w:val="Proposaltext"/>
      </w:pPr>
      <w:r>
        <w:t>We propose to include in the ASIC Rules the data elements for ‘</w:t>
      </w:r>
      <w:r w:rsidR="00B84EBC">
        <w:t xml:space="preserve">direction’ </w:t>
      </w:r>
      <w:r>
        <w:t>that make the same elections as proposed by ESMA</w:t>
      </w:r>
      <w:r w:rsidR="00B84EBC" w:rsidRPr="00A829C7">
        <w:t>—</w:t>
      </w:r>
      <w:r>
        <w:t xml:space="preserve">that is, the data elements ‘Direction 1’, ‘Direction 2 </w:t>
      </w:r>
      <w:r w:rsidR="00B84EBC" w:rsidRPr="004270E6">
        <w:t>—</w:t>
      </w:r>
      <w:r>
        <w:t>Leg 1’ and ‘Direction 2</w:t>
      </w:r>
      <w:r w:rsidR="00B84EBC" w:rsidRPr="004270E6">
        <w:t>—</w:t>
      </w:r>
      <w:r>
        <w:t>Leg 2’</w:t>
      </w:r>
      <w:r w:rsidR="007A3934">
        <w:t xml:space="preserve">: see </w:t>
      </w:r>
      <w:r w:rsidR="00B84EBC">
        <w:fldChar w:fldCharType="begin"/>
      </w:r>
      <w:r w:rsidR="00B84EBC">
        <w:instrText xml:space="preserve"> REF _Ref55916641 \h </w:instrText>
      </w:r>
      <w:r w:rsidR="00B84EBC">
        <w:fldChar w:fldCharType="separate"/>
      </w:r>
      <w:r w:rsidR="00314C7E">
        <w:t xml:space="preserve">Table </w:t>
      </w:r>
      <w:r w:rsidR="00314C7E">
        <w:rPr>
          <w:noProof/>
        </w:rPr>
        <w:t>10</w:t>
      </w:r>
      <w:r w:rsidR="00B84EBC">
        <w:fldChar w:fldCharType="end"/>
      </w:r>
      <w:r>
        <w:t>.</w:t>
      </w:r>
    </w:p>
    <w:p w14:paraId="3E3119A4" w14:textId="77777777" w:rsidR="001C01F6" w:rsidRDefault="001C01F6">
      <w:pPr>
        <w:pStyle w:val="Feedbackhead"/>
      </w:pPr>
      <w:r>
        <w:t>Your feedback</w:t>
      </w:r>
    </w:p>
    <w:p w14:paraId="1ABA72BD" w14:textId="447DB922" w:rsidR="001C01F6" w:rsidRDefault="001C01F6" w:rsidP="001C01F6">
      <w:pPr>
        <w:pStyle w:val="Feedbackquestion"/>
      </w:pPr>
      <w:r>
        <w:t>Do you agree with this proposal? In your response, please give detailed reasons for your answer.</w:t>
      </w:r>
    </w:p>
    <w:p w14:paraId="7C1B3EE1" w14:textId="28D8363C" w:rsidR="001C01F6" w:rsidRPr="00306199" w:rsidRDefault="001C01F6" w:rsidP="00306199">
      <w:pPr>
        <w:pStyle w:val="Feedbackquestion"/>
      </w:pPr>
      <w:r w:rsidRPr="00C62732">
        <w:t xml:space="preserve">Do you consider that you will have </w:t>
      </w:r>
      <w:r w:rsidR="00790DEA">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_Ref55916641 \h </w:instrText>
      </w:r>
      <w:r w:rsidR="00CB0A2A">
        <w:fldChar w:fldCharType="separate"/>
      </w:r>
      <w:r w:rsidR="00314C7E">
        <w:t xml:space="preserve">Table </w:t>
      </w:r>
      <w:r w:rsidR="00314C7E">
        <w:rPr>
          <w:noProof/>
        </w:rPr>
        <w:t>10</w:t>
      </w:r>
      <w:r w:rsidR="00CB0A2A">
        <w:fldChar w:fldCharType="end"/>
      </w:r>
      <w:r w:rsidRPr="00C62732">
        <w:t>? In your response, please give detailed reasons for your answer.</w:t>
      </w:r>
    </w:p>
    <w:p w14:paraId="0A918932" w14:textId="55BBBFCE" w:rsidR="00B91402" w:rsidRDefault="00B91402" w:rsidP="00B91402">
      <w:pPr>
        <w:pStyle w:val="Heading2"/>
        <w:rPr>
          <w:rFonts w:eastAsiaTheme="minorHAnsi"/>
        </w:rPr>
      </w:pPr>
      <w:bookmarkStart w:id="99" w:name="_Toc57146492"/>
      <w:r>
        <w:rPr>
          <w:rFonts w:eastAsiaTheme="minorHAnsi"/>
        </w:rPr>
        <w:t>Data elements related to clearing, trading, confirmation and settlement</w:t>
      </w:r>
      <w:bookmarkEnd w:id="99"/>
    </w:p>
    <w:p w14:paraId="6F5AA157" w14:textId="4C7172E8" w:rsidR="00535B52" w:rsidRPr="00535B52" w:rsidRDefault="00535B52" w:rsidP="00535B52">
      <w:pPr>
        <w:pStyle w:val="BodyText"/>
        <w:rPr>
          <w:rFonts w:eastAsiaTheme="minorHAnsi"/>
        </w:rPr>
      </w:pPr>
      <w:r w:rsidRPr="00535B52">
        <w:rPr>
          <w:rFonts w:eastAsiaTheme="minorHAnsi"/>
        </w:rPr>
        <w:t xml:space="preserve">We propose to include </w:t>
      </w:r>
      <w:r w:rsidR="007A3934" w:rsidRPr="00535B52">
        <w:rPr>
          <w:rFonts w:eastAsiaTheme="minorHAnsi"/>
        </w:rPr>
        <w:t xml:space="preserve">in the ASIC Rules </w:t>
      </w:r>
      <w:r w:rsidRPr="00535B52">
        <w:rPr>
          <w:rFonts w:eastAsiaTheme="minorHAnsi"/>
        </w:rPr>
        <w:t xml:space="preserve">the </w:t>
      </w:r>
      <w:r w:rsidR="002F5E28">
        <w:rPr>
          <w:rFonts w:eastAsiaTheme="minorHAnsi"/>
        </w:rPr>
        <w:t xml:space="preserve">data </w:t>
      </w:r>
      <w:r w:rsidRPr="00535B52">
        <w:rPr>
          <w:rFonts w:eastAsiaTheme="minorHAnsi"/>
        </w:rPr>
        <w:t>elements</w:t>
      </w:r>
      <w:r w:rsidR="007A3934">
        <w:rPr>
          <w:rFonts w:eastAsiaTheme="minorHAnsi"/>
        </w:rPr>
        <w:t xml:space="preserve"> set out in </w:t>
      </w:r>
      <w:r w:rsidR="007A3934">
        <w:rPr>
          <w:rFonts w:eastAsiaTheme="minorHAnsi"/>
        </w:rPr>
        <w:fldChar w:fldCharType="begin"/>
      </w:r>
      <w:r w:rsidR="007A3934">
        <w:rPr>
          <w:rFonts w:eastAsiaTheme="minorHAnsi"/>
        </w:rPr>
        <w:instrText xml:space="preserve"> REF _Ref55982078 \h </w:instrText>
      </w:r>
      <w:r w:rsidR="007A3934">
        <w:rPr>
          <w:rFonts w:eastAsiaTheme="minorHAnsi"/>
        </w:rPr>
      </w:r>
      <w:r w:rsidR="007A3934">
        <w:rPr>
          <w:rFonts w:eastAsiaTheme="minorHAnsi"/>
        </w:rPr>
        <w:fldChar w:fldCharType="separate"/>
      </w:r>
      <w:r w:rsidR="00314C7E">
        <w:t xml:space="preserve">Table </w:t>
      </w:r>
      <w:r w:rsidR="00314C7E">
        <w:rPr>
          <w:noProof/>
        </w:rPr>
        <w:t>11</w:t>
      </w:r>
      <w:r w:rsidR="007A3934">
        <w:rPr>
          <w:rFonts w:eastAsiaTheme="minorHAnsi"/>
        </w:rPr>
        <w:fldChar w:fldCharType="end"/>
      </w:r>
      <w:r w:rsidRPr="00535B52">
        <w:rPr>
          <w:rFonts w:eastAsiaTheme="minorHAnsi"/>
        </w:rPr>
        <w:t>.</w:t>
      </w:r>
      <w:r>
        <w:rPr>
          <w:rFonts w:eastAsiaTheme="minorHAnsi"/>
        </w:rPr>
        <w:t xml:space="preserve"> All of these data elements are CDE </w:t>
      </w:r>
      <w:r w:rsidR="0022679B">
        <w:rPr>
          <w:rFonts w:eastAsiaTheme="minorHAnsi"/>
        </w:rPr>
        <w:t>Guidance</w:t>
      </w:r>
      <w:r>
        <w:rPr>
          <w:rFonts w:eastAsiaTheme="minorHAnsi"/>
        </w:rPr>
        <w:t xml:space="preserve"> data elements </w:t>
      </w:r>
      <w:r w:rsidR="00B36609">
        <w:rPr>
          <w:rFonts w:eastAsiaTheme="minorHAnsi"/>
        </w:rPr>
        <w:t xml:space="preserve">which are </w:t>
      </w:r>
      <w:r>
        <w:rPr>
          <w:rFonts w:eastAsiaTheme="minorHAnsi"/>
        </w:rPr>
        <w:t xml:space="preserve">also common to the final CFTC rules and/or the </w:t>
      </w:r>
      <w:r w:rsidR="000127C8">
        <w:rPr>
          <w:rFonts w:eastAsiaTheme="minorHAnsi"/>
        </w:rPr>
        <w:t>ESMA proposals</w:t>
      </w:r>
      <w:r>
        <w:rPr>
          <w:rFonts w:eastAsiaTheme="minorHAnsi"/>
        </w:rPr>
        <w:t>.</w:t>
      </w:r>
      <w:r w:rsidR="004707DF">
        <w:rPr>
          <w:rFonts w:eastAsiaTheme="minorHAnsi"/>
        </w:rPr>
        <w:t xml:space="preserve"> Several of the data elements are also in the current ASIC Rules.</w:t>
      </w:r>
    </w:p>
    <w:p w14:paraId="1EB0338F" w14:textId="56CE104C" w:rsidR="004857CC" w:rsidRPr="004857CC" w:rsidRDefault="004857CC" w:rsidP="004857CC">
      <w:pPr>
        <w:pStyle w:val="tabletitlefullwidth"/>
      </w:pPr>
      <w:bookmarkStart w:id="100" w:name="_Ref55982078"/>
      <w:r>
        <w:lastRenderedPageBreak/>
        <w:t xml:space="preserve">Table </w:t>
      </w:r>
      <w:r w:rsidR="007055A5">
        <w:fldChar w:fldCharType="begin"/>
      </w:r>
      <w:r w:rsidR="007055A5">
        <w:instrText xml:space="preserve"> SEQ Table \* ARABIC </w:instrText>
      </w:r>
      <w:r w:rsidR="007055A5">
        <w:fldChar w:fldCharType="separate"/>
      </w:r>
      <w:r w:rsidR="00314C7E">
        <w:rPr>
          <w:noProof/>
        </w:rPr>
        <w:t>11</w:t>
      </w:r>
      <w:r w:rsidR="007055A5">
        <w:rPr>
          <w:noProof/>
        </w:rPr>
        <w:fldChar w:fldCharType="end"/>
      </w:r>
      <w:bookmarkEnd w:id="100"/>
      <w:r>
        <w:t>:</w:t>
      </w:r>
      <w:r>
        <w:tab/>
      </w:r>
      <w:r w:rsidR="00A71884">
        <w:t>Proposed d</w:t>
      </w:r>
      <w:r w:rsidR="00A71884">
        <w:rPr>
          <w:rFonts w:eastAsiaTheme="minorHAnsi"/>
        </w:rPr>
        <w:t>ata elements related to clearing, trading, confirmation and settlement</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2"/>
        <w:gridCol w:w="4434"/>
        <w:gridCol w:w="728"/>
        <w:gridCol w:w="727"/>
        <w:gridCol w:w="737"/>
        <w:gridCol w:w="709"/>
      </w:tblGrid>
      <w:tr w:rsidR="00B91402" w:rsidRPr="000540E1" w14:paraId="5FCEBA5D" w14:textId="77777777" w:rsidTr="00540F41">
        <w:trPr>
          <w:cantSplit/>
          <w:tblHeader/>
        </w:trPr>
        <w:tc>
          <w:tcPr>
            <w:tcW w:w="942" w:type="pct"/>
            <w:shd w:val="clear" w:color="auto" w:fill="C2E3FA"/>
          </w:tcPr>
          <w:p w14:paraId="61FA1465" w14:textId="77777777" w:rsidR="00B91402" w:rsidRDefault="00B91402" w:rsidP="00540F41">
            <w:pPr>
              <w:pStyle w:val="tablehead"/>
            </w:pPr>
          </w:p>
        </w:tc>
        <w:tc>
          <w:tcPr>
            <w:tcW w:w="2453" w:type="pct"/>
            <w:shd w:val="clear" w:color="auto" w:fill="C2E3FA"/>
          </w:tcPr>
          <w:p w14:paraId="51ED507D" w14:textId="77777777" w:rsidR="00B91402" w:rsidRDefault="00B91402" w:rsidP="00540F41">
            <w:pPr>
              <w:pStyle w:val="tablehead"/>
            </w:pPr>
          </w:p>
        </w:tc>
        <w:tc>
          <w:tcPr>
            <w:tcW w:w="1605" w:type="pct"/>
            <w:gridSpan w:val="4"/>
            <w:shd w:val="clear" w:color="auto" w:fill="C2E3FA"/>
          </w:tcPr>
          <w:p w14:paraId="1835B789" w14:textId="75FAFF66" w:rsidR="00B91402" w:rsidRPr="000540E1" w:rsidRDefault="001156A2" w:rsidP="00540F41">
            <w:pPr>
              <w:pStyle w:val="tablehead"/>
              <w:jc w:val="center"/>
            </w:pPr>
            <w:r>
              <w:t>Element</w:t>
            </w:r>
            <w:r w:rsidR="00B91402">
              <w:t xml:space="preserve"> number references</w:t>
            </w:r>
          </w:p>
        </w:tc>
      </w:tr>
      <w:tr w:rsidR="00B91402" w:rsidRPr="000540E1" w14:paraId="5700B858" w14:textId="77777777" w:rsidTr="00540F41">
        <w:trPr>
          <w:cantSplit/>
          <w:tblHeader/>
        </w:trPr>
        <w:tc>
          <w:tcPr>
            <w:tcW w:w="942" w:type="pct"/>
            <w:shd w:val="clear" w:color="auto" w:fill="C2E3FA"/>
          </w:tcPr>
          <w:p w14:paraId="18D07973" w14:textId="77777777" w:rsidR="00B91402" w:rsidRDefault="00B91402" w:rsidP="00540F41">
            <w:pPr>
              <w:pStyle w:val="tablehead"/>
            </w:pPr>
            <w:r>
              <w:t>Data element</w:t>
            </w:r>
          </w:p>
        </w:tc>
        <w:tc>
          <w:tcPr>
            <w:tcW w:w="2453" w:type="pct"/>
            <w:shd w:val="clear" w:color="auto" w:fill="C2E3FA"/>
          </w:tcPr>
          <w:p w14:paraId="10CFE754" w14:textId="412011B6" w:rsidR="00B91402" w:rsidRDefault="00277807" w:rsidP="00540F41">
            <w:pPr>
              <w:pStyle w:val="tablehead"/>
            </w:pPr>
            <w:r>
              <w:t>Definition</w:t>
            </w:r>
            <w:r w:rsidR="00964F04" w:rsidRPr="004270E6">
              <w:t>—</w:t>
            </w:r>
            <w:r w:rsidR="00964F04">
              <w:t>S</w:t>
            </w:r>
            <w:r>
              <w:t>ummary of key points</w:t>
            </w:r>
          </w:p>
        </w:tc>
        <w:tc>
          <w:tcPr>
            <w:tcW w:w="403" w:type="pct"/>
            <w:shd w:val="clear" w:color="auto" w:fill="C2E3FA"/>
          </w:tcPr>
          <w:p w14:paraId="12EA3DFC" w14:textId="22581209" w:rsidR="00B91402" w:rsidRPr="000540E1" w:rsidRDefault="00B91402" w:rsidP="00540F41">
            <w:pPr>
              <w:pStyle w:val="tablehead"/>
              <w:jc w:val="center"/>
            </w:pPr>
            <w:r>
              <w:t>CDE</w:t>
            </w:r>
          </w:p>
        </w:tc>
        <w:tc>
          <w:tcPr>
            <w:tcW w:w="402" w:type="pct"/>
            <w:shd w:val="clear" w:color="auto" w:fill="C2E3FA"/>
          </w:tcPr>
          <w:p w14:paraId="3F58B66D" w14:textId="77777777" w:rsidR="00B91402" w:rsidRPr="000540E1" w:rsidRDefault="00B91402" w:rsidP="00540F41">
            <w:pPr>
              <w:pStyle w:val="tablehead"/>
              <w:jc w:val="center"/>
            </w:pPr>
            <w:r>
              <w:t>CFTC</w:t>
            </w:r>
          </w:p>
        </w:tc>
        <w:tc>
          <w:tcPr>
            <w:tcW w:w="408" w:type="pct"/>
            <w:shd w:val="clear" w:color="auto" w:fill="C2E3FA"/>
          </w:tcPr>
          <w:p w14:paraId="495B512F" w14:textId="49294AD9" w:rsidR="00B91402" w:rsidRPr="000540E1" w:rsidRDefault="005C1566" w:rsidP="00540F41">
            <w:pPr>
              <w:pStyle w:val="tablehead"/>
              <w:jc w:val="center"/>
            </w:pPr>
            <w:r>
              <w:t>ESMA</w:t>
            </w:r>
          </w:p>
        </w:tc>
        <w:tc>
          <w:tcPr>
            <w:tcW w:w="392" w:type="pct"/>
            <w:shd w:val="clear" w:color="auto" w:fill="C2E3FA"/>
          </w:tcPr>
          <w:p w14:paraId="4F464CE4" w14:textId="77777777" w:rsidR="00B91402" w:rsidRPr="000540E1" w:rsidRDefault="00B91402" w:rsidP="00540F41">
            <w:pPr>
              <w:pStyle w:val="tablehead"/>
              <w:jc w:val="center"/>
            </w:pPr>
            <w:r>
              <w:t>ASIC</w:t>
            </w:r>
          </w:p>
        </w:tc>
      </w:tr>
      <w:tr w:rsidR="00B91402" w:rsidRPr="000540E1" w14:paraId="501EC015" w14:textId="77777777" w:rsidTr="00540F41">
        <w:trPr>
          <w:cantSplit/>
        </w:trPr>
        <w:tc>
          <w:tcPr>
            <w:tcW w:w="942" w:type="pct"/>
          </w:tcPr>
          <w:p w14:paraId="51ACE8ED" w14:textId="71CE1F6E" w:rsidR="00B91402" w:rsidRPr="000540E1" w:rsidRDefault="00B91402" w:rsidP="00540F41">
            <w:pPr>
              <w:pStyle w:val="tbltext"/>
            </w:pPr>
            <w:r>
              <w:t>Cleared</w:t>
            </w:r>
          </w:p>
        </w:tc>
        <w:tc>
          <w:tcPr>
            <w:tcW w:w="2453" w:type="pct"/>
          </w:tcPr>
          <w:p w14:paraId="09D9F705" w14:textId="11ADE1DE" w:rsidR="00B91402" w:rsidRPr="000540E1" w:rsidRDefault="00B91402" w:rsidP="00540F41">
            <w:pPr>
              <w:pStyle w:val="tbltext"/>
            </w:pPr>
            <w:r>
              <w:t xml:space="preserve">{CDE TG} </w:t>
            </w:r>
            <w:r w:rsidRPr="00B91402">
              <w:t>Indicator of whether the transaction has been cleared, or is intended to be cleared, by a central counterparty.</w:t>
            </w:r>
          </w:p>
        </w:tc>
        <w:tc>
          <w:tcPr>
            <w:tcW w:w="403" w:type="pct"/>
          </w:tcPr>
          <w:p w14:paraId="09E61FE9" w14:textId="01E4BCBF" w:rsidR="00B91402" w:rsidRPr="000540E1" w:rsidRDefault="00B91402" w:rsidP="00540F41">
            <w:pPr>
              <w:pStyle w:val="tbltext"/>
              <w:jc w:val="center"/>
            </w:pPr>
            <w:r>
              <w:t>2.14</w:t>
            </w:r>
          </w:p>
        </w:tc>
        <w:tc>
          <w:tcPr>
            <w:tcW w:w="402" w:type="pct"/>
          </w:tcPr>
          <w:p w14:paraId="5C62DDBF" w14:textId="56BEC396" w:rsidR="00B91402" w:rsidRPr="000540E1" w:rsidRDefault="00B91402" w:rsidP="00540F41">
            <w:pPr>
              <w:pStyle w:val="tbltext"/>
              <w:jc w:val="center"/>
            </w:pPr>
            <w:r>
              <w:t>1</w:t>
            </w:r>
          </w:p>
        </w:tc>
        <w:tc>
          <w:tcPr>
            <w:tcW w:w="408" w:type="pct"/>
          </w:tcPr>
          <w:p w14:paraId="57E1D9C1" w14:textId="360E0667" w:rsidR="00B91402" w:rsidRPr="000540E1" w:rsidRDefault="009454BC" w:rsidP="00540F41">
            <w:pPr>
              <w:pStyle w:val="tbltext"/>
              <w:jc w:val="center"/>
            </w:pPr>
            <w:r>
              <w:t>2.26</w:t>
            </w:r>
          </w:p>
        </w:tc>
        <w:tc>
          <w:tcPr>
            <w:tcW w:w="392" w:type="pct"/>
          </w:tcPr>
          <w:p w14:paraId="0E6B9423" w14:textId="602E2BC7" w:rsidR="00B91402" w:rsidRPr="000540E1" w:rsidRDefault="00B91402" w:rsidP="00540F41">
            <w:pPr>
              <w:pStyle w:val="tbltext"/>
              <w:jc w:val="center"/>
            </w:pPr>
            <w:r>
              <w:t>1.17</w:t>
            </w:r>
          </w:p>
        </w:tc>
      </w:tr>
      <w:tr w:rsidR="00B91402" w:rsidRPr="000540E1" w14:paraId="0C436847" w14:textId="77777777" w:rsidTr="00540F41">
        <w:trPr>
          <w:cantSplit/>
        </w:trPr>
        <w:tc>
          <w:tcPr>
            <w:tcW w:w="942" w:type="pct"/>
          </w:tcPr>
          <w:p w14:paraId="46BBB667" w14:textId="3A7AD162" w:rsidR="00B91402" w:rsidRDefault="00B91402" w:rsidP="00540F41">
            <w:pPr>
              <w:pStyle w:val="tbltext"/>
            </w:pPr>
            <w:r>
              <w:t>Central counterparty</w:t>
            </w:r>
          </w:p>
        </w:tc>
        <w:tc>
          <w:tcPr>
            <w:tcW w:w="2453" w:type="pct"/>
          </w:tcPr>
          <w:p w14:paraId="2A515FEA" w14:textId="147E1F6F" w:rsidR="00B91402" w:rsidRDefault="00B91402" w:rsidP="00B91402">
            <w:pPr>
              <w:pStyle w:val="tbltext"/>
            </w:pPr>
            <w:r>
              <w:t xml:space="preserve">{CDE TG} Identifier of the central counterparty </w:t>
            </w:r>
            <w:r w:rsidR="008F72A3">
              <w:t>(</w:t>
            </w:r>
            <w:r>
              <w:t>CCP) that cleared the transaction.</w:t>
            </w:r>
          </w:p>
        </w:tc>
        <w:tc>
          <w:tcPr>
            <w:tcW w:w="403" w:type="pct"/>
          </w:tcPr>
          <w:p w14:paraId="0ED96D53" w14:textId="33615DE4" w:rsidR="00B91402" w:rsidRPr="000540E1" w:rsidRDefault="00B91402" w:rsidP="00540F41">
            <w:pPr>
              <w:pStyle w:val="tbltext"/>
              <w:jc w:val="center"/>
            </w:pPr>
            <w:r>
              <w:t>2.15</w:t>
            </w:r>
          </w:p>
        </w:tc>
        <w:tc>
          <w:tcPr>
            <w:tcW w:w="402" w:type="pct"/>
          </w:tcPr>
          <w:p w14:paraId="4643D069" w14:textId="395BC9C6" w:rsidR="00B91402" w:rsidRPr="000540E1" w:rsidRDefault="00B91402" w:rsidP="00540F41">
            <w:pPr>
              <w:pStyle w:val="tbltext"/>
              <w:jc w:val="center"/>
            </w:pPr>
            <w:r>
              <w:t>2</w:t>
            </w:r>
          </w:p>
        </w:tc>
        <w:tc>
          <w:tcPr>
            <w:tcW w:w="408" w:type="pct"/>
          </w:tcPr>
          <w:p w14:paraId="329F1C05" w14:textId="3400623E" w:rsidR="00B91402" w:rsidRDefault="009454BC" w:rsidP="00540F41">
            <w:pPr>
              <w:pStyle w:val="tbltext"/>
              <w:jc w:val="center"/>
            </w:pPr>
            <w:r>
              <w:t>2.28</w:t>
            </w:r>
          </w:p>
        </w:tc>
        <w:tc>
          <w:tcPr>
            <w:tcW w:w="392" w:type="pct"/>
          </w:tcPr>
          <w:p w14:paraId="1D02B76C" w14:textId="38E3B77B" w:rsidR="00B91402" w:rsidRPr="000540E1" w:rsidRDefault="00B91402" w:rsidP="00540F41">
            <w:pPr>
              <w:pStyle w:val="tbltext"/>
              <w:jc w:val="center"/>
            </w:pPr>
            <w:r>
              <w:t>1.18</w:t>
            </w:r>
          </w:p>
        </w:tc>
      </w:tr>
      <w:tr w:rsidR="00B91402" w:rsidRPr="000540E1" w14:paraId="7E0445A4" w14:textId="77777777" w:rsidTr="00540F41">
        <w:trPr>
          <w:cantSplit/>
        </w:trPr>
        <w:tc>
          <w:tcPr>
            <w:tcW w:w="942" w:type="pct"/>
          </w:tcPr>
          <w:p w14:paraId="11042E8F" w14:textId="04BC7F68" w:rsidR="00B91402" w:rsidRDefault="009454BC" w:rsidP="00540F41">
            <w:pPr>
              <w:pStyle w:val="tbltext"/>
            </w:pPr>
            <w:r>
              <w:t>Clearing member</w:t>
            </w:r>
          </w:p>
        </w:tc>
        <w:tc>
          <w:tcPr>
            <w:tcW w:w="2453" w:type="pct"/>
          </w:tcPr>
          <w:p w14:paraId="0C6029DC" w14:textId="77777777" w:rsidR="009454BC" w:rsidRDefault="00B91402" w:rsidP="009454BC">
            <w:pPr>
              <w:pStyle w:val="tbltext"/>
            </w:pPr>
            <w:r>
              <w:t>{</w:t>
            </w:r>
            <w:r w:rsidR="009454BC">
              <w:t>CDE TG</w:t>
            </w:r>
            <w:r>
              <w:t xml:space="preserve">} </w:t>
            </w:r>
            <w:r w:rsidR="009454BC">
              <w:t>Identifier of the clearing member through which a derivative transaction was cleared at a central counterparty.</w:t>
            </w:r>
          </w:p>
          <w:p w14:paraId="687AD15B" w14:textId="5EDAF848" w:rsidR="00B91402" w:rsidRDefault="009454BC" w:rsidP="009454BC">
            <w:pPr>
              <w:pStyle w:val="tbltext"/>
            </w:pPr>
            <w:r>
              <w:t>This data element is applicable to cleared transactions under both the agency clearing model and the principal clearing model</w:t>
            </w:r>
            <w:r w:rsidR="00D51CBA">
              <w:t>: see paragraph</w:t>
            </w:r>
            <w:r w:rsidR="00FA4851">
              <w:t xml:space="preserve"> </w:t>
            </w:r>
            <w:r w:rsidR="00D51CBA">
              <w:fldChar w:fldCharType="begin"/>
            </w:r>
            <w:r w:rsidR="00D51CBA">
              <w:instrText xml:space="preserve"> REF _ASICRef910 \w \h </w:instrText>
            </w:r>
            <w:r w:rsidR="00D51CBA">
              <w:fldChar w:fldCharType="separate"/>
            </w:r>
            <w:r w:rsidR="00314C7E">
              <w:t>228</w:t>
            </w:r>
            <w:r w:rsidR="00D51CBA">
              <w:fldChar w:fldCharType="end"/>
            </w:r>
            <w:r>
              <w:t>.</w:t>
            </w:r>
          </w:p>
        </w:tc>
        <w:tc>
          <w:tcPr>
            <w:tcW w:w="403" w:type="pct"/>
          </w:tcPr>
          <w:p w14:paraId="4ABE6CBF" w14:textId="60DE0B14" w:rsidR="00B91402" w:rsidRPr="000540E1" w:rsidRDefault="009454BC" w:rsidP="00540F41">
            <w:pPr>
              <w:pStyle w:val="tbltext"/>
              <w:jc w:val="center"/>
            </w:pPr>
            <w:r>
              <w:t>2.16</w:t>
            </w:r>
          </w:p>
        </w:tc>
        <w:tc>
          <w:tcPr>
            <w:tcW w:w="402" w:type="pct"/>
          </w:tcPr>
          <w:p w14:paraId="065EA951" w14:textId="415BDD33" w:rsidR="00B91402" w:rsidRPr="000540E1" w:rsidRDefault="009454BC" w:rsidP="00540F41">
            <w:pPr>
              <w:pStyle w:val="tbltext"/>
              <w:jc w:val="center"/>
            </w:pPr>
            <w:r>
              <w:t>4</w:t>
            </w:r>
          </w:p>
        </w:tc>
        <w:tc>
          <w:tcPr>
            <w:tcW w:w="408" w:type="pct"/>
          </w:tcPr>
          <w:p w14:paraId="7892384D" w14:textId="2C376D97" w:rsidR="00B91402" w:rsidRDefault="009454BC" w:rsidP="00540F41">
            <w:pPr>
              <w:pStyle w:val="tbltext"/>
              <w:jc w:val="center"/>
            </w:pPr>
            <w:r>
              <w:t>1.16</w:t>
            </w:r>
          </w:p>
        </w:tc>
        <w:tc>
          <w:tcPr>
            <w:tcW w:w="392" w:type="pct"/>
          </w:tcPr>
          <w:p w14:paraId="1C86E4CD" w14:textId="2B2BE041" w:rsidR="00B91402" w:rsidRDefault="009454BC" w:rsidP="00540F41">
            <w:pPr>
              <w:pStyle w:val="tbltext"/>
              <w:jc w:val="center"/>
            </w:pPr>
            <w:r>
              <w:t>1.19</w:t>
            </w:r>
          </w:p>
        </w:tc>
      </w:tr>
      <w:tr w:rsidR="00B91402" w:rsidRPr="000540E1" w14:paraId="3DF9454F" w14:textId="77777777" w:rsidTr="00540F41">
        <w:trPr>
          <w:cantSplit/>
        </w:trPr>
        <w:tc>
          <w:tcPr>
            <w:tcW w:w="942" w:type="pct"/>
          </w:tcPr>
          <w:p w14:paraId="04F09520" w14:textId="4BB1F203" w:rsidR="00B91402" w:rsidRPr="000540E1" w:rsidRDefault="009454BC" w:rsidP="00540F41">
            <w:pPr>
              <w:pStyle w:val="tbltext"/>
            </w:pPr>
            <w:r>
              <w:t>Platform identifier</w:t>
            </w:r>
          </w:p>
        </w:tc>
        <w:tc>
          <w:tcPr>
            <w:tcW w:w="2453" w:type="pct"/>
          </w:tcPr>
          <w:p w14:paraId="1C959982" w14:textId="06E4A511" w:rsidR="00B91402" w:rsidRPr="000540E1" w:rsidRDefault="00B91402" w:rsidP="00540F41">
            <w:pPr>
              <w:pStyle w:val="tbltext"/>
            </w:pPr>
            <w:r>
              <w:t>{</w:t>
            </w:r>
            <w:r w:rsidR="009454BC">
              <w:t>CDE TG</w:t>
            </w:r>
            <w:r>
              <w:t xml:space="preserve">} </w:t>
            </w:r>
            <w:r w:rsidR="009454BC" w:rsidRPr="009454BC">
              <w:t>Identifier of the trading facility (</w:t>
            </w:r>
            <w:r w:rsidR="00317745" w:rsidRPr="009454BC">
              <w:t>e.g.</w:t>
            </w:r>
            <w:r w:rsidR="009454BC" w:rsidRPr="009454BC">
              <w:t xml:space="preserve"> exchange, multilateral trading facility, swap execution facility) on which the transaction was executed.</w:t>
            </w:r>
          </w:p>
        </w:tc>
        <w:tc>
          <w:tcPr>
            <w:tcW w:w="403" w:type="pct"/>
          </w:tcPr>
          <w:p w14:paraId="322EE280" w14:textId="0C80855B" w:rsidR="00B91402" w:rsidRPr="000540E1" w:rsidRDefault="009454BC" w:rsidP="00540F41">
            <w:pPr>
              <w:pStyle w:val="tbltext"/>
              <w:jc w:val="center"/>
            </w:pPr>
            <w:r>
              <w:t>2.17</w:t>
            </w:r>
          </w:p>
        </w:tc>
        <w:tc>
          <w:tcPr>
            <w:tcW w:w="402" w:type="pct"/>
          </w:tcPr>
          <w:p w14:paraId="4BB40CE9" w14:textId="6746398F" w:rsidR="00B91402" w:rsidRPr="000540E1" w:rsidRDefault="002B6F3E" w:rsidP="00540F41">
            <w:pPr>
              <w:pStyle w:val="tbltext"/>
              <w:jc w:val="center"/>
            </w:pPr>
            <w:r>
              <w:t>98</w:t>
            </w:r>
          </w:p>
        </w:tc>
        <w:tc>
          <w:tcPr>
            <w:tcW w:w="408" w:type="pct"/>
          </w:tcPr>
          <w:p w14:paraId="55601A43" w14:textId="1B8F37A9" w:rsidR="00B91402" w:rsidRPr="000540E1" w:rsidRDefault="002B6F3E" w:rsidP="00540F41">
            <w:pPr>
              <w:pStyle w:val="tbltext"/>
              <w:jc w:val="center"/>
            </w:pPr>
            <w:r>
              <w:t>2.36</w:t>
            </w:r>
          </w:p>
        </w:tc>
        <w:tc>
          <w:tcPr>
            <w:tcW w:w="392" w:type="pct"/>
          </w:tcPr>
          <w:p w14:paraId="62DC7173" w14:textId="2FF8444B" w:rsidR="00B91402" w:rsidRPr="000540E1" w:rsidRDefault="002B6F3E" w:rsidP="00540F41">
            <w:pPr>
              <w:pStyle w:val="tbltext"/>
              <w:jc w:val="center"/>
            </w:pPr>
            <w:r>
              <w:t>1.24</w:t>
            </w:r>
          </w:p>
        </w:tc>
      </w:tr>
      <w:tr w:rsidR="00E96086" w:rsidRPr="000540E1" w14:paraId="44258A64" w14:textId="77777777" w:rsidTr="00540F41">
        <w:trPr>
          <w:cantSplit/>
        </w:trPr>
        <w:tc>
          <w:tcPr>
            <w:tcW w:w="942" w:type="pct"/>
          </w:tcPr>
          <w:p w14:paraId="57E0762F" w14:textId="28B5499F" w:rsidR="00E96086" w:rsidRDefault="00E96086" w:rsidP="00E96086">
            <w:pPr>
              <w:pStyle w:val="tbltext"/>
            </w:pPr>
            <w:bookmarkStart w:id="101" w:name="_Hlk53578106"/>
            <w:r w:rsidRPr="00AF2156">
              <w:t>Final contractual settlement date</w:t>
            </w:r>
          </w:p>
        </w:tc>
        <w:tc>
          <w:tcPr>
            <w:tcW w:w="2453" w:type="pct"/>
          </w:tcPr>
          <w:p w14:paraId="5922DBF0" w14:textId="2F2706E5" w:rsidR="00E96086" w:rsidRPr="00796336" w:rsidRDefault="00E96086" w:rsidP="00E96086">
            <w:pPr>
              <w:pStyle w:val="tbltext"/>
              <w:rPr>
                <w:highlight w:val="yellow"/>
              </w:rPr>
            </w:pPr>
            <w:r w:rsidRPr="00F71FD6">
              <w:t>{CDE TG} Unadjusted date as per the contract, by which all transfer of cash or assets should take place and the counterparties should no longer have any outstanding obligations to each other under that contract.</w:t>
            </w:r>
          </w:p>
        </w:tc>
        <w:tc>
          <w:tcPr>
            <w:tcW w:w="403" w:type="pct"/>
          </w:tcPr>
          <w:p w14:paraId="295C717D" w14:textId="6306EA5F" w:rsidR="00E96086" w:rsidRPr="000540E1" w:rsidRDefault="00E96086" w:rsidP="00E96086">
            <w:pPr>
              <w:pStyle w:val="tbltext"/>
              <w:jc w:val="center"/>
            </w:pPr>
            <w:r>
              <w:t>2.19</w:t>
            </w:r>
          </w:p>
        </w:tc>
        <w:tc>
          <w:tcPr>
            <w:tcW w:w="402" w:type="pct"/>
          </w:tcPr>
          <w:p w14:paraId="5A7A8015" w14:textId="6D9561A3" w:rsidR="00E96086" w:rsidRPr="000540E1" w:rsidRDefault="00E96086" w:rsidP="00E96086">
            <w:pPr>
              <w:pStyle w:val="tbltext"/>
              <w:jc w:val="center"/>
            </w:pPr>
            <w:r>
              <w:t>88</w:t>
            </w:r>
          </w:p>
        </w:tc>
        <w:tc>
          <w:tcPr>
            <w:tcW w:w="408" w:type="pct"/>
          </w:tcPr>
          <w:p w14:paraId="28907DE5" w14:textId="787C051A" w:rsidR="00E96086" w:rsidRDefault="00E96086" w:rsidP="00E96086">
            <w:pPr>
              <w:pStyle w:val="tbltext"/>
              <w:jc w:val="center"/>
            </w:pPr>
            <w:r>
              <w:t>2.41</w:t>
            </w:r>
          </w:p>
        </w:tc>
        <w:tc>
          <w:tcPr>
            <w:tcW w:w="392" w:type="pct"/>
          </w:tcPr>
          <w:p w14:paraId="4A3A92FB" w14:textId="79E9F9CB" w:rsidR="00E96086" w:rsidRDefault="00E96086" w:rsidP="00E96086">
            <w:pPr>
              <w:pStyle w:val="tbltext"/>
              <w:jc w:val="center"/>
            </w:pPr>
            <w:r>
              <w:t>n/a</w:t>
            </w:r>
          </w:p>
        </w:tc>
      </w:tr>
      <w:tr w:rsidR="00E96086" w:rsidRPr="000540E1" w14:paraId="7E38084E" w14:textId="77777777" w:rsidTr="00540F41">
        <w:trPr>
          <w:cantSplit/>
        </w:trPr>
        <w:tc>
          <w:tcPr>
            <w:tcW w:w="942" w:type="pct"/>
          </w:tcPr>
          <w:p w14:paraId="59C892ED" w14:textId="62D24588" w:rsidR="00E96086" w:rsidRPr="00AF2156" w:rsidRDefault="00E96086" w:rsidP="00E96086">
            <w:pPr>
              <w:pStyle w:val="tbltext"/>
            </w:pPr>
            <w:r>
              <w:t>Settlement currency</w:t>
            </w:r>
            <w:r w:rsidR="00964F04" w:rsidRPr="004270E6">
              <w:t>—</w:t>
            </w:r>
            <w:r w:rsidR="00CF60A3">
              <w:t xml:space="preserve">Leg </w:t>
            </w:r>
            <w:r>
              <w:t>1</w:t>
            </w:r>
          </w:p>
        </w:tc>
        <w:tc>
          <w:tcPr>
            <w:tcW w:w="2453" w:type="pct"/>
          </w:tcPr>
          <w:p w14:paraId="7EB97007" w14:textId="123DBF64" w:rsidR="00E96086" w:rsidRPr="00861105" w:rsidRDefault="00E96086" w:rsidP="00E96086">
            <w:pPr>
              <w:pStyle w:val="tbltext"/>
            </w:pPr>
            <w:r w:rsidRPr="00861105">
              <w:t>{CDE TG} Currency for the cash settlement of the transaction when applicable.</w:t>
            </w:r>
          </w:p>
        </w:tc>
        <w:tc>
          <w:tcPr>
            <w:tcW w:w="403" w:type="pct"/>
          </w:tcPr>
          <w:p w14:paraId="2B0BA5E5" w14:textId="70997A2A" w:rsidR="00E96086" w:rsidRDefault="00E96086" w:rsidP="00E96086">
            <w:pPr>
              <w:pStyle w:val="tbltext"/>
              <w:jc w:val="center"/>
            </w:pPr>
            <w:r>
              <w:t>2.20</w:t>
            </w:r>
          </w:p>
        </w:tc>
        <w:tc>
          <w:tcPr>
            <w:tcW w:w="402" w:type="pct"/>
          </w:tcPr>
          <w:p w14:paraId="78E804A6" w14:textId="0849327C" w:rsidR="00E96086" w:rsidRDefault="00E96086" w:rsidP="00E96086">
            <w:pPr>
              <w:pStyle w:val="tbltext"/>
              <w:jc w:val="center"/>
            </w:pPr>
            <w:r>
              <w:t>89</w:t>
            </w:r>
          </w:p>
        </w:tc>
        <w:tc>
          <w:tcPr>
            <w:tcW w:w="408" w:type="pct"/>
          </w:tcPr>
          <w:p w14:paraId="780758ED" w14:textId="165D8421" w:rsidR="00E96086" w:rsidRDefault="00E96086" w:rsidP="00E96086">
            <w:pPr>
              <w:pStyle w:val="tbltext"/>
              <w:jc w:val="center"/>
            </w:pPr>
            <w:r>
              <w:t>2.15</w:t>
            </w:r>
          </w:p>
        </w:tc>
        <w:tc>
          <w:tcPr>
            <w:tcW w:w="392" w:type="pct"/>
          </w:tcPr>
          <w:p w14:paraId="4CEB696B" w14:textId="524E7802" w:rsidR="00E96086" w:rsidRDefault="00E96086" w:rsidP="00E96086">
            <w:pPr>
              <w:pStyle w:val="tbltext"/>
              <w:jc w:val="center"/>
            </w:pPr>
            <w:r>
              <w:t>n/a</w:t>
            </w:r>
          </w:p>
        </w:tc>
      </w:tr>
      <w:tr w:rsidR="00E96086" w:rsidRPr="000540E1" w14:paraId="13B9E2F9" w14:textId="77777777" w:rsidTr="00540F41">
        <w:trPr>
          <w:cantSplit/>
        </w:trPr>
        <w:tc>
          <w:tcPr>
            <w:tcW w:w="942" w:type="pct"/>
          </w:tcPr>
          <w:p w14:paraId="66AF7189" w14:textId="368BE0AF" w:rsidR="00E96086" w:rsidRPr="00AF2156" w:rsidRDefault="00E96086" w:rsidP="00E96086">
            <w:pPr>
              <w:pStyle w:val="tbltext"/>
            </w:pPr>
            <w:r>
              <w:t>Settlement currency</w:t>
            </w:r>
            <w:r w:rsidR="00964F04" w:rsidRPr="004270E6">
              <w:t>—</w:t>
            </w:r>
            <w:r w:rsidR="00CF60A3">
              <w:t xml:space="preserve">Leg </w:t>
            </w:r>
            <w:r>
              <w:t>2</w:t>
            </w:r>
          </w:p>
        </w:tc>
        <w:tc>
          <w:tcPr>
            <w:tcW w:w="2453" w:type="pct"/>
          </w:tcPr>
          <w:p w14:paraId="49DE69B7" w14:textId="55A574D1" w:rsidR="00E96086" w:rsidRPr="00861105" w:rsidRDefault="00E96086" w:rsidP="00E96086">
            <w:pPr>
              <w:pStyle w:val="tbltext"/>
            </w:pPr>
            <w:r w:rsidRPr="00861105">
              <w:t>{CDE TG} Currency for the cash settlement of the transaction when applicable.</w:t>
            </w:r>
          </w:p>
        </w:tc>
        <w:tc>
          <w:tcPr>
            <w:tcW w:w="403" w:type="pct"/>
          </w:tcPr>
          <w:p w14:paraId="748A66BF" w14:textId="77777777" w:rsidR="00E96086" w:rsidRDefault="00E96086" w:rsidP="00E96086">
            <w:pPr>
              <w:pStyle w:val="tbltext"/>
              <w:jc w:val="center"/>
            </w:pPr>
            <w:r>
              <w:t>2.20</w:t>
            </w:r>
          </w:p>
        </w:tc>
        <w:tc>
          <w:tcPr>
            <w:tcW w:w="402" w:type="pct"/>
          </w:tcPr>
          <w:p w14:paraId="7C94A259" w14:textId="77777777" w:rsidR="00E96086" w:rsidRDefault="00E96086" w:rsidP="00E96086">
            <w:pPr>
              <w:pStyle w:val="tbltext"/>
              <w:jc w:val="center"/>
            </w:pPr>
            <w:r>
              <w:t>89</w:t>
            </w:r>
          </w:p>
        </w:tc>
        <w:tc>
          <w:tcPr>
            <w:tcW w:w="408" w:type="pct"/>
          </w:tcPr>
          <w:p w14:paraId="6D251F00" w14:textId="283F0B0C" w:rsidR="00E96086" w:rsidRDefault="00E96086" w:rsidP="00E96086">
            <w:pPr>
              <w:pStyle w:val="tbltext"/>
              <w:jc w:val="center"/>
            </w:pPr>
            <w:r>
              <w:t>2.16</w:t>
            </w:r>
          </w:p>
        </w:tc>
        <w:tc>
          <w:tcPr>
            <w:tcW w:w="392" w:type="pct"/>
          </w:tcPr>
          <w:p w14:paraId="442327C7" w14:textId="55B272A3" w:rsidR="00E96086" w:rsidRDefault="00E96086" w:rsidP="00E96086">
            <w:pPr>
              <w:pStyle w:val="tbltext"/>
              <w:jc w:val="center"/>
            </w:pPr>
            <w:r>
              <w:t>n/a</w:t>
            </w:r>
          </w:p>
        </w:tc>
      </w:tr>
      <w:tr w:rsidR="00E96086" w:rsidRPr="000540E1" w14:paraId="18BBB676" w14:textId="77777777" w:rsidTr="00540F41">
        <w:trPr>
          <w:cantSplit/>
        </w:trPr>
        <w:tc>
          <w:tcPr>
            <w:tcW w:w="942" w:type="pct"/>
          </w:tcPr>
          <w:p w14:paraId="003A9CBA" w14:textId="7E534FAB" w:rsidR="00E96086" w:rsidRDefault="00E96086" w:rsidP="00E96086">
            <w:pPr>
              <w:pStyle w:val="tbltext"/>
            </w:pPr>
            <w:r>
              <w:t>Settlement location</w:t>
            </w:r>
            <w:r w:rsidR="00964F04" w:rsidRPr="004270E6">
              <w:t>—</w:t>
            </w:r>
            <w:r w:rsidR="00CF60A3">
              <w:t xml:space="preserve">Leg </w:t>
            </w:r>
            <w:r>
              <w:t>1</w:t>
            </w:r>
          </w:p>
        </w:tc>
        <w:tc>
          <w:tcPr>
            <w:tcW w:w="2453" w:type="pct"/>
          </w:tcPr>
          <w:p w14:paraId="639B2917" w14:textId="793DEE38" w:rsidR="00E96086" w:rsidRPr="00861105" w:rsidRDefault="00E96086" w:rsidP="00E96086">
            <w:pPr>
              <w:pStyle w:val="tbltext"/>
            </w:pPr>
            <w:r w:rsidRPr="00861105">
              <w:t>{CDE TG} Place of settlement of the transaction as stipulated in the contract. This data element is only applicable for transactions that involve an offshore currency (i.e. a currency which is not included in the ISO 4217 currency list, for example CNH).</w:t>
            </w:r>
          </w:p>
        </w:tc>
        <w:tc>
          <w:tcPr>
            <w:tcW w:w="403" w:type="pct"/>
          </w:tcPr>
          <w:p w14:paraId="528446ED" w14:textId="77777777" w:rsidR="00E96086" w:rsidRDefault="00E96086" w:rsidP="00E96086">
            <w:pPr>
              <w:pStyle w:val="tbltext"/>
              <w:jc w:val="center"/>
            </w:pPr>
            <w:r>
              <w:t>2.21</w:t>
            </w:r>
          </w:p>
        </w:tc>
        <w:tc>
          <w:tcPr>
            <w:tcW w:w="402" w:type="pct"/>
          </w:tcPr>
          <w:p w14:paraId="37A1C5B8" w14:textId="77777777" w:rsidR="00E96086" w:rsidRDefault="00E96086" w:rsidP="00E96086">
            <w:pPr>
              <w:pStyle w:val="tbltext"/>
              <w:jc w:val="center"/>
            </w:pPr>
            <w:r>
              <w:t>90</w:t>
            </w:r>
          </w:p>
        </w:tc>
        <w:tc>
          <w:tcPr>
            <w:tcW w:w="408" w:type="pct"/>
          </w:tcPr>
          <w:p w14:paraId="542AF298" w14:textId="5AF6B1FE" w:rsidR="00E96086" w:rsidRDefault="00E96086" w:rsidP="00E96086">
            <w:pPr>
              <w:pStyle w:val="tbltext"/>
              <w:jc w:val="center"/>
            </w:pPr>
            <w:r>
              <w:t>n/a</w:t>
            </w:r>
          </w:p>
        </w:tc>
        <w:tc>
          <w:tcPr>
            <w:tcW w:w="392" w:type="pct"/>
          </w:tcPr>
          <w:p w14:paraId="0EA98764" w14:textId="29DFF138" w:rsidR="00E96086" w:rsidRDefault="00E96086" w:rsidP="00E96086">
            <w:pPr>
              <w:pStyle w:val="tbltext"/>
              <w:jc w:val="center"/>
            </w:pPr>
            <w:r>
              <w:t>n/a</w:t>
            </w:r>
          </w:p>
        </w:tc>
      </w:tr>
      <w:tr w:rsidR="00E96086" w:rsidRPr="000540E1" w14:paraId="1214C333" w14:textId="77777777" w:rsidTr="00540F41">
        <w:trPr>
          <w:cantSplit/>
        </w:trPr>
        <w:tc>
          <w:tcPr>
            <w:tcW w:w="942" w:type="pct"/>
          </w:tcPr>
          <w:p w14:paraId="41632BE8" w14:textId="52532EDE" w:rsidR="00E96086" w:rsidRDefault="00E96086" w:rsidP="00E96086">
            <w:pPr>
              <w:pStyle w:val="tbltext"/>
            </w:pPr>
            <w:r>
              <w:t>Settlement location</w:t>
            </w:r>
            <w:r w:rsidR="00FA4851" w:rsidRPr="004270E6">
              <w:t>—</w:t>
            </w:r>
            <w:r w:rsidR="00CF60A3">
              <w:t xml:space="preserve">Leg </w:t>
            </w:r>
            <w:r>
              <w:t>2</w:t>
            </w:r>
          </w:p>
        </w:tc>
        <w:tc>
          <w:tcPr>
            <w:tcW w:w="2453" w:type="pct"/>
          </w:tcPr>
          <w:p w14:paraId="14983987" w14:textId="358C29E9" w:rsidR="00E96086" w:rsidRPr="00861105" w:rsidRDefault="00E96086" w:rsidP="00E96086">
            <w:pPr>
              <w:pStyle w:val="tbltext"/>
            </w:pPr>
            <w:r w:rsidRPr="00861105">
              <w:t>{CDE TG} Place of settlement of the transaction as stipulated in the contract.</w:t>
            </w:r>
          </w:p>
        </w:tc>
        <w:tc>
          <w:tcPr>
            <w:tcW w:w="403" w:type="pct"/>
          </w:tcPr>
          <w:p w14:paraId="2EE3A624" w14:textId="4C645CBB" w:rsidR="00E96086" w:rsidRDefault="00E96086" w:rsidP="00E96086">
            <w:pPr>
              <w:pStyle w:val="tbltext"/>
              <w:jc w:val="center"/>
            </w:pPr>
            <w:r>
              <w:t>2.21</w:t>
            </w:r>
          </w:p>
        </w:tc>
        <w:tc>
          <w:tcPr>
            <w:tcW w:w="402" w:type="pct"/>
          </w:tcPr>
          <w:p w14:paraId="6E699276" w14:textId="4715D421" w:rsidR="00E96086" w:rsidRDefault="00E96086" w:rsidP="00E96086">
            <w:pPr>
              <w:pStyle w:val="tbltext"/>
              <w:jc w:val="center"/>
            </w:pPr>
            <w:r>
              <w:t>90</w:t>
            </w:r>
          </w:p>
        </w:tc>
        <w:tc>
          <w:tcPr>
            <w:tcW w:w="408" w:type="pct"/>
          </w:tcPr>
          <w:p w14:paraId="63249B79" w14:textId="56BE9025" w:rsidR="00E96086" w:rsidRDefault="00E96086" w:rsidP="00E96086">
            <w:pPr>
              <w:pStyle w:val="tbltext"/>
              <w:jc w:val="center"/>
            </w:pPr>
            <w:r>
              <w:t>n/a</w:t>
            </w:r>
          </w:p>
        </w:tc>
        <w:tc>
          <w:tcPr>
            <w:tcW w:w="392" w:type="pct"/>
          </w:tcPr>
          <w:p w14:paraId="0E6D4C4C" w14:textId="3C0977CC" w:rsidR="00E96086" w:rsidRDefault="00E96086" w:rsidP="00E96086">
            <w:pPr>
              <w:pStyle w:val="tbltext"/>
              <w:jc w:val="center"/>
            </w:pPr>
            <w:r>
              <w:t>n/a</w:t>
            </w:r>
          </w:p>
        </w:tc>
      </w:tr>
    </w:tbl>
    <w:p w14:paraId="10702271" w14:textId="66C27B5F" w:rsidR="004D1794" w:rsidRPr="004D1794" w:rsidRDefault="004D1794" w:rsidP="004D1794">
      <w:pPr>
        <w:pStyle w:val="BodyText"/>
        <w:rPr>
          <w:rFonts w:eastAsiaTheme="minorHAnsi"/>
        </w:rPr>
      </w:pPr>
      <w:bookmarkStart w:id="102" w:name="_ASICRef289"/>
      <w:bookmarkEnd w:id="101"/>
      <w:r w:rsidRPr="004D1794">
        <w:rPr>
          <w:rFonts w:eastAsiaTheme="minorHAnsi"/>
        </w:rPr>
        <w:t>‘</w:t>
      </w:r>
      <w:r>
        <w:rPr>
          <w:rFonts w:eastAsiaTheme="minorHAnsi"/>
        </w:rPr>
        <w:t>Cleared</w:t>
      </w:r>
      <w:r w:rsidRPr="004D1794">
        <w:rPr>
          <w:rFonts w:eastAsiaTheme="minorHAnsi"/>
        </w:rPr>
        <w:t>’</w:t>
      </w:r>
      <w:r>
        <w:rPr>
          <w:rFonts w:eastAsiaTheme="minorHAnsi"/>
        </w:rPr>
        <w:t>, ‘</w:t>
      </w:r>
      <w:r w:rsidR="00D15B14">
        <w:rPr>
          <w:rFonts w:eastAsiaTheme="minorHAnsi"/>
        </w:rPr>
        <w:t>c</w:t>
      </w:r>
      <w:r>
        <w:rPr>
          <w:rFonts w:eastAsiaTheme="minorHAnsi"/>
        </w:rPr>
        <w:t>entral counterparty’</w:t>
      </w:r>
      <w:r w:rsidRPr="004D1794">
        <w:rPr>
          <w:rFonts w:eastAsiaTheme="minorHAnsi"/>
        </w:rPr>
        <w:t xml:space="preserve"> and ‘</w:t>
      </w:r>
      <w:r w:rsidR="00D15B14">
        <w:rPr>
          <w:rFonts w:eastAsiaTheme="minorHAnsi"/>
        </w:rPr>
        <w:t>p</w:t>
      </w:r>
      <w:r>
        <w:rPr>
          <w:rFonts w:eastAsiaTheme="minorHAnsi"/>
        </w:rPr>
        <w:t>latform identifier</w:t>
      </w:r>
      <w:r w:rsidRPr="004D1794">
        <w:rPr>
          <w:rFonts w:eastAsiaTheme="minorHAnsi"/>
        </w:rPr>
        <w:t>’ directly substitute for the corresponding data elements in the current ASIC Rules.</w:t>
      </w:r>
    </w:p>
    <w:p w14:paraId="6233EC31" w14:textId="3DCEC7A9" w:rsidR="009454BC" w:rsidRPr="009454BC" w:rsidRDefault="008F557F" w:rsidP="009454BC">
      <w:pPr>
        <w:pStyle w:val="BodyText"/>
        <w:rPr>
          <w:rFonts w:eastAsiaTheme="minorHAnsi"/>
        </w:rPr>
      </w:pPr>
      <w:bookmarkStart w:id="103" w:name="_ASICRef910"/>
      <w:r>
        <w:rPr>
          <w:rFonts w:eastAsiaTheme="minorHAnsi"/>
        </w:rPr>
        <w:t>‘</w:t>
      </w:r>
      <w:r w:rsidR="009454BC">
        <w:rPr>
          <w:rFonts w:eastAsiaTheme="minorHAnsi"/>
        </w:rPr>
        <w:t>Clearing member</w:t>
      </w:r>
      <w:r w:rsidR="00B91402">
        <w:rPr>
          <w:rFonts w:eastAsiaTheme="minorHAnsi"/>
        </w:rPr>
        <w:t>’</w:t>
      </w:r>
      <w:r w:rsidR="009454BC" w:rsidRPr="009454BC">
        <w:t xml:space="preserve"> </w:t>
      </w:r>
      <w:r>
        <w:t>also directly substitutes</w:t>
      </w:r>
      <w:r w:rsidR="0098355C">
        <w:t xml:space="preserve"> for the corresponding data element in the current ASIC Rules. The CDE </w:t>
      </w:r>
      <w:r w:rsidR="0022679B">
        <w:t>Guidance</w:t>
      </w:r>
      <w:r w:rsidR="0098355C">
        <w:t xml:space="preserve"> further clarifies </w:t>
      </w:r>
      <w:r w:rsidR="00CF60A3">
        <w:t xml:space="preserve">that </w:t>
      </w:r>
      <w:r w:rsidR="0098355C">
        <w:t>the use of t</w:t>
      </w:r>
      <w:r w:rsidR="009454BC" w:rsidRPr="009454BC">
        <w:rPr>
          <w:rFonts w:eastAsiaTheme="minorHAnsi"/>
        </w:rPr>
        <w:t>his data element is under the agency clearing model and the principal clearing model.</w:t>
      </w:r>
      <w:bookmarkEnd w:id="102"/>
      <w:bookmarkEnd w:id="103"/>
    </w:p>
    <w:p w14:paraId="2235EE3F" w14:textId="36D66555" w:rsidR="0098355C" w:rsidRDefault="009454BC" w:rsidP="007E0D60">
      <w:pPr>
        <w:pStyle w:val="subparaa"/>
        <w:rPr>
          <w:rFonts w:eastAsiaTheme="minorHAnsi"/>
        </w:rPr>
      </w:pPr>
      <w:r w:rsidRPr="009454BC">
        <w:rPr>
          <w:rFonts w:eastAsiaTheme="minorHAnsi"/>
        </w:rPr>
        <w:lastRenderedPageBreak/>
        <w:t xml:space="preserve">In the case of the principal clearing model, the clearing member is identified as </w:t>
      </w:r>
      <w:r w:rsidR="0098355C">
        <w:rPr>
          <w:rFonts w:eastAsiaTheme="minorHAnsi"/>
        </w:rPr>
        <w:t>‘</w:t>
      </w:r>
      <w:r w:rsidR="00D15B14">
        <w:rPr>
          <w:rFonts w:eastAsiaTheme="minorHAnsi"/>
        </w:rPr>
        <w:t>c</w:t>
      </w:r>
      <w:r w:rsidRPr="009454BC">
        <w:rPr>
          <w:rFonts w:eastAsiaTheme="minorHAnsi"/>
        </w:rPr>
        <w:t>learing member</w:t>
      </w:r>
      <w:r w:rsidR="0098355C">
        <w:rPr>
          <w:rFonts w:eastAsiaTheme="minorHAnsi"/>
        </w:rPr>
        <w:t>’</w:t>
      </w:r>
      <w:r w:rsidRPr="009454BC">
        <w:rPr>
          <w:rFonts w:eastAsiaTheme="minorHAnsi"/>
        </w:rPr>
        <w:t xml:space="preserve"> and also as </w:t>
      </w:r>
      <w:r w:rsidR="0098355C">
        <w:rPr>
          <w:rFonts w:eastAsiaTheme="minorHAnsi"/>
        </w:rPr>
        <w:t>‘</w:t>
      </w:r>
      <w:r w:rsidR="00D15B14">
        <w:rPr>
          <w:rFonts w:eastAsiaTheme="minorHAnsi"/>
        </w:rPr>
        <w:t>c</w:t>
      </w:r>
      <w:r w:rsidRPr="009454BC">
        <w:rPr>
          <w:rFonts w:eastAsiaTheme="minorHAnsi"/>
        </w:rPr>
        <w:t>ounterparty</w:t>
      </w:r>
      <w:r w:rsidR="0098355C">
        <w:rPr>
          <w:rFonts w:eastAsiaTheme="minorHAnsi"/>
        </w:rPr>
        <w:t xml:space="preserve"> 1’ or ‘</w:t>
      </w:r>
      <w:r w:rsidR="00D15B14">
        <w:rPr>
          <w:rFonts w:eastAsiaTheme="minorHAnsi"/>
        </w:rPr>
        <w:t>c</w:t>
      </w:r>
      <w:r w:rsidR="0098355C">
        <w:rPr>
          <w:rFonts w:eastAsiaTheme="minorHAnsi"/>
        </w:rPr>
        <w:t>ounterparty 2’</w:t>
      </w:r>
      <w:r w:rsidRPr="009454BC">
        <w:rPr>
          <w:rFonts w:eastAsiaTheme="minorHAnsi"/>
        </w:rPr>
        <w:t xml:space="preserve"> in both transactions resulting from clearing:</w:t>
      </w:r>
    </w:p>
    <w:p w14:paraId="0968602C" w14:textId="77777777" w:rsidR="0098355C" w:rsidRDefault="009454BC" w:rsidP="0098355C">
      <w:pPr>
        <w:pStyle w:val="subsubparai"/>
        <w:rPr>
          <w:rFonts w:eastAsiaTheme="minorHAnsi"/>
        </w:rPr>
      </w:pPr>
      <w:r w:rsidRPr="009454BC">
        <w:rPr>
          <w:rFonts w:eastAsiaTheme="minorHAnsi"/>
        </w:rPr>
        <w:t>in the transaction between the central counterparty and the clearing member; and</w:t>
      </w:r>
    </w:p>
    <w:p w14:paraId="7CF8FAAD" w14:textId="67735EF5" w:rsidR="009454BC" w:rsidRPr="009454BC" w:rsidRDefault="009454BC" w:rsidP="0098355C">
      <w:pPr>
        <w:pStyle w:val="subsubparai"/>
        <w:rPr>
          <w:rFonts w:eastAsiaTheme="minorHAnsi"/>
        </w:rPr>
      </w:pPr>
      <w:r w:rsidRPr="009454BC">
        <w:rPr>
          <w:rFonts w:eastAsiaTheme="minorHAnsi"/>
        </w:rPr>
        <w:t>in the transaction between the clearing member and the counterparty to the original alpha transaction.</w:t>
      </w:r>
    </w:p>
    <w:p w14:paraId="76B5A7BF" w14:textId="706A9D5A" w:rsidR="009454BC" w:rsidRPr="009454BC" w:rsidRDefault="009454BC" w:rsidP="007E0D60">
      <w:pPr>
        <w:pStyle w:val="subparaa"/>
        <w:rPr>
          <w:rFonts w:eastAsiaTheme="minorHAnsi"/>
        </w:rPr>
      </w:pPr>
      <w:r w:rsidRPr="009454BC">
        <w:rPr>
          <w:rFonts w:eastAsiaTheme="minorHAnsi"/>
        </w:rPr>
        <w:t xml:space="preserve">In the case of the agency clearing model, the clearing member is identified as </w:t>
      </w:r>
      <w:r w:rsidR="0098355C">
        <w:rPr>
          <w:rFonts w:eastAsiaTheme="minorHAnsi"/>
        </w:rPr>
        <w:t>‘</w:t>
      </w:r>
      <w:r w:rsidR="00D15B14">
        <w:rPr>
          <w:rFonts w:eastAsiaTheme="minorHAnsi"/>
        </w:rPr>
        <w:t>c</w:t>
      </w:r>
      <w:r w:rsidR="00D15B14" w:rsidRPr="009454BC">
        <w:rPr>
          <w:rFonts w:eastAsiaTheme="minorHAnsi"/>
        </w:rPr>
        <w:t xml:space="preserve">learing </w:t>
      </w:r>
      <w:r w:rsidRPr="009454BC">
        <w:rPr>
          <w:rFonts w:eastAsiaTheme="minorHAnsi"/>
        </w:rPr>
        <w:t>member</w:t>
      </w:r>
      <w:r w:rsidR="0098355C">
        <w:rPr>
          <w:rFonts w:eastAsiaTheme="minorHAnsi"/>
        </w:rPr>
        <w:t>’</w:t>
      </w:r>
      <w:r w:rsidRPr="009454BC">
        <w:rPr>
          <w:rFonts w:eastAsiaTheme="minorHAnsi"/>
        </w:rPr>
        <w:t xml:space="preserve"> but not as </w:t>
      </w:r>
      <w:r w:rsidR="0098355C">
        <w:rPr>
          <w:rFonts w:eastAsiaTheme="minorHAnsi"/>
        </w:rPr>
        <w:t>a</w:t>
      </w:r>
      <w:r w:rsidRPr="009454BC">
        <w:rPr>
          <w:rFonts w:eastAsiaTheme="minorHAnsi"/>
        </w:rPr>
        <w:t xml:space="preserve"> counterparty to transactions resulting from clearing. Under this model, the counterparties are the central counterparty and the client.</w:t>
      </w:r>
    </w:p>
    <w:p w14:paraId="1472FD82" w14:textId="471398D6" w:rsidR="003A10C8" w:rsidRPr="00EF1A65" w:rsidRDefault="003A10C8" w:rsidP="00274C82">
      <w:pPr>
        <w:pStyle w:val="BodyText"/>
        <w:rPr>
          <w:rFonts w:eastAsiaTheme="minorHAnsi"/>
        </w:rPr>
      </w:pPr>
      <w:r w:rsidRPr="00EF1A65">
        <w:rPr>
          <w:rFonts w:eastAsiaTheme="minorHAnsi"/>
        </w:rPr>
        <w:t>‘</w:t>
      </w:r>
      <w:r w:rsidR="00A71884" w:rsidRPr="00EF1A65">
        <w:rPr>
          <w:rFonts w:eastAsiaTheme="minorHAnsi"/>
        </w:rPr>
        <w:t>Final contractual settlement date</w:t>
      </w:r>
      <w:r w:rsidRPr="00EF1A65">
        <w:rPr>
          <w:rFonts w:eastAsiaTheme="minorHAnsi"/>
        </w:rPr>
        <w:t>’, ‘</w:t>
      </w:r>
      <w:r w:rsidR="00D15B14">
        <w:rPr>
          <w:rFonts w:eastAsiaTheme="minorHAnsi"/>
        </w:rPr>
        <w:t>s</w:t>
      </w:r>
      <w:r w:rsidR="00D15B14" w:rsidRPr="00EF1A65">
        <w:rPr>
          <w:rFonts w:eastAsiaTheme="minorHAnsi"/>
        </w:rPr>
        <w:t xml:space="preserve">ettlement </w:t>
      </w:r>
      <w:r w:rsidRPr="00EF1A65">
        <w:rPr>
          <w:rFonts w:eastAsiaTheme="minorHAnsi"/>
        </w:rPr>
        <w:t>currency</w:t>
      </w:r>
      <w:r w:rsidR="00D15B14" w:rsidRPr="00A829C7">
        <w:rPr>
          <w:rFonts w:eastAsiaTheme="minorHAnsi"/>
        </w:rPr>
        <w:t>—</w:t>
      </w:r>
      <w:r w:rsidR="00D15B14">
        <w:rPr>
          <w:rFonts w:eastAsiaTheme="minorHAnsi"/>
        </w:rPr>
        <w:t>l</w:t>
      </w:r>
      <w:r w:rsidRPr="00EF1A65">
        <w:rPr>
          <w:rFonts w:eastAsiaTheme="minorHAnsi"/>
        </w:rPr>
        <w:t>eg 1’ and ‘</w:t>
      </w:r>
      <w:r w:rsidR="00D15B14">
        <w:rPr>
          <w:rFonts w:eastAsiaTheme="minorHAnsi"/>
        </w:rPr>
        <w:t>s</w:t>
      </w:r>
      <w:r w:rsidR="00D15B14" w:rsidRPr="00EF1A65">
        <w:rPr>
          <w:rFonts w:eastAsiaTheme="minorHAnsi"/>
        </w:rPr>
        <w:t xml:space="preserve">ettlement </w:t>
      </w:r>
      <w:r w:rsidRPr="00EF1A65">
        <w:rPr>
          <w:rFonts w:eastAsiaTheme="minorHAnsi"/>
        </w:rPr>
        <w:t>currency</w:t>
      </w:r>
      <w:r w:rsidR="00D15B14" w:rsidRPr="004270E6">
        <w:rPr>
          <w:rFonts w:eastAsiaTheme="minorHAnsi"/>
        </w:rPr>
        <w:t>—</w:t>
      </w:r>
      <w:r w:rsidR="00D15B14">
        <w:rPr>
          <w:rFonts w:eastAsiaTheme="minorHAnsi"/>
        </w:rPr>
        <w:t>l</w:t>
      </w:r>
      <w:r w:rsidRPr="00EF1A65">
        <w:rPr>
          <w:rFonts w:eastAsiaTheme="minorHAnsi"/>
        </w:rPr>
        <w:t xml:space="preserve">eg 2’ are in the </w:t>
      </w:r>
      <w:r w:rsidR="00A71884" w:rsidRPr="00EF1A65">
        <w:rPr>
          <w:rFonts w:eastAsiaTheme="minorHAnsi"/>
        </w:rPr>
        <w:t xml:space="preserve">CDE </w:t>
      </w:r>
      <w:r w:rsidR="0022679B" w:rsidRPr="00EF1A65">
        <w:rPr>
          <w:rFonts w:eastAsiaTheme="minorHAnsi"/>
        </w:rPr>
        <w:t>Guidance</w:t>
      </w:r>
      <w:r w:rsidRPr="00EF1A65">
        <w:rPr>
          <w:rFonts w:eastAsiaTheme="minorHAnsi"/>
        </w:rPr>
        <w:t xml:space="preserve"> and adopted under both the final CFTC rules and the </w:t>
      </w:r>
      <w:r w:rsidR="000127C8" w:rsidRPr="00EF1A65">
        <w:rPr>
          <w:rFonts w:eastAsiaTheme="minorHAnsi"/>
        </w:rPr>
        <w:t>ESMA proposals</w:t>
      </w:r>
      <w:r w:rsidRPr="00EF1A65">
        <w:rPr>
          <w:rFonts w:eastAsiaTheme="minorHAnsi"/>
        </w:rPr>
        <w:t>.</w:t>
      </w:r>
      <w:r w:rsidR="00EF1A65">
        <w:rPr>
          <w:rFonts w:eastAsiaTheme="minorHAnsi"/>
        </w:rPr>
        <w:t xml:space="preserve"> These are important fields for </w:t>
      </w:r>
      <w:r w:rsidR="00973135">
        <w:rPr>
          <w:rFonts w:eastAsiaTheme="minorHAnsi"/>
        </w:rPr>
        <w:t>detailing the final residual term of exposures and the cashflows of transactions.</w:t>
      </w:r>
    </w:p>
    <w:p w14:paraId="63F505DB" w14:textId="155D51B3" w:rsidR="009D7A50" w:rsidRPr="00973135" w:rsidRDefault="003A10C8" w:rsidP="00A71884">
      <w:pPr>
        <w:pStyle w:val="BodyText"/>
        <w:rPr>
          <w:rFonts w:eastAsiaTheme="minorHAnsi"/>
        </w:rPr>
      </w:pPr>
      <w:r w:rsidRPr="00973135">
        <w:rPr>
          <w:rFonts w:eastAsiaTheme="minorHAnsi"/>
        </w:rPr>
        <w:t>‘</w:t>
      </w:r>
      <w:r w:rsidR="00A71884" w:rsidRPr="00973135">
        <w:rPr>
          <w:rFonts w:eastAsiaTheme="minorHAnsi"/>
        </w:rPr>
        <w:t>Settlement location</w:t>
      </w:r>
      <w:r w:rsidR="00D15B14" w:rsidRPr="004270E6">
        <w:rPr>
          <w:rFonts w:eastAsiaTheme="minorHAnsi"/>
        </w:rPr>
        <w:t>—</w:t>
      </w:r>
      <w:r w:rsidR="00D15B14">
        <w:rPr>
          <w:rFonts w:eastAsiaTheme="minorHAnsi"/>
        </w:rPr>
        <w:t>l</w:t>
      </w:r>
      <w:r w:rsidR="00A71884" w:rsidRPr="00973135">
        <w:rPr>
          <w:rFonts w:eastAsiaTheme="minorHAnsi"/>
        </w:rPr>
        <w:t>eg 1</w:t>
      </w:r>
      <w:r w:rsidR="009D7A50" w:rsidRPr="00973135">
        <w:rPr>
          <w:rFonts w:eastAsiaTheme="minorHAnsi"/>
        </w:rPr>
        <w:t>’ and ‘</w:t>
      </w:r>
      <w:r w:rsidR="00D15B14">
        <w:rPr>
          <w:rFonts w:eastAsiaTheme="minorHAnsi"/>
        </w:rPr>
        <w:t>s</w:t>
      </w:r>
      <w:r w:rsidR="00D15B14" w:rsidRPr="00973135">
        <w:rPr>
          <w:rFonts w:eastAsiaTheme="minorHAnsi"/>
        </w:rPr>
        <w:t xml:space="preserve">ettlement </w:t>
      </w:r>
      <w:r w:rsidR="009D7A50" w:rsidRPr="00973135">
        <w:rPr>
          <w:rFonts w:eastAsiaTheme="minorHAnsi"/>
        </w:rPr>
        <w:t>location</w:t>
      </w:r>
      <w:r w:rsidR="00D15B14" w:rsidRPr="004270E6">
        <w:rPr>
          <w:rFonts w:eastAsiaTheme="minorHAnsi"/>
        </w:rPr>
        <w:t>—</w:t>
      </w:r>
      <w:r w:rsidR="00D15B14">
        <w:rPr>
          <w:rFonts w:eastAsiaTheme="minorHAnsi"/>
        </w:rPr>
        <w:t>l</w:t>
      </w:r>
      <w:r w:rsidR="00D15B14" w:rsidRPr="00973135">
        <w:rPr>
          <w:rFonts w:eastAsiaTheme="minorHAnsi"/>
        </w:rPr>
        <w:t xml:space="preserve">eg </w:t>
      </w:r>
      <w:r w:rsidR="009D7A50" w:rsidRPr="00973135">
        <w:rPr>
          <w:rFonts w:eastAsiaTheme="minorHAnsi"/>
        </w:rPr>
        <w:t xml:space="preserve">2’ are in the CDE </w:t>
      </w:r>
      <w:r w:rsidR="0022679B" w:rsidRPr="00973135">
        <w:rPr>
          <w:rFonts w:eastAsiaTheme="minorHAnsi"/>
        </w:rPr>
        <w:t>Guidance</w:t>
      </w:r>
      <w:r w:rsidR="009D7A50" w:rsidRPr="00973135">
        <w:rPr>
          <w:rFonts w:eastAsiaTheme="minorHAnsi"/>
        </w:rPr>
        <w:t xml:space="preserve"> and adopted under the final CFTC rules.</w:t>
      </w:r>
      <w:r w:rsidR="00973135">
        <w:rPr>
          <w:rFonts w:eastAsiaTheme="minorHAnsi"/>
        </w:rPr>
        <w:t xml:space="preserve"> These are also important fields for detailing onshore/offshore risks in settlement payments.</w:t>
      </w:r>
    </w:p>
    <w:p w14:paraId="7E97EC83" w14:textId="77777777" w:rsidR="001A4A9B" w:rsidRDefault="001A4A9B" w:rsidP="005E2C08">
      <w:pPr>
        <w:pStyle w:val="Proposalhead"/>
      </w:pPr>
      <w:r>
        <w:t>Proposal</w:t>
      </w:r>
    </w:p>
    <w:p w14:paraId="2559637D" w14:textId="42AC0405" w:rsidR="001A4A9B" w:rsidRDefault="00581717">
      <w:pPr>
        <w:pStyle w:val="Proposaltext"/>
      </w:pPr>
      <w:r>
        <w:t xml:space="preserve">We propose to include in the ASIC Rules the data elements related to </w:t>
      </w:r>
      <w:r>
        <w:rPr>
          <w:rFonts w:eastAsiaTheme="minorHAnsi"/>
        </w:rPr>
        <w:t>clearing, trading, confirmation and settlement</w:t>
      </w:r>
      <w:r>
        <w:t xml:space="preserve"> set out in </w:t>
      </w:r>
      <w:r w:rsidR="000D07AE">
        <w:fldChar w:fldCharType="begin"/>
      </w:r>
      <w:r w:rsidR="000D07AE">
        <w:instrText xml:space="preserve"> REF _Ref55982078 \h </w:instrText>
      </w:r>
      <w:r w:rsidR="000D07AE">
        <w:fldChar w:fldCharType="separate"/>
      </w:r>
      <w:r w:rsidR="00314C7E">
        <w:t xml:space="preserve">Table </w:t>
      </w:r>
      <w:r w:rsidR="00314C7E">
        <w:rPr>
          <w:noProof/>
        </w:rPr>
        <w:t>11</w:t>
      </w:r>
      <w:r w:rsidR="000D07AE">
        <w:fldChar w:fldCharType="end"/>
      </w:r>
      <w:r>
        <w:t>.</w:t>
      </w:r>
    </w:p>
    <w:p w14:paraId="714A7CA9" w14:textId="77777777" w:rsidR="001A4A9B" w:rsidRDefault="001A4A9B">
      <w:pPr>
        <w:pStyle w:val="Feedbackhead"/>
      </w:pPr>
      <w:r>
        <w:t>Your feedback</w:t>
      </w:r>
    </w:p>
    <w:p w14:paraId="28DE4523" w14:textId="77777777" w:rsidR="00581717" w:rsidRDefault="00581717" w:rsidP="00581717">
      <w:pPr>
        <w:pStyle w:val="Feedbackquestion"/>
      </w:pPr>
      <w:r>
        <w:t>Do you agree with this proposal? In your response, please give detailed reasons for your answer.</w:t>
      </w:r>
    </w:p>
    <w:p w14:paraId="519D5FD2" w14:textId="2CC17930" w:rsidR="001A4A9B" w:rsidRDefault="00581717" w:rsidP="00581717">
      <w:pPr>
        <w:pStyle w:val="Feedbackquestion"/>
      </w:pPr>
      <w:r w:rsidRPr="00C62732">
        <w:t xml:space="preserve">Do you consider that you will have </w:t>
      </w:r>
      <w:r w:rsidR="00790DEA">
        <w:t>particular</w:t>
      </w:r>
      <w:r w:rsidRPr="00C62732">
        <w:t xml:space="preserve"> interpretation or implementation issues with the data elements</w:t>
      </w:r>
      <w:r w:rsidR="00622609">
        <w:t xml:space="preserve"> set out in </w:t>
      </w:r>
      <w:r w:rsidR="00622609">
        <w:fldChar w:fldCharType="begin"/>
      </w:r>
      <w:r w:rsidR="00622609">
        <w:instrText xml:space="preserve"> REF _Ref55982078 \h </w:instrText>
      </w:r>
      <w:r w:rsidR="00622609">
        <w:fldChar w:fldCharType="separate"/>
      </w:r>
      <w:r w:rsidR="00314C7E">
        <w:t xml:space="preserve">Table </w:t>
      </w:r>
      <w:r w:rsidR="00314C7E">
        <w:rPr>
          <w:noProof/>
        </w:rPr>
        <w:t>11</w:t>
      </w:r>
      <w:r w:rsidR="00622609">
        <w:fldChar w:fldCharType="end"/>
      </w:r>
      <w:r w:rsidRPr="00C62732">
        <w:t>? In your response, please give detailed reasons for your answer.</w:t>
      </w:r>
    </w:p>
    <w:p w14:paraId="1A5B83C4" w14:textId="71CACD23" w:rsidR="007E0D60" w:rsidRDefault="007E0D60" w:rsidP="007E0D60">
      <w:pPr>
        <w:pStyle w:val="Heading2"/>
        <w:rPr>
          <w:rFonts w:eastAsiaTheme="minorHAnsi"/>
        </w:rPr>
      </w:pPr>
      <w:bookmarkStart w:id="104" w:name="_Toc57146493"/>
      <w:r>
        <w:rPr>
          <w:rFonts w:eastAsiaTheme="minorHAnsi"/>
        </w:rPr>
        <w:t>Data elements related to regular payments</w:t>
      </w:r>
      <w:bookmarkEnd w:id="104"/>
    </w:p>
    <w:p w14:paraId="204B874C" w14:textId="49FADD04" w:rsidR="004707DF" w:rsidRDefault="00C760ED" w:rsidP="004707DF">
      <w:pPr>
        <w:pStyle w:val="BodyText"/>
        <w:rPr>
          <w:rFonts w:eastAsiaTheme="minorHAnsi"/>
        </w:rPr>
      </w:pPr>
      <w:r w:rsidRPr="00C760ED">
        <w:rPr>
          <w:rFonts w:eastAsiaTheme="minorHAnsi"/>
        </w:rPr>
        <w:t xml:space="preserve">We propose to include </w:t>
      </w:r>
      <w:r w:rsidR="00622609" w:rsidRPr="00C760ED">
        <w:rPr>
          <w:rFonts w:eastAsiaTheme="minorHAnsi"/>
        </w:rPr>
        <w:t xml:space="preserve">in the ASIC Rules </w:t>
      </w:r>
      <w:r w:rsidRPr="00C760ED">
        <w:rPr>
          <w:rFonts w:eastAsiaTheme="minorHAnsi"/>
        </w:rPr>
        <w:t xml:space="preserve">the data elements </w:t>
      </w:r>
      <w:r w:rsidR="007A3934">
        <w:rPr>
          <w:rFonts w:eastAsiaTheme="minorHAnsi"/>
        </w:rPr>
        <w:t xml:space="preserve">set out </w:t>
      </w:r>
      <w:r w:rsidR="000C5827">
        <w:rPr>
          <w:rFonts w:eastAsiaTheme="minorHAnsi"/>
        </w:rPr>
        <w:t xml:space="preserve">in </w:t>
      </w:r>
      <w:r w:rsidR="000C5827">
        <w:rPr>
          <w:rFonts w:eastAsiaTheme="minorHAnsi"/>
        </w:rPr>
        <w:fldChar w:fldCharType="begin"/>
      </w:r>
      <w:r w:rsidR="000C5827">
        <w:rPr>
          <w:rFonts w:eastAsiaTheme="minorHAnsi"/>
        </w:rPr>
        <w:instrText xml:space="preserve"> REF _Ref55982202 \h </w:instrText>
      </w:r>
      <w:r w:rsidR="000C5827">
        <w:rPr>
          <w:rFonts w:eastAsiaTheme="minorHAnsi"/>
        </w:rPr>
      </w:r>
      <w:r w:rsidR="000C5827">
        <w:rPr>
          <w:rFonts w:eastAsiaTheme="minorHAnsi"/>
        </w:rPr>
        <w:fldChar w:fldCharType="separate"/>
      </w:r>
      <w:r w:rsidR="00314C7E">
        <w:t xml:space="preserve">Table </w:t>
      </w:r>
      <w:r w:rsidR="00314C7E">
        <w:rPr>
          <w:noProof/>
        </w:rPr>
        <w:t>12</w:t>
      </w:r>
      <w:r w:rsidR="000C5827">
        <w:rPr>
          <w:rFonts w:eastAsiaTheme="minorHAnsi"/>
        </w:rPr>
        <w:fldChar w:fldCharType="end"/>
      </w:r>
      <w:r w:rsidRPr="00C760ED">
        <w:rPr>
          <w:rFonts w:eastAsiaTheme="minorHAnsi"/>
        </w:rPr>
        <w:t xml:space="preserve">. All of these data elements are CDE </w:t>
      </w:r>
      <w:r w:rsidR="0022679B">
        <w:rPr>
          <w:rFonts w:eastAsiaTheme="minorHAnsi"/>
        </w:rPr>
        <w:t>Guidance</w:t>
      </w:r>
      <w:r w:rsidRPr="00C760ED">
        <w:rPr>
          <w:rFonts w:eastAsiaTheme="minorHAnsi"/>
        </w:rPr>
        <w:t xml:space="preserve"> data elements </w:t>
      </w:r>
      <w:r w:rsidR="00622609">
        <w:rPr>
          <w:rFonts w:eastAsiaTheme="minorHAnsi"/>
        </w:rPr>
        <w:t>which</w:t>
      </w:r>
      <w:r w:rsidR="00622609" w:rsidRPr="00C760ED">
        <w:rPr>
          <w:rFonts w:eastAsiaTheme="minorHAnsi"/>
        </w:rPr>
        <w:t xml:space="preserve"> </w:t>
      </w:r>
      <w:r w:rsidR="00622609">
        <w:rPr>
          <w:rFonts w:eastAsiaTheme="minorHAnsi"/>
        </w:rPr>
        <w:t xml:space="preserve">are </w:t>
      </w:r>
      <w:r w:rsidRPr="00C760ED">
        <w:rPr>
          <w:rFonts w:eastAsiaTheme="minorHAnsi"/>
        </w:rPr>
        <w:t xml:space="preserve">also common to the final CFTC rules and/or the </w:t>
      </w:r>
      <w:r w:rsidR="000127C8">
        <w:rPr>
          <w:rFonts w:eastAsiaTheme="minorHAnsi"/>
        </w:rPr>
        <w:t>ESMA proposals</w:t>
      </w:r>
      <w:r w:rsidRPr="00C760ED">
        <w:rPr>
          <w:rFonts w:eastAsiaTheme="minorHAnsi"/>
        </w:rPr>
        <w:t>.</w:t>
      </w:r>
    </w:p>
    <w:p w14:paraId="43DABAFD" w14:textId="4501AE91" w:rsidR="007E0D60" w:rsidRDefault="004707DF" w:rsidP="004707DF">
      <w:pPr>
        <w:pStyle w:val="BodyText"/>
        <w:rPr>
          <w:rFonts w:eastAsiaTheme="minorHAnsi"/>
        </w:rPr>
      </w:pPr>
      <w:r>
        <w:rPr>
          <w:rFonts w:eastAsiaTheme="minorHAnsi"/>
        </w:rPr>
        <w:t>Several of the data elements are also in the current ASIC Rules</w:t>
      </w:r>
      <w:r w:rsidR="001F23A2">
        <w:rPr>
          <w:rFonts w:eastAsiaTheme="minorHAnsi"/>
        </w:rPr>
        <w:t xml:space="preserve"> but more in terms of equivalent information content</w:t>
      </w:r>
      <w:r w:rsidR="00576497">
        <w:rPr>
          <w:rFonts w:eastAsiaTheme="minorHAnsi"/>
        </w:rPr>
        <w:t>. F</w:t>
      </w:r>
      <w:r w:rsidR="001F23A2">
        <w:rPr>
          <w:rFonts w:eastAsiaTheme="minorHAnsi"/>
        </w:rPr>
        <w:t>or example, ‘frequency’ in the current ASIC Rules</w:t>
      </w:r>
      <w:r w:rsidR="00576497">
        <w:rPr>
          <w:rFonts w:eastAsiaTheme="minorHAnsi"/>
        </w:rPr>
        <w:t xml:space="preserve"> does not separate the ‘frequency period’ from the ‘frequency period multiplier’</w:t>
      </w:r>
      <w:r w:rsidR="000D07AE" w:rsidRPr="004270E6">
        <w:rPr>
          <w:rFonts w:eastAsiaTheme="minorHAnsi"/>
        </w:rPr>
        <w:t>—</w:t>
      </w:r>
      <w:r w:rsidR="00576497">
        <w:rPr>
          <w:rFonts w:eastAsiaTheme="minorHAnsi"/>
        </w:rPr>
        <w:t xml:space="preserve">the current ASIC Rules require the reporting of, for example, ‘6M’ (for six-monthly) as a single data element rather than </w:t>
      </w:r>
      <w:r w:rsidR="00576497">
        <w:rPr>
          <w:rFonts w:eastAsiaTheme="minorHAnsi"/>
        </w:rPr>
        <w:lastRenderedPageBreak/>
        <w:t>the more common approach in other jurisdictions of requiring ‘6’ (for frequency period multiplier) and ‘M’ (for frequency period) as separate data elements.</w:t>
      </w:r>
    </w:p>
    <w:p w14:paraId="3F810FC7" w14:textId="37819491" w:rsidR="00576497" w:rsidRPr="004707DF" w:rsidRDefault="00576497" w:rsidP="004707DF">
      <w:pPr>
        <w:pStyle w:val="BodyText"/>
        <w:rPr>
          <w:rFonts w:eastAsiaTheme="minorHAnsi"/>
        </w:rPr>
      </w:pPr>
      <w:r>
        <w:rPr>
          <w:rFonts w:eastAsiaTheme="minorHAnsi"/>
        </w:rPr>
        <w:t xml:space="preserve">By adopting the data elements </w:t>
      </w:r>
      <w:r w:rsidR="000D07AE">
        <w:rPr>
          <w:rFonts w:eastAsiaTheme="minorHAnsi"/>
        </w:rPr>
        <w:t xml:space="preserve">in </w:t>
      </w:r>
      <w:r w:rsidR="000D07AE">
        <w:rPr>
          <w:rFonts w:eastAsiaTheme="minorHAnsi"/>
        </w:rPr>
        <w:fldChar w:fldCharType="begin"/>
      </w:r>
      <w:r w:rsidR="000D07AE">
        <w:rPr>
          <w:rFonts w:eastAsiaTheme="minorHAnsi"/>
        </w:rPr>
        <w:instrText xml:space="preserve"> REF _Ref55982202 \h </w:instrText>
      </w:r>
      <w:r w:rsidR="000D07AE">
        <w:rPr>
          <w:rFonts w:eastAsiaTheme="minorHAnsi"/>
        </w:rPr>
      </w:r>
      <w:r w:rsidR="000D07AE">
        <w:rPr>
          <w:rFonts w:eastAsiaTheme="minorHAnsi"/>
        </w:rPr>
        <w:fldChar w:fldCharType="separate"/>
      </w:r>
      <w:r w:rsidR="00314C7E">
        <w:t xml:space="preserve">Table </w:t>
      </w:r>
      <w:r w:rsidR="00314C7E">
        <w:rPr>
          <w:noProof/>
        </w:rPr>
        <w:t>12</w:t>
      </w:r>
      <w:r w:rsidR="000D07AE">
        <w:rPr>
          <w:rFonts w:eastAsiaTheme="minorHAnsi"/>
        </w:rPr>
        <w:fldChar w:fldCharType="end"/>
      </w:r>
      <w:r>
        <w:rPr>
          <w:rFonts w:eastAsiaTheme="minorHAnsi"/>
        </w:rPr>
        <w:t xml:space="preserve">, the ASIC Rules would conform to a common multi-jurisdictional approach, including the more comprehensive separation of </w:t>
      </w:r>
      <w:r w:rsidR="000D07AE">
        <w:rPr>
          <w:rFonts w:eastAsiaTheme="minorHAnsi"/>
        </w:rPr>
        <w:t xml:space="preserve">leg </w:t>
      </w:r>
      <w:r>
        <w:rPr>
          <w:rFonts w:eastAsiaTheme="minorHAnsi"/>
        </w:rPr>
        <w:t xml:space="preserve">1 and </w:t>
      </w:r>
      <w:r w:rsidR="000D07AE">
        <w:rPr>
          <w:rFonts w:eastAsiaTheme="minorHAnsi"/>
        </w:rPr>
        <w:t xml:space="preserve">leg </w:t>
      </w:r>
      <w:r>
        <w:rPr>
          <w:rFonts w:eastAsiaTheme="minorHAnsi"/>
        </w:rPr>
        <w:t>2 information.</w:t>
      </w:r>
    </w:p>
    <w:p w14:paraId="6C7A85E5" w14:textId="34E52E76" w:rsidR="004857CC" w:rsidRPr="004857CC" w:rsidRDefault="004857CC" w:rsidP="004857CC">
      <w:pPr>
        <w:pStyle w:val="tabletitlefullwidth"/>
      </w:pPr>
      <w:bookmarkStart w:id="105" w:name="_Ref55982202"/>
      <w:r>
        <w:t xml:space="preserve">Table </w:t>
      </w:r>
      <w:r w:rsidR="007055A5">
        <w:fldChar w:fldCharType="begin"/>
      </w:r>
      <w:r w:rsidR="007055A5">
        <w:instrText xml:space="preserve"> SEQ Table \* ARABIC </w:instrText>
      </w:r>
      <w:r w:rsidR="007055A5">
        <w:fldChar w:fldCharType="separate"/>
      </w:r>
      <w:r w:rsidR="00314C7E">
        <w:rPr>
          <w:noProof/>
        </w:rPr>
        <w:t>12</w:t>
      </w:r>
      <w:r w:rsidR="007055A5">
        <w:rPr>
          <w:noProof/>
        </w:rPr>
        <w:fldChar w:fldCharType="end"/>
      </w:r>
      <w:bookmarkEnd w:id="105"/>
      <w:r>
        <w:t>:</w:t>
      </w:r>
      <w:r>
        <w:tab/>
      </w:r>
      <w:r w:rsidR="004D4264">
        <w:t>Proposed d</w:t>
      </w:r>
      <w:r w:rsidR="004D4264" w:rsidRPr="004D4264">
        <w:t>ata elements related to regular payments</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843"/>
        <w:gridCol w:w="4293"/>
        <w:gridCol w:w="728"/>
        <w:gridCol w:w="727"/>
        <w:gridCol w:w="737"/>
        <w:gridCol w:w="709"/>
      </w:tblGrid>
      <w:tr w:rsidR="007E0D60" w:rsidRPr="000540E1" w14:paraId="19F132A2" w14:textId="77777777" w:rsidTr="00136CC5">
        <w:trPr>
          <w:cantSplit/>
          <w:tblHeader/>
        </w:trPr>
        <w:tc>
          <w:tcPr>
            <w:tcW w:w="1020" w:type="pct"/>
            <w:shd w:val="clear" w:color="auto" w:fill="C2E3FA"/>
          </w:tcPr>
          <w:p w14:paraId="0C24C93D" w14:textId="77777777" w:rsidR="007E0D60" w:rsidRDefault="007E0D60" w:rsidP="00540F41">
            <w:pPr>
              <w:pStyle w:val="tablehead"/>
            </w:pPr>
          </w:p>
        </w:tc>
        <w:tc>
          <w:tcPr>
            <w:tcW w:w="2375" w:type="pct"/>
            <w:shd w:val="clear" w:color="auto" w:fill="C2E3FA"/>
          </w:tcPr>
          <w:p w14:paraId="7A48DAD6" w14:textId="77777777" w:rsidR="007E0D60" w:rsidRDefault="007E0D60" w:rsidP="00540F41">
            <w:pPr>
              <w:pStyle w:val="tablehead"/>
            </w:pPr>
          </w:p>
        </w:tc>
        <w:tc>
          <w:tcPr>
            <w:tcW w:w="1605" w:type="pct"/>
            <w:gridSpan w:val="4"/>
            <w:shd w:val="clear" w:color="auto" w:fill="C2E3FA"/>
          </w:tcPr>
          <w:p w14:paraId="58002DFD" w14:textId="1BC2BC13" w:rsidR="007E0D60" w:rsidRPr="000540E1" w:rsidRDefault="001156A2" w:rsidP="00540F41">
            <w:pPr>
              <w:pStyle w:val="tablehead"/>
              <w:jc w:val="center"/>
            </w:pPr>
            <w:r>
              <w:t>Element</w:t>
            </w:r>
            <w:r w:rsidR="007E0D60">
              <w:t xml:space="preserve"> number references</w:t>
            </w:r>
          </w:p>
        </w:tc>
      </w:tr>
      <w:tr w:rsidR="006F4B82" w:rsidRPr="000540E1" w14:paraId="207806B4" w14:textId="77777777" w:rsidTr="00136CC5">
        <w:trPr>
          <w:cantSplit/>
          <w:tblHeader/>
        </w:trPr>
        <w:tc>
          <w:tcPr>
            <w:tcW w:w="1020" w:type="pct"/>
            <w:shd w:val="clear" w:color="auto" w:fill="C2E3FA"/>
          </w:tcPr>
          <w:p w14:paraId="55301DA8" w14:textId="77777777" w:rsidR="007E0D60" w:rsidRDefault="007E0D60" w:rsidP="00540F41">
            <w:pPr>
              <w:pStyle w:val="tablehead"/>
            </w:pPr>
            <w:r>
              <w:t>Data element</w:t>
            </w:r>
          </w:p>
        </w:tc>
        <w:tc>
          <w:tcPr>
            <w:tcW w:w="2375" w:type="pct"/>
            <w:shd w:val="clear" w:color="auto" w:fill="C2E3FA"/>
          </w:tcPr>
          <w:p w14:paraId="31EEA7B3" w14:textId="123A0CCB" w:rsidR="007E0D60" w:rsidRDefault="00277807" w:rsidP="00540F41">
            <w:pPr>
              <w:pStyle w:val="tablehead"/>
            </w:pPr>
            <w:r>
              <w:t>Definition</w:t>
            </w:r>
            <w:r w:rsidR="005D44B3">
              <w:rPr>
                <w:rFonts w:ascii="Calibri" w:hAnsi="Calibri"/>
              </w:rPr>
              <w:t>—</w:t>
            </w:r>
            <w:r w:rsidR="005D44B3">
              <w:t>S</w:t>
            </w:r>
            <w:r>
              <w:t>ummary of key points</w:t>
            </w:r>
          </w:p>
        </w:tc>
        <w:tc>
          <w:tcPr>
            <w:tcW w:w="403" w:type="pct"/>
            <w:shd w:val="clear" w:color="auto" w:fill="C2E3FA"/>
          </w:tcPr>
          <w:p w14:paraId="2BA4468F" w14:textId="4317C969" w:rsidR="007E0D60" w:rsidRPr="000540E1" w:rsidRDefault="007E0D60" w:rsidP="00540F41">
            <w:pPr>
              <w:pStyle w:val="tablehead"/>
              <w:jc w:val="center"/>
            </w:pPr>
            <w:r>
              <w:t>CDE</w:t>
            </w:r>
          </w:p>
        </w:tc>
        <w:tc>
          <w:tcPr>
            <w:tcW w:w="402" w:type="pct"/>
            <w:shd w:val="clear" w:color="auto" w:fill="C2E3FA"/>
          </w:tcPr>
          <w:p w14:paraId="5833AF32" w14:textId="77777777" w:rsidR="007E0D60" w:rsidRPr="000540E1" w:rsidRDefault="007E0D60" w:rsidP="00540F41">
            <w:pPr>
              <w:pStyle w:val="tablehead"/>
              <w:jc w:val="center"/>
            </w:pPr>
            <w:r>
              <w:t>CFTC</w:t>
            </w:r>
          </w:p>
        </w:tc>
        <w:tc>
          <w:tcPr>
            <w:tcW w:w="408" w:type="pct"/>
            <w:shd w:val="clear" w:color="auto" w:fill="C2E3FA"/>
          </w:tcPr>
          <w:p w14:paraId="51D4E36F" w14:textId="5B85C26E" w:rsidR="007E0D60" w:rsidRPr="000540E1" w:rsidRDefault="005C1566" w:rsidP="00540F41">
            <w:pPr>
              <w:pStyle w:val="tablehead"/>
              <w:jc w:val="center"/>
            </w:pPr>
            <w:r>
              <w:t>ESMA</w:t>
            </w:r>
          </w:p>
        </w:tc>
        <w:tc>
          <w:tcPr>
            <w:tcW w:w="392" w:type="pct"/>
            <w:shd w:val="clear" w:color="auto" w:fill="C2E3FA"/>
          </w:tcPr>
          <w:p w14:paraId="6F260418" w14:textId="77777777" w:rsidR="007E0D60" w:rsidRPr="000540E1" w:rsidRDefault="007E0D60" w:rsidP="00540F41">
            <w:pPr>
              <w:pStyle w:val="tablehead"/>
              <w:jc w:val="center"/>
            </w:pPr>
            <w:r>
              <w:t>ASIC</w:t>
            </w:r>
          </w:p>
        </w:tc>
      </w:tr>
      <w:tr w:rsidR="006F4B82" w:rsidRPr="000540E1" w14:paraId="7EFD5059" w14:textId="77777777" w:rsidTr="00136CC5">
        <w:trPr>
          <w:cantSplit/>
        </w:trPr>
        <w:tc>
          <w:tcPr>
            <w:tcW w:w="1020" w:type="pct"/>
          </w:tcPr>
          <w:p w14:paraId="37A5F624" w14:textId="60D88AB4" w:rsidR="007E0D60" w:rsidRPr="000540E1" w:rsidRDefault="007E0D60" w:rsidP="00540F41">
            <w:pPr>
              <w:pStyle w:val="tbltext"/>
            </w:pPr>
            <w:r>
              <w:t>Day count convention</w:t>
            </w:r>
            <w:r w:rsidR="000D07AE" w:rsidRPr="004270E6">
              <w:rPr>
                <w:rFonts w:ascii="Times New Roman" w:eastAsiaTheme="minorHAnsi" w:hAnsi="Times New Roman" w:cs="Times New Roman"/>
              </w:rPr>
              <w:t>—</w:t>
            </w:r>
            <w:r w:rsidR="00622609">
              <w:t>Leg</w:t>
            </w:r>
            <w:r>
              <w:t xml:space="preserve"> 1</w:t>
            </w:r>
          </w:p>
        </w:tc>
        <w:tc>
          <w:tcPr>
            <w:tcW w:w="2375" w:type="pct"/>
          </w:tcPr>
          <w:p w14:paraId="74E0993E" w14:textId="4C8ADC45" w:rsidR="007E0D60" w:rsidRPr="000540E1" w:rsidRDefault="007E0D60" w:rsidP="007E0D60">
            <w:pPr>
              <w:pStyle w:val="tbltext"/>
            </w:pPr>
            <w:r>
              <w:t>{CDE TG} For each leg of the transaction, where applicable: day count convention (often also referred to as day count fraction or day count basis or day count method)</w:t>
            </w:r>
            <w:r w:rsidR="005615BC">
              <w:t>.</w:t>
            </w:r>
          </w:p>
        </w:tc>
        <w:tc>
          <w:tcPr>
            <w:tcW w:w="403" w:type="pct"/>
          </w:tcPr>
          <w:p w14:paraId="6763DB61" w14:textId="40278B18" w:rsidR="007E0D60" w:rsidRPr="000540E1" w:rsidRDefault="007E0D60" w:rsidP="00540F41">
            <w:pPr>
              <w:pStyle w:val="tbltext"/>
              <w:jc w:val="center"/>
            </w:pPr>
            <w:r>
              <w:t>2.22</w:t>
            </w:r>
          </w:p>
        </w:tc>
        <w:tc>
          <w:tcPr>
            <w:tcW w:w="402" w:type="pct"/>
          </w:tcPr>
          <w:p w14:paraId="7CE3FBD1" w14:textId="171EBD8E" w:rsidR="007E0D60" w:rsidRPr="000540E1" w:rsidRDefault="007E0D60" w:rsidP="00540F41">
            <w:pPr>
              <w:pStyle w:val="tbltext"/>
              <w:jc w:val="center"/>
            </w:pPr>
            <w:r>
              <w:t>53</w:t>
            </w:r>
          </w:p>
        </w:tc>
        <w:tc>
          <w:tcPr>
            <w:tcW w:w="408" w:type="pct"/>
          </w:tcPr>
          <w:p w14:paraId="27E1ACA6" w14:textId="4CBFECF1" w:rsidR="007E0D60" w:rsidRDefault="007E0D60" w:rsidP="00540F41">
            <w:pPr>
              <w:pStyle w:val="tbltext"/>
              <w:jc w:val="center"/>
            </w:pPr>
            <w:r>
              <w:t>2.76</w:t>
            </w:r>
            <w:r w:rsidR="006F4B82">
              <w:t xml:space="preserve"> (Fix)</w:t>
            </w:r>
          </w:p>
          <w:p w14:paraId="51406A20" w14:textId="7A4BD288" w:rsidR="006F4B82" w:rsidRPr="000540E1" w:rsidRDefault="006F4B82" w:rsidP="00540F41">
            <w:pPr>
              <w:pStyle w:val="tbltext"/>
              <w:jc w:val="center"/>
            </w:pPr>
            <w:r>
              <w:t>2.82 (Flo)</w:t>
            </w:r>
          </w:p>
        </w:tc>
        <w:tc>
          <w:tcPr>
            <w:tcW w:w="392" w:type="pct"/>
          </w:tcPr>
          <w:p w14:paraId="26661F64" w14:textId="77777777" w:rsidR="006F4B82" w:rsidRDefault="006F4B82" w:rsidP="00540F41">
            <w:pPr>
              <w:pStyle w:val="tbltext"/>
              <w:jc w:val="center"/>
            </w:pPr>
            <w:r>
              <w:t>1.24</w:t>
            </w:r>
          </w:p>
          <w:p w14:paraId="2F34285D" w14:textId="619B85BA" w:rsidR="007E0D60" w:rsidRPr="000540E1" w:rsidRDefault="006F4B82" w:rsidP="00540F41">
            <w:pPr>
              <w:pStyle w:val="tbltext"/>
              <w:jc w:val="center"/>
            </w:pPr>
            <w:r>
              <w:t>5.14 (Fix)</w:t>
            </w:r>
          </w:p>
        </w:tc>
      </w:tr>
      <w:tr w:rsidR="00E96086" w:rsidRPr="000540E1" w14:paraId="6290887A" w14:textId="77777777" w:rsidTr="00136CC5">
        <w:trPr>
          <w:cantSplit/>
        </w:trPr>
        <w:tc>
          <w:tcPr>
            <w:tcW w:w="1020" w:type="pct"/>
          </w:tcPr>
          <w:p w14:paraId="78F6C7B9" w14:textId="43DBFB08" w:rsidR="00E96086" w:rsidRPr="000540E1" w:rsidRDefault="00E96086" w:rsidP="00E96086">
            <w:pPr>
              <w:pStyle w:val="tbltext"/>
            </w:pPr>
            <w:r>
              <w:t>Day count convention</w:t>
            </w:r>
            <w:r w:rsidR="000D07AE" w:rsidRPr="004270E6">
              <w:rPr>
                <w:rFonts w:ascii="Times New Roman" w:eastAsiaTheme="minorHAnsi" w:hAnsi="Times New Roman" w:cs="Times New Roman"/>
              </w:rPr>
              <w:t>—</w:t>
            </w:r>
            <w:r w:rsidR="00622609">
              <w:t>Leg</w:t>
            </w:r>
            <w:r>
              <w:t xml:space="preserve"> 2</w:t>
            </w:r>
          </w:p>
        </w:tc>
        <w:tc>
          <w:tcPr>
            <w:tcW w:w="2375" w:type="pct"/>
          </w:tcPr>
          <w:p w14:paraId="2E5903F6" w14:textId="67602BD0" w:rsidR="00E96086" w:rsidRPr="000540E1" w:rsidRDefault="00E96086" w:rsidP="00E96086">
            <w:pPr>
              <w:pStyle w:val="tbltext"/>
            </w:pPr>
            <w:r>
              <w:t>{CDE TG} For each leg of the transaction, where applicable: day count convention (often also referred to as day count fraction or day count basis or day count method).</w:t>
            </w:r>
          </w:p>
        </w:tc>
        <w:tc>
          <w:tcPr>
            <w:tcW w:w="403" w:type="pct"/>
          </w:tcPr>
          <w:p w14:paraId="27F9C2AB" w14:textId="77777777" w:rsidR="00E96086" w:rsidRPr="000540E1" w:rsidRDefault="00E96086" w:rsidP="00E96086">
            <w:pPr>
              <w:pStyle w:val="tbltext"/>
              <w:jc w:val="center"/>
            </w:pPr>
            <w:r>
              <w:t>2.22</w:t>
            </w:r>
          </w:p>
        </w:tc>
        <w:tc>
          <w:tcPr>
            <w:tcW w:w="402" w:type="pct"/>
          </w:tcPr>
          <w:p w14:paraId="33ADECD8" w14:textId="77777777" w:rsidR="00E96086" w:rsidRPr="000540E1" w:rsidRDefault="00E96086" w:rsidP="00E96086">
            <w:pPr>
              <w:pStyle w:val="tbltext"/>
              <w:jc w:val="center"/>
            </w:pPr>
            <w:r>
              <w:t>53</w:t>
            </w:r>
          </w:p>
        </w:tc>
        <w:tc>
          <w:tcPr>
            <w:tcW w:w="408" w:type="pct"/>
          </w:tcPr>
          <w:p w14:paraId="3263E253" w14:textId="5590D527" w:rsidR="00E96086" w:rsidRDefault="00E96086" w:rsidP="00E96086">
            <w:pPr>
              <w:pStyle w:val="tbltext"/>
              <w:jc w:val="center"/>
            </w:pPr>
            <w:r>
              <w:t>2.92 (Fix)</w:t>
            </w:r>
          </w:p>
          <w:p w14:paraId="3CEE6B69" w14:textId="1E68B456" w:rsidR="00E96086" w:rsidRPr="000540E1" w:rsidRDefault="00E96086" w:rsidP="00E96086">
            <w:pPr>
              <w:pStyle w:val="tbltext"/>
              <w:jc w:val="center"/>
            </w:pPr>
            <w:r>
              <w:t>2.98 (Flo)</w:t>
            </w:r>
          </w:p>
        </w:tc>
        <w:tc>
          <w:tcPr>
            <w:tcW w:w="392" w:type="pct"/>
          </w:tcPr>
          <w:p w14:paraId="219B6C25" w14:textId="7BA9B370" w:rsidR="00E96086" w:rsidRPr="000540E1" w:rsidRDefault="00E96086" w:rsidP="00E96086">
            <w:pPr>
              <w:pStyle w:val="tbltext"/>
              <w:jc w:val="center"/>
            </w:pPr>
            <w:r>
              <w:t>n/a</w:t>
            </w:r>
          </w:p>
        </w:tc>
      </w:tr>
      <w:tr w:rsidR="00E96086" w:rsidRPr="000540E1" w14:paraId="2D4406BF" w14:textId="77777777" w:rsidTr="00136CC5">
        <w:trPr>
          <w:cantSplit/>
        </w:trPr>
        <w:tc>
          <w:tcPr>
            <w:tcW w:w="1020" w:type="pct"/>
          </w:tcPr>
          <w:p w14:paraId="57005AFF" w14:textId="7971E74C" w:rsidR="00E96086" w:rsidRDefault="00E96086" w:rsidP="00E96086">
            <w:pPr>
              <w:pStyle w:val="tbltext"/>
            </w:pPr>
            <w:r>
              <w:t>Payment frequency period</w:t>
            </w:r>
            <w:r w:rsidR="000D07AE" w:rsidRPr="004270E6">
              <w:rPr>
                <w:rFonts w:ascii="Times New Roman" w:eastAsiaTheme="minorHAnsi" w:hAnsi="Times New Roman" w:cs="Times New Roman"/>
              </w:rPr>
              <w:t>—</w:t>
            </w:r>
            <w:r w:rsidR="00622609">
              <w:t>Leg</w:t>
            </w:r>
            <w:r>
              <w:t xml:space="preserve"> 1</w:t>
            </w:r>
          </w:p>
        </w:tc>
        <w:tc>
          <w:tcPr>
            <w:tcW w:w="2375" w:type="pct"/>
          </w:tcPr>
          <w:p w14:paraId="43AFBB6F" w14:textId="2BA0C70E" w:rsidR="00E96086" w:rsidRDefault="00E96086" w:rsidP="00E96086">
            <w:pPr>
              <w:pStyle w:val="tbltext"/>
            </w:pPr>
            <w:r>
              <w:t xml:space="preserve">{CDE TG} </w:t>
            </w:r>
            <w:r w:rsidRPr="006F4B82">
              <w:t>For each leg of the transaction, where applicable: time unit associated with the frequency of payments, e</w:t>
            </w:r>
            <w:r>
              <w:t>.</w:t>
            </w:r>
            <w:r w:rsidRPr="006F4B82">
              <w:t>g</w:t>
            </w:r>
            <w:r>
              <w:t>.</w:t>
            </w:r>
            <w:r w:rsidRPr="006F4B82">
              <w:t xml:space="preserve"> day, week, month, year or term of the stream.</w:t>
            </w:r>
          </w:p>
        </w:tc>
        <w:tc>
          <w:tcPr>
            <w:tcW w:w="403" w:type="pct"/>
          </w:tcPr>
          <w:p w14:paraId="47B66026" w14:textId="094180BC" w:rsidR="00E96086" w:rsidRPr="000540E1" w:rsidRDefault="00E96086" w:rsidP="00E96086">
            <w:pPr>
              <w:pStyle w:val="tbltext"/>
              <w:jc w:val="center"/>
            </w:pPr>
            <w:r>
              <w:t>2.23</w:t>
            </w:r>
          </w:p>
        </w:tc>
        <w:tc>
          <w:tcPr>
            <w:tcW w:w="402" w:type="pct"/>
          </w:tcPr>
          <w:p w14:paraId="3A936EF1" w14:textId="05480B9E" w:rsidR="00E96086" w:rsidRPr="000540E1" w:rsidRDefault="00E96086" w:rsidP="00E96086">
            <w:pPr>
              <w:pStyle w:val="tbltext"/>
              <w:jc w:val="center"/>
            </w:pPr>
            <w:r>
              <w:t>63</w:t>
            </w:r>
          </w:p>
        </w:tc>
        <w:tc>
          <w:tcPr>
            <w:tcW w:w="408" w:type="pct"/>
          </w:tcPr>
          <w:p w14:paraId="4C996931" w14:textId="77777777" w:rsidR="00E96086" w:rsidRDefault="00E96086" w:rsidP="00E96086">
            <w:pPr>
              <w:pStyle w:val="tbltext"/>
              <w:jc w:val="center"/>
            </w:pPr>
            <w:r>
              <w:t>2.77 (Fix)</w:t>
            </w:r>
          </w:p>
          <w:p w14:paraId="4513E4EC" w14:textId="34654A81" w:rsidR="00E96086" w:rsidRDefault="00E96086" w:rsidP="00E96086">
            <w:pPr>
              <w:pStyle w:val="tbltext"/>
              <w:jc w:val="center"/>
            </w:pPr>
            <w:r>
              <w:t>2.83 (Flo)</w:t>
            </w:r>
          </w:p>
        </w:tc>
        <w:tc>
          <w:tcPr>
            <w:tcW w:w="392" w:type="pct"/>
          </w:tcPr>
          <w:p w14:paraId="11D5B169" w14:textId="77BAECFB" w:rsidR="00E96086" w:rsidRDefault="00E96086" w:rsidP="00E96086">
            <w:pPr>
              <w:pStyle w:val="tbltext"/>
              <w:jc w:val="center"/>
            </w:pPr>
            <w:r>
              <w:t>2.5 (CO)</w:t>
            </w:r>
          </w:p>
          <w:p w14:paraId="592243BB" w14:textId="24BE35EE" w:rsidR="00E96086" w:rsidRDefault="00E96086" w:rsidP="00E96086">
            <w:pPr>
              <w:pStyle w:val="tbltext"/>
              <w:jc w:val="center"/>
            </w:pPr>
            <w:r>
              <w:t>3.12 (EQ, CR)</w:t>
            </w:r>
          </w:p>
          <w:p w14:paraId="716F0EA2" w14:textId="1A49873B" w:rsidR="00E96086" w:rsidRDefault="00E96086" w:rsidP="00E96086">
            <w:pPr>
              <w:pStyle w:val="tbltext"/>
              <w:jc w:val="center"/>
            </w:pPr>
            <w:r>
              <w:t>5.15 (Fix)</w:t>
            </w:r>
          </w:p>
          <w:p w14:paraId="2742159E" w14:textId="00FF90B7" w:rsidR="00E96086" w:rsidRPr="000540E1" w:rsidRDefault="00E96086" w:rsidP="00E96086">
            <w:pPr>
              <w:pStyle w:val="tbltext"/>
              <w:jc w:val="center"/>
            </w:pPr>
            <w:r>
              <w:t>5.16 (Flo)</w:t>
            </w:r>
          </w:p>
        </w:tc>
      </w:tr>
      <w:tr w:rsidR="00E96086" w:rsidRPr="000540E1" w14:paraId="7D45AD30" w14:textId="77777777" w:rsidTr="00136CC5">
        <w:trPr>
          <w:cantSplit/>
        </w:trPr>
        <w:tc>
          <w:tcPr>
            <w:tcW w:w="1020" w:type="pct"/>
          </w:tcPr>
          <w:p w14:paraId="3396BAC6" w14:textId="5CB9130D" w:rsidR="00E96086" w:rsidRDefault="00E96086" w:rsidP="00E96086">
            <w:pPr>
              <w:pStyle w:val="tbltext"/>
            </w:pPr>
            <w:r>
              <w:t>Payment frequency period</w:t>
            </w:r>
            <w:r w:rsidR="000D07AE" w:rsidRPr="004270E6">
              <w:rPr>
                <w:rFonts w:ascii="Times New Roman" w:eastAsiaTheme="minorHAnsi" w:hAnsi="Times New Roman" w:cs="Times New Roman"/>
              </w:rPr>
              <w:t>—</w:t>
            </w:r>
            <w:r w:rsidR="00622609">
              <w:t>Leg</w:t>
            </w:r>
            <w:r>
              <w:t xml:space="preserve"> 2</w:t>
            </w:r>
          </w:p>
        </w:tc>
        <w:tc>
          <w:tcPr>
            <w:tcW w:w="2375" w:type="pct"/>
          </w:tcPr>
          <w:p w14:paraId="38881B11" w14:textId="77777777" w:rsidR="00E96086" w:rsidRDefault="00E96086" w:rsidP="00E96086">
            <w:pPr>
              <w:pStyle w:val="tbltext"/>
            </w:pPr>
            <w:r>
              <w:t xml:space="preserve">{CDE TG} </w:t>
            </w:r>
            <w:r w:rsidRPr="006F4B82">
              <w:t>For each leg of the transaction, where applicable: time unit associated with the frequency of payments, e</w:t>
            </w:r>
            <w:r>
              <w:t>.</w:t>
            </w:r>
            <w:r w:rsidRPr="006F4B82">
              <w:t>g</w:t>
            </w:r>
            <w:r>
              <w:t>.</w:t>
            </w:r>
            <w:r w:rsidRPr="006F4B82">
              <w:t xml:space="preserve"> day, week, month, year or term of the stream.</w:t>
            </w:r>
          </w:p>
        </w:tc>
        <w:tc>
          <w:tcPr>
            <w:tcW w:w="403" w:type="pct"/>
          </w:tcPr>
          <w:p w14:paraId="58832C8C" w14:textId="77777777" w:rsidR="00E96086" w:rsidRPr="000540E1" w:rsidRDefault="00E96086" w:rsidP="00E96086">
            <w:pPr>
              <w:pStyle w:val="tbltext"/>
              <w:jc w:val="center"/>
            </w:pPr>
            <w:r>
              <w:t>2.23</w:t>
            </w:r>
          </w:p>
        </w:tc>
        <w:tc>
          <w:tcPr>
            <w:tcW w:w="402" w:type="pct"/>
          </w:tcPr>
          <w:p w14:paraId="3B50DABD" w14:textId="77777777" w:rsidR="00E96086" w:rsidRPr="000540E1" w:rsidRDefault="00E96086" w:rsidP="00E96086">
            <w:pPr>
              <w:pStyle w:val="tbltext"/>
              <w:jc w:val="center"/>
            </w:pPr>
            <w:r>
              <w:t>63</w:t>
            </w:r>
          </w:p>
        </w:tc>
        <w:tc>
          <w:tcPr>
            <w:tcW w:w="408" w:type="pct"/>
          </w:tcPr>
          <w:p w14:paraId="72A29224" w14:textId="77777777" w:rsidR="00E96086" w:rsidRDefault="00E96086" w:rsidP="00E96086">
            <w:pPr>
              <w:pStyle w:val="tbltext"/>
              <w:jc w:val="center"/>
            </w:pPr>
            <w:r>
              <w:t>2.93 (Fix)</w:t>
            </w:r>
          </w:p>
          <w:p w14:paraId="7FC4FDC3" w14:textId="61CD5B46" w:rsidR="00E96086" w:rsidRDefault="00E96086" w:rsidP="00E96086">
            <w:pPr>
              <w:pStyle w:val="tbltext"/>
              <w:jc w:val="center"/>
            </w:pPr>
            <w:r>
              <w:t>2.99 (Flo)</w:t>
            </w:r>
          </w:p>
        </w:tc>
        <w:tc>
          <w:tcPr>
            <w:tcW w:w="392" w:type="pct"/>
          </w:tcPr>
          <w:p w14:paraId="7AB14234" w14:textId="77777777" w:rsidR="00E96086" w:rsidRPr="000540E1" w:rsidRDefault="00E96086" w:rsidP="00E96086">
            <w:pPr>
              <w:pStyle w:val="tbltext"/>
              <w:jc w:val="center"/>
            </w:pPr>
            <w:r>
              <w:t>5.16 (Flo)</w:t>
            </w:r>
          </w:p>
        </w:tc>
      </w:tr>
      <w:tr w:rsidR="00E96086" w:rsidRPr="000540E1" w14:paraId="3DDB4B29" w14:textId="77777777" w:rsidTr="00136CC5">
        <w:trPr>
          <w:cantSplit/>
        </w:trPr>
        <w:tc>
          <w:tcPr>
            <w:tcW w:w="1020" w:type="pct"/>
          </w:tcPr>
          <w:p w14:paraId="25C397A5" w14:textId="3EDF4FF6" w:rsidR="00E96086" w:rsidRDefault="00E96086" w:rsidP="00E96086">
            <w:pPr>
              <w:pStyle w:val="tbltext"/>
            </w:pPr>
            <w:r w:rsidRPr="005C46CC">
              <w:t>Payment frequency period multiplier</w:t>
            </w:r>
            <w:r w:rsidR="000D07AE" w:rsidRPr="004270E6">
              <w:rPr>
                <w:rFonts w:ascii="Times New Roman" w:eastAsiaTheme="minorHAnsi" w:hAnsi="Times New Roman" w:cs="Times New Roman"/>
              </w:rPr>
              <w:t>—</w:t>
            </w:r>
            <w:r w:rsidR="00622609">
              <w:t>Leg</w:t>
            </w:r>
            <w:r>
              <w:t xml:space="preserve"> 1</w:t>
            </w:r>
          </w:p>
        </w:tc>
        <w:tc>
          <w:tcPr>
            <w:tcW w:w="2375" w:type="pct"/>
          </w:tcPr>
          <w:p w14:paraId="3BF8A228" w14:textId="00982077" w:rsidR="00E96086" w:rsidRDefault="00E96086" w:rsidP="00E96086">
            <w:pPr>
              <w:pStyle w:val="tbltext"/>
            </w:pPr>
            <w:r>
              <w:t>{CDE TG} For each leg of the transaction, where applicable: number of time units (as expressed by the payment frequency period) that determines the frequency at which periodic payment dates occur</w:t>
            </w:r>
            <w:r w:rsidR="00D51CBA">
              <w:t>.</w:t>
            </w:r>
          </w:p>
        </w:tc>
        <w:tc>
          <w:tcPr>
            <w:tcW w:w="403" w:type="pct"/>
          </w:tcPr>
          <w:p w14:paraId="4C71A58F" w14:textId="0952D1C9" w:rsidR="00E96086" w:rsidRPr="000540E1" w:rsidRDefault="00E96086" w:rsidP="00E96086">
            <w:pPr>
              <w:pStyle w:val="tbltext"/>
              <w:jc w:val="center"/>
            </w:pPr>
            <w:r>
              <w:t>2.24</w:t>
            </w:r>
          </w:p>
        </w:tc>
        <w:tc>
          <w:tcPr>
            <w:tcW w:w="402" w:type="pct"/>
          </w:tcPr>
          <w:p w14:paraId="3EE92E4C" w14:textId="54DD467F" w:rsidR="00E96086" w:rsidRPr="000540E1" w:rsidRDefault="00E96086" w:rsidP="00E96086">
            <w:pPr>
              <w:pStyle w:val="tbltext"/>
              <w:jc w:val="center"/>
            </w:pPr>
            <w:r>
              <w:t>64</w:t>
            </w:r>
          </w:p>
        </w:tc>
        <w:tc>
          <w:tcPr>
            <w:tcW w:w="408" w:type="pct"/>
          </w:tcPr>
          <w:p w14:paraId="7ADE1035" w14:textId="77777777" w:rsidR="00E96086" w:rsidRDefault="00E96086" w:rsidP="00E96086">
            <w:pPr>
              <w:pStyle w:val="tbltext"/>
              <w:jc w:val="center"/>
            </w:pPr>
            <w:r>
              <w:t>2.78 (Fix)</w:t>
            </w:r>
          </w:p>
          <w:p w14:paraId="12A2012A" w14:textId="3420A835" w:rsidR="00E96086" w:rsidRDefault="00E96086" w:rsidP="00E96086">
            <w:pPr>
              <w:pStyle w:val="tbltext"/>
              <w:jc w:val="center"/>
            </w:pPr>
            <w:r>
              <w:t>2.84 (Flo)</w:t>
            </w:r>
          </w:p>
        </w:tc>
        <w:tc>
          <w:tcPr>
            <w:tcW w:w="392" w:type="pct"/>
          </w:tcPr>
          <w:p w14:paraId="6C135CC8" w14:textId="0601D1C1" w:rsidR="00E96086" w:rsidRDefault="00E96086" w:rsidP="00E96086">
            <w:pPr>
              <w:pStyle w:val="tbltext"/>
              <w:jc w:val="center"/>
            </w:pPr>
            <w:r>
              <w:t>n/a</w:t>
            </w:r>
          </w:p>
        </w:tc>
      </w:tr>
      <w:tr w:rsidR="00E96086" w:rsidRPr="000540E1" w14:paraId="539098D6" w14:textId="77777777" w:rsidTr="00136CC5">
        <w:trPr>
          <w:cantSplit/>
        </w:trPr>
        <w:tc>
          <w:tcPr>
            <w:tcW w:w="1020" w:type="pct"/>
          </w:tcPr>
          <w:p w14:paraId="1A8F8E5B" w14:textId="05DA08C1" w:rsidR="00E96086" w:rsidRDefault="00E96086" w:rsidP="00E96086">
            <w:pPr>
              <w:pStyle w:val="tbltext"/>
            </w:pPr>
            <w:r w:rsidRPr="005C46CC">
              <w:t>Payment frequency period multiplier</w:t>
            </w:r>
            <w:r w:rsidR="000D07AE" w:rsidRPr="004270E6">
              <w:rPr>
                <w:rFonts w:ascii="Times New Roman" w:eastAsiaTheme="minorHAnsi" w:hAnsi="Times New Roman" w:cs="Times New Roman"/>
              </w:rPr>
              <w:t>—</w:t>
            </w:r>
            <w:r w:rsidR="00622609">
              <w:t>Leg</w:t>
            </w:r>
            <w:r>
              <w:t xml:space="preserve"> 2</w:t>
            </w:r>
          </w:p>
        </w:tc>
        <w:tc>
          <w:tcPr>
            <w:tcW w:w="2375" w:type="pct"/>
          </w:tcPr>
          <w:p w14:paraId="1055014C" w14:textId="47CA44C7" w:rsidR="00E96086" w:rsidRDefault="00E96086" w:rsidP="00E96086">
            <w:pPr>
              <w:pStyle w:val="tbltext"/>
            </w:pPr>
            <w:r>
              <w:t>{CDE TG} For each leg of the transaction, where applicable: number of time units (as expressed by the payment frequency period) that determines the frequency at which periodic payment dates occur</w:t>
            </w:r>
            <w:r w:rsidR="00D51CBA">
              <w:t>.</w:t>
            </w:r>
          </w:p>
        </w:tc>
        <w:tc>
          <w:tcPr>
            <w:tcW w:w="403" w:type="pct"/>
          </w:tcPr>
          <w:p w14:paraId="281F689F" w14:textId="77777777" w:rsidR="00E96086" w:rsidRPr="000540E1" w:rsidRDefault="00E96086" w:rsidP="00E96086">
            <w:pPr>
              <w:pStyle w:val="tbltext"/>
              <w:jc w:val="center"/>
            </w:pPr>
            <w:r>
              <w:t>2.24</w:t>
            </w:r>
          </w:p>
        </w:tc>
        <w:tc>
          <w:tcPr>
            <w:tcW w:w="402" w:type="pct"/>
          </w:tcPr>
          <w:p w14:paraId="57FD7573" w14:textId="77777777" w:rsidR="00E96086" w:rsidRPr="000540E1" w:rsidRDefault="00E96086" w:rsidP="00E96086">
            <w:pPr>
              <w:pStyle w:val="tbltext"/>
              <w:jc w:val="center"/>
            </w:pPr>
            <w:r>
              <w:t>64</w:t>
            </w:r>
          </w:p>
        </w:tc>
        <w:tc>
          <w:tcPr>
            <w:tcW w:w="408" w:type="pct"/>
          </w:tcPr>
          <w:p w14:paraId="36CBAE89" w14:textId="77777777" w:rsidR="00E96086" w:rsidRDefault="00E96086" w:rsidP="00E96086">
            <w:pPr>
              <w:pStyle w:val="tbltext"/>
              <w:jc w:val="center"/>
            </w:pPr>
            <w:r>
              <w:t>2.94 (Fix)</w:t>
            </w:r>
          </w:p>
          <w:p w14:paraId="6F01C101" w14:textId="3EF39F67" w:rsidR="00E96086" w:rsidRDefault="00E96086" w:rsidP="00E96086">
            <w:pPr>
              <w:pStyle w:val="tbltext"/>
              <w:jc w:val="center"/>
            </w:pPr>
            <w:r>
              <w:t>2.100 (Flo)</w:t>
            </w:r>
          </w:p>
        </w:tc>
        <w:tc>
          <w:tcPr>
            <w:tcW w:w="392" w:type="pct"/>
          </w:tcPr>
          <w:p w14:paraId="31563734" w14:textId="2FB6B9D2" w:rsidR="00E96086" w:rsidRDefault="00E96086" w:rsidP="00E96086">
            <w:pPr>
              <w:pStyle w:val="tbltext"/>
              <w:jc w:val="center"/>
            </w:pPr>
            <w:r>
              <w:t>n/a</w:t>
            </w:r>
          </w:p>
        </w:tc>
      </w:tr>
    </w:tbl>
    <w:p w14:paraId="528DE802" w14:textId="77777777" w:rsidR="00581717" w:rsidRDefault="00581717" w:rsidP="005E2C08">
      <w:pPr>
        <w:pStyle w:val="Proposalhead"/>
      </w:pPr>
      <w:r>
        <w:lastRenderedPageBreak/>
        <w:t>Proposal</w:t>
      </w:r>
    </w:p>
    <w:p w14:paraId="290A8605" w14:textId="07E68EF6" w:rsidR="00581717" w:rsidRDefault="00581717">
      <w:pPr>
        <w:pStyle w:val="Proposaltext"/>
      </w:pPr>
      <w:r>
        <w:t xml:space="preserve">We propose to include in the ASIC Rules the data elements related to regular payments set out in </w:t>
      </w:r>
      <w:r w:rsidR="00E83781">
        <w:fldChar w:fldCharType="begin"/>
      </w:r>
      <w:r w:rsidR="00E83781">
        <w:instrText xml:space="preserve"> REF _Ref55982202 \h </w:instrText>
      </w:r>
      <w:r w:rsidR="00E83781">
        <w:fldChar w:fldCharType="separate"/>
      </w:r>
      <w:r w:rsidR="00314C7E">
        <w:t xml:space="preserve">Table </w:t>
      </w:r>
      <w:r w:rsidR="00314C7E">
        <w:rPr>
          <w:noProof/>
        </w:rPr>
        <w:t>12</w:t>
      </w:r>
      <w:r w:rsidR="00E83781">
        <w:fldChar w:fldCharType="end"/>
      </w:r>
      <w:r>
        <w:t>.</w:t>
      </w:r>
    </w:p>
    <w:p w14:paraId="13C439DF" w14:textId="77777777" w:rsidR="00581717" w:rsidRDefault="00581717">
      <w:pPr>
        <w:pStyle w:val="Feedbackhead"/>
      </w:pPr>
      <w:r>
        <w:t>Your feedback</w:t>
      </w:r>
    </w:p>
    <w:p w14:paraId="329075C8" w14:textId="77777777" w:rsidR="00DC6804" w:rsidRDefault="00DC6804" w:rsidP="00DC6804">
      <w:pPr>
        <w:pStyle w:val="Feedbackquestion"/>
      </w:pPr>
      <w:r>
        <w:t>Do you agree with this proposal? In your response, please give detailed reasons for your answer.</w:t>
      </w:r>
    </w:p>
    <w:p w14:paraId="69ECE17F" w14:textId="1B818DD3" w:rsidR="00581717" w:rsidRPr="00A829C7" w:rsidRDefault="00DC6804" w:rsidP="00DC6804">
      <w:pPr>
        <w:pStyle w:val="Feedbackquestion"/>
        <w:rPr>
          <w:spacing w:val="-2"/>
        </w:rPr>
      </w:pPr>
      <w:r w:rsidRPr="00A829C7">
        <w:rPr>
          <w:spacing w:val="-2"/>
        </w:rPr>
        <w:t xml:space="preserve">Do you consider that you will have </w:t>
      </w:r>
      <w:r w:rsidR="00790DEA" w:rsidRPr="00A829C7">
        <w:rPr>
          <w:spacing w:val="-2"/>
        </w:rPr>
        <w:t>particular</w:t>
      </w:r>
      <w:r w:rsidRPr="00A829C7">
        <w:rPr>
          <w:spacing w:val="-2"/>
        </w:rPr>
        <w:t xml:space="preserve"> interpretation or implementation issues with the data elements</w:t>
      </w:r>
      <w:r w:rsidR="00B665E6" w:rsidRPr="00A829C7">
        <w:rPr>
          <w:spacing w:val="-2"/>
        </w:rPr>
        <w:t xml:space="preserve"> in </w:t>
      </w:r>
      <w:r w:rsidR="00593502" w:rsidRPr="00A829C7">
        <w:rPr>
          <w:spacing w:val="-2"/>
        </w:rPr>
        <w:fldChar w:fldCharType="begin"/>
      </w:r>
      <w:r w:rsidR="00593502" w:rsidRPr="00A829C7">
        <w:rPr>
          <w:spacing w:val="-2"/>
        </w:rPr>
        <w:instrText xml:space="preserve"> REF _Ref55982202 \h </w:instrText>
      </w:r>
      <w:r w:rsidR="00593502">
        <w:rPr>
          <w:spacing w:val="-2"/>
        </w:rPr>
        <w:instrText xml:space="preserve"> \* MERGEFORMAT </w:instrText>
      </w:r>
      <w:r w:rsidR="00593502" w:rsidRPr="00A829C7">
        <w:rPr>
          <w:spacing w:val="-2"/>
        </w:rPr>
      </w:r>
      <w:r w:rsidR="00593502" w:rsidRPr="00A829C7">
        <w:rPr>
          <w:spacing w:val="-2"/>
        </w:rPr>
        <w:fldChar w:fldCharType="separate"/>
      </w:r>
      <w:r w:rsidR="00314C7E" w:rsidRPr="00314C7E">
        <w:rPr>
          <w:spacing w:val="-2"/>
        </w:rPr>
        <w:t xml:space="preserve">Table </w:t>
      </w:r>
      <w:r w:rsidR="00314C7E" w:rsidRPr="00314C7E">
        <w:rPr>
          <w:noProof/>
          <w:spacing w:val="-2"/>
        </w:rPr>
        <w:t>12</w:t>
      </w:r>
      <w:r w:rsidR="00593502" w:rsidRPr="00A829C7">
        <w:rPr>
          <w:spacing w:val="-2"/>
        </w:rPr>
        <w:fldChar w:fldCharType="end"/>
      </w:r>
      <w:r w:rsidRPr="00A829C7">
        <w:rPr>
          <w:spacing w:val="-2"/>
        </w:rPr>
        <w:t>? In your response, please give detailed reasons for your answer.</w:t>
      </w:r>
    </w:p>
    <w:p w14:paraId="22102BFB" w14:textId="19120739" w:rsidR="00D202EC" w:rsidRDefault="00D202EC" w:rsidP="00D202EC">
      <w:pPr>
        <w:pStyle w:val="Heading3"/>
        <w:rPr>
          <w:rFonts w:eastAsiaTheme="minorHAnsi"/>
        </w:rPr>
      </w:pPr>
      <w:r>
        <w:rPr>
          <w:rFonts w:eastAsiaTheme="minorHAnsi"/>
        </w:rPr>
        <w:t>Other data elements related to payments</w:t>
      </w:r>
    </w:p>
    <w:p w14:paraId="0C38D297" w14:textId="7F38F65A" w:rsidR="002F0649" w:rsidRPr="00973135" w:rsidRDefault="002F0649" w:rsidP="002F0649">
      <w:pPr>
        <w:pStyle w:val="BodyText"/>
        <w:rPr>
          <w:rFonts w:eastAsiaTheme="minorHAnsi"/>
        </w:rPr>
      </w:pPr>
      <w:r w:rsidRPr="00973135">
        <w:rPr>
          <w:rFonts w:eastAsiaTheme="minorHAnsi"/>
        </w:rPr>
        <w:t>We are also considering proposing, in the second round of consultation, the data element</w:t>
      </w:r>
      <w:r w:rsidR="00C032D6">
        <w:rPr>
          <w:rFonts w:eastAsiaTheme="minorHAnsi"/>
        </w:rPr>
        <w:t>s related to the floating rate reset frequency</w:t>
      </w:r>
      <w:r w:rsidR="007A3934">
        <w:rPr>
          <w:rFonts w:eastAsiaTheme="minorHAnsi"/>
        </w:rPr>
        <w:t xml:space="preserve">: see </w:t>
      </w:r>
      <w:r w:rsidR="007A3934">
        <w:rPr>
          <w:rFonts w:eastAsiaTheme="minorHAnsi"/>
        </w:rPr>
        <w:fldChar w:fldCharType="begin"/>
      </w:r>
      <w:r w:rsidR="007A3934">
        <w:rPr>
          <w:rFonts w:eastAsiaTheme="minorHAnsi"/>
        </w:rPr>
        <w:instrText xml:space="preserve"> REF _Ref55989330 \h </w:instrText>
      </w:r>
      <w:r w:rsidR="007A3934">
        <w:rPr>
          <w:rFonts w:eastAsiaTheme="minorHAnsi"/>
        </w:rPr>
      </w:r>
      <w:r w:rsidR="007A3934">
        <w:rPr>
          <w:rFonts w:eastAsiaTheme="minorHAnsi"/>
        </w:rPr>
        <w:fldChar w:fldCharType="separate"/>
      </w:r>
      <w:r w:rsidR="00314C7E">
        <w:t xml:space="preserve">Table </w:t>
      </w:r>
      <w:r w:rsidR="00314C7E">
        <w:rPr>
          <w:noProof/>
        </w:rPr>
        <w:t>13</w:t>
      </w:r>
      <w:r w:rsidR="007A3934">
        <w:rPr>
          <w:rFonts w:eastAsiaTheme="minorHAnsi"/>
        </w:rPr>
        <w:fldChar w:fldCharType="end"/>
      </w:r>
      <w:r w:rsidRPr="00973135">
        <w:rPr>
          <w:rFonts w:eastAsiaTheme="minorHAnsi"/>
        </w:rPr>
        <w:t>.</w:t>
      </w:r>
    </w:p>
    <w:p w14:paraId="3D63707A" w14:textId="0C9165BB" w:rsidR="00D202EC" w:rsidRPr="00E17F18" w:rsidRDefault="002F0649" w:rsidP="00D202EC">
      <w:pPr>
        <w:pStyle w:val="BodyText"/>
        <w:rPr>
          <w:rFonts w:eastAsiaTheme="minorHAnsi"/>
        </w:rPr>
      </w:pPr>
      <w:r>
        <w:rPr>
          <w:rFonts w:eastAsiaTheme="minorHAnsi"/>
        </w:rPr>
        <w:t xml:space="preserve">For standard </w:t>
      </w:r>
      <w:r w:rsidR="00E17F18">
        <w:rPr>
          <w:rFonts w:eastAsiaTheme="minorHAnsi"/>
        </w:rPr>
        <w:t xml:space="preserve">types of </w:t>
      </w:r>
      <w:r>
        <w:rPr>
          <w:rFonts w:eastAsiaTheme="minorHAnsi"/>
        </w:rPr>
        <w:t>transactions where the ‘</w:t>
      </w:r>
      <w:r w:rsidR="00B665E6">
        <w:t>f</w:t>
      </w:r>
      <w:r w:rsidR="00B665E6" w:rsidRPr="00D202EC">
        <w:t xml:space="preserve">loating </w:t>
      </w:r>
      <w:r w:rsidRPr="00D202EC">
        <w:t>rate reset frequency</w:t>
      </w:r>
      <w:r>
        <w:t xml:space="preserve"> (period/period multiplier)’ is the same as the floating rate reference rate (period/period multiplier)</w:t>
      </w:r>
      <w:r w:rsidR="00B665E6" w:rsidRPr="004270E6">
        <w:rPr>
          <w:rFonts w:eastAsiaTheme="minorHAnsi"/>
        </w:rPr>
        <w:t>—</w:t>
      </w:r>
      <w:r>
        <w:t>for example, 3-monthly resets against 3-month BBSW</w:t>
      </w:r>
      <w:r w:rsidR="00B665E6" w:rsidRPr="004270E6">
        <w:rPr>
          <w:rFonts w:eastAsiaTheme="minorHAnsi"/>
        </w:rPr>
        <w:t>—</w:t>
      </w:r>
      <w:r>
        <w:t xml:space="preserve">we currently anticipate that the relevant UPI that embeds the floating rate reference rate (period/period multiplier) </w:t>
      </w:r>
      <w:r w:rsidR="00E17F18">
        <w:t>can be relied on as also indicating the same ‘</w:t>
      </w:r>
      <w:r w:rsidR="00B665E6">
        <w:t xml:space="preserve">floating </w:t>
      </w:r>
      <w:r w:rsidR="00E17F18">
        <w:t>rate reset frequency (period/period multiplier)</w:t>
      </w:r>
      <w:r w:rsidR="00CB1A88">
        <w:t>’</w:t>
      </w:r>
      <w:r w:rsidR="00E17F18">
        <w:t>.</w:t>
      </w:r>
    </w:p>
    <w:p w14:paraId="681DD717" w14:textId="704555E7" w:rsidR="00E17F18" w:rsidRPr="0015679D" w:rsidRDefault="00E17F18" w:rsidP="00D202EC">
      <w:pPr>
        <w:pStyle w:val="BodyText"/>
        <w:rPr>
          <w:rFonts w:eastAsiaTheme="minorHAnsi"/>
        </w:rPr>
      </w:pPr>
      <w:r>
        <w:t>However, we are currently uncertain as to whether it is intended that UPI development will extend to types of transactions where the ‘</w:t>
      </w:r>
      <w:r w:rsidR="00593502">
        <w:t>f</w:t>
      </w:r>
      <w:r w:rsidR="00593502" w:rsidRPr="00D202EC">
        <w:t xml:space="preserve">loating </w:t>
      </w:r>
      <w:r w:rsidRPr="00D202EC">
        <w:t>rate reset frequency</w:t>
      </w:r>
      <w:r>
        <w:t xml:space="preserve"> (period/period multiplier)’ is different to the floating rate reference rate (period/period multiplier)</w:t>
      </w:r>
      <w:r w:rsidR="00593502" w:rsidRPr="004270E6">
        <w:rPr>
          <w:rFonts w:eastAsiaTheme="minorHAnsi"/>
        </w:rPr>
        <w:t>—</w:t>
      </w:r>
      <w:r>
        <w:t xml:space="preserve">for example, 3-monthly resets against the 5-year </w:t>
      </w:r>
      <w:r w:rsidR="005D44B3">
        <w:t xml:space="preserve">Australian dollar constant maturity swap </w:t>
      </w:r>
      <w:r>
        <w:t>rate.</w:t>
      </w:r>
    </w:p>
    <w:p w14:paraId="7A5EA4BE" w14:textId="30C17417" w:rsidR="0015679D" w:rsidRPr="00D662DB" w:rsidRDefault="0015679D" w:rsidP="00D202EC">
      <w:pPr>
        <w:pStyle w:val="BodyText"/>
        <w:rPr>
          <w:rFonts w:eastAsiaTheme="minorHAnsi"/>
        </w:rPr>
      </w:pPr>
      <w:r>
        <w:t xml:space="preserve">In the absence of the UPI system covering these types of transactions, the inclusion of these data elements would enable the regulators to fully identify the terms of such transactions. We anticipate that the UPI system will develop further in coming months, which will </w:t>
      </w:r>
      <w:r w:rsidR="00593502">
        <w:t>help to inform</w:t>
      </w:r>
      <w:r>
        <w:t xml:space="preserve"> our consideration of these data elements.</w:t>
      </w:r>
    </w:p>
    <w:p w14:paraId="2D06FFC4" w14:textId="3D483CB0" w:rsidR="00D662DB" w:rsidRPr="00274C82" w:rsidRDefault="00274C82" w:rsidP="00D202EC">
      <w:pPr>
        <w:pStyle w:val="BodyText"/>
        <w:rPr>
          <w:rFonts w:eastAsiaTheme="minorHAnsi"/>
        </w:rPr>
      </w:pPr>
      <w:r>
        <w:t>We also seek feedback from stakeholders as to:</w:t>
      </w:r>
    </w:p>
    <w:p w14:paraId="174D1238" w14:textId="2B1A82DB" w:rsidR="00274C82" w:rsidRDefault="00274C82" w:rsidP="00274C82">
      <w:pPr>
        <w:pStyle w:val="subparaa"/>
        <w:rPr>
          <w:rFonts w:eastAsiaTheme="minorHAnsi"/>
        </w:rPr>
      </w:pPr>
      <w:r>
        <w:rPr>
          <w:rFonts w:eastAsiaTheme="minorHAnsi"/>
        </w:rPr>
        <w:t>the incidence of these types of transactions in their own dealings; and</w:t>
      </w:r>
    </w:p>
    <w:p w14:paraId="331AD2AB" w14:textId="78C0FDA8" w:rsidR="00274C82" w:rsidRPr="009C126A" w:rsidRDefault="00274C82" w:rsidP="00274C82">
      <w:pPr>
        <w:pStyle w:val="subparaa"/>
        <w:rPr>
          <w:rFonts w:eastAsiaTheme="minorHAnsi"/>
        </w:rPr>
      </w:pPr>
      <w:r>
        <w:rPr>
          <w:rFonts w:eastAsiaTheme="minorHAnsi"/>
        </w:rPr>
        <w:t>whether other data elements</w:t>
      </w:r>
      <w:r w:rsidR="005D44B3" w:rsidRPr="00A829C7">
        <w:rPr>
          <w:rFonts w:eastAsiaTheme="minorHAnsi"/>
        </w:rPr>
        <w:t>—</w:t>
      </w:r>
      <w:r>
        <w:rPr>
          <w:rFonts w:eastAsiaTheme="minorHAnsi"/>
        </w:rPr>
        <w:t>for example, ‘</w:t>
      </w:r>
      <w:r w:rsidR="005D44B3">
        <w:rPr>
          <w:rFonts w:eastAsiaTheme="minorHAnsi"/>
        </w:rPr>
        <w:t>p</w:t>
      </w:r>
      <w:r>
        <w:rPr>
          <w:rFonts w:eastAsiaTheme="minorHAnsi"/>
        </w:rPr>
        <w:t>ayment frequency (period/period multiplier)’</w:t>
      </w:r>
      <w:r w:rsidR="005D44B3" w:rsidRPr="004270E6">
        <w:rPr>
          <w:rFonts w:eastAsiaTheme="minorHAnsi"/>
        </w:rPr>
        <w:t>—</w:t>
      </w:r>
      <w:r>
        <w:rPr>
          <w:rFonts w:eastAsiaTheme="minorHAnsi"/>
        </w:rPr>
        <w:t>could be relied on, in all cases or in most cases or in few cases, to infer the ‘</w:t>
      </w:r>
      <w:r w:rsidR="005D44B3">
        <w:rPr>
          <w:rFonts w:eastAsiaTheme="minorHAnsi"/>
        </w:rPr>
        <w:t>f</w:t>
      </w:r>
      <w:r>
        <w:rPr>
          <w:rFonts w:eastAsiaTheme="minorHAnsi"/>
        </w:rPr>
        <w:t>loating rate reset frequency (period/period multiplier)’.</w:t>
      </w:r>
    </w:p>
    <w:p w14:paraId="00AD9365" w14:textId="75B3EB14" w:rsidR="004857CC" w:rsidRPr="004857CC" w:rsidRDefault="004857CC" w:rsidP="004857CC">
      <w:pPr>
        <w:pStyle w:val="tabletitlefullwidth"/>
      </w:pPr>
      <w:bookmarkStart w:id="106" w:name="_Ref55989330"/>
      <w:r>
        <w:lastRenderedPageBreak/>
        <w:t xml:space="preserve">Table </w:t>
      </w:r>
      <w:r w:rsidR="007055A5">
        <w:fldChar w:fldCharType="begin"/>
      </w:r>
      <w:r w:rsidR="007055A5">
        <w:instrText xml:space="preserve"> SEQ Table \* ARABIC </w:instrText>
      </w:r>
      <w:r w:rsidR="007055A5">
        <w:fldChar w:fldCharType="separate"/>
      </w:r>
      <w:r w:rsidR="00314C7E">
        <w:rPr>
          <w:noProof/>
        </w:rPr>
        <w:t>13</w:t>
      </w:r>
      <w:r w:rsidR="007055A5">
        <w:rPr>
          <w:noProof/>
        </w:rPr>
        <w:fldChar w:fldCharType="end"/>
      </w:r>
      <w:bookmarkEnd w:id="106"/>
      <w:r>
        <w:t>:</w:t>
      </w:r>
      <w:r>
        <w:tab/>
      </w:r>
      <w:r w:rsidR="0015679D">
        <w:t xml:space="preserve">Data elements to be considered for proposal in </w:t>
      </w:r>
      <w:r w:rsidR="00E30A53">
        <w:t xml:space="preserve">the second </w:t>
      </w:r>
      <w:r w:rsidR="0015679D">
        <w:t xml:space="preserve">round </w:t>
      </w:r>
      <w:r w:rsidR="00E30A53">
        <w:t>of</w:t>
      </w:r>
      <w:r w:rsidR="0015679D">
        <w:t xml:space="preserve"> consultation</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2"/>
        <w:gridCol w:w="4434"/>
        <w:gridCol w:w="728"/>
        <w:gridCol w:w="727"/>
        <w:gridCol w:w="737"/>
        <w:gridCol w:w="709"/>
      </w:tblGrid>
      <w:tr w:rsidR="00D202EC" w:rsidRPr="000540E1" w14:paraId="0D7D5477" w14:textId="77777777" w:rsidTr="00540F41">
        <w:trPr>
          <w:cantSplit/>
          <w:tblHeader/>
        </w:trPr>
        <w:tc>
          <w:tcPr>
            <w:tcW w:w="942" w:type="pct"/>
            <w:shd w:val="clear" w:color="auto" w:fill="C2E3FA"/>
          </w:tcPr>
          <w:p w14:paraId="3FB5D1A3" w14:textId="77777777" w:rsidR="00D202EC" w:rsidRDefault="00D202EC" w:rsidP="00540F41">
            <w:pPr>
              <w:pStyle w:val="tablehead"/>
            </w:pPr>
          </w:p>
        </w:tc>
        <w:tc>
          <w:tcPr>
            <w:tcW w:w="2453" w:type="pct"/>
            <w:shd w:val="clear" w:color="auto" w:fill="C2E3FA"/>
          </w:tcPr>
          <w:p w14:paraId="3D383A80" w14:textId="77777777" w:rsidR="00D202EC" w:rsidRDefault="00D202EC" w:rsidP="00540F41">
            <w:pPr>
              <w:pStyle w:val="tablehead"/>
            </w:pPr>
          </w:p>
        </w:tc>
        <w:tc>
          <w:tcPr>
            <w:tcW w:w="1605" w:type="pct"/>
            <w:gridSpan w:val="4"/>
            <w:shd w:val="clear" w:color="auto" w:fill="C2E3FA"/>
          </w:tcPr>
          <w:p w14:paraId="312903A3" w14:textId="12CAB7F5" w:rsidR="00D202EC" w:rsidRPr="000540E1" w:rsidRDefault="001156A2" w:rsidP="00540F41">
            <w:pPr>
              <w:pStyle w:val="tablehead"/>
              <w:jc w:val="center"/>
            </w:pPr>
            <w:r>
              <w:t>Element</w:t>
            </w:r>
            <w:r w:rsidR="00D202EC">
              <w:t xml:space="preserve"> number references</w:t>
            </w:r>
          </w:p>
        </w:tc>
      </w:tr>
      <w:tr w:rsidR="00D202EC" w:rsidRPr="000540E1" w14:paraId="6268C065" w14:textId="77777777" w:rsidTr="00540F41">
        <w:trPr>
          <w:cantSplit/>
          <w:tblHeader/>
        </w:trPr>
        <w:tc>
          <w:tcPr>
            <w:tcW w:w="942" w:type="pct"/>
            <w:shd w:val="clear" w:color="auto" w:fill="C2E3FA"/>
          </w:tcPr>
          <w:p w14:paraId="1C1E2150" w14:textId="77777777" w:rsidR="00D202EC" w:rsidRDefault="00D202EC" w:rsidP="00540F41">
            <w:pPr>
              <w:pStyle w:val="tablehead"/>
            </w:pPr>
            <w:r>
              <w:t>Data element</w:t>
            </w:r>
          </w:p>
        </w:tc>
        <w:tc>
          <w:tcPr>
            <w:tcW w:w="2453" w:type="pct"/>
            <w:shd w:val="clear" w:color="auto" w:fill="C2E3FA"/>
          </w:tcPr>
          <w:p w14:paraId="4AF0C9DC" w14:textId="316A5CAE" w:rsidR="00D202EC" w:rsidRDefault="00277807" w:rsidP="00540F41">
            <w:pPr>
              <w:pStyle w:val="tablehead"/>
            </w:pPr>
            <w:r>
              <w:t>Definition</w:t>
            </w:r>
            <w:r w:rsidR="005D44B3">
              <w:rPr>
                <w:rFonts w:ascii="Calibri" w:hAnsi="Calibri"/>
              </w:rPr>
              <w:t>—</w:t>
            </w:r>
            <w:r w:rsidR="005D44B3">
              <w:t>S</w:t>
            </w:r>
            <w:r>
              <w:t>ummary of key points</w:t>
            </w:r>
          </w:p>
        </w:tc>
        <w:tc>
          <w:tcPr>
            <w:tcW w:w="403" w:type="pct"/>
            <w:shd w:val="clear" w:color="auto" w:fill="C2E3FA"/>
          </w:tcPr>
          <w:p w14:paraId="127CE7EC" w14:textId="2D984238" w:rsidR="00D202EC" w:rsidRPr="000540E1" w:rsidRDefault="00D202EC" w:rsidP="00540F41">
            <w:pPr>
              <w:pStyle w:val="tablehead"/>
              <w:jc w:val="center"/>
            </w:pPr>
            <w:r>
              <w:t>CDE</w:t>
            </w:r>
          </w:p>
        </w:tc>
        <w:tc>
          <w:tcPr>
            <w:tcW w:w="402" w:type="pct"/>
            <w:shd w:val="clear" w:color="auto" w:fill="C2E3FA"/>
          </w:tcPr>
          <w:p w14:paraId="5CDA0AE5" w14:textId="77777777" w:rsidR="00D202EC" w:rsidRPr="000540E1" w:rsidRDefault="00D202EC" w:rsidP="00540F41">
            <w:pPr>
              <w:pStyle w:val="tablehead"/>
              <w:jc w:val="center"/>
            </w:pPr>
            <w:r>
              <w:t>CFTC</w:t>
            </w:r>
          </w:p>
        </w:tc>
        <w:tc>
          <w:tcPr>
            <w:tcW w:w="408" w:type="pct"/>
            <w:shd w:val="clear" w:color="auto" w:fill="C2E3FA"/>
          </w:tcPr>
          <w:p w14:paraId="33E0DBF1" w14:textId="295A8107" w:rsidR="00D202EC" w:rsidRPr="000540E1" w:rsidRDefault="005C1566" w:rsidP="00540F41">
            <w:pPr>
              <w:pStyle w:val="tablehead"/>
              <w:jc w:val="center"/>
            </w:pPr>
            <w:r>
              <w:t>ESMA</w:t>
            </w:r>
          </w:p>
        </w:tc>
        <w:tc>
          <w:tcPr>
            <w:tcW w:w="392" w:type="pct"/>
            <w:shd w:val="clear" w:color="auto" w:fill="C2E3FA"/>
          </w:tcPr>
          <w:p w14:paraId="546283D7" w14:textId="77777777" w:rsidR="00D202EC" w:rsidRPr="000540E1" w:rsidRDefault="00D202EC" w:rsidP="00540F41">
            <w:pPr>
              <w:pStyle w:val="tablehead"/>
              <w:jc w:val="center"/>
            </w:pPr>
            <w:r>
              <w:t>ASIC</w:t>
            </w:r>
          </w:p>
        </w:tc>
      </w:tr>
      <w:tr w:rsidR="00E96086" w:rsidRPr="000540E1" w14:paraId="5991C68C" w14:textId="77777777" w:rsidTr="00540F41">
        <w:trPr>
          <w:cantSplit/>
        </w:trPr>
        <w:tc>
          <w:tcPr>
            <w:tcW w:w="942" w:type="pct"/>
          </w:tcPr>
          <w:p w14:paraId="67A9D51B" w14:textId="06784DC2" w:rsidR="00E96086" w:rsidRPr="000540E1" w:rsidRDefault="00E96086" w:rsidP="00E96086">
            <w:pPr>
              <w:pStyle w:val="tbltext"/>
            </w:pPr>
            <w:r w:rsidRPr="00D202EC">
              <w:t>Floating rate reset frequency period</w:t>
            </w:r>
            <w:r>
              <w:t xml:space="preserve"> </w:t>
            </w:r>
            <w:r w:rsidR="005D44B3">
              <w:rPr>
                <w:rFonts w:ascii="Calibri" w:hAnsi="Calibri"/>
              </w:rPr>
              <w:t>—</w:t>
            </w:r>
            <w:r w:rsidR="00CB1A88">
              <w:t xml:space="preserve">Leg </w:t>
            </w:r>
            <w:r>
              <w:t>1</w:t>
            </w:r>
          </w:p>
        </w:tc>
        <w:tc>
          <w:tcPr>
            <w:tcW w:w="2453" w:type="pct"/>
          </w:tcPr>
          <w:p w14:paraId="796154A8" w14:textId="718F6F6C" w:rsidR="00E96086" w:rsidRPr="000540E1" w:rsidRDefault="00E96086" w:rsidP="00E96086">
            <w:pPr>
              <w:pStyle w:val="tbltext"/>
            </w:pPr>
            <w:r>
              <w:t xml:space="preserve">{CFTC} </w:t>
            </w:r>
            <w:r w:rsidRPr="00D202EC">
              <w:t>For each floating leg of the swap transaction, where applicable, time unit associated with the frequency of resets, e.g. day, week, month, year or term of the stream.</w:t>
            </w:r>
          </w:p>
        </w:tc>
        <w:tc>
          <w:tcPr>
            <w:tcW w:w="403" w:type="pct"/>
          </w:tcPr>
          <w:p w14:paraId="25F9A7CB" w14:textId="1DD403A1" w:rsidR="00E96086" w:rsidRPr="000540E1" w:rsidRDefault="00E96086" w:rsidP="00E96086">
            <w:pPr>
              <w:pStyle w:val="tbltext"/>
              <w:jc w:val="center"/>
            </w:pPr>
            <w:r>
              <w:t>n/a</w:t>
            </w:r>
          </w:p>
        </w:tc>
        <w:tc>
          <w:tcPr>
            <w:tcW w:w="402" w:type="pct"/>
          </w:tcPr>
          <w:p w14:paraId="75A6ECD6" w14:textId="72DB238B" w:rsidR="00E96086" w:rsidRPr="000540E1" w:rsidRDefault="00E96086" w:rsidP="00E96086">
            <w:pPr>
              <w:pStyle w:val="tbltext"/>
              <w:jc w:val="center"/>
            </w:pPr>
            <w:r>
              <w:t>55</w:t>
            </w:r>
          </w:p>
        </w:tc>
        <w:tc>
          <w:tcPr>
            <w:tcW w:w="408" w:type="pct"/>
          </w:tcPr>
          <w:p w14:paraId="59AF821D" w14:textId="49B7E271" w:rsidR="00E96086" w:rsidRPr="000540E1" w:rsidRDefault="00E96086" w:rsidP="00E96086">
            <w:pPr>
              <w:pStyle w:val="tbltext"/>
              <w:jc w:val="center"/>
            </w:pPr>
            <w:r>
              <w:t>2.87</w:t>
            </w:r>
          </w:p>
        </w:tc>
        <w:tc>
          <w:tcPr>
            <w:tcW w:w="392" w:type="pct"/>
          </w:tcPr>
          <w:p w14:paraId="7AC102B5" w14:textId="7DB19A8F" w:rsidR="00E96086" w:rsidRPr="000540E1" w:rsidRDefault="00E96086" w:rsidP="0085333E">
            <w:pPr>
              <w:pStyle w:val="tbltext"/>
              <w:jc w:val="center"/>
            </w:pPr>
            <w:r>
              <w:t>1.53</w:t>
            </w:r>
            <w:r w:rsidR="0085333E">
              <w:br/>
            </w:r>
            <w:r>
              <w:t>5.19</w:t>
            </w:r>
          </w:p>
        </w:tc>
      </w:tr>
      <w:tr w:rsidR="00E96086" w:rsidRPr="000540E1" w14:paraId="103AFA20" w14:textId="77777777" w:rsidTr="00540F41">
        <w:trPr>
          <w:cantSplit/>
        </w:trPr>
        <w:tc>
          <w:tcPr>
            <w:tcW w:w="942" w:type="pct"/>
          </w:tcPr>
          <w:p w14:paraId="0CEC3CC7" w14:textId="07508CA4" w:rsidR="00E96086" w:rsidRPr="000540E1" w:rsidRDefault="00E96086" w:rsidP="00E96086">
            <w:pPr>
              <w:pStyle w:val="tbltext"/>
            </w:pPr>
            <w:r w:rsidRPr="00D202EC">
              <w:t>Floating rate reset frequency period</w:t>
            </w:r>
            <w:r>
              <w:t xml:space="preserve"> </w:t>
            </w:r>
            <w:r w:rsidR="005D44B3">
              <w:rPr>
                <w:rFonts w:ascii="Calibri" w:hAnsi="Calibri"/>
              </w:rPr>
              <w:t>—</w:t>
            </w:r>
            <w:r w:rsidR="00CB1A88">
              <w:t xml:space="preserve">Leg </w:t>
            </w:r>
            <w:r>
              <w:t>2</w:t>
            </w:r>
          </w:p>
        </w:tc>
        <w:tc>
          <w:tcPr>
            <w:tcW w:w="2453" w:type="pct"/>
          </w:tcPr>
          <w:p w14:paraId="5DE4451B" w14:textId="29CCCE3A" w:rsidR="00E96086" w:rsidRPr="000540E1" w:rsidRDefault="00E96086" w:rsidP="00E96086">
            <w:pPr>
              <w:pStyle w:val="tbltext"/>
            </w:pPr>
            <w:r>
              <w:t xml:space="preserve">{CFTC} </w:t>
            </w:r>
            <w:r w:rsidRPr="00D202EC">
              <w:t>For each floating leg of the swap transaction, where applicable, time unit associated with the frequency of resets, e.g. day, week, month, year or term of the stream.</w:t>
            </w:r>
          </w:p>
        </w:tc>
        <w:tc>
          <w:tcPr>
            <w:tcW w:w="403" w:type="pct"/>
          </w:tcPr>
          <w:p w14:paraId="193BFA19" w14:textId="71444686" w:rsidR="00E96086" w:rsidRPr="000540E1" w:rsidRDefault="00E96086" w:rsidP="00E96086">
            <w:pPr>
              <w:pStyle w:val="tbltext"/>
              <w:jc w:val="center"/>
            </w:pPr>
            <w:r>
              <w:t>n/a</w:t>
            </w:r>
          </w:p>
        </w:tc>
        <w:tc>
          <w:tcPr>
            <w:tcW w:w="402" w:type="pct"/>
          </w:tcPr>
          <w:p w14:paraId="2CF64A07" w14:textId="77777777" w:rsidR="00E96086" w:rsidRPr="000540E1" w:rsidRDefault="00E96086" w:rsidP="00E96086">
            <w:pPr>
              <w:pStyle w:val="tbltext"/>
              <w:jc w:val="center"/>
            </w:pPr>
            <w:r>
              <w:t>55</w:t>
            </w:r>
          </w:p>
        </w:tc>
        <w:tc>
          <w:tcPr>
            <w:tcW w:w="408" w:type="pct"/>
          </w:tcPr>
          <w:p w14:paraId="7F82CA2D" w14:textId="551D0923" w:rsidR="00E96086" w:rsidRPr="000540E1" w:rsidRDefault="00E96086" w:rsidP="00E96086">
            <w:pPr>
              <w:pStyle w:val="tbltext"/>
              <w:jc w:val="center"/>
            </w:pPr>
            <w:r>
              <w:t>2.103</w:t>
            </w:r>
          </w:p>
        </w:tc>
        <w:tc>
          <w:tcPr>
            <w:tcW w:w="392" w:type="pct"/>
          </w:tcPr>
          <w:p w14:paraId="432C2958" w14:textId="464722EA" w:rsidR="00E96086" w:rsidRPr="000540E1" w:rsidRDefault="00E96086" w:rsidP="00E96086">
            <w:pPr>
              <w:pStyle w:val="tbltext"/>
              <w:jc w:val="center"/>
            </w:pPr>
            <w:r>
              <w:t>n/a</w:t>
            </w:r>
          </w:p>
        </w:tc>
      </w:tr>
      <w:tr w:rsidR="00E96086" w:rsidRPr="000540E1" w14:paraId="0C255BA2" w14:textId="77777777" w:rsidTr="00540F41">
        <w:trPr>
          <w:cantSplit/>
        </w:trPr>
        <w:tc>
          <w:tcPr>
            <w:tcW w:w="942" w:type="pct"/>
          </w:tcPr>
          <w:p w14:paraId="487ADF2C" w14:textId="29BDA1C2" w:rsidR="00E96086" w:rsidRPr="000540E1" w:rsidRDefault="00E96086" w:rsidP="00E96086">
            <w:pPr>
              <w:pStyle w:val="tbltext"/>
            </w:pPr>
            <w:r w:rsidRPr="00D202EC">
              <w:t>Floating rate reset frequency period multiplier</w:t>
            </w:r>
            <w:r w:rsidR="005D44B3">
              <w:rPr>
                <w:rFonts w:ascii="Calibri" w:hAnsi="Calibri"/>
              </w:rPr>
              <w:t>—</w:t>
            </w:r>
            <w:r w:rsidR="00CB1A88">
              <w:t xml:space="preserve">Leg </w:t>
            </w:r>
            <w:r>
              <w:t>1</w:t>
            </w:r>
          </w:p>
        </w:tc>
        <w:tc>
          <w:tcPr>
            <w:tcW w:w="2453" w:type="pct"/>
          </w:tcPr>
          <w:p w14:paraId="2CD06D8F" w14:textId="52008E0D" w:rsidR="00E96086" w:rsidRPr="000540E1" w:rsidRDefault="00E96086" w:rsidP="00E96086">
            <w:pPr>
              <w:pStyle w:val="tbltext"/>
            </w:pPr>
            <w:r>
              <w:t xml:space="preserve">{CFTC} </w:t>
            </w:r>
            <w:r w:rsidRPr="00D202EC">
              <w:t xml:space="preserve">For each floating leg of the swap transaction, where applicable, number of time units (as expressed by the </w:t>
            </w:r>
            <w:r w:rsidR="005D44B3">
              <w:t>f</w:t>
            </w:r>
            <w:r w:rsidR="005D44B3" w:rsidRPr="00D202EC">
              <w:t xml:space="preserve">loating </w:t>
            </w:r>
            <w:r w:rsidRPr="00D202EC">
              <w:t>rate reset frequency period) that determines the frequency at which periodic payment dates for reset occur.</w:t>
            </w:r>
          </w:p>
        </w:tc>
        <w:tc>
          <w:tcPr>
            <w:tcW w:w="403" w:type="pct"/>
          </w:tcPr>
          <w:p w14:paraId="5307C0DE" w14:textId="2B13AE38" w:rsidR="00E96086" w:rsidRPr="000540E1" w:rsidRDefault="00E96086" w:rsidP="00E96086">
            <w:pPr>
              <w:pStyle w:val="tbltext"/>
              <w:jc w:val="center"/>
            </w:pPr>
            <w:r>
              <w:t>n/a</w:t>
            </w:r>
          </w:p>
        </w:tc>
        <w:tc>
          <w:tcPr>
            <w:tcW w:w="402" w:type="pct"/>
          </w:tcPr>
          <w:p w14:paraId="6B7EEE25" w14:textId="220B98A5" w:rsidR="00E96086" w:rsidRPr="000540E1" w:rsidRDefault="00E96086" w:rsidP="00E96086">
            <w:pPr>
              <w:pStyle w:val="tbltext"/>
              <w:jc w:val="center"/>
            </w:pPr>
            <w:r>
              <w:t>56</w:t>
            </w:r>
          </w:p>
        </w:tc>
        <w:tc>
          <w:tcPr>
            <w:tcW w:w="408" w:type="pct"/>
          </w:tcPr>
          <w:p w14:paraId="5E72F93E" w14:textId="36AB94BD" w:rsidR="00E96086" w:rsidRPr="000540E1" w:rsidRDefault="00E96086" w:rsidP="00E96086">
            <w:pPr>
              <w:pStyle w:val="tbltext"/>
              <w:jc w:val="center"/>
            </w:pPr>
            <w:r>
              <w:t>2.88</w:t>
            </w:r>
          </w:p>
        </w:tc>
        <w:tc>
          <w:tcPr>
            <w:tcW w:w="392" w:type="pct"/>
          </w:tcPr>
          <w:p w14:paraId="7BD0965D" w14:textId="76066A13" w:rsidR="00E96086" w:rsidRPr="000540E1" w:rsidRDefault="00E96086" w:rsidP="00E96086">
            <w:pPr>
              <w:pStyle w:val="tbltext"/>
              <w:jc w:val="center"/>
            </w:pPr>
            <w:r>
              <w:t>n/a</w:t>
            </w:r>
          </w:p>
        </w:tc>
      </w:tr>
      <w:tr w:rsidR="00E96086" w:rsidRPr="000540E1" w14:paraId="3281FC1F" w14:textId="77777777" w:rsidTr="00540F41">
        <w:trPr>
          <w:cantSplit/>
        </w:trPr>
        <w:tc>
          <w:tcPr>
            <w:tcW w:w="942" w:type="pct"/>
          </w:tcPr>
          <w:p w14:paraId="1039146C" w14:textId="170ADAE0" w:rsidR="00E96086" w:rsidRDefault="00E96086" w:rsidP="00E96086">
            <w:pPr>
              <w:pStyle w:val="tbltext"/>
            </w:pPr>
            <w:r w:rsidRPr="00D202EC">
              <w:t>Floating rate reset frequency period multiplier</w:t>
            </w:r>
            <w:r w:rsidR="005D44B3">
              <w:rPr>
                <w:rFonts w:ascii="Calibri" w:hAnsi="Calibri"/>
              </w:rPr>
              <w:t>—</w:t>
            </w:r>
            <w:r w:rsidR="00CB1A88">
              <w:t xml:space="preserve">Leg </w:t>
            </w:r>
            <w:r>
              <w:t>2</w:t>
            </w:r>
          </w:p>
        </w:tc>
        <w:tc>
          <w:tcPr>
            <w:tcW w:w="2453" w:type="pct"/>
          </w:tcPr>
          <w:p w14:paraId="78D11A0B" w14:textId="52DA9D35" w:rsidR="00E96086" w:rsidRDefault="00E96086" w:rsidP="00E96086">
            <w:pPr>
              <w:pStyle w:val="tbltext"/>
            </w:pPr>
            <w:r>
              <w:t xml:space="preserve">{CFTC} </w:t>
            </w:r>
            <w:r w:rsidRPr="00D202EC">
              <w:t xml:space="preserve">For each floating leg of the swap transaction, where applicable, number of time units (as expressed by the </w:t>
            </w:r>
            <w:r w:rsidR="005D44B3">
              <w:t>f</w:t>
            </w:r>
            <w:r w:rsidR="005D44B3" w:rsidRPr="00D202EC">
              <w:t xml:space="preserve">loating </w:t>
            </w:r>
            <w:r w:rsidRPr="00D202EC">
              <w:t>rate reset frequency period) that determines the frequency at which periodic payment dates for reset occur.</w:t>
            </w:r>
          </w:p>
        </w:tc>
        <w:tc>
          <w:tcPr>
            <w:tcW w:w="403" w:type="pct"/>
          </w:tcPr>
          <w:p w14:paraId="08E11BA6" w14:textId="2BB124F3" w:rsidR="00E96086" w:rsidRPr="000540E1" w:rsidRDefault="00E96086" w:rsidP="00E96086">
            <w:pPr>
              <w:pStyle w:val="tbltext"/>
              <w:jc w:val="center"/>
            </w:pPr>
            <w:r>
              <w:t>n/a</w:t>
            </w:r>
          </w:p>
        </w:tc>
        <w:tc>
          <w:tcPr>
            <w:tcW w:w="402" w:type="pct"/>
          </w:tcPr>
          <w:p w14:paraId="3EEE6853" w14:textId="09A0362B" w:rsidR="00E96086" w:rsidRPr="000540E1" w:rsidRDefault="00E96086" w:rsidP="00E96086">
            <w:pPr>
              <w:pStyle w:val="tbltext"/>
              <w:jc w:val="center"/>
            </w:pPr>
            <w:r>
              <w:t>56</w:t>
            </w:r>
          </w:p>
        </w:tc>
        <w:tc>
          <w:tcPr>
            <w:tcW w:w="408" w:type="pct"/>
          </w:tcPr>
          <w:p w14:paraId="39805FD1" w14:textId="0F49974F" w:rsidR="00E96086" w:rsidRDefault="00E96086" w:rsidP="00E96086">
            <w:pPr>
              <w:pStyle w:val="tbltext"/>
              <w:jc w:val="center"/>
            </w:pPr>
            <w:r>
              <w:t>2.104</w:t>
            </w:r>
          </w:p>
        </w:tc>
        <w:tc>
          <w:tcPr>
            <w:tcW w:w="392" w:type="pct"/>
          </w:tcPr>
          <w:p w14:paraId="4744B935" w14:textId="7D9F443B" w:rsidR="00E96086" w:rsidRPr="000540E1" w:rsidRDefault="00E96086" w:rsidP="00E96086">
            <w:pPr>
              <w:pStyle w:val="tbltext"/>
              <w:jc w:val="center"/>
            </w:pPr>
            <w:r>
              <w:t>n/a</w:t>
            </w:r>
          </w:p>
        </w:tc>
      </w:tr>
    </w:tbl>
    <w:p w14:paraId="2DDDC0D3" w14:textId="77777777" w:rsidR="00973135" w:rsidRDefault="00973135" w:rsidP="00973135">
      <w:pPr>
        <w:pStyle w:val="Proposalhead"/>
      </w:pPr>
      <w:r>
        <w:t>Proposal</w:t>
      </w:r>
    </w:p>
    <w:p w14:paraId="2F3B217D" w14:textId="4B541BF2" w:rsidR="00973135" w:rsidRDefault="00973135" w:rsidP="00973135">
      <w:pPr>
        <w:pStyle w:val="Proposaltext"/>
      </w:pPr>
      <w:r>
        <w:t xml:space="preserve">We are considering </w:t>
      </w:r>
      <w:r w:rsidR="005D44B3">
        <w:rPr>
          <w:rFonts w:eastAsiaTheme="minorHAnsi"/>
        </w:rPr>
        <w:t>a proposal</w:t>
      </w:r>
      <w:r w:rsidRPr="00973135">
        <w:rPr>
          <w:rFonts w:eastAsiaTheme="minorHAnsi"/>
        </w:rPr>
        <w:t xml:space="preserve">, in the second round of consultation, </w:t>
      </w:r>
      <w:r>
        <w:rPr>
          <w:rFonts w:eastAsiaTheme="minorHAnsi"/>
        </w:rPr>
        <w:t>to include</w:t>
      </w:r>
      <w:r w:rsidR="006C622D">
        <w:rPr>
          <w:rFonts w:eastAsiaTheme="minorHAnsi"/>
        </w:rPr>
        <w:t xml:space="preserve"> in the ASIC Rules the</w:t>
      </w:r>
      <w:r>
        <w:rPr>
          <w:rFonts w:eastAsiaTheme="minorHAnsi"/>
        </w:rPr>
        <w:t xml:space="preserve"> </w:t>
      </w:r>
      <w:r w:rsidRPr="00973135">
        <w:rPr>
          <w:rFonts w:eastAsiaTheme="minorHAnsi"/>
        </w:rPr>
        <w:t>data element</w:t>
      </w:r>
      <w:r>
        <w:rPr>
          <w:rFonts w:eastAsiaTheme="minorHAnsi"/>
        </w:rPr>
        <w:t xml:space="preserve">s </w:t>
      </w:r>
      <w:r>
        <w:t xml:space="preserve">related to </w:t>
      </w:r>
      <w:r w:rsidR="007A3934">
        <w:rPr>
          <w:rFonts w:eastAsiaTheme="minorHAnsi"/>
        </w:rPr>
        <w:t>the floating rate reset frequency</w:t>
      </w:r>
      <w:r>
        <w:t xml:space="preserve"> set out in </w:t>
      </w:r>
      <w:r w:rsidR="005D44B3">
        <w:fldChar w:fldCharType="begin"/>
      </w:r>
      <w:r w:rsidR="005D44B3">
        <w:instrText xml:space="preserve"> REF _Ref55989330 \h </w:instrText>
      </w:r>
      <w:r w:rsidR="005D44B3">
        <w:fldChar w:fldCharType="separate"/>
      </w:r>
      <w:r w:rsidR="00314C7E">
        <w:t xml:space="preserve">Table </w:t>
      </w:r>
      <w:r w:rsidR="00314C7E">
        <w:rPr>
          <w:noProof/>
        </w:rPr>
        <w:t>13</w:t>
      </w:r>
      <w:r w:rsidR="005D44B3">
        <w:fldChar w:fldCharType="end"/>
      </w:r>
      <w:r>
        <w:t>.</w:t>
      </w:r>
    </w:p>
    <w:p w14:paraId="0A809327" w14:textId="77777777" w:rsidR="00973135" w:rsidRDefault="00973135" w:rsidP="00973135">
      <w:pPr>
        <w:pStyle w:val="Feedbackhead"/>
      </w:pPr>
      <w:r>
        <w:t>Your feedback</w:t>
      </w:r>
    </w:p>
    <w:p w14:paraId="5BECA454" w14:textId="44E42A42" w:rsidR="006C622D" w:rsidRDefault="006C622D" w:rsidP="00973135">
      <w:pPr>
        <w:pStyle w:val="Feedbackquestion"/>
      </w:pPr>
      <w:r>
        <w:t xml:space="preserve">Do you agree that we should consider </w:t>
      </w:r>
      <w:r w:rsidR="005D44B3">
        <w:t xml:space="preserve">a </w:t>
      </w:r>
      <w:r>
        <w:t>propos</w:t>
      </w:r>
      <w:r w:rsidR="005D44B3">
        <w:t>al</w:t>
      </w:r>
      <w:r>
        <w:t>, in the second round of consultation, to include these data elements in the ASIC Rules? In your response, please give detailed reasons for your answer.</w:t>
      </w:r>
    </w:p>
    <w:p w14:paraId="3709F16C" w14:textId="77777777" w:rsidR="006C622D" w:rsidRDefault="006C622D" w:rsidP="00973135">
      <w:pPr>
        <w:pStyle w:val="Feedbackquestion"/>
      </w:pPr>
      <w:r>
        <w:t>For transactions where the frequency of resets of the floating rate differ from the frequency of the reference rate itself, please provide feedback about:</w:t>
      </w:r>
    </w:p>
    <w:p w14:paraId="32B822C5" w14:textId="0036098F" w:rsidR="006C622D" w:rsidRDefault="006C622D" w:rsidP="006C622D">
      <w:pPr>
        <w:pStyle w:val="Feedbacksubquestion"/>
      </w:pPr>
      <w:r>
        <w:t xml:space="preserve">the incidence of </w:t>
      </w:r>
      <w:r w:rsidR="002F26AF">
        <w:t xml:space="preserve">these </w:t>
      </w:r>
      <w:r>
        <w:t>types of transactions in your own dealings; and</w:t>
      </w:r>
    </w:p>
    <w:p w14:paraId="09CD97D1" w14:textId="7E4D8EAA" w:rsidR="00973135" w:rsidRDefault="00973135" w:rsidP="00D44C1A">
      <w:pPr>
        <w:pStyle w:val="Feedbacksubquestion"/>
      </w:pPr>
      <w:r>
        <w:t>whether other data elements</w:t>
      </w:r>
      <w:r w:rsidR="002F26AF" w:rsidRPr="00A829C7">
        <w:rPr>
          <w:rFonts w:ascii="Times New Roman" w:hAnsi="Times New Roman" w:cs="Times New Roman"/>
        </w:rPr>
        <w:t>—</w:t>
      </w:r>
      <w:r>
        <w:t xml:space="preserve">for example, </w:t>
      </w:r>
      <w:r w:rsidR="006C622D">
        <w:t>p</w:t>
      </w:r>
      <w:r>
        <w:t>ayment frequency</w:t>
      </w:r>
      <w:r w:rsidR="002F26AF" w:rsidRPr="004270E6">
        <w:rPr>
          <w:rFonts w:ascii="Times New Roman" w:hAnsi="Times New Roman" w:cs="Times New Roman"/>
        </w:rPr>
        <w:t>—</w:t>
      </w:r>
      <w:r>
        <w:t>could be relied on, in all cases or in most cases or in few cases, to infer the ‘</w:t>
      </w:r>
      <w:r w:rsidR="002F26AF">
        <w:t xml:space="preserve">floating </w:t>
      </w:r>
      <w:r>
        <w:t>rate reset frequency (period/period multiplier)’.</w:t>
      </w:r>
    </w:p>
    <w:p w14:paraId="01463019" w14:textId="768E7305" w:rsidR="00A765B2" w:rsidRPr="00A829C7" w:rsidRDefault="00A765B2" w:rsidP="00A765B2">
      <w:pPr>
        <w:pStyle w:val="Feedbackquestion"/>
        <w:rPr>
          <w:spacing w:val="-2"/>
        </w:rPr>
      </w:pPr>
      <w:r w:rsidRPr="00A829C7">
        <w:rPr>
          <w:spacing w:val="-2"/>
        </w:rPr>
        <w:t xml:space="preserve">Do you consider that you will have </w:t>
      </w:r>
      <w:r w:rsidR="00790DEA" w:rsidRPr="00A829C7">
        <w:rPr>
          <w:spacing w:val="-2"/>
        </w:rPr>
        <w:t>particular</w:t>
      </w:r>
      <w:r w:rsidRPr="00A829C7">
        <w:rPr>
          <w:spacing w:val="-2"/>
        </w:rPr>
        <w:t xml:space="preserve"> interpretation or implementation issues with the data elements</w:t>
      </w:r>
      <w:r w:rsidR="002F26AF" w:rsidRPr="00A829C7">
        <w:rPr>
          <w:spacing w:val="-2"/>
        </w:rPr>
        <w:t xml:space="preserve"> in </w:t>
      </w:r>
      <w:r w:rsidR="002F26AF">
        <w:rPr>
          <w:spacing w:val="-2"/>
        </w:rPr>
        <w:fldChar w:fldCharType="begin"/>
      </w:r>
      <w:r w:rsidR="002F26AF">
        <w:rPr>
          <w:spacing w:val="-2"/>
        </w:rPr>
        <w:instrText xml:space="preserve"> REF _Ref55989330 \h </w:instrText>
      </w:r>
      <w:r w:rsidR="002F26AF">
        <w:rPr>
          <w:spacing w:val="-2"/>
        </w:rPr>
      </w:r>
      <w:r w:rsidR="002F26AF">
        <w:rPr>
          <w:spacing w:val="-2"/>
        </w:rPr>
        <w:fldChar w:fldCharType="separate"/>
      </w:r>
      <w:r w:rsidR="00314C7E">
        <w:t xml:space="preserve">Table </w:t>
      </w:r>
      <w:r w:rsidR="00314C7E">
        <w:rPr>
          <w:noProof/>
        </w:rPr>
        <w:t>13</w:t>
      </w:r>
      <w:r w:rsidR="002F26AF">
        <w:rPr>
          <w:spacing w:val="-2"/>
        </w:rPr>
        <w:fldChar w:fldCharType="end"/>
      </w:r>
      <w:r w:rsidRPr="00A829C7">
        <w:rPr>
          <w:spacing w:val="-2"/>
        </w:rPr>
        <w:t>? In your response, please give detailed reasons for your answer.</w:t>
      </w:r>
    </w:p>
    <w:p w14:paraId="0758A031" w14:textId="00B5B909" w:rsidR="00BF7EA7" w:rsidRDefault="00BF7EA7" w:rsidP="00BF7EA7">
      <w:pPr>
        <w:pStyle w:val="Heading2"/>
        <w:rPr>
          <w:rFonts w:eastAsiaTheme="minorHAnsi"/>
        </w:rPr>
      </w:pPr>
      <w:bookmarkStart w:id="107" w:name="_Toc57146494"/>
      <w:r>
        <w:rPr>
          <w:rFonts w:eastAsiaTheme="minorHAnsi"/>
        </w:rPr>
        <w:lastRenderedPageBreak/>
        <w:t>Data elements related to valuation</w:t>
      </w:r>
      <w:bookmarkEnd w:id="107"/>
    </w:p>
    <w:p w14:paraId="6E0619D1" w14:textId="0A60DEC6" w:rsidR="00BF7EA7" w:rsidRPr="00274C82" w:rsidRDefault="00274C82" w:rsidP="00274C82">
      <w:pPr>
        <w:pStyle w:val="BodyText"/>
        <w:rPr>
          <w:rFonts w:eastAsiaTheme="minorHAnsi"/>
        </w:rPr>
      </w:pPr>
      <w:r w:rsidRPr="00274C82">
        <w:rPr>
          <w:rFonts w:eastAsiaTheme="minorHAnsi"/>
        </w:rPr>
        <w:t>We propose to include the following data elements in the ASIC Rules. Except for ‘</w:t>
      </w:r>
      <w:r w:rsidR="002F26AF">
        <w:rPr>
          <w:rFonts w:eastAsiaTheme="minorHAnsi"/>
        </w:rPr>
        <w:t xml:space="preserve">valuation </w:t>
      </w:r>
      <w:r w:rsidRPr="00274C82">
        <w:rPr>
          <w:rFonts w:eastAsiaTheme="minorHAnsi"/>
        </w:rPr>
        <w:t>timestamp’, all of these data elements are in the current ASIC Rules.</w:t>
      </w:r>
    </w:p>
    <w:p w14:paraId="5E0132A9" w14:textId="7C93205D" w:rsidR="00DF345B" w:rsidRPr="004857CC" w:rsidRDefault="00DF345B" w:rsidP="00DF345B">
      <w:pPr>
        <w:pStyle w:val="tabletitlefullwidth"/>
      </w:pPr>
      <w:bookmarkStart w:id="108" w:name="_Ref55991728"/>
      <w:r>
        <w:t xml:space="preserve">Table </w:t>
      </w:r>
      <w:r w:rsidR="007055A5">
        <w:fldChar w:fldCharType="begin"/>
      </w:r>
      <w:r w:rsidR="007055A5">
        <w:instrText xml:space="preserve"> SEQ Table \* ARABIC </w:instrText>
      </w:r>
      <w:r w:rsidR="007055A5">
        <w:fldChar w:fldCharType="separate"/>
      </w:r>
      <w:r w:rsidR="00314C7E">
        <w:rPr>
          <w:noProof/>
        </w:rPr>
        <w:t>14</w:t>
      </w:r>
      <w:r w:rsidR="007055A5">
        <w:rPr>
          <w:noProof/>
        </w:rPr>
        <w:fldChar w:fldCharType="end"/>
      </w:r>
      <w:bookmarkEnd w:id="108"/>
      <w:r>
        <w:t>:</w:t>
      </w:r>
      <w:r>
        <w:tab/>
      </w:r>
      <w:r w:rsidR="00274C82">
        <w:t>Proposed data elements related to valuation</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2"/>
        <w:gridCol w:w="4434"/>
        <w:gridCol w:w="728"/>
        <w:gridCol w:w="727"/>
        <w:gridCol w:w="737"/>
        <w:gridCol w:w="709"/>
      </w:tblGrid>
      <w:tr w:rsidR="00BF7EA7" w:rsidRPr="000540E1" w14:paraId="3E9BFEA1" w14:textId="77777777" w:rsidTr="00540F41">
        <w:trPr>
          <w:cantSplit/>
          <w:tblHeader/>
        </w:trPr>
        <w:tc>
          <w:tcPr>
            <w:tcW w:w="942" w:type="pct"/>
            <w:shd w:val="clear" w:color="auto" w:fill="C2E3FA"/>
          </w:tcPr>
          <w:p w14:paraId="1582922C" w14:textId="77777777" w:rsidR="00BF7EA7" w:rsidRDefault="00BF7EA7" w:rsidP="00540F41">
            <w:pPr>
              <w:pStyle w:val="tablehead"/>
            </w:pPr>
          </w:p>
        </w:tc>
        <w:tc>
          <w:tcPr>
            <w:tcW w:w="2453" w:type="pct"/>
            <w:shd w:val="clear" w:color="auto" w:fill="C2E3FA"/>
          </w:tcPr>
          <w:p w14:paraId="4D2E6CB0" w14:textId="77777777" w:rsidR="00BF7EA7" w:rsidRDefault="00BF7EA7" w:rsidP="00540F41">
            <w:pPr>
              <w:pStyle w:val="tablehead"/>
            </w:pPr>
          </w:p>
        </w:tc>
        <w:tc>
          <w:tcPr>
            <w:tcW w:w="1605" w:type="pct"/>
            <w:gridSpan w:val="4"/>
            <w:shd w:val="clear" w:color="auto" w:fill="C2E3FA"/>
          </w:tcPr>
          <w:p w14:paraId="090C7974" w14:textId="46190596" w:rsidR="00BF7EA7" w:rsidRPr="000540E1" w:rsidRDefault="001156A2" w:rsidP="00540F41">
            <w:pPr>
              <w:pStyle w:val="tablehead"/>
              <w:jc w:val="center"/>
            </w:pPr>
            <w:r>
              <w:t>Element</w:t>
            </w:r>
            <w:r w:rsidR="00BF7EA7">
              <w:t xml:space="preserve"> number references</w:t>
            </w:r>
          </w:p>
        </w:tc>
      </w:tr>
      <w:tr w:rsidR="00BF7EA7" w:rsidRPr="000540E1" w14:paraId="4FD3A9B2" w14:textId="77777777" w:rsidTr="00540F41">
        <w:trPr>
          <w:cantSplit/>
          <w:tblHeader/>
        </w:trPr>
        <w:tc>
          <w:tcPr>
            <w:tcW w:w="942" w:type="pct"/>
            <w:shd w:val="clear" w:color="auto" w:fill="C2E3FA"/>
          </w:tcPr>
          <w:p w14:paraId="018435C4" w14:textId="77777777" w:rsidR="00BF7EA7" w:rsidRDefault="00BF7EA7" w:rsidP="00540F41">
            <w:pPr>
              <w:pStyle w:val="tablehead"/>
            </w:pPr>
            <w:r>
              <w:t>Data element</w:t>
            </w:r>
          </w:p>
        </w:tc>
        <w:tc>
          <w:tcPr>
            <w:tcW w:w="2453" w:type="pct"/>
            <w:shd w:val="clear" w:color="auto" w:fill="C2E3FA"/>
          </w:tcPr>
          <w:p w14:paraId="480F5A6C" w14:textId="101660C1" w:rsidR="00BF7EA7" w:rsidRDefault="00277807" w:rsidP="00540F41">
            <w:pPr>
              <w:pStyle w:val="tablehead"/>
            </w:pPr>
            <w:r>
              <w:t>Definition</w:t>
            </w:r>
            <w:r w:rsidR="002F26AF">
              <w:rPr>
                <w:rFonts w:ascii="Calibri" w:hAnsi="Calibri"/>
              </w:rPr>
              <w:t>—</w:t>
            </w:r>
            <w:r w:rsidR="002F26AF">
              <w:t>S</w:t>
            </w:r>
            <w:r>
              <w:t>ummary of key points</w:t>
            </w:r>
          </w:p>
        </w:tc>
        <w:tc>
          <w:tcPr>
            <w:tcW w:w="403" w:type="pct"/>
            <w:shd w:val="clear" w:color="auto" w:fill="C2E3FA"/>
          </w:tcPr>
          <w:p w14:paraId="100CC03F" w14:textId="0BECCDC0" w:rsidR="00BF7EA7" w:rsidRPr="000540E1" w:rsidRDefault="00BF7EA7" w:rsidP="00540F41">
            <w:pPr>
              <w:pStyle w:val="tablehead"/>
              <w:jc w:val="center"/>
            </w:pPr>
            <w:r>
              <w:t>CDE</w:t>
            </w:r>
          </w:p>
        </w:tc>
        <w:tc>
          <w:tcPr>
            <w:tcW w:w="402" w:type="pct"/>
            <w:shd w:val="clear" w:color="auto" w:fill="C2E3FA"/>
          </w:tcPr>
          <w:p w14:paraId="5437FC1D" w14:textId="77777777" w:rsidR="00BF7EA7" w:rsidRPr="000540E1" w:rsidRDefault="00BF7EA7" w:rsidP="00540F41">
            <w:pPr>
              <w:pStyle w:val="tablehead"/>
              <w:jc w:val="center"/>
            </w:pPr>
            <w:r>
              <w:t>CFTC</w:t>
            </w:r>
          </w:p>
        </w:tc>
        <w:tc>
          <w:tcPr>
            <w:tcW w:w="408" w:type="pct"/>
            <w:shd w:val="clear" w:color="auto" w:fill="C2E3FA"/>
          </w:tcPr>
          <w:p w14:paraId="02CFCC77" w14:textId="030F0C86" w:rsidR="00BF7EA7" w:rsidRPr="000540E1" w:rsidRDefault="005C1566" w:rsidP="00540F41">
            <w:pPr>
              <w:pStyle w:val="tablehead"/>
              <w:jc w:val="center"/>
            </w:pPr>
            <w:r>
              <w:t>ESMA</w:t>
            </w:r>
          </w:p>
        </w:tc>
        <w:tc>
          <w:tcPr>
            <w:tcW w:w="392" w:type="pct"/>
            <w:shd w:val="clear" w:color="auto" w:fill="C2E3FA"/>
          </w:tcPr>
          <w:p w14:paraId="78E3A23B" w14:textId="77777777" w:rsidR="00BF7EA7" w:rsidRPr="000540E1" w:rsidRDefault="00BF7EA7" w:rsidP="00540F41">
            <w:pPr>
              <w:pStyle w:val="tablehead"/>
              <w:jc w:val="center"/>
            </w:pPr>
            <w:r>
              <w:t>ASIC</w:t>
            </w:r>
          </w:p>
        </w:tc>
      </w:tr>
      <w:tr w:rsidR="00BF7EA7" w:rsidRPr="000540E1" w14:paraId="62E71E82" w14:textId="77777777" w:rsidTr="00540F41">
        <w:trPr>
          <w:cantSplit/>
        </w:trPr>
        <w:tc>
          <w:tcPr>
            <w:tcW w:w="942" w:type="pct"/>
          </w:tcPr>
          <w:p w14:paraId="0621F09A" w14:textId="7EE51562" w:rsidR="00BF7EA7" w:rsidRPr="000540E1" w:rsidRDefault="00BF7EA7" w:rsidP="00540F41">
            <w:pPr>
              <w:pStyle w:val="tbltext"/>
            </w:pPr>
            <w:r>
              <w:t>Valuation amount</w:t>
            </w:r>
          </w:p>
        </w:tc>
        <w:tc>
          <w:tcPr>
            <w:tcW w:w="2453" w:type="pct"/>
          </w:tcPr>
          <w:p w14:paraId="751EBD32" w14:textId="77777777" w:rsidR="00BF7EA7" w:rsidRDefault="00BF7EA7" w:rsidP="00BF7EA7">
            <w:pPr>
              <w:pStyle w:val="tbltext"/>
            </w:pPr>
            <w:r>
              <w:t>{CDE TG} Current value of the outstanding contract.</w:t>
            </w:r>
          </w:p>
          <w:p w14:paraId="5F17FCBD" w14:textId="52095DA2" w:rsidR="00BF7EA7" w:rsidRPr="000540E1" w:rsidRDefault="00BF7EA7" w:rsidP="00BF7EA7">
            <w:pPr>
              <w:pStyle w:val="tbltext"/>
            </w:pPr>
            <w:r>
              <w:t xml:space="preserve">Valuation amount is expressed as the exit cost of the contract or components of the contract, </w:t>
            </w:r>
            <w:r w:rsidR="00317745">
              <w:t>i.e.</w:t>
            </w:r>
            <w:r>
              <w:t xml:space="preserve"> the price that would be received to sell the contract (in the market in an orderly transaction at the valuation date).</w:t>
            </w:r>
          </w:p>
        </w:tc>
        <w:tc>
          <w:tcPr>
            <w:tcW w:w="403" w:type="pct"/>
          </w:tcPr>
          <w:p w14:paraId="3647D2BA" w14:textId="20700EBC" w:rsidR="00BF7EA7" w:rsidRPr="000540E1" w:rsidRDefault="00BF7EA7" w:rsidP="00540F41">
            <w:pPr>
              <w:pStyle w:val="tbltext"/>
              <w:jc w:val="center"/>
            </w:pPr>
            <w:r>
              <w:t>2.25</w:t>
            </w:r>
          </w:p>
        </w:tc>
        <w:tc>
          <w:tcPr>
            <w:tcW w:w="402" w:type="pct"/>
          </w:tcPr>
          <w:p w14:paraId="7C6BEAE8" w14:textId="13CF0317" w:rsidR="00BF7EA7" w:rsidRPr="000540E1" w:rsidRDefault="00BF7EA7" w:rsidP="00540F41">
            <w:pPr>
              <w:pStyle w:val="tbltext"/>
              <w:jc w:val="center"/>
            </w:pPr>
            <w:r>
              <w:t>110</w:t>
            </w:r>
          </w:p>
        </w:tc>
        <w:tc>
          <w:tcPr>
            <w:tcW w:w="408" w:type="pct"/>
          </w:tcPr>
          <w:p w14:paraId="018D7D26" w14:textId="4DD858F9" w:rsidR="00BF7EA7" w:rsidRPr="000540E1" w:rsidRDefault="00BF7EA7" w:rsidP="00540F41">
            <w:pPr>
              <w:pStyle w:val="tbltext"/>
              <w:jc w:val="center"/>
            </w:pPr>
            <w:r>
              <w:t>2.17</w:t>
            </w:r>
          </w:p>
        </w:tc>
        <w:tc>
          <w:tcPr>
            <w:tcW w:w="392" w:type="pct"/>
          </w:tcPr>
          <w:p w14:paraId="1A55A6A7" w14:textId="72CDB7CD" w:rsidR="00BF7EA7" w:rsidRPr="000540E1" w:rsidRDefault="00BF7EA7" w:rsidP="00540F41">
            <w:pPr>
              <w:pStyle w:val="tbltext"/>
              <w:jc w:val="center"/>
            </w:pPr>
            <w:r>
              <w:t>1.30</w:t>
            </w:r>
          </w:p>
        </w:tc>
      </w:tr>
      <w:tr w:rsidR="00BF7EA7" w:rsidRPr="000540E1" w14:paraId="0C9045CC" w14:textId="77777777" w:rsidTr="00540F41">
        <w:trPr>
          <w:cantSplit/>
        </w:trPr>
        <w:tc>
          <w:tcPr>
            <w:tcW w:w="942" w:type="pct"/>
          </w:tcPr>
          <w:p w14:paraId="578A4E82" w14:textId="60FDA0CF" w:rsidR="00BF7EA7" w:rsidRPr="000540E1" w:rsidRDefault="00BF7EA7" w:rsidP="00540F41">
            <w:pPr>
              <w:pStyle w:val="tbltext"/>
            </w:pPr>
            <w:r>
              <w:t>Valuation currency</w:t>
            </w:r>
          </w:p>
        </w:tc>
        <w:tc>
          <w:tcPr>
            <w:tcW w:w="2453" w:type="pct"/>
          </w:tcPr>
          <w:p w14:paraId="6FF2BB53" w14:textId="33745E54" w:rsidR="00BF7EA7" w:rsidRPr="000540E1" w:rsidRDefault="00BF7EA7" w:rsidP="00540F41">
            <w:pPr>
              <w:pStyle w:val="tbltext"/>
            </w:pPr>
            <w:r>
              <w:t xml:space="preserve">{CDE TG} </w:t>
            </w:r>
            <w:r w:rsidRPr="00BF7EA7">
              <w:t>Currency in which the valuation amount is denominated.</w:t>
            </w:r>
          </w:p>
        </w:tc>
        <w:tc>
          <w:tcPr>
            <w:tcW w:w="403" w:type="pct"/>
          </w:tcPr>
          <w:p w14:paraId="4E0940C9" w14:textId="761381F4" w:rsidR="00BF7EA7" w:rsidRPr="000540E1" w:rsidRDefault="00BF7EA7" w:rsidP="00540F41">
            <w:pPr>
              <w:pStyle w:val="tbltext"/>
              <w:jc w:val="center"/>
            </w:pPr>
            <w:r>
              <w:t>2.26</w:t>
            </w:r>
          </w:p>
        </w:tc>
        <w:tc>
          <w:tcPr>
            <w:tcW w:w="402" w:type="pct"/>
          </w:tcPr>
          <w:p w14:paraId="54072C92" w14:textId="487B5D06" w:rsidR="00BF7EA7" w:rsidRPr="000540E1" w:rsidRDefault="00BF7EA7" w:rsidP="00540F41">
            <w:pPr>
              <w:pStyle w:val="tbltext"/>
              <w:jc w:val="center"/>
            </w:pPr>
            <w:r>
              <w:t>111</w:t>
            </w:r>
          </w:p>
        </w:tc>
        <w:tc>
          <w:tcPr>
            <w:tcW w:w="408" w:type="pct"/>
          </w:tcPr>
          <w:p w14:paraId="3782C78A" w14:textId="2FF33E37" w:rsidR="00BF7EA7" w:rsidRPr="000540E1" w:rsidRDefault="00BF7EA7" w:rsidP="00540F41">
            <w:pPr>
              <w:pStyle w:val="tbltext"/>
              <w:jc w:val="center"/>
            </w:pPr>
            <w:r>
              <w:t>2.18</w:t>
            </w:r>
          </w:p>
        </w:tc>
        <w:tc>
          <w:tcPr>
            <w:tcW w:w="392" w:type="pct"/>
          </w:tcPr>
          <w:p w14:paraId="2F2DD6A5" w14:textId="1F405211" w:rsidR="00BF7EA7" w:rsidRPr="000540E1" w:rsidRDefault="00BF7EA7" w:rsidP="00540F41">
            <w:pPr>
              <w:pStyle w:val="tbltext"/>
              <w:jc w:val="center"/>
            </w:pPr>
            <w:r>
              <w:t>1.31</w:t>
            </w:r>
          </w:p>
        </w:tc>
      </w:tr>
      <w:tr w:rsidR="00E96086" w:rsidRPr="000540E1" w14:paraId="72279488" w14:textId="77777777" w:rsidTr="00540F41">
        <w:trPr>
          <w:cantSplit/>
        </w:trPr>
        <w:tc>
          <w:tcPr>
            <w:tcW w:w="942" w:type="pct"/>
          </w:tcPr>
          <w:p w14:paraId="15D24C06" w14:textId="738EDFFE" w:rsidR="00E96086" w:rsidRDefault="00E96086" w:rsidP="00E96086">
            <w:pPr>
              <w:pStyle w:val="tbltext"/>
            </w:pPr>
            <w:r>
              <w:t>Valuation timestamp</w:t>
            </w:r>
          </w:p>
        </w:tc>
        <w:tc>
          <w:tcPr>
            <w:tcW w:w="2453" w:type="pct"/>
          </w:tcPr>
          <w:p w14:paraId="3FBB3C66" w14:textId="39B89FA1" w:rsidR="00E96086" w:rsidRDefault="00E96086" w:rsidP="00E96086">
            <w:pPr>
              <w:pStyle w:val="tbltext"/>
            </w:pPr>
            <w:r>
              <w:t xml:space="preserve">{CDE TG} </w:t>
            </w:r>
            <w:r w:rsidRPr="00BF7EA7">
              <w:t>Date and time of the last valuation marked to market</w:t>
            </w:r>
            <w:r>
              <w:t>.</w:t>
            </w:r>
          </w:p>
        </w:tc>
        <w:tc>
          <w:tcPr>
            <w:tcW w:w="403" w:type="pct"/>
          </w:tcPr>
          <w:p w14:paraId="0D08F411" w14:textId="0301482A" w:rsidR="00E96086" w:rsidRPr="000540E1" w:rsidRDefault="00E96086" w:rsidP="00E96086">
            <w:pPr>
              <w:pStyle w:val="tbltext"/>
              <w:jc w:val="center"/>
            </w:pPr>
            <w:r>
              <w:t>2.27</w:t>
            </w:r>
          </w:p>
        </w:tc>
        <w:tc>
          <w:tcPr>
            <w:tcW w:w="402" w:type="pct"/>
          </w:tcPr>
          <w:p w14:paraId="2B87EFF1" w14:textId="088CFEE5" w:rsidR="00E96086" w:rsidRPr="000540E1" w:rsidRDefault="00E96086" w:rsidP="00E96086">
            <w:pPr>
              <w:pStyle w:val="tbltext"/>
              <w:jc w:val="center"/>
            </w:pPr>
            <w:r>
              <w:t>113</w:t>
            </w:r>
          </w:p>
        </w:tc>
        <w:tc>
          <w:tcPr>
            <w:tcW w:w="408" w:type="pct"/>
          </w:tcPr>
          <w:p w14:paraId="184D6C11" w14:textId="6EDB6312" w:rsidR="00E96086" w:rsidRDefault="00E96086" w:rsidP="00E96086">
            <w:pPr>
              <w:pStyle w:val="tbltext"/>
              <w:jc w:val="center"/>
            </w:pPr>
            <w:r>
              <w:t>2.19</w:t>
            </w:r>
          </w:p>
        </w:tc>
        <w:tc>
          <w:tcPr>
            <w:tcW w:w="392" w:type="pct"/>
          </w:tcPr>
          <w:p w14:paraId="0820ECC2" w14:textId="0B1BBAE7" w:rsidR="00E96086" w:rsidRPr="000540E1" w:rsidRDefault="00E96086" w:rsidP="00E96086">
            <w:pPr>
              <w:pStyle w:val="tbltext"/>
              <w:jc w:val="center"/>
            </w:pPr>
            <w:r>
              <w:t>n/a</w:t>
            </w:r>
          </w:p>
        </w:tc>
      </w:tr>
      <w:tr w:rsidR="00E96086" w:rsidRPr="000540E1" w14:paraId="20EBBFF5" w14:textId="77777777" w:rsidTr="00540F41">
        <w:trPr>
          <w:cantSplit/>
        </w:trPr>
        <w:tc>
          <w:tcPr>
            <w:tcW w:w="942" w:type="pct"/>
          </w:tcPr>
          <w:p w14:paraId="737A1F3D" w14:textId="655F359A" w:rsidR="00E96086" w:rsidRDefault="00E96086" w:rsidP="00E96086">
            <w:pPr>
              <w:pStyle w:val="tbltext"/>
            </w:pPr>
            <w:r>
              <w:t>Valuation method</w:t>
            </w:r>
          </w:p>
        </w:tc>
        <w:tc>
          <w:tcPr>
            <w:tcW w:w="2453" w:type="pct"/>
          </w:tcPr>
          <w:p w14:paraId="2F0D4E7D" w14:textId="0FE64DA2" w:rsidR="00E96086" w:rsidRDefault="00E96086" w:rsidP="00E96086">
            <w:pPr>
              <w:pStyle w:val="tbltext"/>
            </w:pPr>
            <w:r>
              <w:t>{CDE TG} Source and method used for the valuation of the transaction by the reporting counterparty.</w:t>
            </w:r>
          </w:p>
        </w:tc>
        <w:tc>
          <w:tcPr>
            <w:tcW w:w="403" w:type="pct"/>
          </w:tcPr>
          <w:p w14:paraId="2C88D778" w14:textId="436029D6" w:rsidR="00E96086" w:rsidRPr="000540E1" w:rsidRDefault="00E96086" w:rsidP="00E96086">
            <w:pPr>
              <w:pStyle w:val="tbltext"/>
              <w:jc w:val="center"/>
            </w:pPr>
            <w:r>
              <w:t>2.28</w:t>
            </w:r>
          </w:p>
        </w:tc>
        <w:tc>
          <w:tcPr>
            <w:tcW w:w="402" w:type="pct"/>
          </w:tcPr>
          <w:p w14:paraId="18BEEA11" w14:textId="75E21F01" w:rsidR="00E96086" w:rsidRPr="000540E1" w:rsidRDefault="00E96086" w:rsidP="00E96086">
            <w:pPr>
              <w:pStyle w:val="tbltext"/>
              <w:jc w:val="center"/>
            </w:pPr>
            <w:r>
              <w:t>112</w:t>
            </w:r>
          </w:p>
        </w:tc>
        <w:tc>
          <w:tcPr>
            <w:tcW w:w="408" w:type="pct"/>
          </w:tcPr>
          <w:p w14:paraId="2BB11E52" w14:textId="13F9C357" w:rsidR="00E96086" w:rsidRDefault="00E96086" w:rsidP="00E96086">
            <w:pPr>
              <w:pStyle w:val="tbltext"/>
              <w:jc w:val="center"/>
            </w:pPr>
            <w:r>
              <w:t>2.20</w:t>
            </w:r>
          </w:p>
        </w:tc>
        <w:tc>
          <w:tcPr>
            <w:tcW w:w="392" w:type="pct"/>
          </w:tcPr>
          <w:p w14:paraId="44E50488" w14:textId="4C1F29F2" w:rsidR="00E96086" w:rsidRPr="000540E1" w:rsidRDefault="00E96086" w:rsidP="00E96086">
            <w:pPr>
              <w:pStyle w:val="tbltext"/>
              <w:jc w:val="center"/>
            </w:pPr>
            <w:r>
              <w:t>2.32</w:t>
            </w:r>
          </w:p>
        </w:tc>
      </w:tr>
    </w:tbl>
    <w:p w14:paraId="1AE762CD" w14:textId="4E03CDBE" w:rsidR="00274C82" w:rsidRDefault="00274C82" w:rsidP="00274C82">
      <w:pPr>
        <w:pStyle w:val="BodyText"/>
        <w:rPr>
          <w:rFonts w:eastAsiaTheme="minorHAnsi"/>
        </w:rPr>
      </w:pPr>
      <w:r w:rsidRPr="00274C82">
        <w:rPr>
          <w:rFonts w:eastAsiaTheme="minorHAnsi"/>
        </w:rPr>
        <w:t>‘Valuation amount’, ‘</w:t>
      </w:r>
      <w:r w:rsidR="002F26AF">
        <w:rPr>
          <w:rFonts w:eastAsiaTheme="minorHAnsi"/>
        </w:rPr>
        <w:t>v</w:t>
      </w:r>
      <w:r w:rsidR="002F26AF" w:rsidRPr="00274C82">
        <w:rPr>
          <w:rFonts w:eastAsiaTheme="minorHAnsi"/>
        </w:rPr>
        <w:t xml:space="preserve">aluation </w:t>
      </w:r>
      <w:r w:rsidRPr="00274C82">
        <w:rPr>
          <w:rFonts w:eastAsiaTheme="minorHAnsi"/>
        </w:rPr>
        <w:t>currency</w:t>
      </w:r>
      <w:r>
        <w:rPr>
          <w:rFonts w:eastAsiaTheme="minorHAnsi"/>
        </w:rPr>
        <w:t>’ and ‘</w:t>
      </w:r>
      <w:r w:rsidR="002F26AF">
        <w:rPr>
          <w:rFonts w:eastAsiaTheme="minorHAnsi"/>
        </w:rPr>
        <w:t xml:space="preserve">valuation </w:t>
      </w:r>
      <w:r>
        <w:rPr>
          <w:rFonts w:eastAsiaTheme="minorHAnsi"/>
        </w:rPr>
        <w:t xml:space="preserve">method’ are in each of the </w:t>
      </w:r>
      <w:r w:rsidRPr="00274C82">
        <w:rPr>
          <w:rFonts w:eastAsiaTheme="minorHAnsi"/>
        </w:rPr>
        <w:t xml:space="preserve">CDE </w:t>
      </w:r>
      <w:r w:rsidR="00E401E1">
        <w:rPr>
          <w:rFonts w:eastAsiaTheme="minorHAnsi"/>
        </w:rPr>
        <w:t>Guidance</w:t>
      </w:r>
      <w:r>
        <w:rPr>
          <w:rFonts w:eastAsiaTheme="minorHAnsi"/>
        </w:rPr>
        <w:t xml:space="preserve">, the final CFTC rules, the </w:t>
      </w:r>
      <w:r w:rsidR="000127C8">
        <w:rPr>
          <w:rFonts w:eastAsiaTheme="minorHAnsi"/>
        </w:rPr>
        <w:t>ESMA proposals</w:t>
      </w:r>
      <w:r>
        <w:rPr>
          <w:rFonts w:eastAsiaTheme="minorHAnsi"/>
        </w:rPr>
        <w:t xml:space="preserve"> and the current ASIC Rules.</w:t>
      </w:r>
    </w:p>
    <w:p w14:paraId="59269ED1" w14:textId="73045309" w:rsidR="00BF7EA7" w:rsidRDefault="00274C82" w:rsidP="00183994">
      <w:pPr>
        <w:pStyle w:val="BodyText"/>
        <w:rPr>
          <w:rFonts w:eastAsiaTheme="minorHAnsi"/>
        </w:rPr>
      </w:pPr>
      <w:r w:rsidRPr="00A76F60">
        <w:rPr>
          <w:rFonts w:eastAsiaTheme="minorHAnsi"/>
        </w:rPr>
        <w:t xml:space="preserve">‘Valuation timestamp’ is in the CDE </w:t>
      </w:r>
      <w:r w:rsidR="00E401E1">
        <w:rPr>
          <w:rFonts w:eastAsiaTheme="minorHAnsi"/>
        </w:rPr>
        <w:t>Guidance</w:t>
      </w:r>
      <w:r w:rsidRPr="00A76F60">
        <w:rPr>
          <w:rFonts w:eastAsiaTheme="minorHAnsi"/>
        </w:rPr>
        <w:t xml:space="preserve">, the final CFTC rules and the </w:t>
      </w:r>
      <w:r w:rsidR="000127C8">
        <w:rPr>
          <w:rFonts w:eastAsiaTheme="minorHAnsi"/>
        </w:rPr>
        <w:t>ESMA proposals</w:t>
      </w:r>
      <w:r w:rsidRPr="00A76F60">
        <w:rPr>
          <w:rFonts w:eastAsiaTheme="minorHAnsi"/>
        </w:rPr>
        <w:t xml:space="preserve">. We </w:t>
      </w:r>
      <w:r w:rsidR="009C1E8B">
        <w:rPr>
          <w:rFonts w:eastAsiaTheme="minorHAnsi"/>
        </w:rPr>
        <w:t>consider</w:t>
      </w:r>
      <w:r w:rsidRPr="00A76F60">
        <w:rPr>
          <w:rFonts w:eastAsiaTheme="minorHAnsi"/>
        </w:rPr>
        <w:t xml:space="preserve"> this is an important data element</w:t>
      </w:r>
      <w:r w:rsidR="00A76F60" w:rsidRPr="00A76F60">
        <w:rPr>
          <w:rFonts w:eastAsiaTheme="minorHAnsi"/>
        </w:rPr>
        <w:t xml:space="preserve"> </w:t>
      </w:r>
      <w:r w:rsidR="002F26AF">
        <w:rPr>
          <w:rFonts w:eastAsiaTheme="minorHAnsi"/>
        </w:rPr>
        <w:t>(</w:t>
      </w:r>
      <w:r w:rsidR="00A76F60" w:rsidRPr="00A76F60">
        <w:rPr>
          <w:rFonts w:eastAsiaTheme="minorHAnsi"/>
        </w:rPr>
        <w:t>particularly in evaluating entity exposures</w:t>
      </w:r>
      <w:r w:rsidR="002F26AF">
        <w:rPr>
          <w:rFonts w:eastAsiaTheme="minorHAnsi"/>
        </w:rPr>
        <w:t>)</w:t>
      </w:r>
      <w:r w:rsidR="00A76F60" w:rsidRPr="00A76F60">
        <w:rPr>
          <w:rFonts w:eastAsiaTheme="minorHAnsi"/>
        </w:rPr>
        <w:t xml:space="preserve"> to confirm that the valuation is current.</w:t>
      </w:r>
    </w:p>
    <w:p w14:paraId="0DA56D32" w14:textId="77777777" w:rsidR="00DC6804" w:rsidRDefault="00DC6804" w:rsidP="005E2C08">
      <w:pPr>
        <w:pStyle w:val="Proposalhead"/>
      </w:pPr>
      <w:r>
        <w:t>Proposal</w:t>
      </w:r>
    </w:p>
    <w:p w14:paraId="1E5ADF53" w14:textId="721239E1" w:rsidR="00DC6804" w:rsidRDefault="00DC6804">
      <w:pPr>
        <w:pStyle w:val="Proposaltext"/>
      </w:pPr>
      <w:r>
        <w:t xml:space="preserve">We propose to include in the ASIC Rules the data elements related to valuation set out in </w:t>
      </w:r>
      <w:r w:rsidR="002F26AF">
        <w:fldChar w:fldCharType="begin"/>
      </w:r>
      <w:r w:rsidR="002F26AF">
        <w:instrText xml:space="preserve"> REF _Ref55991728 \h </w:instrText>
      </w:r>
      <w:r w:rsidR="002F26AF">
        <w:fldChar w:fldCharType="separate"/>
      </w:r>
      <w:r w:rsidR="00314C7E">
        <w:t xml:space="preserve">Table </w:t>
      </w:r>
      <w:r w:rsidR="00314C7E">
        <w:rPr>
          <w:noProof/>
        </w:rPr>
        <w:t>14</w:t>
      </w:r>
      <w:r w:rsidR="002F26AF">
        <w:fldChar w:fldCharType="end"/>
      </w:r>
      <w:r>
        <w:t>.</w:t>
      </w:r>
    </w:p>
    <w:p w14:paraId="1F36238F" w14:textId="77777777" w:rsidR="00DC6804" w:rsidRDefault="00DC6804">
      <w:pPr>
        <w:pStyle w:val="Feedbackhead"/>
      </w:pPr>
      <w:r>
        <w:t>Your feedback</w:t>
      </w:r>
    </w:p>
    <w:p w14:paraId="37B6C707" w14:textId="77777777" w:rsidR="00DC6804" w:rsidRDefault="00DC6804" w:rsidP="00DC6804">
      <w:pPr>
        <w:pStyle w:val="Feedbackquestion"/>
      </w:pPr>
      <w:r>
        <w:t>Do you agree with this proposal? In your response, please give detailed reasons for your answer.</w:t>
      </w:r>
    </w:p>
    <w:p w14:paraId="75670E88" w14:textId="1E0A2338" w:rsidR="00DC6804" w:rsidRPr="00A829C7" w:rsidRDefault="00DC6804" w:rsidP="00DC6804">
      <w:pPr>
        <w:pStyle w:val="Feedbackquestion"/>
        <w:rPr>
          <w:spacing w:val="-2"/>
        </w:rPr>
      </w:pPr>
      <w:r w:rsidRPr="00A829C7">
        <w:rPr>
          <w:spacing w:val="-2"/>
        </w:rPr>
        <w:t xml:space="preserve">Do you consider that you will have </w:t>
      </w:r>
      <w:r w:rsidR="00790DEA" w:rsidRPr="00A829C7">
        <w:rPr>
          <w:spacing w:val="-2"/>
        </w:rPr>
        <w:t>particular</w:t>
      </w:r>
      <w:r w:rsidRPr="00A829C7">
        <w:rPr>
          <w:spacing w:val="-2"/>
        </w:rPr>
        <w:t xml:space="preserve"> interpretation or implementation issues with the data elements</w:t>
      </w:r>
      <w:r w:rsidR="002F26AF" w:rsidRPr="00A829C7">
        <w:rPr>
          <w:spacing w:val="-2"/>
        </w:rPr>
        <w:t xml:space="preserve"> in </w:t>
      </w:r>
      <w:r w:rsidR="002F26AF">
        <w:rPr>
          <w:spacing w:val="-2"/>
        </w:rPr>
        <w:fldChar w:fldCharType="begin"/>
      </w:r>
      <w:r w:rsidR="002F26AF">
        <w:rPr>
          <w:spacing w:val="-2"/>
        </w:rPr>
        <w:instrText xml:space="preserve"> REF _Ref55991728 \h </w:instrText>
      </w:r>
      <w:r w:rsidR="002F26AF">
        <w:rPr>
          <w:spacing w:val="-2"/>
        </w:rPr>
      </w:r>
      <w:r w:rsidR="002F26AF">
        <w:rPr>
          <w:spacing w:val="-2"/>
        </w:rPr>
        <w:fldChar w:fldCharType="separate"/>
      </w:r>
      <w:r w:rsidR="00314C7E">
        <w:t xml:space="preserve">Table </w:t>
      </w:r>
      <w:r w:rsidR="00314C7E">
        <w:rPr>
          <w:noProof/>
        </w:rPr>
        <w:t>14</w:t>
      </w:r>
      <w:r w:rsidR="002F26AF">
        <w:rPr>
          <w:spacing w:val="-2"/>
        </w:rPr>
        <w:fldChar w:fldCharType="end"/>
      </w:r>
      <w:r w:rsidRPr="00A829C7">
        <w:rPr>
          <w:spacing w:val="-2"/>
        </w:rPr>
        <w:t>? In your response, please give detailed reasons for your answer.</w:t>
      </w:r>
    </w:p>
    <w:p w14:paraId="0ABB5907" w14:textId="6B163DDD" w:rsidR="000F7F2D" w:rsidRDefault="000F7F2D" w:rsidP="000F7F2D">
      <w:pPr>
        <w:pStyle w:val="Heading2"/>
        <w:rPr>
          <w:rFonts w:eastAsiaTheme="minorHAnsi"/>
        </w:rPr>
      </w:pPr>
      <w:bookmarkStart w:id="109" w:name="_Toc57146495"/>
      <w:r>
        <w:rPr>
          <w:rFonts w:eastAsiaTheme="minorHAnsi"/>
        </w:rPr>
        <w:lastRenderedPageBreak/>
        <w:t>Data elements related to collateral and margins</w:t>
      </w:r>
      <w:bookmarkEnd w:id="109"/>
    </w:p>
    <w:p w14:paraId="7A9C0346" w14:textId="206DEB4F" w:rsidR="00A76F60" w:rsidRDefault="00A76F60" w:rsidP="00A76F60">
      <w:pPr>
        <w:pStyle w:val="BodyText"/>
        <w:rPr>
          <w:rFonts w:eastAsiaTheme="minorHAnsi"/>
        </w:rPr>
      </w:pPr>
      <w:r w:rsidRPr="00A76F60">
        <w:rPr>
          <w:rFonts w:eastAsiaTheme="minorHAnsi"/>
        </w:rPr>
        <w:t xml:space="preserve">We propose to include </w:t>
      </w:r>
      <w:r w:rsidR="00CB1A88" w:rsidRPr="00A76F60">
        <w:rPr>
          <w:rFonts w:eastAsiaTheme="minorHAnsi"/>
        </w:rPr>
        <w:t xml:space="preserve">in the ASIC Rules </w:t>
      </w:r>
      <w:r w:rsidRPr="00A76F60">
        <w:rPr>
          <w:rFonts w:eastAsiaTheme="minorHAnsi"/>
        </w:rPr>
        <w:t>the data elements</w:t>
      </w:r>
      <w:r w:rsidR="00CB1A88">
        <w:rPr>
          <w:rFonts w:eastAsiaTheme="minorHAnsi"/>
        </w:rPr>
        <w:t xml:space="preserve"> set out in </w:t>
      </w:r>
      <w:r w:rsidR="00CB1A88">
        <w:rPr>
          <w:rFonts w:eastAsiaTheme="minorHAnsi"/>
        </w:rPr>
        <w:fldChar w:fldCharType="begin"/>
      </w:r>
      <w:r w:rsidR="00CB1A88">
        <w:rPr>
          <w:rFonts w:eastAsiaTheme="minorHAnsi"/>
        </w:rPr>
        <w:instrText xml:space="preserve"> REF _Ref55993146 \h </w:instrText>
      </w:r>
      <w:r w:rsidR="00CB1A88">
        <w:rPr>
          <w:rFonts w:eastAsiaTheme="minorHAnsi"/>
        </w:rPr>
      </w:r>
      <w:r w:rsidR="00CB1A88">
        <w:rPr>
          <w:rFonts w:eastAsiaTheme="minorHAnsi"/>
        </w:rPr>
        <w:fldChar w:fldCharType="separate"/>
      </w:r>
      <w:r w:rsidR="00314C7E">
        <w:t xml:space="preserve">Table </w:t>
      </w:r>
      <w:r w:rsidR="00314C7E">
        <w:rPr>
          <w:noProof/>
        </w:rPr>
        <w:t>15</w:t>
      </w:r>
      <w:r w:rsidR="00CB1A88">
        <w:rPr>
          <w:rFonts w:eastAsiaTheme="minorHAnsi"/>
        </w:rPr>
        <w:fldChar w:fldCharType="end"/>
      </w:r>
      <w:r w:rsidRPr="00A76F60">
        <w:rPr>
          <w:rFonts w:eastAsiaTheme="minorHAnsi"/>
        </w:rPr>
        <w:t xml:space="preserve">. </w:t>
      </w:r>
      <w:r w:rsidR="003C0062">
        <w:rPr>
          <w:rFonts w:eastAsiaTheme="minorHAnsi"/>
        </w:rPr>
        <w:t>The majority</w:t>
      </w:r>
      <w:r w:rsidRPr="00A76F60">
        <w:rPr>
          <w:rFonts w:eastAsiaTheme="minorHAnsi"/>
        </w:rPr>
        <w:t xml:space="preserve"> of these data elements are CDE </w:t>
      </w:r>
      <w:r w:rsidR="00E401E1">
        <w:rPr>
          <w:rFonts w:eastAsiaTheme="minorHAnsi"/>
        </w:rPr>
        <w:t>Guidance</w:t>
      </w:r>
      <w:r w:rsidRPr="00A76F60">
        <w:rPr>
          <w:rFonts w:eastAsiaTheme="minorHAnsi"/>
        </w:rPr>
        <w:t xml:space="preserve"> data elements </w:t>
      </w:r>
      <w:r w:rsidR="00921137">
        <w:rPr>
          <w:rFonts w:eastAsiaTheme="minorHAnsi"/>
        </w:rPr>
        <w:t>which</w:t>
      </w:r>
      <w:r w:rsidR="00921137" w:rsidRPr="00A76F60">
        <w:rPr>
          <w:rFonts w:eastAsiaTheme="minorHAnsi"/>
        </w:rPr>
        <w:t xml:space="preserve"> </w:t>
      </w:r>
      <w:r w:rsidR="00193DFB">
        <w:rPr>
          <w:rFonts w:eastAsiaTheme="minorHAnsi"/>
        </w:rPr>
        <w:t xml:space="preserve">are </w:t>
      </w:r>
      <w:r w:rsidRPr="00A76F60">
        <w:rPr>
          <w:rFonts w:eastAsiaTheme="minorHAnsi"/>
        </w:rPr>
        <w:t xml:space="preserve">also common to the final CFTC rules and/or the </w:t>
      </w:r>
      <w:r w:rsidR="000127C8">
        <w:rPr>
          <w:rFonts w:eastAsiaTheme="minorHAnsi"/>
        </w:rPr>
        <w:t>ESMA proposals</w:t>
      </w:r>
      <w:r w:rsidRPr="00A76F60">
        <w:rPr>
          <w:rFonts w:eastAsiaTheme="minorHAnsi"/>
        </w:rPr>
        <w:t>.</w:t>
      </w:r>
    </w:p>
    <w:p w14:paraId="4F5B651D" w14:textId="020FCBBD" w:rsidR="001246F0" w:rsidRDefault="001246F0" w:rsidP="00A76F60">
      <w:pPr>
        <w:pStyle w:val="BodyText"/>
        <w:rPr>
          <w:rFonts w:eastAsiaTheme="minorHAnsi"/>
        </w:rPr>
      </w:pPr>
      <w:r>
        <w:rPr>
          <w:rFonts w:eastAsiaTheme="minorHAnsi"/>
        </w:rPr>
        <w:t>The current ASIC Rules only require the equivalent of ‘</w:t>
      </w:r>
      <w:r w:rsidR="00193DFB">
        <w:rPr>
          <w:rFonts w:eastAsiaTheme="minorHAnsi"/>
        </w:rPr>
        <w:t xml:space="preserve">collateral </w:t>
      </w:r>
      <w:r>
        <w:rPr>
          <w:rFonts w:eastAsiaTheme="minorHAnsi"/>
        </w:rPr>
        <w:t>portfolio indicator’, ‘</w:t>
      </w:r>
      <w:r w:rsidR="00193DFB">
        <w:rPr>
          <w:rFonts w:eastAsiaTheme="minorHAnsi"/>
        </w:rPr>
        <w:t xml:space="preserve">collateral </w:t>
      </w:r>
      <w:r>
        <w:rPr>
          <w:rFonts w:eastAsiaTheme="minorHAnsi"/>
        </w:rPr>
        <w:t>portfolio code’, ‘</w:t>
      </w:r>
      <w:r w:rsidR="00193DFB">
        <w:rPr>
          <w:rFonts w:eastAsiaTheme="minorHAnsi"/>
        </w:rPr>
        <w:t xml:space="preserve">collateralisation </w:t>
      </w:r>
      <w:r>
        <w:rPr>
          <w:rFonts w:eastAsiaTheme="minorHAnsi"/>
        </w:rPr>
        <w:t>category’ and a single value for the total amount of collateral posted (and the currency in which the collateral amount is denominated).</w:t>
      </w:r>
    </w:p>
    <w:p w14:paraId="251511CD" w14:textId="74F48921" w:rsidR="001246F0" w:rsidRPr="00A76F60" w:rsidRDefault="001246F0" w:rsidP="00A76F60">
      <w:pPr>
        <w:pStyle w:val="BodyText"/>
        <w:rPr>
          <w:rFonts w:eastAsiaTheme="minorHAnsi"/>
        </w:rPr>
      </w:pPr>
      <w:r>
        <w:rPr>
          <w:rFonts w:eastAsiaTheme="minorHAnsi"/>
        </w:rPr>
        <w:t xml:space="preserve">The inclusion in the ASIC Rules of the data elements that disaggregate collateral amounts by initial margin and variation margin and by posted and received </w:t>
      </w:r>
      <w:r w:rsidR="00CD43F9">
        <w:rPr>
          <w:rFonts w:eastAsiaTheme="minorHAnsi"/>
        </w:rPr>
        <w:t>is important to enable the Australian regulators to evaluate entity exposures to each other and the important potential and actual systemic risks that may be present.</w:t>
      </w:r>
    </w:p>
    <w:p w14:paraId="0A9AB218" w14:textId="5B96F2A4" w:rsidR="00C42FAF" w:rsidRDefault="001474A2" w:rsidP="00A76F60">
      <w:pPr>
        <w:pStyle w:val="BodyText"/>
        <w:rPr>
          <w:rFonts w:eastAsiaTheme="minorHAnsi"/>
        </w:rPr>
      </w:pPr>
      <w:r>
        <w:rPr>
          <w:rFonts w:eastAsiaTheme="minorHAnsi"/>
        </w:rPr>
        <w:t xml:space="preserve">We also propose to adopt the final CFTC rules variation to the CDE Guidance that provides for two </w:t>
      </w:r>
      <w:r w:rsidR="00193DFB">
        <w:rPr>
          <w:rFonts w:eastAsiaTheme="minorHAnsi"/>
        </w:rPr>
        <w:t xml:space="preserve">collateral portfolio codes </w:t>
      </w:r>
      <w:r>
        <w:rPr>
          <w:rFonts w:eastAsiaTheme="minorHAnsi"/>
        </w:rPr>
        <w:t>for a transaction</w:t>
      </w:r>
      <w:r w:rsidR="00193DFB" w:rsidRPr="00A829C7">
        <w:rPr>
          <w:rFonts w:eastAsiaTheme="minorHAnsi"/>
        </w:rPr>
        <w:t>—</w:t>
      </w:r>
      <w:r w:rsidR="00193DFB">
        <w:rPr>
          <w:rFonts w:eastAsiaTheme="minorHAnsi"/>
        </w:rPr>
        <w:t>so</w:t>
      </w:r>
      <w:r>
        <w:rPr>
          <w:rFonts w:eastAsiaTheme="minorHAnsi"/>
        </w:rPr>
        <w:t xml:space="preserve"> that it can be clarified if the transaction </w:t>
      </w:r>
      <w:r w:rsidR="00C42FAF">
        <w:rPr>
          <w:rFonts w:eastAsiaTheme="minorHAnsi"/>
        </w:rPr>
        <w:t>is collateralised in a portfolio for initial margin purposes and/or in a different portfolio for variation margin purposes.</w:t>
      </w:r>
    </w:p>
    <w:p w14:paraId="643DAEF2" w14:textId="6BF7F594" w:rsidR="001474A2" w:rsidRPr="00A76F60" w:rsidRDefault="00C42FAF" w:rsidP="00A76F60">
      <w:pPr>
        <w:pStyle w:val="BodyText"/>
        <w:rPr>
          <w:rFonts w:eastAsiaTheme="minorHAnsi"/>
        </w:rPr>
      </w:pPr>
      <w:r>
        <w:rPr>
          <w:rFonts w:eastAsiaTheme="minorHAnsi"/>
        </w:rPr>
        <w:t xml:space="preserve">Further, we also propose to adopt the final CFTC rules </w:t>
      </w:r>
      <w:r w:rsidR="00AB4808">
        <w:rPr>
          <w:rFonts w:eastAsiaTheme="minorHAnsi"/>
        </w:rPr>
        <w:t>data element</w:t>
      </w:r>
      <w:r>
        <w:rPr>
          <w:rFonts w:eastAsiaTheme="minorHAnsi"/>
        </w:rPr>
        <w:t xml:space="preserve"> of ‘</w:t>
      </w:r>
      <w:r w:rsidR="00921137">
        <w:t>p</w:t>
      </w:r>
      <w:r w:rsidR="00921137" w:rsidRPr="00C42FAF">
        <w:t xml:space="preserve">ortfolio </w:t>
      </w:r>
      <w:r w:rsidRPr="00C42FAF">
        <w:t>containing non-reportable component indicator</w:t>
      </w:r>
      <w:r>
        <w:rPr>
          <w:rFonts w:eastAsiaTheme="minorHAnsi"/>
        </w:rPr>
        <w:t xml:space="preserve">’ which is a </w:t>
      </w:r>
      <w:r w:rsidR="004A2760">
        <w:rPr>
          <w:rFonts w:eastAsiaTheme="minorHAnsi"/>
        </w:rPr>
        <w:t>t</w:t>
      </w:r>
      <w:r>
        <w:rPr>
          <w:rFonts w:eastAsiaTheme="minorHAnsi"/>
        </w:rPr>
        <w:t>rue</w:t>
      </w:r>
      <w:r w:rsidR="004A2760">
        <w:rPr>
          <w:rFonts w:eastAsiaTheme="minorHAnsi"/>
        </w:rPr>
        <w:t xml:space="preserve"> or false value</w:t>
      </w:r>
      <w:r>
        <w:rPr>
          <w:rFonts w:eastAsiaTheme="minorHAnsi"/>
        </w:rPr>
        <w:t xml:space="preserve"> of whether the </w:t>
      </w:r>
      <w:r w:rsidR="005C246B">
        <w:rPr>
          <w:rFonts w:eastAsiaTheme="minorHAnsi"/>
        </w:rPr>
        <w:t xml:space="preserve">collateral portfolio comprises transactions that are not </w:t>
      </w:r>
      <w:r w:rsidR="00A65611">
        <w:rPr>
          <w:rFonts w:eastAsiaTheme="minorHAnsi"/>
        </w:rPr>
        <w:t>reportable transact</w:t>
      </w:r>
      <w:r w:rsidR="005C246B">
        <w:rPr>
          <w:rFonts w:eastAsiaTheme="minorHAnsi"/>
        </w:rPr>
        <w:t>ions under the ASIC Rules</w:t>
      </w:r>
      <w:r w:rsidR="00360FD6">
        <w:rPr>
          <w:rFonts w:eastAsiaTheme="minorHAnsi"/>
        </w:rPr>
        <w:t>.</w:t>
      </w:r>
    </w:p>
    <w:p w14:paraId="2A882F1A" w14:textId="722C37BF" w:rsidR="00DF345B" w:rsidRPr="004857CC" w:rsidRDefault="00DF345B" w:rsidP="00DF345B">
      <w:pPr>
        <w:pStyle w:val="tabletitlefullwidth"/>
      </w:pPr>
      <w:bookmarkStart w:id="110" w:name="_Ref55993146"/>
      <w:r>
        <w:t xml:space="preserve">Table </w:t>
      </w:r>
      <w:r w:rsidR="007055A5">
        <w:fldChar w:fldCharType="begin"/>
      </w:r>
      <w:r w:rsidR="007055A5">
        <w:instrText xml:space="preserve"> SEQ Table \* ARABIC </w:instrText>
      </w:r>
      <w:r w:rsidR="007055A5">
        <w:fldChar w:fldCharType="separate"/>
      </w:r>
      <w:r w:rsidR="00314C7E">
        <w:rPr>
          <w:noProof/>
        </w:rPr>
        <w:t>15</w:t>
      </w:r>
      <w:r w:rsidR="007055A5">
        <w:rPr>
          <w:noProof/>
        </w:rPr>
        <w:fldChar w:fldCharType="end"/>
      </w:r>
      <w:bookmarkEnd w:id="110"/>
      <w:r>
        <w:t>:</w:t>
      </w:r>
      <w:r>
        <w:tab/>
      </w:r>
      <w:r w:rsidR="00653B1C">
        <w:t xml:space="preserve">Proposed data elements related to </w:t>
      </w:r>
      <w:r w:rsidR="00653B1C">
        <w:rPr>
          <w:rFonts w:eastAsiaTheme="minorHAnsi"/>
        </w:rPr>
        <w:t>collateral and margins</w:t>
      </w:r>
    </w:p>
    <w:tbl>
      <w:tblPr>
        <w:tblW w:w="4982" w:type="pct"/>
        <w:tblBorders>
          <w:top w:val="single" w:sz="4" w:space="0" w:color="999999"/>
          <w:bottom w:val="single" w:sz="4" w:space="0" w:color="999999"/>
          <w:insideH w:val="single" w:sz="4" w:space="0" w:color="999999"/>
        </w:tblBorders>
        <w:tblLayout w:type="fixed"/>
        <w:tblCellMar>
          <w:bottom w:w="113" w:type="dxa"/>
        </w:tblCellMar>
        <w:tblLook w:val="0620" w:firstRow="1" w:lastRow="0" w:firstColumn="0" w:lastColumn="0" w:noHBand="1" w:noVBand="1"/>
      </w:tblPr>
      <w:tblGrid>
        <w:gridCol w:w="1496"/>
        <w:gridCol w:w="3891"/>
        <w:gridCol w:w="913"/>
        <w:gridCol w:w="913"/>
        <w:gridCol w:w="913"/>
        <w:gridCol w:w="911"/>
      </w:tblGrid>
      <w:tr w:rsidR="000F7F2D" w:rsidRPr="000540E1" w14:paraId="6408AD89" w14:textId="77777777" w:rsidTr="00136CC5">
        <w:trPr>
          <w:cantSplit/>
          <w:tblHeader/>
        </w:trPr>
        <w:tc>
          <w:tcPr>
            <w:tcW w:w="828" w:type="pct"/>
            <w:shd w:val="clear" w:color="auto" w:fill="C2E3FA"/>
          </w:tcPr>
          <w:p w14:paraId="53D1A77E" w14:textId="77777777" w:rsidR="000F7F2D" w:rsidRDefault="000F7F2D" w:rsidP="00A829C7">
            <w:pPr>
              <w:pStyle w:val="tablehead"/>
              <w:spacing w:before="100" w:line="230" w:lineRule="atLeast"/>
            </w:pPr>
          </w:p>
        </w:tc>
        <w:tc>
          <w:tcPr>
            <w:tcW w:w="2153" w:type="pct"/>
            <w:shd w:val="clear" w:color="auto" w:fill="C2E3FA"/>
          </w:tcPr>
          <w:p w14:paraId="2D136916" w14:textId="77777777" w:rsidR="000F7F2D" w:rsidRDefault="000F7F2D" w:rsidP="00A829C7">
            <w:pPr>
              <w:pStyle w:val="tablehead"/>
              <w:spacing w:before="100" w:line="230" w:lineRule="atLeast"/>
            </w:pPr>
          </w:p>
        </w:tc>
        <w:tc>
          <w:tcPr>
            <w:tcW w:w="2019" w:type="pct"/>
            <w:gridSpan w:val="4"/>
            <w:shd w:val="clear" w:color="auto" w:fill="C2E3FA"/>
          </w:tcPr>
          <w:p w14:paraId="5CB34270" w14:textId="73F65174" w:rsidR="000F7F2D" w:rsidRPr="000540E1" w:rsidRDefault="001156A2" w:rsidP="00A829C7">
            <w:pPr>
              <w:pStyle w:val="tablehead"/>
              <w:spacing w:before="100" w:line="230" w:lineRule="atLeast"/>
              <w:jc w:val="center"/>
            </w:pPr>
            <w:r>
              <w:t>Element</w:t>
            </w:r>
            <w:r w:rsidR="000F7F2D">
              <w:t xml:space="preserve"> number references</w:t>
            </w:r>
          </w:p>
        </w:tc>
      </w:tr>
      <w:tr w:rsidR="000F7F2D" w:rsidRPr="000540E1" w14:paraId="2BA5533B" w14:textId="77777777" w:rsidTr="00136CC5">
        <w:trPr>
          <w:cantSplit/>
          <w:tblHeader/>
        </w:trPr>
        <w:tc>
          <w:tcPr>
            <w:tcW w:w="828" w:type="pct"/>
            <w:shd w:val="clear" w:color="auto" w:fill="C2E3FA"/>
          </w:tcPr>
          <w:p w14:paraId="3BF63B5C" w14:textId="77777777" w:rsidR="000F7F2D" w:rsidRDefault="000F7F2D" w:rsidP="00A829C7">
            <w:pPr>
              <w:pStyle w:val="tablehead"/>
              <w:spacing w:before="100" w:line="230" w:lineRule="atLeast"/>
            </w:pPr>
            <w:r>
              <w:t>Data element</w:t>
            </w:r>
          </w:p>
        </w:tc>
        <w:tc>
          <w:tcPr>
            <w:tcW w:w="2153" w:type="pct"/>
            <w:shd w:val="clear" w:color="auto" w:fill="C2E3FA"/>
          </w:tcPr>
          <w:p w14:paraId="7050030C" w14:textId="6F958415" w:rsidR="000F7F2D" w:rsidRDefault="00277807" w:rsidP="00A829C7">
            <w:pPr>
              <w:pStyle w:val="tablehead"/>
              <w:spacing w:before="100" w:line="230" w:lineRule="atLeast"/>
            </w:pPr>
            <w:r>
              <w:t>Definition</w:t>
            </w:r>
            <w:r w:rsidR="00193DFB">
              <w:rPr>
                <w:rFonts w:ascii="Calibri" w:hAnsi="Calibri"/>
              </w:rPr>
              <w:t>—</w:t>
            </w:r>
            <w:r w:rsidR="00193DFB">
              <w:t>S</w:t>
            </w:r>
            <w:r>
              <w:t>ummary of key points</w:t>
            </w:r>
          </w:p>
        </w:tc>
        <w:tc>
          <w:tcPr>
            <w:tcW w:w="505" w:type="pct"/>
            <w:shd w:val="clear" w:color="auto" w:fill="C2E3FA"/>
          </w:tcPr>
          <w:p w14:paraId="4891E044" w14:textId="79739D73" w:rsidR="000F7F2D" w:rsidRPr="000540E1" w:rsidRDefault="000F7F2D" w:rsidP="00A829C7">
            <w:pPr>
              <w:pStyle w:val="tablehead"/>
              <w:spacing w:before="100" w:line="230" w:lineRule="atLeast"/>
              <w:jc w:val="center"/>
            </w:pPr>
            <w:r>
              <w:t>CDE</w:t>
            </w:r>
          </w:p>
        </w:tc>
        <w:tc>
          <w:tcPr>
            <w:tcW w:w="505" w:type="pct"/>
            <w:shd w:val="clear" w:color="auto" w:fill="C2E3FA"/>
          </w:tcPr>
          <w:p w14:paraId="1F5562C0" w14:textId="77777777" w:rsidR="000F7F2D" w:rsidRPr="000540E1" w:rsidRDefault="000F7F2D" w:rsidP="00A829C7">
            <w:pPr>
              <w:pStyle w:val="tablehead"/>
              <w:spacing w:before="100" w:line="230" w:lineRule="atLeast"/>
              <w:jc w:val="center"/>
            </w:pPr>
            <w:r>
              <w:t>CFTC</w:t>
            </w:r>
          </w:p>
        </w:tc>
        <w:tc>
          <w:tcPr>
            <w:tcW w:w="505" w:type="pct"/>
            <w:shd w:val="clear" w:color="auto" w:fill="C2E3FA"/>
          </w:tcPr>
          <w:p w14:paraId="29BA359F" w14:textId="4C910A99" w:rsidR="000F7F2D" w:rsidRPr="000540E1" w:rsidRDefault="005C1566" w:rsidP="00A829C7">
            <w:pPr>
              <w:pStyle w:val="tablehead"/>
              <w:spacing w:before="100" w:line="230" w:lineRule="atLeast"/>
              <w:jc w:val="center"/>
            </w:pPr>
            <w:r>
              <w:t>ESMA</w:t>
            </w:r>
          </w:p>
        </w:tc>
        <w:tc>
          <w:tcPr>
            <w:tcW w:w="505" w:type="pct"/>
            <w:shd w:val="clear" w:color="auto" w:fill="C2E3FA"/>
          </w:tcPr>
          <w:p w14:paraId="67A7CE61" w14:textId="77777777" w:rsidR="000F7F2D" w:rsidRPr="000540E1" w:rsidRDefault="000F7F2D" w:rsidP="00A829C7">
            <w:pPr>
              <w:pStyle w:val="tablehead"/>
              <w:spacing w:before="100" w:line="230" w:lineRule="atLeast"/>
              <w:jc w:val="center"/>
            </w:pPr>
            <w:r>
              <w:t>ASIC</w:t>
            </w:r>
          </w:p>
        </w:tc>
      </w:tr>
      <w:tr w:rsidR="00E96086" w:rsidRPr="000540E1" w14:paraId="39D6890D" w14:textId="77777777" w:rsidTr="00136CC5">
        <w:trPr>
          <w:cantSplit/>
        </w:trPr>
        <w:tc>
          <w:tcPr>
            <w:tcW w:w="828" w:type="pct"/>
          </w:tcPr>
          <w:p w14:paraId="0076B8CF" w14:textId="58BB4A1E" w:rsidR="00E96086" w:rsidRPr="000540E1" w:rsidRDefault="00E96086" w:rsidP="00A829C7">
            <w:pPr>
              <w:pStyle w:val="tbltext"/>
              <w:spacing w:before="100" w:line="230" w:lineRule="atLeast"/>
            </w:pPr>
            <w:r>
              <w:t>Collateral portfolio indicator</w:t>
            </w:r>
          </w:p>
        </w:tc>
        <w:tc>
          <w:tcPr>
            <w:tcW w:w="2153" w:type="pct"/>
          </w:tcPr>
          <w:p w14:paraId="3F844FC2" w14:textId="11D511CE" w:rsidR="00E96086" w:rsidRPr="000540E1" w:rsidRDefault="00E96086" w:rsidP="00A829C7">
            <w:pPr>
              <w:pStyle w:val="tbltext"/>
              <w:spacing w:before="100" w:line="230" w:lineRule="atLeast"/>
            </w:pPr>
            <w:r>
              <w:t xml:space="preserve">{CDE TG} </w:t>
            </w:r>
            <w:r w:rsidRPr="00BA69C2">
              <w:t>Indicator of whether the collateralisation was performed on a portfolio basis.</w:t>
            </w:r>
          </w:p>
        </w:tc>
        <w:tc>
          <w:tcPr>
            <w:tcW w:w="505" w:type="pct"/>
          </w:tcPr>
          <w:p w14:paraId="51F49B45" w14:textId="48A9112C" w:rsidR="00E96086" w:rsidRPr="000540E1" w:rsidRDefault="00E96086" w:rsidP="00A829C7">
            <w:pPr>
              <w:pStyle w:val="tbltext"/>
              <w:spacing w:before="100" w:line="230" w:lineRule="atLeast"/>
              <w:jc w:val="center"/>
            </w:pPr>
            <w:r>
              <w:t>2.29</w:t>
            </w:r>
          </w:p>
        </w:tc>
        <w:tc>
          <w:tcPr>
            <w:tcW w:w="505" w:type="pct"/>
          </w:tcPr>
          <w:p w14:paraId="2FF57F15" w14:textId="02938EFF" w:rsidR="00E96086" w:rsidRPr="000540E1" w:rsidRDefault="00E96086" w:rsidP="00A829C7">
            <w:pPr>
              <w:pStyle w:val="tbltext"/>
              <w:spacing w:before="100" w:line="230" w:lineRule="atLeast"/>
              <w:jc w:val="center"/>
            </w:pPr>
            <w:r>
              <w:t>n/a</w:t>
            </w:r>
          </w:p>
        </w:tc>
        <w:tc>
          <w:tcPr>
            <w:tcW w:w="505" w:type="pct"/>
          </w:tcPr>
          <w:p w14:paraId="78191A5F" w14:textId="4DFEA37F" w:rsidR="00E96086" w:rsidRPr="000540E1" w:rsidRDefault="00E96086" w:rsidP="00A829C7">
            <w:pPr>
              <w:pStyle w:val="tbltext"/>
              <w:spacing w:before="100" w:line="230" w:lineRule="atLeast"/>
              <w:jc w:val="center"/>
            </w:pPr>
            <w:r>
              <w:t>2.21</w:t>
            </w:r>
          </w:p>
        </w:tc>
        <w:tc>
          <w:tcPr>
            <w:tcW w:w="505" w:type="pct"/>
          </w:tcPr>
          <w:p w14:paraId="7615B53B" w14:textId="17B0696E" w:rsidR="00E96086" w:rsidRPr="000540E1" w:rsidRDefault="00E96086" w:rsidP="00A829C7">
            <w:pPr>
              <w:pStyle w:val="tbltext"/>
              <w:spacing w:before="100" w:line="230" w:lineRule="atLeast"/>
              <w:jc w:val="center"/>
            </w:pPr>
            <w:r>
              <w:t>1.41</w:t>
            </w:r>
          </w:p>
        </w:tc>
      </w:tr>
      <w:tr w:rsidR="00E96086" w:rsidRPr="000540E1" w14:paraId="20BB650D" w14:textId="77777777" w:rsidTr="00136CC5">
        <w:trPr>
          <w:cantSplit/>
        </w:trPr>
        <w:tc>
          <w:tcPr>
            <w:tcW w:w="828" w:type="pct"/>
          </w:tcPr>
          <w:p w14:paraId="5464756C" w14:textId="4D6CD410" w:rsidR="00E96086" w:rsidRPr="000540E1" w:rsidRDefault="00E96086" w:rsidP="00A829C7">
            <w:pPr>
              <w:pStyle w:val="tbltext"/>
              <w:spacing w:before="100" w:line="230" w:lineRule="atLeast"/>
            </w:pPr>
            <w:r>
              <w:t>Collateral portfolio code (</w:t>
            </w:r>
            <w:r w:rsidR="00193DFB">
              <w:t>initial margin</w:t>
            </w:r>
            <w:r>
              <w:t>)</w:t>
            </w:r>
          </w:p>
        </w:tc>
        <w:tc>
          <w:tcPr>
            <w:tcW w:w="2153" w:type="pct"/>
          </w:tcPr>
          <w:p w14:paraId="2CF999F6" w14:textId="0361BF70" w:rsidR="00E96086" w:rsidRPr="000540E1" w:rsidRDefault="00E96086" w:rsidP="00A829C7">
            <w:pPr>
              <w:pStyle w:val="tbltext"/>
              <w:spacing w:before="100" w:line="230" w:lineRule="atLeast"/>
            </w:pPr>
            <w:r>
              <w:t xml:space="preserve">{CDE TG} If collateral [as </w:t>
            </w:r>
            <w:r w:rsidR="00193DFB">
              <w:t>initial margin</w:t>
            </w:r>
            <w:r>
              <w:t>] is reported on a portfolio basis, a unique code assigned by the reporting counterparty to the portfolio.</w:t>
            </w:r>
          </w:p>
        </w:tc>
        <w:tc>
          <w:tcPr>
            <w:tcW w:w="505" w:type="pct"/>
          </w:tcPr>
          <w:p w14:paraId="0635A156" w14:textId="77777777" w:rsidR="00E96086" w:rsidRDefault="00E96086" w:rsidP="00A829C7">
            <w:pPr>
              <w:pStyle w:val="tbltext"/>
              <w:spacing w:before="100" w:line="230" w:lineRule="atLeast"/>
              <w:jc w:val="center"/>
            </w:pPr>
            <w:r>
              <w:t>2.30</w:t>
            </w:r>
          </w:p>
          <w:p w14:paraId="7E943127" w14:textId="527B1FB5" w:rsidR="00E96086" w:rsidRPr="000540E1" w:rsidRDefault="00E96086" w:rsidP="00A829C7">
            <w:pPr>
              <w:pStyle w:val="tbltext"/>
              <w:spacing w:before="100" w:line="230" w:lineRule="atLeast"/>
              <w:jc w:val="center"/>
            </w:pPr>
            <w:r>
              <w:t>(IM+VM)</w:t>
            </w:r>
          </w:p>
        </w:tc>
        <w:tc>
          <w:tcPr>
            <w:tcW w:w="505" w:type="pct"/>
          </w:tcPr>
          <w:p w14:paraId="2CCD26B0" w14:textId="77777777" w:rsidR="00E96086" w:rsidRDefault="00E96086" w:rsidP="00A829C7">
            <w:pPr>
              <w:pStyle w:val="tbltext"/>
              <w:spacing w:before="100" w:line="230" w:lineRule="atLeast"/>
              <w:jc w:val="center"/>
            </w:pPr>
            <w:r>
              <w:t>116</w:t>
            </w:r>
          </w:p>
          <w:p w14:paraId="17C73109" w14:textId="5551FE2F" w:rsidR="00E96086" w:rsidRPr="000540E1" w:rsidRDefault="00E96086" w:rsidP="00A829C7">
            <w:pPr>
              <w:pStyle w:val="tbltext"/>
              <w:spacing w:before="100" w:line="230" w:lineRule="atLeast"/>
              <w:jc w:val="center"/>
            </w:pPr>
            <w:r>
              <w:t>(IM)</w:t>
            </w:r>
          </w:p>
        </w:tc>
        <w:tc>
          <w:tcPr>
            <w:tcW w:w="505" w:type="pct"/>
          </w:tcPr>
          <w:p w14:paraId="61481ED6" w14:textId="77777777" w:rsidR="00E96086" w:rsidRDefault="00E96086" w:rsidP="00A829C7">
            <w:pPr>
              <w:pStyle w:val="tbltext"/>
              <w:spacing w:before="100" w:line="230" w:lineRule="atLeast"/>
              <w:jc w:val="center"/>
            </w:pPr>
            <w:r>
              <w:t>2.22</w:t>
            </w:r>
          </w:p>
          <w:p w14:paraId="4FB0E74F" w14:textId="79A26592" w:rsidR="00E96086" w:rsidRPr="000540E1" w:rsidRDefault="00E96086" w:rsidP="00A829C7">
            <w:pPr>
              <w:pStyle w:val="tbltext"/>
              <w:spacing w:before="100" w:line="230" w:lineRule="atLeast"/>
              <w:jc w:val="center"/>
            </w:pPr>
            <w:r>
              <w:t>(IM+VM)</w:t>
            </w:r>
          </w:p>
        </w:tc>
        <w:tc>
          <w:tcPr>
            <w:tcW w:w="505" w:type="pct"/>
          </w:tcPr>
          <w:p w14:paraId="0A567EA4" w14:textId="77777777" w:rsidR="00E96086" w:rsidRDefault="00E96086" w:rsidP="00A829C7">
            <w:pPr>
              <w:pStyle w:val="tbltext"/>
              <w:spacing w:before="100" w:line="230" w:lineRule="atLeast"/>
              <w:jc w:val="center"/>
            </w:pPr>
            <w:r>
              <w:t>1.42</w:t>
            </w:r>
          </w:p>
          <w:p w14:paraId="50A68EA6" w14:textId="30500EDA" w:rsidR="00E96086" w:rsidRPr="000540E1" w:rsidRDefault="00E96086" w:rsidP="00A829C7">
            <w:pPr>
              <w:pStyle w:val="tbltext"/>
              <w:spacing w:before="100" w:line="230" w:lineRule="atLeast"/>
              <w:jc w:val="center"/>
            </w:pPr>
            <w:r>
              <w:t>(IM+VM)</w:t>
            </w:r>
          </w:p>
        </w:tc>
      </w:tr>
      <w:tr w:rsidR="00E96086" w:rsidRPr="000540E1" w14:paraId="49C1CE89" w14:textId="77777777" w:rsidTr="00136CC5">
        <w:trPr>
          <w:cantSplit/>
        </w:trPr>
        <w:tc>
          <w:tcPr>
            <w:tcW w:w="828" w:type="pct"/>
          </w:tcPr>
          <w:p w14:paraId="765491DC" w14:textId="2B7B356D" w:rsidR="00E96086" w:rsidRPr="000540E1" w:rsidRDefault="00E96086" w:rsidP="00A829C7">
            <w:pPr>
              <w:pStyle w:val="tbltext"/>
              <w:spacing w:before="100" w:line="230" w:lineRule="atLeast"/>
            </w:pPr>
            <w:r>
              <w:t>Collateral portfolio code (</w:t>
            </w:r>
            <w:r w:rsidR="00193DFB">
              <w:t>v</w:t>
            </w:r>
            <w:r>
              <w:t xml:space="preserve">ariation </w:t>
            </w:r>
            <w:r w:rsidR="00193DFB">
              <w:t>m</w:t>
            </w:r>
            <w:r>
              <w:t>argin)</w:t>
            </w:r>
          </w:p>
        </w:tc>
        <w:tc>
          <w:tcPr>
            <w:tcW w:w="2153" w:type="pct"/>
          </w:tcPr>
          <w:p w14:paraId="256C9278" w14:textId="6C1CA68D" w:rsidR="00E96086" w:rsidRPr="000540E1" w:rsidRDefault="00E96086" w:rsidP="00A829C7">
            <w:pPr>
              <w:pStyle w:val="tbltext"/>
              <w:spacing w:before="100" w:line="230" w:lineRule="atLeast"/>
            </w:pPr>
            <w:r>
              <w:t xml:space="preserve">{CDE TG} If collateral [as </w:t>
            </w:r>
            <w:r w:rsidR="00193DFB">
              <w:t>variation margin</w:t>
            </w:r>
            <w:r>
              <w:t>] is reported on a portfolio basis, a unique code assigned by the reporting counterparty to the portfolio.</w:t>
            </w:r>
          </w:p>
        </w:tc>
        <w:tc>
          <w:tcPr>
            <w:tcW w:w="505" w:type="pct"/>
          </w:tcPr>
          <w:p w14:paraId="513BCEA6" w14:textId="1829F6FE" w:rsidR="00E96086" w:rsidRPr="000540E1" w:rsidRDefault="00E96086" w:rsidP="00A829C7">
            <w:pPr>
              <w:pStyle w:val="tbltext"/>
              <w:spacing w:before="100" w:line="230" w:lineRule="atLeast"/>
              <w:jc w:val="center"/>
            </w:pPr>
            <w:r>
              <w:t>n/a</w:t>
            </w:r>
          </w:p>
        </w:tc>
        <w:tc>
          <w:tcPr>
            <w:tcW w:w="505" w:type="pct"/>
          </w:tcPr>
          <w:p w14:paraId="7E7393F6" w14:textId="3FEF1E29" w:rsidR="00E96086" w:rsidRPr="000540E1" w:rsidRDefault="00E96086" w:rsidP="00A829C7">
            <w:pPr>
              <w:pStyle w:val="tbltext"/>
              <w:spacing w:before="100" w:line="230" w:lineRule="atLeast"/>
              <w:jc w:val="center"/>
            </w:pPr>
            <w:r>
              <w:t>124 (VM)</w:t>
            </w:r>
          </w:p>
        </w:tc>
        <w:tc>
          <w:tcPr>
            <w:tcW w:w="505" w:type="pct"/>
          </w:tcPr>
          <w:p w14:paraId="33004685" w14:textId="128AF226" w:rsidR="00E96086" w:rsidRPr="000540E1" w:rsidRDefault="00E96086" w:rsidP="00A829C7">
            <w:pPr>
              <w:pStyle w:val="tbltext"/>
              <w:spacing w:before="100" w:line="230" w:lineRule="atLeast"/>
              <w:jc w:val="center"/>
            </w:pPr>
            <w:r>
              <w:t>n/a</w:t>
            </w:r>
          </w:p>
        </w:tc>
        <w:tc>
          <w:tcPr>
            <w:tcW w:w="505" w:type="pct"/>
          </w:tcPr>
          <w:p w14:paraId="2C9E236D" w14:textId="32BFC44E" w:rsidR="00E96086" w:rsidRPr="000540E1" w:rsidRDefault="00E96086" w:rsidP="00A829C7">
            <w:pPr>
              <w:pStyle w:val="tbltext"/>
              <w:spacing w:before="100" w:line="230" w:lineRule="atLeast"/>
              <w:jc w:val="center"/>
            </w:pPr>
            <w:r>
              <w:t>n/a</w:t>
            </w:r>
          </w:p>
        </w:tc>
      </w:tr>
      <w:tr w:rsidR="00E96086" w:rsidRPr="000540E1" w14:paraId="5C6C2A1F" w14:textId="77777777" w:rsidTr="00136CC5">
        <w:trPr>
          <w:cantSplit/>
        </w:trPr>
        <w:tc>
          <w:tcPr>
            <w:tcW w:w="828" w:type="pct"/>
          </w:tcPr>
          <w:p w14:paraId="2B1D319E" w14:textId="792913E2" w:rsidR="00E96086" w:rsidRDefault="00E96086" w:rsidP="00A829C7">
            <w:pPr>
              <w:pStyle w:val="tbltext"/>
              <w:spacing w:before="100" w:line="230" w:lineRule="atLeast"/>
            </w:pPr>
            <w:r w:rsidRPr="00F54B44">
              <w:lastRenderedPageBreak/>
              <w:t>Initial margin posted by the reporting counterparty (pre-haircut)</w:t>
            </w:r>
          </w:p>
        </w:tc>
        <w:tc>
          <w:tcPr>
            <w:tcW w:w="2153" w:type="pct"/>
          </w:tcPr>
          <w:p w14:paraId="589A8F45" w14:textId="2F33A07D" w:rsidR="00E96086" w:rsidRDefault="00E96086" w:rsidP="00EC4C48">
            <w:pPr>
              <w:pStyle w:val="tbltext"/>
              <w:spacing w:before="100" w:line="230" w:lineRule="atLeast"/>
            </w:pPr>
            <w:r>
              <w:t>{CDE TG} Monetary value of initial margin that has been posted by the reporting counterparty</w:t>
            </w:r>
            <w:r w:rsidR="00D51CBA">
              <w:t>.</w:t>
            </w:r>
          </w:p>
          <w:p w14:paraId="1A0537B1" w14:textId="49A2F4F7" w:rsidR="00E96086" w:rsidRDefault="00E96086" w:rsidP="00A829C7">
            <w:pPr>
              <w:pStyle w:val="tbltext"/>
              <w:spacing w:before="100" w:line="230" w:lineRule="atLeast"/>
            </w:pPr>
            <w:r w:rsidRPr="00315A14">
              <w:t>This refers to the total current value of th</w:t>
            </w:r>
            <w:r>
              <w:t>e initial margin rather than to its daily change.</w:t>
            </w:r>
          </w:p>
        </w:tc>
        <w:tc>
          <w:tcPr>
            <w:tcW w:w="505" w:type="pct"/>
          </w:tcPr>
          <w:p w14:paraId="55364B1B" w14:textId="70182FC7" w:rsidR="00E96086" w:rsidRPr="000540E1" w:rsidRDefault="00E96086" w:rsidP="00A829C7">
            <w:pPr>
              <w:pStyle w:val="tbltext"/>
              <w:spacing w:before="100" w:line="230" w:lineRule="atLeast"/>
              <w:jc w:val="center"/>
            </w:pPr>
            <w:r>
              <w:t>2.31</w:t>
            </w:r>
          </w:p>
        </w:tc>
        <w:tc>
          <w:tcPr>
            <w:tcW w:w="505" w:type="pct"/>
          </w:tcPr>
          <w:p w14:paraId="1EEC216E" w14:textId="1460EE3A" w:rsidR="00E96086" w:rsidRPr="000540E1" w:rsidRDefault="00E96086" w:rsidP="00A829C7">
            <w:pPr>
              <w:pStyle w:val="tbltext"/>
              <w:spacing w:before="100" w:line="230" w:lineRule="atLeast"/>
              <w:jc w:val="center"/>
            </w:pPr>
            <w:r>
              <w:t>119</w:t>
            </w:r>
          </w:p>
        </w:tc>
        <w:tc>
          <w:tcPr>
            <w:tcW w:w="505" w:type="pct"/>
          </w:tcPr>
          <w:p w14:paraId="63CB2B89" w14:textId="520C58C5" w:rsidR="00E96086" w:rsidRDefault="00E96086" w:rsidP="00A829C7">
            <w:pPr>
              <w:pStyle w:val="tbltext"/>
              <w:spacing w:before="100" w:line="230" w:lineRule="atLeast"/>
              <w:jc w:val="center"/>
            </w:pPr>
            <w:r>
              <w:t>3.12</w:t>
            </w:r>
          </w:p>
        </w:tc>
        <w:tc>
          <w:tcPr>
            <w:tcW w:w="505" w:type="pct"/>
          </w:tcPr>
          <w:p w14:paraId="045217EA" w14:textId="17DA511C" w:rsidR="00E96086" w:rsidRPr="000540E1" w:rsidRDefault="00E96086" w:rsidP="00A829C7">
            <w:pPr>
              <w:pStyle w:val="tbltext"/>
              <w:spacing w:before="100" w:line="230" w:lineRule="atLeast"/>
              <w:jc w:val="center"/>
            </w:pPr>
            <w:r>
              <w:t>n/a</w:t>
            </w:r>
          </w:p>
        </w:tc>
      </w:tr>
      <w:tr w:rsidR="00E96086" w:rsidRPr="000540E1" w14:paraId="78E07F78" w14:textId="77777777" w:rsidTr="00136CC5">
        <w:trPr>
          <w:cantSplit/>
        </w:trPr>
        <w:tc>
          <w:tcPr>
            <w:tcW w:w="828" w:type="pct"/>
          </w:tcPr>
          <w:p w14:paraId="3C98D75B" w14:textId="4371F5AB" w:rsidR="00E96086" w:rsidRDefault="00E96086" w:rsidP="00A829C7">
            <w:pPr>
              <w:pStyle w:val="tbltext"/>
              <w:spacing w:before="100" w:line="230" w:lineRule="atLeast"/>
            </w:pPr>
            <w:r w:rsidRPr="00F54B44">
              <w:t>Initial margin posted by the reporting counterparty (</w:t>
            </w:r>
            <w:r>
              <w:t>post-</w:t>
            </w:r>
            <w:r w:rsidRPr="00F54B44">
              <w:t>haircut)</w:t>
            </w:r>
          </w:p>
        </w:tc>
        <w:tc>
          <w:tcPr>
            <w:tcW w:w="2153" w:type="pct"/>
          </w:tcPr>
          <w:p w14:paraId="07E6FDA7" w14:textId="77777777" w:rsidR="00E96086" w:rsidRDefault="00E96086" w:rsidP="00A829C7">
            <w:pPr>
              <w:pStyle w:val="tbltext"/>
              <w:spacing w:before="100" w:line="230" w:lineRule="atLeast"/>
            </w:pPr>
            <w:r>
              <w:t xml:space="preserve">{CDE TG} </w:t>
            </w:r>
            <w:r w:rsidRPr="00315A14">
              <w:t>Monetary value of initial margin that has been posted by the reporting counterparty</w:t>
            </w:r>
            <w:r>
              <w:t>.</w:t>
            </w:r>
          </w:p>
          <w:p w14:paraId="0FFC5D55" w14:textId="0B1A793C" w:rsidR="00E96086" w:rsidRDefault="00E96086" w:rsidP="00A829C7">
            <w:pPr>
              <w:pStyle w:val="tbltext"/>
              <w:spacing w:before="100" w:line="230" w:lineRule="atLeast"/>
            </w:pPr>
            <w:r w:rsidRPr="00315A14">
              <w:t>This refers to the total current value of th</w:t>
            </w:r>
            <w:r>
              <w:t>e initial margin after application of the haircut (if applicable), rather than to its daily change.</w:t>
            </w:r>
          </w:p>
        </w:tc>
        <w:tc>
          <w:tcPr>
            <w:tcW w:w="505" w:type="pct"/>
          </w:tcPr>
          <w:p w14:paraId="5F954784" w14:textId="200F308F" w:rsidR="00E96086" w:rsidRPr="000540E1" w:rsidRDefault="00E96086" w:rsidP="00A829C7">
            <w:pPr>
              <w:pStyle w:val="tbltext"/>
              <w:spacing w:before="100" w:line="230" w:lineRule="atLeast"/>
              <w:jc w:val="center"/>
            </w:pPr>
            <w:r>
              <w:t>2.32</w:t>
            </w:r>
          </w:p>
        </w:tc>
        <w:tc>
          <w:tcPr>
            <w:tcW w:w="505" w:type="pct"/>
          </w:tcPr>
          <w:p w14:paraId="7CE57149" w14:textId="072891CB" w:rsidR="00E96086" w:rsidRPr="000540E1" w:rsidRDefault="00E96086" w:rsidP="00A829C7">
            <w:pPr>
              <w:pStyle w:val="tbltext"/>
              <w:spacing w:before="100" w:line="230" w:lineRule="atLeast"/>
              <w:jc w:val="center"/>
            </w:pPr>
            <w:r>
              <w:t>121</w:t>
            </w:r>
          </w:p>
        </w:tc>
        <w:tc>
          <w:tcPr>
            <w:tcW w:w="505" w:type="pct"/>
          </w:tcPr>
          <w:p w14:paraId="0937F1A9" w14:textId="35742179" w:rsidR="00E96086" w:rsidRDefault="00E96086" w:rsidP="00A829C7">
            <w:pPr>
              <w:pStyle w:val="tbltext"/>
              <w:spacing w:before="100" w:line="230" w:lineRule="atLeast"/>
              <w:jc w:val="center"/>
            </w:pPr>
            <w:r>
              <w:t>3.13</w:t>
            </w:r>
          </w:p>
        </w:tc>
        <w:tc>
          <w:tcPr>
            <w:tcW w:w="505" w:type="pct"/>
          </w:tcPr>
          <w:p w14:paraId="423EA8DA" w14:textId="43260C9C" w:rsidR="00E96086" w:rsidRPr="000540E1" w:rsidRDefault="00E96086" w:rsidP="00A829C7">
            <w:pPr>
              <w:pStyle w:val="tbltext"/>
              <w:spacing w:before="100" w:line="230" w:lineRule="atLeast"/>
              <w:jc w:val="center"/>
            </w:pPr>
            <w:r>
              <w:t>n/a</w:t>
            </w:r>
          </w:p>
        </w:tc>
      </w:tr>
      <w:tr w:rsidR="00E96086" w:rsidRPr="000540E1" w14:paraId="4E16A609" w14:textId="77777777" w:rsidTr="00136CC5">
        <w:trPr>
          <w:cantSplit/>
        </w:trPr>
        <w:tc>
          <w:tcPr>
            <w:tcW w:w="828" w:type="pct"/>
          </w:tcPr>
          <w:p w14:paraId="57871B59" w14:textId="33936150" w:rsidR="00E96086" w:rsidRDefault="00E96086" w:rsidP="00A829C7">
            <w:pPr>
              <w:pStyle w:val="tbltext"/>
              <w:spacing w:before="100" w:line="230" w:lineRule="atLeast"/>
            </w:pPr>
            <w:r w:rsidRPr="00315A14">
              <w:t>Currency of initial margin posted</w:t>
            </w:r>
          </w:p>
        </w:tc>
        <w:tc>
          <w:tcPr>
            <w:tcW w:w="2153" w:type="pct"/>
          </w:tcPr>
          <w:p w14:paraId="75310FCD" w14:textId="22D21A51" w:rsidR="00E96086" w:rsidRDefault="00E96086" w:rsidP="00A829C7">
            <w:pPr>
              <w:pStyle w:val="tbltext"/>
              <w:spacing w:before="100" w:line="230" w:lineRule="atLeast"/>
            </w:pPr>
            <w:r>
              <w:t>{CDE TG} Currency in which the initial margin posted is denominated.</w:t>
            </w:r>
          </w:p>
        </w:tc>
        <w:tc>
          <w:tcPr>
            <w:tcW w:w="505" w:type="pct"/>
          </w:tcPr>
          <w:p w14:paraId="76382FF1" w14:textId="6E9F6606" w:rsidR="00E96086" w:rsidRPr="000540E1" w:rsidRDefault="00E96086" w:rsidP="00A829C7">
            <w:pPr>
              <w:pStyle w:val="tbltext"/>
              <w:spacing w:before="100" w:line="230" w:lineRule="atLeast"/>
              <w:jc w:val="center"/>
            </w:pPr>
            <w:r>
              <w:t>2.33</w:t>
            </w:r>
          </w:p>
        </w:tc>
        <w:tc>
          <w:tcPr>
            <w:tcW w:w="505" w:type="pct"/>
          </w:tcPr>
          <w:p w14:paraId="64943625" w14:textId="4A555625" w:rsidR="00E96086" w:rsidRPr="000540E1" w:rsidRDefault="00E96086" w:rsidP="00A829C7">
            <w:pPr>
              <w:pStyle w:val="tbltext"/>
              <w:spacing w:before="100" w:line="230" w:lineRule="atLeast"/>
              <w:jc w:val="center"/>
            </w:pPr>
            <w:r>
              <w:t>120</w:t>
            </w:r>
          </w:p>
        </w:tc>
        <w:tc>
          <w:tcPr>
            <w:tcW w:w="505" w:type="pct"/>
          </w:tcPr>
          <w:p w14:paraId="5EFCF968" w14:textId="2EFF5A27" w:rsidR="00E96086" w:rsidRDefault="00E96086" w:rsidP="00A829C7">
            <w:pPr>
              <w:pStyle w:val="tbltext"/>
              <w:spacing w:before="100" w:line="230" w:lineRule="atLeast"/>
              <w:jc w:val="center"/>
            </w:pPr>
            <w:r>
              <w:t>3.14</w:t>
            </w:r>
          </w:p>
        </w:tc>
        <w:tc>
          <w:tcPr>
            <w:tcW w:w="505" w:type="pct"/>
          </w:tcPr>
          <w:p w14:paraId="29F8EFDC" w14:textId="54647E34" w:rsidR="00E96086" w:rsidRDefault="00E96086" w:rsidP="00A829C7">
            <w:pPr>
              <w:pStyle w:val="tbltext"/>
              <w:spacing w:before="100" w:line="230" w:lineRule="atLeast"/>
              <w:jc w:val="center"/>
            </w:pPr>
            <w:r>
              <w:t>n/a</w:t>
            </w:r>
          </w:p>
        </w:tc>
      </w:tr>
      <w:tr w:rsidR="00E96086" w:rsidRPr="000540E1" w14:paraId="2EE404FF" w14:textId="77777777" w:rsidTr="00136CC5">
        <w:trPr>
          <w:cantSplit/>
        </w:trPr>
        <w:tc>
          <w:tcPr>
            <w:tcW w:w="828" w:type="pct"/>
          </w:tcPr>
          <w:p w14:paraId="55EC7C50" w14:textId="5A1FE005" w:rsidR="00E96086" w:rsidRDefault="00E96086" w:rsidP="00A829C7">
            <w:pPr>
              <w:pStyle w:val="tbltext"/>
              <w:spacing w:before="100" w:line="230" w:lineRule="atLeast"/>
            </w:pPr>
            <w:r w:rsidRPr="00315A14">
              <w:t>Initial margin collected by the reporting counterparty (pre-haircut)</w:t>
            </w:r>
          </w:p>
        </w:tc>
        <w:tc>
          <w:tcPr>
            <w:tcW w:w="2153" w:type="pct"/>
          </w:tcPr>
          <w:p w14:paraId="6C69E91E" w14:textId="2483F9E4" w:rsidR="00E96086" w:rsidRDefault="00E96086" w:rsidP="00A829C7">
            <w:pPr>
              <w:pStyle w:val="tbltext"/>
              <w:spacing w:before="100" w:line="230" w:lineRule="atLeast"/>
            </w:pPr>
            <w:r>
              <w:t>{CDE TG} Monetary value of initial margin that has been collected by the reporting counterparty.</w:t>
            </w:r>
          </w:p>
        </w:tc>
        <w:tc>
          <w:tcPr>
            <w:tcW w:w="505" w:type="pct"/>
          </w:tcPr>
          <w:p w14:paraId="36211EDB" w14:textId="5FC416DB" w:rsidR="00E96086" w:rsidRPr="000540E1" w:rsidRDefault="00E96086" w:rsidP="00A829C7">
            <w:pPr>
              <w:pStyle w:val="tbltext"/>
              <w:spacing w:before="100" w:line="230" w:lineRule="atLeast"/>
              <w:jc w:val="center"/>
            </w:pPr>
            <w:r>
              <w:t>2.34</w:t>
            </w:r>
          </w:p>
        </w:tc>
        <w:tc>
          <w:tcPr>
            <w:tcW w:w="505" w:type="pct"/>
          </w:tcPr>
          <w:p w14:paraId="2FA9943F" w14:textId="07654FBE" w:rsidR="00E96086" w:rsidRPr="000540E1" w:rsidRDefault="00E96086" w:rsidP="00A829C7">
            <w:pPr>
              <w:pStyle w:val="tbltext"/>
              <w:spacing w:before="100" w:line="230" w:lineRule="atLeast"/>
              <w:jc w:val="center"/>
            </w:pPr>
            <w:r>
              <w:t>122</w:t>
            </w:r>
          </w:p>
        </w:tc>
        <w:tc>
          <w:tcPr>
            <w:tcW w:w="505" w:type="pct"/>
          </w:tcPr>
          <w:p w14:paraId="49DDBBCE" w14:textId="6B9CC137" w:rsidR="00E96086" w:rsidRDefault="00E96086" w:rsidP="00A829C7">
            <w:pPr>
              <w:pStyle w:val="tbltext"/>
              <w:spacing w:before="100" w:line="230" w:lineRule="atLeast"/>
              <w:jc w:val="center"/>
            </w:pPr>
            <w:r>
              <w:t>3.20</w:t>
            </w:r>
          </w:p>
        </w:tc>
        <w:tc>
          <w:tcPr>
            <w:tcW w:w="505" w:type="pct"/>
          </w:tcPr>
          <w:p w14:paraId="5A7AAA4C" w14:textId="41463ABE" w:rsidR="00E96086" w:rsidRDefault="00E96086" w:rsidP="00A829C7">
            <w:pPr>
              <w:pStyle w:val="tbltext"/>
              <w:spacing w:before="100" w:line="230" w:lineRule="atLeast"/>
              <w:jc w:val="center"/>
            </w:pPr>
            <w:r>
              <w:t>n/a</w:t>
            </w:r>
          </w:p>
        </w:tc>
      </w:tr>
      <w:tr w:rsidR="00E96086" w:rsidRPr="000540E1" w14:paraId="3168011B" w14:textId="77777777" w:rsidTr="00136CC5">
        <w:trPr>
          <w:cantSplit/>
        </w:trPr>
        <w:tc>
          <w:tcPr>
            <w:tcW w:w="828" w:type="pct"/>
          </w:tcPr>
          <w:p w14:paraId="19E90EAA" w14:textId="67B92CA1" w:rsidR="00E96086" w:rsidRDefault="00E96086" w:rsidP="00A829C7">
            <w:pPr>
              <w:pStyle w:val="tbltext"/>
              <w:spacing w:before="100" w:line="230" w:lineRule="atLeast"/>
            </w:pPr>
            <w:r w:rsidRPr="00315A14">
              <w:t>Initial margin collected by the reporting counterparty (</w:t>
            </w:r>
            <w:r>
              <w:t>post</w:t>
            </w:r>
            <w:r w:rsidRPr="00315A14">
              <w:t>-haircut)</w:t>
            </w:r>
          </w:p>
        </w:tc>
        <w:tc>
          <w:tcPr>
            <w:tcW w:w="2153" w:type="pct"/>
          </w:tcPr>
          <w:p w14:paraId="1CE4536C" w14:textId="425C3207" w:rsidR="00E96086" w:rsidRDefault="00E96086" w:rsidP="00A829C7">
            <w:pPr>
              <w:pStyle w:val="tbltext"/>
              <w:spacing w:before="100" w:line="230" w:lineRule="atLeast"/>
            </w:pPr>
            <w:r>
              <w:t>{CDE TG} Monetary value of initial margin that has been collected by the reporting counterparty.</w:t>
            </w:r>
          </w:p>
        </w:tc>
        <w:tc>
          <w:tcPr>
            <w:tcW w:w="505" w:type="pct"/>
          </w:tcPr>
          <w:p w14:paraId="7E610A88" w14:textId="1A239D9D" w:rsidR="00E96086" w:rsidRPr="000540E1" w:rsidRDefault="00E96086" w:rsidP="00A829C7">
            <w:pPr>
              <w:pStyle w:val="tbltext"/>
              <w:spacing w:before="100" w:line="230" w:lineRule="atLeast"/>
              <w:jc w:val="center"/>
            </w:pPr>
            <w:r>
              <w:t>2.35</w:t>
            </w:r>
          </w:p>
        </w:tc>
        <w:tc>
          <w:tcPr>
            <w:tcW w:w="505" w:type="pct"/>
          </w:tcPr>
          <w:p w14:paraId="6BDDFB5D" w14:textId="75CB072F" w:rsidR="00E96086" w:rsidRPr="000540E1" w:rsidRDefault="00E96086" w:rsidP="00A829C7">
            <w:pPr>
              <w:pStyle w:val="tbltext"/>
              <w:spacing w:before="100" w:line="230" w:lineRule="atLeast"/>
              <w:jc w:val="center"/>
            </w:pPr>
            <w:r>
              <w:t>121</w:t>
            </w:r>
          </w:p>
        </w:tc>
        <w:tc>
          <w:tcPr>
            <w:tcW w:w="505" w:type="pct"/>
          </w:tcPr>
          <w:p w14:paraId="3E0117A5" w14:textId="02F1466D" w:rsidR="00E96086" w:rsidRDefault="00E96086" w:rsidP="00A829C7">
            <w:pPr>
              <w:pStyle w:val="tbltext"/>
              <w:spacing w:before="100" w:line="230" w:lineRule="atLeast"/>
              <w:jc w:val="center"/>
            </w:pPr>
            <w:r>
              <w:t>3.21</w:t>
            </w:r>
          </w:p>
        </w:tc>
        <w:tc>
          <w:tcPr>
            <w:tcW w:w="505" w:type="pct"/>
          </w:tcPr>
          <w:p w14:paraId="4AF4EE55" w14:textId="7FCB763A" w:rsidR="00E96086" w:rsidRDefault="00E96086" w:rsidP="00A829C7">
            <w:pPr>
              <w:pStyle w:val="tbltext"/>
              <w:spacing w:before="100" w:line="230" w:lineRule="atLeast"/>
              <w:jc w:val="center"/>
            </w:pPr>
            <w:r>
              <w:t>n/a</w:t>
            </w:r>
          </w:p>
        </w:tc>
      </w:tr>
      <w:tr w:rsidR="00E96086" w:rsidRPr="000540E1" w14:paraId="6B398DB5" w14:textId="77777777" w:rsidTr="00136CC5">
        <w:trPr>
          <w:cantSplit/>
        </w:trPr>
        <w:tc>
          <w:tcPr>
            <w:tcW w:w="828" w:type="pct"/>
          </w:tcPr>
          <w:p w14:paraId="62010EDC" w14:textId="18A962E9" w:rsidR="00E96086" w:rsidRDefault="00E96086" w:rsidP="00A829C7">
            <w:pPr>
              <w:pStyle w:val="tbltext"/>
              <w:spacing w:before="100" w:line="230" w:lineRule="atLeast"/>
            </w:pPr>
            <w:r w:rsidRPr="00315A14">
              <w:t xml:space="preserve">Currency of initial margin </w:t>
            </w:r>
            <w:r>
              <w:t>collected</w:t>
            </w:r>
          </w:p>
        </w:tc>
        <w:tc>
          <w:tcPr>
            <w:tcW w:w="2153" w:type="pct"/>
          </w:tcPr>
          <w:p w14:paraId="768E5806" w14:textId="48FBC96E" w:rsidR="00E96086" w:rsidRDefault="00E96086" w:rsidP="00A829C7">
            <w:pPr>
              <w:pStyle w:val="tbltext"/>
              <w:spacing w:before="100" w:line="230" w:lineRule="atLeast"/>
            </w:pPr>
            <w:r>
              <w:t>{CDE TG} Currency in which the initial margin collected is denominated.</w:t>
            </w:r>
          </w:p>
        </w:tc>
        <w:tc>
          <w:tcPr>
            <w:tcW w:w="505" w:type="pct"/>
          </w:tcPr>
          <w:p w14:paraId="4DD3CB0D" w14:textId="5957CEC7" w:rsidR="00E96086" w:rsidRPr="000540E1" w:rsidRDefault="00E96086" w:rsidP="00A829C7">
            <w:pPr>
              <w:pStyle w:val="tbltext"/>
              <w:spacing w:before="100" w:line="230" w:lineRule="atLeast"/>
              <w:jc w:val="center"/>
            </w:pPr>
            <w:r>
              <w:t>2.36</w:t>
            </w:r>
          </w:p>
        </w:tc>
        <w:tc>
          <w:tcPr>
            <w:tcW w:w="505" w:type="pct"/>
          </w:tcPr>
          <w:p w14:paraId="512188B7" w14:textId="195DED04" w:rsidR="00E96086" w:rsidRPr="000540E1" w:rsidRDefault="00E96086" w:rsidP="00A829C7">
            <w:pPr>
              <w:pStyle w:val="tbltext"/>
              <w:spacing w:before="100" w:line="230" w:lineRule="atLeast"/>
              <w:jc w:val="center"/>
            </w:pPr>
            <w:r>
              <w:t>123</w:t>
            </w:r>
          </w:p>
        </w:tc>
        <w:tc>
          <w:tcPr>
            <w:tcW w:w="505" w:type="pct"/>
          </w:tcPr>
          <w:p w14:paraId="0E86A9E7" w14:textId="7ED44403" w:rsidR="00E96086" w:rsidRDefault="00E96086" w:rsidP="00A829C7">
            <w:pPr>
              <w:pStyle w:val="tbltext"/>
              <w:spacing w:before="100" w:line="230" w:lineRule="atLeast"/>
              <w:jc w:val="center"/>
            </w:pPr>
            <w:r>
              <w:t>3.22</w:t>
            </w:r>
          </w:p>
        </w:tc>
        <w:tc>
          <w:tcPr>
            <w:tcW w:w="505" w:type="pct"/>
          </w:tcPr>
          <w:p w14:paraId="5F30B917" w14:textId="6BC201DC" w:rsidR="00E96086" w:rsidRDefault="00E96086" w:rsidP="00A829C7">
            <w:pPr>
              <w:pStyle w:val="tbltext"/>
              <w:spacing w:before="100" w:line="230" w:lineRule="atLeast"/>
              <w:jc w:val="center"/>
            </w:pPr>
            <w:r>
              <w:t>n/a</w:t>
            </w:r>
          </w:p>
        </w:tc>
      </w:tr>
      <w:tr w:rsidR="00E96086" w:rsidRPr="000540E1" w14:paraId="4DBDE4D9" w14:textId="77777777" w:rsidTr="00136CC5">
        <w:trPr>
          <w:cantSplit/>
        </w:trPr>
        <w:tc>
          <w:tcPr>
            <w:tcW w:w="828" w:type="pct"/>
          </w:tcPr>
          <w:p w14:paraId="681B288C" w14:textId="34223107" w:rsidR="00E96086" w:rsidRPr="00315A14" w:rsidRDefault="00E96086" w:rsidP="00A829C7">
            <w:pPr>
              <w:pStyle w:val="tbltext"/>
              <w:spacing w:before="100" w:line="230" w:lineRule="atLeast"/>
            </w:pPr>
            <w:r w:rsidRPr="00540F41">
              <w:t>Variation margin posted by the reporting counterparty (pre-haircut)</w:t>
            </w:r>
          </w:p>
        </w:tc>
        <w:tc>
          <w:tcPr>
            <w:tcW w:w="2153" w:type="pct"/>
          </w:tcPr>
          <w:p w14:paraId="74EF63F7" w14:textId="220BFF52" w:rsidR="00E96086" w:rsidRDefault="00E96086" w:rsidP="00A829C7">
            <w:pPr>
              <w:pStyle w:val="tbltext"/>
              <w:spacing w:before="100" w:line="230" w:lineRule="atLeast"/>
            </w:pPr>
            <w:r>
              <w:t>{CDE TG} Monetary value of the variation margin posted by the reporting counterparty.</w:t>
            </w:r>
          </w:p>
        </w:tc>
        <w:tc>
          <w:tcPr>
            <w:tcW w:w="505" w:type="pct"/>
          </w:tcPr>
          <w:p w14:paraId="1EDAE428" w14:textId="3DF3BD1C" w:rsidR="00E96086" w:rsidRDefault="00E96086" w:rsidP="00A829C7">
            <w:pPr>
              <w:pStyle w:val="tbltext"/>
              <w:spacing w:before="100" w:line="230" w:lineRule="atLeast"/>
              <w:jc w:val="center"/>
            </w:pPr>
            <w:r>
              <w:t>2.37</w:t>
            </w:r>
          </w:p>
        </w:tc>
        <w:tc>
          <w:tcPr>
            <w:tcW w:w="505" w:type="pct"/>
          </w:tcPr>
          <w:p w14:paraId="4E6F9BE3" w14:textId="3F36109E" w:rsidR="00E96086" w:rsidRDefault="00E96086" w:rsidP="00A829C7">
            <w:pPr>
              <w:pStyle w:val="tbltext"/>
              <w:spacing w:before="100" w:line="230" w:lineRule="atLeast"/>
              <w:jc w:val="center"/>
            </w:pPr>
            <w:r>
              <w:t>125</w:t>
            </w:r>
          </w:p>
        </w:tc>
        <w:tc>
          <w:tcPr>
            <w:tcW w:w="505" w:type="pct"/>
          </w:tcPr>
          <w:p w14:paraId="2ABC26A3" w14:textId="309CE0C0" w:rsidR="00E96086" w:rsidRDefault="00E96086" w:rsidP="00A829C7">
            <w:pPr>
              <w:pStyle w:val="tbltext"/>
              <w:spacing w:before="100" w:line="230" w:lineRule="atLeast"/>
              <w:jc w:val="center"/>
            </w:pPr>
            <w:r>
              <w:t>3.15</w:t>
            </w:r>
          </w:p>
        </w:tc>
        <w:tc>
          <w:tcPr>
            <w:tcW w:w="505" w:type="pct"/>
          </w:tcPr>
          <w:p w14:paraId="0F230685" w14:textId="5FF28722" w:rsidR="00E96086" w:rsidRDefault="00E96086" w:rsidP="00A829C7">
            <w:pPr>
              <w:pStyle w:val="tbltext"/>
              <w:spacing w:before="100" w:line="230" w:lineRule="atLeast"/>
              <w:jc w:val="center"/>
            </w:pPr>
            <w:r>
              <w:t>n/a</w:t>
            </w:r>
          </w:p>
        </w:tc>
      </w:tr>
      <w:tr w:rsidR="00E96086" w:rsidRPr="000540E1" w14:paraId="16534BF7" w14:textId="77777777" w:rsidTr="00136CC5">
        <w:trPr>
          <w:cantSplit/>
        </w:trPr>
        <w:tc>
          <w:tcPr>
            <w:tcW w:w="828" w:type="pct"/>
          </w:tcPr>
          <w:p w14:paraId="49821C86" w14:textId="38C4866C" w:rsidR="00E96086" w:rsidRDefault="00E96086" w:rsidP="00A829C7">
            <w:pPr>
              <w:pStyle w:val="tbltext"/>
              <w:spacing w:before="100" w:line="230" w:lineRule="atLeast"/>
            </w:pPr>
            <w:r w:rsidRPr="00315A14">
              <w:t xml:space="preserve">Currency of </w:t>
            </w:r>
            <w:r>
              <w:t>variation</w:t>
            </w:r>
            <w:r w:rsidRPr="00315A14">
              <w:t xml:space="preserve"> margin </w:t>
            </w:r>
            <w:r>
              <w:t>posted</w:t>
            </w:r>
          </w:p>
        </w:tc>
        <w:tc>
          <w:tcPr>
            <w:tcW w:w="2153" w:type="pct"/>
          </w:tcPr>
          <w:p w14:paraId="0555D9F0" w14:textId="29D937A8" w:rsidR="00E96086" w:rsidRDefault="00E96086" w:rsidP="00A829C7">
            <w:pPr>
              <w:pStyle w:val="tbltext"/>
              <w:spacing w:before="100" w:line="230" w:lineRule="atLeast"/>
            </w:pPr>
            <w:r>
              <w:t xml:space="preserve">{CDE TG} </w:t>
            </w:r>
            <w:r w:rsidRPr="00540F41">
              <w:t>Currency in which the variation margin posted is denominated.</w:t>
            </w:r>
          </w:p>
        </w:tc>
        <w:tc>
          <w:tcPr>
            <w:tcW w:w="505" w:type="pct"/>
          </w:tcPr>
          <w:p w14:paraId="49967FF6" w14:textId="2744BAE3" w:rsidR="00E96086" w:rsidRPr="000540E1" w:rsidRDefault="00E96086" w:rsidP="00A829C7">
            <w:pPr>
              <w:pStyle w:val="tbltext"/>
              <w:spacing w:before="100" w:line="230" w:lineRule="atLeast"/>
              <w:jc w:val="center"/>
            </w:pPr>
            <w:r>
              <w:t>2.39</w:t>
            </w:r>
          </w:p>
        </w:tc>
        <w:tc>
          <w:tcPr>
            <w:tcW w:w="505" w:type="pct"/>
          </w:tcPr>
          <w:p w14:paraId="2DB7EDEA" w14:textId="1B050B31" w:rsidR="00E96086" w:rsidRPr="000540E1" w:rsidRDefault="00E96086" w:rsidP="00A829C7">
            <w:pPr>
              <w:pStyle w:val="tbltext"/>
              <w:spacing w:before="100" w:line="230" w:lineRule="atLeast"/>
              <w:jc w:val="center"/>
            </w:pPr>
            <w:r>
              <w:t>126</w:t>
            </w:r>
          </w:p>
        </w:tc>
        <w:tc>
          <w:tcPr>
            <w:tcW w:w="505" w:type="pct"/>
          </w:tcPr>
          <w:p w14:paraId="042EF2EB" w14:textId="4EEDA521" w:rsidR="00E96086" w:rsidRDefault="00E96086" w:rsidP="00A829C7">
            <w:pPr>
              <w:pStyle w:val="tbltext"/>
              <w:spacing w:before="100" w:line="230" w:lineRule="atLeast"/>
              <w:jc w:val="center"/>
            </w:pPr>
            <w:r>
              <w:t>3.17</w:t>
            </w:r>
          </w:p>
        </w:tc>
        <w:tc>
          <w:tcPr>
            <w:tcW w:w="505" w:type="pct"/>
          </w:tcPr>
          <w:p w14:paraId="1829CABC" w14:textId="7C988F77" w:rsidR="00E96086" w:rsidRDefault="00E96086" w:rsidP="00A829C7">
            <w:pPr>
              <w:pStyle w:val="tbltext"/>
              <w:spacing w:before="100" w:line="230" w:lineRule="atLeast"/>
              <w:jc w:val="center"/>
            </w:pPr>
            <w:r>
              <w:t>n/a</w:t>
            </w:r>
          </w:p>
        </w:tc>
      </w:tr>
      <w:tr w:rsidR="00E96086" w:rsidRPr="000540E1" w14:paraId="3E24A4E9" w14:textId="77777777" w:rsidTr="00136CC5">
        <w:trPr>
          <w:cantSplit/>
        </w:trPr>
        <w:tc>
          <w:tcPr>
            <w:tcW w:w="828" w:type="pct"/>
          </w:tcPr>
          <w:p w14:paraId="23505D4B" w14:textId="252F30EE" w:rsidR="00E96086" w:rsidRPr="00315A14" w:rsidRDefault="00E96086" w:rsidP="00A829C7">
            <w:pPr>
              <w:pStyle w:val="tbltext"/>
              <w:spacing w:before="100" w:line="230" w:lineRule="atLeast"/>
            </w:pPr>
            <w:r w:rsidRPr="00540F41">
              <w:t xml:space="preserve">Variation margin </w:t>
            </w:r>
            <w:r>
              <w:t>collected</w:t>
            </w:r>
            <w:r w:rsidRPr="00540F41">
              <w:t xml:space="preserve"> by the reporting counterparty (pre-haircut)</w:t>
            </w:r>
          </w:p>
        </w:tc>
        <w:tc>
          <w:tcPr>
            <w:tcW w:w="2153" w:type="pct"/>
          </w:tcPr>
          <w:p w14:paraId="7547BCD4" w14:textId="5C997FCE" w:rsidR="00E96086" w:rsidRDefault="00E96086" w:rsidP="00A829C7">
            <w:pPr>
              <w:pStyle w:val="tbltext"/>
              <w:spacing w:before="100" w:line="230" w:lineRule="atLeast"/>
            </w:pPr>
            <w:r>
              <w:t>{CDE TG} Monetary value of the variation margin collected by the reporting counterparty.</w:t>
            </w:r>
          </w:p>
        </w:tc>
        <w:tc>
          <w:tcPr>
            <w:tcW w:w="505" w:type="pct"/>
          </w:tcPr>
          <w:p w14:paraId="5C240C7F" w14:textId="5E167392" w:rsidR="00E96086" w:rsidRDefault="00E96086" w:rsidP="00A829C7">
            <w:pPr>
              <w:pStyle w:val="tbltext"/>
              <w:spacing w:before="100" w:line="230" w:lineRule="atLeast"/>
              <w:jc w:val="center"/>
            </w:pPr>
            <w:r>
              <w:t>2.40</w:t>
            </w:r>
          </w:p>
        </w:tc>
        <w:tc>
          <w:tcPr>
            <w:tcW w:w="505" w:type="pct"/>
          </w:tcPr>
          <w:p w14:paraId="6E004B29" w14:textId="6E00F313" w:rsidR="00E96086" w:rsidRDefault="00E96086" w:rsidP="00A829C7">
            <w:pPr>
              <w:pStyle w:val="tbltext"/>
              <w:spacing w:before="100" w:line="230" w:lineRule="atLeast"/>
              <w:jc w:val="center"/>
            </w:pPr>
            <w:r>
              <w:t>127</w:t>
            </w:r>
          </w:p>
        </w:tc>
        <w:tc>
          <w:tcPr>
            <w:tcW w:w="505" w:type="pct"/>
          </w:tcPr>
          <w:p w14:paraId="1C505ABC" w14:textId="358009B4" w:rsidR="00E96086" w:rsidRDefault="00E96086" w:rsidP="00A829C7">
            <w:pPr>
              <w:pStyle w:val="tbltext"/>
              <w:spacing w:before="100" w:line="230" w:lineRule="atLeast"/>
              <w:jc w:val="center"/>
            </w:pPr>
            <w:r>
              <w:t>3.23</w:t>
            </w:r>
          </w:p>
        </w:tc>
        <w:tc>
          <w:tcPr>
            <w:tcW w:w="505" w:type="pct"/>
          </w:tcPr>
          <w:p w14:paraId="51B59512" w14:textId="1EA4AF41" w:rsidR="00E96086" w:rsidRDefault="00E96086" w:rsidP="00A829C7">
            <w:pPr>
              <w:pStyle w:val="tbltext"/>
              <w:spacing w:before="100" w:line="230" w:lineRule="atLeast"/>
              <w:jc w:val="center"/>
            </w:pPr>
            <w:r>
              <w:t>n/a</w:t>
            </w:r>
          </w:p>
        </w:tc>
      </w:tr>
      <w:tr w:rsidR="00E96086" w:rsidRPr="000540E1" w14:paraId="69D490C5" w14:textId="77777777" w:rsidTr="00136CC5">
        <w:trPr>
          <w:cantSplit/>
        </w:trPr>
        <w:tc>
          <w:tcPr>
            <w:tcW w:w="828" w:type="pct"/>
          </w:tcPr>
          <w:p w14:paraId="08D7A2F1" w14:textId="70483C9B" w:rsidR="00E96086" w:rsidRDefault="00E96086" w:rsidP="00A829C7">
            <w:pPr>
              <w:pStyle w:val="tbltext"/>
              <w:spacing w:before="100" w:line="230" w:lineRule="atLeast"/>
            </w:pPr>
            <w:r w:rsidRPr="00315A14">
              <w:t xml:space="preserve">Currency of </w:t>
            </w:r>
            <w:r>
              <w:t>variation</w:t>
            </w:r>
            <w:r w:rsidRPr="00315A14">
              <w:t xml:space="preserve"> margin </w:t>
            </w:r>
            <w:r>
              <w:t>collected</w:t>
            </w:r>
          </w:p>
        </w:tc>
        <w:tc>
          <w:tcPr>
            <w:tcW w:w="2153" w:type="pct"/>
          </w:tcPr>
          <w:p w14:paraId="5392B777" w14:textId="626129CC" w:rsidR="00E96086" w:rsidRDefault="00E96086" w:rsidP="00A829C7">
            <w:pPr>
              <w:pStyle w:val="tbltext"/>
              <w:spacing w:before="100" w:line="230" w:lineRule="atLeast"/>
            </w:pPr>
            <w:r>
              <w:t xml:space="preserve">{CDE TG} </w:t>
            </w:r>
            <w:r w:rsidRPr="00540F41">
              <w:t xml:space="preserve">Currency in which the variation margin </w:t>
            </w:r>
            <w:r>
              <w:t>collected</w:t>
            </w:r>
            <w:r w:rsidRPr="00540F41">
              <w:t xml:space="preserve"> is denominated.</w:t>
            </w:r>
          </w:p>
        </w:tc>
        <w:tc>
          <w:tcPr>
            <w:tcW w:w="505" w:type="pct"/>
          </w:tcPr>
          <w:p w14:paraId="3E9527BF" w14:textId="51F6BCE6" w:rsidR="00E96086" w:rsidRPr="000540E1" w:rsidRDefault="00E96086" w:rsidP="00A829C7">
            <w:pPr>
              <w:pStyle w:val="tbltext"/>
              <w:spacing w:before="100" w:line="230" w:lineRule="atLeast"/>
              <w:jc w:val="center"/>
            </w:pPr>
            <w:r>
              <w:t>2.42</w:t>
            </w:r>
          </w:p>
        </w:tc>
        <w:tc>
          <w:tcPr>
            <w:tcW w:w="505" w:type="pct"/>
          </w:tcPr>
          <w:p w14:paraId="7B22AA37" w14:textId="38489B5D" w:rsidR="00E96086" w:rsidRPr="000540E1" w:rsidRDefault="00E96086" w:rsidP="00A829C7">
            <w:pPr>
              <w:pStyle w:val="tbltext"/>
              <w:spacing w:before="100" w:line="230" w:lineRule="atLeast"/>
              <w:jc w:val="center"/>
            </w:pPr>
            <w:r>
              <w:t>128</w:t>
            </w:r>
          </w:p>
        </w:tc>
        <w:tc>
          <w:tcPr>
            <w:tcW w:w="505" w:type="pct"/>
          </w:tcPr>
          <w:p w14:paraId="7BE90C65" w14:textId="65A116D7" w:rsidR="00E96086" w:rsidRDefault="00E96086" w:rsidP="00A829C7">
            <w:pPr>
              <w:pStyle w:val="tbltext"/>
              <w:spacing w:before="100" w:line="230" w:lineRule="atLeast"/>
              <w:jc w:val="center"/>
            </w:pPr>
            <w:r>
              <w:t>3.25</w:t>
            </w:r>
          </w:p>
        </w:tc>
        <w:tc>
          <w:tcPr>
            <w:tcW w:w="505" w:type="pct"/>
          </w:tcPr>
          <w:p w14:paraId="368D67D1" w14:textId="010A6164" w:rsidR="00E96086" w:rsidRDefault="00E96086" w:rsidP="00A829C7">
            <w:pPr>
              <w:pStyle w:val="tbltext"/>
              <w:spacing w:before="100" w:line="230" w:lineRule="atLeast"/>
              <w:jc w:val="center"/>
            </w:pPr>
            <w:r>
              <w:t>n/a</w:t>
            </w:r>
          </w:p>
        </w:tc>
      </w:tr>
      <w:tr w:rsidR="00E96086" w:rsidRPr="000540E1" w14:paraId="0EED87DF" w14:textId="77777777" w:rsidTr="00136CC5">
        <w:trPr>
          <w:cantSplit/>
        </w:trPr>
        <w:tc>
          <w:tcPr>
            <w:tcW w:w="828" w:type="pct"/>
          </w:tcPr>
          <w:p w14:paraId="6F7A6B9B" w14:textId="436779A7" w:rsidR="00E96086" w:rsidRPr="00EB59AC" w:rsidRDefault="00E96086" w:rsidP="00A829C7">
            <w:pPr>
              <w:pStyle w:val="tbltext"/>
              <w:spacing w:before="100" w:line="230" w:lineRule="atLeast"/>
              <w:rPr>
                <w:spacing w:val="-2"/>
              </w:rPr>
            </w:pPr>
            <w:r w:rsidRPr="00EB59AC">
              <w:rPr>
                <w:spacing w:val="-2"/>
              </w:rPr>
              <w:lastRenderedPageBreak/>
              <w:t>Collateralisation category</w:t>
            </w:r>
          </w:p>
        </w:tc>
        <w:tc>
          <w:tcPr>
            <w:tcW w:w="2153" w:type="pct"/>
          </w:tcPr>
          <w:p w14:paraId="1FB7824F" w14:textId="3C8B5522" w:rsidR="008A01DE" w:rsidRDefault="00E96086" w:rsidP="00A829C7">
            <w:pPr>
              <w:pStyle w:val="tbltext"/>
              <w:spacing w:before="100" w:line="230" w:lineRule="atLeast"/>
            </w:pPr>
            <w:r>
              <w:t xml:space="preserve">{CDE TG} </w:t>
            </w:r>
            <w:r w:rsidRPr="00900B3B">
              <w:t>Indicator of whether a collateral agreement (or collateral agreements) between the counterparties exists</w:t>
            </w:r>
            <w:r w:rsidR="00921137">
              <w:t>.</w:t>
            </w:r>
          </w:p>
          <w:p w14:paraId="467F0BB9" w14:textId="5ECE0DB3" w:rsidR="00E96086" w:rsidRDefault="008A01DE" w:rsidP="00A829C7">
            <w:pPr>
              <w:pStyle w:val="tbltext"/>
              <w:spacing w:before="100" w:line="230" w:lineRule="atLeast"/>
            </w:pPr>
            <w:r>
              <w:t>There are nine 4 character codes indicating different types of collateralisation arrangements</w:t>
            </w:r>
            <w:r w:rsidR="00921137">
              <w:t>.</w:t>
            </w:r>
            <w:r w:rsidR="00E96086" w:rsidRPr="00900B3B">
              <w:t xml:space="preserve"> </w:t>
            </w:r>
          </w:p>
        </w:tc>
        <w:tc>
          <w:tcPr>
            <w:tcW w:w="505" w:type="pct"/>
          </w:tcPr>
          <w:p w14:paraId="12F1A023" w14:textId="2F59F9D4" w:rsidR="00E96086" w:rsidRDefault="00E96086" w:rsidP="00A829C7">
            <w:pPr>
              <w:pStyle w:val="tbltext"/>
              <w:spacing w:before="100" w:line="230" w:lineRule="atLeast"/>
              <w:jc w:val="center"/>
            </w:pPr>
            <w:r>
              <w:t>2.47</w:t>
            </w:r>
          </w:p>
        </w:tc>
        <w:tc>
          <w:tcPr>
            <w:tcW w:w="505" w:type="pct"/>
          </w:tcPr>
          <w:p w14:paraId="5A990FB7" w14:textId="03530163" w:rsidR="00E96086" w:rsidRDefault="00E96086" w:rsidP="00A829C7">
            <w:pPr>
              <w:pStyle w:val="tbltext"/>
              <w:spacing w:before="100" w:line="230" w:lineRule="atLeast"/>
              <w:jc w:val="center"/>
            </w:pPr>
            <w:r>
              <w:t>115</w:t>
            </w:r>
          </w:p>
        </w:tc>
        <w:tc>
          <w:tcPr>
            <w:tcW w:w="505" w:type="pct"/>
          </w:tcPr>
          <w:p w14:paraId="3CFCD7BE" w14:textId="7421A7DD" w:rsidR="00E96086" w:rsidRDefault="00E96086" w:rsidP="00A829C7">
            <w:pPr>
              <w:pStyle w:val="tbltext"/>
              <w:spacing w:before="100" w:line="230" w:lineRule="atLeast"/>
              <w:jc w:val="center"/>
            </w:pPr>
            <w:r>
              <w:t>3.11</w:t>
            </w:r>
          </w:p>
        </w:tc>
        <w:tc>
          <w:tcPr>
            <w:tcW w:w="505" w:type="pct"/>
          </w:tcPr>
          <w:p w14:paraId="4AED5BF4" w14:textId="07C5A21C" w:rsidR="00E96086" w:rsidRDefault="00E96086" w:rsidP="00A829C7">
            <w:pPr>
              <w:pStyle w:val="tbltext"/>
              <w:spacing w:before="100" w:line="230" w:lineRule="atLeast"/>
              <w:jc w:val="center"/>
            </w:pPr>
            <w:r>
              <w:t>1.40</w:t>
            </w:r>
          </w:p>
        </w:tc>
      </w:tr>
      <w:tr w:rsidR="00E96086" w:rsidRPr="000540E1" w14:paraId="52ABAE0C" w14:textId="77777777" w:rsidTr="00136CC5">
        <w:trPr>
          <w:cantSplit/>
        </w:trPr>
        <w:tc>
          <w:tcPr>
            <w:tcW w:w="828" w:type="pct"/>
          </w:tcPr>
          <w:p w14:paraId="7534F776" w14:textId="263CC90E" w:rsidR="00E96086" w:rsidRDefault="00E96086" w:rsidP="00A829C7">
            <w:pPr>
              <w:pStyle w:val="tbltext"/>
              <w:spacing w:before="100" w:line="230" w:lineRule="atLeast"/>
            </w:pPr>
            <w:r w:rsidRPr="00C42FAF">
              <w:t>Portfolio containing non-reportable component indicator</w:t>
            </w:r>
          </w:p>
        </w:tc>
        <w:tc>
          <w:tcPr>
            <w:tcW w:w="2153" w:type="pct"/>
          </w:tcPr>
          <w:p w14:paraId="0C066115" w14:textId="63647D72" w:rsidR="00E96086" w:rsidRDefault="00E96086" w:rsidP="00A829C7">
            <w:pPr>
              <w:pStyle w:val="tbltext"/>
              <w:spacing w:before="100" w:line="230" w:lineRule="atLeast"/>
            </w:pPr>
            <w:r>
              <w:t xml:space="preserve">{CFTC} </w:t>
            </w:r>
            <w:r w:rsidRPr="00C42FAF">
              <w:t>If collateral is reported on a portfolio basis, indicator of whether the collateral portfolio includes transactions exempt from reporting.</w:t>
            </w:r>
          </w:p>
        </w:tc>
        <w:tc>
          <w:tcPr>
            <w:tcW w:w="505" w:type="pct"/>
          </w:tcPr>
          <w:p w14:paraId="6BC715CD" w14:textId="4FE885AF" w:rsidR="00E96086" w:rsidRDefault="00E96086" w:rsidP="00A829C7">
            <w:pPr>
              <w:pStyle w:val="tbltext"/>
              <w:spacing w:before="100" w:line="230" w:lineRule="atLeast"/>
              <w:jc w:val="center"/>
            </w:pPr>
            <w:r>
              <w:t>n/a</w:t>
            </w:r>
          </w:p>
        </w:tc>
        <w:tc>
          <w:tcPr>
            <w:tcW w:w="505" w:type="pct"/>
          </w:tcPr>
          <w:p w14:paraId="4F9C5BFF" w14:textId="540115FC" w:rsidR="00E96086" w:rsidRDefault="00E96086" w:rsidP="00A829C7">
            <w:pPr>
              <w:pStyle w:val="tbltext"/>
              <w:spacing w:before="100" w:line="230" w:lineRule="atLeast"/>
              <w:jc w:val="center"/>
            </w:pPr>
            <w:r>
              <w:t>117</w:t>
            </w:r>
          </w:p>
        </w:tc>
        <w:tc>
          <w:tcPr>
            <w:tcW w:w="505" w:type="pct"/>
          </w:tcPr>
          <w:p w14:paraId="3C822FA9" w14:textId="29C9D351" w:rsidR="00E96086" w:rsidRDefault="00E96086" w:rsidP="00A829C7">
            <w:pPr>
              <w:pStyle w:val="tbltext"/>
              <w:spacing w:before="100" w:line="230" w:lineRule="atLeast"/>
              <w:jc w:val="center"/>
            </w:pPr>
            <w:r>
              <w:t>n/a</w:t>
            </w:r>
          </w:p>
        </w:tc>
        <w:tc>
          <w:tcPr>
            <w:tcW w:w="505" w:type="pct"/>
          </w:tcPr>
          <w:p w14:paraId="696B410E" w14:textId="389687AA" w:rsidR="00E96086" w:rsidRDefault="00E96086" w:rsidP="00A829C7">
            <w:pPr>
              <w:pStyle w:val="tbltext"/>
              <w:spacing w:before="100" w:line="230" w:lineRule="atLeast"/>
              <w:jc w:val="center"/>
            </w:pPr>
            <w:r>
              <w:t>n/a</w:t>
            </w:r>
          </w:p>
        </w:tc>
      </w:tr>
    </w:tbl>
    <w:p w14:paraId="6CBACD50" w14:textId="67E69A5B" w:rsidR="001474A2" w:rsidRDefault="00014FC5" w:rsidP="00014FC5">
      <w:pPr>
        <w:pStyle w:val="BodyText"/>
        <w:rPr>
          <w:rFonts w:eastAsiaTheme="minorHAnsi"/>
        </w:rPr>
      </w:pPr>
      <w:r w:rsidRPr="00014FC5">
        <w:rPr>
          <w:rFonts w:eastAsiaTheme="minorHAnsi"/>
        </w:rPr>
        <w:t xml:space="preserve">Our proposal to </w:t>
      </w:r>
      <w:r w:rsidR="001474A2" w:rsidRPr="00014FC5">
        <w:rPr>
          <w:rFonts w:eastAsiaTheme="minorHAnsi"/>
        </w:rPr>
        <w:t xml:space="preserve">separate </w:t>
      </w:r>
      <w:r>
        <w:rPr>
          <w:rFonts w:eastAsiaTheme="minorHAnsi"/>
        </w:rPr>
        <w:t xml:space="preserve">the CDE Guidance </w:t>
      </w:r>
      <w:r w:rsidR="001474A2" w:rsidRPr="00014FC5">
        <w:rPr>
          <w:rFonts w:eastAsiaTheme="minorHAnsi"/>
        </w:rPr>
        <w:t>data element</w:t>
      </w:r>
      <w:r>
        <w:rPr>
          <w:rFonts w:eastAsiaTheme="minorHAnsi"/>
        </w:rPr>
        <w:t xml:space="preserve"> ‘</w:t>
      </w:r>
      <w:r w:rsidR="00193DFB">
        <w:rPr>
          <w:rFonts w:eastAsiaTheme="minorHAnsi"/>
        </w:rPr>
        <w:t>c</w:t>
      </w:r>
      <w:r>
        <w:rPr>
          <w:rFonts w:eastAsiaTheme="minorHAnsi"/>
        </w:rPr>
        <w:t>ollateral portfolio code’ into two data elements</w:t>
      </w:r>
      <w:r w:rsidR="001474A2" w:rsidRPr="00014FC5">
        <w:rPr>
          <w:rFonts w:eastAsiaTheme="minorHAnsi"/>
        </w:rPr>
        <w:t xml:space="preserve">, </w:t>
      </w:r>
      <w:r>
        <w:rPr>
          <w:rFonts w:eastAsiaTheme="minorHAnsi"/>
        </w:rPr>
        <w:t>‘</w:t>
      </w:r>
      <w:r w:rsidR="00193DFB">
        <w:rPr>
          <w:rFonts w:eastAsiaTheme="minorHAnsi"/>
        </w:rPr>
        <w:t>c</w:t>
      </w:r>
      <w:r w:rsidRPr="00014FC5">
        <w:rPr>
          <w:rFonts w:eastAsiaTheme="minorHAnsi"/>
        </w:rPr>
        <w:t>ollateral portfolio code (</w:t>
      </w:r>
      <w:r w:rsidR="00193DFB">
        <w:rPr>
          <w:rFonts w:eastAsiaTheme="minorHAnsi"/>
        </w:rPr>
        <w:t>i</w:t>
      </w:r>
      <w:r w:rsidRPr="00014FC5">
        <w:rPr>
          <w:rFonts w:eastAsiaTheme="minorHAnsi"/>
        </w:rPr>
        <w:t xml:space="preserve">nitial </w:t>
      </w:r>
      <w:r w:rsidR="00193DFB">
        <w:rPr>
          <w:rFonts w:eastAsiaTheme="minorHAnsi"/>
        </w:rPr>
        <w:t>m</w:t>
      </w:r>
      <w:r w:rsidRPr="00014FC5">
        <w:rPr>
          <w:rFonts w:eastAsiaTheme="minorHAnsi"/>
        </w:rPr>
        <w:t>argin)</w:t>
      </w:r>
      <w:r>
        <w:rPr>
          <w:rFonts w:eastAsiaTheme="minorHAnsi"/>
        </w:rPr>
        <w:t>’ and ‘</w:t>
      </w:r>
      <w:r w:rsidR="00193DFB">
        <w:rPr>
          <w:rFonts w:eastAsiaTheme="minorHAnsi"/>
        </w:rPr>
        <w:t>c</w:t>
      </w:r>
      <w:r w:rsidRPr="00014FC5">
        <w:rPr>
          <w:rFonts w:eastAsiaTheme="minorHAnsi"/>
        </w:rPr>
        <w:t>ollateral portfolio code (</w:t>
      </w:r>
      <w:r w:rsidR="00193DFB">
        <w:rPr>
          <w:rFonts w:eastAsiaTheme="minorHAnsi"/>
        </w:rPr>
        <w:t>v</w:t>
      </w:r>
      <w:r>
        <w:rPr>
          <w:rFonts w:eastAsiaTheme="minorHAnsi"/>
        </w:rPr>
        <w:t>ariation</w:t>
      </w:r>
      <w:r w:rsidRPr="00014FC5">
        <w:rPr>
          <w:rFonts w:eastAsiaTheme="minorHAnsi"/>
        </w:rPr>
        <w:t xml:space="preserve"> </w:t>
      </w:r>
      <w:r w:rsidR="00193DFB">
        <w:rPr>
          <w:rFonts w:eastAsiaTheme="minorHAnsi"/>
        </w:rPr>
        <w:t>m</w:t>
      </w:r>
      <w:r w:rsidRPr="00014FC5">
        <w:rPr>
          <w:rFonts w:eastAsiaTheme="minorHAnsi"/>
        </w:rPr>
        <w:t>argin)</w:t>
      </w:r>
      <w:r>
        <w:rPr>
          <w:rFonts w:eastAsiaTheme="minorHAnsi"/>
        </w:rPr>
        <w:t xml:space="preserve">’ reflects industry feedback to the </w:t>
      </w:r>
      <w:r w:rsidR="0064403F">
        <w:rPr>
          <w:rFonts w:eastAsiaTheme="minorHAnsi"/>
        </w:rPr>
        <w:t xml:space="preserve">original </w:t>
      </w:r>
      <w:r>
        <w:rPr>
          <w:rFonts w:eastAsiaTheme="minorHAnsi"/>
        </w:rPr>
        <w:t>CFTC proposals and their adoption in the final CFTC rules.</w:t>
      </w:r>
    </w:p>
    <w:p w14:paraId="75C04893" w14:textId="533CB0E0" w:rsidR="001474A2" w:rsidRDefault="001474A2" w:rsidP="00B82477">
      <w:pPr>
        <w:pStyle w:val="BodyText"/>
        <w:rPr>
          <w:rFonts w:eastAsiaTheme="minorHAnsi"/>
        </w:rPr>
      </w:pPr>
      <w:r w:rsidRPr="00071F7A">
        <w:rPr>
          <w:rFonts w:eastAsiaTheme="minorHAnsi"/>
        </w:rPr>
        <w:t xml:space="preserve">ISDA </w:t>
      </w:r>
      <w:r w:rsidR="00014FC5" w:rsidRPr="00071F7A">
        <w:rPr>
          <w:rFonts w:eastAsiaTheme="minorHAnsi"/>
        </w:rPr>
        <w:t xml:space="preserve">submitted that the final CFTC rules </w:t>
      </w:r>
      <w:r w:rsidRPr="00071F7A">
        <w:rPr>
          <w:rFonts w:eastAsiaTheme="minorHAnsi"/>
        </w:rPr>
        <w:t xml:space="preserve">should allow a reporting counterparty the option to report up to two collateral portfolio </w:t>
      </w:r>
      <w:r w:rsidR="00972CCC">
        <w:rPr>
          <w:rFonts w:eastAsiaTheme="minorHAnsi"/>
        </w:rPr>
        <w:t>codes</w:t>
      </w:r>
      <w:r w:rsidR="00972CCC" w:rsidRPr="00071F7A">
        <w:rPr>
          <w:rFonts w:eastAsiaTheme="minorHAnsi"/>
        </w:rPr>
        <w:t xml:space="preserve"> </w:t>
      </w:r>
      <w:r w:rsidRPr="00071F7A">
        <w:rPr>
          <w:rFonts w:eastAsiaTheme="minorHAnsi"/>
        </w:rPr>
        <w:t xml:space="preserve">for each swap, one which would correspond to the </w:t>
      </w:r>
      <w:r w:rsidR="00972CCC">
        <w:rPr>
          <w:rFonts w:eastAsiaTheme="minorHAnsi"/>
        </w:rPr>
        <w:t>variation margin</w:t>
      </w:r>
      <w:r w:rsidR="00972CCC" w:rsidRPr="00071F7A">
        <w:rPr>
          <w:rFonts w:eastAsiaTheme="minorHAnsi"/>
        </w:rPr>
        <w:t xml:space="preserve"> </w:t>
      </w:r>
      <w:r w:rsidRPr="00071F7A">
        <w:rPr>
          <w:rFonts w:eastAsiaTheme="minorHAnsi"/>
        </w:rPr>
        <w:t xml:space="preserve">requirement and the other to the </w:t>
      </w:r>
      <w:r w:rsidR="00972CCC">
        <w:rPr>
          <w:rFonts w:eastAsiaTheme="minorHAnsi"/>
        </w:rPr>
        <w:t>initial margin</w:t>
      </w:r>
      <w:r w:rsidRPr="00071F7A">
        <w:rPr>
          <w:rFonts w:eastAsiaTheme="minorHAnsi"/>
        </w:rPr>
        <w:t xml:space="preserve"> requirement</w:t>
      </w:r>
      <w:r w:rsidR="00014FC5" w:rsidRPr="00071F7A">
        <w:rPr>
          <w:rFonts w:eastAsiaTheme="minorHAnsi"/>
        </w:rPr>
        <w:t xml:space="preserve">. ISDA submitted that this is important </w:t>
      </w:r>
      <w:r w:rsidRPr="00071F7A">
        <w:rPr>
          <w:rFonts w:eastAsiaTheme="minorHAnsi"/>
        </w:rPr>
        <w:t xml:space="preserve">because each swap may be treated differently for purposes of margining depending on whether it is subject to regulatory </w:t>
      </w:r>
      <w:r w:rsidR="00972CCC">
        <w:rPr>
          <w:rFonts w:eastAsiaTheme="minorHAnsi"/>
        </w:rPr>
        <w:t>variation margin</w:t>
      </w:r>
      <w:r w:rsidRPr="00071F7A">
        <w:rPr>
          <w:rFonts w:eastAsiaTheme="minorHAnsi"/>
        </w:rPr>
        <w:t xml:space="preserve"> and/or </w:t>
      </w:r>
      <w:r w:rsidR="00972CCC">
        <w:rPr>
          <w:rFonts w:eastAsiaTheme="minorHAnsi"/>
        </w:rPr>
        <w:t>initial margin</w:t>
      </w:r>
      <w:r w:rsidRPr="00071F7A">
        <w:rPr>
          <w:rFonts w:eastAsiaTheme="minorHAnsi"/>
        </w:rPr>
        <w:t xml:space="preserve"> requirements and whether it is subject to non-regulatory </w:t>
      </w:r>
      <w:r w:rsidR="00972CCC">
        <w:rPr>
          <w:rFonts w:eastAsiaTheme="minorHAnsi"/>
        </w:rPr>
        <w:t>variation margin</w:t>
      </w:r>
      <w:r w:rsidRPr="00071F7A">
        <w:rPr>
          <w:rFonts w:eastAsiaTheme="minorHAnsi"/>
        </w:rPr>
        <w:t xml:space="preserve"> or </w:t>
      </w:r>
      <w:r w:rsidR="00972CCC">
        <w:rPr>
          <w:rFonts w:eastAsiaTheme="minorHAnsi"/>
        </w:rPr>
        <w:t>initial margin</w:t>
      </w:r>
      <w:r w:rsidRPr="00071F7A">
        <w:rPr>
          <w:rFonts w:eastAsiaTheme="minorHAnsi"/>
        </w:rPr>
        <w:t xml:space="preserve"> </w:t>
      </w:r>
      <w:r w:rsidR="00014FC5" w:rsidRPr="00071F7A">
        <w:rPr>
          <w:rFonts w:eastAsiaTheme="minorHAnsi"/>
        </w:rPr>
        <w:t xml:space="preserve">in </w:t>
      </w:r>
      <w:r w:rsidRPr="00071F7A">
        <w:rPr>
          <w:rFonts w:eastAsiaTheme="minorHAnsi"/>
        </w:rPr>
        <w:t xml:space="preserve">accordance with </w:t>
      </w:r>
      <w:r w:rsidR="00071F7A" w:rsidRPr="00071F7A">
        <w:rPr>
          <w:rFonts w:eastAsiaTheme="minorHAnsi"/>
        </w:rPr>
        <w:t xml:space="preserve">a </w:t>
      </w:r>
      <w:r w:rsidRPr="00071F7A">
        <w:rPr>
          <w:rFonts w:eastAsiaTheme="minorHAnsi"/>
        </w:rPr>
        <w:t>collateral agreement between the parties</w:t>
      </w:r>
      <w:r w:rsidR="00071F7A" w:rsidRPr="00071F7A">
        <w:rPr>
          <w:rFonts w:eastAsiaTheme="minorHAnsi"/>
        </w:rPr>
        <w:t xml:space="preserve">. </w:t>
      </w:r>
      <w:r w:rsidRPr="00071F7A">
        <w:rPr>
          <w:rFonts w:eastAsiaTheme="minorHAnsi"/>
        </w:rPr>
        <w:t xml:space="preserve">An approach that uses a single portfolio code may provide misleading information, since </w:t>
      </w:r>
      <w:r w:rsidR="00071F7A">
        <w:rPr>
          <w:rFonts w:eastAsiaTheme="minorHAnsi"/>
        </w:rPr>
        <w:t xml:space="preserve">a regulator </w:t>
      </w:r>
      <w:r w:rsidRPr="00071F7A">
        <w:rPr>
          <w:rFonts w:eastAsiaTheme="minorHAnsi"/>
        </w:rPr>
        <w:t xml:space="preserve">would be unable to understand with certainty which </w:t>
      </w:r>
      <w:r w:rsidR="00071F7A">
        <w:rPr>
          <w:rFonts w:eastAsiaTheme="minorHAnsi"/>
        </w:rPr>
        <w:t xml:space="preserve">transactions </w:t>
      </w:r>
      <w:r w:rsidRPr="00071F7A">
        <w:rPr>
          <w:rFonts w:eastAsiaTheme="minorHAnsi"/>
        </w:rPr>
        <w:t>had been included in a particular margin calculation.</w:t>
      </w:r>
    </w:p>
    <w:p w14:paraId="7F7A9BC1" w14:textId="0E3A03FE" w:rsidR="00071F7A" w:rsidRDefault="00071F7A" w:rsidP="00B82477">
      <w:pPr>
        <w:pStyle w:val="BodyText"/>
        <w:rPr>
          <w:rFonts w:eastAsiaTheme="minorHAnsi"/>
        </w:rPr>
      </w:pPr>
      <w:r>
        <w:rPr>
          <w:rFonts w:eastAsiaTheme="minorHAnsi"/>
        </w:rPr>
        <w:t>We agree that a two-portfolio code approach will enable the Australian regulators to more clearly understand the relationships between the valuation amounts for transactions and their more clearly segregated associated initial and variation margin amounts.</w:t>
      </w:r>
    </w:p>
    <w:p w14:paraId="62B7EDEE" w14:textId="47325F2B" w:rsidR="00071F7A" w:rsidRDefault="00071F7A" w:rsidP="00B82477">
      <w:pPr>
        <w:pStyle w:val="BodyText"/>
        <w:rPr>
          <w:rFonts w:eastAsiaTheme="minorHAnsi"/>
        </w:rPr>
      </w:pPr>
      <w:r>
        <w:rPr>
          <w:rFonts w:eastAsiaTheme="minorHAnsi"/>
        </w:rPr>
        <w:t xml:space="preserve">Our proposal also includes that initial margin posted and collected would be reported as both pre-haircut and post-haircut values. The pre-haircut value is the gross amount of collateral posted or collected and is the amount of collateral that a posting entity needs to find and fund. The post-haircut value is the pre-haircut value discounted by </w:t>
      </w:r>
      <w:r w:rsidR="00A83794">
        <w:rPr>
          <w:rFonts w:eastAsiaTheme="minorHAnsi"/>
        </w:rPr>
        <w:t xml:space="preserve">the </w:t>
      </w:r>
      <w:r>
        <w:rPr>
          <w:rFonts w:eastAsiaTheme="minorHAnsi"/>
        </w:rPr>
        <w:t>amount</w:t>
      </w:r>
      <w:r w:rsidR="00193DFB" w:rsidRPr="00A829C7">
        <w:rPr>
          <w:rFonts w:eastAsiaTheme="minorHAnsi"/>
        </w:rPr>
        <w:t>—</w:t>
      </w:r>
      <w:r>
        <w:rPr>
          <w:rFonts w:eastAsiaTheme="minorHAnsi"/>
        </w:rPr>
        <w:t>the ‘haircut’</w:t>
      </w:r>
      <w:r w:rsidR="00193DFB">
        <w:rPr>
          <w:rFonts w:eastAsiaTheme="minorHAnsi"/>
        </w:rPr>
        <w:t>—</w:t>
      </w:r>
      <w:r>
        <w:rPr>
          <w:rFonts w:eastAsiaTheme="minorHAnsi"/>
        </w:rPr>
        <w:t>that generally reflects the risk that the value of the collateral may decline</w:t>
      </w:r>
      <w:r w:rsidR="006A2723">
        <w:rPr>
          <w:rFonts w:eastAsiaTheme="minorHAnsi"/>
        </w:rPr>
        <w:t xml:space="preserve"> due to market price movements in the time between the most recent posting and the collateral needing to be realised </w:t>
      </w:r>
      <w:r w:rsidR="00C61BD9">
        <w:rPr>
          <w:rFonts w:eastAsiaTheme="minorHAnsi"/>
        </w:rPr>
        <w:t xml:space="preserve">to meet the obligations that are </w:t>
      </w:r>
      <w:r w:rsidR="00C61BD9">
        <w:rPr>
          <w:rFonts w:eastAsiaTheme="minorHAnsi"/>
        </w:rPr>
        <w:lastRenderedPageBreak/>
        <w:t xml:space="preserve">collateralised. Haircuts may be used where, for example, collateral is posted in the form of securities rather than monetary amounts or the collateral is posted as a monetary amount but in a currency that is different to the currency in which the collateralised obligations </w:t>
      </w:r>
      <w:r w:rsidR="00B979B7">
        <w:rPr>
          <w:rFonts w:eastAsiaTheme="minorHAnsi"/>
        </w:rPr>
        <w:t xml:space="preserve">are </w:t>
      </w:r>
      <w:r w:rsidR="00C61BD9">
        <w:rPr>
          <w:rFonts w:eastAsiaTheme="minorHAnsi"/>
        </w:rPr>
        <w:t>denominated.</w:t>
      </w:r>
    </w:p>
    <w:p w14:paraId="0C12A783" w14:textId="037CA1B1" w:rsidR="00354EFA" w:rsidRDefault="00802A06" w:rsidP="00C61BD9">
      <w:pPr>
        <w:pStyle w:val="BodyText"/>
        <w:rPr>
          <w:rFonts w:eastAsiaTheme="minorHAnsi"/>
        </w:rPr>
      </w:pPr>
      <w:r w:rsidRPr="00AB4808">
        <w:rPr>
          <w:rFonts w:eastAsiaTheme="minorHAnsi"/>
        </w:rPr>
        <w:t>Reporting m</w:t>
      </w:r>
      <w:r w:rsidR="00354EFA" w:rsidRPr="00AB4808">
        <w:rPr>
          <w:rFonts w:eastAsiaTheme="minorHAnsi"/>
        </w:rPr>
        <w:t xml:space="preserve">argins posted </w:t>
      </w:r>
      <w:r w:rsidRPr="00AB4808">
        <w:rPr>
          <w:rFonts w:eastAsiaTheme="minorHAnsi"/>
        </w:rPr>
        <w:t xml:space="preserve">and collected as </w:t>
      </w:r>
      <w:r w:rsidR="00354EFA" w:rsidRPr="00AB4808">
        <w:rPr>
          <w:rFonts w:eastAsiaTheme="minorHAnsi"/>
        </w:rPr>
        <w:t xml:space="preserve">pre- and post-haircut </w:t>
      </w:r>
      <w:r w:rsidRPr="00AB4808">
        <w:rPr>
          <w:rFonts w:eastAsiaTheme="minorHAnsi"/>
        </w:rPr>
        <w:t xml:space="preserve">values </w:t>
      </w:r>
      <w:r w:rsidR="00354EFA" w:rsidRPr="00AB4808">
        <w:rPr>
          <w:rFonts w:eastAsiaTheme="minorHAnsi"/>
        </w:rPr>
        <w:t xml:space="preserve">provide valuable information to </w:t>
      </w:r>
      <w:r w:rsidRPr="00AB4808">
        <w:rPr>
          <w:rFonts w:eastAsiaTheme="minorHAnsi"/>
        </w:rPr>
        <w:t xml:space="preserve">the Australian regulators </w:t>
      </w:r>
      <w:r w:rsidR="00354EFA" w:rsidRPr="00AB4808">
        <w:rPr>
          <w:rFonts w:eastAsiaTheme="minorHAnsi"/>
        </w:rPr>
        <w:t xml:space="preserve">to identify emerging risks on derivatives markets due to </w:t>
      </w:r>
      <w:r w:rsidRPr="00AB4808">
        <w:rPr>
          <w:rFonts w:eastAsiaTheme="minorHAnsi"/>
        </w:rPr>
        <w:t xml:space="preserve">changes in the </w:t>
      </w:r>
      <w:r w:rsidR="00354EFA" w:rsidRPr="00AB4808">
        <w:rPr>
          <w:rFonts w:eastAsiaTheme="minorHAnsi"/>
        </w:rPr>
        <w:t>applied haircuts</w:t>
      </w:r>
      <w:r w:rsidRPr="00AB4808">
        <w:rPr>
          <w:rFonts w:eastAsiaTheme="minorHAnsi"/>
        </w:rPr>
        <w:t xml:space="preserve">, the </w:t>
      </w:r>
      <w:r w:rsidR="00354EFA" w:rsidRPr="00AB4808">
        <w:rPr>
          <w:rFonts w:eastAsiaTheme="minorHAnsi"/>
        </w:rPr>
        <w:t xml:space="preserve">level of haircuts applied per portfolio as well as </w:t>
      </w:r>
      <w:r w:rsidRPr="00AB4808">
        <w:rPr>
          <w:rFonts w:eastAsiaTheme="minorHAnsi"/>
        </w:rPr>
        <w:t xml:space="preserve">their </w:t>
      </w:r>
      <w:r w:rsidR="00354EFA" w:rsidRPr="00AB4808">
        <w:rPr>
          <w:rFonts w:eastAsiaTheme="minorHAnsi"/>
        </w:rPr>
        <w:t xml:space="preserve">evolution over time. </w:t>
      </w:r>
      <w:r w:rsidRPr="00AB4808">
        <w:rPr>
          <w:rFonts w:eastAsiaTheme="minorHAnsi"/>
        </w:rPr>
        <w:t xml:space="preserve">This enables assessment of the </w:t>
      </w:r>
      <w:r w:rsidR="00354EFA" w:rsidRPr="00AB4808">
        <w:rPr>
          <w:rFonts w:eastAsiaTheme="minorHAnsi"/>
        </w:rPr>
        <w:t xml:space="preserve">quality </w:t>
      </w:r>
      <w:r w:rsidRPr="00AB4808">
        <w:rPr>
          <w:rFonts w:eastAsiaTheme="minorHAnsi"/>
        </w:rPr>
        <w:t xml:space="preserve">and quantity </w:t>
      </w:r>
      <w:r w:rsidR="00354EFA" w:rsidRPr="00AB4808">
        <w:rPr>
          <w:rFonts w:eastAsiaTheme="minorHAnsi"/>
        </w:rPr>
        <w:t xml:space="preserve">of the collateral </w:t>
      </w:r>
      <w:r w:rsidRPr="00AB4808">
        <w:rPr>
          <w:rFonts w:eastAsiaTheme="minorHAnsi"/>
        </w:rPr>
        <w:t xml:space="preserve">in relation to </w:t>
      </w:r>
      <w:r w:rsidR="00354EFA" w:rsidRPr="00AB4808">
        <w:rPr>
          <w:rFonts w:eastAsiaTheme="minorHAnsi"/>
        </w:rPr>
        <w:t>leverage in the financial system and the potential build-up of stress and systemic risk, from a financial stability point of view.</w:t>
      </w:r>
    </w:p>
    <w:p w14:paraId="6B87F1DB" w14:textId="2C0785E7" w:rsidR="00AB4808" w:rsidRDefault="00AB4808" w:rsidP="00AB4808">
      <w:pPr>
        <w:pStyle w:val="BodyText"/>
        <w:rPr>
          <w:rFonts w:eastAsiaTheme="minorHAnsi"/>
        </w:rPr>
      </w:pPr>
      <w:r>
        <w:rPr>
          <w:rFonts w:eastAsiaTheme="minorHAnsi"/>
        </w:rPr>
        <w:t>W</w:t>
      </w:r>
      <w:r w:rsidRPr="00AB4808">
        <w:rPr>
          <w:rFonts w:eastAsiaTheme="minorHAnsi"/>
        </w:rPr>
        <w:t>e also propose to adopt the final CFTC rules field of ‘</w:t>
      </w:r>
      <w:r w:rsidR="00B979B7">
        <w:rPr>
          <w:rFonts w:eastAsiaTheme="minorHAnsi"/>
        </w:rPr>
        <w:t>p</w:t>
      </w:r>
      <w:r w:rsidR="00B979B7" w:rsidRPr="00AB4808">
        <w:rPr>
          <w:rFonts w:eastAsiaTheme="minorHAnsi"/>
        </w:rPr>
        <w:t xml:space="preserve">ortfolio </w:t>
      </w:r>
      <w:r w:rsidRPr="00AB4808">
        <w:rPr>
          <w:rFonts w:eastAsiaTheme="minorHAnsi"/>
        </w:rPr>
        <w:t>containing non-reportable component indicator’</w:t>
      </w:r>
      <w:r>
        <w:rPr>
          <w:rFonts w:eastAsiaTheme="minorHAnsi"/>
        </w:rPr>
        <w:t xml:space="preserve">. This </w:t>
      </w:r>
      <w:r w:rsidR="004A2760">
        <w:rPr>
          <w:rFonts w:eastAsiaTheme="minorHAnsi"/>
        </w:rPr>
        <w:t>t</w:t>
      </w:r>
      <w:r w:rsidRPr="00AB4808">
        <w:rPr>
          <w:rFonts w:eastAsiaTheme="minorHAnsi"/>
        </w:rPr>
        <w:t>rue</w:t>
      </w:r>
      <w:r w:rsidR="004A2760">
        <w:rPr>
          <w:rFonts w:eastAsiaTheme="minorHAnsi"/>
        </w:rPr>
        <w:t xml:space="preserve"> or f</w:t>
      </w:r>
      <w:r w:rsidRPr="00AB4808">
        <w:rPr>
          <w:rFonts w:eastAsiaTheme="minorHAnsi"/>
        </w:rPr>
        <w:t xml:space="preserve">alse </w:t>
      </w:r>
      <w:r>
        <w:rPr>
          <w:rFonts w:eastAsiaTheme="minorHAnsi"/>
        </w:rPr>
        <w:t xml:space="preserve">value </w:t>
      </w:r>
      <w:r w:rsidRPr="00AB4808">
        <w:rPr>
          <w:rFonts w:eastAsiaTheme="minorHAnsi"/>
        </w:rPr>
        <w:t xml:space="preserve">indicates that the collateral amount cannot be directly related to the sum of the valuation amounts of the </w:t>
      </w:r>
      <w:r w:rsidR="00A65611">
        <w:rPr>
          <w:rFonts w:eastAsiaTheme="minorHAnsi"/>
        </w:rPr>
        <w:t>reportable transact</w:t>
      </w:r>
      <w:r w:rsidRPr="00AB4808">
        <w:rPr>
          <w:rFonts w:eastAsiaTheme="minorHAnsi"/>
        </w:rPr>
        <w:t>ions of that collateral portfolio because the collateral portfolio includes other transactions</w:t>
      </w:r>
      <w:r>
        <w:rPr>
          <w:rFonts w:eastAsiaTheme="minorHAnsi"/>
        </w:rPr>
        <w:t>, for example:</w:t>
      </w:r>
    </w:p>
    <w:p w14:paraId="5D68E575" w14:textId="5F50417C" w:rsidR="00AB4808" w:rsidRDefault="00AB4808" w:rsidP="00AB4808">
      <w:pPr>
        <w:pStyle w:val="subparaa"/>
        <w:rPr>
          <w:rFonts w:eastAsiaTheme="minorHAnsi"/>
        </w:rPr>
      </w:pPr>
      <w:r>
        <w:rPr>
          <w:rFonts w:eastAsiaTheme="minorHAnsi"/>
        </w:rPr>
        <w:t>where cleared interest rate derivative transactions are cross-collateralised with interest rate futures</w:t>
      </w:r>
      <w:r w:rsidR="00193DFB">
        <w:rPr>
          <w:rFonts w:eastAsiaTheme="minorHAnsi"/>
        </w:rPr>
        <w:t>—</w:t>
      </w:r>
      <w:r>
        <w:rPr>
          <w:rFonts w:eastAsiaTheme="minorHAnsi"/>
        </w:rPr>
        <w:t>the valuation amounts of the interest rate futures positions are not included in reporting under the ASIC Rules;</w:t>
      </w:r>
    </w:p>
    <w:p w14:paraId="08532B8F" w14:textId="7CF8C9C2" w:rsidR="00AB4808" w:rsidRPr="00AB4808" w:rsidRDefault="00AB4808" w:rsidP="00AB4808">
      <w:pPr>
        <w:pStyle w:val="subparaa"/>
        <w:rPr>
          <w:rFonts w:eastAsiaTheme="minorHAnsi"/>
        </w:rPr>
      </w:pPr>
      <w:r>
        <w:rPr>
          <w:rFonts w:eastAsiaTheme="minorHAnsi"/>
        </w:rPr>
        <w:t>where the collateral portfolio is a global portfolio comprised of global transactions</w:t>
      </w:r>
      <w:r w:rsidR="003109D1">
        <w:rPr>
          <w:rFonts w:eastAsiaTheme="minorHAnsi"/>
        </w:rPr>
        <w:t xml:space="preserve"> that are not all ASIC reportable transactions</w:t>
      </w:r>
      <w:r w:rsidR="00193DFB">
        <w:rPr>
          <w:rFonts w:eastAsiaTheme="minorHAnsi"/>
        </w:rPr>
        <w:t>—</w:t>
      </w:r>
      <w:r>
        <w:rPr>
          <w:rFonts w:eastAsiaTheme="minorHAnsi"/>
        </w:rPr>
        <w:t xml:space="preserve">the valuation amounts of those transactions that are not </w:t>
      </w:r>
      <w:r w:rsidR="003109D1">
        <w:rPr>
          <w:rFonts w:eastAsiaTheme="minorHAnsi"/>
        </w:rPr>
        <w:t xml:space="preserve">ASIC </w:t>
      </w:r>
      <w:r w:rsidR="00A65611">
        <w:rPr>
          <w:rFonts w:eastAsiaTheme="minorHAnsi"/>
        </w:rPr>
        <w:t>reportable transact</w:t>
      </w:r>
      <w:r>
        <w:rPr>
          <w:rFonts w:eastAsiaTheme="minorHAnsi"/>
        </w:rPr>
        <w:t>ions are not included in reporting under the ASIC Rules.</w:t>
      </w:r>
    </w:p>
    <w:p w14:paraId="7D505689" w14:textId="77777777" w:rsidR="002C0998" w:rsidRDefault="002C0998" w:rsidP="005E2C08">
      <w:pPr>
        <w:pStyle w:val="Proposalhead"/>
      </w:pPr>
      <w:r>
        <w:t>Proposal</w:t>
      </w:r>
    </w:p>
    <w:p w14:paraId="0E14C60D" w14:textId="2764A186" w:rsidR="002C0998" w:rsidRDefault="002C0998">
      <w:pPr>
        <w:pStyle w:val="Proposaltext"/>
      </w:pPr>
      <w:r>
        <w:t xml:space="preserve">We propose to include in the ASIC Rules the data elements related to collateral and margins set out in </w:t>
      </w:r>
      <w:r w:rsidR="00B979B7">
        <w:fldChar w:fldCharType="begin"/>
      </w:r>
      <w:r w:rsidR="00B979B7">
        <w:instrText xml:space="preserve"> REF _Ref55993146 \h </w:instrText>
      </w:r>
      <w:r w:rsidR="00B979B7">
        <w:fldChar w:fldCharType="separate"/>
      </w:r>
      <w:r w:rsidR="00314C7E">
        <w:t xml:space="preserve">Table </w:t>
      </w:r>
      <w:r w:rsidR="00314C7E">
        <w:rPr>
          <w:noProof/>
        </w:rPr>
        <w:t>15</w:t>
      </w:r>
      <w:r w:rsidR="00B979B7">
        <w:fldChar w:fldCharType="end"/>
      </w:r>
      <w:r>
        <w:t>.</w:t>
      </w:r>
    </w:p>
    <w:p w14:paraId="4DFE9300" w14:textId="77777777" w:rsidR="002C0998" w:rsidRDefault="002C0998">
      <w:pPr>
        <w:pStyle w:val="Feedbackhead"/>
      </w:pPr>
      <w:r>
        <w:t>Your feedback</w:t>
      </w:r>
    </w:p>
    <w:p w14:paraId="05EB3C83" w14:textId="77777777" w:rsidR="002C0998" w:rsidRDefault="002C0998" w:rsidP="002C0998">
      <w:pPr>
        <w:pStyle w:val="Feedbackquestion"/>
      </w:pPr>
      <w:r>
        <w:t>Do you agree with this proposal? In your response, please give detailed reasons for your answer.</w:t>
      </w:r>
    </w:p>
    <w:p w14:paraId="3A5A3C45" w14:textId="162AABB8" w:rsidR="002C0998" w:rsidRDefault="002C0998" w:rsidP="002C0998">
      <w:pPr>
        <w:pStyle w:val="Feedbackquestion"/>
      </w:pPr>
      <w:r w:rsidRPr="00C62732">
        <w:t xml:space="preserve">Do you consider that you will have </w:t>
      </w:r>
      <w:r w:rsidR="00790DEA">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_Ref55993146 \h </w:instrText>
      </w:r>
      <w:r w:rsidR="00CB0A2A">
        <w:fldChar w:fldCharType="separate"/>
      </w:r>
      <w:r w:rsidR="00314C7E">
        <w:t xml:space="preserve">Table </w:t>
      </w:r>
      <w:r w:rsidR="00314C7E">
        <w:rPr>
          <w:noProof/>
        </w:rPr>
        <w:t>15</w:t>
      </w:r>
      <w:r w:rsidR="00CB0A2A">
        <w:fldChar w:fldCharType="end"/>
      </w:r>
      <w:r w:rsidRPr="00C62732">
        <w:t>? In your response, please give detailed reasons for your answer.</w:t>
      </w:r>
    </w:p>
    <w:p w14:paraId="7EE2DC7E" w14:textId="665BD777" w:rsidR="00900B3B" w:rsidRDefault="00900B3B" w:rsidP="00900B3B">
      <w:pPr>
        <w:pStyle w:val="Heading2"/>
        <w:rPr>
          <w:rFonts w:eastAsiaTheme="minorHAnsi"/>
        </w:rPr>
      </w:pPr>
      <w:bookmarkStart w:id="111" w:name="_Toc57146496"/>
      <w:r>
        <w:rPr>
          <w:rFonts w:eastAsiaTheme="minorHAnsi"/>
        </w:rPr>
        <w:t>Data elements related to counterparty rating triggers</w:t>
      </w:r>
      <w:bookmarkEnd w:id="111"/>
    </w:p>
    <w:p w14:paraId="6C65EF4E" w14:textId="4ED669B4" w:rsidR="002C3F32" w:rsidRDefault="002C3F32" w:rsidP="002C3F32">
      <w:pPr>
        <w:pStyle w:val="BodyText"/>
        <w:rPr>
          <w:rFonts w:eastAsiaTheme="minorHAnsi"/>
        </w:rPr>
      </w:pPr>
      <w:r>
        <w:rPr>
          <w:rFonts w:eastAsiaTheme="minorHAnsi"/>
        </w:rPr>
        <w:t xml:space="preserve">There are two data elements related to counterparty rating triggers in the CDE </w:t>
      </w:r>
      <w:r w:rsidR="00E401E1">
        <w:rPr>
          <w:rFonts w:eastAsiaTheme="minorHAnsi"/>
        </w:rPr>
        <w:t>Guidance</w:t>
      </w:r>
      <w:r>
        <w:rPr>
          <w:rFonts w:eastAsiaTheme="minorHAnsi"/>
        </w:rPr>
        <w:t xml:space="preserve">. These are adopted in the </w:t>
      </w:r>
      <w:r w:rsidR="000127C8">
        <w:rPr>
          <w:rFonts w:eastAsiaTheme="minorHAnsi"/>
        </w:rPr>
        <w:t>ESMA proposals</w:t>
      </w:r>
      <w:r>
        <w:rPr>
          <w:rFonts w:eastAsiaTheme="minorHAnsi"/>
        </w:rPr>
        <w:t xml:space="preserve"> but not in the final CFTC rules.</w:t>
      </w:r>
    </w:p>
    <w:p w14:paraId="0972F9FE" w14:textId="6B3F31E3" w:rsidR="002C3F32" w:rsidRPr="002C3F32" w:rsidRDefault="002C3F32" w:rsidP="00136CC5">
      <w:pPr>
        <w:pStyle w:val="BodyText"/>
        <w:spacing w:before="220" w:line="310" w:lineRule="atLeast"/>
        <w:rPr>
          <w:rFonts w:eastAsiaTheme="minorHAnsi"/>
        </w:rPr>
      </w:pPr>
      <w:r>
        <w:rPr>
          <w:rFonts w:eastAsiaTheme="minorHAnsi"/>
        </w:rPr>
        <w:lastRenderedPageBreak/>
        <w:t>We also do not propose to adopt them in the ASIC Rules</w:t>
      </w:r>
      <w:r w:rsidR="00695AE1">
        <w:rPr>
          <w:rFonts w:eastAsiaTheme="minorHAnsi"/>
        </w:rPr>
        <w:t>. While infor</w:t>
      </w:r>
      <w:r w:rsidR="00695AE1" w:rsidRPr="00695AE1">
        <w:rPr>
          <w:rFonts w:eastAsiaTheme="minorHAnsi"/>
        </w:rPr>
        <w:t xml:space="preserve">mation on the pervasiveness and characteristics of collateral rating triggers can have significant value for authorities from a financial stability perspective, </w:t>
      </w:r>
      <w:r w:rsidR="00695AE1">
        <w:rPr>
          <w:rFonts w:eastAsiaTheme="minorHAnsi"/>
        </w:rPr>
        <w:t>we consider there is sufficient exposure information provided in other data elements to not impose an additional reporting requirement of these data elements.</w:t>
      </w:r>
    </w:p>
    <w:p w14:paraId="1B9EBA5B" w14:textId="2F7E141A" w:rsidR="002C3F32" w:rsidRPr="004857CC" w:rsidRDefault="002C3F32" w:rsidP="002C3F32">
      <w:pPr>
        <w:pStyle w:val="tabletitlefullwidth"/>
      </w:pPr>
      <w:bookmarkStart w:id="112" w:name="_Ref55993407"/>
      <w:r>
        <w:t xml:space="preserve">Table </w:t>
      </w:r>
      <w:r w:rsidR="007055A5">
        <w:fldChar w:fldCharType="begin"/>
      </w:r>
      <w:r w:rsidR="007055A5">
        <w:instrText xml:space="preserve"> SEQ Table \* ARABIC </w:instrText>
      </w:r>
      <w:r w:rsidR="007055A5">
        <w:fldChar w:fldCharType="separate"/>
      </w:r>
      <w:r w:rsidR="00314C7E">
        <w:rPr>
          <w:noProof/>
        </w:rPr>
        <w:t>16</w:t>
      </w:r>
      <w:r w:rsidR="007055A5">
        <w:rPr>
          <w:noProof/>
        </w:rPr>
        <w:fldChar w:fldCharType="end"/>
      </w:r>
      <w:bookmarkEnd w:id="112"/>
      <w:r>
        <w:t>:</w:t>
      </w:r>
      <w:r>
        <w:tab/>
        <w:t>Data elements related to counterparty rating triggers</w:t>
      </w:r>
      <w:r w:rsidR="00193DFB">
        <w:t>—</w:t>
      </w:r>
      <w:r w:rsidR="00EC4C48">
        <w:t>N</w:t>
      </w:r>
      <w:r>
        <w:t>ot proposed</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2"/>
        <w:gridCol w:w="4434"/>
        <w:gridCol w:w="728"/>
        <w:gridCol w:w="727"/>
        <w:gridCol w:w="737"/>
        <w:gridCol w:w="709"/>
      </w:tblGrid>
      <w:tr w:rsidR="002C3F32" w:rsidRPr="000540E1" w14:paraId="18C1C160" w14:textId="77777777" w:rsidTr="00183994">
        <w:trPr>
          <w:cantSplit/>
          <w:tblHeader/>
        </w:trPr>
        <w:tc>
          <w:tcPr>
            <w:tcW w:w="942" w:type="pct"/>
            <w:shd w:val="clear" w:color="auto" w:fill="C2E3FA"/>
          </w:tcPr>
          <w:p w14:paraId="335FFB6B" w14:textId="77777777" w:rsidR="002C3F32" w:rsidRDefault="002C3F32" w:rsidP="00136CC5">
            <w:pPr>
              <w:pStyle w:val="tablehead"/>
              <w:spacing w:line="250" w:lineRule="atLeast"/>
            </w:pPr>
          </w:p>
        </w:tc>
        <w:tc>
          <w:tcPr>
            <w:tcW w:w="2453" w:type="pct"/>
            <w:shd w:val="clear" w:color="auto" w:fill="C2E3FA"/>
          </w:tcPr>
          <w:p w14:paraId="043D00DB" w14:textId="77777777" w:rsidR="002C3F32" w:rsidRDefault="002C3F32" w:rsidP="00136CC5">
            <w:pPr>
              <w:pStyle w:val="tablehead"/>
              <w:spacing w:line="250" w:lineRule="atLeast"/>
            </w:pPr>
          </w:p>
        </w:tc>
        <w:tc>
          <w:tcPr>
            <w:tcW w:w="1605" w:type="pct"/>
            <w:gridSpan w:val="4"/>
            <w:shd w:val="clear" w:color="auto" w:fill="C2E3FA"/>
          </w:tcPr>
          <w:p w14:paraId="335681E3" w14:textId="77777777" w:rsidR="002C3F32" w:rsidRPr="000540E1" w:rsidRDefault="002C3F32" w:rsidP="00136CC5">
            <w:pPr>
              <w:pStyle w:val="tablehead"/>
              <w:spacing w:line="250" w:lineRule="atLeast"/>
              <w:jc w:val="center"/>
            </w:pPr>
            <w:r>
              <w:t>Element number references</w:t>
            </w:r>
          </w:p>
        </w:tc>
      </w:tr>
      <w:tr w:rsidR="002C3F32" w:rsidRPr="000540E1" w14:paraId="12E3A3C8" w14:textId="77777777" w:rsidTr="00183994">
        <w:trPr>
          <w:cantSplit/>
          <w:tblHeader/>
        </w:trPr>
        <w:tc>
          <w:tcPr>
            <w:tcW w:w="942" w:type="pct"/>
            <w:shd w:val="clear" w:color="auto" w:fill="C2E3FA"/>
          </w:tcPr>
          <w:p w14:paraId="5C244688" w14:textId="77777777" w:rsidR="002C3F32" w:rsidRDefault="002C3F32" w:rsidP="00136CC5">
            <w:pPr>
              <w:pStyle w:val="tablehead"/>
              <w:spacing w:line="250" w:lineRule="atLeast"/>
            </w:pPr>
            <w:r>
              <w:t>Data element</w:t>
            </w:r>
          </w:p>
        </w:tc>
        <w:tc>
          <w:tcPr>
            <w:tcW w:w="2453" w:type="pct"/>
            <w:shd w:val="clear" w:color="auto" w:fill="C2E3FA"/>
          </w:tcPr>
          <w:p w14:paraId="76B2B442" w14:textId="2A69F513" w:rsidR="002C3F32" w:rsidRDefault="002C3F32" w:rsidP="00136CC5">
            <w:pPr>
              <w:pStyle w:val="tablehead"/>
              <w:spacing w:line="250" w:lineRule="atLeast"/>
            </w:pPr>
            <w:r>
              <w:t>Definition</w:t>
            </w:r>
            <w:r w:rsidR="00193DFB">
              <w:t>—</w:t>
            </w:r>
            <w:r w:rsidR="00EC4C48">
              <w:t>S</w:t>
            </w:r>
            <w:r>
              <w:t>ummary of key points</w:t>
            </w:r>
          </w:p>
        </w:tc>
        <w:tc>
          <w:tcPr>
            <w:tcW w:w="403" w:type="pct"/>
            <w:shd w:val="clear" w:color="auto" w:fill="C2E3FA"/>
          </w:tcPr>
          <w:p w14:paraId="40BA348C" w14:textId="77777777" w:rsidR="002C3F32" w:rsidRPr="000540E1" w:rsidRDefault="002C3F32" w:rsidP="00136CC5">
            <w:pPr>
              <w:pStyle w:val="tablehead"/>
              <w:spacing w:line="250" w:lineRule="atLeast"/>
              <w:jc w:val="center"/>
            </w:pPr>
            <w:r>
              <w:t>CDE</w:t>
            </w:r>
          </w:p>
        </w:tc>
        <w:tc>
          <w:tcPr>
            <w:tcW w:w="402" w:type="pct"/>
            <w:shd w:val="clear" w:color="auto" w:fill="C2E3FA"/>
          </w:tcPr>
          <w:p w14:paraId="427EC057" w14:textId="77777777" w:rsidR="002C3F32" w:rsidRPr="000540E1" w:rsidRDefault="002C3F32" w:rsidP="00136CC5">
            <w:pPr>
              <w:pStyle w:val="tablehead"/>
              <w:spacing w:line="250" w:lineRule="atLeast"/>
              <w:jc w:val="center"/>
            </w:pPr>
            <w:r>
              <w:t>CFTC</w:t>
            </w:r>
          </w:p>
        </w:tc>
        <w:tc>
          <w:tcPr>
            <w:tcW w:w="408" w:type="pct"/>
            <w:shd w:val="clear" w:color="auto" w:fill="C2E3FA"/>
          </w:tcPr>
          <w:p w14:paraId="13A5AF83" w14:textId="70C090B2" w:rsidR="002C3F32" w:rsidRPr="000540E1" w:rsidRDefault="005C1566" w:rsidP="00136CC5">
            <w:pPr>
              <w:pStyle w:val="tablehead"/>
              <w:spacing w:line="250" w:lineRule="atLeast"/>
              <w:jc w:val="center"/>
            </w:pPr>
            <w:r>
              <w:t>ESMA</w:t>
            </w:r>
          </w:p>
        </w:tc>
        <w:tc>
          <w:tcPr>
            <w:tcW w:w="392" w:type="pct"/>
            <w:shd w:val="clear" w:color="auto" w:fill="C2E3FA"/>
          </w:tcPr>
          <w:p w14:paraId="564AE943" w14:textId="77777777" w:rsidR="002C3F32" w:rsidRPr="000540E1" w:rsidRDefault="002C3F32" w:rsidP="00136CC5">
            <w:pPr>
              <w:pStyle w:val="tablehead"/>
              <w:spacing w:line="250" w:lineRule="atLeast"/>
              <w:jc w:val="center"/>
            </w:pPr>
            <w:r>
              <w:t>ASIC</w:t>
            </w:r>
          </w:p>
        </w:tc>
      </w:tr>
      <w:tr w:rsidR="00E96086" w:rsidRPr="000540E1" w14:paraId="56B384A8" w14:textId="77777777" w:rsidTr="00183994">
        <w:trPr>
          <w:cantSplit/>
        </w:trPr>
        <w:tc>
          <w:tcPr>
            <w:tcW w:w="942" w:type="pct"/>
          </w:tcPr>
          <w:p w14:paraId="420EED79" w14:textId="374740BC" w:rsidR="00E96086" w:rsidRPr="000540E1" w:rsidRDefault="00E96086" w:rsidP="00136CC5">
            <w:pPr>
              <w:pStyle w:val="tbltext"/>
              <w:spacing w:line="250" w:lineRule="atLeast"/>
            </w:pPr>
            <w:r w:rsidRPr="002C3F32">
              <w:t>Counterparty rating trigger indicator</w:t>
            </w:r>
          </w:p>
        </w:tc>
        <w:tc>
          <w:tcPr>
            <w:tcW w:w="2453" w:type="pct"/>
          </w:tcPr>
          <w:p w14:paraId="4388117B" w14:textId="28D86EA6" w:rsidR="00E96086" w:rsidRPr="000540E1" w:rsidRDefault="00E96086" w:rsidP="00136CC5">
            <w:pPr>
              <w:pStyle w:val="tbltext"/>
              <w:spacing w:line="250" w:lineRule="atLeast"/>
            </w:pPr>
            <w:r>
              <w:t xml:space="preserve">{CDE TG} </w:t>
            </w:r>
            <w:r w:rsidRPr="002C3F32">
              <w:t>Indicator of whether a counterparty rating trigger has been agreed by the counterparties for the collateral posted by reporting counterparty</w:t>
            </w:r>
            <w:r>
              <w:t>.</w:t>
            </w:r>
          </w:p>
        </w:tc>
        <w:tc>
          <w:tcPr>
            <w:tcW w:w="403" w:type="pct"/>
          </w:tcPr>
          <w:p w14:paraId="5613773F" w14:textId="26051722" w:rsidR="00E96086" w:rsidRPr="000540E1" w:rsidRDefault="00E96086" w:rsidP="00136CC5">
            <w:pPr>
              <w:pStyle w:val="tbltext"/>
              <w:spacing w:line="250" w:lineRule="atLeast"/>
              <w:jc w:val="center"/>
            </w:pPr>
            <w:r>
              <w:t>2.48</w:t>
            </w:r>
          </w:p>
        </w:tc>
        <w:tc>
          <w:tcPr>
            <w:tcW w:w="402" w:type="pct"/>
          </w:tcPr>
          <w:p w14:paraId="43D28461" w14:textId="14D66015" w:rsidR="00E96086" w:rsidRPr="000540E1" w:rsidRDefault="00E96086" w:rsidP="00136CC5">
            <w:pPr>
              <w:pStyle w:val="tbltext"/>
              <w:spacing w:line="250" w:lineRule="atLeast"/>
              <w:jc w:val="center"/>
            </w:pPr>
            <w:r>
              <w:t>n/a</w:t>
            </w:r>
          </w:p>
        </w:tc>
        <w:tc>
          <w:tcPr>
            <w:tcW w:w="408" w:type="pct"/>
          </w:tcPr>
          <w:p w14:paraId="7E2D4491" w14:textId="78C70B86" w:rsidR="00E96086" w:rsidRPr="000540E1" w:rsidRDefault="00E96086" w:rsidP="00136CC5">
            <w:pPr>
              <w:pStyle w:val="tbltext"/>
              <w:spacing w:line="250" w:lineRule="atLeast"/>
              <w:jc w:val="center"/>
            </w:pPr>
            <w:r>
              <w:t>3.28</w:t>
            </w:r>
          </w:p>
        </w:tc>
        <w:tc>
          <w:tcPr>
            <w:tcW w:w="392" w:type="pct"/>
          </w:tcPr>
          <w:p w14:paraId="29AC6BE2" w14:textId="0D9F4B3D" w:rsidR="00E96086" w:rsidRPr="000540E1" w:rsidRDefault="00E96086" w:rsidP="00136CC5">
            <w:pPr>
              <w:pStyle w:val="tbltext"/>
              <w:spacing w:line="250" w:lineRule="atLeast"/>
              <w:jc w:val="center"/>
            </w:pPr>
            <w:r>
              <w:t>n/a</w:t>
            </w:r>
          </w:p>
        </w:tc>
      </w:tr>
      <w:tr w:rsidR="00E96086" w:rsidRPr="000540E1" w14:paraId="68CF1CF0" w14:textId="77777777" w:rsidTr="00183994">
        <w:trPr>
          <w:cantSplit/>
        </w:trPr>
        <w:tc>
          <w:tcPr>
            <w:tcW w:w="942" w:type="pct"/>
          </w:tcPr>
          <w:p w14:paraId="3FF50CC7" w14:textId="5BC6EDEC" w:rsidR="00E96086" w:rsidRPr="000540E1" w:rsidRDefault="00E96086" w:rsidP="00136CC5">
            <w:pPr>
              <w:pStyle w:val="tbltext"/>
              <w:spacing w:line="250" w:lineRule="atLeast"/>
            </w:pPr>
            <w:r>
              <w:t>Counterparty rating threshold indicator</w:t>
            </w:r>
          </w:p>
        </w:tc>
        <w:tc>
          <w:tcPr>
            <w:tcW w:w="2453" w:type="pct"/>
          </w:tcPr>
          <w:p w14:paraId="36F80FC7" w14:textId="21BC5898" w:rsidR="00E96086" w:rsidRPr="000540E1" w:rsidRDefault="00E96086" w:rsidP="00136CC5">
            <w:pPr>
              <w:pStyle w:val="tbltext"/>
              <w:spacing w:line="250" w:lineRule="atLeast"/>
            </w:pPr>
            <w:r>
              <w:t xml:space="preserve">{CDE TG} </w:t>
            </w:r>
            <w:r w:rsidRPr="002C3F32">
              <w:t>Indicator of whether the counterparty rating trigger(s) include one that increases collateral requirements when the reporting counterparty falls below the threshold of single-A or equivalent.</w:t>
            </w:r>
          </w:p>
        </w:tc>
        <w:tc>
          <w:tcPr>
            <w:tcW w:w="403" w:type="pct"/>
          </w:tcPr>
          <w:p w14:paraId="658204D5" w14:textId="78E413E4" w:rsidR="00E96086" w:rsidRPr="000540E1" w:rsidRDefault="00E96086" w:rsidP="00136CC5">
            <w:pPr>
              <w:pStyle w:val="tbltext"/>
              <w:spacing w:line="250" w:lineRule="atLeast"/>
              <w:jc w:val="center"/>
            </w:pPr>
            <w:r>
              <w:t>2.49</w:t>
            </w:r>
          </w:p>
        </w:tc>
        <w:tc>
          <w:tcPr>
            <w:tcW w:w="402" w:type="pct"/>
          </w:tcPr>
          <w:p w14:paraId="48003A6B" w14:textId="286E2281" w:rsidR="00E96086" w:rsidRPr="000540E1" w:rsidRDefault="00E96086" w:rsidP="00136CC5">
            <w:pPr>
              <w:pStyle w:val="tbltext"/>
              <w:spacing w:line="250" w:lineRule="atLeast"/>
              <w:jc w:val="center"/>
            </w:pPr>
            <w:r>
              <w:t>n/a</w:t>
            </w:r>
          </w:p>
        </w:tc>
        <w:tc>
          <w:tcPr>
            <w:tcW w:w="408" w:type="pct"/>
          </w:tcPr>
          <w:p w14:paraId="4BCDE8F2" w14:textId="1F4CD870" w:rsidR="00E96086" w:rsidRPr="000540E1" w:rsidRDefault="00E96086" w:rsidP="00136CC5">
            <w:pPr>
              <w:pStyle w:val="tbltext"/>
              <w:spacing w:line="250" w:lineRule="atLeast"/>
              <w:jc w:val="center"/>
            </w:pPr>
            <w:r>
              <w:t>3.29</w:t>
            </w:r>
          </w:p>
        </w:tc>
        <w:tc>
          <w:tcPr>
            <w:tcW w:w="392" w:type="pct"/>
          </w:tcPr>
          <w:p w14:paraId="356E7018" w14:textId="48727D8B" w:rsidR="00E96086" w:rsidRPr="000540E1" w:rsidRDefault="00E96086" w:rsidP="00136CC5">
            <w:pPr>
              <w:pStyle w:val="tbltext"/>
              <w:spacing w:line="250" w:lineRule="atLeast"/>
              <w:jc w:val="center"/>
            </w:pPr>
            <w:r>
              <w:t>n/a</w:t>
            </w:r>
          </w:p>
        </w:tc>
      </w:tr>
    </w:tbl>
    <w:p w14:paraId="6AA6CFED" w14:textId="77777777" w:rsidR="00216836" w:rsidRDefault="00216836" w:rsidP="00B82477">
      <w:pPr>
        <w:pStyle w:val="Proposalhead"/>
      </w:pPr>
      <w:r>
        <w:t>Proposal</w:t>
      </w:r>
    </w:p>
    <w:p w14:paraId="1C83A1CC" w14:textId="227FC177" w:rsidR="00216836" w:rsidRDefault="00216836" w:rsidP="00136CC5">
      <w:pPr>
        <w:pStyle w:val="Proposaltext"/>
        <w:spacing w:before="220" w:line="270" w:lineRule="atLeast"/>
      </w:pPr>
      <w:r>
        <w:t xml:space="preserve">We do not propose to include in the ASIC Rules the data elements related to counterparty rating triggers set out in </w:t>
      </w:r>
      <w:r w:rsidR="00EC4C48">
        <w:fldChar w:fldCharType="begin"/>
      </w:r>
      <w:r w:rsidR="00EC4C48">
        <w:instrText xml:space="preserve"> REF _Ref55993407 \h </w:instrText>
      </w:r>
      <w:r w:rsidR="00EC4C48">
        <w:fldChar w:fldCharType="separate"/>
      </w:r>
      <w:r w:rsidR="00314C7E">
        <w:t xml:space="preserve">Table </w:t>
      </w:r>
      <w:r w:rsidR="00314C7E">
        <w:rPr>
          <w:noProof/>
        </w:rPr>
        <w:t>16</w:t>
      </w:r>
      <w:r w:rsidR="00EC4C48">
        <w:fldChar w:fldCharType="end"/>
      </w:r>
      <w:r>
        <w:t>.</w:t>
      </w:r>
    </w:p>
    <w:p w14:paraId="00E2DBC4" w14:textId="77777777" w:rsidR="00216836" w:rsidRDefault="00216836">
      <w:pPr>
        <w:pStyle w:val="Feedbackhead"/>
      </w:pPr>
      <w:r>
        <w:t>Your feedback</w:t>
      </w:r>
    </w:p>
    <w:p w14:paraId="1A159AB7" w14:textId="7793CEF9" w:rsidR="00216836" w:rsidRDefault="00216836" w:rsidP="00136CC5">
      <w:pPr>
        <w:pStyle w:val="Feedbackquestion"/>
        <w:spacing w:before="120" w:line="270" w:lineRule="atLeast"/>
      </w:pPr>
      <w:r>
        <w:t xml:space="preserve">Do you agree with this proposal? If </w:t>
      </w:r>
      <w:r w:rsidR="00EC4C48">
        <w:t>not</w:t>
      </w:r>
      <w:r>
        <w:t>, please give detailed reasons for your answer.</w:t>
      </w:r>
    </w:p>
    <w:p w14:paraId="6664175A" w14:textId="4B49A8A7" w:rsidR="00942C98" w:rsidRDefault="00942C98" w:rsidP="00942C98">
      <w:pPr>
        <w:pStyle w:val="Heading2"/>
        <w:rPr>
          <w:rFonts w:eastAsiaTheme="minorHAnsi"/>
        </w:rPr>
      </w:pPr>
      <w:bookmarkStart w:id="113" w:name="_Toc57146497"/>
      <w:r>
        <w:rPr>
          <w:rFonts w:eastAsiaTheme="minorHAnsi"/>
        </w:rPr>
        <w:t>Data ele</w:t>
      </w:r>
      <w:r w:rsidR="00216836">
        <w:rPr>
          <w:rFonts w:eastAsiaTheme="minorHAnsi"/>
        </w:rPr>
        <w:t>m</w:t>
      </w:r>
      <w:r>
        <w:rPr>
          <w:rFonts w:eastAsiaTheme="minorHAnsi"/>
        </w:rPr>
        <w:t>ents related to price</w:t>
      </w:r>
      <w:bookmarkEnd w:id="113"/>
    </w:p>
    <w:p w14:paraId="28E0B86E" w14:textId="7C782229" w:rsidR="00942C98" w:rsidRDefault="002C3F32" w:rsidP="00136CC5">
      <w:pPr>
        <w:pStyle w:val="BodyText"/>
        <w:spacing w:before="220" w:line="310" w:lineRule="atLeast"/>
        <w:rPr>
          <w:rFonts w:eastAsiaTheme="minorHAnsi"/>
        </w:rPr>
      </w:pPr>
      <w:r>
        <w:rPr>
          <w:rFonts w:eastAsiaTheme="minorHAnsi"/>
        </w:rPr>
        <w:t xml:space="preserve">The </w:t>
      </w:r>
      <w:r w:rsidR="00942C98">
        <w:rPr>
          <w:rFonts w:eastAsiaTheme="minorHAnsi"/>
        </w:rPr>
        <w:t xml:space="preserve">CDE </w:t>
      </w:r>
      <w:r w:rsidR="00E401E1">
        <w:rPr>
          <w:rFonts w:eastAsiaTheme="minorHAnsi"/>
        </w:rPr>
        <w:t>Guidance</w:t>
      </w:r>
      <w:r>
        <w:rPr>
          <w:rFonts w:eastAsiaTheme="minorHAnsi"/>
        </w:rPr>
        <w:t xml:space="preserve"> </w:t>
      </w:r>
      <w:r w:rsidR="00942C98">
        <w:rPr>
          <w:rFonts w:eastAsiaTheme="minorHAnsi"/>
        </w:rPr>
        <w:t>explains that the ‘</w:t>
      </w:r>
      <w:r w:rsidR="00EC4C48">
        <w:rPr>
          <w:rFonts w:eastAsiaTheme="minorHAnsi"/>
        </w:rPr>
        <w:t xml:space="preserve">price’ </w:t>
      </w:r>
      <w:r w:rsidR="00942C98">
        <w:rPr>
          <w:rFonts w:eastAsiaTheme="minorHAnsi"/>
        </w:rPr>
        <w:t>of a transaction is:</w:t>
      </w:r>
    </w:p>
    <w:p w14:paraId="68FDD697" w14:textId="501C3D33" w:rsidR="00942C98" w:rsidRDefault="00942C98" w:rsidP="00136CC5">
      <w:pPr>
        <w:pStyle w:val="subparaa"/>
        <w:spacing w:before="120" w:line="310" w:lineRule="atLeast"/>
        <w:rPr>
          <w:rFonts w:eastAsiaTheme="minorHAnsi"/>
        </w:rPr>
      </w:pPr>
      <w:r>
        <w:rPr>
          <w:rFonts w:eastAsiaTheme="minorHAnsi"/>
        </w:rPr>
        <w:t>reported in the ‘</w:t>
      </w:r>
      <w:r w:rsidR="00EC4C48">
        <w:rPr>
          <w:rFonts w:eastAsiaTheme="minorHAnsi"/>
        </w:rPr>
        <w:t xml:space="preserve">price’ </w:t>
      </w:r>
      <w:r w:rsidR="002F5E28">
        <w:rPr>
          <w:rFonts w:eastAsiaTheme="minorHAnsi"/>
        </w:rPr>
        <w:t xml:space="preserve">data </w:t>
      </w:r>
      <w:r w:rsidR="001156A2">
        <w:rPr>
          <w:rFonts w:eastAsiaTheme="minorHAnsi"/>
        </w:rPr>
        <w:t>element</w:t>
      </w:r>
      <w:r>
        <w:rPr>
          <w:rFonts w:eastAsiaTheme="minorHAnsi"/>
        </w:rPr>
        <w:t xml:space="preserve"> for particular types of derivatives; or</w:t>
      </w:r>
    </w:p>
    <w:p w14:paraId="11E87E21" w14:textId="128116D8" w:rsidR="00942C98" w:rsidRDefault="00942C98" w:rsidP="00136CC5">
      <w:pPr>
        <w:pStyle w:val="subparaa"/>
        <w:spacing w:before="120" w:line="310" w:lineRule="atLeast"/>
        <w:rPr>
          <w:rFonts w:eastAsiaTheme="minorHAnsi"/>
        </w:rPr>
      </w:pPr>
      <w:r>
        <w:rPr>
          <w:rFonts w:eastAsiaTheme="minorHAnsi"/>
        </w:rPr>
        <w:t xml:space="preserve">understood from information reported in various other </w:t>
      </w:r>
      <w:r w:rsidR="003109D1">
        <w:rPr>
          <w:rFonts w:eastAsiaTheme="minorHAnsi"/>
        </w:rPr>
        <w:t xml:space="preserve">data </w:t>
      </w:r>
      <w:r w:rsidR="001156A2">
        <w:rPr>
          <w:rFonts w:eastAsiaTheme="minorHAnsi"/>
        </w:rPr>
        <w:t>element</w:t>
      </w:r>
      <w:r>
        <w:rPr>
          <w:rFonts w:eastAsiaTheme="minorHAnsi"/>
        </w:rPr>
        <w:t>s for other types of derivatives.</w:t>
      </w:r>
    </w:p>
    <w:p w14:paraId="3773E27A" w14:textId="1DCC5856" w:rsidR="00942C98" w:rsidRDefault="002C3F32" w:rsidP="00136CC5">
      <w:pPr>
        <w:pStyle w:val="BodyText"/>
        <w:spacing w:before="220" w:line="310" w:lineRule="atLeast"/>
        <w:rPr>
          <w:rFonts w:eastAsiaTheme="minorHAnsi"/>
        </w:rPr>
      </w:pPr>
      <w:r>
        <w:rPr>
          <w:rFonts w:eastAsiaTheme="minorHAnsi"/>
        </w:rPr>
        <w:t xml:space="preserve">The CDE </w:t>
      </w:r>
      <w:r w:rsidR="00E401E1">
        <w:rPr>
          <w:rFonts w:eastAsiaTheme="minorHAnsi"/>
        </w:rPr>
        <w:t>Guidance</w:t>
      </w:r>
      <w:r>
        <w:rPr>
          <w:rFonts w:eastAsiaTheme="minorHAnsi"/>
        </w:rPr>
        <w:t>’s distinction between price information in the ‘</w:t>
      </w:r>
      <w:r w:rsidR="00EC4C48">
        <w:rPr>
          <w:rFonts w:eastAsiaTheme="minorHAnsi"/>
        </w:rPr>
        <w:t xml:space="preserve">price’ </w:t>
      </w:r>
      <w:r>
        <w:rPr>
          <w:rFonts w:eastAsiaTheme="minorHAnsi"/>
        </w:rPr>
        <w:t>data element and price information</w:t>
      </w:r>
      <w:r w:rsidR="0031536E">
        <w:rPr>
          <w:rFonts w:eastAsiaTheme="minorHAnsi"/>
        </w:rPr>
        <w:t xml:space="preserve"> from other data elements is summarised </w:t>
      </w:r>
      <w:r w:rsidR="00A83794">
        <w:rPr>
          <w:rFonts w:eastAsiaTheme="minorHAnsi"/>
        </w:rPr>
        <w:t xml:space="preserve">in </w:t>
      </w:r>
      <w:r w:rsidR="00A83794">
        <w:rPr>
          <w:rFonts w:eastAsiaTheme="minorHAnsi"/>
        </w:rPr>
        <w:fldChar w:fldCharType="begin"/>
      </w:r>
      <w:r w:rsidR="00A83794">
        <w:rPr>
          <w:rFonts w:eastAsiaTheme="minorHAnsi"/>
        </w:rPr>
        <w:instrText xml:space="preserve"> REF _Ref56449671 \h </w:instrText>
      </w:r>
      <w:r w:rsidR="00A83794">
        <w:rPr>
          <w:rFonts w:eastAsiaTheme="minorHAnsi"/>
        </w:rPr>
      </w:r>
      <w:r w:rsidR="00A83794">
        <w:rPr>
          <w:rFonts w:eastAsiaTheme="minorHAnsi"/>
        </w:rPr>
        <w:fldChar w:fldCharType="separate"/>
      </w:r>
      <w:r w:rsidR="00314C7E">
        <w:t xml:space="preserve">Table </w:t>
      </w:r>
      <w:r w:rsidR="00314C7E">
        <w:rPr>
          <w:noProof/>
        </w:rPr>
        <w:t>17</w:t>
      </w:r>
      <w:r w:rsidR="00A83794">
        <w:rPr>
          <w:rFonts w:eastAsiaTheme="minorHAnsi"/>
        </w:rPr>
        <w:fldChar w:fldCharType="end"/>
      </w:r>
      <w:r w:rsidR="0031536E">
        <w:rPr>
          <w:rFonts w:eastAsiaTheme="minorHAnsi"/>
        </w:rPr>
        <w:t>.</w:t>
      </w:r>
    </w:p>
    <w:p w14:paraId="5085F714" w14:textId="42C2EAB3" w:rsidR="00942C98" w:rsidRDefault="00942C98" w:rsidP="00FE69BD">
      <w:pPr>
        <w:pStyle w:val="tabletitlefullwidth"/>
      </w:pPr>
      <w:bookmarkStart w:id="114" w:name="_Ref56449671"/>
      <w:r>
        <w:lastRenderedPageBreak/>
        <w:t xml:space="preserve">Table </w:t>
      </w:r>
      <w:r w:rsidR="007055A5">
        <w:fldChar w:fldCharType="begin"/>
      </w:r>
      <w:r w:rsidR="007055A5">
        <w:instrText xml:space="preserve"> SEQ Table \* ARABIC </w:instrText>
      </w:r>
      <w:r w:rsidR="007055A5">
        <w:fldChar w:fldCharType="separate"/>
      </w:r>
      <w:r w:rsidR="00314C7E">
        <w:rPr>
          <w:noProof/>
        </w:rPr>
        <w:t>17</w:t>
      </w:r>
      <w:r w:rsidR="007055A5">
        <w:rPr>
          <w:noProof/>
        </w:rPr>
        <w:fldChar w:fldCharType="end"/>
      </w:r>
      <w:bookmarkEnd w:id="114"/>
      <w:r>
        <w:t>:</w:t>
      </w:r>
      <w:r>
        <w:tab/>
      </w:r>
      <w:r w:rsidR="0031536E">
        <w:t>Sources of price information by type of derivative</w:t>
      </w:r>
    </w:p>
    <w:tbl>
      <w:tblPr>
        <w:tblW w:w="0" w:type="auto"/>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023"/>
        <w:gridCol w:w="3023"/>
        <w:gridCol w:w="3024"/>
      </w:tblGrid>
      <w:tr w:rsidR="00F546AD" w:rsidRPr="000540E1" w14:paraId="749E8625" w14:textId="77777777" w:rsidTr="00F546AD">
        <w:trPr>
          <w:cantSplit/>
          <w:tblHeader/>
        </w:trPr>
        <w:tc>
          <w:tcPr>
            <w:tcW w:w="3023" w:type="dxa"/>
            <w:shd w:val="clear" w:color="auto" w:fill="C2E3FA"/>
          </w:tcPr>
          <w:p w14:paraId="6E22CFE9" w14:textId="662CF308" w:rsidR="007F7A56" w:rsidRDefault="007F7A56" w:rsidP="00FE69BD">
            <w:pPr>
              <w:pStyle w:val="tablehead"/>
            </w:pPr>
            <w:r>
              <w:t>Type of derivative</w:t>
            </w:r>
          </w:p>
        </w:tc>
        <w:tc>
          <w:tcPr>
            <w:tcW w:w="3023" w:type="dxa"/>
            <w:shd w:val="clear" w:color="auto" w:fill="C2E3FA"/>
          </w:tcPr>
          <w:p w14:paraId="07344E3E" w14:textId="679C772D" w:rsidR="007F7A56" w:rsidRDefault="007F7A56" w:rsidP="00FE69BD">
            <w:pPr>
              <w:pStyle w:val="tablehead"/>
            </w:pPr>
            <w:r>
              <w:t xml:space="preserve">‘Price’ </w:t>
            </w:r>
            <w:r w:rsidR="001156A2">
              <w:t>element</w:t>
            </w:r>
            <w:r>
              <w:t xml:space="preserve"> information</w:t>
            </w:r>
          </w:p>
        </w:tc>
        <w:tc>
          <w:tcPr>
            <w:tcW w:w="3024" w:type="dxa"/>
            <w:shd w:val="clear" w:color="auto" w:fill="C2E3FA"/>
          </w:tcPr>
          <w:p w14:paraId="3505178E" w14:textId="146B8280" w:rsidR="007F7A56" w:rsidRPr="000540E1" w:rsidRDefault="007F7A56" w:rsidP="00FE69BD">
            <w:pPr>
              <w:pStyle w:val="tablehead"/>
            </w:pPr>
            <w:r>
              <w:t xml:space="preserve">Other </w:t>
            </w:r>
            <w:r w:rsidR="001156A2">
              <w:t>element</w:t>
            </w:r>
            <w:r>
              <w:t>s providing ‘</w:t>
            </w:r>
            <w:r w:rsidR="00B455A9">
              <w:t xml:space="preserve">price’ </w:t>
            </w:r>
            <w:r>
              <w:t>information</w:t>
            </w:r>
          </w:p>
        </w:tc>
      </w:tr>
      <w:tr w:rsidR="004E304A" w:rsidRPr="000540E1" w14:paraId="42068200" w14:textId="77777777" w:rsidTr="00F546AD">
        <w:trPr>
          <w:cantSplit/>
        </w:trPr>
        <w:tc>
          <w:tcPr>
            <w:tcW w:w="3023" w:type="dxa"/>
          </w:tcPr>
          <w:p w14:paraId="0A4E8EE6" w14:textId="4512075D" w:rsidR="004E304A" w:rsidRPr="000540E1" w:rsidRDefault="00B455A9" w:rsidP="004E304A">
            <w:pPr>
              <w:pStyle w:val="tbltext"/>
            </w:pPr>
            <w:r w:rsidRPr="007F7A56">
              <w:t>Commodity fixed/float swaps and</w:t>
            </w:r>
            <w:r w:rsidR="004E304A" w:rsidRPr="007F7A56">
              <w:t xml:space="preserve"> similar products with periodic payments</w:t>
            </w:r>
          </w:p>
        </w:tc>
        <w:tc>
          <w:tcPr>
            <w:tcW w:w="3023" w:type="dxa"/>
          </w:tcPr>
          <w:p w14:paraId="733AF4B9" w14:textId="51FE711B" w:rsidR="004E304A" w:rsidRPr="000540E1" w:rsidRDefault="00B455A9" w:rsidP="004E304A">
            <w:pPr>
              <w:pStyle w:val="tbltext"/>
            </w:pPr>
            <w:r w:rsidRPr="007F7A56">
              <w:t>Fixed p</w:t>
            </w:r>
            <w:r w:rsidR="004E304A" w:rsidRPr="007F7A56">
              <w:t>rice of the fixed leg(s)</w:t>
            </w:r>
          </w:p>
        </w:tc>
        <w:tc>
          <w:tcPr>
            <w:tcW w:w="3024" w:type="dxa"/>
          </w:tcPr>
          <w:p w14:paraId="71106B92" w14:textId="41B907CF" w:rsidR="004E304A" w:rsidRPr="000540E1" w:rsidRDefault="004E304A" w:rsidP="004E304A">
            <w:pPr>
              <w:pStyle w:val="tbltext"/>
            </w:pPr>
            <w:r>
              <w:t>n/a</w:t>
            </w:r>
          </w:p>
        </w:tc>
      </w:tr>
      <w:tr w:rsidR="004E304A" w:rsidRPr="000540E1" w14:paraId="79E79EF4" w14:textId="77777777" w:rsidTr="00F546AD">
        <w:trPr>
          <w:cantSplit/>
        </w:trPr>
        <w:tc>
          <w:tcPr>
            <w:tcW w:w="3023" w:type="dxa"/>
          </w:tcPr>
          <w:p w14:paraId="3824F5BE" w14:textId="31AF084C" w:rsidR="004E304A" w:rsidRPr="000540E1" w:rsidRDefault="00B455A9" w:rsidP="004E304A">
            <w:pPr>
              <w:pStyle w:val="tbltext"/>
            </w:pPr>
            <w:r w:rsidRPr="007F7A56">
              <w:t>Commodity and equity forwards and similar products</w:t>
            </w:r>
          </w:p>
        </w:tc>
        <w:tc>
          <w:tcPr>
            <w:tcW w:w="3023" w:type="dxa"/>
          </w:tcPr>
          <w:p w14:paraId="6ABF158E" w14:textId="7E09FE7D" w:rsidR="004E304A" w:rsidRPr="000540E1" w:rsidRDefault="00B455A9" w:rsidP="004E304A">
            <w:pPr>
              <w:pStyle w:val="tbltext"/>
            </w:pPr>
            <w:r w:rsidRPr="007F7A56">
              <w:t>Forward price of the underlying or reference asset</w:t>
            </w:r>
          </w:p>
        </w:tc>
        <w:tc>
          <w:tcPr>
            <w:tcW w:w="3024" w:type="dxa"/>
          </w:tcPr>
          <w:p w14:paraId="653FB7D8" w14:textId="308CBB76" w:rsidR="004E304A" w:rsidRPr="000540E1" w:rsidRDefault="004E304A" w:rsidP="004E304A">
            <w:pPr>
              <w:pStyle w:val="tbltext"/>
            </w:pPr>
            <w:r>
              <w:t>n/a</w:t>
            </w:r>
          </w:p>
        </w:tc>
      </w:tr>
      <w:tr w:rsidR="004E304A" w:rsidRPr="000540E1" w14:paraId="46A58675" w14:textId="77777777" w:rsidTr="00F546AD">
        <w:trPr>
          <w:cantSplit/>
        </w:trPr>
        <w:tc>
          <w:tcPr>
            <w:tcW w:w="3023" w:type="dxa"/>
          </w:tcPr>
          <w:p w14:paraId="7E2D50C0" w14:textId="3DEB0E7C" w:rsidR="004E304A" w:rsidRPr="000540E1" w:rsidRDefault="00B455A9" w:rsidP="004E304A">
            <w:pPr>
              <w:pStyle w:val="tbltext"/>
            </w:pPr>
            <w:r>
              <w:t>Equity swaps, portfolios swaps, an</w:t>
            </w:r>
            <w:r w:rsidR="004E304A">
              <w:t>d similar products</w:t>
            </w:r>
          </w:p>
        </w:tc>
        <w:tc>
          <w:tcPr>
            <w:tcW w:w="3023" w:type="dxa"/>
          </w:tcPr>
          <w:p w14:paraId="2B7FD37B" w14:textId="00E61727" w:rsidR="004E304A" w:rsidRPr="000540E1" w:rsidRDefault="00B455A9" w:rsidP="004E304A">
            <w:pPr>
              <w:pStyle w:val="tbltext"/>
            </w:pPr>
            <w:r>
              <w:t xml:space="preserve">Initial price of </w:t>
            </w:r>
            <w:r w:rsidR="004E304A">
              <w:t>the underlying or reference asset</w:t>
            </w:r>
          </w:p>
        </w:tc>
        <w:tc>
          <w:tcPr>
            <w:tcW w:w="3024" w:type="dxa"/>
          </w:tcPr>
          <w:p w14:paraId="61E0E7BA" w14:textId="561CA6E2" w:rsidR="004E304A" w:rsidRPr="000540E1" w:rsidRDefault="004E304A" w:rsidP="004E304A">
            <w:pPr>
              <w:pStyle w:val="tbltext"/>
            </w:pPr>
            <w:r>
              <w:t>n/a</w:t>
            </w:r>
          </w:p>
        </w:tc>
      </w:tr>
      <w:tr w:rsidR="004E304A" w:rsidRPr="000540E1" w14:paraId="70434BE3" w14:textId="77777777" w:rsidTr="00F546AD">
        <w:trPr>
          <w:cantSplit/>
        </w:trPr>
        <w:tc>
          <w:tcPr>
            <w:tcW w:w="3023" w:type="dxa"/>
          </w:tcPr>
          <w:p w14:paraId="76DB9732" w14:textId="3A97F5B4" w:rsidR="004E304A" w:rsidRPr="000540E1" w:rsidRDefault="00B455A9" w:rsidP="004E304A">
            <w:pPr>
              <w:pStyle w:val="tbltext"/>
            </w:pPr>
            <w:r>
              <w:t xml:space="preserve">Contracts </w:t>
            </w:r>
            <w:r w:rsidR="004E304A">
              <w:t>for difference and similar products</w:t>
            </w:r>
          </w:p>
        </w:tc>
        <w:tc>
          <w:tcPr>
            <w:tcW w:w="3023" w:type="dxa"/>
          </w:tcPr>
          <w:p w14:paraId="070BCA7B" w14:textId="7B7A1D9F" w:rsidR="004E304A" w:rsidRPr="000540E1" w:rsidRDefault="00B455A9" w:rsidP="004E304A">
            <w:pPr>
              <w:pStyle w:val="tbltext"/>
            </w:pPr>
            <w:r>
              <w:t>Initial price of the underlier</w:t>
            </w:r>
          </w:p>
        </w:tc>
        <w:tc>
          <w:tcPr>
            <w:tcW w:w="3024" w:type="dxa"/>
          </w:tcPr>
          <w:p w14:paraId="23036E7C" w14:textId="1C624BD4" w:rsidR="004E304A" w:rsidRPr="000540E1" w:rsidRDefault="004E304A" w:rsidP="004E304A">
            <w:pPr>
              <w:pStyle w:val="tbltext"/>
            </w:pPr>
            <w:r>
              <w:t>n/a</w:t>
            </w:r>
          </w:p>
        </w:tc>
      </w:tr>
      <w:tr w:rsidR="004E304A" w:rsidRPr="000540E1" w14:paraId="3A5AAC91" w14:textId="77777777" w:rsidTr="00F546AD">
        <w:trPr>
          <w:cantSplit/>
        </w:trPr>
        <w:tc>
          <w:tcPr>
            <w:tcW w:w="3023" w:type="dxa"/>
          </w:tcPr>
          <w:p w14:paraId="2859E90A" w14:textId="5E26AC12" w:rsidR="004E304A" w:rsidRDefault="00B455A9" w:rsidP="004E304A">
            <w:pPr>
              <w:pStyle w:val="tbltext"/>
            </w:pPr>
            <w:r>
              <w:t>Interest rate swaps and forward rate agreements</w:t>
            </w:r>
          </w:p>
        </w:tc>
        <w:tc>
          <w:tcPr>
            <w:tcW w:w="3023" w:type="dxa"/>
          </w:tcPr>
          <w:p w14:paraId="1C4DFE53" w14:textId="2CC18031" w:rsidR="004E304A" w:rsidRDefault="004E304A" w:rsidP="004E304A">
            <w:pPr>
              <w:pStyle w:val="tbltext"/>
            </w:pPr>
            <w:r>
              <w:t>n/a</w:t>
            </w:r>
          </w:p>
        </w:tc>
        <w:tc>
          <w:tcPr>
            <w:tcW w:w="3024" w:type="dxa"/>
          </w:tcPr>
          <w:p w14:paraId="15B420CA" w14:textId="16CF54A6" w:rsidR="004E304A" w:rsidRPr="000540E1" w:rsidRDefault="004E304A" w:rsidP="004E304A">
            <w:pPr>
              <w:pStyle w:val="tbltext"/>
            </w:pPr>
            <w:r>
              <w:t xml:space="preserve">Fixed rate and </w:t>
            </w:r>
            <w:r w:rsidR="00B455A9">
              <w:t>spread</w:t>
            </w:r>
          </w:p>
        </w:tc>
      </w:tr>
      <w:tr w:rsidR="004E304A" w:rsidRPr="000540E1" w14:paraId="6F492A1F" w14:textId="77777777" w:rsidTr="00F546AD">
        <w:trPr>
          <w:cantSplit/>
        </w:trPr>
        <w:tc>
          <w:tcPr>
            <w:tcW w:w="3023" w:type="dxa"/>
          </w:tcPr>
          <w:p w14:paraId="68833C04" w14:textId="0CA5BA1F" w:rsidR="004E304A" w:rsidRDefault="00B455A9" w:rsidP="004E304A">
            <w:pPr>
              <w:pStyle w:val="tbltext"/>
            </w:pPr>
            <w:r>
              <w:t>Interest rate option</w:t>
            </w:r>
            <w:r w:rsidR="004E304A">
              <w:t>s and interest rate swaptions</w:t>
            </w:r>
          </w:p>
        </w:tc>
        <w:tc>
          <w:tcPr>
            <w:tcW w:w="3023" w:type="dxa"/>
          </w:tcPr>
          <w:p w14:paraId="0DA257DF" w14:textId="37DA81BC" w:rsidR="004E304A" w:rsidRDefault="004E304A" w:rsidP="004E304A">
            <w:pPr>
              <w:pStyle w:val="tbltext"/>
            </w:pPr>
            <w:r>
              <w:t>n/a</w:t>
            </w:r>
          </w:p>
        </w:tc>
        <w:tc>
          <w:tcPr>
            <w:tcW w:w="3024" w:type="dxa"/>
          </w:tcPr>
          <w:p w14:paraId="33982827" w14:textId="2AEF2FC2" w:rsidR="004E304A" w:rsidRPr="000540E1" w:rsidRDefault="004E304A" w:rsidP="004E304A">
            <w:pPr>
              <w:pStyle w:val="tbltext"/>
            </w:pPr>
            <w:r>
              <w:t xml:space="preserve">Strike price and </w:t>
            </w:r>
            <w:r w:rsidR="00B455A9">
              <w:t xml:space="preserve">option </w:t>
            </w:r>
            <w:r>
              <w:t>premium</w:t>
            </w:r>
          </w:p>
        </w:tc>
      </w:tr>
      <w:tr w:rsidR="004E304A" w:rsidRPr="000540E1" w14:paraId="01E41451" w14:textId="77777777" w:rsidTr="00F546AD">
        <w:trPr>
          <w:cantSplit/>
        </w:trPr>
        <w:tc>
          <w:tcPr>
            <w:tcW w:w="3023" w:type="dxa"/>
          </w:tcPr>
          <w:p w14:paraId="65F722D9" w14:textId="10257B49" w:rsidR="004E304A" w:rsidRDefault="00B455A9" w:rsidP="004E304A">
            <w:pPr>
              <w:pStyle w:val="tbltext"/>
            </w:pPr>
            <w:r>
              <w:t>Commodity basis sw</w:t>
            </w:r>
            <w:r w:rsidR="004E304A">
              <w:t>aps and the floating leg of commodity fixed/float swaps</w:t>
            </w:r>
          </w:p>
        </w:tc>
        <w:tc>
          <w:tcPr>
            <w:tcW w:w="3023" w:type="dxa"/>
          </w:tcPr>
          <w:p w14:paraId="5500DCB6" w14:textId="34603107" w:rsidR="004E304A" w:rsidRDefault="004E304A" w:rsidP="004E304A">
            <w:pPr>
              <w:pStyle w:val="tbltext"/>
            </w:pPr>
            <w:r>
              <w:t>n/a</w:t>
            </w:r>
          </w:p>
        </w:tc>
        <w:tc>
          <w:tcPr>
            <w:tcW w:w="3024" w:type="dxa"/>
          </w:tcPr>
          <w:p w14:paraId="5448A4B8" w14:textId="4725DB71" w:rsidR="004E304A" w:rsidRPr="000540E1" w:rsidRDefault="004E304A" w:rsidP="004E304A">
            <w:pPr>
              <w:pStyle w:val="tbltext"/>
            </w:pPr>
            <w:r>
              <w:t>Spread</w:t>
            </w:r>
          </w:p>
        </w:tc>
      </w:tr>
      <w:tr w:rsidR="004E304A" w:rsidRPr="000540E1" w14:paraId="21E01FC2" w14:textId="77777777" w:rsidTr="00F546AD">
        <w:trPr>
          <w:cantSplit/>
        </w:trPr>
        <w:tc>
          <w:tcPr>
            <w:tcW w:w="3023" w:type="dxa"/>
          </w:tcPr>
          <w:p w14:paraId="35301D29" w14:textId="1576B872" w:rsidR="004E304A" w:rsidRDefault="00B455A9" w:rsidP="004E304A">
            <w:pPr>
              <w:pStyle w:val="tbltext"/>
            </w:pPr>
            <w:r>
              <w:t>Foreign exchange swaps, forwards and options</w:t>
            </w:r>
          </w:p>
        </w:tc>
        <w:tc>
          <w:tcPr>
            <w:tcW w:w="3023" w:type="dxa"/>
          </w:tcPr>
          <w:p w14:paraId="11DB8903" w14:textId="5210E133" w:rsidR="004E304A" w:rsidRDefault="004E304A" w:rsidP="004E304A">
            <w:pPr>
              <w:pStyle w:val="tbltext"/>
            </w:pPr>
            <w:r>
              <w:t>n/a</w:t>
            </w:r>
          </w:p>
        </w:tc>
        <w:tc>
          <w:tcPr>
            <w:tcW w:w="3024" w:type="dxa"/>
          </w:tcPr>
          <w:p w14:paraId="646F6E1C" w14:textId="10A93365" w:rsidR="004E304A" w:rsidRPr="000540E1" w:rsidRDefault="004E304A" w:rsidP="004E304A">
            <w:pPr>
              <w:pStyle w:val="tbltext"/>
            </w:pPr>
            <w:r>
              <w:t xml:space="preserve">Exchange rate, </w:t>
            </w:r>
            <w:r w:rsidR="00B455A9">
              <w:t xml:space="preserve">strike </w:t>
            </w:r>
            <w:r>
              <w:t xml:space="preserve">price and </w:t>
            </w:r>
            <w:r w:rsidR="00B455A9">
              <w:t xml:space="preserve">option </w:t>
            </w:r>
            <w:r>
              <w:t>premium</w:t>
            </w:r>
          </w:p>
        </w:tc>
      </w:tr>
      <w:tr w:rsidR="004E304A" w:rsidRPr="000540E1" w14:paraId="01B92F41" w14:textId="77777777" w:rsidTr="00F546AD">
        <w:trPr>
          <w:cantSplit/>
        </w:trPr>
        <w:tc>
          <w:tcPr>
            <w:tcW w:w="3023" w:type="dxa"/>
          </w:tcPr>
          <w:p w14:paraId="47BC68DD" w14:textId="501BA047" w:rsidR="004E304A" w:rsidRDefault="004E304A" w:rsidP="004E304A">
            <w:pPr>
              <w:pStyle w:val="tbltext"/>
            </w:pPr>
            <w:r>
              <w:t>Equity options</w:t>
            </w:r>
          </w:p>
        </w:tc>
        <w:tc>
          <w:tcPr>
            <w:tcW w:w="3023" w:type="dxa"/>
          </w:tcPr>
          <w:p w14:paraId="220FC96B" w14:textId="75985794" w:rsidR="004E304A" w:rsidRDefault="004E304A" w:rsidP="004E304A">
            <w:pPr>
              <w:pStyle w:val="tbltext"/>
            </w:pPr>
            <w:r>
              <w:t>n/a</w:t>
            </w:r>
          </w:p>
        </w:tc>
        <w:tc>
          <w:tcPr>
            <w:tcW w:w="3024" w:type="dxa"/>
          </w:tcPr>
          <w:p w14:paraId="1C2CE77C" w14:textId="4625670F" w:rsidR="004E304A" w:rsidRPr="000540E1" w:rsidRDefault="004E304A" w:rsidP="004E304A">
            <w:pPr>
              <w:pStyle w:val="tbltext"/>
            </w:pPr>
            <w:r>
              <w:t xml:space="preserve">Strike price and </w:t>
            </w:r>
            <w:r w:rsidR="00B455A9">
              <w:t xml:space="preserve">option </w:t>
            </w:r>
            <w:r>
              <w:t>premium</w:t>
            </w:r>
          </w:p>
        </w:tc>
      </w:tr>
      <w:tr w:rsidR="004E304A" w:rsidRPr="000540E1" w14:paraId="7FAD979C" w14:textId="77777777" w:rsidTr="00F546AD">
        <w:trPr>
          <w:cantSplit/>
        </w:trPr>
        <w:tc>
          <w:tcPr>
            <w:tcW w:w="3023" w:type="dxa"/>
          </w:tcPr>
          <w:p w14:paraId="776467AD" w14:textId="2BA4BB23" w:rsidR="004E304A" w:rsidRDefault="00B455A9" w:rsidP="004E304A">
            <w:pPr>
              <w:pStyle w:val="tbltext"/>
            </w:pPr>
            <w:r>
              <w:t xml:space="preserve">Credit default swaps and credit total </w:t>
            </w:r>
            <w:r w:rsidR="004E304A">
              <w:t>return swaps</w:t>
            </w:r>
          </w:p>
        </w:tc>
        <w:tc>
          <w:tcPr>
            <w:tcW w:w="3023" w:type="dxa"/>
          </w:tcPr>
          <w:p w14:paraId="61EA57AC" w14:textId="4A1812CF" w:rsidR="004E304A" w:rsidRDefault="004E304A" w:rsidP="004E304A">
            <w:pPr>
              <w:pStyle w:val="tbltext"/>
            </w:pPr>
            <w:r>
              <w:t>n/a</w:t>
            </w:r>
          </w:p>
        </w:tc>
        <w:tc>
          <w:tcPr>
            <w:tcW w:w="3024" w:type="dxa"/>
          </w:tcPr>
          <w:p w14:paraId="4F515EC5" w14:textId="1B20B883" w:rsidR="004E304A" w:rsidRPr="000540E1" w:rsidRDefault="004E304A" w:rsidP="004E304A">
            <w:pPr>
              <w:pStyle w:val="tbltext"/>
            </w:pPr>
            <w:r>
              <w:t xml:space="preserve">Fixed rate, </w:t>
            </w:r>
            <w:r w:rsidR="00B455A9">
              <w:t xml:space="preserve">spread </w:t>
            </w:r>
            <w:r>
              <w:t xml:space="preserve">and </w:t>
            </w:r>
            <w:r w:rsidR="00B455A9">
              <w:t xml:space="preserve">upfront </w:t>
            </w:r>
            <w:r>
              <w:t>payment (</w:t>
            </w:r>
            <w:r w:rsidR="00B455A9">
              <w:t xml:space="preserve">other </w:t>
            </w:r>
            <w:r>
              <w:t xml:space="preserve">payment type: </w:t>
            </w:r>
            <w:r w:rsidR="00B455A9">
              <w:t xml:space="preserve">upfront </w:t>
            </w:r>
            <w:r>
              <w:t>payment)</w:t>
            </w:r>
          </w:p>
        </w:tc>
      </w:tr>
      <w:tr w:rsidR="004E304A" w:rsidRPr="000540E1" w14:paraId="10E73E51" w14:textId="77777777" w:rsidTr="00F546AD">
        <w:trPr>
          <w:cantSplit/>
        </w:trPr>
        <w:tc>
          <w:tcPr>
            <w:tcW w:w="3023" w:type="dxa"/>
          </w:tcPr>
          <w:p w14:paraId="492D2743" w14:textId="037D545F" w:rsidR="004E304A" w:rsidRDefault="00B455A9" w:rsidP="004E304A">
            <w:pPr>
              <w:pStyle w:val="tbltext"/>
            </w:pPr>
            <w:r>
              <w:t>Commodity options</w:t>
            </w:r>
          </w:p>
        </w:tc>
        <w:tc>
          <w:tcPr>
            <w:tcW w:w="3023" w:type="dxa"/>
          </w:tcPr>
          <w:p w14:paraId="6448055D" w14:textId="4EF57811" w:rsidR="004E304A" w:rsidRDefault="004E304A" w:rsidP="004E304A">
            <w:pPr>
              <w:pStyle w:val="tbltext"/>
            </w:pPr>
            <w:r>
              <w:t>n/a</w:t>
            </w:r>
          </w:p>
        </w:tc>
        <w:tc>
          <w:tcPr>
            <w:tcW w:w="3024" w:type="dxa"/>
          </w:tcPr>
          <w:p w14:paraId="3A029A53" w14:textId="51534976" w:rsidR="004E304A" w:rsidRPr="000540E1" w:rsidRDefault="004E304A" w:rsidP="004E304A">
            <w:pPr>
              <w:pStyle w:val="tbltext"/>
            </w:pPr>
            <w:r>
              <w:t xml:space="preserve">Strike price and </w:t>
            </w:r>
            <w:r w:rsidR="00B455A9">
              <w:t xml:space="preserve">option </w:t>
            </w:r>
            <w:r>
              <w:t>premium</w:t>
            </w:r>
          </w:p>
        </w:tc>
      </w:tr>
    </w:tbl>
    <w:p w14:paraId="01887F92" w14:textId="00A03A60" w:rsidR="008F38C3" w:rsidRDefault="008F38C3" w:rsidP="008F38C3">
      <w:pPr>
        <w:pStyle w:val="BodyText"/>
        <w:rPr>
          <w:rFonts w:eastAsiaTheme="minorHAnsi"/>
        </w:rPr>
      </w:pPr>
      <w:r w:rsidRPr="008F38C3">
        <w:rPr>
          <w:rFonts w:eastAsiaTheme="minorHAnsi"/>
        </w:rPr>
        <w:t xml:space="preserve">We propose to include </w:t>
      </w:r>
      <w:r w:rsidR="00934A33" w:rsidRPr="008F38C3">
        <w:rPr>
          <w:rFonts w:eastAsiaTheme="minorHAnsi"/>
        </w:rPr>
        <w:t xml:space="preserve">in the ASIC Rules </w:t>
      </w:r>
      <w:r w:rsidRPr="008F38C3">
        <w:rPr>
          <w:rFonts w:eastAsiaTheme="minorHAnsi"/>
        </w:rPr>
        <w:t xml:space="preserve">the data elements </w:t>
      </w:r>
      <w:r w:rsidR="00934A33">
        <w:rPr>
          <w:rFonts w:eastAsiaTheme="minorHAnsi"/>
        </w:rPr>
        <w:t xml:space="preserve">set out </w:t>
      </w:r>
      <w:r w:rsidR="003109D1">
        <w:rPr>
          <w:rFonts w:eastAsiaTheme="minorHAnsi"/>
        </w:rPr>
        <w:t xml:space="preserve">in </w:t>
      </w:r>
      <w:r w:rsidR="003109D1">
        <w:rPr>
          <w:rFonts w:eastAsiaTheme="minorHAnsi"/>
        </w:rPr>
        <w:fldChar w:fldCharType="begin"/>
      </w:r>
      <w:r w:rsidR="003109D1">
        <w:rPr>
          <w:rFonts w:eastAsiaTheme="minorHAnsi"/>
        </w:rPr>
        <w:instrText xml:space="preserve"> REF _Ref55994837 \h </w:instrText>
      </w:r>
      <w:r w:rsidR="003109D1">
        <w:rPr>
          <w:rFonts w:eastAsiaTheme="minorHAnsi"/>
        </w:rPr>
      </w:r>
      <w:r w:rsidR="003109D1">
        <w:rPr>
          <w:rFonts w:eastAsiaTheme="minorHAnsi"/>
        </w:rPr>
        <w:fldChar w:fldCharType="separate"/>
      </w:r>
      <w:r w:rsidR="00314C7E">
        <w:t xml:space="preserve">Table </w:t>
      </w:r>
      <w:r w:rsidR="00314C7E">
        <w:rPr>
          <w:noProof/>
        </w:rPr>
        <w:t>18</w:t>
      </w:r>
      <w:r w:rsidR="003109D1">
        <w:rPr>
          <w:rFonts w:eastAsiaTheme="minorHAnsi"/>
        </w:rPr>
        <w:fldChar w:fldCharType="end"/>
      </w:r>
      <w:r w:rsidRPr="008F38C3">
        <w:rPr>
          <w:rFonts w:eastAsiaTheme="minorHAnsi"/>
        </w:rPr>
        <w:t>.</w:t>
      </w:r>
    </w:p>
    <w:p w14:paraId="48E49368" w14:textId="77777777" w:rsidR="004C43EF" w:rsidRDefault="008F38C3" w:rsidP="008F38C3">
      <w:pPr>
        <w:pStyle w:val="BodyText"/>
        <w:rPr>
          <w:rFonts w:eastAsiaTheme="minorHAnsi"/>
        </w:rPr>
      </w:pPr>
      <w:r>
        <w:rPr>
          <w:rFonts w:eastAsiaTheme="minorHAnsi"/>
        </w:rPr>
        <w:t>The current ASIC Rules include price information in relation to derivative transactions in foreign exchange, interest rates and options, but incompletely so, and do not include price information in relation to derivative transactions in the equity and commodities asset classes.</w:t>
      </w:r>
    </w:p>
    <w:p w14:paraId="1F9C76CA" w14:textId="0ABF47E3" w:rsidR="00942C98" w:rsidRPr="004C43EF" w:rsidRDefault="008F38C3" w:rsidP="004C43EF">
      <w:pPr>
        <w:pStyle w:val="BodyText"/>
        <w:rPr>
          <w:rFonts w:eastAsiaTheme="minorHAnsi"/>
        </w:rPr>
      </w:pPr>
      <w:r>
        <w:rPr>
          <w:rFonts w:eastAsiaTheme="minorHAnsi"/>
        </w:rPr>
        <w:t xml:space="preserve">Price information is critical to understanding the </w:t>
      </w:r>
      <w:r w:rsidR="004C43EF">
        <w:rPr>
          <w:rFonts w:eastAsiaTheme="minorHAnsi"/>
        </w:rPr>
        <w:t>terms of a transaction, the relative relationship to</w:t>
      </w:r>
      <w:r>
        <w:rPr>
          <w:rFonts w:eastAsiaTheme="minorHAnsi"/>
        </w:rPr>
        <w:t xml:space="preserve"> </w:t>
      </w:r>
      <w:r w:rsidR="004C43EF">
        <w:rPr>
          <w:rFonts w:eastAsiaTheme="minorHAnsi"/>
        </w:rPr>
        <w:t>prevailing market prices at the time of execution and in validating valuation amounts.</w:t>
      </w:r>
    </w:p>
    <w:p w14:paraId="0CA5AE83" w14:textId="2FA7FB85" w:rsidR="00DF345B" w:rsidRPr="004857CC" w:rsidRDefault="00DF345B" w:rsidP="00DF345B">
      <w:pPr>
        <w:pStyle w:val="tabletitlefullwidth"/>
      </w:pPr>
      <w:bookmarkStart w:id="115" w:name="_Ref55994837"/>
      <w:r>
        <w:lastRenderedPageBreak/>
        <w:t xml:space="preserve">Table </w:t>
      </w:r>
      <w:r w:rsidR="007055A5">
        <w:fldChar w:fldCharType="begin"/>
      </w:r>
      <w:r w:rsidR="007055A5">
        <w:instrText xml:space="preserve"> SEQ Table \* ARABIC </w:instrText>
      </w:r>
      <w:r w:rsidR="007055A5">
        <w:fldChar w:fldCharType="separate"/>
      </w:r>
      <w:r w:rsidR="00314C7E">
        <w:rPr>
          <w:noProof/>
        </w:rPr>
        <w:t>18</w:t>
      </w:r>
      <w:r w:rsidR="007055A5">
        <w:rPr>
          <w:noProof/>
        </w:rPr>
        <w:fldChar w:fldCharType="end"/>
      </w:r>
      <w:bookmarkEnd w:id="115"/>
      <w:r>
        <w:t>:</w:t>
      </w:r>
      <w:r>
        <w:tab/>
      </w:r>
      <w:r w:rsidR="004C43EF">
        <w:t>Proposed dat</w:t>
      </w:r>
      <w:r w:rsidR="00C7578C">
        <w:t>a</w:t>
      </w:r>
      <w:r w:rsidR="004C43EF">
        <w:t xml:space="preserve"> elements related to price</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655"/>
        <w:gridCol w:w="4386"/>
        <w:gridCol w:w="680"/>
        <w:gridCol w:w="837"/>
        <w:gridCol w:w="817"/>
        <w:gridCol w:w="662"/>
      </w:tblGrid>
      <w:tr w:rsidR="00AD1A97" w:rsidRPr="000540E1" w14:paraId="309EF83B" w14:textId="77777777" w:rsidTr="00A7040E">
        <w:trPr>
          <w:cantSplit/>
          <w:tblHeader/>
        </w:trPr>
        <w:tc>
          <w:tcPr>
            <w:tcW w:w="916" w:type="pct"/>
            <w:shd w:val="clear" w:color="auto" w:fill="C2E3FA"/>
          </w:tcPr>
          <w:p w14:paraId="14D72462" w14:textId="77777777" w:rsidR="00942C98" w:rsidRDefault="00942C98" w:rsidP="00FE69BD">
            <w:pPr>
              <w:pStyle w:val="tablehead"/>
            </w:pPr>
          </w:p>
        </w:tc>
        <w:tc>
          <w:tcPr>
            <w:tcW w:w="2427" w:type="pct"/>
            <w:shd w:val="clear" w:color="auto" w:fill="C2E3FA"/>
          </w:tcPr>
          <w:p w14:paraId="1C9B8DEF" w14:textId="77777777" w:rsidR="00942C98" w:rsidRDefault="00942C98" w:rsidP="00FE69BD">
            <w:pPr>
              <w:pStyle w:val="tablehead"/>
            </w:pPr>
          </w:p>
        </w:tc>
        <w:tc>
          <w:tcPr>
            <w:tcW w:w="1658" w:type="pct"/>
            <w:gridSpan w:val="4"/>
            <w:shd w:val="clear" w:color="auto" w:fill="C2E3FA"/>
          </w:tcPr>
          <w:p w14:paraId="16A0C47F" w14:textId="43A051EB" w:rsidR="00942C98" w:rsidRPr="000540E1" w:rsidRDefault="001156A2" w:rsidP="00FE69BD">
            <w:pPr>
              <w:pStyle w:val="tablehead"/>
              <w:jc w:val="center"/>
            </w:pPr>
            <w:r>
              <w:t>Element</w:t>
            </w:r>
            <w:r w:rsidR="00942C98">
              <w:t xml:space="preserve"> number references</w:t>
            </w:r>
          </w:p>
        </w:tc>
      </w:tr>
      <w:tr w:rsidR="00156898" w:rsidRPr="000540E1" w14:paraId="0E75F672" w14:textId="77777777" w:rsidTr="00A7040E">
        <w:trPr>
          <w:cantSplit/>
          <w:tblHeader/>
        </w:trPr>
        <w:tc>
          <w:tcPr>
            <w:tcW w:w="916" w:type="pct"/>
            <w:shd w:val="clear" w:color="auto" w:fill="C2E3FA"/>
          </w:tcPr>
          <w:p w14:paraId="5DA5BCD5" w14:textId="77777777" w:rsidR="00942C98" w:rsidRDefault="00942C98" w:rsidP="00FE69BD">
            <w:pPr>
              <w:pStyle w:val="tablehead"/>
            </w:pPr>
            <w:r>
              <w:t>Data element</w:t>
            </w:r>
          </w:p>
        </w:tc>
        <w:tc>
          <w:tcPr>
            <w:tcW w:w="2427" w:type="pct"/>
            <w:shd w:val="clear" w:color="auto" w:fill="C2E3FA"/>
          </w:tcPr>
          <w:p w14:paraId="3A4A2992" w14:textId="3B0021C9" w:rsidR="00942C98" w:rsidRDefault="00277807" w:rsidP="00FE69BD">
            <w:pPr>
              <w:pStyle w:val="tablehead"/>
            </w:pPr>
            <w:r>
              <w:t>Definition</w:t>
            </w:r>
            <w:r w:rsidR="00193DFB">
              <w:t>—</w:t>
            </w:r>
            <w:r w:rsidR="00B455A9">
              <w:t>S</w:t>
            </w:r>
            <w:r>
              <w:t>ummary of key points</w:t>
            </w:r>
          </w:p>
        </w:tc>
        <w:tc>
          <w:tcPr>
            <w:tcW w:w="376" w:type="pct"/>
            <w:shd w:val="clear" w:color="auto" w:fill="C2E3FA"/>
          </w:tcPr>
          <w:p w14:paraId="4A2998FC" w14:textId="6D3FDB07" w:rsidR="00942C98" w:rsidRPr="000540E1" w:rsidRDefault="00942C98" w:rsidP="00FE69BD">
            <w:pPr>
              <w:pStyle w:val="tablehead"/>
              <w:jc w:val="center"/>
            </w:pPr>
            <w:r>
              <w:t>CDE</w:t>
            </w:r>
          </w:p>
        </w:tc>
        <w:tc>
          <w:tcPr>
            <w:tcW w:w="463" w:type="pct"/>
            <w:shd w:val="clear" w:color="auto" w:fill="C2E3FA"/>
          </w:tcPr>
          <w:p w14:paraId="38DED84F" w14:textId="77777777" w:rsidR="00942C98" w:rsidRPr="000540E1" w:rsidRDefault="00942C98" w:rsidP="00FE69BD">
            <w:pPr>
              <w:pStyle w:val="tablehead"/>
              <w:jc w:val="center"/>
            </w:pPr>
            <w:r>
              <w:t>CFTC</w:t>
            </w:r>
          </w:p>
        </w:tc>
        <w:tc>
          <w:tcPr>
            <w:tcW w:w="452" w:type="pct"/>
            <w:shd w:val="clear" w:color="auto" w:fill="C2E3FA"/>
          </w:tcPr>
          <w:p w14:paraId="581D2398" w14:textId="7A08CBC7" w:rsidR="00942C98" w:rsidRPr="000540E1" w:rsidRDefault="005C1566" w:rsidP="00FE69BD">
            <w:pPr>
              <w:pStyle w:val="tablehead"/>
              <w:jc w:val="center"/>
            </w:pPr>
            <w:r>
              <w:t>ESMA</w:t>
            </w:r>
          </w:p>
        </w:tc>
        <w:tc>
          <w:tcPr>
            <w:tcW w:w="366" w:type="pct"/>
            <w:shd w:val="clear" w:color="auto" w:fill="C2E3FA"/>
          </w:tcPr>
          <w:p w14:paraId="70EB5056" w14:textId="77777777" w:rsidR="00942C98" w:rsidRPr="000540E1" w:rsidRDefault="00942C98" w:rsidP="00FE69BD">
            <w:pPr>
              <w:pStyle w:val="tablehead"/>
              <w:jc w:val="center"/>
            </w:pPr>
            <w:r>
              <w:t>ASIC</w:t>
            </w:r>
          </w:p>
        </w:tc>
      </w:tr>
      <w:tr w:rsidR="004E304A" w:rsidRPr="000540E1" w14:paraId="15D6A3F5" w14:textId="77777777" w:rsidTr="00A7040E">
        <w:trPr>
          <w:cantSplit/>
        </w:trPr>
        <w:tc>
          <w:tcPr>
            <w:tcW w:w="916" w:type="pct"/>
          </w:tcPr>
          <w:p w14:paraId="5E7C28FC" w14:textId="1542DE7F" w:rsidR="004E304A" w:rsidRPr="000540E1" w:rsidRDefault="004E304A" w:rsidP="004E304A">
            <w:pPr>
              <w:pStyle w:val="tbltext"/>
            </w:pPr>
            <w:r>
              <w:t>Price</w:t>
            </w:r>
          </w:p>
        </w:tc>
        <w:tc>
          <w:tcPr>
            <w:tcW w:w="2427" w:type="pct"/>
          </w:tcPr>
          <w:p w14:paraId="4B31D53F" w14:textId="3EA6E20C" w:rsidR="004E304A" w:rsidRDefault="004E304A" w:rsidP="004E304A">
            <w:pPr>
              <w:pStyle w:val="tbltext"/>
            </w:pPr>
            <w:r>
              <w:t xml:space="preserve">{CDE TG} </w:t>
            </w:r>
            <w:r w:rsidRPr="00F546AD">
              <w:t>Price specified in the OTC derivative transaction. It does not include fees, taxes or commissions.</w:t>
            </w:r>
          </w:p>
          <w:p w14:paraId="35D4FED4" w14:textId="0F1CE06F" w:rsidR="004E304A" w:rsidRPr="000540E1" w:rsidRDefault="004E304A" w:rsidP="004E304A">
            <w:pPr>
              <w:pStyle w:val="tbltext"/>
            </w:pPr>
            <w:r>
              <w:t xml:space="preserve">[Note: </w:t>
            </w:r>
            <w:r w:rsidR="00D53929">
              <w:t>T</w:t>
            </w:r>
            <w:r>
              <w:t>he applicability to various types of derivatives is as summarised above</w:t>
            </w:r>
            <w:r w:rsidR="00D53929">
              <w:t>.</w:t>
            </w:r>
            <w:r>
              <w:t>]</w:t>
            </w:r>
          </w:p>
        </w:tc>
        <w:tc>
          <w:tcPr>
            <w:tcW w:w="376" w:type="pct"/>
          </w:tcPr>
          <w:p w14:paraId="4740E3BB" w14:textId="47B3933A" w:rsidR="004E304A" w:rsidRPr="000540E1" w:rsidRDefault="004E304A" w:rsidP="004E304A">
            <w:pPr>
              <w:pStyle w:val="tbltext"/>
              <w:jc w:val="center"/>
            </w:pPr>
            <w:r>
              <w:t>2.50</w:t>
            </w:r>
          </w:p>
        </w:tc>
        <w:tc>
          <w:tcPr>
            <w:tcW w:w="463" w:type="pct"/>
          </w:tcPr>
          <w:p w14:paraId="1F6D592C" w14:textId="0FEDF2A0" w:rsidR="004E304A" w:rsidRPr="000540E1" w:rsidRDefault="004E304A" w:rsidP="004E304A">
            <w:pPr>
              <w:pStyle w:val="tbltext"/>
              <w:jc w:val="center"/>
            </w:pPr>
            <w:r>
              <w:t>69</w:t>
            </w:r>
          </w:p>
        </w:tc>
        <w:tc>
          <w:tcPr>
            <w:tcW w:w="452" w:type="pct"/>
          </w:tcPr>
          <w:p w14:paraId="4102B777" w14:textId="7E6346FC" w:rsidR="004E304A" w:rsidRPr="000540E1" w:rsidRDefault="004E304A" w:rsidP="004E304A">
            <w:pPr>
              <w:pStyle w:val="tbltext"/>
              <w:jc w:val="center"/>
            </w:pPr>
            <w:r>
              <w:t>2.43</w:t>
            </w:r>
          </w:p>
        </w:tc>
        <w:tc>
          <w:tcPr>
            <w:tcW w:w="366" w:type="pct"/>
          </w:tcPr>
          <w:p w14:paraId="204518D7" w14:textId="4B8F1086" w:rsidR="004E304A" w:rsidRPr="000540E1" w:rsidRDefault="004E304A" w:rsidP="004E304A">
            <w:pPr>
              <w:pStyle w:val="tbltext"/>
              <w:jc w:val="center"/>
            </w:pPr>
            <w:r>
              <w:t>n/a</w:t>
            </w:r>
          </w:p>
        </w:tc>
      </w:tr>
      <w:tr w:rsidR="004E304A" w:rsidRPr="000540E1" w14:paraId="7FD4F43E" w14:textId="77777777" w:rsidTr="00A7040E">
        <w:trPr>
          <w:cantSplit/>
        </w:trPr>
        <w:tc>
          <w:tcPr>
            <w:tcW w:w="916" w:type="pct"/>
          </w:tcPr>
          <w:p w14:paraId="665CBC27" w14:textId="4864D4C9" w:rsidR="004E304A" w:rsidRPr="000540E1" w:rsidRDefault="004E304A" w:rsidP="004E304A">
            <w:pPr>
              <w:pStyle w:val="tbltext"/>
            </w:pPr>
            <w:r>
              <w:t>Price currency</w:t>
            </w:r>
          </w:p>
        </w:tc>
        <w:tc>
          <w:tcPr>
            <w:tcW w:w="2427" w:type="pct"/>
          </w:tcPr>
          <w:p w14:paraId="0EAB0F52" w14:textId="319DE967" w:rsidR="004E304A" w:rsidRPr="000540E1" w:rsidRDefault="004E304A" w:rsidP="004E304A">
            <w:pPr>
              <w:pStyle w:val="tbltext"/>
            </w:pPr>
            <w:r>
              <w:t xml:space="preserve">{CDE TG} </w:t>
            </w:r>
            <w:r w:rsidRPr="00BF7EA7">
              <w:t xml:space="preserve">Currency in which the </w:t>
            </w:r>
            <w:r>
              <w:t xml:space="preserve">price </w:t>
            </w:r>
            <w:r w:rsidRPr="00BF7EA7">
              <w:t>is denominated.</w:t>
            </w:r>
          </w:p>
        </w:tc>
        <w:tc>
          <w:tcPr>
            <w:tcW w:w="376" w:type="pct"/>
          </w:tcPr>
          <w:p w14:paraId="53776686" w14:textId="06E18DE7" w:rsidR="004E304A" w:rsidRPr="000540E1" w:rsidRDefault="004E304A" w:rsidP="004E304A">
            <w:pPr>
              <w:pStyle w:val="tbltext"/>
              <w:jc w:val="center"/>
            </w:pPr>
            <w:r>
              <w:t>2.51</w:t>
            </w:r>
          </w:p>
        </w:tc>
        <w:tc>
          <w:tcPr>
            <w:tcW w:w="463" w:type="pct"/>
          </w:tcPr>
          <w:p w14:paraId="26A50330" w14:textId="235491B3" w:rsidR="004E304A" w:rsidRPr="000540E1" w:rsidRDefault="004E304A" w:rsidP="004E304A">
            <w:pPr>
              <w:pStyle w:val="tbltext"/>
              <w:jc w:val="center"/>
            </w:pPr>
            <w:r>
              <w:t>70</w:t>
            </w:r>
          </w:p>
        </w:tc>
        <w:tc>
          <w:tcPr>
            <w:tcW w:w="452" w:type="pct"/>
          </w:tcPr>
          <w:p w14:paraId="2378207B" w14:textId="3DEAF66C" w:rsidR="004E304A" w:rsidRPr="000540E1" w:rsidRDefault="004E304A" w:rsidP="004E304A">
            <w:pPr>
              <w:pStyle w:val="tbltext"/>
              <w:jc w:val="center"/>
            </w:pPr>
            <w:r>
              <w:t>2.44</w:t>
            </w:r>
          </w:p>
        </w:tc>
        <w:tc>
          <w:tcPr>
            <w:tcW w:w="366" w:type="pct"/>
          </w:tcPr>
          <w:p w14:paraId="5282D291" w14:textId="0A72E661" w:rsidR="004E304A" w:rsidRPr="000540E1" w:rsidRDefault="004E304A" w:rsidP="004E304A">
            <w:pPr>
              <w:pStyle w:val="tbltext"/>
              <w:jc w:val="center"/>
            </w:pPr>
            <w:r>
              <w:t>n/a</w:t>
            </w:r>
          </w:p>
        </w:tc>
      </w:tr>
      <w:tr w:rsidR="004E304A" w:rsidRPr="000540E1" w14:paraId="631977D3" w14:textId="77777777" w:rsidTr="00A7040E">
        <w:trPr>
          <w:cantSplit/>
        </w:trPr>
        <w:tc>
          <w:tcPr>
            <w:tcW w:w="916" w:type="pct"/>
          </w:tcPr>
          <w:p w14:paraId="27AADA1F" w14:textId="4189F59C" w:rsidR="004E304A" w:rsidRDefault="004E304A" w:rsidP="004E304A">
            <w:pPr>
              <w:pStyle w:val="tbltext"/>
            </w:pPr>
            <w:r>
              <w:t>Price notation</w:t>
            </w:r>
          </w:p>
        </w:tc>
        <w:tc>
          <w:tcPr>
            <w:tcW w:w="2427" w:type="pct"/>
          </w:tcPr>
          <w:p w14:paraId="607EAACE" w14:textId="084A28F3" w:rsidR="004E304A" w:rsidRDefault="004E304A" w:rsidP="004E304A">
            <w:pPr>
              <w:pStyle w:val="tbltext"/>
            </w:pPr>
            <w:r>
              <w:t>{CDE TG} Manner in which the price is expressed</w:t>
            </w:r>
            <w:r w:rsidR="00D53929">
              <w:t>.</w:t>
            </w:r>
          </w:p>
        </w:tc>
        <w:tc>
          <w:tcPr>
            <w:tcW w:w="376" w:type="pct"/>
          </w:tcPr>
          <w:p w14:paraId="766B8EFA" w14:textId="7FBDE701" w:rsidR="004E304A" w:rsidRPr="000540E1" w:rsidRDefault="004E304A" w:rsidP="004E304A">
            <w:pPr>
              <w:pStyle w:val="tbltext"/>
              <w:jc w:val="center"/>
            </w:pPr>
            <w:r>
              <w:t>2.52</w:t>
            </w:r>
          </w:p>
        </w:tc>
        <w:tc>
          <w:tcPr>
            <w:tcW w:w="463" w:type="pct"/>
          </w:tcPr>
          <w:p w14:paraId="17590D7A" w14:textId="0AFAC5DB" w:rsidR="004E304A" w:rsidRPr="000540E1" w:rsidRDefault="004E304A" w:rsidP="004E304A">
            <w:pPr>
              <w:pStyle w:val="tbltext"/>
              <w:jc w:val="center"/>
            </w:pPr>
            <w:r>
              <w:t>71</w:t>
            </w:r>
          </w:p>
        </w:tc>
        <w:tc>
          <w:tcPr>
            <w:tcW w:w="452" w:type="pct"/>
          </w:tcPr>
          <w:p w14:paraId="4E66B026" w14:textId="2A97372A" w:rsidR="004E304A" w:rsidRDefault="004E304A" w:rsidP="004E304A">
            <w:pPr>
              <w:pStyle w:val="tbltext"/>
              <w:jc w:val="center"/>
            </w:pPr>
            <w:r>
              <w:t>n/a</w:t>
            </w:r>
          </w:p>
        </w:tc>
        <w:tc>
          <w:tcPr>
            <w:tcW w:w="366" w:type="pct"/>
          </w:tcPr>
          <w:p w14:paraId="54808FCC" w14:textId="492E2AED" w:rsidR="004E304A" w:rsidRPr="000540E1" w:rsidRDefault="004E304A" w:rsidP="004E304A">
            <w:pPr>
              <w:pStyle w:val="tbltext"/>
              <w:jc w:val="center"/>
            </w:pPr>
            <w:r>
              <w:t>n/a</w:t>
            </w:r>
          </w:p>
        </w:tc>
      </w:tr>
      <w:tr w:rsidR="004E304A" w:rsidRPr="000540E1" w14:paraId="0F38C793" w14:textId="77777777" w:rsidTr="00A7040E">
        <w:trPr>
          <w:cantSplit/>
        </w:trPr>
        <w:tc>
          <w:tcPr>
            <w:tcW w:w="916" w:type="pct"/>
          </w:tcPr>
          <w:p w14:paraId="6316B703" w14:textId="10AE11E6" w:rsidR="004E304A" w:rsidRDefault="004E304A" w:rsidP="004E304A">
            <w:pPr>
              <w:pStyle w:val="tbltext"/>
            </w:pPr>
            <w:r>
              <w:t>Price unit of measure</w:t>
            </w:r>
          </w:p>
        </w:tc>
        <w:tc>
          <w:tcPr>
            <w:tcW w:w="2427" w:type="pct"/>
          </w:tcPr>
          <w:p w14:paraId="35B91BE8" w14:textId="513E930F" w:rsidR="004E304A" w:rsidRDefault="004E304A" w:rsidP="004E304A">
            <w:pPr>
              <w:pStyle w:val="tbltext"/>
            </w:pPr>
            <w:r>
              <w:t>{CDE TG} Unit of measure in which the price is expressed</w:t>
            </w:r>
            <w:r w:rsidR="00D53929">
              <w:t>.</w:t>
            </w:r>
          </w:p>
          <w:p w14:paraId="75B5E697" w14:textId="314E4E09" w:rsidR="004E304A" w:rsidRDefault="004E304A" w:rsidP="004E304A">
            <w:pPr>
              <w:pStyle w:val="tbltext"/>
            </w:pPr>
            <w:r>
              <w:t xml:space="preserve">[Note: </w:t>
            </w:r>
            <w:r w:rsidRPr="00016D4E">
              <w:t>A list of allowable values and their format will be provided to the CDE maintenance and governance framework</w:t>
            </w:r>
            <w:r w:rsidR="00D53929">
              <w:t>.</w:t>
            </w:r>
            <w:r>
              <w:t>]</w:t>
            </w:r>
          </w:p>
        </w:tc>
        <w:tc>
          <w:tcPr>
            <w:tcW w:w="376" w:type="pct"/>
          </w:tcPr>
          <w:p w14:paraId="5E5C14E8" w14:textId="0C13C2D3" w:rsidR="004E304A" w:rsidRPr="000540E1" w:rsidRDefault="004E304A" w:rsidP="004E304A">
            <w:pPr>
              <w:pStyle w:val="tbltext"/>
              <w:jc w:val="center"/>
            </w:pPr>
            <w:r>
              <w:t>2.53</w:t>
            </w:r>
          </w:p>
        </w:tc>
        <w:tc>
          <w:tcPr>
            <w:tcW w:w="463" w:type="pct"/>
          </w:tcPr>
          <w:p w14:paraId="0D9AF169" w14:textId="4A7F3485" w:rsidR="004E304A" w:rsidRPr="000540E1" w:rsidRDefault="004E304A" w:rsidP="004E304A">
            <w:pPr>
              <w:pStyle w:val="tbltext"/>
              <w:jc w:val="center"/>
            </w:pPr>
            <w:r>
              <w:t>72</w:t>
            </w:r>
          </w:p>
        </w:tc>
        <w:tc>
          <w:tcPr>
            <w:tcW w:w="452" w:type="pct"/>
          </w:tcPr>
          <w:p w14:paraId="0C2BF68E" w14:textId="6719C364" w:rsidR="004E304A" w:rsidRDefault="004E304A" w:rsidP="004E304A">
            <w:pPr>
              <w:pStyle w:val="tbltext"/>
              <w:jc w:val="center"/>
            </w:pPr>
            <w:r>
              <w:t>n/a</w:t>
            </w:r>
          </w:p>
        </w:tc>
        <w:tc>
          <w:tcPr>
            <w:tcW w:w="366" w:type="pct"/>
          </w:tcPr>
          <w:p w14:paraId="0D9E5BEA" w14:textId="44B7CF2F" w:rsidR="004E304A" w:rsidRPr="000540E1" w:rsidRDefault="004E304A" w:rsidP="004E304A">
            <w:pPr>
              <w:pStyle w:val="tbltext"/>
              <w:jc w:val="center"/>
            </w:pPr>
            <w:r>
              <w:t>n/a</w:t>
            </w:r>
          </w:p>
        </w:tc>
      </w:tr>
      <w:tr w:rsidR="004E304A" w:rsidRPr="000540E1" w14:paraId="13083585" w14:textId="77777777" w:rsidTr="00A7040E">
        <w:trPr>
          <w:cantSplit/>
        </w:trPr>
        <w:tc>
          <w:tcPr>
            <w:tcW w:w="916" w:type="pct"/>
          </w:tcPr>
          <w:p w14:paraId="23601D15" w14:textId="4EC2E04C" w:rsidR="004E304A" w:rsidRDefault="004E304A" w:rsidP="004E304A">
            <w:pPr>
              <w:pStyle w:val="tbltext"/>
            </w:pPr>
            <w:r>
              <w:t>Fixed rate</w:t>
            </w:r>
            <w:r w:rsidR="00193DFB">
              <w:t>—</w:t>
            </w:r>
            <w:r w:rsidR="00934A33">
              <w:t xml:space="preserve">Leg </w:t>
            </w:r>
            <w:r>
              <w:t>1</w:t>
            </w:r>
          </w:p>
        </w:tc>
        <w:tc>
          <w:tcPr>
            <w:tcW w:w="2427" w:type="pct"/>
          </w:tcPr>
          <w:p w14:paraId="5D9E46C4" w14:textId="791BB3DE" w:rsidR="004E304A" w:rsidRDefault="004E304A" w:rsidP="004E304A">
            <w:pPr>
              <w:pStyle w:val="tbltext"/>
            </w:pPr>
            <w:r>
              <w:t xml:space="preserve">{CDE TG} </w:t>
            </w:r>
            <w:r w:rsidRPr="004010F7">
              <w:t>For each leg of the transaction, where applicable: for OTC derivative transactions with periodic payments, per annum rate of the fixed leg(s</w:t>
            </w:r>
            <w:r>
              <w:t>)</w:t>
            </w:r>
            <w:r w:rsidR="00D53929">
              <w:t>.</w:t>
            </w:r>
          </w:p>
          <w:p w14:paraId="394874EA" w14:textId="036C5464" w:rsidR="004E304A" w:rsidRDefault="004E304A" w:rsidP="004E304A">
            <w:pPr>
              <w:pStyle w:val="tbltext"/>
            </w:pPr>
            <w:r>
              <w:t>{CFTC} Notation as a decimal i.e. 2.57% as 0.0257</w:t>
            </w:r>
            <w:r w:rsidR="00D53929">
              <w:t>.</w:t>
            </w:r>
          </w:p>
        </w:tc>
        <w:tc>
          <w:tcPr>
            <w:tcW w:w="376" w:type="pct"/>
          </w:tcPr>
          <w:p w14:paraId="2BB9F705" w14:textId="6BE87AC6" w:rsidR="004E304A" w:rsidRDefault="004E304A" w:rsidP="004E304A">
            <w:pPr>
              <w:pStyle w:val="tbltext"/>
              <w:jc w:val="center"/>
            </w:pPr>
            <w:r>
              <w:t>2.55</w:t>
            </w:r>
          </w:p>
        </w:tc>
        <w:tc>
          <w:tcPr>
            <w:tcW w:w="463" w:type="pct"/>
          </w:tcPr>
          <w:p w14:paraId="184655A2" w14:textId="6A80BAC9" w:rsidR="004E304A" w:rsidRDefault="004E304A" w:rsidP="004E304A">
            <w:pPr>
              <w:pStyle w:val="tbltext"/>
              <w:jc w:val="center"/>
            </w:pPr>
            <w:r>
              <w:t>67</w:t>
            </w:r>
          </w:p>
        </w:tc>
        <w:tc>
          <w:tcPr>
            <w:tcW w:w="452" w:type="pct"/>
          </w:tcPr>
          <w:p w14:paraId="5D4FE105" w14:textId="731E0418" w:rsidR="004E304A" w:rsidRDefault="004E304A" w:rsidP="004E304A">
            <w:pPr>
              <w:pStyle w:val="tbltext"/>
              <w:jc w:val="center"/>
            </w:pPr>
            <w:r>
              <w:t>75</w:t>
            </w:r>
          </w:p>
        </w:tc>
        <w:tc>
          <w:tcPr>
            <w:tcW w:w="366" w:type="pct"/>
          </w:tcPr>
          <w:p w14:paraId="5C786D5B" w14:textId="4968FC03" w:rsidR="004E304A" w:rsidRPr="000540E1" w:rsidRDefault="004E304A" w:rsidP="004E304A">
            <w:pPr>
              <w:pStyle w:val="tbltext"/>
              <w:jc w:val="center"/>
            </w:pPr>
            <w:r>
              <w:t>5.13</w:t>
            </w:r>
          </w:p>
        </w:tc>
      </w:tr>
      <w:tr w:rsidR="004E304A" w:rsidRPr="000540E1" w14:paraId="78BBFE77" w14:textId="77777777" w:rsidTr="00A7040E">
        <w:trPr>
          <w:cantSplit/>
        </w:trPr>
        <w:tc>
          <w:tcPr>
            <w:tcW w:w="916" w:type="pct"/>
          </w:tcPr>
          <w:p w14:paraId="61B561D5" w14:textId="6208BA33" w:rsidR="004E304A" w:rsidRDefault="004E304A" w:rsidP="004E304A">
            <w:pPr>
              <w:pStyle w:val="tbltext"/>
            </w:pPr>
            <w:r>
              <w:t>Fixed rate</w:t>
            </w:r>
            <w:r w:rsidR="00193DFB">
              <w:t>—</w:t>
            </w:r>
            <w:r w:rsidR="00934A33">
              <w:t xml:space="preserve">Leg </w:t>
            </w:r>
            <w:r>
              <w:t>2</w:t>
            </w:r>
          </w:p>
        </w:tc>
        <w:tc>
          <w:tcPr>
            <w:tcW w:w="2427" w:type="pct"/>
          </w:tcPr>
          <w:p w14:paraId="31E1032B" w14:textId="04AA677B" w:rsidR="004E304A" w:rsidRDefault="004E304A" w:rsidP="004E304A">
            <w:pPr>
              <w:pStyle w:val="tbltext"/>
            </w:pPr>
            <w:r>
              <w:t xml:space="preserve">{CDE TG} </w:t>
            </w:r>
            <w:r w:rsidRPr="004010F7">
              <w:t>For each leg of the transaction, where applicable: for OTC derivative transactions with periodic payments, per annum rate of the fixed leg(s)</w:t>
            </w:r>
            <w:r w:rsidR="00D53929">
              <w:t>.</w:t>
            </w:r>
          </w:p>
          <w:p w14:paraId="0677163A" w14:textId="7783089B" w:rsidR="004E304A" w:rsidRDefault="004E304A" w:rsidP="004E304A">
            <w:pPr>
              <w:pStyle w:val="tbltext"/>
            </w:pPr>
            <w:r>
              <w:t>{CFTC} Notation as a decimal i.e. 2.57% as 0.0257</w:t>
            </w:r>
            <w:r w:rsidR="00D53929">
              <w:t>.</w:t>
            </w:r>
          </w:p>
        </w:tc>
        <w:tc>
          <w:tcPr>
            <w:tcW w:w="376" w:type="pct"/>
          </w:tcPr>
          <w:p w14:paraId="219C6D7D" w14:textId="77777777" w:rsidR="004E304A" w:rsidRDefault="004E304A" w:rsidP="004E304A">
            <w:pPr>
              <w:pStyle w:val="tbltext"/>
              <w:jc w:val="center"/>
            </w:pPr>
            <w:r>
              <w:t>2.55</w:t>
            </w:r>
          </w:p>
        </w:tc>
        <w:tc>
          <w:tcPr>
            <w:tcW w:w="463" w:type="pct"/>
          </w:tcPr>
          <w:p w14:paraId="54FBACD5" w14:textId="0C447865" w:rsidR="004E304A" w:rsidRDefault="004E304A" w:rsidP="004E304A">
            <w:pPr>
              <w:pStyle w:val="tbltext"/>
              <w:jc w:val="center"/>
            </w:pPr>
            <w:r>
              <w:t>67</w:t>
            </w:r>
          </w:p>
        </w:tc>
        <w:tc>
          <w:tcPr>
            <w:tcW w:w="452" w:type="pct"/>
          </w:tcPr>
          <w:p w14:paraId="7BE1EADD" w14:textId="32073A25" w:rsidR="004E304A" w:rsidRDefault="004E304A" w:rsidP="004E304A">
            <w:pPr>
              <w:pStyle w:val="tbltext"/>
              <w:jc w:val="center"/>
            </w:pPr>
            <w:r>
              <w:t>91</w:t>
            </w:r>
          </w:p>
        </w:tc>
        <w:tc>
          <w:tcPr>
            <w:tcW w:w="366" w:type="pct"/>
          </w:tcPr>
          <w:p w14:paraId="24FC28F5" w14:textId="2BCE642F" w:rsidR="004E304A" w:rsidRPr="000540E1" w:rsidRDefault="004E304A" w:rsidP="004E304A">
            <w:pPr>
              <w:pStyle w:val="tbltext"/>
              <w:jc w:val="center"/>
            </w:pPr>
            <w:r>
              <w:t>n/a</w:t>
            </w:r>
          </w:p>
        </w:tc>
      </w:tr>
      <w:tr w:rsidR="004E304A" w:rsidRPr="000540E1" w14:paraId="6BE9F756" w14:textId="77777777" w:rsidTr="00FE69BD">
        <w:trPr>
          <w:cantSplit/>
        </w:trPr>
        <w:tc>
          <w:tcPr>
            <w:tcW w:w="916" w:type="pct"/>
          </w:tcPr>
          <w:p w14:paraId="6F0D31D0" w14:textId="3502626F" w:rsidR="004E304A" w:rsidRDefault="004E304A" w:rsidP="004E304A">
            <w:pPr>
              <w:pStyle w:val="tbltext"/>
            </w:pPr>
            <w:r>
              <w:t>Spread</w:t>
            </w:r>
            <w:r w:rsidR="00193DFB">
              <w:t>—</w:t>
            </w:r>
            <w:r>
              <w:t>Leg 1</w:t>
            </w:r>
          </w:p>
        </w:tc>
        <w:tc>
          <w:tcPr>
            <w:tcW w:w="2427" w:type="pct"/>
          </w:tcPr>
          <w:p w14:paraId="12897068" w14:textId="60E6121E" w:rsidR="004E304A" w:rsidRDefault="004E304A" w:rsidP="004E304A">
            <w:pPr>
              <w:pStyle w:val="tbltext"/>
            </w:pPr>
            <w:r>
              <w:t>{CDE TG} For each leg of the transaction, where applicable: for OTC derivative transactions with periodic payments (e.g. interest rate fixed/float swaps, interest rate basis swaps, commodity swaps)</w:t>
            </w:r>
            <w:r w:rsidR="00D53929">
              <w:t>.</w:t>
            </w:r>
          </w:p>
        </w:tc>
        <w:tc>
          <w:tcPr>
            <w:tcW w:w="376" w:type="pct"/>
          </w:tcPr>
          <w:p w14:paraId="3DA9F3DD" w14:textId="77777777" w:rsidR="004E304A" w:rsidRDefault="004E304A" w:rsidP="004E304A">
            <w:pPr>
              <w:pStyle w:val="tbltext"/>
              <w:jc w:val="center"/>
            </w:pPr>
            <w:r>
              <w:t>2.57</w:t>
            </w:r>
          </w:p>
        </w:tc>
        <w:tc>
          <w:tcPr>
            <w:tcW w:w="463" w:type="pct"/>
          </w:tcPr>
          <w:p w14:paraId="3BFD4AF7" w14:textId="77777777" w:rsidR="004E304A" w:rsidRDefault="004E304A" w:rsidP="004E304A">
            <w:pPr>
              <w:pStyle w:val="tbltext"/>
              <w:jc w:val="center"/>
            </w:pPr>
            <w:r>
              <w:t>73</w:t>
            </w:r>
          </w:p>
        </w:tc>
        <w:tc>
          <w:tcPr>
            <w:tcW w:w="452" w:type="pct"/>
          </w:tcPr>
          <w:p w14:paraId="7F31ABDC" w14:textId="77777777" w:rsidR="004E304A" w:rsidRDefault="004E304A" w:rsidP="004E304A">
            <w:pPr>
              <w:pStyle w:val="tbltext"/>
              <w:jc w:val="center"/>
            </w:pPr>
            <w:r>
              <w:t>2.89</w:t>
            </w:r>
          </w:p>
        </w:tc>
        <w:tc>
          <w:tcPr>
            <w:tcW w:w="366" w:type="pct"/>
          </w:tcPr>
          <w:p w14:paraId="2F9B17BA" w14:textId="7AAD9CBC" w:rsidR="004E304A" w:rsidRDefault="004E304A" w:rsidP="004E304A">
            <w:pPr>
              <w:pStyle w:val="tbltext"/>
              <w:jc w:val="center"/>
            </w:pPr>
            <w:r>
              <w:t>n/a</w:t>
            </w:r>
          </w:p>
        </w:tc>
      </w:tr>
      <w:tr w:rsidR="004E304A" w:rsidRPr="000540E1" w14:paraId="313DAC2C" w14:textId="77777777" w:rsidTr="00A7040E">
        <w:trPr>
          <w:cantSplit/>
        </w:trPr>
        <w:tc>
          <w:tcPr>
            <w:tcW w:w="916" w:type="pct"/>
          </w:tcPr>
          <w:p w14:paraId="0D22E04F" w14:textId="2D0510F8" w:rsidR="004E304A" w:rsidRDefault="004E304A" w:rsidP="004E304A">
            <w:pPr>
              <w:pStyle w:val="tbltext"/>
            </w:pPr>
            <w:r>
              <w:t>Spread</w:t>
            </w:r>
            <w:r w:rsidR="00193DFB">
              <w:t>—</w:t>
            </w:r>
            <w:r w:rsidR="00934A33">
              <w:t xml:space="preserve">Leg </w:t>
            </w:r>
            <w:r>
              <w:t>2</w:t>
            </w:r>
          </w:p>
        </w:tc>
        <w:tc>
          <w:tcPr>
            <w:tcW w:w="2427" w:type="pct"/>
          </w:tcPr>
          <w:p w14:paraId="0E03F831" w14:textId="383F0F86" w:rsidR="004E304A" w:rsidRDefault="004E304A" w:rsidP="004E304A">
            <w:pPr>
              <w:pStyle w:val="tbltext"/>
            </w:pPr>
            <w:r>
              <w:t>{CDE TG} For each leg of the transaction, where applicable: for OTC derivative transactions with periodic payments (e.g. interest rate fixed/float swaps, interest rate basis swaps, commodity swaps)</w:t>
            </w:r>
            <w:r w:rsidR="00D53929">
              <w:t>.</w:t>
            </w:r>
          </w:p>
        </w:tc>
        <w:tc>
          <w:tcPr>
            <w:tcW w:w="376" w:type="pct"/>
          </w:tcPr>
          <w:p w14:paraId="495519D6" w14:textId="6B3A5E1D" w:rsidR="004E304A" w:rsidRDefault="004E304A" w:rsidP="004E304A">
            <w:pPr>
              <w:pStyle w:val="tbltext"/>
              <w:jc w:val="center"/>
            </w:pPr>
            <w:r>
              <w:t>2.57</w:t>
            </w:r>
          </w:p>
        </w:tc>
        <w:tc>
          <w:tcPr>
            <w:tcW w:w="463" w:type="pct"/>
          </w:tcPr>
          <w:p w14:paraId="60CCFCC2" w14:textId="69701C11" w:rsidR="004E304A" w:rsidRDefault="004E304A" w:rsidP="004E304A">
            <w:pPr>
              <w:pStyle w:val="tbltext"/>
              <w:jc w:val="center"/>
            </w:pPr>
            <w:r>
              <w:t>73</w:t>
            </w:r>
          </w:p>
        </w:tc>
        <w:tc>
          <w:tcPr>
            <w:tcW w:w="452" w:type="pct"/>
          </w:tcPr>
          <w:p w14:paraId="33098C66" w14:textId="09234A7A" w:rsidR="004E304A" w:rsidRDefault="004E304A" w:rsidP="004E304A">
            <w:pPr>
              <w:pStyle w:val="tbltext"/>
              <w:jc w:val="center"/>
            </w:pPr>
            <w:r>
              <w:t>2.105</w:t>
            </w:r>
          </w:p>
        </w:tc>
        <w:tc>
          <w:tcPr>
            <w:tcW w:w="366" w:type="pct"/>
          </w:tcPr>
          <w:p w14:paraId="105BEA71" w14:textId="67DBAE87" w:rsidR="004E304A" w:rsidRDefault="004E304A" w:rsidP="004E304A">
            <w:pPr>
              <w:pStyle w:val="tbltext"/>
              <w:jc w:val="center"/>
            </w:pPr>
            <w:r>
              <w:t>n/a</w:t>
            </w:r>
          </w:p>
        </w:tc>
      </w:tr>
      <w:tr w:rsidR="004E304A" w:rsidRPr="000540E1" w14:paraId="6CF405A2" w14:textId="77777777" w:rsidTr="00FE69BD">
        <w:trPr>
          <w:cantSplit/>
        </w:trPr>
        <w:tc>
          <w:tcPr>
            <w:tcW w:w="916" w:type="pct"/>
          </w:tcPr>
          <w:p w14:paraId="20A04A27" w14:textId="6A89982E" w:rsidR="004E304A" w:rsidRDefault="004E304A" w:rsidP="004E304A">
            <w:pPr>
              <w:pStyle w:val="tbltext"/>
            </w:pPr>
            <w:r>
              <w:t>Spread currency</w:t>
            </w:r>
            <w:r w:rsidR="00193DFB">
              <w:t>—</w:t>
            </w:r>
            <w:r w:rsidR="00934A33">
              <w:t xml:space="preserve">Leg </w:t>
            </w:r>
            <w:r>
              <w:t>1</w:t>
            </w:r>
          </w:p>
        </w:tc>
        <w:tc>
          <w:tcPr>
            <w:tcW w:w="2427" w:type="pct"/>
          </w:tcPr>
          <w:p w14:paraId="470D8BA0" w14:textId="19A7DA26" w:rsidR="004E304A" w:rsidRDefault="004E304A" w:rsidP="004E304A">
            <w:pPr>
              <w:pStyle w:val="tbltext"/>
            </w:pPr>
            <w:r>
              <w:t>{CDE TG} For each leg of the transaction, where applicable: currency in which the spread is denominated.</w:t>
            </w:r>
          </w:p>
        </w:tc>
        <w:tc>
          <w:tcPr>
            <w:tcW w:w="376" w:type="pct"/>
          </w:tcPr>
          <w:p w14:paraId="6DB244A6" w14:textId="0D5CDE72" w:rsidR="004E304A" w:rsidRDefault="004E304A" w:rsidP="004E304A">
            <w:pPr>
              <w:pStyle w:val="tbltext"/>
              <w:jc w:val="center"/>
            </w:pPr>
            <w:r>
              <w:t>2.58</w:t>
            </w:r>
          </w:p>
        </w:tc>
        <w:tc>
          <w:tcPr>
            <w:tcW w:w="463" w:type="pct"/>
          </w:tcPr>
          <w:p w14:paraId="6B00981A" w14:textId="1E409EBE" w:rsidR="004E304A" w:rsidRDefault="004E304A" w:rsidP="004E304A">
            <w:pPr>
              <w:pStyle w:val="tbltext"/>
              <w:jc w:val="center"/>
            </w:pPr>
            <w:r>
              <w:t>74</w:t>
            </w:r>
          </w:p>
        </w:tc>
        <w:tc>
          <w:tcPr>
            <w:tcW w:w="452" w:type="pct"/>
          </w:tcPr>
          <w:p w14:paraId="10D80AC5" w14:textId="70487B67" w:rsidR="004E304A" w:rsidRDefault="004E304A" w:rsidP="004E304A">
            <w:pPr>
              <w:pStyle w:val="tbltext"/>
              <w:jc w:val="center"/>
            </w:pPr>
            <w:r>
              <w:t>2.90</w:t>
            </w:r>
          </w:p>
        </w:tc>
        <w:tc>
          <w:tcPr>
            <w:tcW w:w="366" w:type="pct"/>
          </w:tcPr>
          <w:p w14:paraId="4B21DBA4" w14:textId="16CC8148" w:rsidR="004E304A" w:rsidRDefault="004E304A" w:rsidP="004E304A">
            <w:pPr>
              <w:pStyle w:val="tbltext"/>
              <w:jc w:val="center"/>
            </w:pPr>
            <w:r>
              <w:t>n/a</w:t>
            </w:r>
          </w:p>
        </w:tc>
      </w:tr>
      <w:tr w:rsidR="004E304A" w:rsidRPr="000540E1" w14:paraId="46473FB5" w14:textId="77777777" w:rsidTr="00FE69BD">
        <w:trPr>
          <w:cantSplit/>
        </w:trPr>
        <w:tc>
          <w:tcPr>
            <w:tcW w:w="916" w:type="pct"/>
          </w:tcPr>
          <w:p w14:paraId="6888F6A2" w14:textId="072BFE13" w:rsidR="004E304A" w:rsidRDefault="004E304A" w:rsidP="004E304A">
            <w:pPr>
              <w:pStyle w:val="tbltext"/>
            </w:pPr>
            <w:r>
              <w:t>Spread currency</w:t>
            </w:r>
            <w:r w:rsidR="00193DFB">
              <w:t>—</w:t>
            </w:r>
            <w:r w:rsidR="00934A33">
              <w:t xml:space="preserve">Leg </w:t>
            </w:r>
            <w:r>
              <w:t>2</w:t>
            </w:r>
          </w:p>
        </w:tc>
        <w:tc>
          <w:tcPr>
            <w:tcW w:w="2427" w:type="pct"/>
          </w:tcPr>
          <w:p w14:paraId="696A9C83" w14:textId="2C1D7995" w:rsidR="004E304A" w:rsidRDefault="004E304A" w:rsidP="004E304A">
            <w:pPr>
              <w:pStyle w:val="tbltext"/>
            </w:pPr>
            <w:r>
              <w:t>{CDE TG} For each leg of the transaction, where applicable: currency in which the spread is denominated.</w:t>
            </w:r>
          </w:p>
        </w:tc>
        <w:tc>
          <w:tcPr>
            <w:tcW w:w="376" w:type="pct"/>
          </w:tcPr>
          <w:p w14:paraId="3A032A80" w14:textId="2C649D32" w:rsidR="004E304A" w:rsidRDefault="004E304A" w:rsidP="004E304A">
            <w:pPr>
              <w:pStyle w:val="tbltext"/>
              <w:jc w:val="center"/>
            </w:pPr>
            <w:r>
              <w:t>2.58</w:t>
            </w:r>
          </w:p>
        </w:tc>
        <w:tc>
          <w:tcPr>
            <w:tcW w:w="463" w:type="pct"/>
          </w:tcPr>
          <w:p w14:paraId="26825355" w14:textId="62573728" w:rsidR="004E304A" w:rsidRDefault="004E304A" w:rsidP="004E304A">
            <w:pPr>
              <w:pStyle w:val="tbltext"/>
              <w:jc w:val="center"/>
            </w:pPr>
            <w:r>
              <w:t>74</w:t>
            </w:r>
          </w:p>
        </w:tc>
        <w:tc>
          <w:tcPr>
            <w:tcW w:w="452" w:type="pct"/>
          </w:tcPr>
          <w:p w14:paraId="70C3ADC1" w14:textId="1B12E70E" w:rsidR="004E304A" w:rsidRDefault="004E304A" w:rsidP="004E304A">
            <w:pPr>
              <w:pStyle w:val="tbltext"/>
              <w:jc w:val="center"/>
            </w:pPr>
            <w:r>
              <w:t>2.106</w:t>
            </w:r>
          </w:p>
        </w:tc>
        <w:tc>
          <w:tcPr>
            <w:tcW w:w="366" w:type="pct"/>
          </w:tcPr>
          <w:p w14:paraId="1DEDC910" w14:textId="29E5F4C1" w:rsidR="004E304A" w:rsidRDefault="004E304A" w:rsidP="004E304A">
            <w:pPr>
              <w:pStyle w:val="tbltext"/>
              <w:jc w:val="center"/>
            </w:pPr>
            <w:r>
              <w:t>n/a</w:t>
            </w:r>
          </w:p>
        </w:tc>
      </w:tr>
      <w:tr w:rsidR="004E304A" w:rsidRPr="000540E1" w14:paraId="312A29E8" w14:textId="77777777" w:rsidTr="00FE69BD">
        <w:trPr>
          <w:cantSplit/>
        </w:trPr>
        <w:tc>
          <w:tcPr>
            <w:tcW w:w="916" w:type="pct"/>
          </w:tcPr>
          <w:p w14:paraId="5528063D" w14:textId="5B49540A" w:rsidR="004E304A" w:rsidRDefault="004E304A" w:rsidP="004E304A">
            <w:pPr>
              <w:pStyle w:val="tbltext"/>
            </w:pPr>
            <w:r>
              <w:lastRenderedPageBreak/>
              <w:t>Spread notation</w:t>
            </w:r>
            <w:r w:rsidR="00193DFB">
              <w:t>—</w:t>
            </w:r>
            <w:r w:rsidR="00934A33">
              <w:t xml:space="preserve">Leg </w:t>
            </w:r>
            <w:r>
              <w:t>1</w:t>
            </w:r>
          </w:p>
        </w:tc>
        <w:tc>
          <w:tcPr>
            <w:tcW w:w="2427" w:type="pct"/>
          </w:tcPr>
          <w:p w14:paraId="1B6D2D16" w14:textId="28158C85" w:rsidR="004E304A" w:rsidRDefault="004E304A" w:rsidP="004E304A">
            <w:pPr>
              <w:pStyle w:val="tbltext"/>
            </w:pPr>
            <w:r>
              <w:t>{CDE TG} For each leg of the transaction, where applicable: manner in which the spread is expressed.</w:t>
            </w:r>
          </w:p>
        </w:tc>
        <w:tc>
          <w:tcPr>
            <w:tcW w:w="376" w:type="pct"/>
          </w:tcPr>
          <w:p w14:paraId="46675579" w14:textId="4BBB4CDB" w:rsidR="004E304A" w:rsidRDefault="004E304A" w:rsidP="004E304A">
            <w:pPr>
              <w:pStyle w:val="tbltext"/>
              <w:jc w:val="center"/>
            </w:pPr>
            <w:r>
              <w:t>2.59</w:t>
            </w:r>
          </w:p>
        </w:tc>
        <w:tc>
          <w:tcPr>
            <w:tcW w:w="463" w:type="pct"/>
          </w:tcPr>
          <w:p w14:paraId="0546CA71" w14:textId="7729D462" w:rsidR="004E304A" w:rsidRDefault="004E304A" w:rsidP="004E304A">
            <w:pPr>
              <w:pStyle w:val="tbltext"/>
              <w:jc w:val="center"/>
            </w:pPr>
            <w:r>
              <w:t>74</w:t>
            </w:r>
          </w:p>
        </w:tc>
        <w:tc>
          <w:tcPr>
            <w:tcW w:w="452" w:type="pct"/>
          </w:tcPr>
          <w:p w14:paraId="07D10F78" w14:textId="5D60FE1A" w:rsidR="004E304A" w:rsidRDefault="004E304A" w:rsidP="004E304A">
            <w:pPr>
              <w:pStyle w:val="tbltext"/>
              <w:jc w:val="center"/>
            </w:pPr>
            <w:r>
              <w:t>n/a</w:t>
            </w:r>
          </w:p>
        </w:tc>
        <w:tc>
          <w:tcPr>
            <w:tcW w:w="366" w:type="pct"/>
          </w:tcPr>
          <w:p w14:paraId="7A4B2DD4" w14:textId="3E88960A" w:rsidR="004E304A" w:rsidRDefault="004E304A" w:rsidP="004E304A">
            <w:pPr>
              <w:pStyle w:val="tbltext"/>
              <w:jc w:val="center"/>
            </w:pPr>
            <w:r>
              <w:t>n/a</w:t>
            </w:r>
          </w:p>
        </w:tc>
      </w:tr>
      <w:tr w:rsidR="004E304A" w:rsidRPr="000540E1" w14:paraId="502ABB07" w14:textId="77777777" w:rsidTr="00FE69BD">
        <w:trPr>
          <w:cantSplit/>
        </w:trPr>
        <w:tc>
          <w:tcPr>
            <w:tcW w:w="916" w:type="pct"/>
          </w:tcPr>
          <w:p w14:paraId="399687EB" w14:textId="0F5577C6" w:rsidR="004E304A" w:rsidRDefault="004E304A" w:rsidP="004E304A">
            <w:pPr>
              <w:pStyle w:val="tbltext"/>
            </w:pPr>
            <w:r>
              <w:t>Spread notation</w:t>
            </w:r>
            <w:r w:rsidR="00193DFB">
              <w:t>—</w:t>
            </w:r>
            <w:r w:rsidR="00934A33">
              <w:t xml:space="preserve">Leg </w:t>
            </w:r>
            <w:r>
              <w:t>2</w:t>
            </w:r>
          </w:p>
        </w:tc>
        <w:tc>
          <w:tcPr>
            <w:tcW w:w="2427" w:type="pct"/>
          </w:tcPr>
          <w:p w14:paraId="2C8ADC38" w14:textId="3F48C4C7" w:rsidR="004E304A" w:rsidRDefault="004E304A" w:rsidP="004E304A">
            <w:pPr>
              <w:pStyle w:val="tbltext"/>
            </w:pPr>
            <w:r>
              <w:t>{CDE TG} For each leg of the transaction, where applicable: manner in which the spread is expressed.</w:t>
            </w:r>
          </w:p>
        </w:tc>
        <w:tc>
          <w:tcPr>
            <w:tcW w:w="376" w:type="pct"/>
          </w:tcPr>
          <w:p w14:paraId="662F102E" w14:textId="236F8256" w:rsidR="004E304A" w:rsidRDefault="004E304A" w:rsidP="004E304A">
            <w:pPr>
              <w:pStyle w:val="tbltext"/>
              <w:jc w:val="center"/>
            </w:pPr>
            <w:r>
              <w:t>2.59</w:t>
            </w:r>
          </w:p>
        </w:tc>
        <w:tc>
          <w:tcPr>
            <w:tcW w:w="463" w:type="pct"/>
          </w:tcPr>
          <w:p w14:paraId="368CAB9F" w14:textId="195D2E84" w:rsidR="004E304A" w:rsidRDefault="004E304A" w:rsidP="004E304A">
            <w:pPr>
              <w:pStyle w:val="tbltext"/>
              <w:jc w:val="center"/>
            </w:pPr>
            <w:r>
              <w:t>74</w:t>
            </w:r>
          </w:p>
        </w:tc>
        <w:tc>
          <w:tcPr>
            <w:tcW w:w="452" w:type="pct"/>
          </w:tcPr>
          <w:p w14:paraId="4DA0D6B7" w14:textId="11FC8E7E" w:rsidR="004E304A" w:rsidRDefault="004E304A" w:rsidP="004E304A">
            <w:pPr>
              <w:pStyle w:val="tbltext"/>
              <w:jc w:val="center"/>
            </w:pPr>
            <w:r>
              <w:t>n/a</w:t>
            </w:r>
          </w:p>
        </w:tc>
        <w:tc>
          <w:tcPr>
            <w:tcW w:w="366" w:type="pct"/>
          </w:tcPr>
          <w:p w14:paraId="2E5A1029" w14:textId="1709A7BA" w:rsidR="004E304A" w:rsidRDefault="004E304A" w:rsidP="004E304A">
            <w:pPr>
              <w:pStyle w:val="tbltext"/>
              <w:jc w:val="center"/>
            </w:pPr>
            <w:r>
              <w:t>n/a</w:t>
            </w:r>
          </w:p>
        </w:tc>
      </w:tr>
      <w:tr w:rsidR="004E304A" w:rsidRPr="000540E1" w14:paraId="037B7CD1" w14:textId="77777777" w:rsidTr="00FE69BD">
        <w:trPr>
          <w:cantSplit/>
        </w:trPr>
        <w:tc>
          <w:tcPr>
            <w:tcW w:w="916" w:type="pct"/>
          </w:tcPr>
          <w:p w14:paraId="5B2F604A" w14:textId="77777777" w:rsidR="004E304A" w:rsidRDefault="004E304A" w:rsidP="004E304A">
            <w:pPr>
              <w:pStyle w:val="tbltext"/>
            </w:pPr>
            <w:r>
              <w:t>Strike price</w:t>
            </w:r>
          </w:p>
        </w:tc>
        <w:tc>
          <w:tcPr>
            <w:tcW w:w="2427" w:type="pct"/>
          </w:tcPr>
          <w:p w14:paraId="05C747C6" w14:textId="391F283E" w:rsidR="004E304A" w:rsidRDefault="004E304A" w:rsidP="004E304A">
            <w:pPr>
              <w:pStyle w:val="tbltext"/>
            </w:pPr>
            <w:r>
              <w:t xml:space="preserve">{CDE TG} For options, price at which the owner of an option can </w:t>
            </w:r>
            <w:proofErr w:type="gramStart"/>
            <w:r>
              <w:t>buy</w:t>
            </w:r>
            <w:proofErr w:type="gramEnd"/>
            <w:r>
              <w:t xml:space="preserve"> or sell the underlying asset of the option or receive a cash settlement payment</w:t>
            </w:r>
            <w:r w:rsidR="00D53929">
              <w:t>.</w:t>
            </w:r>
          </w:p>
        </w:tc>
        <w:tc>
          <w:tcPr>
            <w:tcW w:w="376" w:type="pct"/>
          </w:tcPr>
          <w:p w14:paraId="49193126" w14:textId="77777777" w:rsidR="004E304A" w:rsidRDefault="004E304A" w:rsidP="004E304A">
            <w:pPr>
              <w:pStyle w:val="tbltext"/>
              <w:jc w:val="center"/>
            </w:pPr>
            <w:r>
              <w:t>2.60</w:t>
            </w:r>
          </w:p>
        </w:tc>
        <w:tc>
          <w:tcPr>
            <w:tcW w:w="463" w:type="pct"/>
          </w:tcPr>
          <w:p w14:paraId="667F5DD0" w14:textId="77777777" w:rsidR="004E304A" w:rsidRDefault="004E304A" w:rsidP="004E304A">
            <w:pPr>
              <w:pStyle w:val="tbltext"/>
              <w:jc w:val="center"/>
            </w:pPr>
            <w:r>
              <w:t>76</w:t>
            </w:r>
          </w:p>
        </w:tc>
        <w:tc>
          <w:tcPr>
            <w:tcW w:w="452" w:type="pct"/>
          </w:tcPr>
          <w:p w14:paraId="3F3EDAB1" w14:textId="77777777" w:rsidR="004E304A" w:rsidRDefault="004E304A" w:rsidP="004E304A">
            <w:pPr>
              <w:pStyle w:val="tbltext"/>
              <w:jc w:val="center"/>
            </w:pPr>
            <w:r>
              <w:t>2.130</w:t>
            </w:r>
          </w:p>
        </w:tc>
        <w:tc>
          <w:tcPr>
            <w:tcW w:w="366" w:type="pct"/>
          </w:tcPr>
          <w:p w14:paraId="695881E1" w14:textId="6ACEE2E2" w:rsidR="004E304A" w:rsidRDefault="004E304A" w:rsidP="004E304A">
            <w:pPr>
              <w:pStyle w:val="tbltext"/>
              <w:jc w:val="center"/>
            </w:pPr>
            <w:r>
              <w:t>1.50</w:t>
            </w:r>
          </w:p>
        </w:tc>
      </w:tr>
      <w:tr w:rsidR="004E304A" w:rsidRPr="000540E1" w14:paraId="61AAFB3B" w14:textId="77777777" w:rsidTr="00FE69BD">
        <w:trPr>
          <w:cantSplit/>
        </w:trPr>
        <w:tc>
          <w:tcPr>
            <w:tcW w:w="916" w:type="pct"/>
          </w:tcPr>
          <w:p w14:paraId="7AFD71E9" w14:textId="77777777" w:rsidR="004E304A" w:rsidRDefault="004E304A" w:rsidP="004E304A">
            <w:pPr>
              <w:pStyle w:val="tbltext"/>
            </w:pPr>
            <w:r>
              <w:t>Strike price currency/currency pair</w:t>
            </w:r>
          </w:p>
        </w:tc>
        <w:tc>
          <w:tcPr>
            <w:tcW w:w="2427" w:type="pct"/>
          </w:tcPr>
          <w:p w14:paraId="6807F8F8" w14:textId="77777777" w:rsidR="004E304A" w:rsidRDefault="004E304A" w:rsidP="004E304A">
            <w:pPr>
              <w:pStyle w:val="tbltext"/>
            </w:pPr>
            <w:r>
              <w:t>{CDE TG} For equity options, commodity options, and similar products, currency in which the strike price is denominated.</w:t>
            </w:r>
          </w:p>
          <w:p w14:paraId="041E4F5C" w14:textId="2BB857AF" w:rsidR="004E304A" w:rsidRDefault="004E304A" w:rsidP="004E304A">
            <w:pPr>
              <w:pStyle w:val="tbltext"/>
            </w:pPr>
            <w:r>
              <w:t xml:space="preserve">For foreign exchange options: </w:t>
            </w:r>
            <w:r w:rsidR="00D53929">
              <w:t xml:space="preserve">currency </w:t>
            </w:r>
            <w:r>
              <w:t>pair and order in which the strike price is expressed.</w:t>
            </w:r>
          </w:p>
        </w:tc>
        <w:tc>
          <w:tcPr>
            <w:tcW w:w="376" w:type="pct"/>
          </w:tcPr>
          <w:p w14:paraId="19D721AA" w14:textId="77777777" w:rsidR="004E304A" w:rsidRDefault="004E304A" w:rsidP="004E304A">
            <w:pPr>
              <w:pStyle w:val="tbltext"/>
              <w:jc w:val="center"/>
            </w:pPr>
            <w:r>
              <w:t>2.61</w:t>
            </w:r>
          </w:p>
        </w:tc>
        <w:tc>
          <w:tcPr>
            <w:tcW w:w="463" w:type="pct"/>
          </w:tcPr>
          <w:p w14:paraId="6D3334CC" w14:textId="77777777" w:rsidR="004E304A" w:rsidRDefault="004E304A" w:rsidP="004E304A">
            <w:pPr>
              <w:pStyle w:val="tbltext"/>
              <w:jc w:val="center"/>
            </w:pPr>
            <w:r>
              <w:t>77</w:t>
            </w:r>
          </w:p>
        </w:tc>
        <w:tc>
          <w:tcPr>
            <w:tcW w:w="452" w:type="pct"/>
          </w:tcPr>
          <w:p w14:paraId="607D5F3B" w14:textId="635FD804" w:rsidR="004E304A" w:rsidRDefault="004E304A" w:rsidP="004E304A">
            <w:pPr>
              <w:pStyle w:val="tbltext"/>
              <w:jc w:val="center"/>
            </w:pPr>
            <w:r>
              <w:t>n/a</w:t>
            </w:r>
          </w:p>
        </w:tc>
        <w:tc>
          <w:tcPr>
            <w:tcW w:w="366" w:type="pct"/>
          </w:tcPr>
          <w:p w14:paraId="44BB54A4" w14:textId="4083D1F0" w:rsidR="004E304A" w:rsidRDefault="004E304A" w:rsidP="004E304A">
            <w:pPr>
              <w:pStyle w:val="tbltext"/>
              <w:jc w:val="center"/>
            </w:pPr>
            <w:r>
              <w:t>n/a</w:t>
            </w:r>
          </w:p>
        </w:tc>
      </w:tr>
      <w:tr w:rsidR="004E304A" w:rsidRPr="000540E1" w14:paraId="7B55AB79" w14:textId="77777777" w:rsidTr="00A7040E">
        <w:trPr>
          <w:cantSplit/>
        </w:trPr>
        <w:tc>
          <w:tcPr>
            <w:tcW w:w="916" w:type="pct"/>
          </w:tcPr>
          <w:p w14:paraId="4A91E913" w14:textId="1F6CBC77" w:rsidR="004E304A" w:rsidRDefault="004E304A" w:rsidP="004E304A">
            <w:pPr>
              <w:pStyle w:val="tbltext"/>
            </w:pPr>
            <w:r>
              <w:t>Strike price notation</w:t>
            </w:r>
          </w:p>
        </w:tc>
        <w:tc>
          <w:tcPr>
            <w:tcW w:w="2427" w:type="pct"/>
          </w:tcPr>
          <w:p w14:paraId="5AA76A66" w14:textId="5A089FCD" w:rsidR="004E304A" w:rsidRDefault="004E304A" w:rsidP="004E304A">
            <w:pPr>
              <w:pStyle w:val="tbltext"/>
            </w:pPr>
            <w:r>
              <w:t xml:space="preserve">{CDE TG} Manner in which the </w:t>
            </w:r>
            <w:r w:rsidR="00D53929">
              <w:t xml:space="preserve">strike </w:t>
            </w:r>
            <w:r>
              <w:t>price is expressed.</w:t>
            </w:r>
          </w:p>
        </w:tc>
        <w:tc>
          <w:tcPr>
            <w:tcW w:w="376" w:type="pct"/>
          </w:tcPr>
          <w:p w14:paraId="63A9A57E" w14:textId="6E27E301" w:rsidR="004E304A" w:rsidRDefault="004E304A" w:rsidP="004E304A">
            <w:pPr>
              <w:pStyle w:val="tbltext"/>
              <w:jc w:val="center"/>
            </w:pPr>
            <w:r>
              <w:t>2.62</w:t>
            </w:r>
          </w:p>
        </w:tc>
        <w:tc>
          <w:tcPr>
            <w:tcW w:w="463" w:type="pct"/>
          </w:tcPr>
          <w:p w14:paraId="7E3EB5D3" w14:textId="26DA255A" w:rsidR="004E304A" w:rsidRDefault="004E304A" w:rsidP="004E304A">
            <w:pPr>
              <w:pStyle w:val="tbltext"/>
              <w:jc w:val="center"/>
            </w:pPr>
            <w:r>
              <w:t>78</w:t>
            </w:r>
          </w:p>
        </w:tc>
        <w:tc>
          <w:tcPr>
            <w:tcW w:w="452" w:type="pct"/>
          </w:tcPr>
          <w:p w14:paraId="46D264CD" w14:textId="0D765C96" w:rsidR="004E304A" w:rsidRDefault="004E304A" w:rsidP="004E304A">
            <w:pPr>
              <w:pStyle w:val="tbltext"/>
              <w:jc w:val="center"/>
            </w:pPr>
            <w:r>
              <w:t>n/a</w:t>
            </w:r>
          </w:p>
        </w:tc>
        <w:tc>
          <w:tcPr>
            <w:tcW w:w="366" w:type="pct"/>
          </w:tcPr>
          <w:p w14:paraId="1071DDC6" w14:textId="15A4D1A7" w:rsidR="004E304A" w:rsidRDefault="004E304A" w:rsidP="004E304A">
            <w:pPr>
              <w:pStyle w:val="tbltext"/>
              <w:jc w:val="center"/>
            </w:pPr>
            <w:r>
              <w:t>n/a</w:t>
            </w:r>
          </w:p>
        </w:tc>
      </w:tr>
      <w:tr w:rsidR="004E304A" w:rsidRPr="000540E1" w14:paraId="426FBC9C" w14:textId="77777777" w:rsidTr="00A7040E">
        <w:trPr>
          <w:cantSplit/>
        </w:trPr>
        <w:tc>
          <w:tcPr>
            <w:tcW w:w="916" w:type="pct"/>
          </w:tcPr>
          <w:p w14:paraId="22BDE549" w14:textId="31EF2DBF" w:rsidR="004E304A" w:rsidRDefault="004E304A" w:rsidP="004E304A">
            <w:pPr>
              <w:pStyle w:val="tbltext"/>
            </w:pPr>
            <w:r>
              <w:t>Option premium amount</w:t>
            </w:r>
          </w:p>
        </w:tc>
        <w:tc>
          <w:tcPr>
            <w:tcW w:w="2427" w:type="pct"/>
          </w:tcPr>
          <w:p w14:paraId="6A11EC98" w14:textId="2FA1CA02" w:rsidR="004E304A" w:rsidRDefault="004E304A" w:rsidP="004E304A">
            <w:pPr>
              <w:pStyle w:val="tbltext"/>
            </w:pPr>
            <w:r>
              <w:t>{CDE TG} For options and swaptions of all asset classes, monetary amount paid by the option buyer.</w:t>
            </w:r>
          </w:p>
        </w:tc>
        <w:tc>
          <w:tcPr>
            <w:tcW w:w="376" w:type="pct"/>
          </w:tcPr>
          <w:p w14:paraId="4CAE8392" w14:textId="7A675B1D" w:rsidR="004E304A" w:rsidRDefault="004E304A" w:rsidP="004E304A">
            <w:pPr>
              <w:pStyle w:val="tbltext"/>
              <w:jc w:val="center"/>
            </w:pPr>
            <w:r>
              <w:t>2.64</w:t>
            </w:r>
          </w:p>
        </w:tc>
        <w:tc>
          <w:tcPr>
            <w:tcW w:w="463" w:type="pct"/>
          </w:tcPr>
          <w:p w14:paraId="5DFA57A5" w14:textId="53513E98" w:rsidR="004E304A" w:rsidRDefault="004E304A" w:rsidP="004E304A">
            <w:pPr>
              <w:pStyle w:val="tbltext"/>
              <w:jc w:val="center"/>
            </w:pPr>
            <w:r>
              <w:t>79</w:t>
            </w:r>
          </w:p>
        </w:tc>
        <w:tc>
          <w:tcPr>
            <w:tcW w:w="452" w:type="pct"/>
          </w:tcPr>
          <w:p w14:paraId="68014C73" w14:textId="70854DFC" w:rsidR="004E304A" w:rsidRDefault="004E304A" w:rsidP="004E304A">
            <w:pPr>
              <w:pStyle w:val="tbltext"/>
              <w:jc w:val="center"/>
            </w:pPr>
            <w:r>
              <w:t>2.135</w:t>
            </w:r>
          </w:p>
        </w:tc>
        <w:tc>
          <w:tcPr>
            <w:tcW w:w="366" w:type="pct"/>
          </w:tcPr>
          <w:p w14:paraId="14DECD1E" w14:textId="45E1C92D" w:rsidR="004E304A" w:rsidRDefault="004E304A" w:rsidP="004E304A">
            <w:pPr>
              <w:pStyle w:val="tbltext"/>
              <w:jc w:val="center"/>
            </w:pPr>
            <w:r>
              <w:t>1.47</w:t>
            </w:r>
          </w:p>
        </w:tc>
      </w:tr>
      <w:tr w:rsidR="004E304A" w:rsidRPr="000540E1" w14:paraId="4A8E0934" w14:textId="77777777" w:rsidTr="00A7040E">
        <w:trPr>
          <w:cantSplit/>
        </w:trPr>
        <w:tc>
          <w:tcPr>
            <w:tcW w:w="916" w:type="pct"/>
          </w:tcPr>
          <w:p w14:paraId="1C3A26BC" w14:textId="00896AC6" w:rsidR="004E304A" w:rsidRDefault="004E304A" w:rsidP="004E304A">
            <w:pPr>
              <w:pStyle w:val="tbltext"/>
            </w:pPr>
            <w:r>
              <w:t>Option premium currency</w:t>
            </w:r>
          </w:p>
        </w:tc>
        <w:tc>
          <w:tcPr>
            <w:tcW w:w="2427" w:type="pct"/>
          </w:tcPr>
          <w:p w14:paraId="7DECC765" w14:textId="35459C10" w:rsidR="004E304A" w:rsidRDefault="004E304A" w:rsidP="004E304A">
            <w:pPr>
              <w:pStyle w:val="tbltext"/>
            </w:pPr>
            <w:r>
              <w:t xml:space="preserve">{CDE TG} </w:t>
            </w:r>
            <w:r w:rsidRPr="00CE76A4">
              <w:t>For options and swaptions of all asset classes, currency in which the option premium amount is denominated.</w:t>
            </w:r>
          </w:p>
        </w:tc>
        <w:tc>
          <w:tcPr>
            <w:tcW w:w="376" w:type="pct"/>
          </w:tcPr>
          <w:p w14:paraId="7FAA6A5E" w14:textId="392A40F9" w:rsidR="004E304A" w:rsidRDefault="004E304A" w:rsidP="004E304A">
            <w:pPr>
              <w:pStyle w:val="tbltext"/>
              <w:jc w:val="center"/>
            </w:pPr>
            <w:r>
              <w:t>2.65</w:t>
            </w:r>
          </w:p>
        </w:tc>
        <w:tc>
          <w:tcPr>
            <w:tcW w:w="463" w:type="pct"/>
          </w:tcPr>
          <w:p w14:paraId="47BFA1F1" w14:textId="3F369719" w:rsidR="004E304A" w:rsidRDefault="004E304A" w:rsidP="004E304A">
            <w:pPr>
              <w:pStyle w:val="tbltext"/>
              <w:jc w:val="center"/>
            </w:pPr>
            <w:r>
              <w:t>80</w:t>
            </w:r>
          </w:p>
        </w:tc>
        <w:tc>
          <w:tcPr>
            <w:tcW w:w="452" w:type="pct"/>
          </w:tcPr>
          <w:p w14:paraId="1DB475E4" w14:textId="1E5C3C29" w:rsidR="004E304A" w:rsidRDefault="004E304A" w:rsidP="004E304A">
            <w:pPr>
              <w:pStyle w:val="tbltext"/>
              <w:jc w:val="center"/>
            </w:pPr>
            <w:r>
              <w:t>2.136</w:t>
            </w:r>
          </w:p>
        </w:tc>
        <w:tc>
          <w:tcPr>
            <w:tcW w:w="366" w:type="pct"/>
          </w:tcPr>
          <w:p w14:paraId="2F1B6F6A" w14:textId="574639CA" w:rsidR="004E304A" w:rsidRDefault="004E304A" w:rsidP="004E304A">
            <w:pPr>
              <w:pStyle w:val="tbltext"/>
              <w:jc w:val="center"/>
            </w:pPr>
            <w:r>
              <w:t>1.48</w:t>
            </w:r>
          </w:p>
        </w:tc>
      </w:tr>
      <w:tr w:rsidR="004E304A" w:rsidRPr="000540E1" w14:paraId="2FBC25B9" w14:textId="77777777" w:rsidTr="00A7040E">
        <w:trPr>
          <w:cantSplit/>
        </w:trPr>
        <w:tc>
          <w:tcPr>
            <w:tcW w:w="916" w:type="pct"/>
          </w:tcPr>
          <w:p w14:paraId="24120F58" w14:textId="17742965" w:rsidR="004E304A" w:rsidRDefault="004E304A" w:rsidP="004E304A">
            <w:pPr>
              <w:pStyle w:val="tbltext"/>
            </w:pPr>
            <w:r>
              <w:t>Option premium payment date</w:t>
            </w:r>
          </w:p>
        </w:tc>
        <w:tc>
          <w:tcPr>
            <w:tcW w:w="2427" w:type="pct"/>
          </w:tcPr>
          <w:p w14:paraId="63E35E4F" w14:textId="61EE0722" w:rsidR="004E304A" w:rsidRDefault="004E304A" w:rsidP="004E304A">
            <w:pPr>
              <w:pStyle w:val="tbltext"/>
            </w:pPr>
            <w:r>
              <w:t xml:space="preserve">{CDE TG} </w:t>
            </w:r>
            <w:r w:rsidRPr="00CE76A4">
              <w:t>Unadjusted date on which the option premium is paid.</w:t>
            </w:r>
          </w:p>
        </w:tc>
        <w:tc>
          <w:tcPr>
            <w:tcW w:w="376" w:type="pct"/>
          </w:tcPr>
          <w:p w14:paraId="24A5F782" w14:textId="76D7BDDF" w:rsidR="004E304A" w:rsidRDefault="004E304A" w:rsidP="004E304A">
            <w:pPr>
              <w:pStyle w:val="tbltext"/>
              <w:jc w:val="center"/>
            </w:pPr>
            <w:r>
              <w:t>2.66</w:t>
            </w:r>
          </w:p>
        </w:tc>
        <w:tc>
          <w:tcPr>
            <w:tcW w:w="463" w:type="pct"/>
          </w:tcPr>
          <w:p w14:paraId="0E1504E8" w14:textId="7547F02D" w:rsidR="004E304A" w:rsidRDefault="004E304A" w:rsidP="004E304A">
            <w:pPr>
              <w:pStyle w:val="tbltext"/>
              <w:jc w:val="center"/>
            </w:pPr>
            <w:r>
              <w:t>81</w:t>
            </w:r>
          </w:p>
        </w:tc>
        <w:tc>
          <w:tcPr>
            <w:tcW w:w="452" w:type="pct"/>
          </w:tcPr>
          <w:p w14:paraId="5769E11E" w14:textId="6E3A72F2" w:rsidR="004E304A" w:rsidRDefault="004E304A" w:rsidP="004E304A">
            <w:pPr>
              <w:pStyle w:val="tbltext"/>
              <w:jc w:val="center"/>
            </w:pPr>
            <w:r>
              <w:t>2.137</w:t>
            </w:r>
          </w:p>
        </w:tc>
        <w:tc>
          <w:tcPr>
            <w:tcW w:w="366" w:type="pct"/>
          </w:tcPr>
          <w:p w14:paraId="13EE1584" w14:textId="71962EB1" w:rsidR="004E304A" w:rsidRDefault="004E304A" w:rsidP="004E304A">
            <w:pPr>
              <w:pStyle w:val="tbltext"/>
              <w:jc w:val="center"/>
            </w:pPr>
            <w:r>
              <w:t>n/a</w:t>
            </w:r>
          </w:p>
        </w:tc>
      </w:tr>
      <w:tr w:rsidR="004E304A" w:rsidRPr="000540E1" w14:paraId="10DC8A91" w14:textId="77777777" w:rsidTr="00A7040E">
        <w:trPr>
          <w:cantSplit/>
        </w:trPr>
        <w:tc>
          <w:tcPr>
            <w:tcW w:w="916" w:type="pct"/>
          </w:tcPr>
          <w:p w14:paraId="0A9AEA10" w14:textId="20F7E294" w:rsidR="004E304A" w:rsidRDefault="004E304A" w:rsidP="004E304A">
            <w:pPr>
              <w:pStyle w:val="tbltext"/>
            </w:pPr>
            <w:r>
              <w:t>Exchange rate</w:t>
            </w:r>
          </w:p>
        </w:tc>
        <w:tc>
          <w:tcPr>
            <w:tcW w:w="2427" w:type="pct"/>
          </w:tcPr>
          <w:p w14:paraId="741218D0" w14:textId="312C2482" w:rsidR="004E304A" w:rsidRDefault="004E304A" w:rsidP="004E304A">
            <w:pPr>
              <w:pStyle w:val="tbltext"/>
            </w:pPr>
            <w:r>
              <w:t xml:space="preserve">{CDE TG} </w:t>
            </w:r>
            <w:r w:rsidRPr="00CE76A4">
              <w:t>Exchange rate between the two different currencies specified in the OTC derivative transaction agreed by the counterparties at the inception of the transaction</w:t>
            </w:r>
            <w:r>
              <w:t>.</w:t>
            </w:r>
          </w:p>
        </w:tc>
        <w:tc>
          <w:tcPr>
            <w:tcW w:w="376" w:type="pct"/>
          </w:tcPr>
          <w:p w14:paraId="754EDBD2" w14:textId="7D6E62DE" w:rsidR="004E304A" w:rsidRDefault="004E304A" w:rsidP="004E304A">
            <w:pPr>
              <w:pStyle w:val="tbltext"/>
              <w:jc w:val="center"/>
            </w:pPr>
            <w:r>
              <w:t>2.68</w:t>
            </w:r>
          </w:p>
        </w:tc>
        <w:tc>
          <w:tcPr>
            <w:tcW w:w="463" w:type="pct"/>
          </w:tcPr>
          <w:p w14:paraId="6D53F5A8" w14:textId="7166BF86" w:rsidR="004E304A" w:rsidRDefault="004E304A" w:rsidP="004E304A">
            <w:pPr>
              <w:pStyle w:val="tbltext"/>
              <w:jc w:val="center"/>
            </w:pPr>
            <w:r>
              <w:t>65</w:t>
            </w:r>
          </w:p>
        </w:tc>
        <w:tc>
          <w:tcPr>
            <w:tcW w:w="452" w:type="pct"/>
          </w:tcPr>
          <w:p w14:paraId="49041D4D" w14:textId="556C55FF" w:rsidR="004E304A" w:rsidRDefault="004E304A" w:rsidP="004E304A">
            <w:pPr>
              <w:pStyle w:val="tbltext"/>
              <w:jc w:val="center"/>
            </w:pPr>
            <w:r>
              <w:t>2.109</w:t>
            </w:r>
          </w:p>
        </w:tc>
        <w:tc>
          <w:tcPr>
            <w:tcW w:w="366" w:type="pct"/>
          </w:tcPr>
          <w:p w14:paraId="3DE4E2C6" w14:textId="6B1FC210" w:rsidR="004E304A" w:rsidRDefault="004E304A" w:rsidP="004E304A">
            <w:pPr>
              <w:pStyle w:val="tbltext"/>
              <w:jc w:val="center"/>
            </w:pPr>
            <w:r>
              <w:t>4.6</w:t>
            </w:r>
          </w:p>
        </w:tc>
      </w:tr>
      <w:tr w:rsidR="004E304A" w:rsidRPr="000540E1" w14:paraId="15E71843" w14:textId="77777777" w:rsidTr="00A7040E">
        <w:trPr>
          <w:cantSplit/>
        </w:trPr>
        <w:tc>
          <w:tcPr>
            <w:tcW w:w="916" w:type="pct"/>
          </w:tcPr>
          <w:p w14:paraId="5AAAC1FA" w14:textId="79BFFF3F" w:rsidR="004E304A" w:rsidRDefault="004E304A" w:rsidP="004E304A">
            <w:pPr>
              <w:pStyle w:val="tbltext"/>
            </w:pPr>
            <w:r>
              <w:t>Exchange rate basis</w:t>
            </w:r>
          </w:p>
        </w:tc>
        <w:tc>
          <w:tcPr>
            <w:tcW w:w="2427" w:type="pct"/>
          </w:tcPr>
          <w:p w14:paraId="63E08D0D" w14:textId="45A491B5" w:rsidR="004E304A" w:rsidRDefault="004E304A" w:rsidP="004E304A">
            <w:pPr>
              <w:pStyle w:val="tbltext"/>
            </w:pPr>
            <w:r>
              <w:t xml:space="preserve">{CDE TG} </w:t>
            </w:r>
            <w:r w:rsidRPr="00297A20">
              <w:t>Currency pair and order in which the exchange rate is denominated, expressed as unit currency/quoted currency.</w:t>
            </w:r>
          </w:p>
        </w:tc>
        <w:tc>
          <w:tcPr>
            <w:tcW w:w="376" w:type="pct"/>
          </w:tcPr>
          <w:p w14:paraId="389027E1" w14:textId="6AE182B1" w:rsidR="004E304A" w:rsidRDefault="004E304A" w:rsidP="004E304A">
            <w:pPr>
              <w:pStyle w:val="tbltext"/>
              <w:jc w:val="center"/>
            </w:pPr>
            <w:r>
              <w:t>2.69</w:t>
            </w:r>
          </w:p>
        </w:tc>
        <w:tc>
          <w:tcPr>
            <w:tcW w:w="463" w:type="pct"/>
          </w:tcPr>
          <w:p w14:paraId="0D56BBC2" w14:textId="37BD1C69" w:rsidR="004E304A" w:rsidRDefault="004E304A" w:rsidP="004E304A">
            <w:pPr>
              <w:pStyle w:val="tbltext"/>
              <w:jc w:val="center"/>
            </w:pPr>
            <w:r>
              <w:t>66</w:t>
            </w:r>
          </w:p>
        </w:tc>
        <w:tc>
          <w:tcPr>
            <w:tcW w:w="452" w:type="pct"/>
          </w:tcPr>
          <w:p w14:paraId="536DACDC" w14:textId="2D91F142" w:rsidR="004E304A" w:rsidRDefault="004E304A" w:rsidP="004E304A">
            <w:pPr>
              <w:pStyle w:val="tbltext"/>
              <w:jc w:val="center"/>
            </w:pPr>
            <w:r>
              <w:t>2.111</w:t>
            </w:r>
          </w:p>
        </w:tc>
        <w:tc>
          <w:tcPr>
            <w:tcW w:w="366" w:type="pct"/>
          </w:tcPr>
          <w:p w14:paraId="318D5448" w14:textId="62958B72" w:rsidR="004E304A" w:rsidRDefault="004E304A" w:rsidP="004E304A">
            <w:pPr>
              <w:pStyle w:val="tbltext"/>
              <w:jc w:val="center"/>
            </w:pPr>
            <w:r>
              <w:t>n/a</w:t>
            </w:r>
          </w:p>
        </w:tc>
      </w:tr>
    </w:tbl>
    <w:p w14:paraId="2ABBA0B9" w14:textId="2DFAC7D2" w:rsidR="004C43EF" w:rsidRDefault="004C43EF" w:rsidP="00942C98">
      <w:pPr>
        <w:pStyle w:val="BodyText"/>
        <w:rPr>
          <w:rFonts w:eastAsiaTheme="minorHAnsi"/>
        </w:rPr>
      </w:pPr>
      <w:r>
        <w:rPr>
          <w:rFonts w:eastAsiaTheme="minorHAnsi"/>
        </w:rPr>
        <w:t xml:space="preserve">In </w:t>
      </w:r>
      <w:r w:rsidR="00D53929">
        <w:rPr>
          <w:rFonts w:eastAsiaTheme="minorHAnsi"/>
        </w:rPr>
        <w:fldChar w:fldCharType="begin"/>
      </w:r>
      <w:r w:rsidR="00D53929">
        <w:rPr>
          <w:rFonts w:eastAsiaTheme="minorHAnsi"/>
        </w:rPr>
        <w:instrText xml:space="preserve"> REF _Ref55994837 \h </w:instrText>
      </w:r>
      <w:r w:rsidR="00D53929">
        <w:rPr>
          <w:rFonts w:eastAsiaTheme="minorHAnsi"/>
        </w:rPr>
      </w:r>
      <w:r w:rsidR="00D53929">
        <w:rPr>
          <w:rFonts w:eastAsiaTheme="minorHAnsi"/>
        </w:rPr>
        <w:fldChar w:fldCharType="separate"/>
      </w:r>
      <w:r w:rsidR="00314C7E">
        <w:t xml:space="preserve">Table </w:t>
      </w:r>
      <w:r w:rsidR="00314C7E">
        <w:rPr>
          <w:noProof/>
        </w:rPr>
        <w:t>18</w:t>
      </w:r>
      <w:r w:rsidR="00D53929">
        <w:rPr>
          <w:rFonts w:eastAsiaTheme="minorHAnsi"/>
        </w:rPr>
        <w:fldChar w:fldCharType="end"/>
      </w:r>
      <w:r>
        <w:rPr>
          <w:rFonts w:eastAsiaTheme="minorHAnsi"/>
        </w:rPr>
        <w:t>, a ‘notation’ data element ‘relates to the manner in which the [data element] is expressed’.</w:t>
      </w:r>
    </w:p>
    <w:p w14:paraId="028A0DFF" w14:textId="7A94AB69" w:rsidR="004C43EF" w:rsidRDefault="004C43EF" w:rsidP="00942C98">
      <w:pPr>
        <w:pStyle w:val="BodyText"/>
        <w:rPr>
          <w:rFonts w:eastAsiaTheme="minorHAnsi"/>
        </w:rPr>
      </w:pPr>
      <w:r>
        <w:rPr>
          <w:rFonts w:eastAsiaTheme="minorHAnsi"/>
        </w:rPr>
        <w:t xml:space="preserve">In the CDE </w:t>
      </w:r>
      <w:r w:rsidR="00E401E1">
        <w:rPr>
          <w:rFonts w:eastAsiaTheme="minorHAnsi"/>
        </w:rPr>
        <w:t>Guidance</w:t>
      </w:r>
      <w:r>
        <w:rPr>
          <w:rFonts w:eastAsiaTheme="minorHAnsi"/>
        </w:rPr>
        <w:t>, ‘notations’ are provided for as a simple schema of:</w:t>
      </w:r>
    </w:p>
    <w:p w14:paraId="755D609D" w14:textId="05534C49" w:rsidR="00942C98" w:rsidRDefault="004C43EF" w:rsidP="004C43EF">
      <w:pPr>
        <w:pStyle w:val="Bodytextplain"/>
        <w:rPr>
          <w:rFonts w:eastAsiaTheme="minorHAnsi"/>
        </w:rPr>
      </w:pPr>
      <w:r>
        <w:rPr>
          <w:rFonts w:eastAsiaTheme="minorHAnsi"/>
        </w:rPr>
        <w:t>1 = a monetary amount</w:t>
      </w:r>
      <w:r>
        <w:rPr>
          <w:rFonts w:eastAsiaTheme="minorHAnsi"/>
        </w:rPr>
        <w:br/>
        <w:t>2 = a percentage</w:t>
      </w:r>
      <w:r w:rsidR="00193DFB">
        <w:rPr>
          <w:rFonts w:eastAsiaTheme="minorHAnsi"/>
        </w:rPr>
        <w:t>—</w:t>
      </w:r>
      <w:r>
        <w:rPr>
          <w:rFonts w:eastAsiaTheme="minorHAnsi"/>
        </w:rPr>
        <w:t>e.g. a rate of 2.57% is expressed as 2.57</w:t>
      </w:r>
      <w:r>
        <w:rPr>
          <w:rFonts w:eastAsiaTheme="minorHAnsi"/>
        </w:rPr>
        <w:br/>
        <w:t>3 = a decimal</w:t>
      </w:r>
      <w:r w:rsidR="00193DFB">
        <w:rPr>
          <w:rFonts w:eastAsiaTheme="minorHAnsi"/>
        </w:rPr>
        <w:t>—</w:t>
      </w:r>
      <w:r>
        <w:rPr>
          <w:rFonts w:eastAsiaTheme="minorHAnsi"/>
        </w:rPr>
        <w:t>e.g. a rate of 2.57% is expressed as 0.0257</w:t>
      </w:r>
      <w:r>
        <w:rPr>
          <w:rFonts w:eastAsiaTheme="minorHAnsi"/>
        </w:rPr>
        <w:br/>
        <w:t>4 = in basis points</w:t>
      </w:r>
      <w:r w:rsidR="00193DFB">
        <w:rPr>
          <w:rFonts w:eastAsiaTheme="minorHAnsi"/>
        </w:rPr>
        <w:t>—</w:t>
      </w:r>
      <w:r>
        <w:rPr>
          <w:rFonts w:eastAsiaTheme="minorHAnsi"/>
        </w:rPr>
        <w:t xml:space="preserve">e.g. </w:t>
      </w:r>
      <w:r w:rsidR="008A7F04">
        <w:rPr>
          <w:rFonts w:eastAsiaTheme="minorHAnsi"/>
        </w:rPr>
        <w:t>a rate of 2.57% is expressed as 257</w:t>
      </w:r>
      <w:r w:rsidR="00D53929">
        <w:rPr>
          <w:rFonts w:eastAsiaTheme="minorHAnsi"/>
        </w:rPr>
        <w:t>.</w:t>
      </w:r>
    </w:p>
    <w:p w14:paraId="69BA4957" w14:textId="4593E102" w:rsidR="005615BC" w:rsidRDefault="006B5B56" w:rsidP="009553EA">
      <w:pPr>
        <w:pStyle w:val="BodyText"/>
        <w:spacing w:line="310" w:lineRule="atLeast"/>
        <w:rPr>
          <w:rFonts w:eastAsiaTheme="minorHAnsi"/>
        </w:rPr>
      </w:pPr>
      <w:r>
        <w:rPr>
          <w:rFonts w:eastAsiaTheme="minorHAnsi"/>
        </w:rPr>
        <w:lastRenderedPageBreak/>
        <w:t xml:space="preserve">Generally, the final CFTC rules preclude the use of percentages and require the use of decimals, whereas the </w:t>
      </w:r>
      <w:r w:rsidR="000127C8">
        <w:rPr>
          <w:rFonts w:eastAsiaTheme="minorHAnsi"/>
        </w:rPr>
        <w:t>ESMA proposals</w:t>
      </w:r>
      <w:r>
        <w:rPr>
          <w:rFonts w:eastAsiaTheme="minorHAnsi"/>
        </w:rPr>
        <w:t xml:space="preserve"> preclude the use of decimal</w:t>
      </w:r>
      <w:r w:rsidR="00D53929">
        <w:rPr>
          <w:rFonts w:eastAsiaTheme="minorHAnsi"/>
        </w:rPr>
        <w:t>s</w:t>
      </w:r>
      <w:r>
        <w:rPr>
          <w:rFonts w:eastAsiaTheme="minorHAnsi"/>
        </w:rPr>
        <w:t xml:space="preserve"> and require the use of percentage</w:t>
      </w:r>
      <w:r w:rsidR="00D53929">
        <w:rPr>
          <w:rFonts w:eastAsiaTheme="minorHAnsi"/>
        </w:rPr>
        <w:t>s</w:t>
      </w:r>
      <w:r>
        <w:rPr>
          <w:rFonts w:eastAsiaTheme="minorHAnsi"/>
        </w:rPr>
        <w:t>.</w:t>
      </w:r>
    </w:p>
    <w:p w14:paraId="2AA8FF2B" w14:textId="3695F846" w:rsidR="006B5B56" w:rsidRDefault="00586958" w:rsidP="009553EA">
      <w:pPr>
        <w:pStyle w:val="BodyText"/>
        <w:spacing w:line="310" w:lineRule="atLeast"/>
        <w:rPr>
          <w:rFonts w:eastAsiaTheme="minorHAnsi"/>
        </w:rPr>
      </w:pPr>
      <w:r>
        <w:rPr>
          <w:rFonts w:eastAsiaTheme="minorHAnsi"/>
        </w:rPr>
        <w:t>W</w:t>
      </w:r>
      <w:r w:rsidR="006B5B56" w:rsidRPr="006B5B56">
        <w:rPr>
          <w:rFonts w:eastAsiaTheme="minorHAnsi"/>
        </w:rPr>
        <w:t xml:space="preserve">e propose to adopt </w:t>
      </w:r>
      <w:r w:rsidR="006B5B56">
        <w:rPr>
          <w:rFonts w:eastAsiaTheme="minorHAnsi"/>
        </w:rPr>
        <w:t>the</w:t>
      </w:r>
      <w:r w:rsidR="006B5B56" w:rsidRPr="006B5B56">
        <w:rPr>
          <w:rFonts w:eastAsiaTheme="minorHAnsi"/>
        </w:rPr>
        <w:t xml:space="preserve"> approach of the final CFTC rules</w:t>
      </w:r>
      <w:r>
        <w:rPr>
          <w:rFonts w:eastAsiaTheme="minorHAnsi"/>
        </w:rPr>
        <w:t xml:space="preserve"> to require the use of decimals and preclude the use of percentages</w:t>
      </w:r>
      <w:r w:rsidR="006B5B56" w:rsidRPr="006B5B56">
        <w:rPr>
          <w:rFonts w:eastAsiaTheme="minorHAnsi"/>
        </w:rPr>
        <w:t>.</w:t>
      </w:r>
    </w:p>
    <w:p w14:paraId="6D7CCBE9" w14:textId="77777777" w:rsidR="002C0998" w:rsidRDefault="002C0998" w:rsidP="005E2C08">
      <w:pPr>
        <w:pStyle w:val="Proposalhead"/>
      </w:pPr>
      <w:r>
        <w:t>Proposal</w:t>
      </w:r>
    </w:p>
    <w:p w14:paraId="67A78BCC" w14:textId="5EFF94C4" w:rsidR="002C0998" w:rsidRDefault="002C0998">
      <w:pPr>
        <w:pStyle w:val="Proposaltext"/>
      </w:pPr>
      <w:r>
        <w:t xml:space="preserve">We propose to include in the ASIC Rules the data elements related to prices set out in </w:t>
      </w:r>
      <w:r w:rsidR="00D53929">
        <w:fldChar w:fldCharType="begin"/>
      </w:r>
      <w:r w:rsidR="00D53929">
        <w:instrText xml:space="preserve"> REF _Ref55994837 \h </w:instrText>
      </w:r>
      <w:r w:rsidR="00D53929">
        <w:fldChar w:fldCharType="separate"/>
      </w:r>
      <w:r w:rsidR="00314C7E">
        <w:t xml:space="preserve">Table </w:t>
      </w:r>
      <w:r w:rsidR="00314C7E">
        <w:rPr>
          <w:noProof/>
        </w:rPr>
        <w:t>18</w:t>
      </w:r>
      <w:r w:rsidR="00D53929">
        <w:fldChar w:fldCharType="end"/>
      </w:r>
      <w:r>
        <w:t>.</w:t>
      </w:r>
    </w:p>
    <w:p w14:paraId="21AB0F84" w14:textId="77777777" w:rsidR="002C0998" w:rsidRDefault="002C0998">
      <w:pPr>
        <w:pStyle w:val="Feedbackhead"/>
      </w:pPr>
      <w:r>
        <w:t>Your feedback</w:t>
      </w:r>
    </w:p>
    <w:p w14:paraId="5B3F63A7" w14:textId="77777777" w:rsidR="002C0998" w:rsidRDefault="002C0998" w:rsidP="002C0998">
      <w:pPr>
        <w:pStyle w:val="Feedbackquestion"/>
      </w:pPr>
      <w:r>
        <w:t>Do you agree with this proposal? In your response, please give detailed reasons for your answer.</w:t>
      </w:r>
    </w:p>
    <w:p w14:paraId="3A7EFED7" w14:textId="2D3C085A" w:rsidR="002C0998" w:rsidRPr="00A829C7" w:rsidRDefault="002C0998" w:rsidP="002C0998">
      <w:pPr>
        <w:pStyle w:val="Feedbackquestion"/>
        <w:rPr>
          <w:spacing w:val="-2"/>
        </w:rPr>
      </w:pPr>
      <w:r w:rsidRPr="00A829C7">
        <w:rPr>
          <w:spacing w:val="-2"/>
        </w:rPr>
        <w:t xml:space="preserve">Do you consider that you will have </w:t>
      </w:r>
      <w:r w:rsidR="00790DEA" w:rsidRPr="00A829C7">
        <w:rPr>
          <w:spacing w:val="-2"/>
        </w:rPr>
        <w:t>particular</w:t>
      </w:r>
      <w:r w:rsidRPr="00A829C7">
        <w:rPr>
          <w:spacing w:val="-2"/>
        </w:rPr>
        <w:t xml:space="preserve"> interpretation or implementation issues with the data elements</w:t>
      </w:r>
      <w:r w:rsidR="00D53929" w:rsidRPr="00A829C7">
        <w:rPr>
          <w:spacing w:val="-2"/>
        </w:rPr>
        <w:t xml:space="preserve"> in </w:t>
      </w:r>
      <w:r w:rsidR="00D53929">
        <w:rPr>
          <w:spacing w:val="-2"/>
        </w:rPr>
        <w:fldChar w:fldCharType="begin"/>
      </w:r>
      <w:r w:rsidR="00D53929">
        <w:rPr>
          <w:spacing w:val="-2"/>
        </w:rPr>
        <w:instrText xml:space="preserve"> REF _Ref55994837 \h </w:instrText>
      </w:r>
      <w:r w:rsidR="00D53929">
        <w:rPr>
          <w:spacing w:val="-2"/>
        </w:rPr>
      </w:r>
      <w:r w:rsidR="00D53929">
        <w:rPr>
          <w:spacing w:val="-2"/>
        </w:rPr>
        <w:fldChar w:fldCharType="separate"/>
      </w:r>
      <w:r w:rsidR="00314C7E">
        <w:t xml:space="preserve">Table </w:t>
      </w:r>
      <w:r w:rsidR="00314C7E">
        <w:rPr>
          <w:noProof/>
        </w:rPr>
        <w:t>18</w:t>
      </w:r>
      <w:r w:rsidR="00D53929">
        <w:rPr>
          <w:spacing w:val="-2"/>
        </w:rPr>
        <w:fldChar w:fldCharType="end"/>
      </w:r>
      <w:r w:rsidRPr="00A829C7">
        <w:rPr>
          <w:spacing w:val="-2"/>
        </w:rPr>
        <w:t>? In your response, please give detailed reasons for your answer.</w:t>
      </w:r>
    </w:p>
    <w:p w14:paraId="70AA6443" w14:textId="23839F20" w:rsidR="00016D4E" w:rsidRDefault="00016D4E" w:rsidP="00016D4E">
      <w:pPr>
        <w:pStyle w:val="Heading3"/>
        <w:rPr>
          <w:rFonts w:eastAsiaTheme="minorHAnsi"/>
        </w:rPr>
      </w:pPr>
      <w:r>
        <w:rPr>
          <w:rFonts w:eastAsiaTheme="minorHAnsi"/>
        </w:rPr>
        <w:t>Other data elements related to price</w:t>
      </w:r>
    </w:p>
    <w:p w14:paraId="51AA7D79" w14:textId="2657B987" w:rsidR="000D606D" w:rsidRPr="006A42C9" w:rsidRDefault="000D606D" w:rsidP="009553EA">
      <w:pPr>
        <w:pStyle w:val="BodyText"/>
        <w:spacing w:line="310" w:lineRule="atLeast"/>
        <w:rPr>
          <w:rFonts w:eastAsiaTheme="minorHAnsi"/>
        </w:rPr>
      </w:pPr>
      <w:r w:rsidRPr="006A42C9">
        <w:rPr>
          <w:rFonts w:eastAsiaTheme="minorHAnsi"/>
        </w:rPr>
        <w:t>We are also considering proposing, in the second round of consultation, the data elements</w:t>
      </w:r>
      <w:r w:rsidR="003109D1">
        <w:rPr>
          <w:rFonts w:eastAsiaTheme="minorHAnsi"/>
        </w:rPr>
        <w:t xml:space="preserve"> </w:t>
      </w:r>
      <w:r w:rsidR="00934A33">
        <w:rPr>
          <w:rFonts w:eastAsiaTheme="minorHAnsi"/>
        </w:rPr>
        <w:t xml:space="preserve">set out </w:t>
      </w:r>
      <w:r w:rsidR="003109D1">
        <w:rPr>
          <w:rFonts w:eastAsiaTheme="minorHAnsi"/>
        </w:rPr>
        <w:t xml:space="preserve">in </w:t>
      </w:r>
      <w:r w:rsidR="003109D1">
        <w:rPr>
          <w:rFonts w:eastAsiaTheme="minorHAnsi"/>
        </w:rPr>
        <w:fldChar w:fldCharType="begin"/>
      </w:r>
      <w:r w:rsidR="003109D1">
        <w:rPr>
          <w:rFonts w:eastAsiaTheme="minorHAnsi"/>
        </w:rPr>
        <w:instrText xml:space="preserve"> REF _Ref55996008 \h </w:instrText>
      </w:r>
      <w:r w:rsidR="003109D1">
        <w:rPr>
          <w:rFonts w:eastAsiaTheme="minorHAnsi"/>
        </w:rPr>
      </w:r>
      <w:r w:rsidR="003109D1">
        <w:rPr>
          <w:rFonts w:eastAsiaTheme="minorHAnsi"/>
        </w:rPr>
        <w:fldChar w:fldCharType="separate"/>
      </w:r>
      <w:r w:rsidR="00314C7E">
        <w:t xml:space="preserve">Table </w:t>
      </w:r>
      <w:r w:rsidR="00314C7E">
        <w:rPr>
          <w:noProof/>
        </w:rPr>
        <w:t>19</w:t>
      </w:r>
      <w:r w:rsidR="003109D1">
        <w:rPr>
          <w:rFonts w:eastAsiaTheme="minorHAnsi"/>
        </w:rPr>
        <w:fldChar w:fldCharType="end"/>
      </w:r>
      <w:r w:rsidRPr="006A42C9">
        <w:rPr>
          <w:rFonts w:eastAsiaTheme="minorHAnsi"/>
        </w:rPr>
        <w:t>.</w:t>
      </w:r>
    </w:p>
    <w:p w14:paraId="53D55BB2" w14:textId="502F02B3" w:rsidR="00016D4E" w:rsidRDefault="000D606D" w:rsidP="009553EA">
      <w:pPr>
        <w:pStyle w:val="BodyText"/>
        <w:spacing w:line="310" w:lineRule="atLeast"/>
        <w:rPr>
          <w:rFonts w:eastAsiaTheme="minorHAnsi"/>
        </w:rPr>
      </w:pPr>
      <w:r>
        <w:rPr>
          <w:rFonts w:eastAsiaTheme="minorHAnsi"/>
        </w:rPr>
        <w:t xml:space="preserve">The CDE </w:t>
      </w:r>
      <w:r w:rsidR="00E401E1">
        <w:rPr>
          <w:rFonts w:eastAsiaTheme="minorHAnsi"/>
        </w:rPr>
        <w:t>Guidance</w:t>
      </w:r>
      <w:r>
        <w:rPr>
          <w:rFonts w:eastAsiaTheme="minorHAnsi"/>
        </w:rPr>
        <w:t xml:space="preserve"> provides for data elements that are ‘schedules’ which detail how a particular data element varies in different time periods over the term of the derivative transaction.</w:t>
      </w:r>
    </w:p>
    <w:p w14:paraId="60355184" w14:textId="6C040289" w:rsidR="000D606D" w:rsidRDefault="000D606D" w:rsidP="009553EA">
      <w:pPr>
        <w:pStyle w:val="Note"/>
        <w:spacing w:line="250" w:lineRule="atLeast"/>
        <w:rPr>
          <w:rFonts w:eastAsiaTheme="minorHAnsi"/>
        </w:rPr>
      </w:pPr>
      <w:r>
        <w:rPr>
          <w:rFonts w:eastAsiaTheme="minorHAnsi"/>
        </w:rPr>
        <w:t xml:space="preserve">Note: </w:t>
      </w:r>
      <w:r w:rsidR="0087734F">
        <w:rPr>
          <w:rFonts w:eastAsiaTheme="minorHAnsi"/>
        </w:rPr>
        <w:t>A ‘schedule’ is a term of a transaction that is agreed between the parties at the time of entering into the transaction and is fixed for the term of the transaction (unless renegotiated during the term). It does not apply to transactions with notional amounts that are condition- or event-dependent.</w:t>
      </w:r>
    </w:p>
    <w:p w14:paraId="70E22F89" w14:textId="638BADBA" w:rsidR="00C7578C" w:rsidRDefault="00C7578C" w:rsidP="009553EA">
      <w:pPr>
        <w:pStyle w:val="BodyText"/>
        <w:spacing w:line="310" w:lineRule="atLeast"/>
        <w:rPr>
          <w:rFonts w:eastAsiaTheme="minorHAnsi"/>
        </w:rPr>
      </w:pPr>
      <w:r>
        <w:rPr>
          <w:rFonts w:eastAsiaTheme="minorHAnsi"/>
        </w:rPr>
        <w:t>A common ‘schedule’ is a notional amount schedule where, for example, the notional amount amortises over the term of the transaction</w:t>
      </w:r>
      <w:r w:rsidR="00193DFB">
        <w:rPr>
          <w:rFonts w:eastAsiaTheme="minorHAnsi"/>
        </w:rPr>
        <w:t>—</w:t>
      </w:r>
      <w:r>
        <w:rPr>
          <w:rFonts w:eastAsiaTheme="minorHAnsi"/>
        </w:rPr>
        <w:t>the data element of a notional amount schedule is discussed under ‘</w:t>
      </w:r>
      <w:r w:rsidR="00CE07FF">
        <w:rPr>
          <w:rFonts w:eastAsiaTheme="minorHAnsi"/>
        </w:rPr>
        <w:t>d</w:t>
      </w:r>
      <w:r>
        <w:rPr>
          <w:rFonts w:eastAsiaTheme="minorHAnsi"/>
        </w:rPr>
        <w:t>ata elements relating to notional amounts and quantities’.</w:t>
      </w:r>
    </w:p>
    <w:p w14:paraId="19C61F30" w14:textId="61B595CD" w:rsidR="00C7578C" w:rsidRDefault="00C7578C" w:rsidP="009553EA">
      <w:pPr>
        <w:pStyle w:val="BodyText"/>
        <w:spacing w:line="310" w:lineRule="atLeast"/>
        <w:rPr>
          <w:rFonts w:eastAsiaTheme="minorHAnsi"/>
        </w:rPr>
      </w:pPr>
      <w:r>
        <w:rPr>
          <w:rFonts w:eastAsiaTheme="minorHAnsi"/>
        </w:rPr>
        <w:t xml:space="preserve">The CDE </w:t>
      </w:r>
      <w:r w:rsidR="00E401E1">
        <w:rPr>
          <w:rFonts w:eastAsiaTheme="minorHAnsi"/>
        </w:rPr>
        <w:t>Guidance</w:t>
      </w:r>
      <w:r>
        <w:rPr>
          <w:rFonts w:eastAsiaTheme="minorHAnsi"/>
        </w:rPr>
        <w:t xml:space="preserve"> also provides for ‘</w:t>
      </w:r>
      <w:r w:rsidR="00CE07FF">
        <w:rPr>
          <w:rFonts w:eastAsiaTheme="minorHAnsi"/>
        </w:rPr>
        <w:t xml:space="preserve">price </w:t>
      </w:r>
      <w:r>
        <w:rPr>
          <w:rFonts w:eastAsiaTheme="minorHAnsi"/>
        </w:rPr>
        <w:t>schedules’ and ‘</w:t>
      </w:r>
      <w:r w:rsidR="00CE07FF">
        <w:rPr>
          <w:rFonts w:eastAsiaTheme="minorHAnsi"/>
        </w:rPr>
        <w:t xml:space="preserve">strike </w:t>
      </w:r>
      <w:r>
        <w:rPr>
          <w:rFonts w:eastAsiaTheme="minorHAnsi"/>
        </w:rPr>
        <w:t xml:space="preserve">price schedules’ as described below. These are adopted in the </w:t>
      </w:r>
      <w:r w:rsidR="000127C8">
        <w:rPr>
          <w:rFonts w:eastAsiaTheme="minorHAnsi"/>
        </w:rPr>
        <w:t>ESMA proposals</w:t>
      </w:r>
      <w:r>
        <w:rPr>
          <w:rFonts w:eastAsiaTheme="minorHAnsi"/>
        </w:rPr>
        <w:t xml:space="preserve"> but not adopted in the final CFTC rules and are not included in the current ASIC rules.</w:t>
      </w:r>
    </w:p>
    <w:p w14:paraId="431A7BEA" w14:textId="372956C7" w:rsidR="00C7578C" w:rsidRDefault="00C7578C" w:rsidP="009553EA">
      <w:pPr>
        <w:pStyle w:val="BodyText"/>
        <w:spacing w:line="310" w:lineRule="atLeast"/>
        <w:rPr>
          <w:rFonts w:eastAsiaTheme="minorHAnsi"/>
        </w:rPr>
      </w:pPr>
      <w:r>
        <w:rPr>
          <w:rFonts w:eastAsiaTheme="minorHAnsi"/>
        </w:rPr>
        <w:t>Whil</w:t>
      </w:r>
      <w:r w:rsidR="00CE07FF">
        <w:rPr>
          <w:rFonts w:eastAsiaTheme="minorHAnsi"/>
        </w:rPr>
        <w:t>e</w:t>
      </w:r>
      <w:r>
        <w:rPr>
          <w:rFonts w:eastAsiaTheme="minorHAnsi"/>
        </w:rPr>
        <w:t xml:space="preserve"> information about a ‘</w:t>
      </w:r>
      <w:r w:rsidR="00CE07FF">
        <w:rPr>
          <w:rFonts w:eastAsiaTheme="minorHAnsi"/>
        </w:rPr>
        <w:t xml:space="preserve">price </w:t>
      </w:r>
      <w:r>
        <w:rPr>
          <w:rFonts w:eastAsiaTheme="minorHAnsi"/>
        </w:rPr>
        <w:t>schedule’ or a ‘</w:t>
      </w:r>
      <w:r w:rsidR="00CE07FF">
        <w:rPr>
          <w:rFonts w:eastAsiaTheme="minorHAnsi"/>
        </w:rPr>
        <w:t xml:space="preserve">strike </w:t>
      </w:r>
      <w:r>
        <w:rPr>
          <w:rFonts w:eastAsiaTheme="minorHAnsi"/>
        </w:rPr>
        <w:t>price schedule’ will more clearly inform the Australian regulators about the terms of a transaction than without that information, if the incidence of such schedules is low</w:t>
      </w:r>
      <w:r w:rsidR="00B03D78">
        <w:rPr>
          <w:rFonts w:eastAsiaTheme="minorHAnsi"/>
        </w:rPr>
        <w:t>, it would appear that each of the parties in the transaction reporting arrangements</w:t>
      </w:r>
      <w:r w:rsidR="00193DFB">
        <w:rPr>
          <w:rFonts w:eastAsiaTheme="minorHAnsi"/>
        </w:rPr>
        <w:t>—</w:t>
      </w:r>
      <w:r w:rsidR="00B03D78">
        <w:rPr>
          <w:rFonts w:eastAsiaTheme="minorHAnsi"/>
        </w:rPr>
        <w:t xml:space="preserve">namely, the </w:t>
      </w:r>
      <w:r w:rsidR="008A5B87">
        <w:rPr>
          <w:rFonts w:eastAsiaTheme="minorHAnsi"/>
        </w:rPr>
        <w:t>reporting entit</w:t>
      </w:r>
      <w:r w:rsidR="00B03D78">
        <w:rPr>
          <w:rFonts w:eastAsiaTheme="minorHAnsi"/>
        </w:rPr>
        <w:t xml:space="preserve">ies, their reporting service </w:t>
      </w:r>
      <w:r w:rsidR="00B03D78">
        <w:rPr>
          <w:rFonts w:eastAsiaTheme="minorHAnsi"/>
        </w:rPr>
        <w:lastRenderedPageBreak/>
        <w:t xml:space="preserve">providers, the </w:t>
      </w:r>
      <w:r w:rsidR="00787D98">
        <w:rPr>
          <w:rFonts w:eastAsiaTheme="minorHAnsi"/>
        </w:rPr>
        <w:t xml:space="preserve">trade repositories </w:t>
      </w:r>
      <w:r w:rsidR="00B03D78">
        <w:rPr>
          <w:rFonts w:eastAsiaTheme="minorHAnsi"/>
        </w:rPr>
        <w:t>and the Australian regulators</w:t>
      </w:r>
      <w:r w:rsidR="00193DFB">
        <w:rPr>
          <w:rFonts w:eastAsiaTheme="minorHAnsi"/>
        </w:rPr>
        <w:t>—</w:t>
      </w:r>
      <w:r w:rsidR="00B03D78">
        <w:rPr>
          <w:rFonts w:eastAsiaTheme="minorHAnsi"/>
        </w:rPr>
        <w:t>would need to ensure that their data handling arrangements accommodate these data elements, even if they are not applicable.</w:t>
      </w:r>
    </w:p>
    <w:p w14:paraId="7E46551B" w14:textId="4FE61AD3" w:rsidR="00B03D78" w:rsidRPr="00274C82" w:rsidRDefault="00B03D78" w:rsidP="00A829C7">
      <w:pPr>
        <w:pStyle w:val="BodyText"/>
        <w:spacing w:line="290" w:lineRule="atLeast"/>
        <w:rPr>
          <w:rFonts w:eastAsiaTheme="minorHAnsi"/>
        </w:rPr>
      </w:pPr>
      <w:r>
        <w:t>Consequently, we seek feedback from stakeholders as to:</w:t>
      </w:r>
    </w:p>
    <w:p w14:paraId="6B3BD7F4" w14:textId="77777777" w:rsidR="00B03D78" w:rsidRDefault="00B03D78" w:rsidP="00A829C7">
      <w:pPr>
        <w:pStyle w:val="subparaa"/>
        <w:spacing w:line="290" w:lineRule="atLeast"/>
        <w:rPr>
          <w:rFonts w:eastAsiaTheme="minorHAnsi"/>
        </w:rPr>
      </w:pPr>
      <w:r>
        <w:rPr>
          <w:rFonts w:eastAsiaTheme="minorHAnsi"/>
        </w:rPr>
        <w:t>the incidence of these types of transactions in their own dealings; and</w:t>
      </w:r>
    </w:p>
    <w:p w14:paraId="043AB600" w14:textId="37D165E4" w:rsidR="00B03D78" w:rsidRDefault="00DC5AAD" w:rsidP="00A829C7">
      <w:pPr>
        <w:pStyle w:val="subparaa"/>
        <w:spacing w:line="290" w:lineRule="atLeast"/>
        <w:rPr>
          <w:rFonts w:eastAsiaTheme="minorHAnsi"/>
        </w:rPr>
      </w:pPr>
      <w:r>
        <w:rPr>
          <w:rFonts w:eastAsiaTheme="minorHAnsi"/>
        </w:rPr>
        <w:t xml:space="preserve">given that we </w:t>
      </w:r>
      <w:r w:rsidR="009C1E8B">
        <w:rPr>
          <w:rFonts w:eastAsiaTheme="minorHAnsi"/>
        </w:rPr>
        <w:t>consider</w:t>
      </w:r>
      <w:r>
        <w:rPr>
          <w:rFonts w:eastAsiaTheme="minorHAnsi"/>
        </w:rPr>
        <w:t xml:space="preserve"> the current ASIC </w:t>
      </w:r>
      <w:r w:rsidR="00CE07FF">
        <w:rPr>
          <w:rFonts w:eastAsiaTheme="minorHAnsi"/>
        </w:rPr>
        <w:t>R</w:t>
      </w:r>
      <w:r>
        <w:rPr>
          <w:rFonts w:eastAsiaTheme="minorHAnsi"/>
        </w:rPr>
        <w:t xml:space="preserve">ules require </w:t>
      </w:r>
      <w:r w:rsidR="00CE07FF">
        <w:rPr>
          <w:rFonts w:eastAsiaTheme="minorHAnsi"/>
        </w:rPr>
        <w:t xml:space="preserve">a </w:t>
      </w:r>
      <w:r>
        <w:rPr>
          <w:rFonts w:eastAsiaTheme="minorHAnsi"/>
        </w:rPr>
        <w:t>change in ‘</w:t>
      </w:r>
      <w:r w:rsidR="00CE07FF">
        <w:rPr>
          <w:rFonts w:eastAsiaTheme="minorHAnsi"/>
        </w:rPr>
        <w:t>p</w:t>
      </w:r>
      <w:r>
        <w:rPr>
          <w:rFonts w:eastAsiaTheme="minorHAnsi"/>
        </w:rPr>
        <w:t>rice’ or ‘</w:t>
      </w:r>
      <w:r w:rsidR="00CE07FF">
        <w:rPr>
          <w:rFonts w:eastAsiaTheme="minorHAnsi"/>
        </w:rPr>
        <w:t>s</w:t>
      </w:r>
      <w:r>
        <w:rPr>
          <w:rFonts w:eastAsiaTheme="minorHAnsi"/>
        </w:rPr>
        <w:t xml:space="preserve">trike price’ </w:t>
      </w:r>
      <w:r w:rsidR="00CE07FF">
        <w:rPr>
          <w:rFonts w:eastAsiaTheme="minorHAnsi"/>
        </w:rPr>
        <w:t xml:space="preserve">to be reported </w:t>
      </w:r>
      <w:r>
        <w:rPr>
          <w:rFonts w:eastAsiaTheme="minorHAnsi"/>
        </w:rPr>
        <w:t>as</w:t>
      </w:r>
      <w:r w:rsidR="00E4390F">
        <w:rPr>
          <w:rFonts w:eastAsiaTheme="minorHAnsi"/>
        </w:rPr>
        <w:t xml:space="preserve"> </w:t>
      </w:r>
      <w:r>
        <w:rPr>
          <w:rFonts w:eastAsiaTheme="minorHAnsi"/>
        </w:rPr>
        <w:t>and</w:t>
      </w:r>
      <w:r w:rsidR="00E4390F">
        <w:rPr>
          <w:rFonts w:eastAsiaTheme="minorHAnsi"/>
        </w:rPr>
        <w:t xml:space="preserve"> </w:t>
      </w:r>
      <w:r>
        <w:rPr>
          <w:rFonts w:eastAsiaTheme="minorHAnsi"/>
        </w:rPr>
        <w:t xml:space="preserve">when it occurs according to a ‘schedule’ as, under </w:t>
      </w:r>
      <w:r w:rsidR="00CE07FF">
        <w:rPr>
          <w:rFonts w:eastAsiaTheme="minorHAnsi"/>
        </w:rPr>
        <w:t>R</w:t>
      </w:r>
      <w:r>
        <w:rPr>
          <w:rFonts w:eastAsiaTheme="minorHAnsi"/>
        </w:rPr>
        <w:t>ule 2.2.2, a reportable change to information previously reported</w:t>
      </w:r>
      <w:r w:rsidR="0006086A">
        <w:rPr>
          <w:rFonts w:ascii="Calibri" w:eastAsiaTheme="minorHAnsi" w:hAnsi="Calibri"/>
        </w:rPr>
        <w:t>—</w:t>
      </w:r>
      <w:r w:rsidR="0006086A">
        <w:rPr>
          <w:rFonts w:eastAsiaTheme="minorHAnsi"/>
        </w:rPr>
        <w:t>whether</w:t>
      </w:r>
      <w:r>
        <w:rPr>
          <w:rFonts w:eastAsiaTheme="minorHAnsi"/>
        </w:rPr>
        <w:t xml:space="preserve"> stakeholders </w:t>
      </w:r>
      <w:r w:rsidR="0006086A">
        <w:rPr>
          <w:rFonts w:eastAsiaTheme="minorHAnsi"/>
        </w:rPr>
        <w:t xml:space="preserve">would prefer </w:t>
      </w:r>
      <w:r>
        <w:rPr>
          <w:rFonts w:eastAsiaTheme="minorHAnsi"/>
        </w:rPr>
        <w:t>to provide this information in their initial transaction report via a ‘schedule’ rather than reporting the changes according to the ‘schedule’.</w:t>
      </w:r>
    </w:p>
    <w:p w14:paraId="0EADFBDE" w14:textId="6BBE8EBE" w:rsidR="006A42C9" w:rsidRDefault="006A42C9" w:rsidP="006A42C9">
      <w:pPr>
        <w:pStyle w:val="BodyText"/>
        <w:rPr>
          <w:rFonts w:eastAsiaTheme="minorHAnsi"/>
        </w:rPr>
      </w:pPr>
      <w:r>
        <w:rPr>
          <w:rFonts w:eastAsiaTheme="minorHAnsi"/>
        </w:rPr>
        <w:t>In relation to ‘</w:t>
      </w:r>
      <w:r w:rsidR="00CE07FF">
        <w:rPr>
          <w:rFonts w:eastAsiaTheme="minorHAnsi"/>
        </w:rPr>
        <w:t>f</w:t>
      </w:r>
      <w:r>
        <w:rPr>
          <w:rFonts w:eastAsiaTheme="minorHAnsi"/>
        </w:rPr>
        <w:t>irst exercise date’, the CDE Guidance definition explains that the value in this data element is the same as ‘</w:t>
      </w:r>
      <w:r w:rsidR="003D625D">
        <w:rPr>
          <w:rFonts w:eastAsiaTheme="minorHAnsi"/>
        </w:rPr>
        <w:t xml:space="preserve">expiration </w:t>
      </w:r>
      <w:r>
        <w:rPr>
          <w:rFonts w:eastAsiaTheme="minorHAnsi"/>
        </w:rPr>
        <w:t>date’ for a European-style option and is the date within ‘</w:t>
      </w:r>
      <w:r w:rsidR="003D625D">
        <w:rPr>
          <w:rFonts w:eastAsiaTheme="minorHAnsi"/>
        </w:rPr>
        <w:t xml:space="preserve">execution </w:t>
      </w:r>
      <w:r>
        <w:rPr>
          <w:rFonts w:eastAsiaTheme="minorHAnsi"/>
        </w:rPr>
        <w:t xml:space="preserve">timestamp’ for an American-style option. </w:t>
      </w:r>
      <w:r w:rsidRPr="006A42C9">
        <w:rPr>
          <w:rFonts w:eastAsiaTheme="minorHAnsi"/>
        </w:rPr>
        <w:t>For knock-in options, where the first exercise date is not known when a new transaction is reported, the first exercise date is updated as it becomes available.</w:t>
      </w:r>
    </w:p>
    <w:p w14:paraId="25FA0507" w14:textId="0877118D" w:rsidR="00992161" w:rsidRPr="006464EB" w:rsidRDefault="00992161" w:rsidP="006A42C9">
      <w:pPr>
        <w:pStyle w:val="BodyText"/>
        <w:rPr>
          <w:rFonts w:eastAsiaTheme="minorHAnsi"/>
        </w:rPr>
      </w:pPr>
      <w:r>
        <w:rPr>
          <w:rFonts w:eastAsiaTheme="minorHAnsi"/>
        </w:rPr>
        <w:t xml:space="preserve">Otherwise, this data element clarifies the risk profile for options that are neither European-style nor American-style, such as Bermudan-style options. We seek feedback from </w:t>
      </w:r>
      <w:r>
        <w:t>stakeholders about including this data element in the ASIC Rules, including the incidence of options transactions in their own dealings that would require reporting of a value for this data element that is not otherwise reported in another data element.</w:t>
      </w:r>
    </w:p>
    <w:p w14:paraId="3F6E2C85" w14:textId="4D03A5C9" w:rsidR="00DF345B" w:rsidRPr="004857CC" w:rsidRDefault="00DF345B" w:rsidP="00DF345B">
      <w:pPr>
        <w:pStyle w:val="tabletitlefullwidth"/>
      </w:pPr>
      <w:bookmarkStart w:id="116" w:name="_Ref55996008"/>
      <w:r>
        <w:t xml:space="preserve">Table </w:t>
      </w:r>
      <w:r w:rsidR="007055A5">
        <w:fldChar w:fldCharType="begin"/>
      </w:r>
      <w:r w:rsidR="007055A5">
        <w:instrText xml:space="preserve"> SEQ Table \* ARABIC </w:instrText>
      </w:r>
      <w:r w:rsidR="007055A5">
        <w:fldChar w:fldCharType="separate"/>
      </w:r>
      <w:r w:rsidR="00314C7E">
        <w:rPr>
          <w:noProof/>
        </w:rPr>
        <w:t>19</w:t>
      </w:r>
      <w:r w:rsidR="007055A5">
        <w:rPr>
          <w:noProof/>
        </w:rPr>
        <w:fldChar w:fldCharType="end"/>
      </w:r>
      <w:bookmarkEnd w:id="116"/>
      <w:r>
        <w:t>:</w:t>
      </w:r>
      <w:r>
        <w:tab/>
      </w:r>
      <w:r w:rsidR="00C7578C">
        <w:t>Data elements to be considered for proposal in</w:t>
      </w:r>
      <w:r w:rsidR="00E30A53">
        <w:t xml:space="preserve"> second</w:t>
      </w:r>
      <w:r w:rsidR="00C7578C">
        <w:t xml:space="preserve"> round </w:t>
      </w:r>
      <w:r w:rsidR="00E30A53">
        <w:t>of</w:t>
      </w:r>
      <w:r w:rsidR="00C7578C">
        <w:t xml:space="preserve"> consultation</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2"/>
        <w:gridCol w:w="4434"/>
        <w:gridCol w:w="728"/>
        <w:gridCol w:w="727"/>
        <w:gridCol w:w="737"/>
        <w:gridCol w:w="709"/>
      </w:tblGrid>
      <w:tr w:rsidR="00016D4E" w:rsidRPr="000540E1" w14:paraId="1E02F0DC" w14:textId="77777777" w:rsidTr="00FE69BD">
        <w:trPr>
          <w:cantSplit/>
          <w:tblHeader/>
        </w:trPr>
        <w:tc>
          <w:tcPr>
            <w:tcW w:w="942" w:type="pct"/>
            <w:shd w:val="clear" w:color="auto" w:fill="C2E3FA"/>
          </w:tcPr>
          <w:p w14:paraId="0CB82E81" w14:textId="77777777" w:rsidR="00016D4E" w:rsidRDefault="00016D4E" w:rsidP="00FE69BD">
            <w:pPr>
              <w:pStyle w:val="tablehead"/>
            </w:pPr>
          </w:p>
        </w:tc>
        <w:tc>
          <w:tcPr>
            <w:tcW w:w="2453" w:type="pct"/>
            <w:shd w:val="clear" w:color="auto" w:fill="C2E3FA"/>
          </w:tcPr>
          <w:p w14:paraId="10DCC35D" w14:textId="77777777" w:rsidR="00016D4E" w:rsidRDefault="00016D4E" w:rsidP="00FE69BD">
            <w:pPr>
              <w:pStyle w:val="tablehead"/>
            </w:pPr>
          </w:p>
        </w:tc>
        <w:tc>
          <w:tcPr>
            <w:tcW w:w="1605" w:type="pct"/>
            <w:gridSpan w:val="4"/>
            <w:shd w:val="clear" w:color="auto" w:fill="C2E3FA"/>
          </w:tcPr>
          <w:p w14:paraId="003F789E" w14:textId="7F060E95" w:rsidR="00016D4E" w:rsidRPr="000540E1" w:rsidRDefault="001156A2" w:rsidP="00FE69BD">
            <w:pPr>
              <w:pStyle w:val="tablehead"/>
              <w:jc w:val="center"/>
            </w:pPr>
            <w:r>
              <w:t>Element</w:t>
            </w:r>
            <w:r w:rsidR="00016D4E">
              <w:t xml:space="preserve"> number references</w:t>
            </w:r>
          </w:p>
        </w:tc>
      </w:tr>
      <w:tr w:rsidR="00156898" w:rsidRPr="000540E1" w14:paraId="071A1A13" w14:textId="77777777" w:rsidTr="00FE69BD">
        <w:trPr>
          <w:cantSplit/>
          <w:tblHeader/>
        </w:trPr>
        <w:tc>
          <w:tcPr>
            <w:tcW w:w="942" w:type="pct"/>
            <w:shd w:val="clear" w:color="auto" w:fill="C2E3FA"/>
          </w:tcPr>
          <w:p w14:paraId="71DEE8E2" w14:textId="77777777" w:rsidR="00016D4E" w:rsidRDefault="00016D4E" w:rsidP="00FE69BD">
            <w:pPr>
              <w:pStyle w:val="tablehead"/>
            </w:pPr>
            <w:r>
              <w:t>Data element</w:t>
            </w:r>
          </w:p>
        </w:tc>
        <w:tc>
          <w:tcPr>
            <w:tcW w:w="2453" w:type="pct"/>
            <w:shd w:val="clear" w:color="auto" w:fill="C2E3FA"/>
          </w:tcPr>
          <w:p w14:paraId="0F9920D6" w14:textId="3A5FE5C4" w:rsidR="00016D4E" w:rsidRDefault="00277807" w:rsidP="00FE69BD">
            <w:pPr>
              <w:pStyle w:val="tablehead"/>
            </w:pPr>
            <w:r>
              <w:t>Definition</w:t>
            </w:r>
            <w:r w:rsidR="00193DFB">
              <w:t>—</w:t>
            </w:r>
            <w:r w:rsidR="0006086A">
              <w:t>S</w:t>
            </w:r>
            <w:r>
              <w:t>ummary of key points</w:t>
            </w:r>
          </w:p>
        </w:tc>
        <w:tc>
          <w:tcPr>
            <w:tcW w:w="403" w:type="pct"/>
            <w:shd w:val="clear" w:color="auto" w:fill="C2E3FA"/>
          </w:tcPr>
          <w:p w14:paraId="008D799A" w14:textId="5E1062C1" w:rsidR="00016D4E" w:rsidRPr="000540E1" w:rsidRDefault="00016D4E" w:rsidP="00FE69BD">
            <w:pPr>
              <w:pStyle w:val="tablehead"/>
              <w:jc w:val="center"/>
            </w:pPr>
            <w:r>
              <w:t>CDE</w:t>
            </w:r>
          </w:p>
        </w:tc>
        <w:tc>
          <w:tcPr>
            <w:tcW w:w="402" w:type="pct"/>
            <w:shd w:val="clear" w:color="auto" w:fill="C2E3FA"/>
          </w:tcPr>
          <w:p w14:paraId="4E7EC3D7" w14:textId="77777777" w:rsidR="00016D4E" w:rsidRPr="000540E1" w:rsidRDefault="00016D4E" w:rsidP="00FE69BD">
            <w:pPr>
              <w:pStyle w:val="tablehead"/>
              <w:jc w:val="center"/>
            </w:pPr>
            <w:r>
              <w:t>CFTC</w:t>
            </w:r>
          </w:p>
        </w:tc>
        <w:tc>
          <w:tcPr>
            <w:tcW w:w="408" w:type="pct"/>
            <w:shd w:val="clear" w:color="auto" w:fill="C2E3FA"/>
          </w:tcPr>
          <w:p w14:paraId="702BE01A" w14:textId="1602C518" w:rsidR="00016D4E" w:rsidRPr="000540E1" w:rsidRDefault="005C1566" w:rsidP="00FE69BD">
            <w:pPr>
              <w:pStyle w:val="tablehead"/>
              <w:jc w:val="center"/>
            </w:pPr>
            <w:r>
              <w:t>ESMA</w:t>
            </w:r>
          </w:p>
        </w:tc>
        <w:tc>
          <w:tcPr>
            <w:tcW w:w="392" w:type="pct"/>
            <w:shd w:val="clear" w:color="auto" w:fill="C2E3FA"/>
          </w:tcPr>
          <w:p w14:paraId="5E41384F" w14:textId="77777777" w:rsidR="00016D4E" w:rsidRPr="000540E1" w:rsidRDefault="00016D4E" w:rsidP="00FE69BD">
            <w:pPr>
              <w:pStyle w:val="tablehead"/>
              <w:jc w:val="center"/>
            </w:pPr>
            <w:r>
              <w:t>ASIC</w:t>
            </w:r>
          </w:p>
        </w:tc>
      </w:tr>
      <w:tr w:rsidR="004E304A" w:rsidRPr="000540E1" w14:paraId="5CC44EA4" w14:textId="77777777" w:rsidTr="00FE69BD">
        <w:trPr>
          <w:cantSplit/>
        </w:trPr>
        <w:tc>
          <w:tcPr>
            <w:tcW w:w="942" w:type="pct"/>
          </w:tcPr>
          <w:p w14:paraId="0F67098C" w14:textId="3A5E02EE" w:rsidR="004E304A" w:rsidRPr="000540E1" w:rsidRDefault="004E304A" w:rsidP="004E304A">
            <w:pPr>
              <w:pStyle w:val="tbltext"/>
            </w:pPr>
            <w:r>
              <w:t>Price schedule</w:t>
            </w:r>
          </w:p>
        </w:tc>
        <w:tc>
          <w:tcPr>
            <w:tcW w:w="2453" w:type="pct"/>
          </w:tcPr>
          <w:p w14:paraId="7A48750E" w14:textId="77777777" w:rsidR="004E304A" w:rsidRDefault="004E304A" w:rsidP="004E304A">
            <w:pPr>
              <w:pStyle w:val="tbltext"/>
            </w:pPr>
            <w:r>
              <w:t>{CDE TG} For OTC derivative transactions with prices varying throughout the life of the transaction:</w:t>
            </w:r>
          </w:p>
          <w:p w14:paraId="7EE5EDA3" w14:textId="0BFE61CE" w:rsidR="004E304A" w:rsidRPr="000540E1" w:rsidRDefault="004E304A" w:rsidP="004E304A">
            <w:pPr>
              <w:pStyle w:val="tbltext"/>
            </w:pPr>
            <w:r>
              <w:t xml:space="preserve">a schedule of periods with start date, end date and </w:t>
            </w:r>
            <w:r w:rsidR="003D625D">
              <w:t xml:space="preserve">price </w:t>
            </w:r>
            <w:r>
              <w:t>prevailing in the period</w:t>
            </w:r>
            <w:r w:rsidR="003D625D">
              <w:t>.</w:t>
            </w:r>
          </w:p>
        </w:tc>
        <w:tc>
          <w:tcPr>
            <w:tcW w:w="403" w:type="pct"/>
          </w:tcPr>
          <w:p w14:paraId="623C9D02" w14:textId="77777777" w:rsidR="004E304A" w:rsidRDefault="004E304A" w:rsidP="004E304A">
            <w:pPr>
              <w:pStyle w:val="tbltext"/>
              <w:jc w:val="center"/>
            </w:pPr>
            <w:r>
              <w:t>2.54.1</w:t>
            </w:r>
          </w:p>
          <w:p w14:paraId="200C4EFF" w14:textId="77777777" w:rsidR="004E304A" w:rsidRDefault="004E304A" w:rsidP="004E304A">
            <w:pPr>
              <w:pStyle w:val="tbltext"/>
              <w:jc w:val="center"/>
            </w:pPr>
            <w:r>
              <w:t>2.54.2</w:t>
            </w:r>
          </w:p>
          <w:p w14:paraId="55DA85BE" w14:textId="350C8952" w:rsidR="004E304A" w:rsidRPr="000540E1" w:rsidRDefault="004E304A" w:rsidP="004E304A">
            <w:pPr>
              <w:pStyle w:val="tbltext"/>
              <w:jc w:val="center"/>
            </w:pPr>
            <w:r>
              <w:t>2.54.3</w:t>
            </w:r>
          </w:p>
        </w:tc>
        <w:tc>
          <w:tcPr>
            <w:tcW w:w="402" w:type="pct"/>
          </w:tcPr>
          <w:p w14:paraId="3B49A9DB" w14:textId="6A3325A2" w:rsidR="004E304A" w:rsidRPr="000540E1" w:rsidRDefault="004E304A" w:rsidP="004E304A">
            <w:pPr>
              <w:pStyle w:val="tbltext"/>
              <w:jc w:val="center"/>
            </w:pPr>
            <w:r>
              <w:t>n/a</w:t>
            </w:r>
          </w:p>
        </w:tc>
        <w:tc>
          <w:tcPr>
            <w:tcW w:w="408" w:type="pct"/>
          </w:tcPr>
          <w:p w14:paraId="0B2DAA82" w14:textId="77777777" w:rsidR="004E304A" w:rsidRDefault="004E304A" w:rsidP="004E304A">
            <w:pPr>
              <w:pStyle w:val="tbltext"/>
              <w:jc w:val="center"/>
            </w:pPr>
            <w:r>
              <w:t>2.45</w:t>
            </w:r>
          </w:p>
          <w:p w14:paraId="5A8D4FEF" w14:textId="77777777" w:rsidR="004E304A" w:rsidRDefault="004E304A" w:rsidP="004E304A">
            <w:pPr>
              <w:pStyle w:val="tbltext"/>
              <w:jc w:val="center"/>
            </w:pPr>
            <w:r>
              <w:t>2.46</w:t>
            </w:r>
          </w:p>
          <w:p w14:paraId="14061C9D" w14:textId="6E6FB428" w:rsidR="004E304A" w:rsidRPr="000540E1" w:rsidRDefault="004E304A" w:rsidP="004E304A">
            <w:pPr>
              <w:pStyle w:val="tbltext"/>
              <w:jc w:val="center"/>
            </w:pPr>
            <w:r>
              <w:t>2.47</w:t>
            </w:r>
          </w:p>
        </w:tc>
        <w:tc>
          <w:tcPr>
            <w:tcW w:w="392" w:type="pct"/>
          </w:tcPr>
          <w:p w14:paraId="79A22722" w14:textId="45E5FF09" w:rsidR="004E304A" w:rsidRPr="000540E1" w:rsidRDefault="004E304A" w:rsidP="004E304A">
            <w:pPr>
              <w:pStyle w:val="tbltext"/>
              <w:jc w:val="center"/>
            </w:pPr>
            <w:r>
              <w:t>n/a</w:t>
            </w:r>
          </w:p>
        </w:tc>
      </w:tr>
      <w:tr w:rsidR="004E304A" w:rsidRPr="000540E1" w14:paraId="084FDDF5" w14:textId="77777777" w:rsidTr="00FE69BD">
        <w:trPr>
          <w:cantSplit/>
        </w:trPr>
        <w:tc>
          <w:tcPr>
            <w:tcW w:w="942" w:type="pct"/>
          </w:tcPr>
          <w:p w14:paraId="09F8892B" w14:textId="57EAD646" w:rsidR="004E304A" w:rsidRPr="000540E1" w:rsidRDefault="004E304A" w:rsidP="004E304A">
            <w:pPr>
              <w:pStyle w:val="tbltext"/>
            </w:pPr>
            <w:r>
              <w:t>Strike price schedule</w:t>
            </w:r>
          </w:p>
        </w:tc>
        <w:tc>
          <w:tcPr>
            <w:tcW w:w="2453" w:type="pct"/>
          </w:tcPr>
          <w:p w14:paraId="1EB2FF1E" w14:textId="77777777" w:rsidR="004E304A" w:rsidRDefault="004E304A" w:rsidP="004E304A">
            <w:pPr>
              <w:pStyle w:val="tbltext"/>
            </w:pPr>
            <w:r>
              <w:t>{CDE TG} For OTC derivative transactions with prices varying throughout the life of the transaction:</w:t>
            </w:r>
          </w:p>
          <w:p w14:paraId="1770072E" w14:textId="38FAC7E5" w:rsidR="004E304A" w:rsidRPr="000540E1" w:rsidRDefault="004E304A" w:rsidP="004E304A">
            <w:pPr>
              <w:pStyle w:val="tbltext"/>
            </w:pPr>
            <w:r>
              <w:t xml:space="preserve">a schedule of periods with start date, end date and </w:t>
            </w:r>
            <w:r w:rsidR="003D625D">
              <w:t xml:space="preserve">strike </w:t>
            </w:r>
            <w:r>
              <w:t>price prevailing in the period.</w:t>
            </w:r>
          </w:p>
        </w:tc>
        <w:tc>
          <w:tcPr>
            <w:tcW w:w="403" w:type="pct"/>
          </w:tcPr>
          <w:p w14:paraId="0D22512E" w14:textId="77777777" w:rsidR="004E304A" w:rsidRDefault="004E304A" w:rsidP="004E304A">
            <w:pPr>
              <w:pStyle w:val="tbltext"/>
              <w:jc w:val="center"/>
            </w:pPr>
            <w:r>
              <w:t>2.63.1</w:t>
            </w:r>
          </w:p>
          <w:p w14:paraId="1E84829D" w14:textId="77777777" w:rsidR="004E304A" w:rsidRDefault="004E304A" w:rsidP="004E304A">
            <w:pPr>
              <w:pStyle w:val="tbltext"/>
              <w:jc w:val="center"/>
            </w:pPr>
            <w:r>
              <w:t>2.63.2</w:t>
            </w:r>
          </w:p>
          <w:p w14:paraId="3FD02FF6" w14:textId="43E38BFF" w:rsidR="004E304A" w:rsidRPr="000540E1" w:rsidRDefault="004E304A" w:rsidP="004E304A">
            <w:pPr>
              <w:pStyle w:val="tbltext"/>
              <w:jc w:val="center"/>
            </w:pPr>
            <w:r>
              <w:t>2.63.3</w:t>
            </w:r>
          </w:p>
        </w:tc>
        <w:tc>
          <w:tcPr>
            <w:tcW w:w="402" w:type="pct"/>
          </w:tcPr>
          <w:p w14:paraId="30CCD40F" w14:textId="14533330" w:rsidR="004E304A" w:rsidRPr="000540E1" w:rsidRDefault="004E304A" w:rsidP="004E304A">
            <w:pPr>
              <w:pStyle w:val="tbltext"/>
              <w:jc w:val="center"/>
            </w:pPr>
            <w:r>
              <w:t>n/a</w:t>
            </w:r>
          </w:p>
        </w:tc>
        <w:tc>
          <w:tcPr>
            <w:tcW w:w="408" w:type="pct"/>
          </w:tcPr>
          <w:p w14:paraId="3CF023F5" w14:textId="67E1570A" w:rsidR="004E304A" w:rsidRDefault="004E304A" w:rsidP="004E304A">
            <w:pPr>
              <w:pStyle w:val="tbltext"/>
              <w:jc w:val="center"/>
            </w:pPr>
            <w:r>
              <w:t>2.131</w:t>
            </w:r>
          </w:p>
          <w:p w14:paraId="63A0460B" w14:textId="2F94C654" w:rsidR="004E304A" w:rsidRDefault="004E304A" w:rsidP="004E304A">
            <w:pPr>
              <w:pStyle w:val="tbltext"/>
              <w:jc w:val="center"/>
            </w:pPr>
            <w:r>
              <w:t>2.132</w:t>
            </w:r>
          </w:p>
          <w:p w14:paraId="16ABFE3F" w14:textId="0D7368DD" w:rsidR="004E304A" w:rsidRPr="000540E1" w:rsidRDefault="004E304A" w:rsidP="004E304A">
            <w:pPr>
              <w:pStyle w:val="tbltext"/>
              <w:jc w:val="center"/>
            </w:pPr>
            <w:r>
              <w:t>2.133</w:t>
            </w:r>
          </w:p>
        </w:tc>
        <w:tc>
          <w:tcPr>
            <w:tcW w:w="392" w:type="pct"/>
          </w:tcPr>
          <w:p w14:paraId="5F458017" w14:textId="27817A8C" w:rsidR="004E304A" w:rsidRPr="000540E1" w:rsidRDefault="004E304A" w:rsidP="004E304A">
            <w:pPr>
              <w:pStyle w:val="tbltext"/>
              <w:jc w:val="center"/>
            </w:pPr>
            <w:r>
              <w:t>n/a</w:t>
            </w:r>
          </w:p>
        </w:tc>
      </w:tr>
      <w:tr w:rsidR="004E304A" w:rsidRPr="000540E1" w14:paraId="7C9541C4" w14:textId="77777777" w:rsidTr="00FE69BD">
        <w:trPr>
          <w:cantSplit/>
        </w:trPr>
        <w:tc>
          <w:tcPr>
            <w:tcW w:w="942" w:type="pct"/>
          </w:tcPr>
          <w:p w14:paraId="7209DD31" w14:textId="4541DD4B" w:rsidR="004E304A" w:rsidRPr="000540E1" w:rsidRDefault="004E304A" w:rsidP="004E304A">
            <w:pPr>
              <w:pStyle w:val="tbltext"/>
            </w:pPr>
            <w:r>
              <w:t>First exercise date</w:t>
            </w:r>
          </w:p>
        </w:tc>
        <w:tc>
          <w:tcPr>
            <w:tcW w:w="2453" w:type="pct"/>
          </w:tcPr>
          <w:p w14:paraId="7F77850D" w14:textId="4901292A" w:rsidR="004E304A" w:rsidRPr="000540E1" w:rsidRDefault="004E304A" w:rsidP="004E304A">
            <w:pPr>
              <w:pStyle w:val="tbltext"/>
            </w:pPr>
            <w:r>
              <w:t>{CDE TG} First unadjusted date during the exercise period in which an option can be exercised.</w:t>
            </w:r>
          </w:p>
        </w:tc>
        <w:tc>
          <w:tcPr>
            <w:tcW w:w="403" w:type="pct"/>
          </w:tcPr>
          <w:p w14:paraId="2738456D" w14:textId="091B6D29" w:rsidR="004E304A" w:rsidRPr="000540E1" w:rsidRDefault="004E304A" w:rsidP="004E304A">
            <w:pPr>
              <w:pStyle w:val="tbltext"/>
              <w:jc w:val="center"/>
            </w:pPr>
            <w:r>
              <w:t>2.67</w:t>
            </w:r>
          </w:p>
        </w:tc>
        <w:tc>
          <w:tcPr>
            <w:tcW w:w="402" w:type="pct"/>
          </w:tcPr>
          <w:p w14:paraId="34CC2A42" w14:textId="760DBACB" w:rsidR="004E304A" w:rsidRPr="000540E1" w:rsidRDefault="004E304A" w:rsidP="004E304A">
            <w:pPr>
              <w:pStyle w:val="tbltext"/>
              <w:jc w:val="center"/>
            </w:pPr>
            <w:r>
              <w:t>82</w:t>
            </w:r>
          </w:p>
        </w:tc>
        <w:tc>
          <w:tcPr>
            <w:tcW w:w="408" w:type="pct"/>
          </w:tcPr>
          <w:p w14:paraId="177E00A5" w14:textId="69508525" w:rsidR="004E304A" w:rsidRPr="000540E1" w:rsidRDefault="004E304A" w:rsidP="004E304A">
            <w:pPr>
              <w:pStyle w:val="tbltext"/>
              <w:jc w:val="center"/>
            </w:pPr>
            <w:r>
              <w:t>n/a</w:t>
            </w:r>
          </w:p>
        </w:tc>
        <w:tc>
          <w:tcPr>
            <w:tcW w:w="392" w:type="pct"/>
          </w:tcPr>
          <w:p w14:paraId="57EB652D" w14:textId="44C5BF3A" w:rsidR="004E304A" w:rsidRPr="000540E1" w:rsidRDefault="004E304A" w:rsidP="004E304A">
            <w:pPr>
              <w:pStyle w:val="tbltext"/>
              <w:jc w:val="center"/>
            </w:pPr>
            <w:r>
              <w:t>n/a</w:t>
            </w:r>
          </w:p>
        </w:tc>
      </w:tr>
    </w:tbl>
    <w:p w14:paraId="0422ACCB" w14:textId="77777777" w:rsidR="005814D2" w:rsidRDefault="005814D2" w:rsidP="00B82477">
      <w:pPr>
        <w:pStyle w:val="Proposalhead"/>
      </w:pPr>
      <w:r>
        <w:lastRenderedPageBreak/>
        <w:t>Proposal</w:t>
      </w:r>
    </w:p>
    <w:p w14:paraId="3C2FD6FF" w14:textId="35815F50" w:rsidR="005814D2" w:rsidRDefault="005814D2" w:rsidP="00136CC5">
      <w:pPr>
        <w:pStyle w:val="Proposaltext"/>
        <w:spacing w:before="220" w:line="270" w:lineRule="atLeast"/>
      </w:pPr>
      <w:r>
        <w:t xml:space="preserve">We are considering </w:t>
      </w:r>
      <w:r w:rsidRPr="00973135">
        <w:rPr>
          <w:rFonts w:eastAsiaTheme="minorHAnsi"/>
        </w:rPr>
        <w:t xml:space="preserve">proposing, in the second round of consultation, </w:t>
      </w:r>
      <w:r>
        <w:rPr>
          <w:rFonts w:eastAsiaTheme="minorHAnsi"/>
        </w:rPr>
        <w:t xml:space="preserve">to include in the ASIC Rules the </w:t>
      </w:r>
      <w:r w:rsidRPr="00973135">
        <w:rPr>
          <w:rFonts w:eastAsiaTheme="minorHAnsi"/>
        </w:rPr>
        <w:t>data element</w:t>
      </w:r>
      <w:r>
        <w:rPr>
          <w:rFonts w:eastAsiaTheme="minorHAnsi"/>
        </w:rPr>
        <w:t xml:space="preserve">s </w:t>
      </w:r>
      <w:r>
        <w:t xml:space="preserve">related to </w:t>
      </w:r>
      <w:r w:rsidR="00C34373">
        <w:t>prices</w:t>
      </w:r>
      <w:r>
        <w:t xml:space="preserve"> set out in </w:t>
      </w:r>
      <w:r w:rsidR="003D625D">
        <w:fldChar w:fldCharType="begin"/>
      </w:r>
      <w:r w:rsidR="003D625D">
        <w:instrText xml:space="preserve"> REF _Ref55996008 \h </w:instrText>
      </w:r>
      <w:r w:rsidR="003D625D">
        <w:fldChar w:fldCharType="separate"/>
      </w:r>
      <w:r w:rsidR="00314C7E">
        <w:t xml:space="preserve">Table </w:t>
      </w:r>
      <w:r w:rsidR="00314C7E">
        <w:rPr>
          <w:noProof/>
        </w:rPr>
        <w:t>19</w:t>
      </w:r>
      <w:r w:rsidR="003D625D">
        <w:fldChar w:fldCharType="end"/>
      </w:r>
      <w:r>
        <w:t>.</w:t>
      </w:r>
    </w:p>
    <w:p w14:paraId="1257D5D2" w14:textId="77777777" w:rsidR="005814D2" w:rsidRDefault="005814D2" w:rsidP="005814D2">
      <w:pPr>
        <w:pStyle w:val="Feedbackhead"/>
      </w:pPr>
      <w:r>
        <w:t>Your feedback</w:t>
      </w:r>
    </w:p>
    <w:p w14:paraId="42103DE1" w14:textId="06A0C255" w:rsidR="005814D2" w:rsidRDefault="005814D2" w:rsidP="00136CC5">
      <w:pPr>
        <w:pStyle w:val="Feedbackquestion"/>
        <w:spacing w:before="120" w:line="270" w:lineRule="atLeast"/>
      </w:pPr>
      <w:r>
        <w:t xml:space="preserve">Do you agree that we should consider </w:t>
      </w:r>
      <w:r w:rsidR="005D44B3">
        <w:t xml:space="preserve">a </w:t>
      </w:r>
      <w:r>
        <w:t>propos</w:t>
      </w:r>
      <w:r w:rsidR="005D44B3">
        <w:t>al</w:t>
      </w:r>
      <w:r>
        <w:t>, in the second round of consultation, to include these data elements in the ASIC Rules? In your response, please give detailed reasons for your answer.</w:t>
      </w:r>
    </w:p>
    <w:p w14:paraId="21287169" w14:textId="5D6CFF94" w:rsidR="00C36DE7" w:rsidRDefault="00C36DE7" w:rsidP="00136CC5">
      <w:pPr>
        <w:pStyle w:val="Feedbackquestion"/>
        <w:spacing w:before="120" w:line="270" w:lineRule="atLeast"/>
      </w:pPr>
      <w:r>
        <w:t>For transactions involving ‘</w:t>
      </w:r>
      <w:r w:rsidR="003D625D">
        <w:t xml:space="preserve">price </w:t>
      </w:r>
      <w:r>
        <w:t>schedules’ or ‘</w:t>
      </w:r>
      <w:r w:rsidR="003D625D">
        <w:t xml:space="preserve">strike </w:t>
      </w:r>
      <w:r>
        <w:t>price schedules’, please provide feedback about:</w:t>
      </w:r>
    </w:p>
    <w:p w14:paraId="27938637" w14:textId="77777777" w:rsidR="00C36DE7" w:rsidRDefault="00C36DE7" w:rsidP="00136CC5">
      <w:pPr>
        <w:pStyle w:val="Feedbacksubquestion"/>
        <w:spacing w:before="120" w:line="270" w:lineRule="atLeast"/>
      </w:pPr>
      <w:r>
        <w:t>the incidence of such types of transactions in your own dealings; and</w:t>
      </w:r>
    </w:p>
    <w:p w14:paraId="6190A0E1" w14:textId="3187F14D" w:rsidR="00C36DE7" w:rsidRPr="00D44C1A" w:rsidRDefault="00C36DE7" w:rsidP="00136CC5">
      <w:pPr>
        <w:pStyle w:val="Feedbacksubquestion"/>
        <w:spacing w:before="120" w:line="270" w:lineRule="atLeast"/>
      </w:pPr>
      <w:r>
        <w:t xml:space="preserve">whether you prefer to </w:t>
      </w:r>
      <w:r>
        <w:rPr>
          <w:rFonts w:eastAsiaTheme="minorHAnsi"/>
        </w:rPr>
        <w:t>provide this information in your initial transaction report as a ‘schedule’ rather than reporting the changes according to the ‘schedule’</w:t>
      </w:r>
      <w:r>
        <w:t xml:space="preserve"> in subsequent transaction reports.</w:t>
      </w:r>
    </w:p>
    <w:p w14:paraId="5CB0264E" w14:textId="421CFBAC" w:rsidR="00C36DE7" w:rsidRDefault="00C36DE7" w:rsidP="00136CC5">
      <w:pPr>
        <w:pStyle w:val="Feedbackquestion"/>
        <w:spacing w:before="120" w:line="270" w:lineRule="atLeast"/>
      </w:pPr>
      <w:r>
        <w:t>For transactions where ‘</w:t>
      </w:r>
      <w:r w:rsidR="003D625D">
        <w:t xml:space="preserve">first </w:t>
      </w:r>
      <w:r>
        <w:t>exercise date’ would be reported as a value that is not otherwise reported in another data element, please provide feedback about the incidence of such types of transactions in your own dealings and any other feedback.</w:t>
      </w:r>
    </w:p>
    <w:p w14:paraId="1F15962C" w14:textId="5712DA06" w:rsidR="00790DEA" w:rsidRDefault="00790DEA" w:rsidP="00136CC5">
      <w:pPr>
        <w:pStyle w:val="Feedbackquestion"/>
        <w:spacing w:before="120" w:line="270" w:lineRule="atLeast"/>
      </w:pPr>
      <w:r w:rsidRPr="00C62732">
        <w:t xml:space="preserve">Do you consider that you will have </w:t>
      </w:r>
      <w:r>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_Ref55996008 \h </w:instrText>
      </w:r>
      <w:r w:rsidR="00CB0A2A">
        <w:fldChar w:fldCharType="separate"/>
      </w:r>
      <w:r w:rsidR="00314C7E">
        <w:t xml:space="preserve">Table </w:t>
      </w:r>
      <w:r w:rsidR="00314C7E">
        <w:rPr>
          <w:noProof/>
        </w:rPr>
        <w:t>19</w:t>
      </w:r>
      <w:r w:rsidR="00CB0A2A">
        <w:fldChar w:fldCharType="end"/>
      </w:r>
      <w:r w:rsidRPr="00C62732">
        <w:t>? In your response, please give detailed reasons for your answer.</w:t>
      </w:r>
    </w:p>
    <w:p w14:paraId="7851F161" w14:textId="4C7ED757" w:rsidR="00297A20" w:rsidRDefault="00297A20" w:rsidP="00297A20">
      <w:pPr>
        <w:pStyle w:val="Heading2"/>
        <w:rPr>
          <w:rFonts w:eastAsiaTheme="minorHAnsi"/>
        </w:rPr>
      </w:pPr>
      <w:bookmarkStart w:id="117" w:name="_Toc57146498"/>
      <w:r>
        <w:rPr>
          <w:rFonts w:eastAsiaTheme="minorHAnsi"/>
        </w:rPr>
        <w:t>Data elements related to notional amounts and quantities</w:t>
      </w:r>
      <w:bookmarkEnd w:id="117"/>
    </w:p>
    <w:p w14:paraId="19C9AA7D" w14:textId="3CFA388D" w:rsidR="00C118FB" w:rsidRPr="00C118FB" w:rsidRDefault="00C118FB" w:rsidP="00136CC5">
      <w:pPr>
        <w:pStyle w:val="BodyText"/>
        <w:spacing w:before="220" w:line="310" w:lineRule="atLeast"/>
        <w:rPr>
          <w:rFonts w:eastAsiaTheme="minorHAnsi"/>
        </w:rPr>
      </w:pPr>
      <w:r w:rsidRPr="00C118FB">
        <w:rPr>
          <w:rFonts w:eastAsiaTheme="minorHAnsi"/>
        </w:rPr>
        <w:t xml:space="preserve">We propose to include </w:t>
      </w:r>
      <w:r w:rsidR="00E056BB" w:rsidRPr="00C118FB">
        <w:rPr>
          <w:rFonts w:eastAsiaTheme="minorHAnsi"/>
        </w:rPr>
        <w:t xml:space="preserve">in the ASIC Rules </w:t>
      </w:r>
      <w:r w:rsidRPr="00C118FB">
        <w:rPr>
          <w:rFonts w:eastAsiaTheme="minorHAnsi"/>
        </w:rPr>
        <w:t xml:space="preserve">the data elements </w:t>
      </w:r>
      <w:r w:rsidR="007A3934">
        <w:rPr>
          <w:rFonts w:eastAsiaTheme="minorHAnsi"/>
        </w:rPr>
        <w:t xml:space="preserve">set out </w:t>
      </w:r>
      <w:r w:rsidR="00E56EA6">
        <w:rPr>
          <w:rFonts w:eastAsiaTheme="minorHAnsi"/>
        </w:rPr>
        <w:t xml:space="preserve">in </w:t>
      </w:r>
      <w:r w:rsidR="00E56EA6">
        <w:rPr>
          <w:rFonts w:eastAsiaTheme="minorHAnsi"/>
        </w:rPr>
        <w:fldChar w:fldCharType="begin"/>
      </w:r>
      <w:r w:rsidR="00E56EA6">
        <w:rPr>
          <w:rFonts w:eastAsiaTheme="minorHAnsi"/>
        </w:rPr>
        <w:instrText xml:space="preserve"> REF _Ref55998429 \h </w:instrText>
      </w:r>
      <w:r w:rsidR="00E56EA6">
        <w:rPr>
          <w:rFonts w:eastAsiaTheme="minorHAnsi"/>
        </w:rPr>
      </w:r>
      <w:r w:rsidR="00E56EA6">
        <w:rPr>
          <w:rFonts w:eastAsiaTheme="minorHAnsi"/>
        </w:rPr>
        <w:fldChar w:fldCharType="separate"/>
      </w:r>
      <w:r w:rsidR="00314C7E">
        <w:t xml:space="preserve">Table </w:t>
      </w:r>
      <w:r w:rsidR="00314C7E">
        <w:rPr>
          <w:noProof/>
        </w:rPr>
        <w:t>20</w:t>
      </w:r>
      <w:r w:rsidR="00E56EA6">
        <w:rPr>
          <w:rFonts w:eastAsiaTheme="minorHAnsi"/>
        </w:rPr>
        <w:fldChar w:fldCharType="end"/>
      </w:r>
      <w:r w:rsidRPr="00C118FB">
        <w:rPr>
          <w:rFonts w:eastAsiaTheme="minorHAnsi"/>
        </w:rPr>
        <w:t>.</w:t>
      </w:r>
      <w:r w:rsidR="00AA123A">
        <w:rPr>
          <w:rFonts w:eastAsiaTheme="minorHAnsi"/>
        </w:rPr>
        <w:t xml:space="preserve"> A number of these </w:t>
      </w:r>
      <w:r w:rsidR="002F5E28">
        <w:rPr>
          <w:rFonts w:eastAsiaTheme="minorHAnsi"/>
        </w:rPr>
        <w:t xml:space="preserve">data </w:t>
      </w:r>
      <w:r w:rsidR="00AA123A">
        <w:rPr>
          <w:rFonts w:eastAsiaTheme="minorHAnsi"/>
        </w:rPr>
        <w:t xml:space="preserve">elements are common to the CDE </w:t>
      </w:r>
      <w:r w:rsidR="00E401E1">
        <w:rPr>
          <w:rFonts w:eastAsiaTheme="minorHAnsi"/>
        </w:rPr>
        <w:t>Guidance</w:t>
      </w:r>
      <w:r w:rsidR="00AA123A">
        <w:rPr>
          <w:rFonts w:eastAsiaTheme="minorHAnsi"/>
        </w:rPr>
        <w:t xml:space="preserve">, the final CFTC rules, the </w:t>
      </w:r>
      <w:r w:rsidR="000127C8">
        <w:rPr>
          <w:rFonts w:eastAsiaTheme="minorHAnsi"/>
        </w:rPr>
        <w:t>ESMA proposals</w:t>
      </w:r>
      <w:r w:rsidR="00AA123A">
        <w:rPr>
          <w:rFonts w:eastAsiaTheme="minorHAnsi"/>
        </w:rPr>
        <w:t xml:space="preserve"> and the current ASIC </w:t>
      </w:r>
      <w:r w:rsidR="003D625D">
        <w:rPr>
          <w:rFonts w:eastAsiaTheme="minorHAnsi"/>
        </w:rPr>
        <w:t>R</w:t>
      </w:r>
      <w:r w:rsidR="00AA123A">
        <w:rPr>
          <w:rFonts w:eastAsiaTheme="minorHAnsi"/>
        </w:rPr>
        <w:t xml:space="preserve">ules. Other </w:t>
      </w:r>
      <w:r w:rsidR="002F5E28">
        <w:rPr>
          <w:rFonts w:eastAsiaTheme="minorHAnsi"/>
        </w:rPr>
        <w:t xml:space="preserve">data </w:t>
      </w:r>
      <w:r w:rsidR="00AA123A">
        <w:rPr>
          <w:rFonts w:eastAsiaTheme="minorHAnsi"/>
        </w:rPr>
        <w:t xml:space="preserve">elements are common to the CDE </w:t>
      </w:r>
      <w:r w:rsidR="00E401E1">
        <w:rPr>
          <w:rFonts w:eastAsiaTheme="minorHAnsi"/>
        </w:rPr>
        <w:t>Guidance</w:t>
      </w:r>
      <w:r w:rsidR="00AA123A">
        <w:rPr>
          <w:rFonts w:eastAsiaTheme="minorHAnsi"/>
        </w:rPr>
        <w:t xml:space="preserve"> and the final CFTC rules and/or the </w:t>
      </w:r>
      <w:r w:rsidR="000127C8">
        <w:rPr>
          <w:rFonts w:eastAsiaTheme="minorHAnsi"/>
        </w:rPr>
        <w:t>ESMA proposals</w:t>
      </w:r>
      <w:r w:rsidR="00AA123A">
        <w:rPr>
          <w:rFonts w:eastAsiaTheme="minorHAnsi"/>
        </w:rPr>
        <w:t xml:space="preserve"> but are not included in the current ASIC Rules.</w:t>
      </w:r>
    </w:p>
    <w:p w14:paraId="16E51183" w14:textId="72A48CAA" w:rsidR="00DF345B" w:rsidRPr="004857CC" w:rsidRDefault="00DF345B" w:rsidP="00DF345B">
      <w:pPr>
        <w:pStyle w:val="tabletitlefullwidth"/>
      </w:pPr>
      <w:bookmarkStart w:id="118" w:name="_Ref55998429"/>
      <w:r>
        <w:lastRenderedPageBreak/>
        <w:t xml:space="preserve">Table </w:t>
      </w:r>
      <w:r w:rsidR="007055A5">
        <w:fldChar w:fldCharType="begin"/>
      </w:r>
      <w:r w:rsidR="007055A5">
        <w:instrText xml:space="preserve"> SEQ Table \* ARABIC </w:instrText>
      </w:r>
      <w:r w:rsidR="007055A5">
        <w:fldChar w:fldCharType="separate"/>
      </w:r>
      <w:r w:rsidR="00314C7E">
        <w:rPr>
          <w:noProof/>
        </w:rPr>
        <w:t>20</w:t>
      </w:r>
      <w:r w:rsidR="007055A5">
        <w:rPr>
          <w:noProof/>
        </w:rPr>
        <w:fldChar w:fldCharType="end"/>
      </w:r>
      <w:bookmarkEnd w:id="118"/>
      <w:r>
        <w:t>:</w:t>
      </w:r>
      <w:r>
        <w:tab/>
      </w:r>
      <w:r w:rsidR="00C118FB">
        <w:t>Proposed data elements related to notional amounts and quantities</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2"/>
        <w:gridCol w:w="4434"/>
        <w:gridCol w:w="728"/>
        <w:gridCol w:w="727"/>
        <w:gridCol w:w="737"/>
        <w:gridCol w:w="709"/>
      </w:tblGrid>
      <w:tr w:rsidR="00297A20" w:rsidRPr="000540E1" w14:paraId="5EC18AE7" w14:textId="77777777" w:rsidTr="002B70A5">
        <w:trPr>
          <w:cantSplit/>
          <w:tblHeader/>
        </w:trPr>
        <w:tc>
          <w:tcPr>
            <w:tcW w:w="942" w:type="pct"/>
            <w:shd w:val="clear" w:color="auto" w:fill="C2E3FA"/>
          </w:tcPr>
          <w:p w14:paraId="380F3DA6" w14:textId="77777777" w:rsidR="00297A20" w:rsidRDefault="00297A20" w:rsidP="002B70A5">
            <w:pPr>
              <w:pStyle w:val="tablehead"/>
            </w:pPr>
          </w:p>
        </w:tc>
        <w:tc>
          <w:tcPr>
            <w:tcW w:w="2453" w:type="pct"/>
            <w:shd w:val="clear" w:color="auto" w:fill="C2E3FA"/>
          </w:tcPr>
          <w:p w14:paraId="3BBCD8E1" w14:textId="77777777" w:rsidR="00297A20" w:rsidRDefault="00297A20" w:rsidP="002B70A5">
            <w:pPr>
              <w:pStyle w:val="tablehead"/>
            </w:pPr>
          </w:p>
        </w:tc>
        <w:tc>
          <w:tcPr>
            <w:tcW w:w="1605" w:type="pct"/>
            <w:gridSpan w:val="4"/>
            <w:shd w:val="clear" w:color="auto" w:fill="C2E3FA"/>
          </w:tcPr>
          <w:p w14:paraId="56D905D4" w14:textId="5B6711A9" w:rsidR="00297A20" w:rsidRPr="000540E1" w:rsidRDefault="001156A2" w:rsidP="002B70A5">
            <w:pPr>
              <w:pStyle w:val="tablehead"/>
              <w:jc w:val="center"/>
            </w:pPr>
            <w:r>
              <w:t>Element</w:t>
            </w:r>
            <w:r w:rsidR="00297A20">
              <w:t xml:space="preserve"> number references</w:t>
            </w:r>
          </w:p>
        </w:tc>
      </w:tr>
      <w:tr w:rsidR="00297A20" w:rsidRPr="000540E1" w14:paraId="2AEDC89D" w14:textId="77777777" w:rsidTr="002B70A5">
        <w:trPr>
          <w:cantSplit/>
          <w:tblHeader/>
        </w:trPr>
        <w:tc>
          <w:tcPr>
            <w:tcW w:w="942" w:type="pct"/>
            <w:shd w:val="clear" w:color="auto" w:fill="C2E3FA"/>
          </w:tcPr>
          <w:p w14:paraId="41FAA78B" w14:textId="77777777" w:rsidR="00297A20" w:rsidRDefault="00297A20" w:rsidP="002B70A5">
            <w:pPr>
              <w:pStyle w:val="tablehead"/>
            </w:pPr>
            <w:r>
              <w:t>Data element</w:t>
            </w:r>
          </w:p>
        </w:tc>
        <w:tc>
          <w:tcPr>
            <w:tcW w:w="2453" w:type="pct"/>
            <w:shd w:val="clear" w:color="auto" w:fill="C2E3FA"/>
          </w:tcPr>
          <w:p w14:paraId="47FA615A" w14:textId="167036DC" w:rsidR="00297A20" w:rsidRDefault="00297A20" w:rsidP="002B70A5">
            <w:pPr>
              <w:pStyle w:val="tablehead"/>
            </w:pPr>
            <w:r>
              <w:t>Definition</w:t>
            </w:r>
            <w:r w:rsidR="00193DFB">
              <w:t>—</w:t>
            </w:r>
            <w:r w:rsidR="0006086A">
              <w:t>S</w:t>
            </w:r>
            <w:r>
              <w:t xml:space="preserve">ummary </w:t>
            </w:r>
            <w:r w:rsidR="00277807">
              <w:t xml:space="preserve">of </w:t>
            </w:r>
            <w:r>
              <w:t>key points</w:t>
            </w:r>
          </w:p>
        </w:tc>
        <w:tc>
          <w:tcPr>
            <w:tcW w:w="403" w:type="pct"/>
            <w:shd w:val="clear" w:color="auto" w:fill="C2E3FA"/>
          </w:tcPr>
          <w:p w14:paraId="6B759C13" w14:textId="14BD8DA2" w:rsidR="00297A20" w:rsidRPr="000540E1" w:rsidRDefault="00297A20" w:rsidP="002B70A5">
            <w:pPr>
              <w:pStyle w:val="tablehead"/>
              <w:jc w:val="center"/>
            </w:pPr>
            <w:r>
              <w:t>CDE</w:t>
            </w:r>
          </w:p>
        </w:tc>
        <w:tc>
          <w:tcPr>
            <w:tcW w:w="402" w:type="pct"/>
            <w:shd w:val="clear" w:color="auto" w:fill="C2E3FA"/>
          </w:tcPr>
          <w:p w14:paraId="19F171B3" w14:textId="77777777" w:rsidR="00297A20" w:rsidRPr="000540E1" w:rsidRDefault="00297A20" w:rsidP="002B70A5">
            <w:pPr>
              <w:pStyle w:val="tablehead"/>
              <w:jc w:val="center"/>
            </w:pPr>
            <w:r>
              <w:t>CFTC</w:t>
            </w:r>
          </w:p>
        </w:tc>
        <w:tc>
          <w:tcPr>
            <w:tcW w:w="408" w:type="pct"/>
            <w:shd w:val="clear" w:color="auto" w:fill="C2E3FA"/>
          </w:tcPr>
          <w:p w14:paraId="5EA3AFF9" w14:textId="2C161F9E" w:rsidR="00297A20" w:rsidRPr="000540E1" w:rsidRDefault="005C1566" w:rsidP="002B70A5">
            <w:pPr>
              <w:pStyle w:val="tablehead"/>
              <w:jc w:val="center"/>
            </w:pPr>
            <w:r>
              <w:t>ESMA</w:t>
            </w:r>
          </w:p>
        </w:tc>
        <w:tc>
          <w:tcPr>
            <w:tcW w:w="392" w:type="pct"/>
            <w:shd w:val="clear" w:color="auto" w:fill="C2E3FA"/>
          </w:tcPr>
          <w:p w14:paraId="48A2DC64" w14:textId="77777777" w:rsidR="00297A20" w:rsidRPr="000540E1" w:rsidRDefault="00297A20" w:rsidP="002B70A5">
            <w:pPr>
              <w:pStyle w:val="tablehead"/>
              <w:jc w:val="center"/>
            </w:pPr>
            <w:r>
              <w:t>ASIC</w:t>
            </w:r>
          </w:p>
        </w:tc>
      </w:tr>
      <w:tr w:rsidR="00297A20" w:rsidRPr="000540E1" w14:paraId="74C42E8F" w14:textId="77777777" w:rsidTr="002B70A5">
        <w:trPr>
          <w:cantSplit/>
        </w:trPr>
        <w:tc>
          <w:tcPr>
            <w:tcW w:w="942" w:type="pct"/>
          </w:tcPr>
          <w:p w14:paraId="7F35F22B" w14:textId="04D2E516" w:rsidR="00297A20" w:rsidRPr="000540E1" w:rsidRDefault="00297A20" w:rsidP="002B70A5">
            <w:pPr>
              <w:pStyle w:val="tbltext"/>
            </w:pPr>
            <w:r>
              <w:t xml:space="preserve">Notional </w:t>
            </w:r>
            <w:r w:rsidR="003D625D">
              <w:t>amount</w:t>
            </w:r>
            <w:r w:rsidR="00193DFB">
              <w:t>—</w:t>
            </w:r>
            <w:r w:rsidR="00E056BB">
              <w:t xml:space="preserve">Leg </w:t>
            </w:r>
            <w:r>
              <w:t>1</w:t>
            </w:r>
          </w:p>
        </w:tc>
        <w:tc>
          <w:tcPr>
            <w:tcW w:w="2453" w:type="pct"/>
          </w:tcPr>
          <w:p w14:paraId="56E23856" w14:textId="77777777" w:rsidR="00297A20" w:rsidRDefault="00297A20" w:rsidP="00297A20">
            <w:pPr>
              <w:pStyle w:val="tbltext"/>
            </w:pPr>
            <w:r>
              <w:t>{CDE TG} For each leg of the transaction, where applicable:</w:t>
            </w:r>
          </w:p>
          <w:p w14:paraId="3F9831B4" w14:textId="1E80BBB5" w:rsidR="00297A20" w:rsidRDefault="00297A20" w:rsidP="00297A20">
            <w:pPr>
              <w:pStyle w:val="tbltext"/>
            </w:pPr>
            <w:r>
              <w:t>For OTC derivative transactions negotiated in monetary amounts, amount specified in the contract.</w:t>
            </w:r>
          </w:p>
          <w:p w14:paraId="0A5AED0A" w14:textId="77777777" w:rsidR="00297A20" w:rsidRDefault="00297A20" w:rsidP="00297A20">
            <w:pPr>
              <w:pStyle w:val="tbltext"/>
            </w:pPr>
            <w:r>
              <w:t>For OTC derivative transactions negotiated in non-monetary amounts:</w:t>
            </w:r>
          </w:p>
          <w:p w14:paraId="56FB44B3" w14:textId="29AB326B" w:rsidR="00297A20" w:rsidRDefault="00BD7F84" w:rsidP="00136CC5">
            <w:pPr>
              <w:pStyle w:val="tablebullet"/>
            </w:pPr>
            <w:r>
              <w:t>Options</w:t>
            </w:r>
            <w:r w:rsidR="00193DFB">
              <w:t>—</w:t>
            </w:r>
            <w:r>
              <w:t>strike price x non-monetary amount</w:t>
            </w:r>
          </w:p>
          <w:p w14:paraId="69183780" w14:textId="27B9F9E8" w:rsidR="00BD7F84" w:rsidRDefault="00BD7F84" w:rsidP="00136CC5">
            <w:pPr>
              <w:pStyle w:val="tablebullet"/>
            </w:pPr>
            <w:r>
              <w:t>Forwards</w:t>
            </w:r>
            <w:r w:rsidR="00193DFB">
              <w:t>—</w:t>
            </w:r>
            <w:r>
              <w:t xml:space="preserve">forward price x non-monetary amount </w:t>
            </w:r>
          </w:p>
          <w:p w14:paraId="39887075" w14:textId="24B4F440" w:rsidR="00297A20" w:rsidRDefault="00BD7F84" w:rsidP="00136CC5">
            <w:pPr>
              <w:pStyle w:val="tablebullet"/>
            </w:pPr>
            <w:r>
              <w:t>CFDs</w:t>
            </w:r>
            <w:r w:rsidR="00193DFB">
              <w:t>—</w:t>
            </w:r>
            <w:r>
              <w:t>initial price x non-monetary amount</w:t>
            </w:r>
          </w:p>
          <w:p w14:paraId="65624FD3" w14:textId="4D0B1337" w:rsidR="00BD7F84" w:rsidRDefault="00BD7F84" w:rsidP="00136CC5">
            <w:pPr>
              <w:pStyle w:val="tablebullet"/>
            </w:pPr>
            <w:r>
              <w:t>Swaps</w:t>
            </w:r>
            <w:r w:rsidR="00193DFB">
              <w:t>—</w:t>
            </w:r>
            <w:r>
              <w:t>initial price or fixed price x non-monetary amount</w:t>
            </w:r>
          </w:p>
          <w:p w14:paraId="5398523B" w14:textId="6C62BFAA" w:rsidR="00BD7F84" w:rsidRPr="000540E1" w:rsidRDefault="00BD7F84" w:rsidP="00136CC5">
            <w:pPr>
              <w:pStyle w:val="tablebullet"/>
            </w:pPr>
            <w:r>
              <w:t>Other</w:t>
            </w:r>
            <w:r w:rsidR="00193DFB">
              <w:t>—</w:t>
            </w:r>
            <w:r>
              <w:t xml:space="preserve">e.g. </w:t>
            </w:r>
            <w:proofErr w:type="spellStart"/>
            <w:r>
              <w:t>vega</w:t>
            </w:r>
            <w:proofErr w:type="spellEnd"/>
            <w:r>
              <w:t xml:space="preserve"> amount, variance amount etc</w:t>
            </w:r>
            <w:r w:rsidR="00B67B9E">
              <w:t>.</w:t>
            </w:r>
          </w:p>
        </w:tc>
        <w:tc>
          <w:tcPr>
            <w:tcW w:w="403" w:type="pct"/>
          </w:tcPr>
          <w:p w14:paraId="15978FF5" w14:textId="747EED0C" w:rsidR="00297A20" w:rsidRPr="000540E1" w:rsidRDefault="00BD7F84" w:rsidP="002B70A5">
            <w:pPr>
              <w:pStyle w:val="tbltext"/>
              <w:jc w:val="center"/>
            </w:pPr>
            <w:r>
              <w:t>2.70</w:t>
            </w:r>
          </w:p>
        </w:tc>
        <w:tc>
          <w:tcPr>
            <w:tcW w:w="402" w:type="pct"/>
          </w:tcPr>
          <w:p w14:paraId="727A5A68" w14:textId="200A06E5" w:rsidR="00297A20" w:rsidRPr="000540E1" w:rsidRDefault="00BD7F84" w:rsidP="002B70A5">
            <w:pPr>
              <w:pStyle w:val="tbltext"/>
              <w:jc w:val="center"/>
            </w:pPr>
            <w:r>
              <w:t>31</w:t>
            </w:r>
          </w:p>
        </w:tc>
        <w:tc>
          <w:tcPr>
            <w:tcW w:w="408" w:type="pct"/>
          </w:tcPr>
          <w:p w14:paraId="5AEB2EA8" w14:textId="73DE2062" w:rsidR="00297A20" w:rsidRPr="000540E1" w:rsidRDefault="00BD7F84" w:rsidP="002B70A5">
            <w:pPr>
              <w:pStyle w:val="tbltext"/>
              <w:jc w:val="center"/>
            </w:pPr>
            <w:r>
              <w:t>2.50</w:t>
            </w:r>
          </w:p>
        </w:tc>
        <w:tc>
          <w:tcPr>
            <w:tcW w:w="392" w:type="pct"/>
          </w:tcPr>
          <w:p w14:paraId="0B69CC02" w14:textId="1B69D0EA" w:rsidR="00BD7F84" w:rsidRPr="000540E1" w:rsidRDefault="00BD7F84" w:rsidP="006C5193">
            <w:pPr>
              <w:pStyle w:val="tbltext"/>
              <w:jc w:val="center"/>
            </w:pPr>
            <w:r>
              <w:t>2.1</w:t>
            </w:r>
            <w:r w:rsidR="006C5193">
              <w:br/>
            </w:r>
            <w:r>
              <w:t>3.7</w:t>
            </w:r>
            <w:r w:rsidR="006C5193">
              <w:br/>
            </w:r>
            <w:r>
              <w:t>4.1</w:t>
            </w:r>
            <w:r w:rsidR="006C5193">
              <w:br/>
            </w:r>
            <w:r>
              <w:t>5.1</w:t>
            </w:r>
          </w:p>
        </w:tc>
      </w:tr>
      <w:tr w:rsidR="00BD7F84" w:rsidRPr="000540E1" w14:paraId="3B3D0DC0" w14:textId="77777777" w:rsidTr="002B70A5">
        <w:trPr>
          <w:cantSplit/>
        </w:trPr>
        <w:tc>
          <w:tcPr>
            <w:tcW w:w="942" w:type="pct"/>
          </w:tcPr>
          <w:p w14:paraId="253B08E1" w14:textId="235FC7FB" w:rsidR="00BD7F84" w:rsidRPr="000540E1" w:rsidRDefault="00BD7F84" w:rsidP="00BD7F84">
            <w:pPr>
              <w:pStyle w:val="tbltext"/>
            </w:pPr>
            <w:r>
              <w:t xml:space="preserve">Notional </w:t>
            </w:r>
            <w:r w:rsidR="00B67B9E">
              <w:t>amount</w:t>
            </w:r>
            <w:r w:rsidR="00193DFB">
              <w:t>—</w:t>
            </w:r>
            <w:r w:rsidR="00E056BB">
              <w:t xml:space="preserve">Leg </w:t>
            </w:r>
            <w:r>
              <w:t>2</w:t>
            </w:r>
          </w:p>
        </w:tc>
        <w:tc>
          <w:tcPr>
            <w:tcW w:w="2453" w:type="pct"/>
          </w:tcPr>
          <w:p w14:paraId="64D06CFD" w14:textId="23BB4284" w:rsidR="00BD7F84" w:rsidRPr="000540E1" w:rsidRDefault="00BD7F84" w:rsidP="00DC5208">
            <w:pPr>
              <w:pStyle w:val="tbltext"/>
            </w:pPr>
            <w:r>
              <w:t>{CDE TG} For each leg of the transaction, where applicable</w:t>
            </w:r>
            <w:r w:rsidR="00DC5208">
              <w:t>, amounts determined as above.</w:t>
            </w:r>
          </w:p>
        </w:tc>
        <w:tc>
          <w:tcPr>
            <w:tcW w:w="403" w:type="pct"/>
          </w:tcPr>
          <w:p w14:paraId="2AF20A2A" w14:textId="6EB47E71" w:rsidR="00BD7F84" w:rsidRPr="000540E1" w:rsidRDefault="008D2D34" w:rsidP="00BD7F84">
            <w:pPr>
              <w:pStyle w:val="tbltext"/>
              <w:jc w:val="center"/>
            </w:pPr>
            <w:r>
              <w:t>2.70</w:t>
            </w:r>
          </w:p>
        </w:tc>
        <w:tc>
          <w:tcPr>
            <w:tcW w:w="402" w:type="pct"/>
          </w:tcPr>
          <w:p w14:paraId="2822996E" w14:textId="3B181D72" w:rsidR="00BD7F84" w:rsidRPr="000540E1" w:rsidRDefault="008D2D34" w:rsidP="00BD7F84">
            <w:pPr>
              <w:pStyle w:val="tbltext"/>
              <w:jc w:val="center"/>
            </w:pPr>
            <w:r>
              <w:t>31</w:t>
            </w:r>
          </w:p>
        </w:tc>
        <w:tc>
          <w:tcPr>
            <w:tcW w:w="408" w:type="pct"/>
          </w:tcPr>
          <w:p w14:paraId="5264C689" w14:textId="16C3851E" w:rsidR="00BD7F84" w:rsidRPr="000540E1" w:rsidRDefault="008D2D34" w:rsidP="00BD7F84">
            <w:pPr>
              <w:pStyle w:val="tbltext"/>
              <w:jc w:val="center"/>
            </w:pPr>
            <w:r>
              <w:t>2.59</w:t>
            </w:r>
          </w:p>
        </w:tc>
        <w:tc>
          <w:tcPr>
            <w:tcW w:w="392" w:type="pct"/>
          </w:tcPr>
          <w:p w14:paraId="7F214ABC" w14:textId="0DED7901" w:rsidR="008D2D34" w:rsidRPr="000540E1" w:rsidRDefault="008D2D34" w:rsidP="006C5193">
            <w:pPr>
              <w:pStyle w:val="tbltext"/>
              <w:jc w:val="center"/>
            </w:pPr>
            <w:r>
              <w:t>4.2</w:t>
            </w:r>
            <w:r w:rsidR="006C5193">
              <w:br/>
            </w:r>
            <w:r>
              <w:t>5.2</w:t>
            </w:r>
          </w:p>
        </w:tc>
      </w:tr>
      <w:tr w:rsidR="004E304A" w:rsidRPr="000540E1" w14:paraId="4B7696EC" w14:textId="77777777" w:rsidTr="002B70A5">
        <w:trPr>
          <w:cantSplit/>
        </w:trPr>
        <w:tc>
          <w:tcPr>
            <w:tcW w:w="942" w:type="pct"/>
          </w:tcPr>
          <w:p w14:paraId="3045578B" w14:textId="5C223398" w:rsidR="004E304A" w:rsidRDefault="004E304A" w:rsidP="004E304A">
            <w:pPr>
              <w:pStyle w:val="tbltext"/>
            </w:pPr>
            <w:r>
              <w:t>Delta</w:t>
            </w:r>
          </w:p>
        </w:tc>
        <w:tc>
          <w:tcPr>
            <w:tcW w:w="2453" w:type="pct"/>
          </w:tcPr>
          <w:p w14:paraId="6F3C2C56" w14:textId="268D4BD7" w:rsidR="004E304A" w:rsidRDefault="004E304A" w:rsidP="004E304A">
            <w:pPr>
              <w:pStyle w:val="tbltext"/>
            </w:pPr>
            <w:r>
              <w:t xml:space="preserve">{CDE TG} </w:t>
            </w:r>
            <w:r w:rsidRPr="008D2D34">
              <w:t>The ratio of the absolute change in price of an OTC derivative transaction to the change in price of the underlier</w:t>
            </w:r>
            <w:r w:rsidR="00B67B9E">
              <w:t>.</w:t>
            </w:r>
          </w:p>
        </w:tc>
        <w:tc>
          <w:tcPr>
            <w:tcW w:w="403" w:type="pct"/>
          </w:tcPr>
          <w:p w14:paraId="727DCBF6" w14:textId="4980DB66" w:rsidR="004E304A" w:rsidRPr="000540E1" w:rsidRDefault="004E304A" w:rsidP="004E304A">
            <w:pPr>
              <w:pStyle w:val="tbltext"/>
              <w:jc w:val="center"/>
            </w:pPr>
            <w:r>
              <w:t>2.71</w:t>
            </w:r>
          </w:p>
        </w:tc>
        <w:tc>
          <w:tcPr>
            <w:tcW w:w="402" w:type="pct"/>
          </w:tcPr>
          <w:p w14:paraId="5F068BC9" w14:textId="69DA829A" w:rsidR="004E304A" w:rsidRPr="000540E1" w:rsidRDefault="004E304A" w:rsidP="004E304A">
            <w:pPr>
              <w:pStyle w:val="tbltext"/>
              <w:jc w:val="center"/>
            </w:pPr>
            <w:r>
              <w:t>109</w:t>
            </w:r>
          </w:p>
        </w:tc>
        <w:tc>
          <w:tcPr>
            <w:tcW w:w="408" w:type="pct"/>
          </w:tcPr>
          <w:p w14:paraId="192D7BC2" w14:textId="4450D5E9" w:rsidR="004E304A" w:rsidRDefault="004E304A" w:rsidP="004E304A">
            <w:pPr>
              <w:pStyle w:val="tbltext"/>
              <w:jc w:val="center"/>
            </w:pPr>
            <w:r>
              <w:t>2.68</w:t>
            </w:r>
          </w:p>
        </w:tc>
        <w:tc>
          <w:tcPr>
            <w:tcW w:w="392" w:type="pct"/>
          </w:tcPr>
          <w:p w14:paraId="00F17DDF" w14:textId="1C3196F0" w:rsidR="004E304A" w:rsidRPr="000540E1" w:rsidRDefault="004E304A" w:rsidP="004E304A">
            <w:pPr>
              <w:pStyle w:val="tbltext"/>
              <w:jc w:val="center"/>
            </w:pPr>
            <w:r>
              <w:t>n/a</w:t>
            </w:r>
          </w:p>
        </w:tc>
      </w:tr>
      <w:tr w:rsidR="004E304A" w:rsidRPr="000540E1" w14:paraId="4D843406" w14:textId="77777777" w:rsidTr="002B70A5">
        <w:trPr>
          <w:cantSplit/>
        </w:trPr>
        <w:tc>
          <w:tcPr>
            <w:tcW w:w="942" w:type="pct"/>
          </w:tcPr>
          <w:p w14:paraId="1F88BD72" w14:textId="17009095" w:rsidR="004E304A" w:rsidRDefault="004E304A" w:rsidP="004E304A">
            <w:pPr>
              <w:pStyle w:val="tbltext"/>
            </w:pPr>
            <w:r>
              <w:t>Call amount</w:t>
            </w:r>
          </w:p>
        </w:tc>
        <w:tc>
          <w:tcPr>
            <w:tcW w:w="2453" w:type="pct"/>
          </w:tcPr>
          <w:p w14:paraId="607936CE" w14:textId="77777777" w:rsidR="004E304A" w:rsidRDefault="004E304A" w:rsidP="004E304A">
            <w:pPr>
              <w:pStyle w:val="tbltext"/>
            </w:pPr>
            <w:r>
              <w:t xml:space="preserve">{CDE TG} </w:t>
            </w:r>
            <w:r w:rsidRPr="008D2D34">
              <w:t>For foreign exchange options, the monetary amount that the option gives the right to buy.</w:t>
            </w:r>
          </w:p>
          <w:p w14:paraId="1A7EDF07" w14:textId="574FC3CE" w:rsidR="004E304A" w:rsidRDefault="004E304A" w:rsidP="00A829C7">
            <w:pPr>
              <w:pStyle w:val="tblnote"/>
            </w:pPr>
            <w:r w:rsidRPr="00BB507D">
              <w:t>Note: At</w:t>
            </w:r>
            <w:r>
              <w:t xml:space="preserve"> CDE TG </w:t>
            </w:r>
            <w:r w:rsidRPr="00BB507D">
              <w:t>2.70 Notional amount</w:t>
            </w:r>
            <w:r>
              <w:t>, the CDE TG notes ‘</w:t>
            </w:r>
            <w:r w:rsidRPr="00BB507D">
              <w:t>For OTC foreign exchange options, in addition to this data element, the amounts are reported using the data elements Call amount and Put amount</w:t>
            </w:r>
            <w:r>
              <w:t>’</w:t>
            </w:r>
            <w:r w:rsidR="00B67B9E">
              <w:t>.</w:t>
            </w:r>
          </w:p>
        </w:tc>
        <w:tc>
          <w:tcPr>
            <w:tcW w:w="403" w:type="pct"/>
          </w:tcPr>
          <w:p w14:paraId="103ECE09" w14:textId="3881CCB7" w:rsidR="004E304A" w:rsidRPr="000540E1" w:rsidRDefault="004E304A" w:rsidP="004E304A">
            <w:pPr>
              <w:pStyle w:val="tbltext"/>
              <w:jc w:val="center"/>
            </w:pPr>
            <w:r>
              <w:t>2.72</w:t>
            </w:r>
          </w:p>
        </w:tc>
        <w:tc>
          <w:tcPr>
            <w:tcW w:w="402" w:type="pct"/>
          </w:tcPr>
          <w:p w14:paraId="5472F57A" w14:textId="7DB6C93A" w:rsidR="004E304A" w:rsidRPr="000540E1" w:rsidRDefault="004E304A" w:rsidP="004E304A">
            <w:pPr>
              <w:pStyle w:val="tbltext"/>
              <w:jc w:val="center"/>
            </w:pPr>
            <w:r>
              <w:t>36</w:t>
            </w:r>
          </w:p>
        </w:tc>
        <w:tc>
          <w:tcPr>
            <w:tcW w:w="408" w:type="pct"/>
          </w:tcPr>
          <w:p w14:paraId="59402ABA" w14:textId="66276161" w:rsidR="004E304A" w:rsidRDefault="004E304A" w:rsidP="004E304A">
            <w:pPr>
              <w:pStyle w:val="tbltext"/>
              <w:jc w:val="center"/>
            </w:pPr>
            <w:r>
              <w:t>n/a</w:t>
            </w:r>
          </w:p>
        </w:tc>
        <w:tc>
          <w:tcPr>
            <w:tcW w:w="392" w:type="pct"/>
          </w:tcPr>
          <w:p w14:paraId="0DB40082" w14:textId="4F29BA42" w:rsidR="004E304A" w:rsidRPr="000540E1" w:rsidRDefault="004E304A" w:rsidP="004E304A">
            <w:pPr>
              <w:pStyle w:val="tbltext"/>
              <w:jc w:val="center"/>
            </w:pPr>
            <w:r>
              <w:t>n/a</w:t>
            </w:r>
          </w:p>
        </w:tc>
      </w:tr>
      <w:tr w:rsidR="004E304A" w:rsidRPr="000540E1" w14:paraId="74CAC9B7" w14:textId="77777777" w:rsidTr="002B70A5">
        <w:trPr>
          <w:cantSplit/>
        </w:trPr>
        <w:tc>
          <w:tcPr>
            <w:tcW w:w="942" w:type="pct"/>
          </w:tcPr>
          <w:p w14:paraId="63CC97E1" w14:textId="0961455D" w:rsidR="004E304A" w:rsidRDefault="004E304A" w:rsidP="004E304A">
            <w:pPr>
              <w:pStyle w:val="tbltext"/>
            </w:pPr>
            <w:r>
              <w:t>Put amount</w:t>
            </w:r>
          </w:p>
        </w:tc>
        <w:tc>
          <w:tcPr>
            <w:tcW w:w="2453" w:type="pct"/>
          </w:tcPr>
          <w:p w14:paraId="76C50382" w14:textId="1D3EACE5" w:rsidR="004E304A" w:rsidRDefault="004E304A" w:rsidP="004E304A">
            <w:pPr>
              <w:pStyle w:val="tbltext"/>
            </w:pPr>
            <w:r>
              <w:t xml:space="preserve">{CDE TG} </w:t>
            </w:r>
            <w:r w:rsidRPr="00C63FFB">
              <w:t>For foreign exchange options, the monetary amount that the option gives the right to sell.</w:t>
            </w:r>
          </w:p>
        </w:tc>
        <w:tc>
          <w:tcPr>
            <w:tcW w:w="403" w:type="pct"/>
          </w:tcPr>
          <w:p w14:paraId="7F2496D9" w14:textId="77D23EBE" w:rsidR="004E304A" w:rsidRPr="000540E1" w:rsidRDefault="004E304A" w:rsidP="004E304A">
            <w:pPr>
              <w:pStyle w:val="tbltext"/>
              <w:jc w:val="center"/>
            </w:pPr>
            <w:r>
              <w:t>2.73</w:t>
            </w:r>
          </w:p>
        </w:tc>
        <w:tc>
          <w:tcPr>
            <w:tcW w:w="402" w:type="pct"/>
          </w:tcPr>
          <w:p w14:paraId="39BBF027" w14:textId="01F11B34" w:rsidR="004E304A" w:rsidRPr="000540E1" w:rsidRDefault="004E304A" w:rsidP="004E304A">
            <w:pPr>
              <w:pStyle w:val="tbltext"/>
              <w:jc w:val="center"/>
            </w:pPr>
            <w:r>
              <w:t>38</w:t>
            </w:r>
          </w:p>
        </w:tc>
        <w:tc>
          <w:tcPr>
            <w:tcW w:w="408" w:type="pct"/>
          </w:tcPr>
          <w:p w14:paraId="79F8E29A" w14:textId="7F4D9B5E" w:rsidR="004E304A" w:rsidRDefault="004E304A" w:rsidP="004E304A">
            <w:pPr>
              <w:pStyle w:val="tbltext"/>
              <w:jc w:val="center"/>
            </w:pPr>
            <w:r>
              <w:t>n/a</w:t>
            </w:r>
          </w:p>
        </w:tc>
        <w:tc>
          <w:tcPr>
            <w:tcW w:w="392" w:type="pct"/>
          </w:tcPr>
          <w:p w14:paraId="5C1A375D" w14:textId="4D61C204" w:rsidR="004E304A" w:rsidRDefault="004E304A" w:rsidP="004E304A">
            <w:pPr>
              <w:pStyle w:val="tbltext"/>
              <w:jc w:val="center"/>
            </w:pPr>
            <w:r>
              <w:t>n/a</w:t>
            </w:r>
          </w:p>
        </w:tc>
      </w:tr>
      <w:tr w:rsidR="004E304A" w:rsidRPr="000540E1" w14:paraId="607C8D01" w14:textId="77777777" w:rsidTr="002B70A5">
        <w:trPr>
          <w:cantSplit/>
        </w:trPr>
        <w:tc>
          <w:tcPr>
            <w:tcW w:w="942" w:type="pct"/>
          </w:tcPr>
          <w:p w14:paraId="22A97701" w14:textId="2C87BF54" w:rsidR="004E304A" w:rsidRDefault="004E304A" w:rsidP="004E304A">
            <w:pPr>
              <w:pStyle w:val="tbltext"/>
            </w:pPr>
            <w:r>
              <w:t>Notional currency</w:t>
            </w:r>
            <w:r w:rsidR="00193DFB">
              <w:t>—</w:t>
            </w:r>
            <w:r w:rsidR="00E056BB">
              <w:t xml:space="preserve">Leg </w:t>
            </w:r>
            <w:r>
              <w:t>1</w:t>
            </w:r>
          </w:p>
        </w:tc>
        <w:tc>
          <w:tcPr>
            <w:tcW w:w="2453" w:type="pct"/>
          </w:tcPr>
          <w:p w14:paraId="5A472F36" w14:textId="02524A11" w:rsidR="004E304A" w:rsidRDefault="004E304A" w:rsidP="004E304A">
            <w:pPr>
              <w:pStyle w:val="tbltext"/>
            </w:pPr>
            <w:r>
              <w:t xml:space="preserve">{CDE TG} </w:t>
            </w:r>
            <w:r w:rsidRPr="00C63FFB">
              <w:t>For each leg of the transaction, where applicable: currency in which the notional amount is denominated.</w:t>
            </w:r>
          </w:p>
        </w:tc>
        <w:tc>
          <w:tcPr>
            <w:tcW w:w="403" w:type="pct"/>
          </w:tcPr>
          <w:p w14:paraId="77EB2040" w14:textId="6319EFD1" w:rsidR="004E304A" w:rsidRPr="000540E1" w:rsidRDefault="004E304A" w:rsidP="004E304A">
            <w:pPr>
              <w:pStyle w:val="tbltext"/>
              <w:jc w:val="center"/>
            </w:pPr>
            <w:r>
              <w:t>2.74</w:t>
            </w:r>
          </w:p>
        </w:tc>
        <w:tc>
          <w:tcPr>
            <w:tcW w:w="402" w:type="pct"/>
          </w:tcPr>
          <w:p w14:paraId="12413E33" w14:textId="6A6E7E4B" w:rsidR="004E304A" w:rsidRPr="000540E1" w:rsidRDefault="004E304A" w:rsidP="004E304A">
            <w:pPr>
              <w:pStyle w:val="tbltext"/>
              <w:jc w:val="center"/>
            </w:pPr>
            <w:r>
              <w:t>32</w:t>
            </w:r>
          </w:p>
        </w:tc>
        <w:tc>
          <w:tcPr>
            <w:tcW w:w="408" w:type="pct"/>
          </w:tcPr>
          <w:p w14:paraId="6BFBE33F" w14:textId="2D2D1AA3" w:rsidR="004E304A" w:rsidRDefault="004E304A" w:rsidP="004E304A">
            <w:pPr>
              <w:pStyle w:val="tbltext"/>
              <w:jc w:val="center"/>
            </w:pPr>
            <w:r>
              <w:t>2.51</w:t>
            </w:r>
          </w:p>
        </w:tc>
        <w:tc>
          <w:tcPr>
            <w:tcW w:w="392" w:type="pct"/>
          </w:tcPr>
          <w:p w14:paraId="3949D4FC" w14:textId="4F99C3B5" w:rsidR="004E304A" w:rsidRDefault="004E304A" w:rsidP="006C5193">
            <w:pPr>
              <w:pStyle w:val="tbltext"/>
              <w:jc w:val="center"/>
            </w:pPr>
            <w:r>
              <w:t>2.2</w:t>
            </w:r>
            <w:r w:rsidR="006C5193">
              <w:br/>
            </w:r>
            <w:r>
              <w:t>3.8</w:t>
            </w:r>
            <w:r w:rsidR="006C5193">
              <w:br/>
            </w:r>
            <w:r>
              <w:t>4.3</w:t>
            </w:r>
            <w:r w:rsidR="006C5193">
              <w:br/>
            </w:r>
            <w:r>
              <w:t>5.3</w:t>
            </w:r>
          </w:p>
        </w:tc>
      </w:tr>
      <w:tr w:rsidR="004E304A" w:rsidRPr="000540E1" w14:paraId="7A4EA2AC" w14:textId="77777777" w:rsidTr="002B70A5">
        <w:trPr>
          <w:cantSplit/>
        </w:trPr>
        <w:tc>
          <w:tcPr>
            <w:tcW w:w="942" w:type="pct"/>
          </w:tcPr>
          <w:p w14:paraId="253A47D1" w14:textId="6EC3B681" w:rsidR="004E304A" w:rsidRDefault="004E304A" w:rsidP="004E304A">
            <w:pPr>
              <w:pStyle w:val="tbltext"/>
            </w:pPr>
            <w:r>
              <w:t>Notional currency</w:t>
            </w:r>
            <w:r w:rsidR="00193DFB">
              <w:t>—</w:t>
            </w:r>
            <w:r w:rsidR="00E056BB">
              <w:t xml:space="preserve">Leg </w:t>
            </w:r>
            <w:r>
              <w:t>2</w:t>
            </w:r>
          </w:p>
        </w:tc>
        <w:tc>
          <w:tcPr>
            <w:tcW w:w="2453" w:type="pct"/>
          </w:tcPr>
          <w:p w14:paraId="3E358362" w14:textId="0007435D" w:rsidR="004E304A" w:rsidRDefault="004E304A" w:rsidP="004E304A">
            <w:pPr>
              <w:pStyle w:val="tbltext"/>
            </w:pPr>
            <w:r>
              <w:t xml:space="preserve">{CDE TG} </w:t>
            </w:r>
            <w:r w:rsidRPr="00C63FFB">
              <w:t>For each leg of the transaction, where applicable: currency in which the notional amount is denominated.</w:t>
            </w:r>
          </w:p>
        </w:tc>
        <w:tc>
          <w:tcPr>
            <w:tcW w:w="403" w:type="pct"/>
          </w:tcPr>
          <w:p w14:paraId="25FE1128" w14:textId="601D5A30" w:rsidR="004E304A" w:rsidRPr="000540E1" w:rsidRDefault="004E304A" w:rsidP="004E304A">
            <w:pPr>
              <w:pStyle w:val="tbltext"/>
              <w:jc w:val="center"/>
            </w:pPr>
            <w:r>
              <w:t>2.74</w:t>
            </w:r>
          </w:p>
        </w:tc>
        <w:tc>
          <w:tcPr>
            <w:tcW w:w="402" w:type="pct"/>
          </w:tcPr>
          <w:p w14:paraId="1EE4FB1C" w14:textId="401CD369" w:rsidR="004E304A" w:rsidRPr="000540E1" w:rsidRDefault="004E304A" w:rsidP="004E304A">
            <w:pPr>
              <w:pStyle w:val="tbltext"/>
              <w:jc w:val="center"/>
            </w:pPr>
            <w:r>
              <w:t>32</w:t>
            </w:r>
          </w:p>
        </w:tc>
        <w:tc>
          <w:tcPr>
            <w:tcW w:w="408" w:type="pct"/>
          </w:tcPr>
          <w:p w14:paraId="518210E7" w14:textId="26D6A850" w:rsidR="004E304A" w:rsidRDefault="004E304A" w:rsidP="004E304A">
            <w:pPr>
              <w:pStyle w:val="tbltext"/>
              <w:jc w:val="center"/>
            </w:pPr>
            <w:r>
              <w:t>2.60</w:t>
            </w:r>
          </w:p>
        </w:tc>
        <w:tc>
          <w:tcPr>
            <w:tcW w:w="392" w:type="pct"/>
          </w:tcPr>
          <w:p w14:paraId="05CF3C72" w14:textId="19993F62" w:rsidR="004E304A" w:rsidRDefault="004E304A" w:rsidP="006C5193">
            <w:pPr>
              <w:pStyle w:val="tbltext"/>
              <w:jc w:val="center"/>
            </w:pPr>
            <w:r>
              <w:t>4.4</w:t>
            </w:r>
            <w:r w:rsidR="006C5193">
              <w:br/>
            </w:r>
            <w:r>
              <w:t>5.4</w:t>
            </w:r>
          </w:p>
        </w:tc>
      </w:tr>
      <w:tr w:rsidR="004E304A" w:rsidRPr="000540E1" w14:paraId="7F4C52CB" w14:textId="77777777" w:rsidTr="002B70A5">
        <w:trPr>
          <w:cantSplit/>
        </w:trPr>
        <w:tc>
          <w:tcPr>
            <w:tcW w:w="942" w:type="pct"/>
          </w:tcPr>
          <w:p w14:paraId="35C3A8B4" w14:textId="779F0F49" w:rsidR="004E304A" w:rsidRDefault="004E304A" w:rsidP="004E304A">
            <w:pPr>
              <w:pStyle w:val="tbltext"/>
            </w:pPr>
            <w:r>
              <w:t>Call currency</w:t>
            </w:r>
          </w:p>
        </w:tc>
        <w:tc>
          <w:tcPr>
            <w:tcW w:w="2453" w:type="pct"/>
          </w:tcPr>
          <w:p w14:paraId="64D3A91A" w14:textId="498F7DE8" w:rsidR="004E304A" w:rsidRDefault="004E304A" w:rsidP="004E304A">
            <w:pPr>
              <w:pStyle w:val="tbltext"/>
            </w:pPr>
            <w:r>
              <w:t xml:space="preserve">{CDE TG} </w:t>
            </w:r>
            <w:r w:rsidRPr="002B57B1">
              <w:t>For foreign exchange options, the currency in which the Call amount is denominated.</w:t>
            </w:r>
          </w:p>
        </w:tc>
        <w:tc>
          <w:tcPr>
            <w:tcW w:w="403" w:type="pct"/>
          </w:tcPr>
          <w:p w14:paraId="270B3884" w14:textId="3C5F903E" w:rsidR="004E304A" w:rsidRPr="000540E1" w:rsidRDefault="004E304A" w:rsidP="004E304A">
            <w:pPr>
              <w:pStyle w:val="tbltext"/>
              <w:jc w:val="center"/>
            </w:pPr>
            <w:r>
              <w:t>2.75</w:t>
            </w:r>
          </w:p>
        </w:tc>
        <w:tc>
          <w:tcPr>
            <w:tcW w:w="402" w:type="pct"/>
          </w:tcPr>
          <w:p w14:paraId="7483F345" w14:textId="4676829C" w:rsidR="004E304A" w:rsidRPr="000540E1" w:rsidRDefault="004E304A" w:rsidP="004E304A">
            <w:pPr>
              <w:pStyle w:val="tbltext"/>
              <w:jc w:val="center"/>
            </w:pPr>
            <w:r>
              <w:t>37</w:t>
            </w:r>
          </w:p>
        </w:tc>
        <w:tc>
          <w:tcPr>
            <w:tcW w:w="408" w:type="pct"/>
          </w:tcPr>
          <w:p w14:paraId="05189DAC" w14:textId="29EF7ABB" w:rsidR="004E304A" w:rsidRDefault="004E304A" w:rsidP="004E304A">
            <w:pPr>
              <w:pStyle w:val="tbltext"/>
              <w:jc w:val="center"/>
            </w:pPr>
            <w:r>
              <w:t>n/a</w:t>
            </w:r>
          </w:p>
        </w:tc>
        <w:tc>
          <w:tcPr>
            <w:tcW w:w="392" w:type="pct"/>
          </w:tcPr>
          <w:p w14:paraId="1C658FDA" w14:textId="45E6048B" w:rsidR="004E304A" w:rsidRDefault="004E304A" w:rsidP="004E304A">
            <w:pPr>
              <w:pStyle w:val="tbltext"/>
              <w:jc w:val="center"/>
            </w:pPr>
            <w:r>
              <w:t>n/a</w:t>
            </w:r>
          </w:p>
        </w:tc>
      </w:tr>
      <w:tr w:rsidR="004E304A" w:rsidRPr="000540E1" w14:paraId="034578B9" w14:textId="77777777" w:rsidTr="002B70A5">
        <w:trPr>
          <w:cantSplit/>
        </w:trPr>
        <w:tc>
          <w:tcPr>
            <w:tcW w:w="942" w:type="pct"/>
          </w:tcPr>
          <w:p w14:paraId="2E112338" w14:textId="491F915A" w:rsidR="004E304A" w:rsidRPr="00315A14" w:rsidRDefault="004E304A" w:rsidP="004E304A">
            <w:pPr>
              <w:pStyle w:val="tbltext"/>
            </w:pPr>
            <w:r>
              <w:t>Put currency</w:t>
            </w:r>
          </w:p>
        </w:tc>
        <w:tc>
          <w:tcPr>
            <w:tcW w:w="2453" w:type="pct"/>
          </w:tcPr>
          <w:p w14:paraId="04B8C6E0" w14:textId="52732359" w:rsidR="004E304A" w:rsidRDefault="004E304A" w:rsidP="004E304A">
            <w:pPr>
              <w:pStyle w:val="tbltext"/>
            </w:pPr>
            <w:r>
              <w:t xml:space="preserve">{CDE TG} </w:t>
            </w:r>
            <w:r w:rsidRPr="002B57B1">
              <w:t xml:space="preserve">For foreign exchange options, the currency in which the </w:t>
            </w:r>
            <w:r>
              <w:t>Put</w:t>
            </w:r>
            <w:r w:rsidRPr="002B57B1">
              <w:t xml:space="preserve"> amount is denominated.</w:t>
            </w:r>
          </w:p>
        </w:tc>
        <w:tc>
          <w:tcPr>
            <w:tcW w:w="403" w:type="pct"/>
          </w:tcPr>
          <w:p w14:paraId="3FB2388C" w14:textId="7E7EF0BA" w:rsidR="004E304A" w:rsidRDefault="004E304A" w:rsidP="004E304A">
            <w:pPr>
              <w:pStyle w:val="tbltext"/>
              <w:jc w:val="center"/>
            </w:pPr>
            <w:r>
              <w:t>2.76</w:t>
            </w:r>
          </w:p>
        </w:tc>
        <w:tc>
          <w:tcPr>
            <w:tcW w:w="402" w:type="pct"/>
          </w:tcPr>
          <w:p w14:paraId="33301D0A" w14:textId="14C0F886" w:rsidR="004E304A" w:rsidRDefault="004E304A" w:rsidP="004E304A">
            <w:pPr>
              <w:pStyle w:val="tbltext"/>
              <w:jc w:val="center"/>
            </w:pPr>
            <w:r>
              <w:t>39</w:t>
            </w:r>
          </w:p>
        </w:tc>
        <w:tc>
          <w:tcPr>
            <w:tcW w:w="408" w:type="pct"/>
          </w:tcPr>
          <w:p w14:paraId="57D6DBBA" w14:textId="72618B35" w:rsidR="004E304A" w:rsidRDefault="004E304A" w:rsidP="004E304A">
            <w:pPr>
              <w:pStyle w:val="tbltext"/>
              <w:jc w:val="center"/>
            </w:pPr>
            <w:r>
              <w:t>n/a</w:t>
            </w:r>
          </w:p>
        </w:tc>
        <w:tc>
          <w:tcPr>
            <w:tcW w:w="392" w:type="pct"/>
          </w:tcPr>
          <w:p w14:paraId="68B85944" w14:textId="25CF4F16" w:rsidR="004E304A" w:rsidRDefault="004E304A" w:rsidP="004E304A">
            <w:pPr>
              <w:pStyle w:val="tbltext"/>
              <w:jc w:val="center"/>
            </w:pPr>
            <w:r>
              <w:t>n/a</w:t>
            </w:r>
          </w:p>
        </w:tc>
      </w:tr>
      <w:tr w:rsidR="004E304A" w:rsidRPr="000540E1" w14:paraId="07122542" w14:textId="77777777" w:rsidTr="002B70A5">
        <w:trPr>
          <w:cantSplit/>
        </w:trPr>
        <w:tc>
          <w:tcPr>
            <w:tcW w:w="942" w:type="pct"/>
          </w:tcPr>
          <w:p w14:paraId="1B34FDB8" w14:textId="653D6D85" w:rsidR="004E304A" w:rsidRDefault="004E304A" w:rsidP="004E304A">
            <w:pPr>
              <w:pStyle w:val="tbltext"/>
            </w:pPr>
            <w:r w:rsidRPr="002B57B1">
              <w:lastRenderedPageBreak/>
              <w:t>Quantity unit of measure</w:t>
            </w:r>
            <w:r w:rsidR="00193DFB">
              <w:t>—</w:t>
            </w:r>
            <w:r w:rsidR="00E056BB">
              <w:t xml:space="preserve">Leg </w:t>
            </w:r>
            <w:r>
              <w:t>1</w:t>
            </w:r>
          </w:p>
        </w:tc>
        <w:tc>
          <w:tcPr>
            <w:tcW w:w="2453" w:type="pct"/>
          </w:tcPr>
          <w:p w14:paraId="5AF62B46" w14:textId="750F0DAC" w:rsidR="004E304A" w:rsidRDefault="004E304A" w:rsidP="004E304A">
            <w:pPr>
              <w:pStyle w:val="tbltext"/>
            </w:pPr>
            <w:r>
              <w:t xml:space="preserve">{CDE TG} </w:t>
            </w:r>
            <w:r w:rsidRPr="002B57B1">
              <w:t>For each leg of the transaction, where applicable: unit of measure in which the Total notional quantity and the Notional quantity schedules are expressed.</w:t>
            </w:r>
          </w:p>
        </w:tc>
        <w:tc>
          <w:tcPr>
            <w:tcW w:w="403" w:type="pct"/>
          </w:tcPr>
          <w:p w14:paraId="30E70C73" w14:textId="512A2034" w:rsidR="004E304A" w:rsidRPr="000540E1" w:rsidRDefault="004E304A" w:rsidP="004E304A">
            <w:pPr>
              <w:pStyle w:val="tbltext"/>
              <w:jc w:val="center"/>
            </w:pPr>
            <w:r>
              <w:t>2.77</w:t>
            </w:r>
          </w:p>
        </w:tc>
        <w:tc>
          <w:tcPr>
            <w:tcW w:w="402" w:type="pct"/>
          </w:tcPr>
          <w:p w14:paraId="2AD56076" w14:textId="731A5183" w:rsidR="004E304A" w:rsidRPr="000540E1" w:rsidRDefault="004E304A" w:rsidP="004E304A">
            <w:pPr>
              <w:pStyle w:val="tbltext"/>
              <w:jc w:val="center"/>
            </w:pPr>
            <w:r>
              <w:t>43</w:t>
            </w:r>
          </w:p>
        </w:tc>
        <w:tc>
          <w:tcPr>
            <w:tcW w:w="408" w:type="pct"/>
          </w:tcPr>
          <w:p w14:paraId="56E249AF" w14:textId="4E142D0C" w:rsidR="004E304A" w:rsidRDefault="004E304A" w:rsidP="004E304A">
            <w:pPr>
              <w:pStyle w:val="tbltext"/>
              <w:jc w:val="center"/>
            </w:pPr>
            <w:r>
              <w:t>2.125</w:t>
            </w:r>
          </w:p>
        </w:tc>
        <w:tc>
          <w:tcPr>
            <w:tcW w:w="392" w:type="pct"/>
          </w:tcPr>
          <w:p w14:paraId="4231AEF8" w14:textId="67F6A21A" w:rsidR="004E304A" w:rsidRDefault="004E304A" w:rsidP="004E304A">
            <w:pPr>
              <w:pStyle w:val="tbltext"/>
              <w:jc w:val="center"/>
            </w:pPr>
            <w:r>
              <w:t>2.6</w:t>
            </w:r>
          </w:p>
        </w:tc>
      </w:tr>
      <w:tr w:rsidR="004E304A" w:rsidRPr="000540E1" w14:paraId="12521B89" w14:textId="77777777" w:rsidTr="002B70A5">
        <w:trPr>
          <w:cantSplit/>
        </w:trPr>
        <w:tc>
          <w:tcPr>
            <w:tcW w:w="942" w:type="pct"/>
          </w:tcPr>
          <w:p w14:paraId="5E2BFB30" w14:textId="009F6E7F" w:rsidR="004E304A" w:rsidRPr="00315A14" w:rsidRDefault="004E304A" w:rsidP="004E304A">
            <w:pPr>
              <w:pStyle w:val="tbltext"/>
            </w:pPr>
            <w:r w:rsidRPr="002B57B1">
              <w:t>Quantity unit of measure</w:t>
            </w:r>
            <w:r w:rsidR="00193DFB">
              <w:t>—</w:t>
            </w:r>
            <w:r w:rsidR="00E056BB">
              <w:t xml:space="preserve">Leg </w:t>
            </w:r>
            <w:r>
              <w:t>2</w:t>
            </w:r>
          </w:p>
        </w:tc>
        <w:tc>
          <w:tcPr>
            <w:tcW w:w="2453" w:type="pct"/>
          </w:tcPr>
          <w:p w14:paraId="1C819D4F" w14:textId="526AAECC" w:rsidR="004E304A" w:rsidRDefault="004E304A" w:rsidP="004E304A">
            <w:pPr>
              <w:pStyle w:val="tbltext"/>
            </w:pPr>
            <w:r>
              <w:t xml:space="preserve">{CDE TG} </w:t>
            </w:r>
            <w:r w:rsidRPr="002B57B1">
              <w:t>For each leg of the transaction, where applicable: unit of measure in which the Total notional quantity and the Notional quantity schedules are expressed.</w:t>
            </w:r>
          </w:p>
        </w:tc>
        <w:tc>
          <w:tcPr>
            <w:tcW w:w="403" w:type="pct"/>
          </w:tcPr>
          <w:p w14:paraId="337C91FA" w14:textId="1C12F2C5" w:rsidR="004E304A" w:rsidRDefault="004E304A" w:rsidP="004E304A">
            <w:pPr>
              <w:pStyle w:val="tbltext"/>
              <w:jc w:val="center"/>
            </w:pPr>
            <w:r>
              <w:t>2.77</w:t>
            </w:r>
          </w:p>
        </w:tc>
        <w:tc>
          <w:tcPr>
            <w:tcW w:w="402" w:type="pct"/>
          </w:tcPr>
          <w:p w14:paraId="4CF8F917" w14:textId="48682066" w:rsidR="004E304A" w:rsidRDefault="004E304A" w:rsidP="004E304A">
            <w:pPr>
              <w:pStyle w:val="tbltext"/>
              <w:jc w:val="center"/>
            </w:pPr>
            <w:r>
              <w:t>43</w:t>
            </w:r>
          </w:p>
        </w:tc>
        <w:tc>
          <w:tcPr>
            <w:tcW w:w="408" w:type="pct"/>
          </w:tcPr>
          <w:p w14:paraId="0678B5F6" w14:textId="3AE73EBA" w:rsidR="004E304A" w:rsidRDefault="004E304A" w:rsidP="004E304A">
            <w:pPr>
              <w:pStyle w:val="tbltext"/>
              <w:jc w:val="center"/>
            </w:pPr>
            <w:r>
              <w:t>n/a</w:t>
            </w:r>
          </w:p>
        </w:tc>
        <w:tc>
          <w:tcPr>
            <w:tcW w:w="392" w:type="pct"/>
          </w:tcPr>
          <w:p w14:paraId="5FE9403C" w14:textId="6D7AF544" w:rsidR="004E304A" w:rsidRDefault="004E304A" w:rsidP="004E304A">
            <w:pPr>
              <w:pStyle w:val="tbltext"/>
              <w:jc w:val="center"/>
            </w:pPr>
            <w:r>
              <w:t>n/a</w:t>
            </w:r>
          </w:p>
        </w:tc>
      </w:tr>
      <w:tr w:rsidR="004E304A" w:rsidRPr="000540E1" w14:paraId="62476225" w14:textId="77777777" w:rsidTr="002B70A5">
        <w:trPr>
          <w:cantSplit/>
        </w:trPr>
        <w:tc>
          <w:tcPr>
            <w:tcW w:w="942" w:type="pct"/>
          </w:tcPr>
          <w:p w14:paraId="72F71329" w14:textId="7F5EB62E" w:rsidR="004E304A" w:rsidRDefault="004E304A" w:rsidP="004E304A">
            <w:pPr>
              <w:pStyle w:val="tbltext"/>
            </w:pPr>
            <w:r w:rsidRPr="002B57B1">
              <w:t>Notional amount schedule</w:t>
            </w:r>
            <w:r w:rsidR="00193DFB">
              <w:t>—</w:t>
            </w:r>
            <w:r w:rsidR="00E056BB">
              <w:t xml:space="preserve">Leg </w:t>
            </w:r>
            <w:r>
              <w:t>1</w:t>
            </w:r>
          </w:p>
        </w:tc>
        <w:tc>
          <w:tcPr>
            <w:tcW w:w="2453" w:type="pct"/>
          </w:tcPr>
          <w:p w14:paraId="38FB1FEC" w14:textId="6CA4ECA9" w:rsidR="004E304A" w:rsidRDefault="004E304A" w:rsidP="004E304A">
            <w:pPr>
              <w:pStyle w:val="tbltext"/>
            </w:pPr>
            <w:r>
              <w:t>{CDE TG} For each leg of the transaction, where applicable, for OTC derivative transactions negotiated in monetary amounts:</w:t>
            </w:r>
          </w:p>
          <w:p w14:paraId="0BA6F52C" w14:textId="1607150C" w:rsidR="004E304A" w:rsidRDefault="004E304A" w:rsidP="004E304A">
            <w:pPr>
              <w:pStyle w:val="tbltext"/>
            </w:pPr>
            <w:r>
              <w:t xml:space="preserve">a schedule of periods with start date, end date and </w:t>
            </w:r>
            <w:r w:rsidR="000B08E8">
              <w:t xml:space="preserve">notional </w:t>
            </w:r>
            <w:r>
              <w:t>amount prevailing in the period</w:t>
            </w:r>
            <w:r w:rsidR="00F05FB6">
              <w:t>.</w:t>
            </w:r>
          </w:p>
        </w:tc>
        <w:tc>
          <w:tcPr>
            <w:tcW w:w="403" w:type="pct"/>
          </w:tcPr>
          <w:p w14:paraId="1F185468" w14:textId="1A856335" w:rsidR="004E304A" w:rsidRPr="000540E1" w:rsidRDefault="004E304A" w:rsidP="006C5193">
            <w:pPr>
              <w:pStyle w:val="tbltext"/>
              <w:jc w:val="center"/>
            </w:pPr>
            <w:r>
              <w:t>2.78.1</w:t>
            </w:r>
            <w:r w:rsidR="006C5193">
              <w:br/>
            </w:r>
            <w:r>
              <w:t>2.78.2</w:t>
            </w:r>
            <w:r w:rsidR="006C5193">
              <w:br/>
            </w:r>
            <w:r>
              <w:t>2.78.3</w:t>
            </w:r>
          </w:p>
        </w:tc>
        <w:tc>
          <w:tcPr>
            <w:tcW w:w="402" w:type="pct"/>
          </w:tcPr>
          <w:p w14:paraId="036ACED6" w14:textId="0CF334D6" w:rsidR="004E304A" w:rsidRPr="000540E1" w:rsidRDefault="004E304A" w:rsidP="006C5193">
            <w:pPr>
              <w:pStyle w:val="tbltext"/>
              <w:jc w:val="center"/>
            </w:pPr>
            <w:r>
              <w:t>34</w:t>
            </w:r>
            <w:r w:rsidR="006C5193">
              <w:br/>
            </w:r>
            <w:r>
              <w:t>35</w:t>
            </w:r>
            <w:r w:rsidR="006C5193">
              <w:br/>
            </w:r>
            <w:r>
              <w:t>33</w:t>
            </w:r>
          </w:p>
        </w:tc>
        <w:tc>
          <w:tcPr>
            <w:tcW w:w="408" w:type="pct"/>
          </w:tcPr>
          <w:p w14:paraId="338D8BEF" w14:textId="5E25F747" w:rsidR="004E304A" w:rsidRDefault="004E304A" w:rsidP="006C5193">
            <w:pPr>
              <w:pStyle w:val="tbltext"/>
              <w:jc w:val="center"/>
            </w:pPr>
            <w:r>
              <w:t>2.52</w:t>
            </w:r>
            <w:r w:rsidR="006C5193">
              <w:br/>
            </w:r>
            <w:r>
              <w:t>2.53</w:t>
            </w:r>
            <w:r w:rsidR="006C5193">
              <w:br/>
            </w:r>
            <w:r>
              <w:t>2.54</w:t>
            </w:r>
          </w:p>
        </w:tc>
        <w:tc>
          <w:tcPr>
            <w:tcW w:w="392" w:type="pct"/>
          </w:tcPr>
          <w:p w14:paraId="583E1F66" w14:textId="11B3A64F" w:rsidR="004E304A" w:rsidRDefault="004E304A" w:rsidP="004E304A">
            <w:pPr>
              <w:pStyle w:val="tbltext"/>
              <w:jc w:val="center"/>
            </w:pPr>
            <w:r>
              <w:t>n/a</w:t>
            </w:r>
          </w:p>
        </w:tc>
      </w:tr>
      <w:tr w:rsidR="004E304A" w:rsidRPr="000540E1" w14:paraId="12B2F3CE" w14:textId="77777777" w:rsidTr="002B70A5">
        <w:trPr>
          <w:cantSplit/>
        </w:trPr>
        <w:tc>
          <w:tcPr>
            <w:tcW w:w="942" w:type="pct"/>
          </w:tcPr>
          <w:p w14:paraId="617CE6BB" w14:textId="6F7FFDD1" w:rsidR="004E304A" w:rsidRPr="00540F41" w:rsidRDefault="004E304A" w:rsidP="004E304A">
            <w:pPr>
              <w:pStyle w:val="tbltext"/>
            </w:pPr>
            <w:r w:rsidRPr="002B57B1">
              <w:t>Notional amount schedule</w:t>
            </w:r>
            <w:r w:rsidR="00193DFB">
              <w:t>—</w:t>
            </w:r>
            <w:r w:rsidR="00E056BB">
              <w:t xml:space="preserve">Leg </w:t>
            </w:r>
            <w:r>
              <w:t>2</w:t>
            </w:r>
          </w:p>
        </w:tc>
        <w:tc>
          <w:tcPr>
            <w:tcW w:w="2453" w:type="pct"/>
          </w:tcPr>
          <w:p w14:paraId="7179D494" w14:textId="77777777" w:rsidR="004E304A" w:rsidRDefault="004E304A" w:rsidP="004E304A">
            <w:pPr>
              <w:pStyle w:val="tbltext"/>
            </w:pPr>
            <w:r>
              <w:t>{CDE TG} For each leg of the transaction, where applicable, for OTC derivative transactions negotiated in monetary amounts:</w:t>
            </w:r>
          </w:p>
          <w:p w14:paraId="0FAC82C1" w14:textId="61C137A4" w:rsidR="004E304A" w:rsidRDefault="004E304A" w:rsidP="004E304A">
            <w:pPr>
              <w:pStyle w:val="tbltext"/>
            </w:pPr>
            <w:r>
              <w:t xml:space="preserve">a schedule of periods with start date, end date and </w:t>
            </w:r>
            <w:r w:rsidR="00B67B9E">
              <w:t xml:space="preserve">notional </w:t>
            </w:r>
            <w:r>
              <w:t>amount prevailing in the period.</w:t>
            </w:r>
          </w:p>
        </w:tc>
        <w:tc>
          <w:tcPr>
            <w:tcW w:w="403" w:type="pct"/>
          </w:tcPr>
          <w:p w14:paraId="37F7C93E" w14:textId="64CF3450" w:rsidR="004E304A" w:rsidRDefault="004E304A" w:rsidP="004E304A">
            <w:pPr>
              <w:pStyle w:val="tbltext"/>
              <w:jc w:val="center"/>
            </w:pPr>
            <w:r>
              <w:t>2.78.1</w:t>
            </w:r>
            <w:r w:rsidR="006C5193">
              <w:br/>
            </w:r>
            <w:r>
              <w:t>2.78.2</w:t>
            </w:r>
            <w:r w:rsidR="006C5193">
              <w:br/>
            </w:r>
            <w:r>
              <w:t>2.78.3</w:t>
            </w:r>
          </w:p>
        </w:tc>
        <w:tc>
          <w:tcPr>
            <w:tcW w:w="402" w:type="pct"/>
          </w:tcPr>
          <w:p w14:paraId="3B6ACBD5" w14:textId="5C80B493" w:rsidR="004E304A" w:rsidRDefault="004E304A" w:rsidP="006C5193">
            <w:pPr>
              <w:pStyle w:val="tbltext"/>
              <w:jc w:val="center"/>
            </w:pPr>
            <w:r>
              <w:t>34</w:t>
            </w:r>
            <w:r w:rsidR="006C5193">
              <w:br/>
            </w:r>
            <w:r>
              <w:t>35</w:t>
            </w:r>
            <w:r w:rsidR="006C5193">
              <w:br/>
            </w:r>
            <w:r>
              <w:t>33</w:t>
            </w:r>
          </w:p>
        </w:tc>
        <w:tc>
          <w:tcPr>
            <w:tcW w:w="408" w:type="pct"/>
          </w:tcPr>
          <w:p w14:paraId="10E72379" w14:textId="735C9A04" w:rsidR="004E304A" w:rsidRDefault="004E304A" w:rsidP="006C5193">
            <w:pPr>
              <w:pStyle w:val="tbltext"/>
              <w:jc w:val="center"/>
            </w:pPr>
            <w:r>
              <w:t>2.61</w:t>
            </w:r>
            <w:r w:rsidR="006C5193">
              <w:br/>
            </w:r>
            <w:r>
              <w:t>2.62</w:t>
            </w:r>
            <w:r w:rsidR="006C5193">
              <w:br/>
            </w:r>
            <w:r>
              <w:t>2.63</w:t>
            </w:r>
          </w:p>
        </w:tc>
        <w:tc>
          <w:tcPr>
            <w:tcW w:w="392" w:type="pct"/>
          </w:tcPr>
          <w:p w14:paraId="0E489CC5" w14:textId="0F1AAEDE" w:rsidR="004E304A" w:rsidRDefault="004E304A" w:rsidP="004E304A">
            <w:pPr>
              <w:pStyle w:val="tbltext"/>
              <w:jc w:val="center"/>
            </w:pPr>
            <w:r>
              <w:t>n/a</w:t>
            </w:r>
          </w:p>
        </w:tc>
      </w:tr>
      <w:tr w:rsidR="004E304A" w:rsidRPr="000540E1" w14:paraId="65460335" w14:textId="77777777" w:rsidTr="002B70A5">
        <w:trPr>
          <w:cantSplit/>
        </w:trPr>
        <w:tc>
          <w:tcPr>
            <w:tcW w:w="942" w:type="pct"/>
          </w:tcPr>
          <w:p w14:paraId="5E9A316A" w14:textId="1C393117" w:rsidR="004E304A" w:rsidRPr="00540F41" w:rsidRDefault="004E304A" w:rsidP="004E304A">
            <w:pPr>
              <w:pStyle w:val="tbltext"/>
            </w:pPr>
            <w:r>
              <w:t>Total notional quantity</w:t>
            </w:r>
            <w:r w:rsidR="00193DFB">
              <w:t>—</w:t>
            </w:r>
            <w:r w:rsidR="00E056BB">
              <w:t xml:space="preserve">Leg </w:t>
            </w:r>
            <w:r>
              <w:t>1</w:t>
            </w:r>
          </w:p>
        </w:tc>
        <w:tc>
          <w:tcPr>
            <w:tcW w:w="2453" w:type="pct"/>
          </w:tcPr>
          <w:p w14:paraId="5C66A0B9" w14:textId="27D8F080" w:rsidR="004E304A" w:rsidRDefault="004E304A" w:rsidP="004E304A">
            <w:pPr>
              <w:pStyle w:val="tbltext"/>
            </w:pPr>
            <w:r>
              <w:t xml:space="preserve">{CDE TG} For each leg of the transaction, where applicable: aggregate </w:t>
            </w:r>
            <w:r w:rsidR="00B67B9E">
              <w:t xml:space="preserve">notional </w:t>
            </w:r>
            <w:r>
              <w:t>quantity of the underlying asset for the term of the transaction.</w:t>
            </w:r>
          </w:p>
        </w:tc>
        <w:tc>
          <w:tcPr>
            <w:tcW w:w="403" w:type="pct"/>
          </w:tcPr>
          <w:p w14:paraId="6830C4A7" w14:textId="77777777" w:rsidR="004E304A" w:rsidRDefault="004E304A" w:rsidP="004E304A">
            <w:pPr>
              <w:pStyle w:val="tbltext"/>
              <w:jc w:val="center"/>
            </w:pPr>
            <w:r>
              <w:t>2.79</w:t>
            </w:r>
          </w:p>
        </w:tc>
        <w:tc>
          <w:tcPr>
            <w:tcW w:w="402" w:type="pct"/>
          </w:tcPr>
          <w:p w14:paraId="31F526A4" w14:textId="77777777" w:rsidR="004E304A" w:rsidRDefault="004E304A" w:rsidP="004E304A">
            <w:pPr>
              <w:pStyle w:val="tbltext"/>
              <w:jc w:val="center"/>
            </w:pPr>
            <w:r>
              <w:t>44</w:t>
            </w:r>
          </w:p>
        </w:tc>
        <w:tc>
          <w:tcPr>
            <w:tcW w:w="408" w:type="pct"/>
          </w:tcPr>
          <w:p w14:paraId="24D8319B" w14:textId="77777777" w:rsidR="004E304A" w:rsidRDefault="004E304A" w:rsidP="004E304A">
            <w:pPr>
              <w:pStyle w:val="tbltext"/>
              <w:jc w:val="center"/>
            </w:pPr>
            <w:r>
              <w:t>2.55</w:t>
            </w:r>
          </w:p>
        </w:tc>
        <w:tc>
          <w:tcPr>
            <w:tcW w:w="392" w:type="pct"/>
          </w:tcPr>
          <w:p w14:paraId="14F3BA7D" w14:textId="2ABC3F6F" w:rsidR="004E304A" w:rsidRDefault="004E304A" w:rsidP="004E304A">
            <w:pPr>
              <w:pStyle w:val="tbltext"/>
              <w:jc w:val="center"/>
            </w:pPr>
            <w:r>
              <w:t>2.9</w:t>
            </w:r>
          </w:p>
        </w:tc>
      </w:tr>
      <w:tr w:rsidR="004E304A" w:rsidRPr="000540E1" w14:paraId="68AD6E09" w14:textId="77777777" w:rsidTr="002B70A5">
        <w:trPr>
          <w:cantSplit/>
        </w:trPr>
        <w:tc>
          <w:tcPr>
            <w:tcW w:w="942" w:type="pct"/>
          </w:tcPr>
          <w:p w14:paraId="678D1A54" w14:textId="591D0410" w:rsidR="004E304A" w:rsidRPr="00540F41" w:rsidRDefault="004E304A" w:rsidP="004E304A">
            <w:pPr>
              <w:pStyle w:val="tbltext"/>
            </w:pPr>
            <w:r>
              <w:t>Total notional quantity</w:t>
            </w:r>
            <w:r w:rsidR="00193DFB">
              <w:t>—</w:t>
            </w:r>
            <w:r w:rsidR="00E056BB">
              <w:t xml:space="preserve">Leg </w:t>
            </w:r>
            <w:r>
              <w:t>2</w:t>
            </w:r>
          </w:p>
        </w:tc>
        <w:tc>
          <w:tcPr>
            <w:tcW w:w="2453" w:type="pct"/>
          </w:tcPr>
          <w:p w14:paraId="2B37F025" w14:textId="7AAA73FA" w:rsidR="004E304A" w:rsidRDefault="004E304A" w:rsidP="004E304A">
            <w:pPr>
              <w:pStyle w:val="tbltext"/>
            </w:pPr>
            <w:r>
              <w:t xml:space="preserve">{CDE TG} For each leg of the transaction, where applicable: aggregate </w:t>
            </w:r>
            <w:r w:rsidR="00B67B9E">
              <w:t xml:space="preserve">notional </w:t>
            </w:r>
            <w:r>
              <w:t>quantity of the underlying asset for the term of the transaction.</w:t>
            </w:r>
          </w:p>
        </w:tc>
        <w:tc>
          <w:tcPr>
            <w:tcW w:w="403" w:type="pct"/>
          </w:tcPr>
          <w:p w14:paraId="1C0476F0" w14:textId="64DF7EB5" w:rsidR="004E304A" w:rsidRDefault="004E304A" w:rsidP="004E304A">
            <w:pPr>
              <w:pStyle w:val="tbltext"/>
              <w:jc w:val="center"/>
            </w:pPr>
            <w:r>
              <w:t>2.79</w:t>
            </w:r>
          </w:p>
        </w:tc>
        <w:tc>
          <w:tcPr>
            <w:tcW w:w="402" w:type="pct"/>
          </w:tcPr>
          <w:p w14:paraId="72539134" w14:textId="167CA010" w:rsidR="004E304A" w:rsidRDefault="004E304A" w:rsidP="004E304A">
            <w:pPr>
              <w:pStyle w:val="tbltext"/>
              <w:jc w:val="center"/>
            </w:pPr>
            <w:r>
              <w:t>44</w:t>
            </w:r>
          </w:p>
        </w:tc>
        <w:tc>
          <w:tcPr>
            <w:tcW w:w="408" w:type="pct"/>
          </w:tcPr>
          <w:p w14:paraId="0AF664B1" w14:textId="29A68DD9" w:rsidR="004E304A" w:rsidRDefault="004E304A" w:rsidP="004E304A">
            <w:pPr>
              <w:pStyle w:val="tbltext"/>
              <w:jc w:val="center"/>
            </w:pPr>
            <w:r>
              <w:t>2.64</w:t>
            </w:r>
          </w:p>
        </w:tc>
        <w:tc>
          <w:tcPr>
            <w:tcW w:w="392" w:type="pct"/>
          </w:tcPr>
          <w:p w14:paraId="298183E3" w14:textId="04390CE8" w:rsidR="004E304A" w:rsidRDefault="004E304A" w:rsidP="004E304A">
            <w:pPr>
              <w:pStyle w:val="tbltext"/>
              <w:jc w:val="center"/>
            </w:pPr>
            <w:r>
              <w:t>n/a</w:t>
            </w:r>
          </w:p>
        </w:tc>
      </w:tr>
      <w:tr w:rsidR="004E304A" w:rsidRPr="000540E1" w14:paraId="198FAA40" w14:textId="77777777" w:rsidTr="005E2C08">
        <w:trPr>
          <w:cantSplit/>
        </w:trPr>
        <w:tc>
          <w:tcPr>
            <w:tcW w:w="942" w:type="pct"/>
          </w:tcPr>
          <w:p w14:paraId="28693E92" w14:textId="4931C94E" w:rsidR="004E304A" w:rsidRPr="000540E1" w:rsidRDefault="004E304A" w:rsidP="004E304A">
            <w:pPr>
              <w:pStyle w:val="tbltext"/>
            </w:pPr>
            <w:r>
              <w:t>Notional quantity</w:t>
            </w:r>
            <w:r w:rsidR="00193DFB">
              <w:t>—</w:t>
            </w:r>
            <w:r w:rsidR="00E056BB">
              <w:t xml:space="preserve">Leg </w:t>
            </w:r>
            <w:r>
              <w:t>1</w:t>
            </w:r>
          </w:p>
        </w:tc>
        <w:tc>
          <w:tcPr>
            <w:tcW w:w="2453" w:type="pct"/>
          </w:tcPr>
          <w:p w14:paraId="68923CFB" w14:textId="280DDFAE" w:rsidR="004E304A" w:rsidRPr="000540E1" w:rsidRDefault="004E304A" w:rsidP="004E304A">
            <w:pPr>
              <w:pStyle w:val="tbltext"/>
            </w:pPr>
            <w:r>
              <w:t xml:space="preserve">{CFTC} </w:t>
            </w:r>
            <w:r w:rsidRPr="00AE6A3B">
              <w:t>For each leg of the swap transaction, where applicable, for swap transactions negotiated in non-monetary amounts with fixed notional quantity for each schedule period (i.e. 50 barrels per month).</w:t>
            </w:r>
          </w:p>
        </w:tc>
        <w:tc>
          <w:tcPr>
            <w:tcW w:w="403" w:type="pct"/>
          </w:tcPr>
          <w:p w14:paraId="4D3A5022" w14:textId="481E726F" w:rsidR="004E304A" w:rsidRPr="000540E1" w:rsidRDefault="004E304A" w:rsidP="004E304A">
            <w:pPr>
              <w:pStyle w:val="tbltext"/>
              <w:jc w:val="center"/>
            </w:pPr>
            <w:r>
              <w:t>n/a</w:t>
            </w:r>
          </w:p>
        </w:tc>
        <w:tc>
          <w:tcPr>
            <w:tcW w:w="402" w:type="pct"/>
          </w:tcPr>
          <w:p w14:paraId="51211838" w14:textId="77777777" w:rsidR="004E304A" w:rsidRPr="000540E1" w:rsidRDefault="004E304A" w:rsidP="004E304A">
            <w:pPr>
              <w:pStyle w:val="tbltext"/>
              <w:jc w:val="center"/>
            </w:pPr>
            <w:r>
              <w:t>40</w:t>
            </w:r>
          </w:p>
        </w:tc>
        <w:tc>
          <w:tcPr>
            <w:tcW w:w="408" w:type="pct"/>
          </w:tcPr>
          <w:p w14:paraId="7DAAFD73" w14:textId="5B2624BF" w:rsidR="004E304A" w:rsidRPr="000540E1" w:rsidRDefault="004E304A" w:rsidP="004E304A">
            <w:pPr>
              <w:pStyle w:val="tbltext"/>
              <w:jc w:val="center"/>
            </w:pPr>
            <w:r>
              <w:t>n/a</w:t>
            </w:r>
          </w:p>
        </w:tc>
        <w:tc>
          <w:tcPr>
            <w:tcW w:w="392" w:type="pct"/>
          </w:tcPr>
          <w:p w14:paraId="23CA0E34" w14:textId="4530A529" w:rsidR="004E304A" w:rsidRPr="000540E1" w:rsidRDefault="004E304A" w:rsidP="004E304A">
            <w:pPr>
              <w:pStyle w:val="tbltext"/>
              <w:jc w:val="center"/>
            </w:pPr>
            <w:r>
              <w:t>n/a</w:t>
            </w:r>
          </w:p>
        </w:tc>
      </w:tr>
      <w:tr w:rsidR="004E304A" w:rsidRPr="000540E1" w14:paraId="0AA8028F" w14:textId="77777777" w:rsidTr="005E2C08">
        <w:trPr>
          <w:cantSplit/>
        </w:trPr>
        <w:tc>
          <w:tcPr>
            <w:tcW w:w="942" w:type="pct"/>
          </w:tcPr>
          <w:p w14:paraId="3783060F" w14:textId="160499F8" w:rsidR="004E304A" w:rsidRPr="000540E1" w:rsidRDefault="004E304A" w:rsidP="004E304A">
            <w:pPr>
              <w:pStyle w:val="tbltext"/>
            </w:pPr>
            <w:r>
              <w:t>Notional quantity</w:t>
            </w:r>
            <w:r w:rsidR="00193DFB">
              <w:t>—</w:t>
            </w:r>
            <w:r w:rsidR="00E056BB">
              <w:t xml:space="preserve">Leg </w:t>
            </w:r>
            <w:r>
              <w:t>2</w:t>
            </w:r>
          </w:p>
        </w:tc>
        <w:tc>
          <w:tcPr>
            <w:tcW w:w="2453" w:type="pct"/>
          </w:tcPr>
          <w:p w14:paraId="388C38C1" w14:textId="546196D2" w:rsidR="004E304A" w:rsidRPr="000540E1" w:rsidRDefault="004E304A" w:rsidP="004E304A">
            <w:pPr>
              <w:pStyle w:val="tbltext"/>
            </w:pPr>
            <w:r>
              <w:t xml:space="preserve">{CFTC} </w:t>
            </w:r>
            <w:r w:rsidRPr="00AE6A3B">
              <w:t>For each leg of the swap transaction, where applicable, for swap transactions negotiated in non-monetary amounts with fixed notional quantity for each schedule period (i.e. 50 barrels per month).</w:t>
            </w:r>
          </w:p>
        </w:tc>
        <w:tc>
          <w:tcPr>
            <w:tcW w:w="403" w:type="pct"/>
          </w:tcPr>
          <w:p w14:paraId="766A0CA4" w14:textId="36F90849" w:rsidR="004E304A" w:rsidRPr="000540E1" w:rsidRDefault="004E304A" w:rsidP="004E304A">
            <w:pPr>
              <w:pStyle w:val="tbltext"/>
              <w:jc w:val="center"/>
            </w:pPr>
            <w:r>
              <w:t>n/a</w:t>
            </w:r>
          </w:p>
        </w:tc>
        <w:tc>
          <w:tcPr>
            <w:tcW w:w="402" w:type="pct"/>
          </w:tcPr>
          <w:p w14:paraId="5D73E92F" w14:textId="77777777" w:rsidR="004E304A" w:rsidRPr="000540E1" w:rsidRDefault="004E304A" w:rsidP="004E304A">
            <w:pPr>
              <w:pStyle w:val="tbltext"/>
              <w:jc w:val="center"/>
            </w:pPr>
            <w:r>
              <w:t>40</w:t>
            </w:r>
          </w:p>
        </w:tc>
        <w:tc>
          <w:tcPr>
            <w:tcW w:w="408" w:type="pct"/>
          </w:tcPr>
          <w:p w14:paraId="42C5A8C9" w14:textId="240F4A6B" w:rsidR="004E304A" w:rsidRPr="000540E1" w:rsidRDefault="004E304A" w:rsidP="004E304A">
            <w:pPr>
              <w:pStyle w:val="tbltext"/>
              <w:jc w:val="center"/>
            </w:pPr>
            <w:r>
              <w:t>n/a</w:t>
            </w:r>
          </w:p>
        </w:tc>
        <w:tc>
          <w:tcPr>
            <w:tcW w:w="392" w:type="pct"/>
          </w:tcPr>
          <w:p w14:paraId="33E8F266" w14:textId="6DB1B2D1" w:rsidR="004E304A" w:rsidRPr="000540E1" w:rsidRDefault="004E304A" w:rsidP="004E304A">
            <w:pPr>
              <w:pStyle w:val="tbltext"/>
              <w:jc w:val="center"/>
            </w:pPr>
            <w:r>
              <w:t>n/a</w:t>
            </w:r>
          </w:p>
        </w:tc>
      </w:tr>
    </w:tbl>
    <w:p w14:paraId="5284AC7B" w14:textId="74409720" w:rsidR="00D56B27" w:rsidRPr="00D56B27" w:rsidRDefault="00AA123A" w:rsidP="00183994">
      <w:pPr>
        <w:pStyle w:val="BodyText"/>
        <w:rPr>
          <w:rFonts w:eastAsiaTheme="minorHAnsi"/>
        </w:rPr>
      </w:pPr>
      <w:r w:rsidRPr="00D56B27">
        <w:rPr>
          <w:rFonts w:eastAsiaTheme="minorHAnsi"/>
        </w:rPr>
        <w:t xml:space="preserve">‘Notional </w:t>
      </w:r>
      <w:r w:rsidR="00B67B9E">
        <w:rPr>
          <w:rFonts w:eastAsiaTheme="minorHAnsi"/>
        </w:rPr>
        <w:t>a</w:t>
      </w:r>
      <w:r w:rsidR="00B67B9E" w:rsidRPr="00D56B27">
        <w:rPr>
          <w:rFonts w:eastAsiaTheme="minorHAnsi"/>
        </w:rPr>
        <w:t>mount</w:t>
      </w:r>
      <w:r w:rsidR="00193DFB">
        <w:rPr>
          <w:rFonts w:eastAsiaTheme="minorHAnsi"/>
        </w:rPr>
        <w:t>—</w:t>
      </w:r>
      <w:r w:rsidR="00B67B9E">
        <w:rPr>
          <w:rFonts w:eastAsiaTheme="minorHAnsi"/>
        </w:rPr>
        <w:t>l</w:t>
      </w:r>
      <w:r w:rsidR="00B67B9E" w:rsidRPr="00D56B27">
        <w:rPr>
          <w:rFonts w:eastAsiaTheme="minorHAnsi"/>
        </w:rPr>
        <w:t xml:space="preserve">eg </w:t>
      </w:r>
      <w:r w:rsidRPr="00D56B27">
        <w:rPr>
          <w:rFonts w:eastAsiaTheme="minorHAnsi"/>
        </w:rPr>
        <w:t>1’, ‘</w:t>
      </w:r>
      <w:r w:rsidR="00B67B9E">
        <w:rPr>
          <w:rFonts w:eastAsiaTheme="minorHAnsi"/>
        </w:rPr>
        <w:t>n</w:t>
      </w:r>
      <w:r w:rsidR="00B67B9E" w:rsidRPr="00D56B27">
        <w:rPr>
          <w:rFonts w:eastAsiaTheme="minorHAnsi"/>
        </w:rPr>
        <w:t xml:space="preserve">otional </w:t>
      </w:r>
      <w:r w:rsidR="00B67B9E">
        <w:rPr>
          <w:rFonts w:eastAsiaTheme="minorHAnsi"/>
        </w:rPr>
        <w:t>a</w:t>
      </w:r>
      <w:r w:rsidR="00B67B9E" w:rsidRPr="00D56B27">
        <w:rPr>
          <w:rFonts w:eastAsiaTheme="minorHAnsi"/>
        </w:rPr>
        <w:t>mount</w:t>
      </w:r>
      <w:r w:rsidR="00193DFB">
        <w:rPr>
          <w:rFonts w:eastAsiaTheme="minorHAnsi"/>
        </w:rPr>
        <w:t>—</w:t>
      </w:r>
      <w:r w:rsidR="00B67B9E">
        <w:rPr>
          <w:rFonts w:eastAsiaTheme="minorHAnsi"/>
        </w:rPr>
        <w:t>l</w:t>
      </w:r>
      <w:r w:rsidR="00B67B9E" w:rsidRPr="00D56B27">
        <w:rPr>
          <w:rFonts w:eastAsiaTheme="minorHAnsi"/>
        </w:rPr>
        <w:t xml:space="preserve">eg </w:t>
      </w:r>
      <w:r w:rsidRPr="00D56B27">
        <w:rPr>
          <w:rFonts w:eastAsiaTheme="minorHAnsi"/>
        </w:rPr>
        <w:t>2’, ‘</w:t>
      </w:r>
      <w:r w:rsidR="00B67B9E">
        <w:rPr>
          <w:rFonts w:eastAsiaTheme="minorHAnsi"/>
        </w:rPr>
        <w:t>n</w:t>
      </w:r>
      <w:r w:rsidR="00B67B9E" w:rsidRPr="00D56B27">
        <w:rPr>
          <w:rFonts w:eastAsiaTheme="minorHAnsi"/>
        </w:rPr>
        <w:t xml:space="preserve">otional </w:t>
      </w:r>
      <w:r w:rsidRPr="00D56B27">
        <w:rPr>
          <w:rFonts w:eastAsiaTheme="minorHAnsi"/>
        </w:rPr>
        <w:t>currency</w:t>
      </w:r>
      <w:r w:rsidR="00193DFB">
        <w:rPr>
          <w:rFonts w:eastAsiaTheme="minorHAnsi"/>
        </w:rPr>
        <w:t>—</w:t>
      </w:r>
      <w:r w:rsidR="00B67B9E">
        <w:rPr>
          <w:rFonts w:eastAsiaTheme="minorHAnsi"/>
        </w:rPr>
        <w:t>l</w:t>
      </w:r>
      <w:r w:rsidR="00B67B9E" w:rsidRPr="00D56B27">
        <w:rPr>
          <w:rFonts w:eastAsiaTheme="minorHAnsi"/>
        </w:rPr>
        <w:t xml:space="preserve">eg </w:t>
      </w:r>
      <w:r w:rsidRPr="00D56B27">
        <w:rPr>
          <w:rFonts w:eastAsiaTheme="minorHAnsi"/>
        </w:rPr>
        <w:t>1’, ‘</w:t>
      </w:r>
      <w:r w:rsidR="00B67B9E">
        <w:rPr>
          <w:rFonts w:eastAsiaTheme="minorHAnsi"/>
        </w:rPr>
        <w:t>n</w:t>
      </w:r>
      <w:r w:rsidR="00B67B9E" w:rsidRPr="00D56B27">
        <w:rPr>
          <w:rFonts w:eastAsiaTheme="minorHAnsi"/>
        </w:rPr>
        <w:t xml:space="preserve">otional </w:t>
      </w:r>
      <w:r w:rsidRPr="00D56B27">
        <w:rPr>
          <w:rFonts w:eastAsiaTheme="minorHAnsi"/>
        </w:rPr>
        <w:t>currency</w:t>
      </w:r>
      <w:r w:rsidR="00193DFB">
        <w:rPr>
          <w:rFonts w:eastAsiaTheme="minorHAnsi"/>
        </w:rPr>
        <w:t>—</w:t>
      </w:r>
      <w:r w:rsidR="00B67B9E">
        <w:rPr>
          <w:rFonts w:eastAsiaTheme="minorHAnsi"/>
        </w:rPr>
        <w:t>l</w:t>
      </w:r>
      <w:r w:rsidR="00B67B9E" w:rsidRPr="00D56B27">
        <w:rPr>
          <w:rFonts w:eastAsiaTheme="minorHAnsi"/>
        </w:rPr>
        <w:t xml:space="preserve">eg </w:t>
      </w:r>
      <w:r w:rsidRPr="00D56B27">
        <w:rPr>
          <w:rFonts w:eastAsiaTheme="minorHAnsi"/>
        </w:rPr>
        <w:t>2’</w:t>
      </w:r>
      <w:r w:rsidR="002921E7" w:rsidRPr="00D56B27">
        <w:rPr>
          <w:rFonts w:eastAsiaTheme="minorHAnsi"/>
        </w:rPr>
        <w:t>, ‘</w:t>
      </w:r>
      <w:r w:rsidR="00B67B9E">
        <w:rPr>
          <w:rFonts w:eastAsiaTheme="minorHAnsi"/>
        </w:rPr>
        <w:t>q</w:t>
      </w:r>
      <w:r w:rsidR="00B67B9E" w:rsidRPr="00D56B27">
        <w:rPr>
          <w:rFonts w:eastAsiaTheme="minorHAnsi"/>
        </w:rPr>
        <w:t xml:space="preserve">uantity </w:t>
      </w:r>
      <w:r w:rsidR="002921E7" w:rsidRPr="00D56B27">
        <w:rPr>
          <w:rFonts w:eastAsiaTheme="minorHAnsi"/>
        </w:rPr>
        <w:t>unit of measure</w:t>
      </w:r>
      <w:r w:rsidR="00193DFB">
        <w:rPr>
          <w:rFonts w:eastAsiaTheme="minorHAnsi"/>
        </w:rPr>
        <w:t>—</w:t>
      </w:r>
      <w:r w:rsidR="00B67B9E">
        <w:rPr>
          <w:rFonts w:eastAsiaTheme="minorHAnsi"/>
        </w:rPr>
        <w:t>l</w:t>
      </w:r>
      <w:r w:rsidR="00B67B9E" w:rsidRPr="00D56B27">
        <w:rPr>
          <w:rFonts w:eastAsiaTheme="minorHAnsi"/>
        </w:rPr>
        <w:t xml:space="preserve">eg </w:t>
      </w:r>
      <w:r w:rsidR="002921E7" w:rsidRPr="00D56B27">
        <w:rPr>
          <w:rFonts w:eastAsiaTheme="minorHAnsi"/>
        </w:rPr>
        <w:t>1</w:t>
      </w:r>
      <w:r w:rsidR="00D56B27" w:rsidRPr="00D56B27">
        <w:rPr>
          <w:rFonts w:eastAsiaTheme="minorHAnsi"/>
        </w:rPr>
        <w:t>’ and ‘</w:t>
      </w:r>
      <w:r w:rsidR="00B67B9E">
        <w:rPr>
          <w:rFonts w:eastAsiaTheme="minorHAnsi"/>
        </w:rPr>
        <w:t>t</w:t>
      </w:r>
      <w:r w:rsidR="00B67B9E" w:rsidRPr="00D56B27">
        <w:rPr>
          <w:rFonts w:eastAsiaTheme="minorHAnsi"/>
        </w:rPr>
        <w:t xml:space="preserve">otal </w:t>
      </w:r>
      <w:r w:rsidRPr="00D56B27">
        <w:rPr>
          <w:rFonts w:eastAsiaTheme="minorHAnsi"/>
        </w:rPr>
        <w:t>notional quantity</w:t>
      </w:r>
      <w:r w:rsidR="00193DFB">
        <w:rPr>
          <w:rFonts w:eastAsiaTheme="minorHAnsi"/>
        </w:rPr>
        <w:t>—</w:t>
      </w:r>
      <w:r w:rsidR="00B67B9E">
        <w:rPr>
          <w:rFonts w:eastAsiaTheme="minorHAnsi"/>
        </w:rPr>
        <w:t>l</w:t>
      </w:r>
      <w:r w:rsidR="00B67B9E" w:rsidRPr="00D56B27">
        <w:rPr>
          <w:rFonts w:eastAsiaTheme="minorHAnsi"/>
        </w:rPr>
        <w:t xml:space="preserve">eg </w:t>
      </w:r>
      <w:r w:rsidRPr="00D56B27">
        <w:rPr>
          <w:rFonts w:eastAsiaTheme="minorHAnsi"/>
        </w:rPr>
        <w:t>1</w:t>
      </w:r>
      <w:r w:rsidR="00D56B27" w:rsidRPr="00D56B27">
        <w:rPr>
          <w:rFonts w:eastAsiaTheme="minorHAnsi"/>
        </w:rPr>
        <w:t xml:space="preserve">’ </w:t>
      </w:r>
      <w:r w:rsidR="00D56B27">
        <w:rPr>
          <w:rFonts w:eastAsiaTheme="minorHAnsi"/>
        </w:rPr>
        <w:t xml:space="preserve">effectively </w:t>
      </w:r>
      <w:r w:rsidR="00D56B27" w:rsidRPr="00D56B27">
        <w:rPr>
          <w:rFonts w:eastAsiaTheme="minorHAnsi"/>
        </w:rPr>
        <w:t xml:space="preserve">directly substitute </w:t>
      </w:r>
      <w:r w:rsidR="00D56B27" w:rsidRPr="00D56B27">
        <w:t>for the corresponding data elements in the current ASIC Rules</w:t>
      </w:r>
      <w:r w:rsidR="00D56B27">
        <w:t>.</w:t>
      </w:r>
    </w:p>
    <w:p w14:paraId="06AD5EA8" w14:textId="52C03D2B" w:rsidR="00BB507D" w:rsidRDefault="007D1B5C" w:rsidP="00183994">
      <w:pPr>
        <w:pStyle w:val="BodyText"/>
        <w:rPr>
          <w:rFonts w:eastAsiaTheme="minorHAnsi"/>
        </w:rPr>
      </w:pPr>
      <w:r w:rsidRPr="00D56B27">
        <w:rPr>
          <w:rFonts w:eastAsiaTheme="minorHAnsi"/>
        </w:rPr>
        <w:t>‘Quantity unit of measure</w:t>
      </w:r>
      <w:r w:rsidR="00193DFB">
        <w:rPr>
          <w:rFonts w:eastAsiaTheme="minorHAnsi"/>
        </w:rPr>
        <w:t>—</w:t>
      </w:r>
      <w:r w:rsidR="00B67B9E">
        <w:rPr>
          <w:rFonts w:eastAsiaTheme="minorHAnsi"/>
        </w:rPr>
        <w:t>l</w:t>
      </w:r>
      <w:r w:rsidR="00B67B9E" w:rsidRPr="00D56B27">
        <w:rPr>
          <w:rFonts w:eastAsiaTheme="minorHAnsi"/>
        </w:rPr>
        <w:t xml:space="preserve">eg </w:t>
      </w:r>
      <w:r>
        <w:rPr>
          <w:rFonts w:eastAsiaTheme="minorHAnsi"/>
        </w:rPr>
        <w:t>2</w:t>
      </w:r>
      <w:r w:rsidRPr="00D56B27">
        <w:rPr>
          <w:rFonts w:eastAsiaTheme="minorHAnsi"/>
        </w:rPr>
        <w:t>’ and ‘</w:t>
      </w:r>
      <w:r w:rsidR="00B67B9E">
        <w:rPr>
          <w:rFonts w:eastAsiaTheme="minorHAnsi"/>
        </w:rPr>
        <w:t>t</w:t>
      </w:r>
      <w:r w:rsidR="00B67B9E" w:rsidRPr="00D56B27">
        <w:rPr>
          <w:rFonts w:eastAsiaTheme="minorHAnsi"/>
        </w:rPr>
        <w:t xml:space="preserve">otal </w:t>
      </w:r>
      <w:r w:rsidRPr="00D56B27">
        <w:rPr>
          <w:rFonts w:eastAsiaTheme="minorHAnsi"/>
        </w:rPr>
        <w:t>notional quantity</w:t>
      </w:r>
      <w:r w:rsidR="00193DFB">
        <w:rPr>
          <w:rFonts w:eastAsiaTheme="minorHAnsi"/>
        </w:rPr>
        <w:t>—</w:t>
      </w:r>
      <w:r w:rsidR="00B67B9E">
        <w:rPr>
          <w:rFonts w:eastAsiaTheme="minorHAnsi"/>
        </w:rPr>
        <w:t>l</w:t>
      </w:r>
      <w:r w:rsidR="00B67B9E" w:rsidRPr="00D56B27">
        <w:rPr>
          <w:rFonts w:eastAsiaTheme="minorHAnsi"/>
        </w:rPr>
        <w:t xml:space="preserve">eg </w:t>
      </w:r>
      <w:r>
        <w:rPr>
          <w:rFonts w:eastAsiaTheme="minorHAnsi"/>
        </w:rPr>
        <w:t>2</w:t>
      </w:r>
      <w:r w:rsidRPr="00D56B27">
        <w:rPr>
          <w:rFonts w:eastAsiaTheme="minorHAnsi"/>
        </w:rPr>
        <w:t>’</w:t>
      </w:r>
      <w:r>
        <w:rPr>
          <w:rFonts w:eastAsiaTheme="minorHAnsi"/>
        </w:rPr>
        <w:t xml:space="preserve"> are data elements that </w:t>
      </w:r>
      <w:r w:rsidR="00FF3325">
        <w:rPr>
          <w:rFonts w:eastAsiaTheme="minorHAnsi"/>
        </w:rPr>
        <w:t>provide for the remaining</w:t>
      </w:r>
      <w:r w:rsidR="004124F2">
        <w:rPr>
          <w:rFonts w:eastAsiaTheme="minorHAnsi"/>
        </w:rPr>
        <w:t xml:space="preserve"> possible </w:t>
      </w:r>
      <w:r w:rsidR="00FF3325">
        <w:rPr>
          <w:rFonts w:eastAsiaTheme="minorHAnsi"/>
        </w:rPr>
        <w:t xml:space="preserve">combinations of notional </w:t>
      </w:r>
      <w:r w:rsidR="00BB507D">
        <w:rPr>
          <w:rFonts w:eastAsiaTheme="minorHAnsi"/>
        </w:rPr>
        <w:t xml:space="preserve">amount and </w:t>
      </w:r>
      <w:r w:rsidR="00FF3325">
        <w:rPr>
          <w:rFonts w:eastAsiaTheme="minorHAnsi"/>
        </w:rPr>
        <w:t>notional quantity</w:t>
      </w:r>
      <w:r w:rsidR="00BB507D">
        <w:rPr>
          <w:rFonts w:eastAsiaTheme="minorHAnsi"/>
        </w:rPr>
        <w:t>:</w:t>
      </w:r>
    </w:p>
    <w:p w14:paraId="031DBDE8" w14:textId="69B945BF" w:rsidR="00BB507D" w:rsidRDefault="004124F2" w:rsidP="0065474F">
      <w:pPr>
        <w:pStyle w:val="subparaa"/>
        <w:rPr>
          <w:rFonts w:eastAsiaTheme="minorHAnsi"/>
        </w:rPr>
      </w:pPr>
      <w:r w:rsidRPr="00D56B27">
        <w:rPr>
          <w:rFonts w:eastAsiaTheme="minorHAnsi"/>
        </w:rPr>
        <w:t>‘</w:t>
      </w:r>
      <w:r w:rsidR="00283EE6">
        <w:rPr>
          <w:rFonts w:eastAsiaTheme="minorHAnsi"/>
        </w:rPr>
        <w:t>n</w:t>
      </w:r>
      <w:r w:rsidR="00283EE6" w:rsidRPr="00D56B27">
        <w:rPr>
          <w:rFonts w:eastAsiaTheme="minorHAnsi"/>
        </w:rPr>
        <w:t xml:space="preserve">otional </w:t>
      </w:r>
      <w:r w:rsidR="00283EE6">
        <w:rPr>
          <w:rFonts w:eastAsiaTheme="minorHAnsi"/>
        </w:rPr>
        <w:t>a</w:t>
      </w:r>
      <w:r w:rsidR="00283EE6" w:rsidRPr="00D56B27">
        <w:rPr>
          <w:rFonts w:eastAsiaTheme="minorHAnsi"/>
        </w:rPr>
        <w:t>mount</w:t>
      </w:r>
      <w:r w:rsidR="00193DFB">
        <w:rPr>
          <w:rFonts w:eastAsiaTheme="minorHAnsi"/>
        </w:rPr>
        <w:t>—</w:t>
      </w:r>
      <w:r w:rsidR="00283EE6">
        <w:rPr>
          <w:rFonts w:eastAsiaTheme="minorHAnsi"/>
        </w:rPr>
        <w:t>l</w:t>
      </w:r>
      <w:r w:rsidR="00283EE6" w:rsidRPr="00D56B27">
        <w:rPr>
          <w:rFonts w:eastAsiaTheme="minorHAnsi"/>
        </w:rPr>
        <w:t xml:space="preserve">eg </w:t>
      </w:r>
      <w:r w:rsidRPr="00D56B27">
        <w:rPr>
          <w:rFonts w:eastAsiaTheme="minorHAnsi"/>
        </w:rPr>
        <w:t>1’</w:t>
      </w:r>
      <w:r>
        <w:rPr>
          <w:rFonts w:eastAsiaTheme="minorHAnsi"/>
        </w:rPr>
        <w:t xml:space="preserve"> </w:t>
      </w:r>
      <w:r w:rsidR="00283EE6">
        <w:rPr>
          <w:rFonts w:eastAsiaTheme="minorHAnsi"/>
        </w:rPr>
        <w:t xml:space="preserve">versus </w:t>
      </w:r>
      <w:r>
        <w:rPr>
          <w:rFonts w:eastAsiaTheme="minorHAnsi"/>
        </w:rPr>
        <w:t>‘</w:t>
      </w:r>
      <w:r w:rsidR="00283EE6">
        <w:rPr>
          <w:rFonts w:eastAsiaTheme="minorHAnsi"/>
        </w:rPr>
        <w:t>t</w:t>
      </w:r>
      <w:r w:rsidR="00283EE6" w:rsidRPr="00D56B27">
        <w:rPr>
          <w:rFonts w:eastAsiaTheme="minorHAnsi"/>
        </w:rPr>
        <w:t xml:space="preserve">otal </w:t>
      </w:r>
      <w:r w:rsidRPr="00D56B27">
        <w:rPr>
          <w:rFonts w:eastAsiaTheme="minorHAnsi"/>
        </w:rPr>
        <w:t>notional quantity</w:t>
      </w:r>
      <w:r w:rsidR="00193DFB">
        <w:rPr>
          <w:rFonts w:eastAsiaTheme="minorHAnsi"/>
        </w:rPr>
        <w:t>—</w:t>
      </w:r>
      <w:r w:rsidR="00283EE6">
        <w:rPr>
          <w:rFonts w:eastAsiaTheme="minorHAnsi"/>
        </w:rPr>
        <w:t>l</w:t>
      </w:r>
      <w:r w:rsidR="00283EE6" w:rsidRPr="00D56B27">
        <w:rPr>
          <w:rFonts w:eastAsiaTheme="minorHAnsi"/>
        </w:rPr>
        <w:t xml:space="preserve">eg </w:t>
      </w:r>
      <w:r>
        <w:rPr>
          <w:rFonts w:eastAsiaTheme="minorHAnsi"/>
        </w:rPr>
        <w:t>2</w:t>
      </w:r>
      <w:r w:rsidRPr="00D56B27">
        <w:rPr>
          <w:rFonts w:eastAsiaTheme="minorHAnsi"/>
        </w:rPr>
        <w:t>’</w:t>
      </w:r>
      <w:r w:rsidR="00BB507D">
        <w:rPr>
          <w:rFonts w:eastAsiaTheme="minorHAnsi"/>
        </w:rPr>
        <w:t>;</w:t>
      </w:r>
    </w:p>
    <w:p w14:paraId="5CF10CBE" w14:textId="02AF684E" w:rsidR="00BB507D" w:rsidRDefault="004124F2" w:rsidP="0065474F">
      <w:pPr>
        <w:pStyle w:val="subparaa"/>
        <w:rPr>
          <w:rFonts w:eastAsiaTheme="minorHAnsi"/>
        </w:rPr>
      </w:pPr>
      <w:r w:rsidRPr="00D56B27">
        <w:rPr>
          <w:rFonts w:eastAsiaTheme="minorHAnsi"/>
        </w:rPr>
        <w:lastRenderedPageBreak/>
        <w:t>‘</w:t>
      </w:r>
      <w:r w:rsidR="00283EE6">
        <w:rPr>
          <w:rFonts w:eastAsiaTheme="minorHAnsi"/>
        </w:rPr>
        <w:t>n</w:t>
      </w:r>
      <w:r w:rsidR="00283EE6" w:rsidRPr="00D56B27">
        <w:rPr>
          <w:rFonts w:eastAsiaTheme="minorHAnsi"/>
        </w:rPr>
        <w:t xml:space="preserve">otional </w:t>
      </w:r>
      <w:r w:rsidR="00283EE6">
        <w:rPr>
          <w:rFonts w:eastAsiaTheme="minorHAnsi"/>
        </w:rPr>
        <w:t>a</w:t>
      </w:r>
      <w:r w:rsidR="00283EE6" w:rsidRPr="00D56B27">
        <w:rPr>
          <w:rFonts w:eastAsiaTheme="minorHAnsi"/>
        </w:rPr>
        <w:t>mount</w:t>
      </w:r>
      <w:r w:rsidR="00193DFB">
        <w:rPr>
          <w:rFonts w:eastAsiaTheme="minorHAnsi"/>
        </w:rPr>
        <w:t>—</w:t>
      </w:r>
      <w:r w:rsidR="00283EE6">
        <w:rPr>
          <w:rFonts w:eastAsiaTheme="minorHAnsi"/>
        </w:rPr>
        <w:t>l</w:t>
      </w:r>
      <w:r w:rsidR="00283EE6" w:rsidRPr="00D56B27">
        <w:rPr>
          <w:rFonts w:eastAsiaTheme="minorHAnsi"/>
        </w:rPr>
        <w:t xml:space="preserve">eg </w:t>
      </w:r>
      <w:r>
        <w:rPr>
          <w:rFonts w:eastAsiaTheme="minorHAnsi"/>
        </w:rPr>
        <w:t>2</w:t>
      </w:r>
      <w:r w:rsidRPr="00D56B27">
        <w:rPr>
          <w:rFonts w:eastAsiaTheme="minorHAnsi"/>
        </w:rPr>
        <w:t>’</w:t>
      </w:r>
      <w:r>
        <w:rPr>
          <w:rFonts w:eastAsiaTheme="minorHAnsi"/>
        </w:rPr>
        <w:t xml:space="preserve"> </w:t>
      </w:r>
      <w:r w:rsidR="00283EE6">
        <w:rPr>
          <w:rFonts w:eastAsiaTheme="minorHAnsi"/>
        </w:rPr>
        <w:t xml:space="preserve">versus </w:t>
      </w:r>
      <w:r>
        <w:rPr>
          <w:rFonts w:eastAsiaTheme="minorHAnsi"/>
        </w:rPr>
        <w:t>‘</w:t>
      </w:r>
      <w:r w:rsidR="00283EE6">
        <w:rPr>
          <w:rFonts w:eastAsiaTheme="minorHAnsi"/>
        </w:rPr>
        <w:t>t</w:t>
      </w:r>
      <w:r w:rsidR="00283EE6" w:rsidRPr="00D56B27">
        <w:rPr>
          <w:rFonts w:eastAsiaTheme="minorHAnsi"/>
        </w:rPr>
        <w:t xml:space="preserve">otal </w:t>
      </w:r>
      <w:r w:rsidRPr="00D56B27">
        <w:rPr>
          <w:rFonts w:eastAsiaTheme="minorHAnsi"/>
        </w:rPr>
        <w:t>notional quantity</w:t>
      </w:r>
      <w:r w:rsidR="00193DFB">
        <w:rPr>
          <w:rFonts w:eastAsiaTheme="minorHAnsi"/>
        </w:rPr>
        <w:t>—</w:t>
      </w:r>
      <w:r w:rsidR="00283EE6">
        <w:rPr>
          <w:rFonts w:eastAsiaTheme="minorHAnsi"/>
        </w:rPr>
        <w:t>l</w:t>
      </w:r>
      <w:r w:rsidR="00283EE6" w:rsidRPr="00D56B27">
        <w:rPr>
          <w:rFonts w:eastAsiaTheme="minorHAnsi"/>
        </w:rPr>
        <w:t xml:space="preserve">eg </w:t>
      </w:r>
      <w:r>
        <w:rPr>
          <w:rFonts w:eastAsiaTheme="minorHAnsi"/>
        </w:rPr>
        <w:t>1</w:t>
      </w:r>
      <w:r w:rsidRPr="00D56B27">
        <w:rPr>
          <w:rFonts w:eastAsiaTheme="minorHAnsi"/>
        </w:rPr>
        <w:t>’</w:t>
      </w:r>
      <w:r w:rsidR="00BB507D">
        <w:rPr>
          <w:rFonts w:eastAsiaTheme="minorHAnsi"/>
        </w:rPr>
        <w:t>;</w:t>
      </w:r>
      <w:r>
        <w:rPr>
          <w:rFonts w:eastAsiaTheme="minorHAnsi"/>
        </w:rPr>
        <w:t xml:space="preserve"> and</w:t>
      </w:r>
    </w:p>
    <w:p w14:paraId="761E062B" w14:textId="217A94D0" w:rsidR="004124F2" w:rsidRDefault="004124F2" w:rsidP="0065474F">
      <w:pPr>
        <w:pStyle w:val="subparaa"/>
        <w:rPr>
          <w:rFonts w:eastAsiaTheme="minorHAnsi"/>
        </w:rPr>
      </w:pPr>
      <w:r w:rsidRPr="00D56B27">
        <w:rPr>
          <w:rFonts w:eastAsiaTheme="minorHAnsi"/>
        </w:rPr>
        <w:t>‘</w:t>
      </w:r>
      <w:r w:rsidR="00283EE6">
        <w:rPr>
          <w:rFonts w:eastAsiaTheme="minorHAnsi"/>
        </w:rPr>
        <w:t xml:space="preserve">total </w:t>
      </w:r>
      <w:r>
        <w:rPr>
          <w:rFonts w:eastAsiaTheme="minorHAnsi"/>
        </w:rPr>
        <w:t>n</w:t>
      </w:r>
      <w:r w:rsidRPr="00D56B27">
        <w:rPr>
          <w:rFonts w:eastAsiaTheme="minorHAnsi"/>
        </w:rPr>
        <w:t xml:space="preserve">otional </w:t>
      </w:r>
      <w:r>
        <w:rPr>
          <w:rFonts w:eastAsiaTheme="minorHAnsi"/>
        </w:rPr>
        <w:t>quantity</w:t>
      </w:r>
      <w:r w:rsidR="00193DFB">
        <w:rPr>
          <w:rFonts w:eastAsiaTheme="minorHAnsi"/>
        </w:rPr>
        <w:t>—</w:t>
      </w:r>
      <w:r w:rsidR="00283EE6">
        <w:rPr>
          <w:rFonts w:eastAsiaTheme="minorHAnsi"/>
        </w:rPr>
        <w:t>l</w:t>
      </w:r>
      <w:r w:rsidR="00283EE6" w:rsidRPr="00D56B27">
        <w:rPr>
          <w:rFonts w:eastAsiaTheme="minorHAnsi"/>
        </w:rPr>
        <w:t xml:space="preserve">eg </w:t>
      </w:r>
      <w:r w:rsidRPr="00D56B27">
        <w:rPr>
          <w:rFonts w:eastAsiaTheme="minorHAnsi"/>
        </w:rPr>
        <w:t>1’</w:t>
      </w:r>
      <w:r>
        <w:rPr>
          <w:rFonts w:eastAsiaTheme="minorHAnsi"/>
        </w:rPr>
        <w:t xml:space="preserve"> </w:t>
      </w:r>
      <w:r w:rsidR="00283EE6">
        <w:rPr>
          <w:rFonts w:eastAsiaTheme="minorHAnsi"/>
        </w:rPr>
        <w:t xml:space="preserve">versus </w:t>
      </w:r>
      <w:r>
        <w:rPr>
          <w:rFonts w:eastAsiaTheme="minorHAnsi"/>
        </w:rPr>
        <w:t>‘</w:t>
      </w:r>
      <w:r w:rsidR="00283EE6">
        <w:rPr>
          <w:rFonts w:eastAsiaTheme="minorHAnsi"/>
        </w:rPr>
        <w:t>t</w:t>
      </w:r>
      <w:r w:rsidR="00283EE6" w:rsidRPr="00D56B27">
        <w:rPr>
          <w:rFonts w:eastAsiaTheme="minorHAnsi"/>
        </w:rPr>
        <w:t xml:space="preserve">otal </w:t>
      </w:r>
      <w:r w:rsidRPr="00D56B27">
        <w:rPr>
          <w:rFonts w:eastAsiaTheme="minorHAnsi"/>
        </w:rPr>
        <w:t>notional quantity</w:t>
      </w:r>
      <w:r w:rsidR="00193DFB">
        <w:rPr>
          <w:rFonts w:eastAsiaTheme="minorHAnsi"/>
        </w:rPr>
        <w:t>—</w:t>
      </w:r>
      <w:r w:rsidR="00283EE6">
        <w:rPr>
          <w:rFonts w:eastAsiaTheme="minorHAnsi"/>
        </w:rPr>
        <w:t>l</w:t>
      </w:r>
      <w:r w:rsidR="00283EE6" w:rsidRPr="00D56B27">
        <w:rPr>
          <w:rFonts w:eastAsiaTheme="minorHAnsi"/>
        </w:rPr>
        <w:t xml:space="preserve">eg </w:t>
      </w:r>
      <w:r>
        <w:rPr>
          <w:rFonts w:eastAsiaTheme="minorHAnsi"/>
        </w:rPr>
        <w:t>2</w:t>
      </w:r>
      <w:r w:rsidRPr="00D56B27">
        <w:rPr>
          <w:rFonts w:eastAsiaTheme="minorHAnsi"/>
        </w:rPr>
        <w:t>’</w:t>
      </w:r>
      <w:r>
        <w:rPr>
          <w:rFonts w:eastAsiaTheme="minorHAnsi"/>
        </w:rPr>
        <w:t>.</w:t>
      </w:r>
    </w:p>
    <w:p w14:paraId="75736651" w14:textId="10B9506F" w:rsidR="00AA123A" w:rsidRPr="00BB507D" w:rsidRDefault="00BB507D" w:rsidP="00AA123A">
      <w:pPr>
        <w:pStyle w:val="BodyText"/>
        <w:rPr>
          <w:rFonts w:eastAsiaTheme="minorHAnsi"/>
        </w:rPr>
      </w:pPr>
      <w:r w:rsidRPr="00BB507D">
        <w:rPr>
          <w:rFonts w:eastAsiaTheme="minorHAnsi"/>
        </w:rPr>
        <w:t xml:space="preserve">As noted in the CDE </w:t>
      </w:r>
      <w:r w:rsidR="00E401E1">
        <w:rPr>
          <w:rFonts w:eastAsiaTheme="minorHAnsi"/>
        </w:rPr>
        <w:t>Guidance</w:t>
      </w:r>
      <w:r>
        <w:rPr>
          <w:rFonts w:eastAsiaTheme="minorHAnsi"/>
        </w:rPr>
        <w:t>, for foreign exchange options, the relevant ‘</w:t>
      </w:r>
      <w:r w:rsidR="00283EE6">
        <w:rPr>
          <w:rFonts w:eastAsiaTheme="minorHAnsi"/>
        </w:rPr>
        <w:t xml:space="preserve">notional </w:t>
      </w:r>
      <w:r>
        <w:rPr>
          <w:rFonts w:eastAsiaTheme="minorHAnsi"/>
        </w:rPr>
        <w:t xml:space="preserve">amount’ of </w:t>
      </w:r>
      <w:r w:rsidR="00283EE6">
        <w:rPr>
          <w:rFonts w:eastAsiaTheme="minorHAnsi"/>
        </w:rPr>
        <w:t xml:space="preserve">leg </w:t>
      </w:r>
      <w:r>
        <w:rPr>
          <w:rFonts w:eastAsiaTheme="minorHAnsi"/>
        </w:rPr>
        <w:t xml:space="preserve">1 or </w:t>
      </w:r>
      <w:r w:rsidR="00283EE6">
        <w:rPr>
          <w:rFonts w:eastAsiaTheme="minorHAnsi"/>
        </w:rPr>
        <w:t xml:space="preserve">leg </w:t>
      </w:r>
      <w:r>
        <w:rPr>
          <w:rFonts w:eastAsiaTheme="minorHAnsi"/>
        </w:rPr>
        <w:t>2 is also reported as the corresponding ‘</w:t>
      </w:r>
      <w:r w:rsidR="00283EE6">
        <w:rPr>
          <w:rFonts w:eastAsiaTheme="minorHAnsi"/>
        </w:rPr>
        <w:t>c</w:t>
      </w:r>
      <w:r w:rsidR="00283EE6" w:rsidRPr="00BB507D">
        <w:rPr>
          <w:rFonts w:eastAsiaTheme="minorHAnsi"/>
        </w:rPr>
        <w:t xml:space="preserve">all </w:t>
      </w:r>
      <w:r w:rsidR="00AA123A" w:rsidRPr="00BB507D">
        <w:rPr>
          <w:rFonts w:eastAsiaTheme="minorHAnsi"/>
        </w:rPr>
        <w:t>amount</w:t>
      </w:r>
      <w:r>
        <w:rPr>
          <w:rFonts w:eastAsiaTheme="minorHAnsi"/>
        </w:rPr>
        <w:t>’ and ‘</w:t>
      </w:r>
      <w:r w:rsidR="00283EE6">
        <w:rPr>
          <w:rFonts w:eastAsiaTheme="minorHAnsi"/>
        </w:rPr>
        <w:t xml:space="preserve">put </w:t>
      </w:r>
      <w:r>
        <w:rPr>
          <w:rFonts w:eastAsiaTheme="minorHAnsi"/>
        </w:rPr>
        <w:t>amount’. This is because ‘</w:t>
      </w:r>
      <w:r w:rsidR="00283EE6">
        <w:rPr>
          <w:rFonts w:eastAsiaTheme="minorHAnsi"/>
        </w:rPr>
        <w:t xml:space="preserve">direction’ </w:t>
      </w:r>
      <w:r>
        <w:rPr>
          <w:rFonts w:eastAsiaTheme="minorHAnsi"/>
        </w:rPr>
        <w:t xml:space="preserve">identifies the buyer and seller of the option but does not, of itself, identify </w:t>
      </w:r>
      <w:r w:rsidR="00011FD8">
        <w:rPr>
          <w:rFonts w:eastAsiaTheme="minorHAnsi"/>
        </w:rPr>
        <w:t xml:space="preserve">whether the option is a call over the </w:t>
      </w:r>
      <w:r w:rsidR="00283EE6">
        <w:rPr>
          <w:rFonts w:eastAsiaTheme="minorHAnsi"/>
        </w:rPr>
        <w:t xml:space="preserve">leg </w:t>
      </w:r>
      <w:r w:rsidR="00011FD8">
        <w:rPr>
          <w:rFonts w:eastAsiaTheme="minorHAnsi"/>
        </w:rPr>
        <w:t xml:space="preserve">1 currency amount or over the </w:t>
      </w:r>
      <w:r w:rsidR="00283EE6">
        <w:rPr>
          <w:rFonts w:eastAsiaTheme="minorHAnsi"/>
        </w:rPr>
        <w:t xml:space="preserve">leg </w:t>
      </w:r>
      <w:r w:rsidR="00011FD8">
        <w:rPr>
          <w:rFonts w:eastAsiaTheme="minorHAnsi"/>
        </w:rPr>
        <w:t>2 currency amount.</w:t>
      </w:r>
    </w:p>
    <w:p w14:paraId="7626A3B7" w14:textId="19A4B580" w:rsidR="00AA123A" w:rsidRDefault="00011FD8" w:rsidP="005E5E03">
      <w:pPr>
        <w:pStyle w:val="BodyText"/>
        <w:rPr>
          <w:rFonts w:eastAsiaTheme="minorHAnsi"/>
        </w:rPr>
      </w:pPr>
      <w:r w:rsidRPr="00011FD8">
        <w:rPr>
          <w:rFonts w:eastAsiaTheme="minorHAnsi"/>
        </w:rPr>
        <w:t>‘</w:t>
      </w:r>
      <w:r w:rsidR="00AA123A" w:rsidRPr="00011FD8">
        <w:rPr>
          <w:rFonts w:eastAsiaTheme="minorHAnsi"/>
        </w:rPr>
        <w:t>Call currency</w:t>
      </w:r>
      <w:r w:rsidRPr="00011FD8">
        <w:rPr>
          <w:rFonts w:eastAsiaTheme="minorHAnsi"/>
        </w:rPr>
        <w:t>’ and ‘</w:t>
      </w:r>
      <w:r w:rsidR="00283EE6">
        <w:rPr>
          <w:rFonts w:eastAsiaTheme="minorHAnsi"/>
        </w:rPr>
        <w:t>p</w:t>
      </w:r>
      <w:r w:rsidR="00283EE6" w:rsidRPr="00011FD8">
        <w:rPr>
          <w:rFonts w:eastAsiaTheme="minorHAnsi"/>
        </w:rPr>
        <w:t xml:space="preserve">ut </w:t>
      </w:r>
      <w:r w:rsidR="00AA123A" w:rsidRPr="00011FD8">
        <w:rPr>
          <w:rFonts w:eastAsiaTheme="minorHAnsi"/>
        </w:rPr>
        <w:t>currency</w:t>
      </w:r>
      <w:r>
        <w:rPr>
          <w:rFonts w:eastAsiaTheme="minorHAnsi"/>
        </w:rPr>
        <w:t>’ are data elements that follow ‘</w:t>
      </w:r>
      <w:r w:rsidR="00283EE6">
        <w:rPr>
          <w:rFonts w:eastAsiaTheme="minorHAnsi"/>
        </w:rPr>
        <w:t xml:space="preserve">call </w:t>
      </w:r>
      <w:r>
        <w:rPr>
          <w:rFonts w:eastAsiaTheme="minorHAnsi"/>
        </w:rPr>
        <w:t>amount’ and ‘</w:t>
      </w:r>
      <w:r w:rsidR="00283EE6">
        <w:rPr>
          <w:rFonts w:eastAsiaTheme="minorHAnsi"/>
        </w:rPr>
        <w:t xml:space="preserve">put </w:t>
      </w:r>
      <w:r>
        <w:rPr>
          <w:rFonts w:eastAsiaTheme="minorHAnsi"/>
        </w:rPr>
        <w:t>amount’ respectively.</w:t>
      </w:r>
    </w:p>
    <w:p w14:paraId="5FB6B1F6" w14:textId="4E89F000" w:rsidR="00D3155C" w:rsidRDefault="001B182E" w:rsidP="001B182E">
      <w:pPr>
        <w:pStyle w:val="BodyText"/>
        <w:rPr>
          <w:rFonts w:eastAsiaTheme="minorHAnsi"/>
        </w:rPr>
      </w:pPr>
      <w:r>
        <w:rPr>
          <w:rFonts w:eastAsiaTheme="minorHAnsi"/>
        </w:rPr>
        <w:t>‘</w:t>
      </w:r>
      <w:r w:rsidR="000B2C01">
        <w:rPr>
          <w:rFonts w:eastAsiaTheme="minorHAnsi"/>
        </w:rPr>
        <w:t>N</w:t>
      </w:r>
      <w:r w:rsidR="000B2C01" w:rsidRPr="001B182E">
        <w:rPr>
          <w:rFonts w:eastAsiaTheme="minorHAnsi"/>
        </w:rPr>
        <w:t xml:space="preserve">otional </w:t>
      </w:r>
      <w:r>
        <w:rPr>
          <w:rFonts w:eastAsiaTheme="minorHAnsi"/>
        </w:rPr>
        <w:t>a</w:t>
      </w:r>
      <w:r w:rsidRPr="001B182E">
        <w:rPr>
          <w:rFonts w:eastAsiaTheme="minorHAnsi"/>
        </w:rPr>
        <w:t xml:space="preserve">mount </w:t>
      </w:r>
      <w:r>
        <w:rPr>
          <w:rFonts w:eastAsiaTheme="minorHAnsi"/>
        </w:rPr>
        <w:t xml:space="preserve">schedule’ is one of a number of </w:t>
      </w:r>
      <w:r w:rsidR="00D3155C">
        <w:rPr>
          <w:rFonts w:eastAsiaTheme="minorHAnsi"/>
        </w:rPr>
        <w:t xml:space="preserve">data element </w:t>
      </w:r>
      <w:r>
        <w:rPr>
          <w:rFonts w:eastAsiaTheme="minorHAnsi"/>
        </w:rPr>
        <w:t xml:space="preserve">‘schedules’ that are provided for under the CDE </w:t>
      </w:r>
      <w:r w:rsidR="00E401E1">
        <w:rPr>
          <w:rFonts w:eastAsiaTheme="minorHAnsi"/>
        </w:rPr>
        <w:t>Guidance</w:t>
      </w:r>
      <w:r>
        <w:rPr>
          <w:rFonts w:eastAsiaTheme="minorHAnsi"/>
        </w:rPr>
        <w:t xml:space="preserve">. We </w:t>
      </w:r>
      <w:r w:rsidR="009C1E8B">
        <w:rPr>
          <w:rFonts w:eastAsiaTheme="minorHAnsi"/>
        </w:rPr>
        <w:t>consider</w:t>
      </w:r>
      <w:r>
        <w:rPr>
          <w:rFonts w:eastAsiaTheme="minorHAnsi"/>
        </w:rPr>
        <w:t xml:space="preserve"> a ‘</w:t>
      </w:r>
      <w:r w:rsidR="00E4390F">
        <w:rPr>
          <w:rFonts w:eastAsiaTheme="minorHAnsi"/>
        </w:rPr>
        <w:t xml:space="preserve">notional </w:t>
      </w:r>
      <w:r>
        <w:rPr>
          <w:rFonts w:eastAsiaTheme="minorHAnsi"/>
        </w:rPr>
        <w:t>amount schedule’ is a materially common feature in derivative transactions</w:t>
      </w:r>
      <w:r w:rsidR="00D3155C">
        <w:rPr>
          <w:rFonts w:eastAsiaTheme="minorHAnsi"/>
        </w:rPr>
        <w:t xml:space="preserve"> and the provision of this information is important for Australian regulators to fully understand the terms of the transaction and to correctly contribute to point in time analyses of market metrics.</w:t>
      </w:r>
    </w:p>
    <w:p w14:paraId="382E99CA" w14:textId="243B9B52" w:rsidR="001B182E" w:rsidRDefault="00D3155C" w:rsidP="001B182E">
      <w:pPr>
        <w:pStyle w:val="BodyText"/>
        <w:rPr>
          <w:rFonts w:eastAsiaTheme="minorHAnsi"/>
        </w:rPr>
      </w:pPr>
      <w:r>
        <w:rPr>
          <w:rFonts w:eastAsiaTheme="minorHAnsi"/>
        </w:rPr>
        <w:t xml:space="preserve">This data element is adopted in the final CFTC rules and in the </w:t>
      </w:r>
      <w:r w:rsidR="000127C8">
        <w:rPr>
          <w:rFonts w:eastAsiaTheme="minorHAnsi"/>
        </w:rPr>
        <w:t>ESMA proposals</w:t>
      </w:r>
      <w:r>
        <w:rPr>
          <w:rFonts w:eastAsiaTheme="minorHAnsi"/>
        </w:rPr>
        <w:t xml:space="preserve">. We note that industry feedback to the CFTC and EU consultations has supported the inclusion of this data element, in preference to obliging </w:t>
      </w:r>
      <w:r w:rsidR="008A5B87">
        <w:rPr>
          <w:rFonts w:eastAsiaTheme="minorHAnsi"/>
        </w:rPr>
        <w:t>reporting entit</w:t>
      </w:r>
      <w:r>
        <w:rPr>
          <w:rFonts w:eastAsiaTheme="minorHAnsi"/>
        </w:rPr>
        <w:t>ies to report updating changes to ‘</w:t>
      </w:r>
      <w:r w:rsidR="00E4390F">
        <w:rPr>
          <w:rFonts w:eastAsiaTheme="minorHAnsi"/>
        </w:rPr>
        <w:t xml:space="preserve">notional </w:t>
      </w:r>
      <w:r>
        <w:rPr>
          <w:rFonts w:eastAsiaTheme="minorHAnsi"/>
        </w:rPr>
        <w:t>amount’ as</w:t>
      </w:r>
      <w:r w:rsidR="00E4390F">
        <w:rPr>
          <w:rFonts w:eastAsiaTheme="minorHAnsi"/>
        </w:rPr>
        <w:t xml:space="preserve"> </w:t>
      </w:r>
      <w:r>
        <w:rPr>
          <w:rFonts w:eastAsiaTheme="minorHAnsi"/>
        </w:rPr>
        <w:t>and</w:t>
      </w:r>
      <w:r w:rsidR="00E4390F">
        <w:rPr>
          <w:rFonts w:eastAsiaTheme="minorHAnsi"/>
        </w:rPr>
        <w:t xml:space="preserve"> </w:t>
      </w:r>
      <w:r>
        <w:rPr>
          <w:rFonts w:eastAsiaTheme="minorHAnsi"/>
        </w:rPr>
        <w:t xml:space="preserve">when </w:t>
      </w:r>
      <w:r w:rsidR="00A15312">
        <w:rPr>
          <w:rFonts w:eastAsiaTheme="minorHAnsi"/>
        </w:rPr>
        <w:t>it occurs according to its ‘schedule’.</w:t>
      </w:r>
    </w:p>
    <w:p w14:paraId="6ECEA0D0" w14:textId="1DC24BAB" w:rsidR="001B182E" w:rsidRPr="00C36DE7" w:rsidRDefault="00295CB6" w:rsidP="001B182E">
      <w:pPr>
        <w:pStyle w:val="BodyText"/>
        <w:rPr>
          <w:rFonts w:eastAsiaTheme="minorHAnsi"/>
        </w:rPr>
      </w:pPr>
      <w:r>
        <w:rPr>
          <w:rFonts w:eastAsiaTheme="minorHAnsi"/>
        </w:rPr>
        <w:t xml:space="preserve">We also note that, having detected apparently anomalous reports of valuation amounts in relation to the reported notional amount, </w:t>
      </w:r>
      <w:r w:rsidR="008A5B87">
        <w:rPr>
          <w:rFonts w:eastAsiaTheme="minorHAnsi"/>
        </w:rPr>
        <w:t>reporting entit</w:t>
      </w:r>
      <w:r>
        <w:rPr>
          <w:rFonts w:eastAsiaTheme="minorHAnsi"/>
        </w:rPr>
        <w:t xml:space="preserve">ies have responded that the valuation amounts are not anomalous in relation to the (unreported) current notional amount. </w:t>
      </w:r>
      <w:r w:rsidR="00553098">
        <w:rPr>
          <w:rFonts w:eastAsiaTheme="minorHAnsi"/>
        </w:rPr>
        <w:t>We think that th</w:t>
      </w:r>
      <w:r w:rsidR="007C5399">
        <w:rPr>
          <w:rFonts w:eastAsiaTheme="minorHAnsi"/>
        </w:rPr>
        <w:t xml:space="preserve">ese instances may indicate that some </w:t>
      </w:r>
      <w:r w:rsidR="008A5B87">
        <w:rPr>
          <w:rFonts w:eastAsiaTheme="minorHAnsi"/>
        </w:rPr>
        <w:t>reporting entit</w:t>
      </w:r>
      <w:r w:rsidR="007C5399">
        <w:rPr>
          <w:rFonts w:eastAsiaTheme="minorHAnsi"/>
        </w:rPr>
        <w:t xml:space="preserve">ies exhibit shortcomings in terms of ensuring ‘that information </w:t>
      </w:r>
      <w:r w:rsidR="007C5399" w:rsidRPr="007C5399">
        <w:rPr>
          <w:rFonts w:eastAsiaTheme="minorHAnsi"/>
        </w:rPr>
        <w:t>it reports under subrule 2.2.2(1)</w:t>
      </w:r>
      <w:r w:rsidR="007C5399">
        <w:rPr>
          <w:rFonts w:eastAsiaTheme="minorHAnsi"/>
        </w:rPr>
        <w:t xml:space="preserve"> … </w:t>
      </w:r>
      <w:r w:rsidR="007C5399">
        <w:t xml:space="preserve">is and remains at all times complete, accurate and current’ as required by </w:t>
      </w:r>
      <w:r w:rsidR="005D26B0">
        <w:t xml:space="preserve">Rule </w:t>
      </w:r>
      <w:r w:rsidR="007C5399">
        <w:t>2.2.6.</w:t>
      </w:r>
    </w:p>
    <w:p w14:paraId="36F51153" w14:textId="6E395323" w:rsidR="00C36DE7" w:rsidRPr="00C36DE7" w:rsidRDefault="006A6CFB" w:rsidP="00C36DE7">
      <w:pPr>
        <w:pStyle w:val="BodyText"/>
        <w:rPr>
          <w:rFonts w:eastAsiaTheme="minorHAnsi"/>
        </w:rPr>
      </w:pPr>
      <w:r>
        <w:rPr>
          <w:rFonts w:eastAsiaTheme="minorHAnsi"/>
        </w:rPr>
        <w:t>In relation to ‘</w:t>
      </w:r>
      <w:r w:rsidR="005D26B0">
        <w:rPr>
          <w:rFonts w:eastAsiaTheme="minorHAnsi"/>
        </w:rPr>
        <w:t>delta’</w:t>
      </w:r>
      <w:r>
        <w:rPr>
          <w:rFonts w:eastAsiaTheme="minorHAnsi"/>
        </w:rPr>
        <w:t xml:space="preserve">, the CDE Guidance definition includes that it </w:t>
      </w:r>
      <w:r w:rsidR="005D26B0">
        <w:rPr>
          <w:rFonts w:eastAsiaTheme="minorHAnsi"/>
        </w:rPr>
        <w:t xml:space="preserve">is </w:t>
      </w:r>
      <w:r>
        <w:rPr>
          <w:rFonts w:eastAsiaTheme="minorHAnsi"/>
        </w:rPr>
        <w:t>the delta ‘</w:t>
      </w:r>
      <w:r w:rsidR="00C36DE7" w:rsidRPr="00C36DE7">
        <w:rPr>
          <w:rFonts w:eastAsiaTheme="minorHAnsi"/>
        </w:rPr>
        <w:t>at the time a new transaction is reported or when a change in the notional amount is reported</w:t>
      </w:r>
      <w:r>
        <w:rPr>
          <w:rFonts w:eastAsiaTheme="minorHAnsi"/>
        </w:rPr>
        <w:t>’</w:t>
      </w:r>
      <w:r w:rsidR="00C36DE7" w:rsidRPr="00C36DE7">
        <w:rPr>
          <w:rFonts w:eastAsiaTheme="minorHAnsi"/>
        </w:rPr>
        <w:t>.</w:t>
      </w:r>
      <w:r>
        <w:rPr>
          <w:rFonts w:eastAsiaTheme="minorHAnsi"/>
        </w:rPr>
        <w:t xml:space="preserve"> </w:t>
      </w:r>
      <w:r w:rsidRPr="00C36DE7">
        <w:rPr>
          <w:rFonts w:eastAsiaTheme="minorHAnsi"/>
        </w:rPr>
        <w:t>Thus, the CDE guidance does not envisage this value being updated over time.</w:t>
      </w:r>
    </w:p>
    <w:p w14:paraId="72A6665B" w14:textId="6E1D3342" w:rsidR="00C36DE7" w:rsidRDefault="006A6CFB" w:rsidP="00C36DE7">
      <w:pPr>
        <w:pStyle w:val="BodyText"/>
        <w:rPr>
          <w:rFonts w:eastAsiaTheme="minorHAnsi"/>
        </w:rPr>
      </w:pPr>
      <w:r>
        <w:rPr>
          <w:rFonts w:eastAsiaTheme="minorHAnsi"/>
        </w:rPr>
        <w:t xml:space="preserve">However, both </w:t>
      </w:r>
      <w:r w:rsidR="005D1129">
        <w:rPr>
          <w:rFonts w:eastAsiaTheme="minorHAnsi"/>
        </w:rPr>
        <w:t>the final CFTC rules and the ESMA proposals adopt a modification of the CDE Guidance to require that an updated ‘</w:t>
      </w:r>
      <w:r w:rsidR="005D26B0">
        <w:rPr>
          <w:rFonts w:eastAsiaTheme="minorHAnsi"/>
        </w:rPr>
        <w:t xml:space="preserve">delta’ </w:t>
      </w:r>
      <w:r w:rsidR="005D1129">
        <w:rPr>
          <w:rFonts w:eastAsiaTheme="minorHAnsi"/>
        </w:rPr>
        <w:t xml:space="preserve">value </w:t>
      </w:r>
      <w:r w:rsidR="005D26B0">
        <w:rPr>
          <w:rFonts w:eastAsiaTheme="minorHAnsi"/>
        </w:rPr>
        <w:t xml:space="preserve">is </w:t>
      </w:r>
      <w:r w:rsidR="005D1129">
        <w:rPr>
          <w:rFonts w:eastAsiaTheme="minorHAnsi"/>
        </w:rPr>
        <w:t>reported with every valuation update report.</w:t>
      </w:r>
    </w:p>
    <w:p w14:paraId="44905023" w14:textId="714468B4" w:rsidR="005D1129" w:rsidRPr="00C36DE7" w:rsidRDefault="005D1129" w:rsidP="00C36DE7">
      <w:pPr>
        <w:pStyle w:val="BodyText"/>
        <w:rPr>
          <w:rFonts w:eastAsiaTheme="minorHAnsi"/>
        </w:rPr>
      </w:pPr>
      <w:r>
        <w:rPr>
          <w:rFonts w:eastAsiaTheme="minorHAnsi"/>
        </w:rPr>
        <w:t>The Australian regulators concur with the CFTC’s and ESMA’s observations about the importance of reported updated ‘</w:t>
      </w:r>
      <w:r w:rsidR="005D26B0">
        <w:rPr>
          <w:rFonts w:eastAsiaTheme="minorHAnsi"/>
        </w:rPr>
        <w:t xml:space="preserve">delta’ </w:t>
      </w:r>
      <w:r>
        <w:rPr>
          <w:rFonts w:eastAsiaTheme="minorHAnsi"/>
        </w:rPr>
        <w:t>over time in contemporary assessments of exposures and related updated valuation and collateral information.</w:t>
      </w:r>
    </w:p>
    <w:p w14:paraId="4B78E32C" w14:textId="374775F8" w:rsidR="00F911CA" w:rsidRDefault="005D1129" w:rsidP="002C1E29">
      <w:pPr>
        <w:pStyle w:val="BodyText"/>
        <w:spacing w:before="180" w:line="290" w:lineRule="atLeast"/>
        <w:rPr>
          <w:rFonts w:eastAsiaTheme="minorHAnsi"/>
        </w:rPr>
      </w:pPr>
      <w:r>
        <w:rPr>
          <w:rFonts w:eastAsiaTheme="minorHAnsi"/>
        </w:rPr>
        <w:lastRenderedPageBreak/>
        <w:t xml:space="preserve">We also </w:t>
      </w:r>
      <w:r w:rsidR="00BC0995">
        <w:rPr>
          <w:rFonts w:eastAsiaTheme="minorHAnsi"/>
        </w:rPr>
        <w:t xml:space="preserve">agree </w:t>
      </w:r>
      <w:r>
        <w:rPr>
          <w:rFonts w:eastAsiaTheme="minorHAnsi"/>
        </w:rPr>
        <w:t>that an appropriate means of reporting updated ‘</w:t>
      </w:r>
      <w:r w:rsidR="00BC0995">
        <w:rPr>
          <w:rFonts w:eastAsiaTheme="minorHAnsi"/>
        </w:rPr>
        <w:t xml:space="preserve">delta’ </w:t>
      </w:r>
      <w:r>
        <w:rPr>
          <w:rFonts w:eastAsiaTheme="minorHAnsi"/>
        </w:rPr>
        <w:t xml:space="preserve">would be to incorporate this information in valuation update reports. </w:t>
      </w:r>
      <w:r w:rsidR="00F911CA">
        <w:rPr>
          <w:rFonts w:eastAsiaTheme="minorHAnsi"/>
        </w:rPr>
        <w:t>We have not considered as proposals for this first consultation whether the ASIC Rules should address specifying different types of reports</w:t>
      </w:r>
      <w:r w:rsidR="00193DFB">
        <w:rPr>
          <w:rFonts w:eastAsiaTheme="minorHAnsi"/>
        </w:rPr>
        <w:t>—</w:t>
      </w:r>
      <w:r w:rsidR="00F911CA">
        <w:rPr>
          <w:rFonts w:eastAsiaTheme="minorHAnsi"/>
        </w:rPr>
        <w:t xml:space="preserve">such as </w:t>
      </w:r>
      <w:r w:rsidR="00BC0995">
        <w:rPr>
          <w:rFonts w:eastAsiaTheme="minorHAnsi"/>
        </w:rPr>
        <w:t>transaction</w:t>
      </w:r>
      <w:r w:rsidR="00F911CA">
        <w:rPr>
          <w:rFonts w:eastAsiaTheme="minorHAnsi"/>
        </w:rPr>
        <w:t xml:space="preserve">, </w:t>
      </w:r>
      <w:r w:rsidR="00BC0995">
        <w:rPr>
          <w:rFonts w:eastAsiaTheme="minorHAnsi"/>
        </w:rPr>
        <w:t xml:space="preserve">valuation </w:t>
      </w:r>
      <w:r w:rsidR="00F911CA">
        <w:rPr>
          <w:rFonts w:eastAsiaTheme="minorHAnsi"/>
        </w:rPr>
        <w:t xml:space="preserve">or </w:t>
      </w:r>
      <w:r w:rsidR="00BC0995">
        <w:rPr>
          <w:rFonts w:eastAsiaTheme="minorHAnsi"/>
        </w:rPr>
        <w:t xml:space="preserve">collateral </w:t>
      </w:r>
      <w:r w:rsidR="00F911CA">
        <w:rPr>
          <w:rFonts w:eastAsiaTheme="minorHAnsi"/>
        </w:rPr>
        <w:t>reports</w:t>
      </w:r>
      <w:r w:rsidR="00193DFB">
        <w:rPr>
          <w:rFonts w:eastAsiaTheme="minorHAnsi"/>
        </w:rPr>
        <w:t>—</w:t>
      </w:r>
      <w:r w:rsidR="00F911CA">
        <w:rPr>
          <w:rFonts w:eastAsiaTheme="minorHAnsi"/>
        </w:rPr>
        <w:t xml:space="preserve">and the data elements that would be required to be reported in each type of report. </w:t>
      </w:r>
      <w:r w:rsidR="00F911CA">
        <w:t xml:space="preserve">We currently intend to consider making such </w:t>
      </w:r>
      <w:r w:rsidR="00F911CA" w:rsidRPr="00973135">
        <w:rPr>
          <w:rFonts w:eastAsiaTheme="minorHAnsi"/>
        </w:rPr>
        <w:t>propos</w:t>
      </w:r>
      <w:r w:rsidR="00F911CA">
        <w:rPr>
          <w:rFonts w:eastAsiaTheme="minorHAnsi"/>
        </w:rPr>
        <w:t>als</w:t>
      </w:r>
      <w:r w:rsidR="00F911CA" w:rsidRPr="00973135">
        <w:rPr>
          <w:rFonts w:eastAsiaTheme="minorHAnsi"/>
        </w:rPr>
        <w:t xml:space="preserve"> in the second round of consultation</w:t>
      </w:r>
      <w:r w:rsidR="00F911CA">
        <w:rPr>
          <w:rFonts w:eastAsiaTheme="minorHAnsi"/>
        </w:rPr>
        <w:t>.</w:t>
      </w:r>
    </w:p>
    <w:p w14:paraId="6C905A4B" w14:textId="77777777" w:rsidR="00A577BE" w:rsidRDefault="00A577BE" w:rsidP="005E2C08">
      <w:pPr>
        <w:pStyle w:val="Proposalhead"/>
      </w:pPr>
      <w:r>
        <w:t>Proposal</w:t>
      </w:r>
    </w:p>
    <w:p w14:paraId="78E4D91E" w14:textId="3E4377C4" w:rsidR="00A577BE" w:rsidRDefault="00A577BE" w:rsidP="002C1E29">
      <w:pPr>
        <w:pStyle w:val="Proposaltext"/>
        <w:spacing w:before="180" w:line="250" w:lineRule="atLeast"/>
      </w:pPr>
      <w:r>
        <w:t xml:space="preserve">We propose to include in the ASIC Rules the data elements related to notional amounts and quantities set out in </w:t>
      </w:r>
      <w:r w:rsidR="00BC0995">
        <w:fldChar w:fldCharType="begin"/>
      </w:r>
      <w:r w:rsidR="00BC0995">
        <w:instrText xml:space="preserve"> REF _Ref55998429 \h </w:instrText>
      </w:r>
      <w:r w:rsidR="00BC0995">
        <w:fldChar w:fldCharType="separate"/>
      </w:r>
      <w:r w:rsidR="00314C7E">
        <w:t xml:space="preserve">Table </w:t>
      </w:r>
      <w:r w:rsidR="00314C7E">
        <w:rPr>
          <w:noProof/>
        </w:rPr>
        <w:t>20</w:t>
      </w:r>
      <w:r w:rsidR="00BC0995">
        <w:fldChar w:fldCharType="end"/>
      </w:r>
      <w:r>
        <w:t>.</w:t>
      </w:r>
    </w:p>
    <w:p w14:paraId="7E6A470F" w14:textId="77777777" w:rsidR="00A577BE" w:rsidRDefault="00A577BE">
      <w:pPr>
        <w:pStyle w:val="Feedbackhead"/>
      </w:pPr>
      <w:r>
        <w:t>Your feedback</w:t>
      </w:r>
    </w:p>
    <w:p w14:paraId="27C106B3" w14:textId="77777777" w:rsidR="00A577BE" w:rsidRDefault="00A577BE" w:rsidP="002C1E29">
      <w:pPr>
        <w:pStyle w:val="Feedbackquestion"/>
        <w:spacing w:before="80" w:line="250" w:lineRule="atLeast"/>
      </w:pPr>
      <w:r>
        <w:t>Do you agree with this proposal? In your response, please give detailed reasons for your answer.</w:t>
      </w:r>
    </w:p>
    <w:p w14:paraId="689D108A" w14:textId="007D08A2" w:rsidR="00A577BE" w:rsidRDefault="00A577BE" w:rsidP="002C1E29">
      <w:pPr>
        <w:pStyle w:val="Feedbackquestion"/>
        <w:spacing w:before="80" w:line="250" w:lineRule="atLeast"/>
      </w:pPr>
      <w:r w:rsidRPr="00C62732">
        <w:t xml:space="preserve">Do you consider that you will have </w:t>
      </w:r>
      <w:r w:rsidR="00790DEA">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_Ref55998429 \h </w:instrText>
      </w:r>
      <w:r w:rsidR="00CB0A2A">
        <w:fldChar w:fldCharType="separate"/>
      </w:r>
      <w:r w:rsidR="00314C7E">
        <w:t xml:space="preserve">Table </w:t>
      </w:r>
      <w:r w:rsidR="00314C7E">
        <w:rPr>
          <w:noProof/>
        </w:rPr>
        <w:t>20</w:t>
      </w:r>
      <w:r w:rsidR="00CB0A2A">
        <w:fldChar w:fldCharType="end"/>
      </w:r>
      <w:r w:rsidRPr="00C62732">
        <w:t>? In your response, please give detailed reasons for your answer.</w:t>
      </w:r>
    </w:p>
    <w:p w14:paraId="05EBCB66" w14:textId="384BC076" w:rsidR="000E48AE" w:rsidRPr="00A577BE" w:rsidRDefault="006A6CFB" w:rsidP="002C1E29">
      <w:pPr>
        <w:pStyle w:val="Feedbackquestion"/>
        <w:spacing w:before="80" w:line="250" w:lineRule="atLeast"/>
      </w:pPr>
      <w:r>
        <w:t>Do you consider that the identification of which currency data elements are the call option/put option data elements in a foreign exchange option could, or should</w:t>
      </w:r>
      <w:r w:rsidR="00BC0995">
        <w:t>,</w:t>
      </w:r>
      <w:r>
        <w:t xml:space="preserve"> be simplified by, for example, only specifying the </w:t>
      </w:r>
      <w:r w:rsidR="00BC0995">
        <w:t>c</w:t>
      </w:r>
      <w:r w:rsidR="00BC0995" w:rsidRPr="000E48AE">
        <w:t xml:space="preserve">all </w:t>
      </w:r>
      <w:r w:rsidR="000E48AE" w:rsidRPr="000E48AE">
        <w:t>currency</w:t>
      </w:r>
      <w:r>
        <w:t xml:space="preserve">? </w:t>
      </w:r>
      <w:r w:rsidRPr="00C62732">
        <w:t>In your response, please give detailed reasons for your answer.</w:t>
      </w:r>
    </w:p>
    <w:p w14:paraId="668403E9" w14:textId="1B9FE312" w:rsidR="00C01E6E" w:rsidRDefault="00C01E6E" w:rsidP="00C01E6E">
      <w:pPr>
        <w:pStyle w:val="Heading3"/>
        <w:rPr>
          <w:rFonts w:eastAsiaTheme="minorHAnsi"/>
        </w:rPr>
      </w:pPr>
      <w:r>
        <w:rPr>
          <w:rFonts w:eastAsiaTheme="minorHAnsi"/>
        </w:rPr>
        <w:t>Other data elements related to notional amounts and quantities</w:t>
      </w:r>
    </w:p>
    <w:p w14:paraId="5305FCE0" w14:textId="0C8F0185" w:rsidR="00820932" w:rsidRPr="00C841AB" w:rsidRDefault="00820932" w:rsidP="002C1E29">
      <w:pPr>
        <w:pStyle w:val="BodyText"/>
        <w:spacing w:before="180" w:line="290" w:lineRule="atLeast"/>
        <w:rPr>
          <w:rFonts w:eastAsiaTheme="minorHAnsi"/>
        </w:rPr>
      </w:pPr>
      <w:r w:rsidRPr="00C841AB">
        <w:rPr>
          <w:rFonts w:eastAsiaTheme="minorHAnsi"/>
        </w:rPr>
        <w:t>We are also considering proposing, in the second round of consultation, the data elements</w:t>
      </w:r>
      <w:r w:rsidR="00E56EA6">
        <w:rPr>
          <w:rFonts w:eastAsiaTheme="minorHAnsi"/>
        </w:rPr>
        <w:t xml:space="preserve"> in </w:t>
      </w:r>
      <w:r w:rsidR="00E56EA6">
        <w:rPr>
          <w:rFonts w:eastAsiaTheme="minorHAnsi"/>
        </w:rPr>
        <w:fldChar w:fldCharType="begin"/>
      </w:r>
      <w:r w:rsidR="00E56EA6">
        <w:rPr>
          <w:rFonts w:eastAsiaTheme="minorHAnsi"/>
        </w:rPr>
        <w:instrText xml:space="preserve"> REF _Ref55998818 \h </w:instrText>
      </w:r>
      <w:r w:rsidR="00E56EA6">
        <w:rPr>
          <w:rFonts w:eastAsiaTheme="minorHAnsi"/>
        </w:rPr>
      </w:r>
      <w:r w:rsidR="00E56EA6">
        <w:rPr>
          <w:rFonts w:eastAsiaTheme="minorHAnsi"/>
        </w:rPr>
        <w:fldChar w:fldCharType="separate"/>
      </w:r>
      <w:r w:rsidR="00314C7E">
        <w:t xml:space="preserve">Table </w:t>
      </w:r>
      <w:r w:rsidR="00314C7E">
        <w:rPr>
          <w:noProof/>
        </w:rPr>
        <w:t>21</w:t>
      </w:r>
      <w:r w:rsidR="00E56EA6">
        <w:rPr>
          <w:rFonts w:eastAsiaTheme="minorHAnsi"/>
        </w:rPr>
        <w:fldChar w:fldCharType="end"/>
      </w:r>
      <w:r w:rsidRPr="00C841AB">
        <w:rPr>
          <w:rFonts w:eastAsiaTheme="minorHAnsi"/>
        </w:rPr>
        <w:t>.</w:t>
      </w:r>
    </w:p>
    <w:p w14:paraId="27C308E6" w14:textId="01DA5EDA" w:rsidR="00820932" w:rsidRDefault="00820932" w:rsidP="002C1E29">
      <w:pPr>
        <w:pStyle w:val="BodyText"/>
        <w:spacing w:before="180" w:line="290" w:lineRule="atLeast"/>
        <w:rPr>
          <w:rFonts w:eastAsiaTheme="minorHAnsi"/>
        </w:rPr>
      </w:pPr>
      <w:r>
        <w:rPr>
          <w:rFonts w:eastAsiaTheme="minorHAnsi"/>
        </w:rPr>
        <w:t xml:space="preserve">Among the data elements that are ‘schedules’, the CDE </w:t>
      </w:r>
      <w:r w:rsidR="00E401E1">
        <w:rPr>
          <w:rFonts w:eastAsiaTheme="minorHAnsi"/>
        </w:rPr>
        <w:t>Guidance</w:t>
      </w:r>
      <w:r>
        <w:rPr>
          <w:rFonts w:eastAsiaTheme="minorHAnsi"/>
        </w:rPr>
        <w:t xml:space="preserve"> provides for ‘</w:t>
      </w:r>
      <w:r w:rsidR="00BC0995">
        <w:rPr>
          <w:rFonts w:eastAsiaTheme="minorHAnsi"/>
        </w:rPr>
        <w:t xml:space="preserve">notional </w:t>
      </w:r>
      <w:r>
        <w:rPr>
          <w:rFonts w:eastAsiaTheme="minorHAnsi"/>
        </w:rPr>
        <w:t>quantity schedules’.</w:t>
      </w:r>
    </w:p>
    <w:p w14:paraId="7196F21C" w14:textId="31758C2A" w:rsidR="00C01E6E" w:rsidRDefault="008116F8" w:rsidP="002C1E29">
      <w:pPr>
        <w:pStyle w:val="BodyText"/>
        <w:spacing w:before="180" w:line="290" w:lineRule="atLeast"/>
        <w:rPr>
          <w:rFonts w:eastAsiaTheme="minorHAnsi"/>
        </w:rPr>
      </w:pPr>
      <w:r>
        <w:rPr>
          <w:rFonts w:eastAsiaTheme="minorHAnsi"/>
        </w:rPr>
        <w:t xml:space="preserve">‘Notional quantity schedules’ are adopted by the </w:t>
      </w:r>
      <w:r w:rsidR="000127C8">
        <w:rPr>
          <w:rFonts w:eastAsiaTheme="minorHAnsi"/>
        </w:rPr>
        <w:t>ESMA proposals</w:t>
      </w:r>
      <w:r>
        <w:rPr>
          <w:rFonts w:eastAsiaTheme="minorHAnsi"/>
        </w:rPr>
        <w:t xml:space="preserve"> but not by the final CFTC rules and are not included in the current ASIC </w:t>
      </w:r>
      <w:r w:rsidR="00BC0995">
        <w:rPr>
          <w:rFonts w:eastAsiaTheme="minorHAnsi"/>
        </w:rPr>
        <w:t>R</w:t>
      </w:r>
      <w:r>
        <w:rPr>
          <w:rFonts w:eastAsiaTheme="minorHAnsi"/>
        </w:rPr>
        <w:t>ules.</w:t>
      </w:r>
    </w:p>
    <w:p w14:paraId="53D8500D" w14:textId="007212C6" w:rsidR="007F4272" w:rsidRDefault="007F4272" w:rsidP="002C1E29">
      <w:pPr>
        <w:pStyle w:val="BodyText"/>
        <w:spacing w:before="180" w:line="290" w:lineRule="atLeast"/>
        <w:rPr>
          <w:rFonts w:eastAsiaTheme="minorHAnsi"/>
        </w:rPr>
      </w:pPr>
      <w:r>
        <w:rPr>
          <w:rFonts w:eastAsiaTheme="minorHAnsi"/>
        </w:rPr>
        <w:t>As with ‘</w:t>
      </w:r>
      <w:r w:rsidR="00BC0995">
        <w:rPr>
          <w:rFonts w:eastAsiaTheme="minorHAnsi"/>
        </w:rPr>
        <w:t xml:space="preserve">price </w:t>
      </w:r>
      <w:r>
        <w:rPr>
          <w:rFonts w:eastAsiaTheme="minorHAnsi"/>
        </w:rPr>
        <w:t>schedule’ or ‘</w:t>
      </w:r>
      <w:r w:rsidR="00BC0995">
        <w:rPr>
          <w:rFonts w:eastAsiaTheme="minorHAnsi"/>
        </w:rPr>
        <w:t xml:space="preserve">strike </w:t>
      </w:r>
      <w:r>
        <w:rPr>
          <w:rFonts w:eastAsiaTheme="minorHAnsi"/>
        </w:rPr>
        <w:t>price schedule’, whil</w:t>
      </w:r>
      <w:r w:rsidR="00BC0995">
        <w:rPr>
          <w:rFonts w:eastAsiaTheme="minorHAnsi"/>
        </w:rPr>
        <w:t>e</w:t>
      </w:r>
      <w:r>
        <w:rPr>
          <w:rFonts w:eastAsiaTheme="minorHAnsi"/>
        </w:rPr>
        <w:t xml:space="preserve"> information about ‘</w:t>
      </w:r>
      <w:r w:rsidR="00BC0995">
        <w:rPr>
          <w:rFonts w:eastAsiaTheme="minorHAnsi"/>
        </w:rPr>
        <w:t>n</w:t>
      </w:r>
      <w:r>
        <w:rPr>
          <w:rFonts w:eastAsiaTheme="minorHAnsi"/>
        </w:rPr>
        <w:t>otional quantity schedules’ will more clearly inform the Australian regulators about the terms of a transaction than without that information, we are unclear of the incidence of such schedules and the extent to which</w:t>
      </w:r>
      <w:r w:rsidR="00902498">
        <w:rPr>
          <w:rFonts w:eastAsiaTheme="minorHAnsi"/>
        </w:rPr>
        <w:t xml:space="preserve"> a ‘</w:t>
      </w:r>
      <w:r w:rsidR="00BC0995">
        <w:rPr>
          <w:rFonts w:eastAsiaTheme="minorHAnsi"/>
        </w:rPr>
        <w:t xml:space="preserve">notional </w:t>
      </w:r>
      <w:r w:rsidR="00902498">
        <w:rPr>
          <w:rFonts w:eastAsiaTheme="minorHAnsi"/>
        </w:rPr>
        <w:t>quantity schedule’ can be reliably inferred from the related ‘</w:t>
      </w:r>
      <w:r w:rsidR="00BC0995">
        <w:rPr>
          <w:rFonts w:eastAsiaTheme="minorHAnsi"/>
        </w:rPr>
        <w:t xml:space="preserve">notional </w:t>
      </w:r>
      <w:r w:rsidR="00902498">
        <w:rPr>
          <w:rFonts w:eastAsiaTheme="minorHAnsi"/>
        </w:rPr>
        <w:t>amount schedule’ and the relevant price of the transaction.</w:t>
      </w:r>
    </w:p>
    <w:p w14:paraId="2C83ED1F" w14:textId="77777777" w:rsidR="007F4272" w:rsidRPr="00274C82" w:rsidRDefault="007F4272" w:rsidP="002C1E29">
      <w:pPr>
        <w:pStyle w:val="BodyText"/>
        <w:spacing w:before="180" w:line="290" w:lineRule="atLeast"/>
        <w:rPr>
          <w:rFonts w:eastAsiaTheme="minorHAnsi"/>
        </w:rPr>
      </w:pPr>
      <w:r>
        <w:t>Consequently, we seek feedback from stakeholders as to:</w:t>
      </w:r>
    </w:p>
    <w:p w14:paraId="1CD8FCB6" w14:textId="77777777" w:rsidR="00902498" w:rsidRDefault="007F4272" w:rsidP="002C1E29">
      <w:pPr>
        <w:pStyle w:val="subparaa"/>
        <w:spacing w:before="80" w:line="290" w:lineRule="atLeast"/>
        <w:rPr>
          <w:rFonts w:eastAsiaTheme="minorHAnsi"/>
        </w:rPr>
      </w:pPr>
      <w:r>
        <w:rPr>
          <w:rFonts w:eastAsiaTheme="minorHAnsi"/>
        </w:rPr>
        <w:t>the incidence of these types of transactions in their own dealings;</w:t>
      </w:r>
    </w:p>
    <w:p w14:paraId="5C2C9567" w14:textId="67132123" w:rsidR="007F4272" w:rsidRDefault="00902498" w:rsidP="002C1E29">
      <w:pPr>
        <w:pStyle w:val="subparaa"/>
        <w:spacing w:before="80" w:line="290" w:lineRule="atLeast"/>
        <w:rPr>
          <w:rFonts w:eastAsiaTheme="minorHAnsi"/>
        </w:rPr>
      </w:pPr>
      <w:bookmarkStart w:id="119" w:name="_Hlk54156194"/>
      <w:r>
        <w:rPr>
          <w:rFonts w:eastAsiaTheme="minorHAnsi"/>
        </w:rPr>
        <w:t>if the relationship between quantity, price and notional can be relied on to infer a ‘</w:t>
      </w:r>
      <w:r w:rsidR="00BC0995">
        <w:rPr>
          <w:rFonts w:eastAsiaTheme="minorHAnsi"/>
        </w:rPr>
        <w:t xml:space="preserve">notional </w:t>
      </w:r>
      <w:r>
        <w:rPr>
          <w:rFonts w:eastAsiaTheme="minorHAnsi"/>
        </w:rPr>
        <w:t>quantity schedule’ from a ‘</w:t>
      </w:r>
      <w:r w:rsidR="00BC0995">
        <w:rPr>
          <w:rFonts w:eastAsiaTheme="minorHAnsi"/>
        </w:rPr>
        <w:t xml:space="preserve">notional </w:t>
      </w:r>
      <w:r>
        <w:rPr>
          <w:rFonts w:eastAsiaTheme="minorHAnsi"/>
        </w:rPr>
        <w:t>amount schedule</w:t>
      </w:r>
      <w:r w:rsidR="00ED1B27">
        <w:rPr>
          <w:rFonts w:eastAsiaTheme="minorHAnsi"/>
        </w:rPr>
        <w:t>’</w:t>
      </w:r>
      <w:r>
        <w:rPr>
          <w:rFonts w:eastAsiaTheme="minorHAnsi"/>
        </w:rPr>
        <w:t>;</w:t>
      </w:r>
      <w:r w:rsidR="007F4272">
        <w:rPr>
          <w:rFonts w:eastAsiaTheme="minorHAnsi"/>
        </w:rPr>
        <w:t xml:space="preserve"> and</w:t>
      </w:r>
    </w:p>
    <w:bookmarkEnd w:id="119"/>
    <w:p w14:paraId="3B4B53BD" w14:textId="1F2BFB93" w:rsidR="007F4272" w:rsidRPr="00902498" w:rsidRDefault="007F4272" w:rsidP="00FB7C53">
      <w:pPr>
        <w:pStyle w:val="subparaa"/>
        <w:spacing w:before="80" w:line="290" w:lineRule="atLeast"/>
        <w:rPr>
          <w:rFonts w:eastAsiaTheme="minorHAnsi"/>
        </w:rPr>
      </w:pPr>
      <w:r>
        <w:rPr>
          <w:rFonts w:eastAsiaTheme="minorHAnsi"/>
        </w:rPr>
        <w:lastRenderedPageBreak/>
        <w:t xml:space="preserve">given that we </w:t>
      </w:r>
      <w:r w:rsidR="009C1E8B">
        <w:rPr>
          <w:rFonts w:eastAsiaTheme="minorHAnsi"/>
        </w:rPr>
        <w:t>consider</w:t>
      </w:r>
      <w:r>
        <w:rPr>
          <w:rFonts w:eastAsiaTheme="minorHAnsi"/>
        </w:rPr>
        <w:t xml:space="preserve"> the current ASIC rules require a change in ‘</w:t>
      </w:r>
      <w:r w:rsidR="00BC0995">
        <w:rPr>
          <w:rFonts w:eastAsiaTheme="minorHAnsi"/>
        </w:rPr>
        <w:t xml:space="preserve">notional </w:t>
      </w:r>
      <w:r w:rsidR="00902498">
        <w:rPr>
          <w:rFonts w:eastAsiaTheme="minorHAnsi"/>
        </w:rPr>
        <w:t>quantity</w:t>
      </w:r>
      <w:r>
        <w:rPr>
          <w:rFonts w:eastAsiaTheme="minorHAnsi"/>
        </w:rPr>
        <w:t xml:space="preserve">’ </w:t>
      </w:r>
      <w:r w:rsidR="00BC0995">
        <w:rPr>
          <w:rFonts w:eastAsiaTheme="minorHAnsi"/>
        </w:rPr>
        <w:t xml:space="preserve">to be reported </w:t>
      </w:r>
      <w:r>
        <w:rPr>
          <w:rFonts w:eastAsiaTheme="minorHAnsi"/>
        </w:rPr>
        <w:t>as</w:t>
      </w:r>
      <w:r w:rsidR="00BC0995">
        <w:rPr>
          <w:rFonts w:eastAsiaTheme="minorHAnsi"/>
        </w:rPr>
        <w:t xml:space="preserve"> </w:t>
      </w:r>
      <w:r>
        <w:rPr>
          <w:rFonts w:eastAsiaTheme="minorHAnsi"/>
        </w:rPr>
        <w:t>and</w:t>
      </w:r>
      <w:r w:rsidR="00BC0995">
        <w:rPr>
          <w:rFonts w:eastAsiaTheme="minorHAnsi"/>
        </w:rPr>
        <w:t xml:space="preserve"> </w:t>
      </w:r>
      <w:r>
        <w:rPr>
          <w:rFonts w:eastAsiaTheme="minorHAnsi"/>
        </w:rPr>
        <w:t xml:space="preserve">when it occurs according to a ‘schedule’ as, under </w:t>
      </w:r>
      <w:r w:rsidR="009A0128">
        <w:rPr>
          <w:rFonts w:eastAsiaTheme="minorHAnsi"/>
        </w:rPr>
        <w:t xml:space="preserve">Rule </w:t>
      </w:r>
      <w:r>
        <w:rPr>
          <w:rFonts w:eastAsiaTheme="minorHAnsi"/>
        </w:rPr>
        <w:t>2.2.2, a reportable change to information previously reported</w:t>
      </w:r>
      <w:r w:rsidR="0006086A">
        <w:rPr>
          <w:rFonts w:ascii="Calibri" w:eastAsiaTheme="minorHAnsi" w:hAnsi="Calibri"/>
        </w:rPr>
        <w:t>—</w:t>
      </w:r>
      <w:r w:rsidR="0006086A">
        <w:rPr>
          <w:rFonts w:eastAsiaTheme="minorHAnsi"/>
        </w:rPr>
        <w:t>whether</w:t>
      </w:r>
      <w:r>
        <w:rPr>
          <w:rFonts w:eastAsiaTheme="minorHAnsi"/>
        </w:rPr>
        <w:t xml:space="preserve"> stakeholders </w:t>
      </w:r>
      <w:r w:rsidR="0006086A">
        <w:rPr>
          <w:rFonts w:eastAsiaTheme="minorHAnsi"/>
        </w:rPr>
        <w:t xml:space="preserve">would prefer </w:t>
      </w:r>
      <w:r>
        <w:rPr>
          <w:rFonts w:eastAsiaTheme="minorHAnsi"/>
        </w:rPr>
        <w:t>to provide this information in their initial transaction report via a ‘schedule’ rather than reporting the changes according to the ‘schedule’.</w:t>
      </w:r>
    </w:p>
    <w:p w14:paraId="5D3E011F" w14:textId="46D31D1D" w:rsidR="00DF345B" w:rsidRPr="004857CC" w:rsidRDefault="00DF345B" w:rsidP="00DF345B">
      <w:pPr>
        <w:pStyle w:val="tabletitlefullwidth"/>
      </w:pPr>
      <w:bookmarkStart w:id="120" w:name="_Ref55998818"/>
      <w:r>
        <w:t xml:space="preserve">Table </w:t>
      </w:r>
      <w:r w:rsidR="007055A5">
        <w:fldChar w:fldCharType="begin"/>
      </w:r>
      <w:r w:rsidR="007055A5">
        <w:instrText xml:space="preserve"> SEQ Table \* ARABIC </w:instrText>
      </w:r>
      <w:r w:rsidR="007055A5">
        <w:fldChar w:fldCharType="separate"/>
      </w:r>
      <w:r w:rsidR="00314C7E">
        <w:rPr>
          <w:noProof/>
        </w:rPr>
        <w:t>21</w:t>
      </w:r>
      <w:r w:rsidR="007055A5">
        <w:rPr>
          <w:noProof/>
        </w:rPr>
        <w:fldChar w:fldCharType="end"/>
      </w:r>
      <w:bookmarkEnd w:id="120"/>
      <w:r>
        <w:t>:</w:t>
      </w:r>
      <w:r>
        <w:tab/>
      </w:r>
      <w:r w:rsidR="00820932">
        <w:t xml:space="preserve">Data elements to be considered for proposal in </w:t>
      </w:r>
      <w:r w:rsidR="00E30A53">
        <w:t xml:space="preserve">second round of </w:t>
      </w:r>
      <w:r w:rsidR="00820932">
        <w:t>consultation</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2"/>
        <w:gridCol w:w="4434"/>
        <w:gridCol w:w="728"/>
        <w:gridCol w:w="727"/>
        <w:gridCol w:w="737"/>
        <w:gridCol w:w="709"/>
      </w:tblGrid>
      <w:tr w:rsidR="00AE6A3B" w:rsidRPr="000540E1" w14:paraId="621F248B" w14:textId="77777777" w:rsidTr="00020D19">
        <w:trPr>
          <w:cantSplit/>
          <w:tblHeader/>
        </w:trPr>
        <w:tc>
          <w:tcPr>
            <w:tcW w:w="942" w:type="pct"/>
            <w:shd w:val="clear" w:color="auto" w:fill="C2E3FA"/>
          </w:tcPr>
          <w:p w14:paraId="29E65837" w14:textId="77777777" w:rsidR="00C01E6E" w:rsidRDefault="00C01E6E" w:rsidP="00FB7C53">
            <w:pPr>
              <w:pStyle w:val="tablehead"/>
              <w:spacing w:before="100" w:line="230" w:lineRule="atLeast"/>
            </w:pPr>
          </w:p>
        </w:tc>
        <w:tc>
          <w:tcPr>
            <w:tcW w:w="2453" w:type="pct"/>
            <w:shd w:val="clear" w:color="auto" w:fill="C2E3FA"/>
          </w:tcPr>
          <w:p w14:paraId="04D30243" w14:textId="77777777" w:rsidR="00C01E6E" w:rsidRDefault="00C01E6E" w:rsidP="00FB7C53">
            <w:pPr>
              <w:pStyle w:val="tablehead"/>
              <w:spacing w:before="100" w:line="230" w:lineRule="atLeast"/>
            </w:pPr>
          </w:p>
        </w:tc>
        <w:tc>
          <w:tcPr>
            <w:tcW w:w="1605" w:type="pct"/>
            <w:gridSpan w:val="4"/>
            <w:shd w:val="clear" w:color="auto" w:fill="C2E3FA"/>
          </w:tcPr>
          <w:p w14:paraId="2E0A745F" w14:textId="2D469F88" w:rsidR="00C01E6E" w:rsidRPr="000540E1" w:rsidRDefault="001156A2" w:rsidP="00FB7C53">
            <w:pPr>
              <w:pStyle w:val="tablehead"/>
              <w:spacing w:before="100" w:line="230" w:lineRule="atLeast"/>
              <w:jc w:val="center"/>
            </w:pPr>
            <w:r>
              <w:t>Element</w:t>
            </w:r>
            <w:r w:rsidR="00C01E6E">
              <w:t xml:space="preserve"> number references</w:t>
            </w:r>
          </w:p>
        </w:tc>
      </w:tr>
      <w:tr w:rsidR="00AE6A3B" w:rsidRPr="000540E1" w14:paraId="4DB02C2A" w14:textId="77777777" w:rsidTr="00020D19">
        <w:trPr>
          <w:cantSplit/>
          <w:tblHeader/>
        </w:trPr>
        <w:tc>
          <w:tcPr>
            <w:tcW w:w="942" w:type="pct"/>
            <w:shd w:val="clear" w:color="auto" w:fill="C2E3FA"/>
          </w:tcPr>
          <w:p w14:paraId="5FC9E600" w14:textId="77777777" w:rsidR="00C01E6E" w:rsidRDefault="00C01E6E" w:rsidP="00FB7C53">
            <w:pPr>
              <w:pStyle w:val="tablehead"/>
              <w:spacing w:before="100" w:line="230" w:lineRule="atLeast"/>
            </w:pPr>
            <w:r>
              <w:t>Data element</w:t>
            </w:r>
          </w:p>
        </w:tc>
        <w:tc>
          <w:tcPr>
            <w:tcW w:w="2453" w:type="pct"/>
            <w:shd w:val="clear" w:color="auto" w:fill="C2E3FA"/>
          </w:tcPr>
          <w:p w14:paraId="5F89715A" w14:textId="51C9D509" w:rsidR="00C01E6E" w:rsidRDefault="00277807" w:rsidP="00FB7C53">
            <w:pPr>
              <w:pStyle w:val="tablehead"/>
              <w:spacing w:before="100" w:line="230" w:lineRule="atLeast"/>
            </w:pPr>
            <w:r>
              <w:t>Definition</w:t>
            </w:r>
            <w:r w:rsidR="00193DFB">
              <w:t>—</w:t>
            </w:r>
            <w:r w:rsidR="0006086A">
              <w:t>S</w:t>
            </w:r>
            <w:r>
              <w:t>ummary of key points</w:t>
            </w:r>
          </w:p>
        </w:tc>
        <w:tc>
          <w:tcPr>
            <w:tcW w:w="403" w:type="pct"/>
            <w:shd w:val="clear" w:color="auto" w:fill="C2E3FA"/>
          </w:tcPr>
          <w:p w14:paraId="36CE845B" w14:textId="40D895B2" w:rsidR="00C01E6E" w:rsidRPr="000540E1" w:rsidRDefault="00C01E6E" w:rsidP="00FB7C53">
            <w:pPr>
              <w:pStyle w:val="tablehead"/>
              <w:spacing w:before="100" w:line="230" w:lineRule="atLeast"/>
              <w:jc w:val="center"/>
            </w:pPr>
            <w:r>
              <w:t>CDE</w:t>
            </w:r>
          </w:p>
        </w:tc>
        <w:tc>
          <w:tcPr>
            <w:tcW w:w="402" w:type="pct"/>
            <w:shd w:val="clear" w:color="auto" w:fill="C2E3FA"/>
          </w:tcPr>
          <w:p w14:paraId="2BB857CC" w14:textId="77777777" w:rsidR="00C01E6E" w:rsidRPr="000540E1" w:rsidRDefault="00C01E6E" w:rsidP="00FB7C53">
            <w:pPr>
              <w:pStyle w:val="tablehead"/>
              <w:spacing w:before="100" w:line="230" w:lineRule="atLeast"/>
              <w:jc w:val="center"/>
            </w:pPr>
            <w:r>
              <w:t>CFTC</w:t>
            </w:r>
          </w:p>
        </w:tc>
        <w:tc>
          <w:tcPr>
            <w:tcW w:w="408" w:type="pct"/>
            <w:shd w:val="clear" w:color="auto" w:fill="C2E3FA"/>
          </w:tcPr>
          <w:p w14:paraId="5A0D048D" w14:textId="76E2CC1E" w:rsidR="00C01E6E" w:rsidRPr="000540E1" w:rsidRDefault="005C1566" w:rsidP="00FB7C53">
            <w:pPr>
              <w:pStyle w:val="tablehead"/>
              <w:spacing w:before="100" w:line="230" w:lineRule="atLeast"/>
              <w:jc w:val="center"/>
            </w:pPr>
            <w:r>
              <w:t>ESMA</w:t>
            </w:r>
          </w:p>
        </w:tc>
        <w:tc>
          <w:tcPr>
            <w:tcW w:w="392" w:type="pct"/>
            <w:shd w:val="clear" w:color="auto" w:fill="C2E3FA"/>
          </w:tcPr>
          <w:p w14:paraId="40746E17" w14:textId="77777777" w:rsidR="00C01E6E" w:rsidRPr="000540E1" w:rsidRDefault="00C01E6E" w:rsidP="00FB7C53">
            <w:pPr>
              <w:pStyle w:val="tablehead"/>
              <w:spacing w:before="100" w:line="230" w:lineRule="atLeast"/>
              <w:jc w:val="center"/>
            </w:pPr>
            <w:r>
              <w:t>ASIC</w:t>
            </w:r>
          </w:p>
        </w:tc>
      </w:tr>
      <w:tr w:rsidR="004E304A" w:rsidRPr="000540E1" w14:paraId="257D14CC" w14:textId="77777777" w:rsidTr="00020D19">
        <w:trPr>
          <w:cantSplit/>
        </w:trPr>
        <w:tc>
          <w:tcPr>
            <w:tcW w:w="942" w:type="pct"/>
          </w:tcPr>
          <w:p w14:paraId="39F9410F" w14:textId="4D234CAD" w:rsidR="004E304A" w:rsidRPr="000540E1" w:rsidRDefault="004E304A" w:rsidP="00FB7C53">
            <w:pPr>
              <w:pStyle w:val="tbltext"/>
              <w:spacing w:before="100" w:line="230" w:lineRule="atLeast"/>
            </w:pPr>
            <w:r w:rsidRPr="00AE6A3B">
              <w:t>Notional quantity schedule</w:t>
            </w:r>
            <w:r w:rsidR="00193DFB">
              <w:t>—</w:t>
            </w:r>
            <w:r w:rsidR="00ED1B27">
              <w:t xml:space="preserve">Leg </w:t>
            </w:r>
            <w:r>
              <w:t>1</w:t>
            </w:r>
          </w:p>
        </w:tc>
        <w:tc>
          <w:tcPr>
            <w:tcW w:w="2453" w:type="pct"/>
          </w:tcPr>
          <w:p w14:paraId="11262736" w14:textId="77777777" w:rsidR="004E304A" w:rsidRDefault="004E304A" w:rsidP="00FB7C53">
            <w:pPr>
              <w:pStyle w:val="tbltext"/>
              <w:spacing w:before="100" w:line="230" w:lineRule="atLeast"/>
            </w:pPr>
            <w:r>
              <w:t>{CDE TG} For each leg of the transaction, where applicable: for OTC derivative transactions negotiated in non-monetary amounts:</w:t>
            </w:r>
          </w:p>
          <w:p w14:paraId="0F49D89E" w14:textId="62B3A5C3" w:rsidR="004E304A" w:rsidRPr="000540E1" w:rsidRDefault="004E304A" w:rsidP="00FB7C53">
            <w:pPr>
              <w:pStyle w:val="tbltext"/>
              <w:spacing w:before="100" w:line="230" w:lineRule="atLeast"/>
            </w:pPr>
            <w:r>
              <w:t xml:space="preserve">a schedule of periods with start date, end date and </w:t>
            </w:r>
            <w:r w:rsidR="00BC0995">
              <w:t xml:space="preserve">notional </w:t>
            </w:r>
            <w:r>
              <w:t>quantity prevailing in the period.</w:t>
            </w:r>
          </w:p>
        </w:tc>
        <w:tc>
          <w:tcPr>
            <w:tcW w:w="403" w:type="pct"/>
          </w:tcPr>
          <w:p w14:paraId="17D2F39F" w14:textId="2CB9EC13" w:rsidR="004E304A" w:rsidRPr="000540E1" w:rsidRDefault="004E304A" w:rsidP="00FB7C53">
            <w:pPr>
              <w:pStyle w:val="tbltext"/>
              <w:spacing w:before="100" w:line="230" w:lineRule="atLeast"/>
              <w:jc w:val="center"/>
            </w:pPr>
            <w:r>
              <w:t>2.80.1</w:t>
            </w:r>
            <w:r w:rsidR="00FB7C53">
              <w:br/>
            </w:r>
            <w:r>
              <w:t>2.80.2</w:t>
            </w:r>
            <w:r w:rsidR="00FB7C53">
              <w:br/>
            </w:r>
            <w:r>
              <w:t>2.80.3</w:t>
            </w:r>
          </w:p>
        </w:tc>
        <w:tc>
          <w:tcPr>
            <w:tcW w:w="402" w:type="pct"/>
          </w:tcPr>
          <w:p w14:paraId="12D8DC67" w14:textId="61055484" w:rsidR="004E304A" w:rsidRPr="000540E1" w:rsidRDefault="004E304A" w:rsidP="00FB7C53">
            <w:pPr>
              <w:pStyle w:val="tbltext"/>
              <w:spacing w:before="100" w:line="230" w:lineRule="atLeast"/>
              <w:jc w:val="center"/>
            </w:pPr>
            <w:r>
              <w:t>n/a</w:t>
            </w:r>
          </w:p>
        </w:tc>
        <w:tc>
          <w:tcPr>
            <w:tcW w:w="408" w:type="pct"/>
          </w:tcPr>
          <w:p w14:paraId="5D27211D" w14:textId="05469BB6" w:rsidR="004E304A" w:rsidRPr="000540E1" w:rsidRDefault="004E304A" w:rsidP="00FB7C53">
            <w:pPr>
              <w:pStyle w:val="tbltext"/>
              <w:spacing w:before="100" w:line="230" w:lineRule="atLeast"/>
              <w:jc w:val="center"/>
            </w:pPr>
            <w:r>
              <w:t>2.56</w:t>
            </w:r>
            <w:r w:rsidR="00FB7C53">
              <w:br/>
            </w:r>
            <w:r>
              <w:t>2.57</w:t>
            </w:r>
            <w:r w:rsidR="00FB7C53">
              <w:br/>
            </w:r>
            <w:r>
              <w:t>2.58</w:t>
            </w:r>
          </w:p>
        </w:tc>
        <w:tc>
          <w:tcPr>
            <w:tcW w:w="392" w:type="pct"/>
          </w:tcPr>
          <w:p w14:paraId="412E3A3D" w14:textId="62E238A2" w:rsidR="004E304A" w:rsidRPr="000540E1" w:rsidRDefault="004E304A" w:rsidP="00FB7C53">
            <w:pPr>
              <w:pStyle w:val="tbltext"/>
              <w:spacing w:before="100" w:line="230" w:lineRule="atLeast"/>
              <w:jc w:val="center"/>
            </w:pPr>
            <w:r>
              <w:t>n/a</w:t>
            </w:r>
          </w:p>
        </w:tc>
      </w:tr>
      <w:tr w:rsidR="004E304A" w:rsidRPr="000540E1" w14:paraId="0F5522CC" w14:textId="77777777" w:rsidTr="00020D19">
        <w:trPr>
          <w:cantSplit/>
        </w:trPr>
        <w:tc>
          <w:tcPr>
            <w:tcW w:w="942" w:type="pct"/>
          </w:tcPr>
          <w:p w14:paraId="7A9B2FDB" w14:textId="5E417292" w:rsidR="004E304A" w:rsidRPr="000540E1" w:rsidRDefault="004E304A" w:rsidP="00FB7C53">
            <w:pPr>
              <w:pStyle w:val="tbltext"/>
              <w:spacing w:before="100" w:line="230" w:lineRule="atLeast"/>
            </w:pPr>
            <w:r w:rsidRPr="00AE6A3B">
              <w:t>Notional quantity schedule</w:t>
            </w:r>
            <w:r w:rsidR="00193DFB">
              <w:t>—</w:t>
            </w:r>
            <w:r w:rsidR="00ED1B27">
              <w:t xml:space="preserve">Leg </w:t>
            </w:r>
            <w:r>
              <w:t>2</w:t>
            </w:r>
          </w:p>
        </w:tc>
        <w:tc>
          <w:tcPr>
            <w:tcW w:w="2453" w:type="pct"/>
          </w:tcPr>
          <w:p w14:paraId="25A52D2A" w14:textId="77777777" w:rsidR="004E304A" w:rsidRDefault="004E304A" w:rsidP="00FB7C53">
            <w:pPr>
              <w:pStyle w:val="tbltext"/>
              <w:spacing w:before="100" w:line="230" w:lineRule="atLeast"/>
            </w:pPr>
            <w:r>
              <w:t>{CDE TG} For each leg of the transaction, where applicable: for OTC derivative transactions negotiated in non-monetary amounts:</w:t>
            </w:r>
          </w:p>
          <w:p w14:paraId="5D43C1EB" w14:textId="26D63FFE" w:rsidR="004E304A" w:rsidRPr="000540E1" w:rsidRDefault="004E304A" w:rsidP="00FB7C53">
            <w:pPr>
              <w:pStyle w:val="tbltext"/>
              <w:spacing w:before="100" w:line="230" w:lineRule="atLeast"/>
            </w:pPr>
            <w:r>
              <w:t xml:space="preserve">a schedule of periods with start date, end date and </w:t>
            </w:r>
            <w:r w:rsidR="00BC0995">
              <w:t xml:space="preserve">notional </w:t>
            </w:r>
            <w:r>
              <w:t>quantity prevailing in the period.</w:t>
            </w:r>
          </w:p>
        </w:tc>
        <w:tc>
          <w:tcPr>
            <w:tcW w:w="403" w:type="pct"/>
          </w:tcPr>
          <w:p w14:paraId="30CA437A" w14:textId="69FBD278" w:rsidR="004E304A" w:rsidRPr="000540E1" w:rsidRDefault="004E304A" w:rsidP="00FB7C53">
            <w:pPr>
              <w:pStyle w:val="tbltext"/>
              <w:spacing w:before="100" w:line="230" w:lineRule="atLeast"/>
              <w:jc w:val="center"/>
            </w:pPr>
            <w:r>
              <w:t>2.80.1</w:t>
            </w:r>
            <w:r w:rsidR="00FB7C53">
              <w:br/>
            </w:r>
            <w:r>
              <w:t>2.80.2</w:t>
            </w:r>
            <w:r w:rsidR="00FB7C53">
              <w:br/>
            </w:r>
            <w:r>
              <w:t>2.80.3</w:t>
            </w:r>
          </w:p>
        </w:tc>
        <w:tc>
          <w:tcPr>
            <w:tcW w:w="402" w:type="pct"/>
          </w:tcPr>
          <w:p w14:paraId="5A8B5C76" w14:textId="65674B84" w:rsidR="004E304A" w:rsidRPr="000540E1" w:rsidRDefault="004E304A" w:rsidP="00FB7C53">
            <w:pPr>
              <w:pStyle w:val="tbltext"/>
              <w:spacing w:before="100" w:line="230" w:lineRule="atLeast"/>
              <w:jc w:val="center"/>
            </w:pPr>
            <w:r>
              <w:t>n/a</w:t>
            </w:r>
          </w:p>
        </w:tc>
        <w:tc>
          <w:tcPr>
            <w:tcW w:w="408" w:type="pct"/>
          </w:tcPr>
          <w:p w14:paraId="6B2DA3BD" w14:textId="7E54E539" w:rsidR="004E304A" w:rsidRPr="000540E1" w:rsidRDefault="004E304A" w:rsidP="00FB7C53">
            <w:pPr>
              <w:pStyle w:val="tbltext"/>
              <w:spacing w:before="100" w:line="230" w:lineRule="atLeast"/>
              <w:jc w:val="center"/>
            </w:pPr>
            <w:r>
              <w:t>2.65</w:t>
            </w:r>
            <w:r w:rsidR="00FB7C53">
              <w:br/>
            </w:r>
            <w:r>
              <w:t>2.66</w:t>
            </w:r>
            <w:r w:rsidR="00FB7C53">
              <w:br/>
            </w:r>
            <w:r>
              <w:t>2.67</w:t>
            </w:r>
          </w:p>
        </w:tc>
        <w:tc>
          <w:tcPr>
            <w:tcW w:w="392" w:type="pct"/>
          </w:tcPr>
          <w:p w14:paraId="50EF81D8" w14:textId="60CDA350" w:rsidR="004E304A" w:rsidRPr="000540E1" w:rsidRDefault="004E304A" w:rsidP="00FB7C53">
            <w:pPr>
              <w:pStyle w:val="tbltext"/>
              <w:spacing w:before="100" w:line="230" w:lineRule="atLeast"/>
              <w:jc w:val="center"/>
            </w:pPr>
            <w:r>
              <w:t>n/a</w:t>
            </w:r>
          </w:p>
        </w:tc>
      </w:tr>
    </w:tbl>
    <w:p w14:paraId="277DE0F6" w14:textId="77777777" w:rsidR="00C34373" w:rsidRDefault="00C34373" w:rsidP="00C34373">
      <w:pPr>
        <w:pStyle w:val="Proposalhead"/>
      </w:pPr>
      <w:r>
        <w:t>Proposal</w:t>
      </w:r>
    </w:p>
    <w:p w14:paraId="232BFDCF" w14:textId="3BB2908C" w:rsidR="00C34373" w:rsidRDefault="00C34373" w:rsidP="00FB7C53">
      <w:pPr>
        <w:pStyle w:val="Proposaltext"/>
        <w:spacing w:before="180" w:line="250" w:lineRule="atLeast"/>
      </w:pPr>
      <w:r>
        <w:t xml:space="preserve">We are considering </w:t>
      </w:r>
      <w:r w:rsidRPr="00973135">
        <w:rPr>
          <w:rFonts w:eastAsiaTheme="minorHAnsi"/>
        </w:rPr>
        <w:t xml:space="preserve">proposing, in the second round of consultation, </w:t>
      </w:r>
      <w:r>
        <w:rPr>
          <w:rFonts w:eastAsiaTheme="minorHAnsi"/>
        </w:rPr>
        <w:t xml:space="preserve">to include in the ASIC Rules the </w:t>
      </w:r>
      <w:r w:rsidRPr="00973135">
        <w:rPr>
          <w:rFonts w:eastAsiaTheme="minorHAnsi"/>
        </w:rPr>
        <w:t>data element</w:t>
      </w:r>
      <w:r>
        <w:rPr>
          <w:rFonts w:eastAsiaTheme="minorHAnsi"/>
        </w:rPr>
        <w:t xml:space="preserve">s </w:t>
      </w:r>
      <w:r>
        <w:t xml:space="preserve">related to notional quantities set out in </w:t>
      </w:r>
      <w:r w:rsidR="00BC0995">
        <w:fldChar w:fldCharType="begin"/>
      </w:r>
      <w:r w:rsidR="00BC0995">
        <w:instrText xml:space="preserve"> REF _Ref55998818 \h </w:instrText>
      </w:r>
      <w:r w:rsidR="00BC0995">
        <w:fldChar w:fldCharType="separate"/>
      </w:r>
      <w:r w:rsidR="00314C7E">
        <w:t xml:space="preserve">Table </w:t>
      </w:r>
      <w:r w:rsidR="00314C7E">
        <w:rPr>
          <w:noProof/>
        </w:rPr>
        <w:t>21</w:t>
      </w:r>
      <w:r w:rsidR="00BC0995">
        <w:fldChar w:fldCharType="end"/>
      </w:r>
      <w:r>
        <w:t>.</w:t>
      </w:r>
    </w:p>
    <w:p w14:paraId="69B4A9C4" w14:textId="77777777" w:rsidR="00C34373" w:rsidRDefault="00C34373" w:rsidP="00C34373">
      <w:pPr>
        <w:pStyle w:val="Feedbackhead"/>
      </w:pPr>
      <w:r>
        <w:t>Your feedback</w:t>
      </w:r>
    </w:p>
    <w:p w14:paraId="52E1AD8D" w14:textId="1E461862" w:rsidR="00C34373" w:rsidRDefault="00C34373" w:rsidP="00FB7C53">
      <w:pPr>
        <w:pStyle w:val="Feedbackquestion"/>
        <w:spacing w:before="80" w:line="250" w:lineRule="atLeast"/>
      </w:pPr>
      <w:r>
        <w:t xml:space="preserve">Do you agree that we should consider </w:t>
      </w:r>
      <w:r w:rsidR="005D44B3">
        <w:t xml:space="preserve">a </w:t>
      </w:r>
      <w:r>
        <w:t>propos</w:t>
      </w:r>
      <w:r w:rsidR="005D44B3">
        <w:t>al</w:t>
      </w:r>
      <w:r>
        <w:t>, in the second round of consultation, to include these data elements in the ASIC Rules? In your response, please give detailed reasons for your answer.</w:t>
      </w:r>
    </w:p>
    <w:p w14:paraId="36CBE2E6" w14:textId="02223C93" w:rsidR="00C34373" w:rsidRDefault="00C34373" w:rsidP="00FB7C53">
      <w:pPr>
        <w:pStyle w:val="Feedbackquestion"/>
        <w:spacing w:before="80" w:line="250" w:lineRule="atLeast"/>
      </w:pPr>
      <w:r>
        <w:t>For transactions involving ‘</w:t>
      </w:r>
      <w:r w:rsidR="00BC0995">
        <w:t xml:space="preserve">notional </w:t>
      </w:r>
      <w:r w:rsidR="006E3A3C">
        <w:t>quantity</w:t>
      </w:r>
      <w:r>
        <w:t xml:space="preserve"> schedules’, please provide feedback about:</w:t>
      </w:r>
    </w:p>
    <w:p w14:paraId="46CC61E1" w14:textId="77777777" w:rsidR="00C34373" w:rsidRDefault="00C34373" w:rsidP="00FB7C53">
      <w:pPr>
        <w:pStyle w:val="Feedbacksubquestion"/>
        <w:spacing w:before="80" w:line="250" w:lineRule="atLeast"/>
      </w:pPr>
      <w:r>
        <w:t>the incidence of such types of transactions in your own dealings; and</w:t>
      </w:r>
    </w:p>
    <w:p w14:paraId="36EDDCF8" w14:textId="09BB84B5" w:rsidR="006E3A3C" w:rsidRPr="006E3A3C" w:rsidRDefault="006E3A3C" w:rsidP="00FB7C53">
      <w:pPr>
        <w:pStyle w:val="Feedbacksubquestion"/>
        <w:spacing w:before="80" w:line="250" w:lineRule="atLeast"/>
      </w:pPr>
      <w:r w:rsidRPr="006E3A3C">
        <w:t>if the relationship between quantity, price and notional can be relied on to infer a ‘</w:t>
      </w:r>
      <w:r w:rsidR="00BC0995">
        <w:t>n</w:t>
      </w:r>
      <w:r w:rsidR="00BC0995" w:rsidRPr="006E3A3C">
        <w:t xml:space="preserve">otional </w:t>
      </w:r>
      <w:r w:rsidRPr="006E3A3C">
        <w:t>quantity schedule’ from a ‘</w:t>
      </w:r>
      <w:r w:rsidR="00BC0995">
        <w:t>n</w:t>
      </w:r>
      <w:r w:rsidR="00BC0995" w:rsidRPr="006E3A3C">
        <w:t xml:space="preserve">otional </w:t>
      </w:r>
      <w:r w:rsidRPr="006E3A3C">
        <w:t>amount schedule; and</w:t>
      </w:r>
    </w:p>
    <w:p w14:paraId="29D3C3CA" w14:textId="0E49A6D9" w:rsidR="00C34373" w:rsidRDefault="00C34373" w:rsidP="00FB7C53">
      <w:pPr>
        <w:pStyle w:val="Feedbacksubquestion"/>
        <w:spacing w:before="80" w:line="250" w:lineRule="atLeast"/>
      </w:pPr>
      <w:r>
        <w:t xml:space="preserve">whether you prefer to </w:t>
      </w:r>
      <w:r>
        <w:rPr>
          <w:rFonts w:eastAsiaTheme="minorHAnsi"/>
        </w:rPr>
        <w:t>provide this information in your initial transaction report as a ‘schedule’ rather than reporting the changes according to the ‘schedule’</w:t>
      </w:r>
      <w:r>
        <w:t xml:space="preserve"> in subsequent transaction reports.</w:t>
      </w:r>
    </w:p>
    <w:p w14:paraId="3A927D8B" w14:textId="4AC522A9" w:rsidR="00790DEA" w:rsidRPr="00D44C1A" w:rsidRDefault="00790DEA" w:rsidP="00FB7C53">
      <w:pPr>
        <w:pStyle w:val="Feedbackquestion"/>
        <w:spacing w:before="80" w:line="250" w:lineRule="atLeast"/>
      </w:pPr>
      <w:r w:rsidRPr="00C62732">
        <w:t xml:space="preserve">Do you consider that you will have </w:t>
      </w:r>
      <w:r>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_Ref55998818 \h </w:instrText>
      </w:r>
      <w:r w:rsidR="00CB0A2A">
        <w:fldChar w:fldCharType="separate"/>
      </w:r>
      <w:r w:rsidR="00314C7E">
        <w:t xml:space="preserve">Table </w:t>
      </w:r>
      <w:r w:rsidR="00314C7E">
        <w:rPr>
          <w:noProof/>
        </w:rPr>
        <w:t>21</w:t>
      </w:r>
      <w:r w:rsidR="00CB0A2A">
        <w:fldChar w:fldCharType="end"/>
      </w:r>
      <w:r w:rsidRPr="00C62732">
        <w:t>? In your response, please give detailed reasons for your answer.</w:t>
      </w:r>
    </w:p>
    <w:p w14:paraId="3A8A9BC9" w14:textId="206DC49F" w:rsidR="008F6FF4" w:rsidRDefault="008F6FF4" w:rsidP="008F6FF4">
      <w:pPr>
        <w:pStyle w:val="Heading2"/>
        <w:rPr>
          <w:rFonts w:eastAsiaTheme="minorHAnsi"/>
        </w:rPr>
      </w:pPr>
      <w:bookmarkStart w:id="121" w:name="_Toc57146499"/>
      <w:r>
        <w:rPr>
          <w:rFonts w:eastAsiaTheme="minorHAnsi"/>
        </w:rPr>
        <w:lastRenderedPageBreak/>
        <w:t>Data elements related to CDS index transactions</w:t>
      </w:r>
      <w:bookmarkEnd w:id="121"/>
    </w:p>
    <w:p w14:paraId="2C90EF53" w14:textId="3AEED59E" w:rsidR="003A15A0" w:rsidRDefault="00742434" w:rsidP="00A829C7">
      <w:pPr>
        <w:pStyle w:val="BodyText"/>
        <w:spacing w:line="290" w:lineRule="atLeast"/>
        <w:rPr>
          <w:rFonts w:eastAsiaTheme="minorHAnsi"/>
        </w:rPr>
      </w:pPr>
      <w:r w:rsidRPr="00742434">
        <w:rPr>
          <w:rFonts w:eastAsiaTheme="minorHAnsi"/>
        </w:rPr>
        <w:t xml:space="preserve">We propose to include </w:t>
      </w:r>
      <w:r w:rsidR="00ED1B27" w:rsidRPr="00742434">
        <w:rPr>
          <w:rFonts w:eastAsiaTheme="minorHAnsi"/>
        </w:rPr>
        <w:t xml:space="preserve">in the ASIC Rules </w:t>
      </w:r>
      <w:r w:rsidRPr="00742434">
        <w:rPr>
          <w:rFonts w:eastAsiaTheme="minorHAnsi"/>
        </w:rPr>
        <w:t>the data elements</w:t>
      </w:r>
      <w:r w:rsidR="00ED1B27">
        <w:rPr>
          <w:rFonts w:eastAsiaTheme="minorHAnsi"/>
        </w:rPr>
        <w:t xml:space="preserve"> </w:t>
      </w:r>
      <w:r w:rsidR="007A3934">
        <w:rPr>
          <w:rFonts w:eastAsiaTheme="minorHAnsi"/>
        </w:rPr>
        <w:t xml:space="preserve">set out </w:t>
      </w:r>
      <w:r w:rsidR="00ED1B27">
        <w:rPr>
          <w:rFonts w:eastAsiaTheme="minorHAnsi"/>
        </w:rPr>
        <w:t xml:space="preserve">in </w:t>
      </w:r>
      <w:r w:rsidR="00ED1B27">
        <w:rPr>
          <w:rFonts w:eastAsiaTheme="minorHAnsi"/>
        </w:rPr>
        <w:fldChar w:fldCharType="begin"/>
      </w:r>
      <w:r w:rsidR="00ED1B27">
        <w:rPr>
          <w:rFonts w:eastAsiaTheme="minorHAnsi"/>
        </w:rPr>
        <w:instrText xml:space="preserve"> REF _Ref55999437 \h </w:instrText>
      </w:r>
      <w:r w:rsidR="00ED1B27">
        <w:rPr>
          <w:rFonts w:eastAsiaTheme="minorHAnsi"/>
        </w:rPr>
      </w:r>
      <w:r w:rsidR="00ED1B27">
        <w:rPr>
          <w:rFonts w:eastAsiaTheme="minorHAnsi"/>
        </w:rPr>
        <w:fldChar w:fldCharType="separate"/>
      </w:r>
      <w:r w:rsidR="00314C7E">
        <w:t xml:space="preserve">Table </w:t>
      </w:r>
      <w:r w:rsidR="00314C7E">
        <w:rPr>
          <w:noProof/>
        </w:rPr>
        <w:t>22</w:t>
      </w:r>
      <w:r w:rsidR="00ED1B27">
        <w:rPr>
          <w:rFonts w:eastAsiaTheme="minorHAnsi"/>
        </w:rPr>
        <w:fldChar w:fldCharType="end"/>
      </w:r>
      <w:r w:rsidRPr="00742434">
        <w:rPr>
          <w:rFonts w:eastAsiaTheme="minorHAnsi"/>
        </w:rPr>
        <w:t>.</w:t>
      </w:r>
    </w:p>
    <w:p w14:paraId="410D32A2" w14:textId="207C60B3" w:rsidR="00742434" w:rsidRPr="00742434" w:rsidRDefault="00183994" w:rsidP="00A829C7">
      <w:pPr>
        <w:pStyle w:val="BodyText"/>
        <w:spacing w:line="290" w:lineRule="atLeast"/>
        <w:rPr>
          <w:rFonts w:eastAsiaTheme="minorHAnsi"/>
        </w:rPr>
      </w:pPr>
      <w:r>
        <w:rPr>
          <w:rFonts w:eastAsiaTheme="minorHAnsi"/>
        </w:rPr>
        <w:t>The</w:t>
      </w:r>
      <w:r w:rsidR="003A15A0">
        <w:rPr>
          <w:rFonts w:eastAsiaTheme="minorHAnsi"/>
        </w:rPr>
        <w:t xml:space="preserve"> ‘CDS index attachment/detachment point’ </w:t>
      </w:r>
      <w:r>
        <w:rPr>
          <w:rFonts w:eastAsiaTheme="minorHAnsi"/>
        </w:rPr>
        <w:t xml:space="preserve">data elements are in the CDE </w:t>
      </w:r>
      <w:r w:rsidR="00E401E1">
        <w:rPr>
          <w:rFonts w:eastAsiaTheme="minorHAnsi"/>
        </w:rPr>
        <w:t>Guidance</w:t>
      </w:r>
      <w:r>
        <w:rPr>
          <w:rFonts w:eastAsiaTheme="minorHAnsi"/>
        </w:rPr>
        <w:t xml:space="preserve"> and adopted in the final CFTC rules and the </w:t>
      </w:r>
      <w:r w:rsidR="000127C8">
        <w:rPr>
          <w:rFonts w:eastAsiaTheme="minorHAnsi"/>
        </w:rPr>
        <w:t>ESMA proposals</w:t>
      </w:r>
      <w:r w:rsidR="00742434" w:rsidRPr="00742434">
        <w:rPr>
          <w:rFonts w:eastAsiaTheme="minorHAnsi"/>
        </w:rPr>
        <w:t>.</w:t>
      </w:r>
    </w:p>
    <w:p w14:paraId="72875172" w14:textId="3293BD36" w:rsidR="008F6FF4" w:rsidRDefault="00183994" w:rsidP="00A829C7">
      <w:pPr>
        <w:pStyle w:val="BodyText"/>
        <w:spacing w:line="290" w:lineRule="atLeast"/>
        <w:rPr>
          <w:rFonts w:eastAsiaTheme="minorHAnsi"/>
        </w:rPr>
      </w:pPr>
      <w:r>
        <w:rPr>
          <w:rFonts w:eastAsiaTheme="minorHAnsi"/>
        </w:rPr>
        <w:t xml:space="preserve">These data elements are only applicable to </w:t>
      </w:r>
      <w:r w:rsidR="00E57554">
        <w:rPr>
          <w:rFonts w:eastAsiaTheme="minorHAnsi"/>
        </w:rPr>
        <w:t>credit derivative swap (</w:t>
      </w:r>
      <w:r>
        <w:rPr>
          <w:rFonts w:eastAsiaTheme="minorHAnsi"/>
        </w:rPr>
        <w:t>CDS</w:t>
      </w:r>
      <w:r w:rsidR="00E57554">
        <w:rPr>
          <w:rFonts w:eastAsiaTheme="minorHAnsi"/>
        </w:rPr>
        <w:t>)</w:t>
      </w:r>
      <w:r>
        <w:rPr>
          <w:rFonts w:eastAsiaTheme="minorHAnsi"/>
        </w:rPr>
        <w:t xml:space="preserve"> tranche transactions and are important in detailing </w:t>
      </w:r>
      <w:r w:rsidR="00D44629">
        <w:rPr>
          <w:rFonts w:eastAsiaTheme="minorHAnsi"/>
        </w:rPr>
        <w:t xml:space="preserve">the ranking for loss absorption of a particular tranche among all tranches. </w:t>
      </w:r>
      <w:r w:rsidR="003A15A0">
        <w:rPr>
          <w:rFonts w:eastAsiaTheme="minorHAnsi"/>
        </w:rPr>
        <w:t xml:space="preserve">Consequently, it clarifies the risk exposure of a </w:t>
      </w:r>
      <w:r w:rsidR="009E0748">
        <w:rPr>
          <w:rFonts w:eastAsiaTheme="minorHAnsi"/>
        </w:rPr>
        <w:t>reporting entity</w:t>
      </w:r>
      <w:r w:rsidR="003A15A0">
        <w:rPr>
          <w:rFonts w:eastAsiaTheme="minorHAnsi"/>
        </w:rPr>
        <w:t xml:space="preserve"> to that tranche.</w:t>
      </w:r>
    </w:p>
    <w:p w14:paraId="1BFD7895" w14:textId="75AFF005" w:rsidR="003A15A0" w:rsidRDefault="003A15A0" w:rsidP="00A829C7">
      <w:pPr>
        <w:pStyle w:val="BodyText"/>
        <w:spacing w:line="290" w:lineRule="atLeast"/>
        <w:rPr>
          <w:rFonts w:eastAsiaTheme="minorHAnsi"/>
        </w:rPr>
      </w:pPr>
      <w:r>
        <w:rPr>
          <w:rFonts w:eastAsiaTheme="minorHAnsi"/>
        </w:rPr>
        <w:t>The ‘</w:t>
      </w:r>
      <w:r w:rsidR="0006086A">
        <w:rPr>
          <w:rFonts w:eastAsiaTheme="minorHAnsi"/>
        </w:rPr>
        <w:t>i</w:t>
      </w:r>
      <w:r>
        <w:rPr>
          <w:rFonts w:eastAsiaTheme="minorHAnsi"/>
        </w:rPr>
        <w:t xml:space="preserve">ndex factor’ is not a CDE </w:t>
      </w:r>
      <w:r w:rsidR="00E401E1">
        <w:rPr>
          <w:rFonts w:eastAsiaTheme="minorHAnsi"/>
        </w:rPr>
        <w:t>Guidance</w:t>
      </w:r>
      <w:r>
        <w:rPr>
          <w:rFonts w:eastAsiaTheme="minorHAnsi"/>
        </w:rPr>
        <w:t xml:space="preserve"> data element but is included in the final </w:t>
      </w:r>
      <w:r w:rsidR="0006086A">
        <w:rPr>
          <w:rFonts w:eastAsiaTheme="minorHAnsi"/>
        </w:rPr>
        <w:t xml:space="preserve">CFTC </w:t>
      </w:r>
      <w:r>
        <w:rPr>
          <w:rFonts w:eastAsiaTheme="minorHAnsi"/>
        </w:rPr>
        <w:t xml:space="preserve">rules and the </w:t>
      </w:r>
      <w:r w:rsidR="000127C8">
        <w:rPr>
          <w:rFonts w:eastAsiaTheme="minorHAnsi"/>
        </w:rPr>
        <w:t>ESMA proposals</w:t>
      </w:r>
      <w:r>
        <w:rPr>
          <w:rFonts w:eastAsiaTheme="minorHAnsi"/>
        </w:rPr>
        <w:t>.</w:t>
      </w:r>
    </w:p>
    <w:p w14:paraId="238FD552" w14:textId="75D1B4A6" w:rsidR="003A15A0" w:rsidRDefault="003A15A0" w:rsidP="00A829C7">
      <w:pPr>
        <w:pStyle w:val="BodyText"/>
        <w:spacing w:line="290" w:lineRule="atLeast"/>
        <w:rPr>
          <w:rFonts w:eastAsiaTheme="minorHAnsi"/>
        </w:rPr>
      </w:pPr>
      <w:r>
        <w:rPr>
          <w:rFonts w:eastAsiaTheme="minorHAnsi"/>
        </w:rPr>
        <w:t>‘Index factor’ reflects the level of credit defaults that have been accounted for in a credit derivative index and is multiplied by the original ‘</w:t>
      </w:r>
      <w:r w:rsidR="0006086A">
        <w:rPr>
          <w:rFonts w:eastAsiaTheme="minorHAnsi"/>
        </w:rPr>
        <w:t xml:space="preserve">notional </w:t>
      </w:r>
      <w:r>
        <w:rPr>
          <w:rFonts w:eastAsiaTheme="minorHAnsi"/>
        </w:rPr>
        <w:t>amount’ to give the actual ‘</w:t>
      </w:r>
      <w:r w:rsidR="0006086A">
        <w:rPr>
          <w:rFonts w:eastAsiaTheme="minorHAnsi"/>
        </w:rPr>
        <w:t xml:space="preserve">notional </w:t>
      </w:r>
      <w:r>
        <w:rPr>
          <w:rFonts w:eastAsiaTheme="minorHAnsi"/>
        </w:rPr>
        <w:t xml:space="preserve">amount’ at a point in time. This is an important field that clarifies the </w:t>
      </w:r>
      <w:r w:rsidR="00097052">
        <w:rPr>
          <w:rFonts w:eastAsiaTheme="minorHAnsi"/>
        </w:rPr>
        <w:t xml:space="preserve">actual </w:t>
      </w:r>
      <w:r>
        <w:rPr>
          <w:rFonts w:eastAsiaTheme="minorHAnsi"/>
        </w:rPr>
        <w:t xml:space="preserve">risk exposure of a </w:t>
      </w:r>
      <w:r w:rsidR="009E0748">
        <w:rPr>
          <w:rFonts w:eastAsiaTheme="minorHAnsi"/>
        </w:rPr>
        <w:t>reporting entity</w:t>
      </w:r>
      <w:r>
        <w:rPr>
          <w:rFonts w:eastAsiaTheme="minorHAnsi"/>
        </w:rPr>
        <w:t xml:space="preserve"> </w:t>
      </w:r>
      <w:r w:rsidR="00097052">
        <w:rPr>
          <w:rFonts w:eastAsiaTheme="minorHAnsi"/>
        </w:rPr>
        <w:t>in a transaction where the ‘</w:t>
      </w:r>
      <w:r w:rsidR="0006086A">
        <w:rPr>
          <w:rFonts w:eastAsiaTheme="minorHAnsi"/>
        </w:rPr>
        <w:t>i</w:t>
      </w:r>
      <w:r w:rsidR="00097052">
        <w:rPr>
          <w:rFonts w:eastAsiaTheme="minorHAnsi"/>
        </w:rPr>
        <w:t>ndex factor’ is less than 1.</w:t>
      </w:r>
    </w:p>
    <w:p w14:paraId="60E311DE" w14:textId="18AF1A8A" w:rsidR="00DF345B" w:rsidRPr="004857CC" w:rsidRDefault="00DF345B" w:rsidP="00DF345B">
      <w:pPr>
        <w:pStyle w:val="tabletitlefullwidth"/>
      </w:pPr>
      <w:bookmarkStart w:id="122" w:name="_Ref55999437"/>
      <w:r>
        <w:t xml:space="preserve">Table </w:t>
      </w:r>
      <w:r w:rsidR="007055A5">
        <w:fldChar w:fldCharType="begin"/>
      </w:r>
      <w:r w:rsidR="007055A5">
        <w:instrText xml:space="preserve"> SEQ Table \* ARABIC </w:instrText>
      </w:r>
      <w:r w:rsidR="007055A5">
        <w:fldChar w:fldCharType="separate"/>
      </w:r>
      <w:r w:rsidR="00314C7E">
        <w:rPr>
          <w:noProof/>
        </w:rPr>
        <w:t>22</w:t>
      </w:r>
      <w:r w:rsidR="007055A5">
        <w:rPr>
          <w:noProof/>
        </w:rPr>
        <w:fldChar w:fldCharType="end"/>
      </w:r>
      <w:bookmarkEnd w:id="122"/>
      <w:r>
        <w:t>:</w:t>
      </w:r>
      <w:r>
        <w:tab/>
      </w:r>
      <w:r w:rsidR="003A15A0">
        <w:t>Proposed d</w:t>
      </w:r>
      <w:r w:rsidR="003A15A0">
        <w:rPr>
          <w:rFonts w:eastAsiaTheme="minorHAnsi"/>
        </w:rPr>
        <w:t>ata elements related to CDS index transactions</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2"/>
        <w:gridCol w:w="4434"/>
        <w:gridCol w:w="728"/>
        <w:gridCol w:w="727"/>
        <w:gridCol w:w="737"/>
        <w:gridCol w:w="709"/>
      </w:tblGrid>
      <w:tr w:rsidR="008F6FF4" w:rsidRPr="000540E1" w14:paraId="2AA1202F" w14:textId="77777777" w:rsidTr="002B70A5">
        <w:trPr>
          <w:cantSplit/>
          <w:tblHeader/>
        </w:trPr>
        <w:tc>
          <w:tcPr>
            <w:tcW w:w="942" w:type="pct"/>
            <w:shd w:val="clear" w:color="auto" w:fill="C2E3FA"/>
          </w:tcPr>
          <w:p w14:paraId="2E7256C4" w14:textId="77777777" w:rsidR="008F6FF4" w:rsidRDefault="008F6FF4" w:rsidP="00A829C7">
            <w:pPr>
              <w:pStyle w:val="tablehead"/>
              <w:spacing w:line="230" w:lineRule="atLeast"/>
            </w:pPr>
          </w:p>
        </w:tc>
        <w:tc>
          <w:tcPr>
            <w:tcW w:w="2453" w:type="pct"/>
            <w:shd w:val="clear" w:color="auto" w:fill="C2E3FA"/>
          </w:tcPr>
          <w:p w14:paraId="73775C97" w14:textId="77777777" w:rsidR="008F6FF4" w:rsidRDefault="008F6FF4" w:rsidP="00A829C7">
            <w:pPr>
              <w:pStyle w:val="tablehead"/>
              <w:spacing w:line="230" w:lineRule="atLeast"/>
            </w:pPr>
          </w:p>
        </w:tc>
        <w:tc>
          <w:tcPr>
            <w:tcW w:w="1605" w:type="pct"/>
            <w:gridSpan w:val="4"/>
            <w:shd w:val="clear" w:color="auto" w:fill="C2E3FA"/>
          </w:tcPr>
          <w:p w14:paraId="45280052" w14:textId="322B91D1" w:rsidR="008F6FF4" w:rsidRPr="000540E1" w:rsidRDefault="001156A2" w:rsidP="00A829C7">
            <w:pPr>
              <w:pStyle w:val="tablehead"/>
              <w:spacing w:line="230" w:lineRule="atLeast"/>
              <w:jc w:val="center"/>
            </w:pPr>
            <w:r>
              <w:t>Element</w:t>
            </w:r>
            <w:r w:rsidR="008F6FF4">
              <w:t xml:space="preserve"> number references</w:t>
            </w:r>
          </w:p>
        </w:tc>
      </w:tr>
      <w:tr w:rsidR="008F6FF4" w:rsidRPr="000540E1" w14:paraId="245CC446" w14:textId="77777777" w:rsidTr="002B70A5">
        <w:trPr>
          <w:cantSplit/>
          <w:tblHeader/>
        </w:trPr>
        <w:tc>
          <w:tcPr>
            <w:tcW w:w="942" w:type="pct"/>
            <w:shd w:val="clear" w:color="auto" w:fill="C2E3FA"/>
          </w:tcPr>
          <w:p w14:paraId="025C6F1D" w14:textId="77777777" w:rsidR="008F6FF4" w:rsidRDefault="008F6FF4" w:rsidP="00A829C7">
            <w:pPr>
              <w:pStyle w:val="tablehead"/>
              <w:spacing w:line="230" w:lineRule="atLeast"/>
            </w:pPr>
            <w:r>
              <w:t>Data element</w:t>
            </w:r>
          </w:p>
        </w:tc>
        <w:tc>
          <w:tcPr>
            <w:tcW w:w="2453" w:type="pct"/>
            <w:shd w:val="clear" w:color="auto" w:fill="C2E3FA"/>
          </w:tcPr>
          <w:p w14:paraId="2F1F5C51" w14:textId="35EC6990" w:rsidR="008F6FF4" w:rsidRDefault="008F6FF4" w:rsidP="00A829C7">
            <w:pPr>
              <w:pStyle w:val="tablehead"/>
              <w:spacing w:line="230" w:lineRule="atLeast"/>
            </w:pPr>
            <w:r>
              <w:t>Definition</w:t>
            </w:r>
            <w:r w:rsidR="00193DFB">
              <w:t>—</w:t>
            </w:r>
            <w:r w:rsidR="0006086A">
              <w:t>S</w:t>
            </w:r>
            <w:r>
              <w:t xml:space="preserve">ummary </w:t>
            </w:r>
            <w:r w:rsidR="0075074F">
              <w:t xml:space="preserve">of </w:t>
            </w:r>
            <w:r>
              <w:t>key points</w:t>
            </w:r>
          </w:p>
        </w:tc>
        <w:tc>
          <w:tcPr>
            <w:tcW w:w="403" w:type="pct"/>
            <w:shd w:val="clear" w:color="auto" w:fill="C2E3FA"/>
          </w:tcPr>
          <w:p w14:paraId="61254C6B" w14:textId="784EF6B2" w:rsidR="008F6FF4" w:rsidRPr="000540E1" w:rsidRDefault="008F6FF4" w:rsidP="00A829C7">
            <w:pPr>
              <w:pStyle w:val="tablehead"/>
              <w:spacing w:line="230" w:lineRule="atLeast"/>
              <w:jc w:val="center"/>
            </w:pPr>
            <w:r>
              <w:t>CDE</w:t>
            </w:r>
          </w:p>
        </w:tc>
        <w:tc>
          <w:tcPr>
            <w:tcW w:w="402" w:type="pct"/>
            <w:shd w:val="clear" w:color="auto" w:fill="C2E3FA"/>
          </w:tcPr>
          <w:p w14:paraId="6EF1902A" w14:textId="77777777" w:rsidR="008F6FF4" w:rsidRPr="000540E1" w:rsidRDefault="008F6FF4" w:rsidP="00A829C7">
            <w:pPr>
              <w:pStyle w:val="tablehead"/>
              <w:spacing w:line="230" w:lineRule="atLeast"/>
              <w:jc w:val="center"/>
            </w:pPr>
            <w:r>
              <w:t>CFTC</w:t>
            </w:r>
          </w:p>
        </w:tc>
        <w:tc>
          <w:tcPr>
            <w:tcW w:w="408" w:type="pct"/>
            <w:shd w:val="clear" w:color="auto" w:fill="C2E3FA"/>
          </w:tcPr>
          <w:p w14:paraId="44349FA8" w14:textId="030E6790" w:rsidR="008F6FF4" w:rsidRPr="000540E1" w:rsidRDefault="005C1566" w:rsidP="00A829C7">
            <w:pPr>
              <w:pStyle w:val="tablehead"/>
              <w:spacing w:line="230" w:lineRule="atLeast"/>
              <w:jc w:val="center"/>
            </w:pPr>
            <w:r>
              <w:t>ESMA</w:t>
            </w:r>
          </w:p>
        </w:tc>
        <w:tc>
          <w:tcPr>
            <w:tcW w:w="392" w:type="pct"/>
            <w:shd w:val="clear" w:color="auto" w:fill="C2E3FA"/>
          </w:tcPr>
          <w:p w14:paraId="31DDC85F" w14:textId="77777777" w:rsidR="008F6FF4" w:rsidRPr="000540E1" w:rsidRDefault="008F6FF4" w:rsidP="00A829C7">
            <w:pPr>
              <w:pStyle w:val="tablehead"/>
              <w:spacing w:line="230" w:lineRule="atLeast"/>
              <w:jc w:val="center"/>
            </w:pPr>
            <w:r>
              <w:t>ASIC</w:t>
            </w:r>
          </w:p>
        </w:tc>
      </w:tr>
      <w:tr w:rsidR="004E304A" w:rsidRPr="000540E1" w14:paraId="44252218" w14:textId="77777777" w:rsidTr="002B70A5">
        <w:trPr>
          <w:cantSplit/>
        </w:trPr>
        <w:tc>
          <w:tcPr>
            <w:tcW w:w="942" w:type="pct"/>
          </w:tcPr>
          <w:p w14:paraId="15E26A27" w14:textId="3B4A2AF3" w:rsidR="004E304A" w:rsidRPr="000540E1" w:rsidRDefault="004E304A" w:rsidP="00A829C7">
            <w:pPr>
              <w:pStyle w:val="tbltext"/>
              <w:spacing w:line="230" w:lineRule="atLeast"/>
            </w:pPr>
            <w:r>
              <w:t>CDS index attachment point</w:t>
            </w:r>
          </w:p>
        </w:tc>
        <w:tc>
          <w:tcPr>
            <w:tcW w:w="2453" w:type="pct"/>
          </w:tcPr>
          <w:p w14:paraId="35BCEBEF" w14:textId="5A4AFFC6" w:rsidR="004E304A" w:rsidRPr="000540E1" w:rsidRDefault="004E304A" w:rsidP="00A829C7">
            <w:pPr>
              <w:pStyle w:val="tbltext"/>
              <w:spacing w:line="230" w:lineRule="atLeast"/>
            </w:pPr>
            <w:r>
              <w:t xml:space="preserve">{CDE TG} </w:t>
            </w:r>
            <w:r w:rsidRPr="008F6FF4">
              <w:t>Defined lower point at which the level of losses in the underlying portfolio reduces the notional of a tranche.</w:t>
            </w:r>
          </w:p>
        </w:tc>
        <w:tc>
          <w:tcPr>
            <w:tcW w:w="403" w:type="pct"/>
          </w:tcPr>
          <w:p w14:paraId="24EF550E" w14:textId="1074F613" w:rsidR="004E304A" w:rsidRPr="000540E1" w:rsidRDefault="004E304A" w:rsidP="00A829C7">
            <w:pPr>
              <w:pStyle w:val="tbltext"/>
              <w:spacing w:line="230" w:lineRule="atLeast"/>
              <w:jc w:val="center"/>
            </w:pPr>
            <w:r>
              <w:t>2.81</w:t>
            </w:r>
          </w:p>
        </w:tc>
        <w:tc>
          <w:tcPr>
            <w:tcW w:w="402" w:type="pct"/>
          </w:tcPr>
          <w:p w14:paraId="0C9ED02F" w14:textId="0C922D35" w:rsidR="004E304A" w:rsidRPr="000540E1" w:rsidRDefault="004E304A" w:rsidP="00A829C7">
            <w:pPr>
              <w:pStyle w:val="tbltext"/>
              <w:spacing w:line="230" w:lineRule="atLeast"/>
              <w:jc w:val="center"/>
            </w:pPr>
            <w:r>
              <w:t>83</w:t>
            </w:r>
          </w:p>
        </w:tc>
        <w:tc>
          <w:tcPr>
            <w:tcW w:w="408" w:type="pct"/>
          </w:tcPr>
          <w:p w14:paraId="4E47DD17" w14:textId="17105066" w:rsidR="004E304A" w:rsidRPr="000540E1" w:rsidRDefault="004E304A" w:rsidP="00A829C7">
            <w:pPr>
              <w:pStyle w:val="tbltext"/>
              <w:spacing w:line="230" w:lineRule="atLeast"/>
              <w:jc w:val="center"/>
            </w:pPr>
            <w:r>
              <w:t>2.147</w:t>
            </w:r>
          </w:p>
        </w:tc>
        <w:tc>
          <w:tcPr>
            <w:tcW w:w="392" w:type="pct"/>
          </w:tcPr>
          <w:p w14:paraId="35F99DBD" w14:textId="70084185" w:rsidR="004E304A" w:rsidRPr="000540E1" w:rsidRDefault="004E304A" w:rsidP="00A829C7">
            <w:pPr>
              <w:pStyle w:val="tbltext"/>
              <w:spacing w:line="230" w:lineRule="atLeast"/>
              <w:jc w:val="center"/>
            </w:pPr>
            <w:r>
              <w:t>n/a</w:t>
            </w:r>
          </w:p>
        </w:tc>
      </w:tr>
      <w:tr w:rsidR="004E304A" w:rsidRPr="000540E1" w14:paraId="6C8FAAE8" w14:textId="77777777" w:rsidTr="00B76096">
        <w:trPr>
          <w:cantSplit/>
        </w:trPr>
        <w:tc>
          <w:tcPr>
            <w:tcW w:w="942" w:type="pct"/>
          </w:tcPr>
          <w:p w14:paraId="719EE5A1" w14:textId="77777777" w:rsidR="004E304A" w:rsidRPr="000540E1" w:rsidRDefault="004E304A" w:rsidP="00A829C7">
            <w:pPr>
              <w:pStyle w:val="tbltext"/>
              <w:spacing w:line="230" w:lineRule="atLeast"/>
            </w:pPr>
            <w:r w:rsidRPr="008F6FF4">
              <w:t>CDS index detachment point</w:t>
            </w:r>
          </w:p>
        </w:tc>
        <w:tc>
          <w:tcPr>
            <w:tcW w:w="2453" w:type="pct"/>
          </w:tcPr>
          <w:p w14:paraId="77DC5403" w14:textId="77777777" w:rsidR="004E304A" w:rsidRPr="000540E1" w:rsidRDefault="004E304A" w:rsidP="00A829C7">
            <w:pPr>
              <w:pStyle w:val="tbltext"/>
              <w:spacing w:line="230" w:lineRule="atLeast"/>
            </w:pPr>
            <w:r>
              <w:t xml:space="preserve">{CDE TG} </w:t>
            </w:r>
            <w:r w:rsidRPr="008F6FF4">
              <w:t>Defined point beyond which losses in the underlying portfolio no longer reduce the notional of a tranche.</w:t>
            </w:r>
          </w:p>
        </w:tc>
        <w:tc>
          <w:tcPr>
            <w:tcW w:w="403" w:type="pct"/>
          </w:tcPr>
          <w:p w14:paraId="5A8FE11D" w14:textId="77777777" w:rsidR="004E304A" w:rsidRPr="000540E1" w:rsidRDefault="004E304A" w:rsidP="00A829C7">
            <w:pPr>
              <w:pStyle w:val="tbltext"/>
              <w:spacing w:line="230" w:lineRule="atLeast"/>
              <w:jc w:val="center"/>
            </w:pPr>
            <w:r>
              <w:t>2.82</w:t>
            </w:r>
          </w:p>
        </w:tc>
        <w:tc>
          <w:tcPr>
            <w:tcW w:w="402" w:type="pct"/>
          </w:tcPr>
          <w:p w14:paraId="5CBBF046" w14:textId="77777777" w:rsidR="004E304A" w:rsidRPr="000540E1" w:rsidRDefault="004E304A" w:rsidP="00A829C7">
            <w:pPr>
              <w:pStyle w:val="tbltext"/>
              <w:spacing w:line="230" w:lineRule="atLeast"/>
              <w:jc w:val="center"/>
            </w:pPr>
            <w:r>
              <w:t>84</w:t>
            </w:r>
          </w:p>
        </w:tc>
        <w:tc>
          <w:tcPr>
            <w:tcW w:w="408" w:type="pct"/>
          </w:tcPr>
          <w:p w14:paraId="30FD85FF" w14:textId="77777777" w:rsidR="004E304A" w:rsidRPr="000540E1" w:rsidRDefault="004E304A" w:rsidP="00A829C7">
            <w:pPr>
              <w:pStyle w:val="tbltext"/>
              <w:spacing w:line="230" w:lineRule="atLeast"/>
              <w:jc w:val="center"/>
            </w:pPr>
            <w:r>
              <w:t>2.148</w:t>
            </w:r>
          </w:p>
        </w:tc>
        <w:tc>
          <w:tcPr>
            <w:tcW w:w="392" w:type="pct"/>
          </w:tcPr>
          <w:p w14:paraId="090A55F1" w14:textId="0D4F90A7" w:rsidR="004E304A" w:rsidRPr="000540E1" w:rsidRDefault="004E304A" w:rsidP="00A829C7">
            <w:pPr>
              <w:pStyle w:val="tbltext"/>
              <w:spacing w:line="230" w:lineRule="atLeast"/>
              <w:jc w:val="center"/>
            </w:pPr>
            <w:r>
              <w:t>n/a</w:t>
            </w:r>
          </w:p>
        </w:tc>
      </w:tr>
      <w:tr w:rsidR="004E304A" w:rsidRPr="000540E1" w14:paraId="6263CED2" w14:textId="77777777" w:rsidTr="00B76096">
        <w:trPr>
          <w:cantSplit/>
        </w:trPr>
        <w:tc>
          <w:tcPr>
            <w:tcW w:w="942" w:type="pct"/>
          </w:tcPr>
          <w:p w14:paraId="20AA1C57" w14:textId="77777777" w:rsidR="004E304A" w:rsidRPr="000540E1" w:rsidRDefault="004E304A" w:rsidP="00A829C7">
            <w:pPr>
              <w:pStyle w:val="tbltext"/>
              <w:spacing w:line="230" w:lineRule="atLeast"/>
            </w:pPr>
            <w:r>
              <w:t>Index factor</w:t>
            </w:r>
          </w:p>
        </w:tc>
        <w:tc>
          <w:tcPr>
            <w:tcW w:w="2453" w:type="pct"/>
          </w:tcPr>
          <w:p w14:paraId="390DF598" w14:textId="499A9A45" w:rsidR="004E304A" w:rsidRPr="000540E1" w:rsidRDefault="004E304A" w:rsidP="00A829C7">
            <w:pPr>
              <w:pStyle w:val="tbltext"/>
              <w:spacing w:line="230" w:lineRule="atLeast"/>
            </w:pPr>
            <w:r>
              <w:t xml:space="preserve">{CFTC} </w:t>
            </w:r>
            <w:r w:rsidRPr="008F6FF4">
              <w:t xml:space="preserve">The index version factor or percent, expressed as a decimal value, that multiplied by the </w:t>
            </w:r>
            <w:r w:rsidR="0006086A">
              <w:t>n</w:t>
            </w:r>
            <w:r w:rsidR="0006086A" w:rsidRPr="008F6FF4">
              <w:t xml:space="preserve">otional </w:t>
            </w:r>
            <w:r w:rsidRPr="008F6FF4">
              <w:t>amount yields the notional amount covered by the seller of protection for credit default swap.</w:t>
            </w:r>
          </w:p>
        </w:tc>
        <w:tc>
          <w:tcPr>
            <w:tcW w:w="403" w:type="pct"/>
          </w:tcPr>
          <w:p w14:paraId="6793A6B4" w14:textId="403A3918" w:rsidR="004E304A" w:rsidRPr="000540E1" w:rsidRDefault="004E304A" w:rsidP="00A829C7">
            <w:pPr>
              <w:pStyle w:val="tbltext"/>
              <w:spacing w:line="230" w:lineRule="atLeast"/>
              <w:jc w:val="center"/>
            </w:pPr>
            <w:r>
              <w:t>n/a</w:t>
            </w:r>
          </w:p>
        </w:tc>
        <w:tc>
          <w:tcPr>
            <w:tcW w:w="402" w:type="pct"/>
          </w:tcPr>
          <w:p w14:paraId="266F231B" w14:textId="77777777" w:rsidR="004E304A" w:rsidRPr="000540E1" w:rsidRDefault="004E304A" w:rsidP="00A829C7">
            <w:pPr>
              <w:pStyle w:val="tbltext"/>
              <w:spacing w:line="230" w:lineRule="atLeast"/>
              <w:jc w:val="center"/>
            </w:pPr>
            <w:r>
              <w:t>85</w:t>
            </w:r>
          </w:p>
        </w:tc>
        <w:tc>
          <w:tcPr>
            <w:tcW w:w="408" w:type="pct"/>
          </w:tcPr>
          <w:p w14:paraId="10A282E0" w14:textId="77777777" w:rsidR="004E304A" w:rsidRPr="000540E1" w:rsidRDefault="004E304A" w:rsidP="00A829C7">
            <w:pPr>
              <w:pStyle w:val="tbltext"/>
              <w:spacing w:line="230" w:lineRule="atLeast"/>
              <w:jc w:val="center"/>
            </w:pPr>
            <w:r>
              <w:t>2.145</w:t>
            </w:r>
          </w:p>
        </w:tc>
        <w:tc>
          <w:tcPr>
            <w:tcW w:w="392" w:type="pct"/>
          </w:tcPr>
          <w:p w14:paraId="45838A77" w14:textId="725EC976" w:rsidR="004E304A" w:rsidRPr="000540E1" w:rsidRDefault="004E304A" w:rsidP="00A829C7">
            <w:pPr>
              <w:pStyle w:val="tbltext"/>
              <w:spacing w:line="230" w:lineRule="atLeast"/>
              <w:jc w:val="center"/>
            </w:pPr>
            <w:r>
              <w:t>n/a</w:t>
            </w:r>
          </w:p>
        </w:tc>
      </w:tr>
    </w:tbl>
    <w:p w14:paraId="0297A41A" w14:textId="77777777" w:rsidR="005033F5" w:rsidRDefault="005033F5" w:rsidP="005E2C08">
      <w:pPr>
        <w:pStyle w:val="Proposalhead"/>
      </w:pPr>
      <w:r>
        <w:t>Proposal</w:t>
      </w:r>
    </w:p>
    <w:p w14:paraId="0E7F21C3" w14:textId="5DD04EA8" w:rsidR="005033F5" w:rsidRDefault="005033F5" w:rsidP="00A829C7">
      <w:pPr>
        <w:pStyle w:val="Proposaltext"/>
        <w:spacing w:line="250" w:lineRule="atLeast"/>
      </w:pPr>
      <w:r>
        <w:t xml:space="preserve">We propose to include in the ASIC Rules the data elements related to CDS index transactions set out in </w:t>
      </w:r>
      <w:r w:rsidR="0006086A">
        <w:fldChar w:fldCharType="begin"/>
      </w:r>
      <w:r w:rsidR="0006086A">
        <w:instrText xml:space="preserve"> REF _Ref55999437 \h </w:instrText>
      </w:r>
      <w:r w:rsidR="0006086A">
        <w:fldChar w:fldCharType="separate"/>
      </w:r>
      <w:r w:rsidR="00314C7E">
        <w:t xml:space="preserve">Table </w:t>
      </w:r>
      <w:r w:rsidR="00314C7E">
        <w:rPr>
          <w:noProof/>
        </w:rPr>
        <w:t>22</w:t>
      </w:r>
      <w:r w:rsidR="0006086A">
        <w:fldChar w:fldCharType="end"/>
      </w:r>
      <w:r>
        <w:t>.</w:t>
      </w:r>
    </w:p>
    <w:p w14:paraId="3E3EDEAE" w14:textId="77777777" w:rsidR="005033F5" w:rsidRDefault="005033F5">
      <w:pPr>
        <w:pStyle w:val="Feedbackhead"/>
      </w:pPr>
      <w:r>
        <w:t>Your feedback</w:t>
      </w:r>
    </w:p>
    <w:p w14:paraId="113305E3" w14:textId="77777777" w:rsidR="005033F5" w:rsidRDefault="005033F5" w:rsidP="00A829C7">
      <w:pPr>
        <w:pStyle w:val="Feedbackquestion"/>
        <w:spacing w:line="250" w:lineRule="atLeast"/>
      </w:pPr>
      <w:r>
        <w:t>Do you agree with this proposal? In your response, please give detailed reasons for your answer.</w:t>
      </w:r>
    </w:p>
    <w:p w14:paraId="0CF18378" w14:textId="6DD7D618" w:rsidR="005033F5" w:rsidRDefault="005033F5" w:rsidP="00A829C7">
      <w:pPr>
        <w:pStyle w:val="Feedbackquestion"/>
        <w:spacing w:line="250" w:lineRule="atLeast"/>
      </w:pPr>
      <w:r w:rsidRPr="00C62732">
        <w:t xml:space="preserve">Do you consider that you will have </w:t>
      </w:r>
      <w:r w:rsidR="00790DEA">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_Ref55999437 \h </w:instrText>
      </w:r>
      <w:r w:rsidR="00CB0A2A">
        <w:fldChar w:fldCharType="separate"/>
      </w:r>
      <w:r w:rsidR="00314C7E">
        <w:t xml:space="preserve">Table </w:t>
      </w:r>
      <w:r w:rsidR="00314C7E">
        <w:rPr>
          <w:noProof/>
        </w:rPr>
        <w:t>22</w:t>
      </w:r>
      <w:r w:rsidR="00CB0A2A">
        <w:fldChar w:fldCharType="end"/>
      </w:r>
      <w:r w:rsidRPr="00C62732">
        <w:t>? In your response, please give detailed reasons for your answer.</w:t>
      </w:r>
    </w:p>
    <w:p w14:paraId="2738D597" w14:textId="0DA33D81" w:rsidR="00722D11" w:rsidRDefault="00722D11" w:rsidP="00722D11">
      <w:pPr>
        <w:pStyle w:val="Heading2"/>
        <w:rPr>
          <w:rFonts w:eastAsiaTheme="minorHAnsi"/>
        </w:rPr>
      </w:pPr>
      <w:bookmarkStart w:id="123" w:name="_Toc57146500"/>
      <w:r>
        <w:rPr>
          <w:rFonts w:eastAsiaTheme="minorHAnsi"/>
        </w:rPr>
        <w:lastRenderedPageBreak/>
        <w:t>Data elements related to other payments</w:t>
      </w:r>
      <w:bookmarkEnd w:id="123"/>
    </w:p>
    <w:p w14:paraId="432E3711" w14:textId="685FF405" w:rsidR="00B2426A" w:rsidRPr="00B2426A" w:rsidRDefault="00B2426A" w:rsidP="00A829C7">
      <w:pPr>
        <w:pStyle w:val="BodyText"/>
        <w:spacing w:line="310" w:lineRule="atLeast"/>
        <w:rPr>
          <w:rFonts w:eastAsiaTheme="minorHAnsi"/>
        </w:rPr>
      </w:pPr>
      <w:r w:rsidRPr="00B2426A">
        <w:rPr>
          <w:rFonts w:eastAsiaTheme="minorHAnsi"/>
        </w:rPr>
        <w:t xml:space="preserve">We propose to include </w:t>
      </w:r>
      <w:r w:rsidR="00ED1B27" w:rsidRPr="00B2426A">
        <w:rPr>
          <w:rFonts w:eastAsiaTheme="minorHAnsi"/>
        </w:rPr>
        <w:t xml:space="preserve">in the ASIC Rules </w:t>
      </w:r>
      <w:r w:rsidRPr="00B2426A">
        <w:rPr>
          <w:rFonts w:eastAsiaTheme="minorHAnsi"/>
        </w:rPr>
        <w:t xml:space="preserve">the data elements </w:t>
      </w:r>
      <w:r w:rsidR="00E56EA6">
        <w:rPr>
          <w:rFonts w:eastAsiaTheme="minorHAnsi"/>
        </w:rPr>
        <w:t xml:space="preserve">in </w:t>
      </w:r>
      <w:r w:rsidR="00E56EA6">
        <w:rPr>
          <w:rFonts w:eastAsiaTheme="minorHAnsi"/>
        </w:rPr>
        <w:fldChar w:fldCharType="begin"/>
      </w:r>
      <w:r w:rsidR="00E56EA6">
        <w:rPr>
          <w:rFonts w:eastAsiaTheme="minorHAnsi"/>
        </w:rPr>
        <w:instrText xml:space="preserve"> REF _Ref56000086 \h </w:instrText>
      </w:r>
      <w:r w:rsidR="00E56EA6">
        <w:rPr>
          <w:rFonts w:eastAsiaTheme="minorHAnsi"/>
        </w:rPr>
      </w:r>
      <w:r w:rsidR="00E56EA6">
        <w:rPr>
          <w:rFonts w:eastAsiaTheme="minorHAnsi"/>
        </w:rPr>
        <w:fldChar w:fldCharType="separate"/>
      </w:r>
      <w:r w:rsidR="00314C7E">
        <w:t xml:space="preserve">Table </w:t>
      </w:r>
      <w:r w:rsidR="00314C7E">
        <w:rPr>
          <w:noProof/>
        </w:rPr>
        <w:t>23</w:t>
      </w:r>
      <w:r w:rsidR="00E56EA6">
        <w:rPr>
          <w:rFonts w:eastAsiaTheme="minorHAnsi"/>
        </w:rPr>
        <w:fldChar w:fldCharType="end"/>
      </w:r>
      <w:r w:rsidRPr="00B2426A">
        <w:rPr>
          <w:rFonts w:eastAsiaTheme="minorHAnsi"/>
        </w:rPr>
        <w:t>.</w:t>
      </w:r>
      <w:r>
        <w:rPr>
          <w:rFonts w:eastAsiaTheme="minorHAnsi"/>
        </w:rPr>
        <w:t xml:space="preserve"> These data elements are in the CDE </w:t>
      </w:r>
      <w:r w:rsidR="00E401E1">
        <w:rPr>
          <w:rFonts w:eastAsiaTheme="minorHAnsi"/>
        </w:rPr>
        <w:t>Guidance</w:t>
      </w:r>
      <w:r>
        <w:rPr>
          <w:rFonts w:eastAsiaTheme="minorHAnsi"/>
        </w:rPr>
        <w:t xml:space="preserve"> and </w:t>
      </w:r>
      <w:r w:rsidR="001650A2">
        <w:rPr>
          <w:rFonts w:eastAsiaTheme="minorHAnsi"/>
        </w:rPr>
        <w:t xml:space="preserve">are </w:t>
      </w:r>
      <w:r>
        <w:rPr>
          <w:rFonts w:eastAsiaTheme="minorHAnsi"/>
        </w:rPr>
        <w:t xml:space="preserve">adopted in the final CFTC rules and the </w:t>
      </w:r>
      <w:r w:rsidR="000127C8">
        <w:rPr>
          <w:rFonts w:eastAsiaTheme="minorHAnsi"/>
        </w:rPr>
        <w:t>ESMA proposals</w:t>
      </w:r>
      <w:r w:rsidRPr="00742434">
        <w:rPr>
          <w:rFonts w:eastAsiaTheme="minorHAnsi"/>
        </w:rPr>
        <w:t>.</w:t>
      </w:r>
    </w:p>
    <w:p w14:paraId="4A66DAF2" w14:textId="7ECB0E97" w:rsidR="00722D11" w:rsidRDefault="00B2426A" w:rsidP="00A829C7">
      <w:pPr>
        <w:pStyle w:val="BodyText"/>
        <w:spacing w:line="310" w:lineRule="atLeast"/>
        <w:rPr>
          <w:rFonts w:eastAsiaTheme="minorHAnsi"/>
        </w:rPr>
      </w:pPr>
      <w:r>
        <w:rPr>
          <w:rFonts w:eastAsiaTheme="minorHAnsi"/>
        </w:rPr>
        <w:t>In the current ASIC Rules, ‘</w:t>
      </w:r>
      <w:r w:rsidR="001650A2">
        <w:rPr>
          <w:rFonts w:eastAsiaTheme="minorHAnsi"/>
        </w:rPr>
        <w:t xml:space="preserve">other </w:t>
      </w:r>
      <w:r>
        <w:rPr>
          <w:rFonts w:eastAsiaTheme="minorHAnsi"/>
        </w:rPr>
        <w:t xml:space="preserve">payments’ are only required in relation to upfront payments paid or received by the </w:t>
      </w:r>
      <w:r w:rsidR="009E0748">
        <w:rPr>
          <w:rFonts w:eastAsiaTheme="minorHAnsi"/>
        </w:rPr>
        <w:t>reporting entity</w:t>
      </w:r>
      <w:r>
        <w:rPr>
          <w:rFonts w:eastAsiaTheme="minorHAnsi"/>
        </w:rPr>
        <w:t>.</w:t>
      </w:r>
    </w:p>
    <w:p w14:paraId="557D4A67" w14:textId="4EFBA839" w:rsidR="00B2426A" w:rsidRDefault="00B2426A" w:rsidP="00A829C7">
      <w:pPr>
        <w:pStyle w:val="BodyText"/>
        <w:spacing w:line="310" w:lineRule="atLeast"/>
        <w:rPr>
          <w:rFonts w:eastAsiaTheme="minorHAnsi"/>
        </w:rPr>
      </w:pPr>
      <w:r>
        <w:rPr>
          <w:rFonts w:eastAsiaTheme="minorHAnsi"/>
        </w:rPr>
        <w:t>Including these data elements in the ASIC Rules would adopt the more comprehensive treatment of ‘</w:t>
      </w:r>
      <w:r w:rsidR="001650A2">
        <w:rPr>
          <w:rFonts w:eastAsiaTheme="minorHAnsi"/>
        </w:rPr>
        <w:t xml:space="preserve">other </w:t>
      </w:r>
      <w:r>
        <w:rPr>
          <w:rFonts w:eastAsiaTheme="minorHAnsi"/>
        </w:rPr>
        <w:t xml:space="preserve">payments’ in the CDE </w:t>
      </w:r>
      <w:r w:rsidR="00E401E1">
        <w:rPr>
          <w:rFonts w:eastAsiaTheme="minorHAnsi"/>
        </w:rPr>
        <w:t>Guidance</w:t>
      </w:r>
      <w:r>
        <w:rPr>
          <w:rFonts w:eastAsiaTheme="minorHAnsi"/>
        </w:rPr>
        <w:t>, including:</w:t>
      </w:r>
    </w:p>
    <w:p w14:paraId="794D9DC0" w14:textId="77777777" w:rsidR="00443BFE" w:rsidRDefault="00443BFE" w:rsidP="00A829C7">
      <w:pPr>
        <w:pStyle w:val="subparaa"/>
        <w:spacing w:line="310" w:lineRule="atLeast"/>
        <w:rPr>
          <w:rFonts w:eastAsiaTheme="minorHAnsi"/>
        </w:rPr>
      </w:pPr>
      <w:r>
        <w:rPr>
          <w:rFonts w:eastAsiaTheme="minorHAnsi"/>
        </w:rPr>
        <w:t>adding ‘unwind or full termination’ and ‘principal exchange’ payment types to ‘upfront’ payment types;</w:t>
      </w:r>
    </w:p>
    <w:p w14:paraId="4DB05D5B" w14:textId="77777777" w:rsidR="00443BFE" w:rsidRDefault="00443BFE" w:rsidP="00A829C7">
      <w:pPr>
        <w:pStyle w:val="subparaa"/>
        <w:spacing w:line="310" w:lineRule="atLeast"/>
        <w:rPr>
          <w:rFonts w:eastAsiaTheme="minorHAnsi"/>
        </w:rPr>
      </w:pPr>
      <w:r>
        <w:rPr>
          <w:rFonts w:eastAsiaTheme="minorHAnsi"/>
        </w:rPr>
        <w:t>identifying the currency and the date of the payment; and</w:t>
      </w:r>
    </w:p>
    <w:p w14:paraId="008D2DED" w14:textId="766EE361" w:rsidR="00B2426A" w:rsidRPr="00443BFE" w:rsidRDefault="00443BFE" w:rsidP="00A829C7">
      <w:pPr>
        <w:pStyle w:val="subparaa"/>
        <w:spacing w:line="310" w:lineRule="atLeast"/>
        <w:rPr>
          <w:rFonts w:eastAsiaTheme="minorHAnsi"/>
        </w:rPr>
      </w:pPr>
      <w:r w:rsidRPr="00443BFE">
        <w:rPr>
          <w:rFonts w:eastAsiaTheme="minorHAnsi"/>
        </w:rPr>
        <w:t>identifying the payer and receiver of the payment (which may include an entity other than the counterparties to the transaction).</w:t>
      </w:r>
    </w:p>
    <w:p w14:paraId="1E6FEF6E" w14:textId="12355EFF" w:rsidR="00DF345B" w:rsidRPr="004857CC" w:rsidRDefault="00DF345B" w:rsidP="00DF345B">
      <w:pPr>
        <w:pStyle w:val="tabletitlefullwidth"/>
      </w:pPr>
      <w:bookmarkStart w:id="124" w:name="_Ref56000086"/>
      <w:r>
        <w:t xml:space="preserve">Table </w:t>
      </w:r>
      <w:r w:rsidR="007055A5">
        <w:fldChar w:fldCharType="begin"/>
      </w:r>
      <w:r w:rsidR="007055A5">
        <w:instrText xml:space="preserve"> SEQ Table \* ARABIC </w:instrText>
      </w:r>
      <w:r w:rsidR="007055A5">
        <w:fldChar w:fldCharType="separate"/>
      </w:r>
      <w:r w:rsidR="00314C7E">
        <w:rPr>
          <w:noProof/>
        </w:rPr>
        <w:t>23</w:t>
      </w:r>
      <w:r w:rsidR="007055A5">
        <w:rPr>
          <w:noProof/>
        </w:rPr>
        <w:fldChar w:fldCharType="end"/>
      </w:r>
      <w:bookmarkEnd w:id="124"/>
      <w:r>
        <w:t>:</w:t>
      </w:r>
      <w:r>
        <w:tab/>
      </w:r>
      <w:r w:rsidR="00443BFE">
        <w:t>Proposed data elements related to other payments</w:t>
      </w:r>
    </w:p>
    <w:tbl>
      <w:tblPr>
        <w:tblW w:w="4982" w:type="pct"/>
        <w:tblBorders>
          <w:top w:val="single" w:sz="4" w:space="0" w:color="999999"/>
          <w:bottom w:val="single" w:sz="4" w:space="0" w:color="999999"/>
          <w:insideH w:val="single" w:sz="4" w:space="0" w:color="999999"/>
        </w:tblBorders>
        <w:tblLayout w:type="fixed"/>
        <w:tblCellMar>
          <w:bottom w:w="113" w:type="dxa"/>
        </w:tblCellMar>
        <w:tblLook w:val="0620" w:firstRow="1" w:lastRow="0" w:firstColumn="0" w:lastColumn="0" w:noHBand="1" w:noVBand="1"/>
      </w:tblPr>
      <w:tblGrid>
        <w:gridCol w:w="1678"/>
        <w:gridCol w:w="3994"/>
        <w:gridCol w:w="841"/>
        <w:gridCol w:w="842"/>
        <w:gridCol w:w="840"/>
        <w:gridCol w:w="842"/>
      </w:tblGrid>
      <w:tr w:rsidR="00722D11" w:rsidRPr="000540E1" w14:paraId="78E973CD" w14:textId="77777777" w:rsidTr="00136CC5">
        <w:trPr>
          <w:cantSplit/>
          <w:tblHeader/>
        </w:trPr>
        <w:tc>
          <w:tcPr>
            <w:tcW w:w="928" w:type="pct"/>
            <w:shd w:val="clear" w:color="auto" w:fill="C2E3FA"/>
          </w:tcPr>
          <w:p w14:paraId="45D752BA" w14:textId="77777777" w:rsidR="00722D11" w:rsidRDefault="00722D11" w:rsidP="00A829C7">
            <w:pPr>
              <w:pStyle w:val="tablehead"/>
              <w:spacing w:line="250" w:lineRule="atLeast"/>
            </w:pPr>
          </w:p>
        </w:tc>
        <w:tc>
          <w:tcPr>
            <w:tcW w:w="2209" w:type="pct"/>
            <w:shd w:val="clear" w:color="auto" w:fill="C2E3FA"/>
          </w:tcPr>
          <w:p w14:paraId="708D740C" w14:textId="77777777" w:rsidR="00722D11" w:rsidRDefault="00722D11" w:rsidP="00A829C7">
            <w:pPr>
              <w:pStyle w:val="tablehead"/>
              <w:spacing w:line="250" w:lineRule="atLeast"/>
            </w:pPr>
          </w:p>
        </w:tc>
        <w:tc>
          <w:tcPr>
            <w:tcW w:w="1862" w:type="pct"/>
            <w:gridSpan w:val="4"/>
            <w:shd w:val="clear" w:color="auto" w:fill="C2E3FA"/>
          </w:tcPr>
          <w:p w14:paraId="7DA9DF53" w14:textId="571C3A2C" w:rsidR="00722D11" w:rsidRPr="000540E1" w:rsidRDefault="001156A2" w:rsidP="00A829C7">
            <w:pPr>
              <w:pStyle w:val="tablehead"/>
              <w:spacing w:line="250" w:lineRule="atLeast"/>
              <w:jc w:val="center"/>
            </w:pPr>
            <w:r>
              <w:t>Element</w:t>
            </w:r>
            <w:r w:rsidR="00722D11">
              <w:t xml:space="preserve"> number references</w:t>
            </w:r>
          </w:p>
        </w:tc>
      </w:tr>
      <w:tr w:rsidR="00722D11" w:rsidRPr="000540E1" w14:paraId="0452134F" w14:textId="77777777" w:rsidTr="00136CC5">
        <w:trPr>
          <w:cantSplit/>
          <w:tblHeader/>
        </w:trPr>
        <w:tc>
          <w:tcPr>
            <w:tcW w:w="928" w:type="pct"/>
            <w:shd w:val="clear" w:color="auto" w:fill="C2E3FA"/>
          </w:tcPr>
          <w:p w14:paraId="2F0C7B08" w14:textId="77777777" w:rsidR="00722D11" w:rsidRDefault="00722D11" w:rsidP="00A829C7">
            <w:pPr>
              <w:pStyle w:val="tablehead"/>
              <w:spacing w:line="250" w:lineRule="atLeast"/>
            </w:pPr>
            <w:r>
              <w:t>Data element</w:t>
            </w:r>
          </w:p>
        </w:tc>
        <w:tc>
          <w:tcPr>
            <w:tcW w:w="2209" w:type="pct"/>
            <w:shd w:val="clear" w:color="auto" w:fill="C2E3FA"/>
          </w:tcPr>
          <w:p w14:paraId="0CD8A99E" w14:textId="12F547CC" w:rsidR="00722D11" w:rsidRDefault="00722D11" w:rsidP="00A829C7">
            <w:pPr>
              <w:pStyle w:val="tablehead"/>
              <w:spacing w:line="250" w:lineRule="atLeast"/>
            </w:pPr>
            <w:r>
              <w:t>Definition</w:t>
            </w:r>
            <w:r w:rsidR="00193DFB">
              <w:t>—</w:t>
            </w:r>
            <w:r w:rsidR="00E976CF">
              <w:t xml:space="preserve">Summary </w:t>
            </w:r>
            <w:r w:rsidR="0075074F">
              <w:t xml:space="preserve">of </w:t>
            </w:r>
            <w:r>
              <w:t>key points</w:t>
            </w:r>
          </w:p>
        </w:tc>
        <w:tc>
          <w:tcPr>
            <w:tcW w:w="465" w:type="pct"/>
            <w:shd w:val="clear" w:color="auto" w:fill="C2E3FA"/>
          </w:tcPr>
          <w:p w14:paraId="6EEFBF5A" w14:textId="38B20499" w:rsidR="00722D11" w:rsidRPr="000540E1" w:rsidRDefault="00722D11" w:rsidP="00A829C7">
            <w:pPr>
              <w:pStyle w:val="tablehead"/>
              <w:spacing w:line="250" w:lineRule="atLeast"/>
              <w:jc w:val="center"/>
            </w:pPr>
            <w:r>
              <w:t>CDE</w:t>
            </w:r>
          </w:p>
        </w:tc>
        <w:tc>
          <w:tcPr>
            <w:tcW w:w="466" w:type="pct"/>
            <w:shd w:val="clear" w:color="auto" w:fill="C2E3FA"/>
          </w:tcPr>
          <w:p w14:paraId="7E8CDF4B" w14:textId="77777777" w:rsidR="00722D11" w:rsidRPr="000540E1" w:rsidRDefault="00722D11" w:rsidP="00A829C7">
            <w:pPr>
              <w:pStyle w:val="tablehead"/>
              <w:spacing w:line="250" w:lineRule="atLeast"/>
              <w:jc w:val="center"/>
            </w:pPr>
            <w:r>
              <w:t>CFTC</w:t>
            </w:r>
          </w:p>
        </w:tc>
        <w:tc>
          <w:tcPr>
            <w:tcW w:w="465" w:type="pct"/>
            <w:shd w:val="clear" w:color="auto" w:fill="C2E3FA"/>
          </w:tcPr>
          <w:p w14:paraId="7D5F4D55" w14:textId="6DDC088E" w:rsidR="00722D11" w:rsidRPr="000540E1" w:rsidRDefault="005C1566" w:rsidP="00A829C7">
            <w:pPr>
              <w:pStyle w:val="tablehead"/>
              <w:spacing w:line="250" w:lineRule="atLeast"/>
              <w:jc w:val="center"/>
            </w:pPr>
            <w:r>
              <w:t>ESMA</w:t>
            </w:r>
          </w:p>
        </w:tc>
        <w:tc>
          <w:tcPr>
            <w:tcW w:w="466" w:type="pct"/>
            <w:shd w:val="clear" w:color="auto" w:fill="C2E3FA"/>
          </w:tcPr>
          <w:p w14:paraId="4C26B748" w14:textId="77777777" w:rsidR="00722D11" w:rsidRPr="000540E1" w:rsidRDefault="00722D11" w:rsidP="00A829C7">
            <w:pPr>
              <w:pStyle w:val="tablehead"/>
              <w:spacing w:line="250" w:lineRule="atLeast"/>
              <w:jc w:val="center"/>
            </w:pPr>
            <w:r>
              <w:t>ASIC</w:t>
            </w:r>
          </w:p>
        </w:tc>
      </w:tr>
      <w:tr w:rsidR="00722D11" w:rsidRPr="000540E1" w14:paraId="2535C910" w14:textId="77777777" w:rsidTr="00136CC5">
        <w:trPr>
          <w:cantSplit/>
        </w:trPr>
        <w:tc>
          <w:tcPr>
            <w:tcW w:w="928" w:type="pct"/>
          </w:tcPr>
          <w:p w14:paraId="5BBB827B" w14:textId="51F6F5C9" w:rsidR="00722D11" w:rsidRPr="000540E1" w:rsidRDefault="00722D11" w:rsidP="00A829C7">
            <w:pPr>
              <w:pStyle w:val="tbltext"/>
              <w:spacing w:line="250" w:lineRule="atLeast"/>
            </w:pPr>
            <w:r>
              <w:t>Other payment amount</w:t>
            </w:r>
          </w:p>
        </w:tc>
        <w:tc>
          <w:tcPr>
            <w:tcW w:w="2209" w:type="pct"/>
          </w:tcPr>
          <w:p w14:paraId="43899F25" w14:textId="29FCEA22" w:rsidR="00722D11" w:rsidRPr="000540E1" w:rsidRDefault="00722D11" w:rsidP="00A829C7">
            <w:pPr>
              <w:pStyle w:val="tbltext"/>
              <w:spacing w:line="250" w:lineRule="atLeast"/>
            </w:pPr>
            <w:r>
              <w:t xml:space="preserve">{CDE TG} </w:t>
            </w:r>
            <w:r w:rsidRPr="00722D11">
              <w:t>Payment amounts with corresponding payment types to accommodate requirements of transaction descriptions from different asset classes.</w:t>
            </w:r>
          </w:p>
        </w:tc>
        <w:tc>
          <w:tcPr>
            <w:tcW w:w="465" w:type="pct"/>
          </w:tcPr>
          <w:p w14:paraId="11AB2EF4" w14:textId="30280ABA" w:rsidR="00722D11" w:rsidRPr="000540E1" w:rsidRDefault="00722D11" w:rsidP="00A829C7">
            <w:pPr>
              <w:pStyle w:val="tbltext"/>
              <w:spacing w:line="250" w:lineRule="atLeast"/>
              <w:jc w:val="center"/>
            </w:pPr>
            <w:r>
              <w:t>2.83</w:t>
            </w:r>
          </w:p>
        </w:tc>
        <w:tc>
          <w:tcPr>
            <w:tcW w:w="466" w:type="pct"/>
          </w:tcPr>
          <w:p w14:paraId="6F34F851" w14:textId="0F6DA0BA" w:rsidR="00722D11" w:rsidRPr="000540E1" w:rsidRDefault="00722D11" w:rsidP="00A829C7">
            <w:pPr>
              <w:pStyle w:val="tbltext"/>
              <w:spacing w:line="250" w:lineRule="atLeast"/>
              <w:jc w:val="center"/>
            </w:pPr>
            <w:r>
              <w:t>58</w:t>
            </w:r>
          </w:p>
        </w:tc>
        <w:tc>
          <w:tcPr>
            <w:tcW w:w="465" w:type="pct"/>
          </w:tcPr>
          <w:p w14:paraId="5E2725AC" w14:textId="2BDABD54" w:rsidR="00722D11" w:rsidRPr="000540E1" w:rsidRDefault="00722D11" w:rsidP="00A829C7">
            <w:pPr>
              <w:pStyle w:val="tbltext"/>
              <w:spacing w:line="250" w:lineRule="atLeast"/>
              <w:jc w:val="center"/>
            </w:pPr>
            <w:r>
              <w:t>2.70</w:t>
            </w:r>
          </w:p>
        </w:tc>
        <w:tc>
          <w:tcPr>
            <w:tcW w:w="466" w:type="pct"/>
          </w:tcPr>
          <w:p w14:paraId="1EDD2734" w14:textId="26BA13A4" w:rsidR="00494421" w:rsidRPr="000540E1" w:rsidRDefault="00494421" w:rsidP="00B21273">
            <w:pPr>
              <w:pStyle w:val="tbltext"/>
              <w:spacing w:line="250" w:lineRule="atLeast"/>
              <w:jc w:val="center"/>
            </w:pPr>
            <w:r>
              <w:t>2.4</w:t>
            </w:r>
            <w:r w:rsidR="00B21273">
              <w:br/>
            </w:r>
            <w:r>
              <w:t>3.9</w:t>
            </w:r>
            <w:r w:rsidR="00B21273">
              <w:br/>
            </w:r>
            <w:r>
              <w:t>5.5</w:t>
            </w:r>
          </w:p>
        </w:tc>
      </w:tr>
      <w:tr w:rsidR="00722D11" w:rsidRPr="000540E1" w14:paraId="170EA260" w14:textId="77777777" w:rsidTr="00136CC5">
        <w:trPr>
          <w:cantSplit/>
        </w:trPr>
        <w:tc>
          <w:tcPr>
            <w:tcW w:w="928" w:type="pct"/>
          </w:tcPr>
          <w:p w14:paraId="1B6F361E" w14:textId="49BA75C0" w:rsidR="00722D11" w:rsidRPr="000540E1" w:rsidRDefault="00722D11" w:rsidP="00A829C7">
            <w:pPr>
              <w:pStyle w:val="tbltext"/>
              <w:spacing w:line="250" w:lineRule="atLeast"/>
            </w:pPr>
            <w:r>
              <w:t>Other payment type</w:t>
            </w:r>
          </w:p>
        </w:tc>
        <w:tc>
          <w:tcPr>
            <w:tcW w:w="2209" w:type="pct"/>
          </w:tcPr>
          <w:p w14:paraId="147BE56F" w14:textId="445B542C" w:rsidR="00494421" w:rsidRPr="000540E1" w:rsidRDefault="00722D11" w:rsidP="00A829C7">
            <w:pPr>
              <w:pStyle w:val="tbltext"/>
              <w:spacing w:line="250" w:lineRule="atLeast"/>
            </w:pPr>
            <w:r>
              <w:t xml:space="preserve">{CDE TG} Type of </w:t>
            </w:r>
            <w:r w:rsidR="001650A2">
              <w:t xml:space="preserve">other </w:t>
            </w:r>
            <w:r>
              <w:t>payment amount.</w:t>
            </w:r>
          </w:p>
        </w:tc>
        <w:tc>
          <w:tcPr>
            <w:tcW w:w="465" w:type="pct"/>
          </w:tcPr>
          <w:p w14:paraId="701D8034" w14:textId="09BBAF2E" w:rsidR="00722D11" w:rsidRPr="000540E1" w:rsidRDefault="00722D11" w:rsidP="00A829C7">
            <w:pPr>
              <w:pStyle w:val="tbltext"/>
              <w:spacing w:line="250" w:lineRule="atLeast"/>
              <w:jc w:val="center"/>
            </w:pPr>
            <w:r>
              <w:t>2.84</w:t>
            </w:r>
          </w:p>
        </w:tc>
        <w:tc>
          <w:tcPr>
            <w:tcW w:w="466" w:type="pct"/>
          </w:tcPr>
          <w:p w14:paraId="36CC4387" w14:textId="181C3BB7" w:rsidR="00722D11" w:rsidRPr="000540E1" w:rsidRDefault="00722D11" w:rsidP="00A829C7">
            <w:pPr>
              <w:pStyle w:val="tbltext"/>
              <w:spacing w:line="250" w:lineRule="atLeast"/>
              <w:jc w:val="center"/>
            </w:pPr>
            <w:r>
              <w:t>57</w:t>
            </w:r>
          </w:p>
        </w:tc>
        <w:tc>
          <w:tcPr>
            <w:tcW w:w="465" w:type="pct"/>
          </w:tcPr>
          <w:p w14:paraId="5547569A" w14:textId="04AAEDF6" w:rsidR="00722D11" w:rsidRPr="000540E1" w:rsidRDefault="00722D11" w:rsidP="00A829C7">
            <w:pPr>
              <w:pStyle w:val="tbltext"/>
              <w:spacing w:line="250" w:lineRule="atLeast"/>
              <w:jc w:val="center"/>
            </w:pPr>
            <w:r>
              <w:t>2.69</w:t>
            </w:r>
          </w:p>
        </w:tc>
        <w:tc>
          <w:tcPr>
            <w:tcW w:w="466" w:type="pct"/>
          </w:tcPr>
          <w:p w14:paraId="2CD23381" w14:textId="48DF642C" w:rsidR="00722D11" w:rsidRPr="000540E1" w:rsidRDefault="00494421" w:rsidP="00A829C7">
            <w:pPr>
              <w:pStyle w:val="tbltext"/>
              <w:spacing w:line="250" w:lineRule="atLeast"/>
              <w:jc w:val="center"/>
            </w:pPr>
            <w:r>
              <w:t>Upfront only</w:t>
            </w:r>
          </w:p>
        </w:tc>
      </w:tr>
      <w:tr w:rsidR="004E304A" w:rsidRPr="000540E1" w14:paraId="6CE0588F" w14:textId="77777777" w:rsidTr="00136CC5">
        <w:trPr>
          <w:cantSplit/>
        </w:trPr>
        <w:tc>
          <w:tcPr>
            <w:tcW w:w="928" w:type="pct"/>
          </w:tcPr>
          <w:p w14:paraId="4F452430" w14:textId="77777777" w:rsidR="004E304A" w:rsidRDefault="004E304A" w:rsidP="00A829C7">
            <w:pPr>
              <w:pStyle w:val="tbltext"/>
              <w:spacing w:line="250" w:lineRule="atLeast"/>
            </w:pPr>
            <w:r>
              <w:t>Other payment currency</w:t>
            </w:r>
          </w:p>
        </w:tc>
        <w:tc>
          <w:tcPr>
            <w:tcW w:w="2209" w:type="pct"/>
          </w:tcPr>
          <w:p w14:paraId="2A8A384E" w14:textId="7EB8E8A2" w:rsidR="004E304A" w:rsidRDefault="004E304A" w:rsidP="00A829C7">
            <w:pPr>
              <w:pStyle w:val="tbltext"/>
              <w:spacing w:line="250" w:lineRule="atLeast"/>
            </w:pPr>
            <w:r>
              <w:t xml:space="preserve">{CDE TG} </w:t>
            </w:r>
            <w:r w:rsidRPr="003B1F52">
              <w:t xml:space="preserve">Currency in which </w:t>
            </w:r>
            <w:r w:rsidR="001650A2">
              <w:t>the o</w:t>
            </w:r>
            <w:r w:rsidR="001650A2" w:rsidRPr="003B1F52">
              <w:t xml:space="preserve">ther </w:t>
            </w:r>
            <w:r w:rsidRPr="003B1F52">
              <w:t>payment amount is denominated.</w:t>
            </w:r>
          </w:p>
        </w:tc>
        <w:tc>
          <w:tcPr>
            <w:tcW w:w="465" w:type="pct"/>
          </w:tcPr>
          <w:p w14:paraId="139ECD46" w14:textId="77777777" w:rsidR="004E304A" w:rsidRDefault="004E304A" w:rsidP="00A829C7">
            <w:pPr>
              <w:pStyle w:val="tbltext"/>
              <w:spacing w:line="250" w:lineRule="atLeast"/>
              <w:jc w:val="center"/>
            </w:pPr>
            <w:r>
              <w:t>2.85</w:t>
            </w:r>
          </w:p>
        </w:tc>
        <w:tc>
          <w:tcPr>
            <w:tcW w:w="466" w:type="pct"/>
          </w:tcPr>
          <w:p w14:paraId="4E35AE1A" w14:textId="77777777" w:rsidR="004E304A" w:rsidRDefault="004E304A" w:rsidP="00A829C7">
            <w:pPr>
              <w:pStyle w:val="tbltext"/>
              <w:spacing w:line="250" w:lineRule="atLeast"/>
              <w:jc w:val="center"/>
            </w:pPr>
            <w:r>
              <w:t>59</w:t>
            </w:r>
          </w:p>
        </w:tc>
        <w:tc>
          <w:tcPr>
            <w:tcW w:w="465" w:type="pct"/>
          </w:tcPr>
          <w:p w14:paraId="7C64F3B5" w14:textId="77777777" w:rsidR="004E304A" w:rsidRDefault="004E304A" w:rsidP="00A829C7">
            <w:pPr>
              <w:pStyle w:val="tbltext"/>
              <w:spacing w:line="250" w:lineRule="atLeast"/>
              <w:jc w:val="center"/>
            </w:pPr>
            <w:r>
              <w:t>2.71</w:t>
            </w:r>
          </w:p>
        </w:tc>
        <w:tc>
          <w:tcPr>
            <w:tcW w:w="466" w:type="pct"/>
          </w:tcPr>
          <w:p w14:paraId="47E665E8" w14:textId="6FEADAF0" w:rsidR="004E304A" w:rsidRDefault="004E304A" w:rsidP="00A829C7">
            <w:pPr>
              <w:pStyle w:val="tbltext"/>
              <w:spacing w:line="250" w:lineRule="atLeast"/>
              <w:jc w:val="center"/>
            </w:pPr>
            <w:r>
              <w:t>n/a</w:t>
            </w:r>
          </w:p>
        </w:tc>
      </w:tr>
      <w:tr w:rsidR="004E304A" w:rsidRPr="000540E1" w14:paraId="0FD43CE3" w14:textId="77777777" w:rsidTr="00136CC5">
        <w:trPr>
          <w:cantSplit/>
        </w:trPr>
        <w:tc>
          <w:tcPr>
            <w:tcW w:w="928" w:type="pct"/>
          </w:tcPr>
          <w:p w14:paraId="428915E6" w14:textId="77777777" w:rsidR="004E304A" w:rsidRDefault="004E304A" w:rsidP="00A829C7">
            <w:pPr>
              <w:pStyle w:val="tbltext"/>
              <w:spacing w:line="250" w:lineRule="atLeast"/>
            </w:pPr>
            <w:r>
              <w:t>Other payment date</w:t>
            </w:r>
          </w:p>
        </w:tc>
        <w:tc>
          <w:tcPr>
            <w:tcW w:w="2209" w:type="pct"/>
          </w:tcPr>
          <w:p w14:paraId="2019FF23" w14:textId="77777777" w:rsidR="004E304A" w:rsidRDefault="004E304A" w:rsidP="00A829C7">
            <w:pPr>
              <w:pStyle w:val="tbltext"/>
              <w:spacing w:line="250" w:lineRule="atLeast"/>
            </w:pPr>
            <w:r>
              <w:t xml:space="preserve">{CDE TG} </w:t>
            </w:r>
            <w:r w:rsidRPr="003B1F52">
              <w:t>Unadjusted date on which the other payment amount is paid.</w:t>
            </w:r>
          </w:p>
        </w:tc>
        <w:tc>
          <w:tcPr>
            <w:tcW w:w="465" w:type="pct"/>
          </w:tcPr>
          <w:p w14:paraId="205D9F62" w14:textId="77777777" w:rsidR="004E304A" w:rsidRDefault="004E304A" w:rsidP="00A829C7">
            <w:pPr>
              <w:pStyle w:val="tbltext"/>
              <w:spacing w:line="250" w:lineRule="atLeast"/>
              <w:jc w:val="center"/>
            </w:pPr>
            <w:r>
              <w:t>2.86</w:t>
            </w:r>
          </w:p>
        </w:tc>
        <w:tc>
          <w:tcPr>
            <w:tcW w:w="466" w:type="pct"/>
          </w:tcPr>
          <w:p w14:paraId="42B838E2" w14:textId="77777777" w:rsidR="004E304A" w:rsidRDefault="004E304A" w:rsidP="00A829C7">
            <w:pPr>
              <w:pStyle w:val="tbltext"/>
              <w:spacing w:line="250" w:lineRule="atLeast"/>
              <w:jc w:val="center"/>
            </w:pPr>
            <w:r>
              <w:t>60</w:t>
            </w:r>
          </w:p>
        </w:tc>
        <w:tc>
          <w:tcPr>
            <w:tcW w:w="465" w:type="pct"/>
          </w:tcPr>
          <w:p w14:paraId="306B1E7A" w14:textId="77777777" w:rsidR="004E304A" w:rsidRDefault="004E304A" w:rsidP="00A829C7">
            <w:pPr>
              <w:pStyle w:val="tbltext"/>
              <w:spacing w:line="250" w:lineRule="atLeast"/>
              <w:jc w:val="center"/>
            </w:pPr>
            <w:r>
              <w:t>2.72</w:t>
            </w:r>
          </w:p>
        </w:tc>
        <w:tc>
          <w:tcPr>
            <w:tcW w:w="466" w:type="pct"/>
          </w:tcPr>
          <w:p w14:paraId="187D0923" w14:textId="4A63F1C1" w:rsidR="004E304A" w:rsidRDefault="004E304A" w:rsidP="00A829C7">
            <w:pPr>
              <w:pStyle w:val="tbltext"/>
              <w:spacing w:line="250" w:lineRule="atLeast"/>
              <w:jc w:val="center"/>
            </w:pPr>
            <w:r>
              <w:t>n/a</w:t>
            </w:r>
          </w:p>
        </w:tc>
      </w:tr>
      <w:tr w:rsidR="004E304A" w:rsidRPr="000540E1" w14:paraId="6AA9266A" w14:textId="77777777" w:rsidTr="00136CC5">
        <w:trPr>
          <w:cantSplit/>
        </w:trPr>
        <w:tc>
          <w:tcPr>
            <w:tcW w:w="928" w:type="pct"/>
          </w:tcPr>
          <w:p w14:paraId="353A13EA" w14:textId="77777777" w:rsidR="004E304A" w:rsidRDefault="004E304A" w:rsidP="00A829C7">
            <w:pPr>
              <w:pStyle w:val="tbltext"/>
              <w:spacing w:line="250" w:lineRule="atLeast"/>
            </w:pPr>
            <w:r>
              <w:t>Other payment payer</w:t>
            </w:r>
          </w:p>
        </w:tc>
        <w:tc>
          <w:tcPr>
            <w:tcW w:w="2209" w:type="pct"/>
          </w:tcPr>
          <w:p w14:paraId="101AD3A6" w14:textId="16C18817" w:rsidR="004E304A" w:rsidRDefault="004E304A" w:rsidP="00A829C7">
            <w:pPr>
              <w:pStyle w:val="tbltext"/>
              <w:spacing w:line="250" w:lineRule="atLeast"/>
            </w:pPr>
            <w:r>
              <w:t xml:space="preserve">{CDE TG} </w:t>
            </w:r>
            <w:r w:rsidRPr="003B1F52">
              <w:t xml:space="preserve">Identifier of the payer of </w:t>
            </w:r>
            <w:r w:rsidR="001650A2">
              <w:t>the o</w:t>
            </w:r>
            <w:r w:rsidR="001650A2" w:rsidRPr="003B1F52">
              <w:t xml:space="preserve">ther </w:t>
            </w:r>
            <w:r w:rsidRPr="003B1F52">
              <w:t>payment amount.</w:t>
            </w:r>
          </w:p>
        </w:tc>
        <w:tc>
          <w:tcPr>
            <w:tcW w:w="465" w:type="pct"/>
          </w:tcPr>
          <w:p w14:paraId="70364066" w14:textId="77777777" w:rsidR="004E304A" w:rsidRDefault="004E304A" w:rsidP="00A829C7">
            <w:pPr>
              <w:pStyle w:val="tbltext"/>
              <w:spacing w:line="250" w:lineRule="atLeast"/>
              <w:jc w:val="center"/>
            </w:pPr>
            <w:r>
              <w:t>2.87</w:t>
            </w:r>
          </w:p>
        </w:tc>
        <w:tc>
          <w:tcPr>
            <w:tcW w:w="466" w:type="pct"/>
          </w:tcPr>
          <w:p w14:paraId="6C5172A0" w14:textId="77777777" w:rsidR="004E304A" w:rsidRDefault="004E304A" w:rsidP="00A829C7">
            <w:pPr>
              <w:pStyle w:val="tbltext"/>
              <w:spacing w:line="250" w:lineRule="atLeast"/>
              <w:jc w:val="center"/>
            </w:pPr>
            <w:r>
              <w:t>61</w:t>
            </w:r>
          </w:p>
        </w:tc>
        <w:tc>
          <w:tcPr>
            <w:tcW w:w="465" w:type="pct"/>
          </w:tcPr>
          <w:p w14:paraId="0BA761C9" w14:textId="77777777" w:rsidR="004E304A" w:rsidRDefault="004E304A" w:rsidP="00A829C7">
            <w:pPr>
              <w:pStyle w:val="tbltext"/>
              <w:spacing w:line="250" w:lineRule="atLeast"/>
              <w:jc w:val="center"/>
            </w:pPr>
            <w:r>
              <w:t>2.73</w:t>
            </w:r>
          </w:p>
        </w:tc>
        <w:tc>
          <w:tcPr>
            <w:tcW w:w="466" w:type="pct"/>
          </w:tcPr>
          <w:p w14:paraId="2F5F00A9" w14:textId="730EB6E9" w:rsidR="004E304A" w:rsidRDefault="004E304A" w:rsidP="00A829C7">
            <w:pPr>
              <w:pStyle w:val="tbltext"/>
              <w:spacing w:line="250" w:lineRule="atLeast"/>
              <w:jc w:val="center"/>
            </w:pPr>
            <w:r>
              <w:t>n/a</w:t>
            </w:r>
          </w:p>
        </w:tc>
      </w:tr>
      <w:tr w:rsidR="004E304A" w:rsidRPr="000540E1" w14:paraId="66BC4BC5" w14:textId="77777777" w:rsidTr="00136CC5">
        <w:trPr>
          <w:cantSplit/>
        </w:trPr>
        <w:tc>
          <w:tcPr>
            <w:tcW w:w="928" w:type="pct"/>
          </w:tcPr>
          <w:p w14:paraId="43651227" w14:textId="35DEAE42" w:rsidR="004E304A" w:rsidRDefault="004E304A" w:rsidP="00A829C7">
            <w:pPr>
              <w:pStyle w:val="tbltext"/>
              <w:spacing w:line="250" w:lineRule="atLeast"/>
            </w:pPr>
            <w:r>
              <w:t>Other payment receiver</w:t>
            </w:r>
          </w:p>
        </w:tc>
        <w:tc>
          <w:tcPr>
            <w:tcW w:w="2209" w:type="pct"/>
          </w:tcPr>
          <w:p w14:paraId="17764B4C" w14:textId="198E89F0" w:rsidR="004E304A" w:rsidRDefault="004E304A" w:rsidP="00A829C7">
            <w:pPr>
              <w:pStyle w:val="tbltext"/>
              <w:spacing w:line="250" w:lineRule="atLeast"/>
            </w:pPr>
            <w:r>
              <w:t xml:space="preserve">{CDE TG} </w:t>
            </w:r>
            <w:r w:rsidRPr="003B1F52">
              <w:t xml:space="preserve">Identifier of the </w:t>
            </w:r>
            <w:r>
              <w:t>receiver</w:t>
            </w:r>
            <w:r w:rsidRPr="003B1F52">
              <w:t xml:space="preserve"> of </w:t>
            </w:r>
            <w:r w:rsidR="001650A2">
              <w:t>the o</w:t>
            </w:r>
            <w:r w:rsidR="001650A2" w:rsidRPr="003B1F52">
              <w:t xml:space="preserve">ther </w:t>
            </w:r>
            <w:r w:rsidRPr="003B1F52">
              <w:t>payment amount.</w:t>
            </w:r>
          </w:p>
        </w:tc>
        <w:tc>
          <w:tcPr>
            <w:tcW w:w="465" w:type="pct"/>
          </w:tcPr>
          <w:p w14:paraId="30335004" w14:textId="0C75A38C" w:rsidR="004E304A" w:rsidRDefault="004E304A" w:rsidP="00A829C7">
            <w:pPr>
              <w:pStyle w:val="tbltext"/>
              <w:spacing w:line="250" w:lineRule="atLeast"/>
              <w:jc w:val="center"/>
            </w:pPr>
            <w:r>
              <w:t>2.88</w:t>
            </w:r>
          </w:p>
        </w:tc>
        <w:tc>
          <w:tcPr>
            <w:tcW w:w="466" w:type="pct"/>
          </w:tcPr>
          <w:p w14:paraId="3B918624" w14:textId="66EBF2A2" w:rsidR="004E304A" w:rsidRDefault="004E304A" w:rsidP="00A829C7">
            <w:pPr>
              <w:pStyle w:val="tbltext"/>
              <w:spacing w:line="250" w:lineRule="atLeast"/>
              <w:jc w:val="center"/>
            </w:pPr>
            <w:r>
              <w:t>62</w:t>
            </w:r>
          </w:p>
        </w:tc>
        <w:tc>
          <w:tcPr>
            <w:tcW w:w="465" w:type="pct"/>
          </w:tcPr>
          <w:p w14:paraId="58D3E101" w14:textId="4147B814" w:rsidR="004E304A" w:rsidRDefault="004E304A" w:rsidP="00A829C7">
            <w:pPr>
              <w:pStyle w:val="tbltext"/>
              <w:spacing w:line="250" w:lineRule="atLeast"/>
              <w:jc w:val="center"/>
            </w:pPr>
            <w:r>
              <w:t>2.74</w:t>
            </w:r>
          </w:p>
        </w:tc>
        <w:tc>
          <w:tcPr>
            <w:tcW w:w="466" w:type="pct"/>
          </w:tcPr>
          <w:p w14:paraId="536BB99B" w14:textId="084F4C85" w:rsidR="004E304A" w:rsidRDefault="004E304A" w:rsidP="00A829C7">
            <w:pPr>
              <w:pStyle w:val="tbltext"/>
              <w:spacing w:line="250" w:lineRule="atLeast"/>
              <w:jc w:val="center"/>
            </w:pPr>
            <w:r>
              <w:t>n/a</w:t>
            </w:r>
          </w:p>
        </w:tc>
      </w:tr>
    </w:tbl>
    <w:p w14:paraId="7DE588D1" w14:textId="77777777" w:rsidR="0054551C" w:rsidRDefault="0054551C" w:rsidP="001650A2">
      <w:pPr>
        <w:pStyle w:val="Proposalhead"/>
      </w:pPr>
      <w:r>
        <w:lastRenderedPageBreak/>
        <w:t>Proposal</w:t>
      </w:r>
    </w:p>
    <w:p w14:paraId="69BEC810" w14:textId="790C6E6E" w:rsidR="0054551C" w:rsidRDefault="0054551C" w:rsidP="00A829C7">
      <w:pPr>
        <w:pStyle w:val="Proposaltext"/>
        <w:keepNext/>
      </w:pPr>
      <w:r>
        <w:t xml:space="preserve">We propose to include in the ASIC Rules the data elements related to other payments set out in </w:t>
      </w:r>
      <w:r w:rsidR="001650A2">
        <w:fldChar w:fldCharType="begin"/>
      </w:r>
      <w:r w:rsidR="001650A2">
        <w:instrText xml:space="preserve"> REF _Ref56000086 \h </w:instrText>
      </w:r>
      <w:r w:rsidR="001650A2">
        <w:fldChar w:fldCharType="separate"/>
      </w:r>
      <w:r w:rsidR="00314C7E">
        <w:t xml:space="preserve">Table </w:t>
      </w:r>
      <w:r w:rsidR="00314C7E">
        <w:rPr>
          <w:noProof/>
        </w:rPr>
        <w:t>23</w:t>
      </w:r>
      <w:r w:rsidR="001650A2">
        <w:fldChar w:fldCharType="end"/>
      </w:r>
      <w:r>
        <w:t>.</w:t>
      </w:r>
    </w:p>
    <w:p w14:paraId="570DFDAE" w14:textId="77777777" w:rsidR="0054551C" w:rsidRDefault="0054551C">
      <w:pPr>
        <w:pStyle w:val="Feedbackhead"/>
      </w:pPr>
      <w:r>
        <w:t>Your feedback</w:t>
      </w:r>
    </w:p>
    <w:p w14:paraId="020DEA25" w14:textId="77777777" w:rsidR="0054551C" w:rsidRDefault="0054551C" w:rsidP="0054551C">
      <w:pPr>
        <w:pStyle w:val="Feedbackquestion"/>
      </w:pPr>
      <w:r>
        <w:t>Do you agree with this proposal? In your response, please give detailed reasons for your answer.</w:t>
      </w:r>
    </w:p>
    <w:p w14:paraId="4EC9DD51" w14:textId="569742FD" w:rsidR="0054551C" w:rsidRDefault="0054551C" w:rsidP="0054551C">
      <w:pPr>
        <w:pStyle w:val="Feedbackquestion"/>
      </w:pPr>
      <w:r w:rsidRPr="00C62732">
        <w:t xml:space="preserve">Do you consider that you will have </w:t>
      </w:r>
      <w:r w:rsidR="00790DEA">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_Ref56000086 \h </w:instrText>
      </w:r>
      <w:r w:rsidR="00CB0A2A">
        <w:fldChar w:fldCharType="separate"/>
      </w:r>
      <w:r w:rsidR="00314C7E">
        <w:t xml:space="preserve">Table </w:t>
      </w:r>
      <w:r w:rsidR="00314C7E">
        <w:rPr>
          <w:noProof/>
        </w:rPr>
        <w:t>23</w:t>
      </w:r>
      <w:r w:rsidR="00CB0A2A">
        <w:fldChar w:fldCharType="end"/>
      </w:r>
      <w:r w:rsidRPr="00C62732">
        <w:t>? In your response, please give detailed reasons for your answer.</w:t>
      </w:r>
    </w:p>
    <w:p w14:paraId="55FB4F84" w14:textId="19CB8BBD" w:rsidR="003D2C7A" w:rsidRDefault="003D2C7A" w:rsidP="003D2C7A">
      <w:pPr>
        <w:pStyle w:val="Heading2"/>
        <w:rPr>
          <w:rFonts w:eastAsiaTheme="minorHAnsi"/>
        </w:rPr>
      </w:pPr>
      <w:bookmarkStart w:id="125" w:name="_Toc57146501"/>
      <w:r>
        <w:rPr>
          <w:rFonts w:eastAsiaTheme="minorHAnsi"/>
        </w:rPr>
        <w:t>Data elements related to packages and links</w:t>
      </w:r>
      <w:bookmarkEnd w:id="125"/>
    </w:p>
    <w:p w14:paraId="610D40EE" w14:textId="0DA070EE" w:rsidR="00E13A51" w:rsidRDefault="00443BFE" w:rsidP="00443BFE">
      <w:pPr>
        <w:pStyle w:val="BodyText"/>
        <w:rPr>
          <w:rFonts w:eastAsiaTheme="minorHAnsi"/>
        </w:rPr>
      </w:pPr>
      <w:r w:rsidRPr="00443BFE">
        <w:rPr>
          <w:rFonts w:eastAsiaTheme="minorHAnsi"/>
        </w:rPr>
        <w:t xml:space="preserve">We propose to include </w:t>
      </w:r>
      <w:r w:rsidR="004346EF" w:rsidRPr="00443BFE">
        <w:rPr>
          <w:rFonts w:eastAsiaTheme="minorHAnsi"/>
        </w:rPr>
        <w:t xml:space="preserve">in the ASIC Rules </w:t>
      </w:r>
      <w:r w:rsidRPr="00443BFE">
        <w:rPr>
          <w:rFonts w:eastAsiaTheme="minorHAnsi"/>
        </w:rPr>
        <w:t xml:space="preserve">the data elements </w:t>
      </w:r>
      <w:r w:rsidR="00EF7823">
        <w:rPr>
          <w:rFonts w:eastAsiaTheme="minorHAnsi"/>
        </w:rPr>
        <w:t xml:space="preserve">in </w:t>
      </w:r>
      <w:r w:rsidR="00EF7823">
        <w:rPr>
          <w:rFonts w:eastAsiaTheme="minorHAnsi"/>
        </w:rPr>
        <w:fldChar w:fldCharType="begin"/>
      </w:r>
      <w:r w:rsidR="00EF7823">
        <w:rPr>
          <w:rFonts w:eastAsiaTheme="minorHAnsi"/>
        </w:rPr>
        <w:instrText xml:space="preserve"> REF _Ref56000864 \h </w:instrText>
      </w:r>
      <w:r w:rsidR="00EF7823">
        <w:rPr>
          <w:rFonts w:eastAsiaTheme="minorHAnsi"/>
        </w:rPr>
      </w:r>
      <w:r w:rsidR="00EF7823">
        <w:rPr>
          <w:rFonts w:eastAsiaTheme="minorHAnsi"/>
        </w:rPr>
        <w:fldChar w:fldCharType="separate"/>
      </w:r>
      <w:r w:rsidR="00314C7E">
        <w:t xml:space="preserve">Table </w:t>
      </w:r>
      <w:r w:rsidR="00314C7E">
        <w:rPr>
          <w:noProof/>
        </w:rPr>
        <w:t>24</w:t>
      </w:r>
      <w:r w:rsidR="00EF7823">
        <w:rPr>
          <w:rFonts w:eastAsiaTheme="minorHAnsi"/>
        </w:rPr>
        <w:fldChar w:fldCharType="end"/>
      </w:r>
      <w:r w:rsidRPr="00443BFE">
        <w:rPr>
          <w:rFonts w:eastAsiaTheme="minorHAnsi"/>
        </w:rPr>
        <w:t>.</w:t>
      </w:r>
    </w:p>
    <w:p w14:paraId="7943A0C2" w14:textId="7D7E1822" w:rsidR="00443BFE" w:rsidRDefault="00443BFE" w:rsidP="00443BFE">
      <w:pPr>
        <w:pStyle w:val="BodyText"/>
        <w:rPr>
          <w:rFonts w:eastAsiaTheme="minorHAnsi"/>
        </w:rPr>
      </w:pPr>
      <w:r w:rsidRPr="00443BFE">
        <w:rPr>
          <w:rFonts w:eastAsiaTheme="minorHAnsi"/>
        </w:rPr>
        <w:t>The</w:t>
      </w:r>
      <w:r w:rsidR="00E13A51">
        <w:rPr>
          <w:rFonts w:eastAsiaTheme="minorHAnsi"/>
        </w:rPr>
        <w:t xml:space="preserve"> ‘</w:t>
      </w:r>
      <w:r w:rsidR="00141A7E">
        <w:rPr>
          <w:rFonts w:eastAsiaTheme="minorHAnsi"/>
        </w:rPr>
        <w:t>package’</w:t>
      </w:r>
      <w:r w:rsidR="00141A7E" w:rsidRPr="00443BFE">
        <w:rPr>
          <w:rFonts w:eastAsiaTheme="minorHAnsi"/>
        </w:rPr>
        <w:t xml:space="preserve"> </w:t>
      </w:r>
      <w:r w:rsidRPr="00443BFE">
        <w:rPr>
          <w:rFonts w:eastAsiaTheme="minorHAnsi"/>
        </w:rPr>
        <w:t xml:space="preserve">data elements </w:t>
      </w:r>
      <w:r w:rsidR="00E13A51">
        <w:rPr>
          <w:rFonts w:eastAsiaTheme="minorHAnsi"/>
        </w:rPr>
        <w:t>and the ‘</w:t>
      </w:r>
      <w:r w:rsidR="00141A7E">
        <w:rPr>
          <w:rFonts w:eastAsiaTheme="minorHAnsi"/>
        </w:rPr>
        <w:t xml:space="preserve">prior </w:t>
      </w:r>
      <w:r w:rsidR="00E13A51">
        <w:rPr>
          <w:rFonts w:eastAsiaTheme="minorHAnsi"/>
        </w:rPr>
        <w:t xml:space="preserve">UTI’ links data element </w:t>
      </w:r>
      <w:r w:rsidRPr="00443BFE">
        <w:rPr>
          <w:rFonts w:eastAsiaTheme="minorHAnsi"/>
        </w:rPr>
        <w:t xml:space="preserve">are in the CDE </w:t>
      </w:r>
      <w:r w:rsidR="00E401E1">
        <w:rPr>
          <w:rFonts w:eastAsiaTheme="minorHAnsi"/>
        </w:rPr>
        <w:t>Guidance</w:t>
      </w:r>
      <w:r w:rsidRPr="00443BFE">
        <w:rPr>
          <w:rFonts w:eastAsiaTheme="minorHAnsi"/>
        </w:rPr>
        <w:t xml:space="preserve"> and </w:t>
      </w:r>
      <w:r w:rsidR="00141A7E">
        <w:rPr>
          <w:rFonts w:eastAsiaTheme="minorHAnsi"/>
        </w:rPr>
        <w:t xml:space="preserve">are </w:t>
      </w:r>
      <w:r w:rsidRPr="00443BFE">
        <w:rPr>
          <w:rFonts w:eastAsiaTheme="minorHAnsi"/>
        </w:rPr>
        <w:t xml:space="preserve">adopted in the final CFTC rules and the </w:t>
      </w:r>
      <w:r w:rsidR="000127C8">
        <w:rPr>
          <w:rFonts w:eastAsiaTheme="minorHAnsi"/>
        </w:rPr>
        <w:t>ESMA proposals</w:t>
      </w:r>
      <w:r w:rsidRPr="00443BFE">
        <w:rPr>
          <w:rFonts w:eastAsiaTheme="minorHAnsi"/>
        </w:rPr>
        <w:t>.</w:t>
      </w:r>
    </w:p>
    <w:p w14:paraId="3BBA4C35" w14:textId="0B6E1522" w:rsidR="00F32097" w:rsidRPr="00443BFE" w:rsidRDefault="00F32097" w:rsidP="00443BFE">
      <w:pPr>
        <w:pStyle w:val="BodyText"/>
        <w:rPr>
          <w:rFonts w:eastAsiaTheme="minorHAnsi"/>
        </w:rPr>
      </w:pPr>
      <w:r>
        <w:rPr>
          <w:rFonts w:eastAsiaTheme="minorHAnsi"/>
        </w:rPr>
        <w:t xml:space="preserve">‘Package’ data elements are important to regulators to fully understand the components comprising the package, particularly where the </w:t>
      </w:r>
      <w:r w:rsidR="0058543E">
        <w:rPr>
          <w:rFonts w:eastAsiaTheme="minorHAnsi"/>
        </w:rPr>
        <w:t xml:space="preserve">price and valuation information of the components, when considered individually, do not indicate the </w:t>
      </w:r>
      <w:r>
        <w:rPr>
          <w:rFonts w:eastAsiaTheme="minorHAnsi"/>
        </w:rPr>
        <w:t>econom</w:t>
      </w:r>
      <w:r w:rsidR="0058543E">
        <w:rPr>
          <w:rFonts w:eastAsiaTheme="minorHAnsi"/>
        </w:rPr>
        <w:t>ic compensations that may be occurring between the components.</w:t>
      </w:r>
    </w:p>
    <w:p w14:paraId="3B1FEA17" w14:textId="0FF3B05B" w:rsidR="00E13A51" w:rsidRDefault="00E13A51" w:rsidP="00E13A51">
      <w:pPr>
        <w:pStyle w:val="BodyText"/>
        <w:rPr>
          <w:rFonts w:eastAsiaTheme="minorHAnsi"/>
        </w:rPr>
      </w:pPr>
      <w:r>
        <w:rPr>
          <w:rFonts w:eastAsiaTheme="minorHAnsi"/>
        </w:rPr>
        <w:t xml:space="preserve">‘Prior UTI’ is the </w:t>
      </w:r>
      <w:r w:rsidRPr="00E13A51">
        <w:rPr>
          <w:rFonts w:eastAsiaTheme="minorHAnsi"/>
        </w:rPr>
        <w:t xml:space="preserve">UTI </w:t>
      </w:r>
      <w:r>
        <w:rPr>
          <w:rFonts w:eastAsiaTheme="minorHAnsi"/>
        </w:rPr>
        <w:t xml:space="preserve">of </w:t>
      </w:r>
      <w:r w:rsidRPr="00E13A51">
        <w:rPr>
          <w:rFonts w:eastAsiaTheme="minorHAnsi"/>
        </w:rPr>
        <w:t>the predecessor transaction that has given rise to the</w:t>
      </w:r>
      <w:r>
        <w:rPr>
          <w:rFonts w:eastAsiaTheme="minorHAnsi"/>
        </w:rPr>
        <w:t xml:space="preserve"> </w:t>
      </w:r>
      <w:r w:rsidR="00A65611">
        <w:rPr>
          <w:rFonts w:eastAsiaTheme="minorHAnsi"/>
        </w:rPr>
        <w:t>reportable transact</w:t>
      </w:r>
      <w:r>
        <w:rPr>
          <w:rFonts w:eastAsiaTheme="minorHAnsi"/>
        </w:rPr>
        <w:t xml:space="preserve">ion </w:t>
      </w:r>
      <w:r w:rsidRPr="00E13A51">
        <w:rPr>
          <w:rFonts w:eastAsiaTheme="minorHAnsi"/>
        </w:rPr>
        <w:t>due to a lifecycle event</w:t>
      </w:r>
      <w:r>
        <w:rPr>
          <w:rFonts w:eastAsiaTheme="minorHAnsi"/>
        </w:rPr>
        <w:t>:</w:t>
      </w:r>
    </w:p>
    <w:p w14:paraId="04CEA9AB" w14:textId="77777777" w:rsidR="00E13A51" w:rsidRDefault="00E13A51" w:rsidP="00E13A51">
      <w:pPr>
        <w:pStyle w:val="subparaa"/>
        <w:rPr>
          <w:rFonts w:eastAsiaTheme="minorHAnsi"/>
        </w:rPr>
      </w:pPr>
      <w:r w:rsidRPr="00E13A51">
        <w:rPr>
          <w:rFonts w:eastAsiaTheme="minorHAnsi"/>
        </w:rPr>
        <w:t>in a one-to-one relation between transactions (e</w:t>
      </w:r>
      <w:r>
        <w:rPr>
          <w:rFonts w:eastAsiaTheme="minorHAnsi"/>
        </w:rPr>
        <w:t>.g. an assignment); or</w:t>
      </w:r>
    </w:p>
    <w:p w14:paraId="3F408383" w14:textId="0A70D5A7" w:rsidR="00E13A51" w:rsidRDefault="00E13A51" w:rsidP="00E13A51">
      <w:pPr>
        <w:pStyle w:val="subparaa"/>
        <w:rPr>
          <w:rFonts w:eastAsiaTheme="minorHAnsi"/>
        </w:rPr>
      </w:pPr>
      <w:r w:rsidRPr="00E13A51">
        <w:rPr>
          <w:rFonts w:eastAsiaTheme="minorHAnsi"/>
        </w:rPr>
        <w:t>in a one-to-many relation between transactions (e</w:t>
      </w:r>
      <w:r>
        <w:rPr>
          <w:rFonts w:eastAsiaTheme="minorHAnsi"/>
        </w:rPr>
        <w:t>.</w:t>
      </w:r>
      <w:r w:rsidRPr="00E13A51">
        <w:rPr>
          <w:rFonts w:eastAsiaTheme="minorHAnsi"/>
        </w:rPr>
        <w:t>g</w:t>
      </w:r>
      <w:r>
        <w:rPr>
          <w:rFonts w:eastAsiaTheme="minorHAnsi"/>
        </w:rPr>
        <w:t>.</w:t>
      </w:r>
      <w:r w:rsidRPr="00E13A51">
        <w:rPr>
          <w:rFonts w:eastAsiaTheme="minorHAnsi"/>
        </w:rPr>
        <w:t xml:space="preserve"> in clearing</w:t>
      </w:r>
      <w:r>
        <w:rPr>
          <w:rFonts w:eastAsiaTheme="minorHAnsi"/>
        </w:rPr>
        <w:t>).</w:t>
      </w:r>
    </w:p>
    <w:p w14:paraId="25C11DC5" w14:textId="6970C9E2" w:rsidR="00F32097" w:rsidRPr="00E13A51" w:rsidRDefault="00F32097" w:rsidP="00F32097">
      <w:pPr>
        <w:pStyle w:val="Bodytextplain"/>
        <w:rPr>
          <w:rFonts w:eastAsiaTheme="minorHAnsi"/>
        </w:rPr>
      </w:pPr>
      <w:r>
        <w:rPr>
          <w:rFonts w:eastAsiaTheme="minorHAnsi"/>
        </w:rPr>
        <w:t>The ‘</w:t>
      </w:r>
      <w:r w:rsidR="00141A7E">
        <w:rPr>
          <w:rFonts w:eastAsiaTheme="minorHAnsi"/>
        </w:rPr>
        <w:t xml:space="preserve">prior </w:t>
      </w:r>
      <w:r>
        <w:rPr>
          <w:rFonts w:eastAsiaTheme="minorHAnsi"/>
        </w:rPr>
        <w:t>UTI’ of the predecessor transaction is reported in the report of each of the successor transactions.</w:t>
      </w:r>
    </w:p>
    <w:p w14:paraId="252650E6" w14:textId="26FDD4EB" w:rsidR="003D2C7A" w:rsidRDefault="00E13A51" w:rsidP="00E13A51">
      <w:pPr>
        <w:pStyle w:val="BodyText"/>
        <w:rPr>
          <w:rFonts w:eastAsiaTheme="minorHAnsi"/>
        </w:rPr>
      </w:pPr>
      <w:r>
        <w:rPr>
          <w:rFonts w:eastAsiaTheme="minorHAnsi"/>
        </w:rPr>
        <w:t xml:space="preserve">For many-to-one or many-to-many relations between transactions (e.g. </w:t>
      </w:r>
      <w:r w:rsidRPr="00E13A51">
        <w:rPr>
          <w:rFonts w:eastAsiaTheme="minorHAnsi"/>
        </w:rPr>
        <w:t>in the case of a compression)</w:t>
      </w:r>
      <w:r>
        <w:rPr>
          <w:rFonts w:eastAsiaTheme="minorHAnsi"/>
        </w:rPr>
        <w:t>, we propose to adopt the ‘</w:t>
      </w:r>
      <w:r w:rsidR="00141A7E">
        <w:rPr>
          <w:rFonts w:eastAsiaTheme="minorHAnsi"/>
        </w:rPr>
        <w:t xml:space="preserve">event </w:t>
      </w:r>
      <w:r>
        <w:rPr>
          <w:rFonts w:eastAsiaTheme="minorHAnsi"/>
        </w:rPr>
        <w:t>identifier’ data element of the final CFTC rules</w:t>
      </w:r>
      <w:r w:rsidRPr="00E13A51">
        <w:rPr>
          <w:rFonts w:eastAsiaTheme="minorHAnsi"/>
        </w:rPr>
        <w:t>.</w:t>
      </w:r>
    </w:p>
    <w:p w14:paraId="1D363C28" w14:textId="4C5F301C" w:rsidR="00F32097" w:rsidRDefault="00F32097" w:rsidP="00E13A51">
      <w:pPr>
        <w:pStyle w:val="BodyText"/>
        <w:rPr>
          <w:rFonts w:eastAsiaTheme="minorHAnsi"/>
        </w:rPr>
      </w:pPr>
      <w:r>
        <w:rPr>
          <w:rFonts w:eastAsiaTheme="minorHAnsi"/>
        </w:rPr>
        <w:t>The ‘</w:t>
      </w:r>
      <w:r w:rsidR="00141A7E">
        <w:rPr>
          <w:rFonts w:eastAsiaTheme="minorHAnsi"/>
        </w:rPr>
        <w:t xml:space="preserve">event </w:t>
      </w:r>
      <w:r>
        <w:rPr>
          <w:rFonts w:eastAsiaTheme="minorHAnsi"/>
        </w:rPr>
        <w:t xml:space="preserve">identifier’ is a UTI-like identifier comprising the LEI of the identifier generator followed by up to 32 characters. The identifier generator may be the </w:t>
      </w:r>
      <w:r w:rsidR="009E0748">
        <w:rPr>
          <w:rFonts w:eastAsiaTheme="minorHAnsi"/>
        </w:rPr>
        <w:t>reporting entity</w:t>
      </w:r>
      <w:r>
        <w:rPr>
          <w:rFonts w:eastAsiaTheme="minorHAnsi"/>
        </w:rPr>
        <w:t xml:space="preserve"> or </w:t>
      </w:r>
      <w:r w:rsidR="00141A7E">
        <w:rPr>
          <w:rFonts w:eastAsiaTheme="minorHAnsi"/>
        </w:rPr>
        <w:t xml:space="preserve">counterparty </w:t>
      </w:r>
      <w:r>
        <w:rPr>
          <w:rFonts w:eastAsiaTheme="minorHAnsi"/>
        </w:rPr>
        <w:t>1 or a service provider.</w:t>
      </w:r>
    </w:p>
    <w:p w14:paraId="342D1846" w14:textId="7AC57544" w:rsidR="00F32097" w:rsidRPr="003D2C7A" w:rsidRDefault="0058543E" w:rsidP="00E13A51">
      <w:pPr>
        <w:pStyle w:val="BodyText"/>
        <w:rPr>
          <w:rFonts w:eastAsiaTheme="minorHAnsi"/>
        </w:rPr>
      </w:pPr>
      <w:r>
        <w:rPr>
          <w:rFonts w:eastAsiaTheme="minorHAnsi"/>
        </w:rPr>
        <w:t>‘Prior UTI’ and ‘</w:t>
      </w:r>
      <w:r w:rsidR="00141A7E">
        <w:rPr>
          <w:rFonts w:eastAsiaTheme="minorHAnsi"/>
        </w:rPr>
        <w:t xml:space="preserve">event </w:t>
      </w:r>
      <w:r>
        <w:rPr>
          <w:rFonts w:eastAsiaTheme="minorHAnsi"/>
        </w:rPr>
        <w:t>identifier’ are important data elements that enable regulators to form a clear understanding of the sequence of related predecessor/successor transactions.</w:t>
      </w:r>
    </w:p>
    <w:p w14:paraId="7B85D7BD" w14:textId="21F3FF10" w:rsidR="00DF345B" w:rsidRPr="004857CC" w:rsidRDefault="00DF345B" w:rsidP="00DF345B">
      <w:pPr>
        <w:pStyle w:val="tabletitlefullwidth"/>
      </w:pPr>
      <w:bookmarkStart w:id="126" w:name="_Ref56000864"/>
      <w:r>
        <w:lastRenderedPageBreak/>
        <w:t xml:space="preserve">Table </w:t>
      </w:r>
      <w:r w:rsidR="007055A5">
        <w:fldChar w:fldCharType="begin"/>
      </w:r>
      <w:r w:rsidR="007055A5">
        <w:instrText xml:space="preserve"> SEQ Table \* ARABIC </w:instrText>
      </w:r>
      <w:r w:rsidR="007055A5">
        <w:fldChar w:fldCharType="separate"/>
      </w:r>
      <w:r w:rsidR="00314C7E">
        <w:rPr>
          <w:noProof/>
        </w:rPr>
        <w:t>24</w:t>
      </w:r>
      <w:r w:rsidR="007055A5">
        <w:rPr>
          <w:noProof/>
        </w:rPr>
        <w:fldChar w:fldCharType="end"/>
      </w:r>
      <w:bookmarkEnd w:id="126"/>
      <w:r>
        <w:t>:</w:t>
      </w:r>
      <w:r>
        <w:tab/>
      </w:r>
      <w:r w:rsidR="0058543E">
        <w:t>Proposed d</w:t>
      </w:r>
      <w:r w:rsidR="0058543E">
        <w:rPr>
          <w:rFonts w:eastAsiaTheme="minorHAnsi"/>
        </w:rPr>
        <w:t>ata elements related to packages and links</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678"/>
        <w:gridCol w:w="4409"/>
        <w:gridCol w:w="737"/>
        <w:gridCol w:w="737"/>
        <w:gridCol w:w="737"/>
        <w:gridCol w:w="739"/>
      </w:tblGrid>
      <w:tr w:rsidR="003D2C7A" w:rsidRPr="000540E1" w14:paraId="6051F1CD" w14:textId="77777777" w:rsidTr="003D2C7A">
        <w:trPr>
          <w:cantSplit/>
          <w:tblHeader/>
        </w:trPr>
        <w:tc>
          <w:tcPr>
            <w:tcW w:w="928" w:type="pct"/>
            <w:shd w:val="clear" w:color="auto" w:fill="C2E3FA"/>
          </w:tcPr>
          <w:p w14:paraId="21AE7CF3" w14:textId="77777777" w:rsidR="003D2C7A" w:rsidRDefault="003D2C7A" w:rsidP="00141A7E">
            <w:pPr>
              <w:pStyle w:val="tablehead"/>
            </w:pPr>
          </w:p>
        </w:tc>
        <w:tc>
          <w:tcPr>
            <w:tcW w:w="2439" w:type="pct"/>
            <w:shd w:val="clear" w:color="auto" w:fill="C2E3FA"/>
          </w:tcPr>
          <w:p w14:paraId="3DFC3106" w14:textId="77777777" w:rsidR="003D2C7A" w:rsidRDefault="003D2C7A" w:rsidP="00141A7E">
            <w:pPr>
              <w:pStyle w:val="tablehead"/>
            </w:pPr>
          </w:p>
        </w:tc>
        <w:tc>
          <w:tcPr>
            <w:tcW w:w="1633" w:type="pct"/>
            <w:gridSpan w:val="4"/>
            <w:shd w:val="clear" w:color="auto" w:fill="C2E3FA"/>
          </w:tcPr>
          <w:p w14:paraId="0EF1763E" w14:textId="597BFF1A" w:rsidR="003D2C7A" w:rsidRPr="000540E1" w:rsidRDefault="001156A2" w:rsidP="00141A7E">
            <w:pPr>
              <w:pStyle w:val="tablehead"/>
              <w:jc w:val="center"/>
            </w:pPr>
            <w:r>
              <w:t>Element</w:t>
            </w:r>
            <w:r w:rsidR="003D2C7A">
              <w:t xml:space="preserve"> number references</w:t>
            </w:r>
          </w:p>
        </w:tc>
      </w:tr>
      <w:tr w:rsidR="003D2C7A" w:rsidRPr="000540E1" w14:paraId="565CCA07" w14:textId="77777777" w:rsidTr="00136CC5">
        <w:trPr>
          <w:cantSplit/>
          <w:tblHeader/>
        </w:trPr>
        <w:tc>
          <w:tcPr>
            <w:tcW w:w="928" w:type="pct"/>
            <w:shd w:val="clear" w:color="auto" w:fill="C2E3FA"/>
          </w:tcPr>
          <w:p w14:paraId="42B6380A" w14:textId="77777777" w:rsidR="003D2C7A" w:rsidRDefault="003D2C7A" w:rsidP="00141A7E">
            <w:pPr>
              <w:pStyle w:val="tablehead"/>
            </w:pPr>
            <w:r>
              <w:t>Data element</w:t>
            </w:r>
          </w:p>
        </w:tc>
        <w:tc>
          <w:tcPr>
            <w:tcW w:w="2439" w:type="pct"/>
            <w:shd w:val="clear" w:color="auto" w:fill="C2E3FA"/>
          </w:tcPr>
          <w:p w14:paraId="6390A70E" w14:textId="57ECE812" w:rsidR="003D2C7A" w:rsidRDefault="003D2C7A" w:rsidP="00141A7E">
            <w:pPr>
              <w:pStyle w:val="tablehead"/>
            </w:pPr>
            <w:r>
              <w:t>Definition</w:t>
            </w:r>
            <w:r w:rsidR="00193DFB">
              <w:t>—</w:t>
            </w:r>
            <w:r w:rsidR="00141A7E">
              <w:t>S</w:t>
            </w:r>
            <w:r>
              <w:t xml:space="preserve">ummary </w:t>
            </w:r>
            <w:r w:rsidR="0075074F">
              <w:t xml:space="preserve">of </w:t>
            </w:r>
            <w:r>
              <w:t>key points</w:t>
            </w:r>
          </w:p>
        </w:tc>
        <w:tc>
          <w:tcPr>
            <w:tcW w:w="408" w:type="pct"/>
            <w:shd w:val="clear" w:color="auto" w:fill="C2E3FA"/>
          </w:tcPr>
          <w:p w14:paraId="3F65B29B" w14:textId="465CF360" w:rsidR="003D2C7A" w:rsidRPr="000540E1" w:rsidRDefault="003D2C7A" w:rsidP="00141A7E">
            <w:pPr>
              <w:pStyle w:val="tablehead"/>
              <w:jc w:val="center"/>
            </w:pPr>
            <w:r>
              <w:t>CDE</w:t>
            </w:r>
          </w:p>
        </w:tc>
        <w:tc>
          <w:tcPr>
            <w:tcW w:w="408" w:type="pct"/>
            <w:shd w:val="clear" w:color="auto" w:fill="C2E3FA"/>
          </w:tcPr>
          <w:p w14:paraId="3B81BB13" w14:textId="77777777" w:rsidR="003D2C7A" w:rsidRPr="000540E1" w:rsidRDefault="003D2C7A" w:rsidP="00141A7E">
            <w:pPr>
              <w:pStyle w:val="tablehead"/>
              <w:jc w:val="center"/>
            </w:pPr>
            <w:r>
              <w:t>CFTC</w:t>
            </w:r>
          </w:p>
        </w:tc>
        <w:tc>
          <w:tcPr>
            <w:tcW w:w="408" w:type="pct"/>
            <w:shd w:val="clear" w:color="auto" w:fill="C2E3FA"/>
          </w:tcPr>
          <w:p w14:paraId="7AF2AEC7" w14:textId="37C7D63C" w:rsidR="003D2C7A" w:rsidRPr="000540E1" w:rsidRDefault="005C1566" w:rsidP="00141A7E">
            <w:pPr>
              <w:pStyle w:val="tablehead"/>
              <w:jc w:val="center"/>
            </w:pPr>
            <w:r>
              <w:t>ESMA</w:t>
            </w:r>
          </w:p>
        </w:tc>
        <w:tc>
          <w:tcPr>
            <w:tcW w:w="408" w:type="pct"/>
            <w:shd w:val="clear" w:color="auto" w:fill="C2E3FA"/>
          </w:tcPr>
          <w:p w14:paraId="4B27F131" w14:textId="77777777" w:rsidR="003D2C7A" w:rsidRPr="000540E1" w:rsidRDefault="003D2C7A" w:rsidP="00141A7E">
            <w:pPr>
              <w:pStyle w:val="tablehead"/>
              <w:jc w:val="center"/>
            </w:pPr>
            <w:r>
              <w:t>ASIC</w:t>
            </w:r>
          </w:p>
        </w:tc>
      </w:tr>
      <w:tr w:rsidR="004E304A" w:rsidRPr="000540E1" w14:paraId="65263304" w14:textId="77777777" w:rsidTr="00136CC5">
        <w:trPr>
          <w:cantSplit/>
        </w:trPr>
        <w:tc>
          <w:tcPr>
            <w:tcW w:w="928" w:type="pct"/>
          </w:tcPr>
          <w:p w14:paraId="40BF5798" w14:textId="43C4F619" w:rsidR="004E304A" w:rsidRPr="000540E1" w:rsidRDefault="004E304A" w:rsidP="00141A7E">
            <w:pPr>
              <w:pStyle w:val="tbltext"/>
            </w:pPr>
            <w:r>
              <w:t>Package identifier</w:t>
            </w:r>
          </w:p>
        </w:tc>
        <w:tc>
          <w:tcPr>
            <w:tcW w:w="2439" w:type="pct"/>
          </w:tcPr>
          <w:p w14:paraId="3041A524" w14:textId="4F1E7BD3" w:rsidR="004E304A" w:rsidRDefault="004E304A" w:rsidP="00141A7E">
            <w:pPr>
              <w:pStyle w:val="tbltext"/>
            </w:pPr>
            <w:r>
              <w:t>{CDE TG} Identifier (determined by the reporting counterparty) in order to connect</w:t>
            </w:r>
          </w:p>
          <w:p w14:paraId="616917B7" w14:textId="45C80AF0" w:rsidR="004E304A" w:rsidRDefault="004E304A" w:rsidP="00A829C7">
            <w:pPr>
              <w:pStyle w:val="tablebullet"/>
            </w:pPr>
            <w:r>
              <w:t>two or more transactions that are reported separately by the reporting counterparty, but that are negotiated together as the product of a single economic agreement</w:t>
            </w:r>
          </w:p>
          <w:p w14:paraId="07902F06" w14:textId="5FCCC1D9" w:rsidR="004E304A" w:rsidRPr="000540E1" w:rsidRDefault="004E304A" w:rsidP="00A829C7">
            <w:pPr>
              <w:pStyle w:val="tablebullet"/>
            </w:pPr>
            <w:r>
              <w:t xml:space="preserve">two or more reports pertaining to the same transaction whenever </w:t>
            </w:r>
            <w:r w:rsidR="00F46721">
              <w:t xml:space="preserve">a </w:t>
            </w:r>
            <w:r>
              <w:t xml:space="preserve">jurisdictional reporting requirement does not allow the transaction to be reported with a single report to </w:t>
            </w:r>
            <w:r w:rsidR="00091D01">
              <w:t>[</w:t>
            </w:r>
            <w:r w:rsidR="00787D98">
              <w:t>trade repositories</w:t>
            </w:r>
            <w:r w:rsidR="00091D01">
              <w:t>]</w:t>
            </w:r>
            <w:r>
              <w:t>.</w:t>
            </w:r>
          </w:p>
        </w:tc>
        <w:tc>
          <w:tcPr>
            <w:tcW w:w="408" w:type="pct"/>
          </w:tcPr>
          <w:p w14:paraId="4168B3A0" w14:textId="76C80136" w:rsidR="004E304A" w:rsidRPr="000540E1" w:rsidRDefault="004E304A" w:rsidP="00141A7E">
            <w:pPr>
              <w:pStyle w:val="tbltext"/>
              <w:jc w:val="center"/>
            </w:pPr>
            <w:r>
              <w:t>2.89</w:t>
            </w:r>
          </w:p>
        </w:tc>
        <w:tc>
          <w:tcPr>
            <w:tcW w:w="408" w:type="pct"/>
          </w:tcPr>
          <w:p w14:paraId="68BFCEAC" w14:textId="48AFCBB8" w:rsidR="004E304A" w:rsidRPr="000540E1" w:rsidRDefault="004E304A" w:rsidP="00141A7E">
            <w:pPr>
              <w:pStyle w:val="tbltext"/>
              <w:jc w:val="center"/>
            </w:pPr>
            <w:r>
              <w:t>46</w:t>
            </w:r>
          </w:p>
        </w:tc>
        <w:tc>
          <w:tcPr>
            <w:tcW w:w="408" w:type="pct"/>
          </w:tcPr>
          <w:p w14:paraId="21689C9D" w14:textId="7A6A727F" w:rsidR="004E304A" w:rsidRPr="000540E1" w:rsidRDefault="004E304A" w:rsidP="00141A7E">
            <w:pPr>
              <w:pStyle w:val="tbltext"/>
              <w:jc w:val="center"/>
            </w:pPr>
            <w:r>
              <w:t>2.6</w:t>
            </w:r>
          </w:p>
        </w:tc>
        <w:tc>
          <w:tcPr>
            <w:tcW w:w="408" w:type="pct"/>
          </w:tcPr>
          <w:p w14:paraId="19657AD6" w14:textId="7606F7CD" w:rsidR="004E304A" w:rsidRPr="000540E1" w:rsidRDefault="004E304A" w:rsidP="00141A7E">
            <w:pPr>
              <w:pStyle w:val="tbltext"/>
              <w:jc w:val="center"/>
            </w:pPr>
            <w:r>
              <w:t>n/a</w:t>
            </w:r>
          </w:p>
        </w:tc>
      </w:tr>
      <w:tr w:rsidR="004E304A" w:rsidRPr="000540E1" w14:paraId="57AFA5A3" w14:textId="77777777" w:rsidTr="00136CC5">
        <w:trPr>
          <w:cantSplit/>
        </w:trPr>
        <w:tc>
          <w:tcPr>
            <w:tcW w:w="928" w:type="pct"/>
          </w:tcPr>
          <w:p w14:paraId="0580010A" w14:textId="28887A8F" w:rsidR="004E304A" w:rsidRPr="000540E1" w:rsidRDefault="004E304A" w:rsidP="00141A7E">
            <w:pPr>
              <w:pStyle w:val="tbltext"/>
            </w:pPr>
            <w:r>
              <w:t>Package transaction price</w:t>
            </w:r>
          </w:p>
        </w:tc>
        <w:tc>
          <w:tcPr>
            <w:tcW w:w="2439" w:type="pct"/>
          </w:tcPr>
          <w:p w14:paraId="1CCFAAEC" w14:textId="110A38F8" w:rsidR="004E304A" w:rsidRPr="000540E1" w:rsidRDefault="004E304A" w:rsidP="00141A7E">
            <w:pPr>
              <w:pStyle w:val="tbltext"/>
            </w:pPr>
            <w:r>
              <w:t xml:space="preserve">{CDE TG} </w:t>
            </w:r>
            <w:r w:rsidRPr="003D2C7A">
              <w:t>Traded price of the entire package in which the reported derivative transaction is a component.</w:t>
            </w:r>
          </w:p>
        </w:tc>
        <w:tc>
          <w:tcPr>
            <w:tcW w:w="408" w:type="pct"/>
          </w:tcPr>
          <w:p w14:paraId="65DCE950" w14:textId="6609F025" w:rsidR="004E304A" w:rsidRPr="000540E1" w:rsidRDefault="004E304A" w:rsidP="00141A7E">
            <w:pPr>
              <w:pStyle w:val="tbltext"/>
              <w:jc w:val="center"/>
            </w:pPr>
            <w:r>
              <w:t>2.90</w:t>
            </w:r>
          </w:p>
        </w:tc>
        <w:tc>
          <w:tcPr>
            <w:tcW w:w="408" w:type="pct"/>
          </w:tcPr>
          <w:p w14:paraId="66EF8A23" w14:textId="6AE7FE17" w:rsidR="004E304A" w:rsidRPr="000540E1" w:rsidRDefault="004E304A" w:rsidP="00141A7E">
            <w:pPr>
              <w:pStyle w:val="tbltext"/>
              <w:jc w:val="center"/>
            </w:pPr>
            <w:r>
              <w:t>47</w:t>
            </w:r>
          </w:p>
        </w:tc>
        <w:tc>
          <w:tcPr>
            <w:tcW w:w="408" w:type="pct"/>
          </w:tcPr>
          <w:p w14:paraId="0E934605" w14:textId="66725DC1" w:rsidR="004E304A" w:rsidRPr="000540E1" w:rsidRDefault="004E304A" w:rsidP="00141A7E">
            <w:pPr>
              <w:pStyle w:val="tbltext"/>
              <w:jc w:val="center"/>
            </w:pPr>
            <w:r>
              <w:t>2.48</w:t>
            </w:r>
          </w:p>
        </w:tc>
        <w:tc>
          <w:tcPr>
            <w:tcW w:w="408" w:type="pct"/>
          </w:tcPr>
          <w:p w14:paraId="42F1F779" w14:textId="5B6813A7" w:rsidR="004E304A" w:rsidRPr="000540E1" w:rsidRDefault="004E304A" w:rsidP="00141A7E">
            <w:pPr>
              <w:pStyle w:val="tbltext"/>
              <w:jc w:val="center"/>
            </w:pPr>
            <w:r>
              <w:t>n/a</w:t>
            </w:r>
          </w:p>
        </w:tc>
      </w:tr>
      <w:tr w:rsidR="004E304A" w:rsidRPr="000540E1" w14:paraId="4059E850" w14:textId="77777777" w:rsidTr="00136CC5">
        <w:trPr>
          <w:cantSplit/>
        </w:trPr>
        <w:tc>
          <w:tcPr>
            <w:tcW w:w="928" w:type="pct"/>
          </w:tcPr>
          <w:p w14:paraId="110C5022" w14:textId="5755622C" w:rsidR="004E304A" w:rsidRPr="000540E1" w:rsidRDefault="004E304A" w:rsidP="00141A7E">
            <w:pPr>
              <w:pStyle w:val="tbltext"/>
            </w:pPr>
            <w:r>
              <w:t>Package transaction price currency</w:t>
            </w:r>
          </w:p>
        </w:tc>
        <w:tc>
          <w:tcPr>
            <w:tcW w:w="2439" w:type="pct"/>
          </w:tcPr>
          <w:p w14:paraId="417423AD" w14:textId="2A2206A4" w:rsidR="004E304A" w:rsidRPr="000540E1" w:rsidRDefault="004E304A" w:rsidP="00141A7E">
            <w:pPr>
              <w:pStyle w:val="tbltext"/>
            </w:pPr>
            <w:r>
              <w:t xml:space="preserve">{CDE TG} </w:t>
            </w:r>
            <w:r w:rsidRPr="003B1F52">
              <w:t xml:space="preserve">Currency in which </w:t>
            </w:r>
            <w:r w:rsidR="00141A7E">
              <w:t xml:space="preserve">the package </w:t>
            </w:r>
            <w:r>
              <w:t xml:space="preserve">transaction price </w:t>
            </w:r>
            <w:r w:rsidRPr="003B1F52">
              <w:t>amount is denominated.</w:t>
            </w:r>
          </w:p>
        </w:tc>
        <w:tc>
          <w:tcPr>
            <w:tcW w:w="408" w:type="pct"/>
          </w:tcPr>
          <w:p w14:paraId="1F897393" w14:textId="218060E8" w:rsidR="004E304A" w:rsidRPr="000540E1" w:rsidRDefault="004E304A" w:rsidP="00141A7E">
            <w:pPr>
              <w:pStyle w:val="tbltext"/>
              <w:jc w:val="center"/>
            </w:pPr>
            <w:r>
              <w:t>2.91</w:t>
            </w:r>
          </w:p>
        </w:tc>
        <w:tc>
          <w:tcPr>
            <w:tcW w:w="408" w:type="pct"/>
          </w:tcPr>
          <w:p w14:paraId="77238C11" w14:textId="2AC439D3" w:rsidR="004E304A" w:rsidRPr="000540E1" w:rsidRDefault="004E304A" w:rsidP="00141A7E">
            <w:pPr>
              <w:pStyle w:val="tbltext"/>
              <w:jc w:val="center"/>
            </w:pPr>
            <w:r>
              <w:t>48</w:t>
            </w:r>
          </w:p>
        </w:tc>
        <w:tc>
          <w:tcPr>
            <w:tcW w:w="408" w:type="pct"/>
          </w:tcPr>
          <w:p w14:paraId="29C154D3" w14:textId="2AF9433F" w:rsidR="004E304A" w:rsidRPr="000540E1" w:rsidRDefault="004E304A" w:rsidP="00141A7E">
            <w:pPr>
              <w:pStyle w:val="tbltext"/>
              <w:jc w:val="center"/>
            </w:pPr>
            <w:r>
              <w:t>2.49</w:t>
            </w:r>
          </w:p>
        </w:tc>
        <w:tc>
          <w:tcPr>
            <w:tcW w:w="408" w:type="pct"/>
          </w:tcPr>
          <w:p w14:paraId="78DFE4D0" w14:textId="0B075233" w:rsidR="004E304A" w:rsidRPr="000540E1" w:rsidRDefault="004E304A" w:rsidP="00141A7E">
            <w:pPr>
              <w:pStyle w:val="tbltext"/>
              <w:jc w:val="center"/>
            </w:pPr>
            <w:r>
              <w:t>n/a</w:t>
            </w:r>
          </w:p>
        </w:tc>
      </w:tr>
      <w:tr w:rsidR="004E304A" w:rsidRPr="000540E1" w14:paraId="3B65E51E" w14:textId="77777777" w:rsidTr="00136CC5">
        <w:trPr>
          <w:cantSplit/>
        </w:trPr>
        <w:tc>
          <w:tcPr>
            <w:tcW w:w="928" w:type="pct"/>
          </w:tcPr>
          <w:p w14:paraId="46C4521B" w14:textId="4D4B14B3" w:rsidR="004E304A" w:rsidRPr="000540E1" w:rsidRDefault="004E304A" w:rsidP="00141A7E">
            <w:pPr>
              <w:pStyle w:val="tbltext"/>
            </w:pPr>
            <w:r>
              <w:t>Package transaction price notation</w:t>
            </w:r>
          </w:p>
        </w:tc>
        <w:tc>
          <w:tcPr>
            <w:tcW w:w="2439" w:type="pct"/>
          </w:tcPr>
          <w:p w14:paraId="23C9A463" w14:textId="76657B92" w:rsidR="004E304A" w:rsidRPr="000540E1" w:rsidRDefault="004E304A" w:rsidP="00141A7E">
            <w:pPr>
              <w:pStyle w:val="tbltext"/>
            </w:pPr>
            <w:r>
              <w:t xml:space="preserve">{CDE TG} Manner in which the </w:t>
            </w:r>
            <w:r w:rsidR="0054479D">
              <w:t xml:space="preserve">package </w:t>
            </w:r>
            <w:r>
              <w:t>transaction price is expressed.</w:t>
            </w:r>
          </w:p>
        </w:tc>
        <w:tc>
          <w:tcPr>
            <w:tcW w:w="408" w:type="pct"/>
          </w:tcPr>
          <w:p w14:paraId="09B440CF" w14:textId="4D5A9839" w:rsidR="004E304A" w:rsidRPr="000540E1" w:rsidRDefault="004E304A" w:rsidP="00141A7E">
            <w:pPr>
              <w:pStyle w:val="tbltext"/>
              <w:jc w:val="center"/>
            </w:pPr>
            <w:r>
              <w:t>2.92</w:t>
            </w:r>
          </w:p>
        </w:tc>
        <w:tc>
          <w:tcPr>
            <w:tcW w:w="408" w:type="pct"/>
          </w:tcPr>
          <w:p w14:paraId="63270CAE" w14:textId="5C4E002F" w:rsidR="004E304A" w:rsidRPr="000540E1" w:rsidRDefault="004E304A" w:rsidP="00141A7E">
            <w:pPr>
              <w:pStyle w:val="tbltext"/>
              <w:jc w:val="center"/>
            </w:pPr>
            <w:r>
              <w:t>49</w:t>
            </w:r>
          </w:p>
        </w:tc>
        <w:tc>
          <w:tcPr>
            <w:tcW w:w="408" w:type="pct"/>
          </w:tcPr>
          <w:p w14:paraId="6C1E53FD" w14:textId="15E307D6" w:rsidR="004E304A" w:rsidRPr="000540E1" w:rsidRDefault="004E304A" w:rsidP="00141A7E">
            <w:pPr>
              <w:pStyle w:val="tbltext"/>
              <w:jc w:val="center"/>
            </w:pPr>
            <w:r>
              <w:t>n/a</w:t>
            </w:r>
          </w:p>
        </w:tc>
        <w:tc>
          <w:tcPr>
            <w:tcW w:w="408" w:type="pct"/>
          </w:tcPr>
          <w:p w14:paraId="6288F683" w14:textId="5E572C47" w:rsidR="004E304A" w:rsidRPr="000540E1" w:rsidRDefault="004E304A" w:rsidP="00141A7E">
            <w:pPr>
              <w:pStyle w:val="tbltext"/>
              <w:jc w:val="center"/>
            </w:pPr>
            <w:r>
              <w:t>n/a</w:t>
            </w:r>
          </w:p>
        </w:tc>
      </w:tr>
      <w:tr w:rsidR="004E304A" w:rsidRPr="000540E1" w14:paraId="31BD70C0" w14:textId="77777777" w:rsidTr="00136CC5">
        <w:trPr>
          <w:cantSplit/>
        </w:trPr>
        <w:tc>
          <w:tcPr>
            <w:tcW w:w="928" w:type="pct"/>
          </w:tcPr>
          <w:p w14:paraId="08723F67" w14:textId="06EC65B5" w:rsidR="004E304A" w:rsidRDefault="004E304A" w:rsidP="00141A7E">
            <w:pPr>
              <w:pStyle w:val="tbltext"/>
            </w:pPr>
            <w:r w:rsidRPr="003D2C7A">
              <w:t>Package transaction spread</w:t>
            </w:r>
          </w:p>
        </w:tc>
        <w:tc>
          <w:tcPr>
            <w:tcW w:w="2439" w:type="pct"/>
          </w:tcPr>
          <w:p w14:paraId="1F4ECD5F" w14:textId="77777777" w:rsidR="004E304A" w:rsidRDefault="004E304A" w:rsidP="00141A7E">
            <w:pPr>
              <w:pStyle w:val="tbltext"/>
            </w:pPr>
            <w:r>
              <w:t>{CDE TG} Traded price of the entire package in which the reported derivative transaction is a component of a package transaction.</w:t>
            </w:r>
          </w:p>
          <w:p w14:paraId="21F6F616" w14:textId="7442E8E0" w:rsidR="004E304A" w:rsidRDefault="004E304A" w:rsidP="00141A7E">
            <w:pPr>
              <w:pStyle w:val="tbltext"/>
            </w:pPr>
            <w:r>
              <w:t>Package transaction price when the price of the package is expressed as a spread, difference between two reference prices.</w:t>
            </w:r>
          </w:p>
        </w:tc>
        <w:tc>
          <w:tcPr>
            <w:tcW w:w="408" w:type="pct"/>
          </w:tcPr>
          <w:p w14:paraId="1A4B6F27" w14:textId="3203B0A2" w:rsidR="004E304A" w:rsidRDefault="004E304A" w:rsidP="00141A7E">
            <w:pPr>
              <w:pStyle w:val="tbltext"/>
              <w:jc w:val="center"/>
            </w:pPr>
            <w:r>
              <w:t>2.93</w:t>
            </w:r>
          </w:p>
        </w:tc>
        <w:tc>
          <w:tcPr>
            <w:tcW w:w="408" w:type="pct"/>
          </w:tcPr>
          <w:p w14:paraId="5AF3F7BE" w14:textId="302D0B86" w:rsidR="004E304A" w:rsidRDefault="004E304A" w:rsidP="00141A7E">
            <w:pPr>
              <w:pStyle w:val="tbltext"/>
              <w:jc w:val="center"/>
            </w:pPr>
            <w:r>
              <w:t>50</w:t>
            </w:r>
          </w:p>
        </w:tc>
        <w:tc>
          <w:tcPr>
            <w:tcW w:w="408" w:type="pct"/>
          </w:tcPr>
          <w:p w14:paraId="5C74264A" w14:textId="2D1FC046" w:rsidR="004E304A" w:rsidRDefault="004E304A" w:rsidP="00141A7E">
            <w:pPr>
              <w:pStyle w:val="tbltext"/>
              <w:jc w:val="center"/>
            </w:pPr>
            <w:r>
              <w:t>2.107</w:t>
            </w:r>
          </w:p>
        </w:tc>
        <w:tc>
          <w:tcPr>
            <w:tcW w:w="408" w:type="pct"/>
          </w:tcPr>
          <w:p w14:paraId="6EEDBECB" w14:textId="4F49308C" w:rsidR="004E304A" w:rsidRDefault="004E304A" w:rsidP="00141A7E">
            <w:pPr>
              <w:pStyle w:val="tbltext"/>
              <w:jc w:val="center"/>
            </w:pPr>
            <w:r>
              <w:t>n/a</w:t>
            </w:r>
          </w:p>
        </w:tc>
      </w:tr>
      <w:tr w:rsidR="004E304A" w:rsidRPr="000540E1" w14:paraId="70AC2358" w14:textId="77777777" w:rsidTr="00136CC5">
        <w:trPr>
          <w:cantSplit/>
        </w:trPr>
        <w:tc>
          <w:tcPr>
            <w:tcW w:w="928" w:type="pct"/>
          </w:tcPr>
          <w:p w14:paraId="71580E57" w14:textId="002ADECB" w:rsidR="004E304A" w:rsidRPr="000540E1" w:rsidRDefault="004E304A" w:rsidP="00141A7E">
            <w:pPr>
              <w:pStyle w:val="tbltext"/>
            </w:pPr>
            <w:r>
              <w:t>Package transaction spread currency</w:t>
            </w:r>
          </w:p>
        </w:tc>
        <w:tc>
          <w:tcPr>
            <w:tcW w:w="2439" w:type="pct"/>
          </w:tcPr>
          <w:p w14:paraId="5A2B129E" w14:textId="2E428082" w:rsidR="004E304A" w:rsidRPr="000540E1" w:rsidRDefault="004E304A" w:rsidP="00141A7E">
            <w:pPr>
              <w:pStyle w:val="tbltext"/>
            </w:pPr>
            <w:r>
              <w:t xml:space="preserve">{CDE TG} </w:t>
            </w:r>
            <w:r w:rsidRPr="003B1F52">
              <w:t xml:space="preserve">Currency in which </w:t>
            </w:r>
            <w:r w:rsidR="0054479D">
              <w:t xml:space="preserve">the package </w:t>
            </w:r>
            <w:r>
              <w:t>transaction spread</w:t>
            </w:r>
            <w:r w:rsidRPr="003B1F52">
              <w:t xml:space="preserve"> is denominated.</w:t>
            </w:r>
          </w:p>
        </w:tc>
        <w:tc>
          <w:tcPr>
            <w:tcW w:w="408" w:type="pct"/>
          </w:tcPr>
          <w:p w14:paraId="417630B5" w14:textId="48081CF4" w:rsidR="004E304A" w:rsidRPr="000540E1" w:rsidRDefault="004E304A" w:rsidP="00141A7E">
            <w:pPr>
              <w:pStyle w:val="tbltext"/>
              <w:jc w:val="center"/>
            </w:pPr>
            <w:r>
              <w:t>2.94</w:t>
            </w:r>
          </w:p>
        </w:tc>
        <w:tc>
          <w:tcPr>
            <w:tcW w:w="408" w:type="pct"/>
          </w:tcPr>
          <w:p w14:paraId="6E376C83" w14:textId="7797CA9A" w:rsidR="004E304A" w:rsidRPr="000540E1" w:rsidRDefault="004E304A" w:rsidP="00141A7E">
            <w:pPr>
              <w:pStyle w:val="tbltext"/>
              <w:jc w:val="center"/>
            </w:pPr>
            <w:r>
              <w:t>51</w:t>
            </w:r>
          </w:p>
        </w:tc>
        <w:tc>
          <w:tcPr>
            <w:tcW w:w="408" w:type="pct"/>
          </w:tcPr>
          <w:p w14:paraId="5F4AD8D8" w14:textId="205395FC" w:rsidR="004E304A" w:rsidRPr="000540E1" w:rsidRDefault="004E304A" w:rsidP="00141A7E">
            <w:pPr>
              <w:pStyle w:val="tbltext"/>
              <w:jc w:val="center"/>
            </w:pPr>
            <w:r>
              <w:t>2.108</w:t>
            </w:r>
          </w:p>
        </w:tc>
        <w:tc>
          <w:tcPr>
            <w:tcW w:w="408" w:type="pct"/>
          </w:tcPr>
          <w:p w14:paraId="556DCF07" w14:textId="37228E3B" w:rsidR="004E304A" w:rsidRPr="000540E1" w:rsidRDefault="004E304A" w:rsidP="00141A7E">
            <w:pPr>
              <w:pStyle w:val="tbltext"/>
              <w:jc w:val="center"/>
            </w:pPr>
            <w:r>
              <w:t>n/a</w:t>
            </w:r>
          </w:p>
        </w:tc>
      </w:tr>
      <w:tr w:rsidR="004E304A" w:rsidRPr="000540E1" w14:paraId="4D57B541" w14:textId="77777777" w:rsidTr="00136CC5">
        <w:trPr>
          <w:cantSplit/>
        </w:trPr>
        <w:tc>
          <w:tcPr>
            <w:tcW w:w="928" w:type="pct"/>
          </w:tcPr>
          <w:p w14:paraId="16D4E513" w14:textId="53DD701E" w:rsidR="004E304A" w:rsidRPr="000540E1" w:rsidRDefault="004E304A" w:rsidP="00141A7E">
            <w:pPr>
              <w:pStyle w:val="tbltext"/>
            </w:pPr>
            <w:r>
              <w:t>Package transaction spread currency notation</w:t>
            </w:r>
          </w:p>
        </w:tc>
        <w:tc>
          <w:tcPr>
            <w:tcW w:w="2439" w:type="pct"/>
          </w:tcPr>
          <w:p w14:paraId="37CCD55B" w14:textId="4848C76E" w:rsidR="004E304A" w:rsidRPr="000540E1" w:rsidRDefault="004E304A" w:rsidP="00141A7E">
            <w:pPr>
              <w:pStyle w:val="tbltext"/>
            </w:pPr>
            <w:r>
              <w:t xml:space="preserve">{CDE TG} Manner in which the </w:t>
            </w:r>
            <w:r w:rsidR="0054479D">
              <w:t xml:space="preserve">package </w:t>
            </w:r>
            <w:r>
              <w:t>transaction spread currency is expressed.</w:t>
            </w:r>
          </w:p>
        </w:tc>
        <w:tc>
          <w:tcPr>
            <w:tcW w:w="408" w:type="pct"/>
          </w:tcPr>
          <w:p w14:paraId="4821C3AD" w14:textId="1497E681" w:rsidR="004E304A" w:rsidRPr="000540E1" w:rsidRDefault="004E304A" w:rsidP="00141A7E">
            <w:pPr>
              <w:pStyle w:val="tbltext"/>
              <w:jc w:val="center"/>
            </w:pPr>
            <w:r>
              <w:t>2.95</w:t>
            </w:r>
          </w:p>
        </w:tc>
        <w:tc>
          <w:tcPr>
            <w:tcW w:w="408" w:type="pct"/>
          </w:tcPr>
          <w:p w14:paraId="525C8DE0" w14:textId="1D750C58" w:rsidR="004E304A" w:rsidRPr="000540E1" w:rsidRDefault="004E304A" w:rsidP="00141A7E">
            <w:pPr>
              <w:pStyle w:val="tbltext"/>
              <w:jc w:val="center"/>
            </w:pPr>
            <w:r>
              <w:t>52</w:t>
            </w:r>
          </w:p>
        </w:tc>
        <w:tc>
          <w:tcPr>
            <w:tcW w:w="408" w:type="pct"/>
          </w:tcPr>
          <w:p w14:paraId="43BBB5E6" w14:textId="38D036AF" w:rsidR="004E304A" w:rsidRPr="000540E1" w:rsidRDefault="004E304A" w:rsidP="00141A7E">
            <w:pPr>
              <w:pStyle w:val="tbltext"/>
              <w:jc w:val="center"/>
            </w:pPr>
            <w:r>
              <w:t>n/a</w:t>
            </w:r>
          </w:p>
        </w:tc>
        <w:tc>
          <w:tcPr>
            <w:tcW w:w="408" w:type="pct"/>
          </w:tcPr>
          <w:p w14:paraId="133E0522" w14:textId="714B6B43" w:rsidR="004E304A" w:rsidRPr="000540E1" w:rsidRDefault="004E304A" w:rsidP="00141A7E">
            <w:pPr>
              <w:pStyle w:val="tbltext"/>
              <w:jc w:val="center"/>
            </w:pPr>
            <w:r>
              <w:t>n/a</w:t>
            </w:r>
          </w:p>
        </w:tc>
      </w:tr>
      <w:tr w:rsidR="004E304A" w:rsidRPr="000540E1" w14:paraId="2D2A5E92" w14:textId="77777777" w:rsidTr="00136CC5">
        <w:trPr>
          <w:cantSplit/>
        </w:trPr>
        <w:tc>
          <w:tcPr>
            <w:tcW w:w="928" w:type="pct"/>
          </w:tcPr>
          <w:p w14:paraId="7DF56E40" w14:textId="77777777" w:rsidR="004E304A" w:rsidRDefault="004E304A" w:rsidP="00141A7E">
            <w:pPr>
              <w:pStyle w:val="tbltext"/>
            </w:pPr>
            <w:r>
              <w:t>Prior UTI</w:t>
            </w:r>
          </w:p>
        </w:tc>
        <w:tc>
          <w:tcPr>
            <w:tcW w:w="2439" w:type="pct"/>
          </w:tcPr>
          <w:p w14:paraId="4B9380A4" w14:textId="6E128AE2" w:rsidR="004E304A" w:rsidRDefault="004E304A" w:rsidP="00141A7E">
            <w:pPr>
              <w:pStyle w:val="tbltext"/>
            </w:pPr>
            <w:r>
              <w:t>{CDE TG} UTI assigned to the predecessor transaction that has given rise to the reported transaction due to a lifecycle event, in a one-to-one relation between transactions (e.g. in the case of a novation) or in a one-to-many relation between transactions (e.g. in clearing or if a transaction is split into several different transactions).</w:t>
            </w:r>
          </w:p>
          <w:p w14:paraId="74BAE2ED" w14:textId="149D9D2A" w:rsidR="004E304A" w:rsidRDefault="004E304A" w:rsidP="00141A7E">
            <w:pPr>
              <w:pStyle w:val="tbltext"/>
            </w:pPr>
            <w:r>
              <w:t>This data element is not applicable when reporting many-to-one and many-to-many relations between transactions (e.g. in the case of a compression).</w:t>
            </w:r>
          </w:p>
        </w:tc>
        <w:tc>
          <w:tcPr>
            <w:tcW w:w="408" w:type="pct"/>
          </w:tcPr>
          <w:p w14:paraId="40A085A6" w14:textId="77777777" w:rsidR="004E304A" w:rsidRDefault="004E304A" w:rsidP="00141A7E">
            <w:pPr>
              <w:pStyle w:val="tbltext"/>
              <w:jc w:val="center"/>
            </w:pPr>
            <w:r>
              <w:t>2.96</w:t>
            </w:r>
          </w:p>
        </w:tc>
        <w:tc>
          <w:tcPr>
            <w:tcW w:w="408" w:type="pct"/>
          </w:tcPr>
          <w:p w14:paraId="69340C57" w14:textId="77777777" w:rsidR="004E304A" w:rsidRDefault="004E304A" w:rsidP="00141A7E">
            <w:pPr>
              <w:pStyle w:val="tbltext"/>
              <w:jc w:val="center"/>
            </w:pPr>
            <w:r>
              <w:t>101</w:t>
            </w:r>
          </w:p>
        </w:tc>
        <w:tc>
          <w:tcPr>
            <w:tcW w:w="408" w:type="pct"/>
          </w:tcPr>
          <w:p w14:paraId="0CCA5A0C" w14:textId="77777777" w:rsidR="004E304A" w:rsidRDefault="004E304A" w:rsidP="00141A7E">
            <w:pPr>
              <w:pStyle w:val="tbltext"/>
              <w:jc w:val="center"/>
            </w:pPr>
            <w:r>
              <w:t>2.3</w:t>
            </w:r>
          </w:p>
        </w:tc>
        <w:tc>
          <w:tcPr>
            <w:tcW w:w="408" w:type="pct"/>
          </w:tcPr>
          <w:p w14:paraId="49ED3C2D" w14:textId="55123E8F" w:rsidR="004E304A" w:rsidRDefault="004E304A" w:rsidP="00141A7E">
            <w:pPr>
              <w:pStyle w:val="tbltext"/>
              <w:jc w:val="center"/>
            </w:pPr>
            <w:r>
              <w:t>n/a</w:t>
            </w:r>
          </w:p>
        </w:tc>
      </w:tr>
      <w:tr w:rsidR="004E304A" w:rsidRPr="000540E1" w14:paraId="6ED52B11" w14:textId="77777777" w:rsidTr="00136CC5">
        <w:trPr>
          <w:cantSplit/>
        </w:trPr>
        <w:tc>
          <w:tcPr>
            <w:tcW w:w="928" w:type="pct"/>
          </w:tcPr>
          <w:p w14:paraId="58679FDB" w14:textId="77777777" w:rsidR="004E304A" w:rsidRPr="000540E1" w:rsidRDefault="004E304A" w:rsidP="00141A7E">
            <w:pPr>
              <w:pStyle w:val="tbltext"/>
            </w:pPr>
            <w:r>
              <w:lastRenderedPageBreak/>
              <w:t>Event identifier</w:t>
            </w:r>
          </w:p>
        </w:tc>
        <w:tc>
          <w:tcPr>
            <w:tcW w:w="2439" w:type="pct"/>
          </w:tcPr>
          <w:p w14:paraId="1A6C7DE9" w14:textId="024D879C" w:rsidR="004E304A" w:rsidRPr="000540E1" w:rsidRDefault="004E304A" w:rsidP="00141A7E">
            <w:pPr>
              <w:pStyle w:val="tbltext"/>
            </w:pPr>
            <w:r>
              <w:t>{</w:t>
            </w:r>
            <w:r w:rsidR="00E57554">
              <w:t>CFTC</w:t>
            </w:r>
            <w:r>
              <w:t xml:space="preserve">} </w:t>
            </w:r>
            <w:r w:rsidRPr="002B70A5">
              <w:t>Unique identifier to link swap transactions resulting from an event</w:t>
            </w:r>
            <w:r>
              <w:t xml:space="preserve"> that</w:t>
            </w:r>
            <w:r w:rsidRPr="002B70A5">
              <w:t xml:space="preserve"> may be, but is not limited to, compression, and credit event. The unique identifier may be assigned by the reporting counterparty or a service provider.</w:t>
            </w:r>
          </w:p>
        </w:tc>
        <w:tc>
          <w:tcPr>
            <w:tcW w:w="408" w:type="pct"/>
          </w:tcPr>
          <w:p w14:paraId="4F2715F5" w14:textId="26902186" w:rsidR="004E304A" w:rsidRPr="000540E1" w:rsidRDefault="004E304A" w:rsidP="00141A7E">
            <w:pPr>
              <w:pStyle w:val="tbltext"/>
              <w:jc w:val="center"/>
            </w:pPr>
            <w:r>
              <w:t>n/a</w:t>
            </w:r>
          </w:p>
        </w:tc>
        <w:tc>
          <w:tcPr>
            <w:tcW w:w="408" w:type="pct"/>
          </w:tcPr>
          <w:p w14:paraId="29822854" w14:textId="77777777" w:rsidR="004E304A" w:rsidRPr="000540E1" w:rsidRDefault="004E304A" w:rsidP="00141A7E">
            <w:pPr>
              <w:pStyle w:val="tbltext"/>
              <w:jc w:val="center"/>
            </w:pPr>
            <w:r>
              <w:t>29</w:t>
            </w:r>
          </w:p>
        </w:tc>
        <w:tc>
          <w:tcPr>
            <w:tcW w:w="408" w:type="pct"/>
          </w:tcPr>
          <w:p w14:paraId="0151ED92" w14:textId="3C60A9C2" w:rsidR="004E304A" w:rsidRPr="000540E1" w:rsidRDefault="004E304A" w:rsidP="00141A7E">
            <w:pPr>
              <w:pStyle w:val="tbltext"/>
              <w:jc w:val="center"/>
            </w:pPr>
            <w:r>
              <w:t>n/a</w:t>
            </w:r>
          </w:p>
        </w:tc>
        <w:tc>
          <w:tcPr>
            <w:tcW w:w="408" w:type="pct"/>
          </w:tcPr>
          <w:p w14:paraId="3F139F5B" w14:textId="68D1FFCA" w:rsidR="004E304A" w:rsidRPr="000540E1" w:rsidRDefault="004E304A" w:rsidP="00141A7E">
            <w:pPr>
              <w:pStyle w:val="tbltext"/>
              <w:jc w:val="center"/>
            </w:pPr>
            <w:r>
              <w:t>n/a</w:t>
            </w:r>
          </w:p>
        </w:tc>
      </w:tr>
    </w:tbl>
    <w:p w14:paraId="74EA81D2" w14:textId="77777777" w:rsidR="0054551C" w:rsidRDefault="0054551C" w:rsidP="005E2C08">
      <w:pPr>
        <w:pStyle w:val="Proposalhead"/>
      </w:pPr>
      <w:r>
        <w:t>Proposal</w:t>
      </w:r>
    </w:p>
    <w:p w14:paraId="6383538B" w14:textId="2431B0F3" w:rsidR="0054551C" w:rsidRDefault="0054551C" w:rsidP="00A20F26">
      <w:pPr>
        <w:pStyle w:val="Proposaltext"/>
        <w:spacing w:before="180" w:line="250" w:lineRule="atLeast"/>
      </w:pPr>
      <w:r>
        <w:t xml:space="preserve">We propose to include in the ASIC Rules the data elements related to packages and links set out in </w:t>
      </w:r>
      <w:r w:rsidR="0054479D">
        <w:fldChar w:fldCharType="begin"/>
      </w:r>
      <w:r w:rsidR="0054479D">
        <w:instrText xml:space="preserve"> REF _Ref56000864 \h </w:instrText>
      </w:r>
      <w:r w:rsidR="0054479D">
        <w:fldChar w:fldCharType="separate"/>
      </w:r>
      <w:r w:rsidR="00314C7E">
        <w:t xml:space="preserve">Table </w:t>
      </w:r>
      <w:r w:rsidR="00314C7E">
        <w:rPr>
          <w:noProof/>
        </w:rPr>
        <w:t>24</w:t>
      </w:r>
      <w:r w:rsidR="0054479D">
        <w:fldChar w:fldCharType="end"/>
      </w:r>
      <w:r>
        <w:t>.</w:t>
      </w:r>
    </w:p>
    <w:p w14:paraId="4028D7E2" w14:textId="77777777" w:rsidR="0054551C" w:rsidRDefault="0054551C">
      <w:pPr>
        <w:pStyle w:val="Feedbackhead"/>
      </w:pPr>
      <w:r>
        <w:t>Your feedback</w:t>
      </w:r>
    </w:p>
    <w:p w14:paraId="7D156D6E" w14:textId="77777777" w:rsidR="002D7823" w:rsidRDefault="002D7823" w:rsidP="00A20F26">
      <w:pPr>
        <w:pStyle w:val="Feedbackquestion"/>
        <w:spacing w:before="80" w:line="250" w:lineRule="atLeast"/>
      </w:pPr>
      <w:r>
        <w:t>Do you agree with this proposal? In your response, please give detailed reasons for your answer.</w:t>
      </w:r>
    </w:p>
    <w:p w14:paraId="79EED184" w14:textId="06E93567" w:rsidR="0054551C" w:rsidRDefault="002D7823" w:rsidP="00A20F26">
      <w:pPr>
        <w:pStyle w:val="Feedbackquestion"/>
        <w:spacing w:before="80" w:line="250" w:lineRule="atLeast"/>
      </w:pPr>
      <w:bookmarkStart w:id="127" w:name="_Hlk54156523"/>
      <w:r w:rsidRPr="00C62732">
        <w:t xml:space="preserve">Do you consider that you will have </w:t>
      </w:r>
      <w:r w:rsidR="00790DEA">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_Ref56000864 \h </w:instrText>
      </w:r>
      <w:r w:rsidR="00CB0A2A">
        <w:fldChar w:fldCharType="separate"/>
      </w:r>
      <w:r w:rsidR="00314C7E">
        <w:t xml:space="preserve">Table </w:t>
      </w:r>
      <w:r w:rsidR="00314C7E">
        <w:rPr>
          <w:noProof/>
        </w:rPr>
        <w:t>24</w:t>
      </w:r>
      <w:r w:rsidR="00CB0A2A">
        <w:fldChar w:fldCharType="end"/>
      </w:r>
      <w:r w:rsidRPr="00C62732">
        <w:t>? In your response, please give detailed reasons for your answer.</w:t>
      </w:r>
      <w:bookmarkEnd w:id="127"/>
    </w:p>
    <w:p w14:paraId="7EB1AD5A" w14:textId="6EF16A8D" w:rsidR="00AD01FE" w:rsidRDefault="00AD01FE" w:rsidP="00AD01FE">
      <w:pPr>
        <w:pStyle w:val="Heading2"/>
        <w:rPr>
          <w:rFonts w:eastAsiaTheme="minorHAnsi"/>
        </w:rPr>
      </w:pPr>
      <w:bookmarkStart w:id="128" w:name="_Toc57146502"/>
      <w:r>
        <w:rPr>
          <w:rFonts w:eastAsiaTheme="minorHAnsi"/>
        </w:rPr>
        <w:t xml:space="preserve">Data elements related </w:t>
      </w:r>
      <w:r w:rsidR="0054479D">
        <w:rPr>
          <w:rFonts w:eastAsiaTheme="minorHAnsi"/>
        </w:rPr>
        <w:t xml:space="preserve">to </w:t>
      </w:r>
      <w:r>
        <w:rPr>
          <w:rFonts w:eastAsiaTheme="minorHAnsi"/>
        </w:rPr>
        <w:t>custom baskets</w:t>
      </w:r>
      <w:bookmarkEnd w:id="128"/>
    </w:p>
    <w:p w14:paraId="18E82A76" w14:textId="4315DC50" w:rsidR="00450F9E" w:rsidRDefault="00450F9E" w:rsidP="00A20F26">
      <w:pPr>
        <w:pStyle w:val="BodyText"/>
        <w:spacing w:before="180" w:line="290" w:lineRule="atLeast"/>
        <w:rPr>
          <w:rFonts w:eastAsiaTheme="minorHAnsi"/>
        </w:rPr>
      </w:pPr>
      <w:r w:rsidRPr="00450F9E">
        <w:rPr>
          <w:rFonts w:eastAsiaTheme="minorHAnsi"/>
        </w:rPr>
        <w:t xml:space="preserve">We propose to include </w:t>
      </w:r>
      <w:r w:rsidR="004346EF" w:rsidRPr="00450F9E">
        <w:rPr>
          <w:rFonts w:eastAsiaTheme="minorHAnsi"/>
        </w:rPr>
        <w:t xml:space="preserve">in the ASIC Rules </w:t>
      </w:r>
      <w:r w:rsidRPr="00450F9E">
        <w:rPr>
          <w:rFonts w:eastAsiaTheme="minorHAnsi"/>
        </w:rPr>
        <w:t>the data elements</w:t>
      </w:r>
      <w:r w:rsidR="004346EF">
        <w:rPr>
          <w:rFonts w:eastAsiaTheme="minorHAnsi"/>
        </w:rPr>
        <w:t xml:space="preserve"> set out in </w:t>
      </w:r>
      <w:r w:rsidR="004346EF">
        <w:rPr>
          <w:rFonts w:eastAsiaTheme="minorHAnsi"/>
        </w:rPr>
        <w:fldChar w:fldCharType="begin"/>
      </w:r>
      <w:r w:rsidR="004346EF">
        <w:rPr>
          <w:rFonts w:eastAsiaTheme="minorHAnsi"/>
        </w:rPr>
        <w:instrText xml:space="preserve"> REF _Ref56001251 \h </w:instrText>
      </w:r>
      <w:r w:rsidR="004346EF">
        <w:rPr>
          <w:rFonts w:eastAsiaTheme="minorHAnsi"/>
        </w:rPr>
      </w:r>
      <w:r w:rsidR="004346EF">
        <w:rPr>
          <w:rFonts w:eastAsiaTheme="minorHAnsi"/>
        </w:rPr>
        <w:fldChar w:fldCharType="separate"/>
      </w:r>
      <w:r w:rsidR="00314C7E">
        <w:t xml:space="preserve">Table </w:t>
      </w:r>
      <w:r w:rsidR="00314C7E">
        <w:rPr>
          <w:noProof/>
        </w:rPr>
        <w:t>25</w:t>
      </w:r>
      <w:r w:rsidR="004346EF">
        <w:rPr>
          <w:rFonts w:eastAsiaTheme="minorHAnsi"/>
        </w:rPr>
        <w:fldChar w:fldCharType="end"/>
      </w:r>
      <w:r w:rsidR="00AA2671">
        <w:rPr>
          <w:rFonts w:eastAsiaTheme="minorHAnsi"/>
        </w:rPr>
        <w:t>. These data elem</w:t>
      </w:r>
      <w:r w:rsidR="00A20F26">
        <w:rPr>
          <w:rFonts w:eastAsiaTheme="minorHAnsi"/>
        </w:rPr>
        <w:t>ents</w:t>
      </w:r>
      <w:r w:rsidR="00AA2671">
        <w:rPr>
          <w:rFonts w:eastAsiaTheme="minorHAnsi"/>
        </w:rPr>
        <w:t xml:space="preserve"> are in </w:t>
      </w:r>
      <w:r>
        <w:rPr>
          <w:rFonts w:eastAsiaTheme="minorHAnsi"/>
        </w:rPr>
        <w:t xml:space="preserve">the CDE </w:t>
      </w:r>
      <w:r w:rsidR="00E401E1">
        <w:rPr>
          <w:rFonts w:eastAsiaTheme="minorHAnsi"/>
        </w:rPr>
        <w:t>Guidance</w:t>
      </w:r>
      <w:r w:rsidR="00AA2671">
        <w:rPr>
          <w:rFonts w:eastAsiaTheme="minorHAnsi"/>
        </w:rPr>
        <w:t>.</w:t>
      </w:r>
    </w:p>
    <w:p w14:paraId="41F56785" w14:textId="25220ACC" w:rsidR="00450F9E" w:rsidRDefault="00450F9E" w:rsidP="00A20F26">
      <w:pPr>
        <w:pStyle w:val="BodyText"/>
        <w:spacing w:before="180" w:line="290" w:lineRule="atLeast"/>
        <w:rPr>
          <w:rFonts w:eastAsiaTheme="minorHAnsi"/>
        </w:rPr>
      </w:pPr>
      <w:r>
        <w:rPr>
          <w:rFonts w:eastAsiaTheme="minorHAnsi"/>
        </w:rPr>
        <w:t xml:space="preserve">To identify that an underlier is a basket, the final CFTC rules require a </w:t>
      </w:r>
      <w:r w:rsidR="004A2760">
        <w:rPr>
          <w:rFonts w:eastAsiaTheme="minorHAnsi"/>
        </w:rPr>
        <w:t>t</w:t>
      </w:r>
      <w:r>
        <w:rPr>
          <w:rFonts w:eastAsiaTheme="minorHAnsi"/>
        </w:rPr>
        <w:t>rue</w:t>
      </w:r>
      <w:r w:rsidR="004A2760">
        <w:rPr>
          <w:rFonts w:eastAsiaTheme="minorHAnsi"/>
        </w:rPr>
        <w:t xml:space="preserve"> or f</w:t>
      </w:r>
      <w:r>
        <w:rPr>
          <w:rFonts w:eastAsiaTheme="minorHAnsi"/>
        </w:rPr>
        <w:t>alse value for ‘</w:t>
      </w:r>
      <w:r w:rsidR="0054479D">
        <w:rPr>
          <w:rFonts w:eastAsiaTheme="minorHAnsi"/>
        </w:rPr>
        <w:t xml:space="preserve">custom </w:t>
      </w:r>
      <w:r>
        <w:rPr>
          <w:rFonts w:eastAsiaTheme="minorHAnsi"/>
        </w:rPr>
        <w:t>basket indicator’. The ESMA proposals specify that ‘B</w:t>
      </w:r>
      <w:r w:rsidR="0054479D">
        <w:rPr>
          <w:rFonts w:eastAsiaTheme="minorHAnsi"/>
        </w:rPr>
        <w:t>’</w:t>
      </w:r>
      <w:r>
        <w:rPr>
          <w:rFonts w:eastAsiaTheme="minorHAnsi"/>
        </w:rPr>
        <w:t xml:space="preserve"> is reported for ‘</w:t>
      </w:r>
      <w:r w:rsidR="0054479D">
        <w:rPr>
          <w:rFonts w:eastAsiaTheme="minorHAnsi"/>
        </w:rPr>
        <w:t xml:space="preserve">underlying </w:t>
      </w:r>
      <w:r>
        <w:rPr>
          <w:rFonts w:eastAsiaTheme="minorHAnsi"/>
        </w:rPr>
        <w:t>identification type’</w:t>
      </w:r>
      <w:r w:rsidR="008919D9">
        <w:rPr>
          <w:rFonts w:eastAsiaTheme="minorHAnsi"/>
        </w:rPr>
        <w:t>,</w:t>
      </w:r>
      <w:r>
        <w:rPr>
          <w:rFonts w:eastAsiaTheme="minorHAnsi"/>
        </w:rPr>
        <w:t xml:space="preserve"> as per the existing EU rules</w:t>
      </w:r>
      <w:r w:rsidR="008919D9">
        <w:rPr>
          <w:rFonts w:eastAsiaTheme="minorHAnsi"/>
        </w:rPr>
        <w:t>, and that constituents of the basket are reported as the ‘</w:t>
      </w:r>
      <w:r w:rsidR="0054479D">
        <w:rPr>
          <w:rFonts w:eastAsiaTheme="minorHAnsi"/>
        </w:rPr>
        <w:t>u</w:t>
      </w:r>
      <w:r w:rsidR="0054479D" w:rsidRPr="008919D9">
        <w:rPr>
          <w:rFonts w:eastAsiaTheme="minorHAnsi"/>
        </w:rPr>
        <w:t xml:space="preserve">nderlying </w:t>
      </w:r>
      <w:r w:rsidR="008919D9" w:rsidRPr="008919D9">
        <w:rPr>
          <w:rFonts w:eastAsiaTheme="minorHAnsi"/>
        </w:rPr>
        <w:t>custom basket identification</w:t>
      </w:r>
      <w:r w:rsidR="008919D9">
        <w:rPr>
          <w:rFonts w:eastAsiaTheme="minorHAnsi"/>
        </w:rPr>
        <w:t>’ data element</w:t>
      </w:r>
      <w:r>
        <w:rPr>
          <w:rFonts w:eastAsiaTheme="minorHAnsi"/>
        </w:rPr>
        <w:t>.</w:t>
      </w:r>
    </w:p>
    <w:p w14:paraId="061BA9AC" w14:textId="5409CD7C" w:rsidR="00450F9E" w:rsidRDefault="008919D9" w:rsidP="00A20F26">
      <w:pPr>
        <w:pStyle w:val="BodyText"/>
        <w:spacing w:before="180" w:line="290" w:lineRule="atLeast"/>
        <w:rPr>
          <w:rFonts w:eastAsiaTheme="minorHAnsi"/>
        </w:rPr>
      </w:pPr>
      <w:r>
        <w:rPr>
          <w:rFonts w:eastAsiaTheme="minorHAnsi"/>
        </w:rPr>
        <w:t>W</w:t>
      </w:r>
      <w:r w:rsidR="00450F9E">
        <w:rPr>
          <w:rFonts w:eastAsiaTheme="minorHAnsi"/>
        </w:rPr>
        <w:t xml:space="preserve">e propose to adopt the CDE </w:t>
      </w:r>
      <w:r w:rsidR="00E401E1">
        <w:rPr>
          <w:rFonts w:eastAsiaTheme="minorHAnsi"/>
        </w:rPr>
        <w:t>Guidance</w:t>
      </w:r>
      <w:r w:rsidR="00450F9E">
        <w:rPr>
          <w:rFonts w:eastAsiaTheme="minorHAnsi"/>
        </w:rPr>
        <w:t xml:space="preserve"> specification </w:t>
      </w:r>
      <w:r>
        <w:rPr>
          <w:rFonts w:eastAsiaTheme="minorHAnsi"/>
        </w:rPr>
        <w:t>of a unique code for the basket as the structurer’s LEI followed by an alphanumeric string. This code for the custom basket would be used for each transaction involving the same custom basket.</w:t>
      </w:r>
    </w:p>
    <w:p w14:paraId="1676BD80" w14:textId="2604F6DF" w:rsidR="008919D9" w:rsidRDefault="008919D9" w:rsidP="00A20F26">
      <w:pPr>
        <w:pStyle w:val="BodyText"/>
        <w:spacing w:before="180" w:line="290" w:lineRule="atLeast"/>
        <w:rPr>
          <w:rFonts w:eastAsiaTheme="minorHAnsi"/>
        </w:rPr>
      </w:pPr>
      <w:r>
        <w:rPr>
          <w:rFonts w:eastAsiaTheme="minorHAnsi"/>
        </w:rPr>
        <w:t>For ‘</w:t>
      </w:r>
      <w:r w:rsidR="0054479D">
        <w:rPr>
          <w:rFonts w:eastAsiaTheme="minorHAnsi"/>
        </w:rPr>
        <w:t>s</w:t>
      </w:r>
      <w:r w:rsidRPr="008919D9">
        <w:rPr>
          <w:rFonts w:eastAsiaTheme="minorHAnsi"/>
        </w:rPr>
        <w:t>ource of the identifier of the basket constituents</w:t>
      </w:r>
      <w:r>
        <w:rPr>
          <w:rFonts w:eastAsiaTheme="minorHAnsi"/>
        </w:rPr>
        <w:t>’, the ESMA proposals specif</w:t>
      </w:r>
      <w:r w:rsidR="004A0000">
        <w:rPr>
          <w:rFonts w:eastAsiaTheme="minorHAnsi"/>
        </w:rPr>
        <w:t xml:space="preserve">y that </w:t>
      </w:r>
      <w:r w:rsidR="0054479D">
        <w:rPr>
          <w:rFonts w:eastAsiaTheme="minorHAnsi"/>
        </w:rPr>
        <w:t xml:space="preserve">an </w:t>
      </w:r>
      <w:r w:rsidR="004A0000">
        <w:rPr>
          <w:rFonts w:eastAsiaTheme="minorHAnsi"/>
        </w:rPr>
        <w:t xml:space="preserve">ISIN be used, noting that the ESMA proposal requires that </w:t>
      </w:r>
      <w:r w:rsidR="004A0000" w:rsidRPr="004A0000">
        <w:rPr>
          <w:rFonts w:eastAsiaTheme="minorHAnsi"/>
        </w:rPr>
        <w:t xml:space="preserve">only </w:t>
      </w:r>
      <w:r w:rsidR="004A0000">
        <w:rPr>
          <w:rFonts w:eastAsiaTheme="minorHAnsi"/>
        </w:rPr>
        <w:t xml:space="preserve">basket constituents that are </w:t>
      </w:r>
      <w:r w:rsidR="004A0000" w:rsidRPr="004A0000">
        <w:rPr>
          <w:rFonts w:eastAsiaTheme="minorHAnsi"/>
        </w:rPr>
        <w:t>financial instruments traded in a trading venue shall be specified.</w:t>
      </w:r>
    </w:p>
    <w:p w14:paraId="130814FD" w14:textId="277F9CC9" w:rsidR="004A0000" w:rsidRPr="00450F9E" w:rsidRDefault="004A0000" w:rsidP="00A20F26">
      <w:pPr>
        <w:pStyle w:val="BodyText"/>
        <w:spacing w:before="180" w:line="290" w:lineRule="atLeast"/>
        <w:rPr>
          <w:rFonts w:eastAsiaTheme="minorHAnsi"/>
        </w:rPr>
      </w:pPr>
      <w:r>
        <w:rPr>
          <w:rFonts w:eastAsiaTheme="minorHAnsi"/>
        </w:rPr>
        <w:t xml:space="preserve">We propose to adopt the generalised approach of the CDE </w:t>
      </w:r>
      <w:r w:rsidR="00E401E1">
        <w:rPr>
          <w:rFonts w:eastAsiaTheme="minorHAnsi"/>
        </w:rPr>
        <w:t>Guidance</w:t>
      </w:r>
      <w:r>
        <w:rPr>
          <w:rFonts w:eastAsiaTheme="minorHAnsi"/>
        </w:rPr>
        <w:t xml:space="preserve"> that does not constrain the reporting of custom basket constituents to constituents of a particular type and consequently the ‘</w:t>
      </w:r>
      <w:r w:rsidR="0054479D">
        <w:rPr>
          <w:rFonts w:eastAsiaTheme="minorHAnsi"/>
        </w:rPr>
        <w:t>s</w:t>
      </w:r>
      <w:r w:rsidR="0054479D" w:rsidRPr="008919D9">
        <w:rPr>
          <w:rFonts w:eastAsiaTheme="minorHAnsi"/>
        </w:rPr>
        <w:t xml:space="preserve">ource </w:t>
      </w:r>
      <w:r w:rsidRPr="008919D9">
        <w:rPr>
          <w:rFonts w:eastAsiaTheme="minorHAnsi"/>
        </w:rPr>
        <w:t>of the identifier of the basket constituents</w:t>
      </w:r>
      <w:r>
        <w:rPr>
          <w:rFonts w:eastAsiaTheme="minorHAnsi"/>
        </w:rPr>
        <w:t xml:space="preserve">’ data element provides for sources in line with the UPI </w:t>
      </w:r>
      <w:r w:rsidR="0022679B">
        <w:rPr>
          <w:rFonts w:eastAsiaTheme="minorHAnsi"/>
        </w:rPr>
        <w:t>Guidance</w:t>
      </w:r>
      <w:r>
        <w:rPr>
          <w:rFonts w:eastAsiaTheme="minorHAnsi"/>
        </w:rPr>
        <w:t>.</w:t>
      </w:r>
    </w:p>
    <w:p w14:paraId="5E5722E7" w14:textId="2120598C" w:rsidR="00DF345B" w:rsidRPr="004857CC" w:rsidRDefault="00DF345B" w:rsidP="00DF345B">
      <w:pPr>
        <w:pStyle w:val="tabletitlefullwidth"/>
      </w:pPr>
      <w:bookmarkStart w:id="129" w:name="_Ref56001251"/>
      <w:r>
        <w:lastRenderedPageBreak/>
        <w:t xml:space="preserve">Table </w:t>
      </w:r>
      <w:r w:rsidR="007055A5">
        <w:fldChar w:fldCharType="begin"/>
      </w:r>
      <w:r w:rsidR="007055A5">
        <w:instrText xml:space="preserve"> SEQ Table \* ARABIC </w:instrText>
      </w:r>
      <w:r w:rsidR="007055A5">
        <w:fldChar w:fldCharType="separate"/>
      </w:r>
      <w:r w:rsidR="00314C7E">
        <w:rPr>
          <w:noProof/>
        </w:rPr>
        <w:t>25</w:t>
      </w:r>
      <w:r w:rsidR="007055A5">
        <w:rPr>
          <w:noProof/>
        </w:rPr>
        <w:fldChar w:fldCharType="end"/>
      </w:r>
      <w:bookmarkEnd w:id="129"/>
      <w:r>
        <w:t>:</w:t>
      </w:r>
      <w:r>
        <w:tab/>
      </w:r>
      <w:r w:rsidR="00450F9E">
        <w:t>Proposed d</w:t>
      </w:r>
      <w:r w:rsidR="00450F9E">
        <w:rPr>
          <w:rFonts w:eastAsiaTheme="minorHAnsi"/>
        </w:rPr>
        <w:t>ata elements related to custom baskets</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678"/>
        <w:gridCol w:w="4409"/>
        <w:gridCol w:w="737"/>
        <w:gridCol w:w="737"/>
        <w:gridCol w:w="737"/>
        <w:gridCol w:w="739"/>
      </w:tblGrid>
      <w:tr w:rsidR="00EA4CA5" w:rsidRPr="000540E1" w14:paraId="642AC00E" w14:textId="77777777" w:rsidTr="00DA436C">
        <w:trPr>
          <w:cantSplit/>
          <w:tblHeader/>
        </w:trPr>
        <w:tc>
          <w:tcPr>
            <w:tcW w:w="928" w:type="pct"/>
            <w:shd w:val="clear" w:color="auto" w:fill="C2E3FA"/>
          </w:tcPr>
          <w:p w14:paraId="4EF861E4" w14:textId="77777777" w:rsidR="00AD01FE" w:rsidRDefault="00AD01FE" w:rsidP="00DA436C">
            <w:pPr>
              <w:pStyle w:val="tablehead"/>
            </w:pPr>
          </w:p>
        </w:tc>
        <w:tc>
          <w:tcPr>
            <w:tcW w:w="2439" w:type="pct"/>
            <w:shd w:val="clear" w:color="auto" w:fill="C2E3FA"/>
          </w:tcPr>
          <w:p w14:paraId="29D03558" w14:textId="77777777" w:rsidR="00AD01FE" w:rsidRDefault="00AD01FE" w:rsidP="00DA436C">
            <w:pPr>
              <w:pStyle w:val="tablehead"/>
            </w:pPr>
          </w:p>
        </w:tc>
        <w:tc>
          <w:tcPr>
            <w:tcW w:w="1633" w:type="pct"/>
            <w:gridSpan w:val="4"/>
            <w:shd w:val="clear" w:color="auto" w:fill="C2E3FA"/>
          </w:tcPr>
          <w:p w14:paraId="339B341B" w14:textId="30C68B87" w:rsidR="00AD01FE" w:rsidRPr="000540E1" w:rsidRDefault="001156A2" w:rsidP="00DA436C">
            <w:pPr>
              <w:pStyle w:val="tablehead"/>
              <w:jc w:val="center"/>
            </w:pPr>
            <w:r>
              <w:t>Element</w:t>
            </w:r>
            <w:r w:rsidR="00AD01FE">
              <w:t xml:space="preserve"> number references</w:t>
            </w:r>
          </w:p>
        </w:tc>
      </w:tr>
      <w:tr w:rsidR="00EA4CA5" w:rsidRPr="000540E1" w14:paraId="26D67BDE" w14:textId="77777777" w:rsidTr="00136CC5">
        <w:trPr>
          <w:cantSplit/>
          <w:tblHeader/>
        </w:trPr>
        <w:tc>
          <w:tcPr>
            <w:tcW w:w="928" w:type="pct"/>
            <w:shd w:val="clear" w:color="auto" w:fill="C2E3FA"/>
          </w:tcPr>
          <w:p w14:paraId="5716C787" w14:textId="77777777" w:rsidR="00AD01FE" w:rsidRDefault="00AD01FE" w:rsidP="00DA436C">
            <w:pPr>
              <w:pStyle w:val="tablehead"/>
            </w:pPr>
            <w:r>
              <w:t>Data element</w:t>
            </w:r>
          </w:p>
        </w:tc>
        <w:tc>
          <w:tcPr>
            <w:tcW w:w="2439" w:type="pct"/>
            <w:shd w:val="clear" w:color="auto" w:fill="C2E3FA"/>
          </w:tcPr>
          <w:p w14:paraId="1FF17C35" w14:textId="72A4DAE4" w:rsidR="00AD01FE" w:rsidRDefault="00AD01FE" w:rsidP="00DA436C">
            <w:pPr>
              <w:pStyle w:val="tablehead"/>
            </w:pPr>
            <w:r>
              <w:t>Definition</w:t>
            </w:r>
            <w:r w:rsidR="00193DFB">
              <w:t>—</w:t>
            </w:r>
            <w:r w:rsidR="0054479D">
              <w:t xml:space="preserve">Summary </w:t>
            </w:r>
            <w:r w:rsidR="0075074F">
              <w:t xml:space="preserve">of </w:t>
            </w:r>
            <w:r>
              <w:t>key points</w:t>
            </w:r>
          </w:p>
        </w:tc>
        <w:tc>
          <w:tcPr>
            <w:tcW w:w="408" w:type="pct"/>
            <w:shd w:val="clear" w:color="auto" w:fill="C2E3FA"/>
          </w:tcPr>
          <w:p w14:paraId="0E36C1E4" w14:textId="06430537" w:rsidR="00AD01FE" w:rsidRPr="000540E1" w:rsidRDefault="00AD01FE" w:rsidP="00DA436C">
            <w:pPr>
              <w:pStyle w:val="tablehead"/>
              <w:jc w:val="center"/>
            </w:pPr>
            <w:r>
              <w:t>CDE</w:t>
            </w:r>
          </w:p>
        </w:tc>
        <w:tc>
          <w:tcPr>
            <w:tcW w:w="408" w:type="pct"/>
            <w:shd w:val="clear" w:color="auto" w:fill="C2E3FA"/>
          </w:tcPr>
          <w:p w14:paraId="65B909FD" w14:textId="77777777" w:rsidR="00AD01FE" w:rsidRPr="000540E1" w:rsidRDefault="00AD01FE" w:rsidP="00DA436C">
            <w:pPr>
              <w:pStyle w:val="tablehead"/>
              <w:jc w:val="center"/>
            </w:pPr>
            <w:r>
              <w:t>CFTC</w:t>
            </w:r>
          </w:p>
        </w:tc>
        <w:tc>
          <w:tcPr>
            <w:tcW w:w="408" w:type="pct"/>
            <w:shd w:val="clear" w:color="auto" w:fill="C2E3FA"/>
          </w:tcPr>
          <w:p w14:paraId="06C117AA" w14:textId="2B1AAB79" w:rsidR="00AD01FE" w:rsidRPr="000540E1" w:rsidRDefault="005C1566" w:rsidP="00DA436C">
            <w:pPr>
              <w:pStyle w:val="tablehead"/>
              <w:jc w:val="center"/>
            </w:pPr>
            <w:r>
              <w:t>ESMA</w:t>
            </w:r>
          </w:p>
        </w:tc>
        <w:tc>
          <w:tcPr>
            <w:tcW w:w="408" w:type="pct"/>
            <w:shd w:val="clear" w:color="auto" w:fill="C2E3FA"/>
          </w:tcPr>
          <w:p w14:paraId="38B585B0" w14:textId="77777777" w:rsidR="00AD01FE" w:rsidRPr="000540E1" w:rsidRDefault="00AD01FE" w:rsidP="00DA436C">
            <w:pPr>
              <w:pStyle w:val="tablehead"/>
              <w:jc w:val="center"/>
            </w:pPr>
            <w:r>
              <w:t>ASIC</w:t>
            </w:r>
          </w:p>
        </w:tc>
      </w:tr>
      <w:tr w:rsidR="004E304A" w:rsidRPr="000540E1" w14:paraId="38E3FA09" w14:textId="77777777" w:rsidTr="00136CC5">
        <w:trPr>
          <w:cantSplit/>
        </w:trPr>
        <w:tc>
          <w:tcPr>
            <w:tcW w:w="928" w:type="pct"/>
          </w:tcPr>
          <w:p w14:paraId="0D5ABFB4" w14:textId="52A5E12F" w:rsidR="004E304A" w:rsidRPr="000540E1" w:rsidRDefault="004E304A" w:rsidP="004E304A">
            <w:pPr>
              <w:pStyle w:val="tbltext"/>
            </w:pPr>
            <w:r w:rsidRPr="00EA4CA5">
              <w:t>Custom basket code</w:t>
            </w:r>
          </w:p>
        </w:tc>
        <w:tc>
          <w:tcPr>
            <w:tcW w:w="2439" w:type="pct"/>
          </w:tcPr>
          <w:p w14:paraId="64AA41CE" w14:textId="6573C488" w:rsidR="004E304A" w:rsidRPr="000540E1" w:rsidRDefault="004E304A" w:rsidP="004E304A">
            <w:pPr>
              <w:pStyle w:val="tbltext"/>
            </w:pPr>
            <w:r>
              <w:t xml:space="preserve">{CDE TG} </w:t>
            </w:r>
            <w:r w:rsidRPr="00EA4CA5">
              <w:t>If the OTC derivative transaction is based on a custom basket, unique code assigned by the structurer of the custom basket to link its constituents.</w:t>
            </w:r>
          </w:p>
        </w:tc>
        <w:tc>
          <w:tcPr>
            <w:tcW w:w="408" w:type="pct"/>
          </w:tcPr>
          <w:p w14:paraId="72AB70B9" w14:textId="2258572E" w:rsidR="004E304A" w:rsidRPr="000540E1" w:rsidRDefault="004E304A" w:rsidP="004E304A">
            <w:pPr>
              <w:pStyle w:val="tbltext"/>
              <w:jc w:val="center"/>
            </w:pPr>
            <w:r>
              <w:t>2.97</w:t>
            </w:r>
          </w:p>
        </w:tc>
        <w:tc>
          <w:tcPr>
            <w:tcW w:w="408" w:type="pct"/>
          </w:tcPr>
          <w:p w14:paraId="6D0303AA" w14:textId="77777777" w:rsidR="004E304A" w:rsidRDefault="004E304A" w:rsidP="004E304A">
            <w:pPr>
              <w:pStyle w:val="tbltext"/>
              <w:jc w:val="center"/>
            </w:pPr>
            <w:r>
              <w:t>25</w:t>
            </w:r>
          </w:p>
          <w:p w14:paraId="361050D5" w14:textId="68F6C77C" w:rsidR="004E304A" w:rsidRPr="000540E1" w:rsidRDefault="004E304A" w:rsidP="004E304A">
            <w:pPr>
              <w:pStyle w:val="tbltext"/>
              <w:jc w:val="center"/>
            </w:pPr>
            <w:r>
              <w:t>True</w:t>
            </w:r>
            <w:r>
              <w:br/>
              <w:t>False</w:t>
            </w:r>
          </w:p>
        </w:tc>
        <w:tc>
          <w:tcPr>
            <w:tcW w:w="408" w:type="pct"/>
          </w:tcPr>
          <w:p w14:paraId="3CEC3C79" w14:textId="77777777" w:rsidR="004E304A" w:rsidRDefault="004E304A" w:rsidP="004E304A">
            <w:pPr>
              <w:pStyle w:val="tbltext"/>
              <w:jc w:val="center"/>
            </w:pPr>
            <w:r>
              <w:t>2.12</w:t>
            </w:r>
          </w:p>
          <w:p w14:paraId="2AF9DD50" w14:textId="769C4DA3" w:rsidR="004E304A" w:rsidRPr="000540E1" w:rsidRDefault="004E304A" w:rsidP="004E304A">
            <w:pPr>
              <w:pStyle w:val="tbltext"/>
              <w:jc w:val="center"/>
            </w:pPr>
            <w:r>
              <w:t>‘B’</w:t>
            </w:r>
          </w:p>
        </w:tc>
        <w:tc>
          <w:tcPr>
            <w:tcW w:w="408" w:type="pct"/>
          </w:tcPr>
          <w:p w14:paraId="4EAC090C" w14:textId="12E82AD4" w:rsidR="004E304A" w:rsidRPr="000540E1" w:rsidRDefault="004E304A" w:rsidP="004E304A">
            <w:pPr>
              <w:pStyle w:val="tbltext"/>
              <w:jc w:val="center"/>
            </w:pPr>
            <w:r>
              <w:t>n/a</w:t>
            </w:r>
          </w:p>
        </w:tc>
      </w:tr>
      <w:tr w:rsidR="004E304A" w:rsidRPr="000540E1" w14:paraId="4D69739E" w14:textId="77777777" w:rsidTr="00136CC5">
        <w:trPr>
          <w:cantSplit/>
        </w:trPr>
        <w:tc>
          <w:tcPr>
            <w:tcW w:w="928" w:type="pct"/>
          </w:tcPr>
          <w:p w14:paraId="1CFBFB98" w14:textId="7BECE1A4" w:rsidR="004E304A" w:rsidRPr="000540E1" w:rsidRDefault="004E304A" w:rsidP="004E304A">
            <w:pPr>
              <w:pStyle w:val="tbltext"/>
            </w:pPr>
            <w:r>
              <w:t>Identifier of the basket’s constituents</w:t>
            </w:r>
          </w:p>
        </w:tc>
        <w:tc>
          <w:tcPr>
            <w:tcW w:w="2439" w:type="pct"/>
          </w:tcPr>
          <w:p w14:paraId="4E6FB3BE" w14:textId="0C29DDE6" w:rsidR="004E304A" w:rsidRPr="000540E1" w:rsidRDefault="004E304A" w:rsidP="004E304A">
            <w:pPr>
              <w:pStyle w:val="tbltext"/>
            </w:pPr>
            <w:r>
              <w:t>{CDE TG} Underliers that represent the constituents of a custom basket.</w:t>
            </w:r>
          </w:p>
        </w:tc>
        <w:tc>
          <w:tcPr>
            <w:tcW w:w="408" w:type="pct"/>
          </w:tcPr>
          <w:p w14:paraId="2E4F6B66" w14:textId="59BF5390" w:rsidR="004E304A" w:rsidRPr="000540E1" w:rsidRDefault="004E304A" w:rsidP="004E304A">
            <w:pPr>
              <w:pStyle w:val="tbltext"/>
              <w:jc w:val="center"/>
            </w:pPr>
            <w:r>
              <w:t>2.98</w:t>
            </w:r>
          </w:p>
        </w:tc>
        <w:tc>
          <w:tcPr>
            <w:tcW w:w="408" w:type="pct"/>
          </w:tcPr>
          <w:p w14:paraId="37D7E6B2" w14:textId="39450661" w:rsidR="004E304A" w:rsidRPr="000540E1" w:rsidRDefault="004E304A" w:rsidP="004E304A">
            <w:pPr>
              <w:pStyle w:val="tbltext"/>
              <w:jc w:val="center"/>
            </w:pPr>
            <w:r>
              <w:t>n/a</w:t>
            </w:r>
          </w:p>
        </w:tc>
        <w:tc>
          <w:tcPr>
            <w:tcW w:w="408" w:type="pct"/>
          </w:tcPr>
          <w:p w14:paraId="70BA0ECE" w14:textId="72531DA4" w:rsidR="004E304A" w:rsidRPr="000540E1" w:rsidRDefault="004E304A" w:rsidP="004E304A">
            <w:pPr>
              <w:pStyle w:val="tbltext"/>
              <w:jc w:val="center"/>
            </w:pPr>
            <w:r>
              <w:t>2.14</w:t>
            </w:r>
          </w:p>
        </w:tc>
        <w:tc>
          <w:tcPr>
            <w:tcW w:w="408" w:type="pct"/>
          </w:tcPr>
          <w:p w14:paraId="2CD6F45E" w14:textId="0D1E89FC" w:rsidR="004E304A" w:rsidRPr="000540E1" w:rsidRDefault="004E304A" w:rsidP="004E304A">
            <w:pPr>
              <w:pStyle w:val="tbltext"/>
              <w:jc w:val="center"/>
            </w:pPr>
            <w:r>
              <w:t>n/a</w:t>
            </w:r>
          </w:p>
        </w:tc>
      </w:tr>
      <w:tr w:rsidR="004E304A" w:rsidRPr="000540E1" w14:paraId="7B23F9D7" w14:textId="77777777" w:rsidTr="00136CC5">
        <w:trPr>
          <w:cantSplit/>
        </w:trPr>
        <w:tc>
          <w:tcPr>
            <w:tcW w:w="928" w:type="pct"/>
          </w:tcPr>
          <w:p w14:paraId="5CE413EE" w14:textId="0B363415" w:rsidR="004E304A" w:rsidRDefault="004E304A" w:rsidP="004E304A">
            <w:pPr>
              <w:pStyle w:val="tbltext"/>
            </w:pPr>
            <w:bookmarkStart w:id="130" w:name="_Hlk53897116"/>
            <w:r w:rsidRPr="00EA4CA5">
              <w:t>Source of the identifier of the basket constituents</w:t>
            </w:r>
          </w:p>
        </w:tc>
        <w:tc>
          <w:tcPr>
            <w:tcW w:w="2439" w:type="pct"/>
          </w:tcPr>
          <w:p w14:paraId="304179ED" w14:textId="71760040" w:rsidR="004E304A" w:rsidRDefault="004E304A" w:rsidP="004E304A">
            <w:pPr>
              <w:pStyle w:val="tbltext"/>
            </w:pPr>
            <w:r>
              <w:t xml:space="preserve">{CDE TG} </w:t>
            </w:r>
            <w:r w:rsidRPr="00EA4CA5">
              <w:t>Source of the underliers’ identifiers that represent the constituents of a custom basket</w:t>
            </w:r>
            <w:r>
              <w:t>.</w:t>
            </w:r>
          </w:p>
        </w:tc>
        <w:tc>
          <w:tcPr>
            <w:tcW w:w="408" w:type="pct"/>
          </w:tcPr>
          <w:p w14:paraId="5AEF4BAB" w14:textId="6614A425" w:rsidR="004E304A" w:rsidRDefault="004E304A" w:rsidP="004E304A">
            <w:pPr>
              <w:pStyle w:val="tbltext"/>
              <w:jc w:val="center"/>
            </w:pPr>
            <w:r>
              <w:t>2.101</w:t>
            </w:r>
          </w:p>
        </w:tc>
        <w:tc>
          <w:tcPr>
            <w:tcW w:w="408" w:type="pct"/>
          </w:tcPr>
          <w:p w14:paraId="2936BF68" w14:textId="6D5FFA68" w:rsidR="004E304A" w:rsidRDefault="004E304A" w:rsidP="004E304A">
            <w:pPr>
              <w:pStyle w:val="tbltext"/>
              <w:jc w:val="center"/>
            </w:pPr>
            <w:r>
              <w:t>n/a</w:t>
            </w:r>
          </w:p>
        </w:tc>
        <w:tc>
          <w:tcPr>
            <w:tcW w:w="408" w:type="pct"/>
          </w:tcPr>
          <w:p w14:paraId="3459BBEB" w14:textId="788971C1" w:rsidR="004E304A" w:rsidRDefault="004E304A" w:rsidP="004E304A">
            <w:pPr>
              <w:pStyle w:val="tbltext"/>
              <w:jc w:val="center"/>
            </w:pPr>
            <w:r>
              <w:t>ISIN</w:t>
            </w:r>
          </w:p>
        </w:tc>
        <w:tc>
          <w:tcPr>
            <w:tcW w:w="408" w:type="pct"/>
          </w:tcPr>
          <w:p w14:paraId="718AF69E" w14:textId="34E733F0" w:rsidR="004E304A" w:rsidRDefault="004E304A" w:rsidP="004E304A">
            <w:pPr>
              <w:pStyle w:val="tbltext"/>
              <w:jc w:val="center"/>
            </w:pPr>
            <w:r>
              <w:t>n/a</w:t>
            </w:r>
          </w:p>
        </w:tc>
      </w:tr>
    </w:tbl>
    <w:bookmarkEnd w:id="130"/>
    <w:p w14:paraId="2469D4AC" w14:textId="77777777" w:rsidR="003B5190" w:rsidRDefault="003B5190" w:rsidP="005E2C08">
      <w:pPr>
        <w:pStyle w:val="Proposalhead"/>
      </w:pPr>
      <w:r>
        <w:t>Proposal</w:t>
      </w:r>
    </w:p>
    <w:p w14:paraId="0B10A1B4" w14:textId="49E74339" w:rsidR="003B5190" w:rsidRDefault="003B5190">
      <w:pPr>
        <w:pStyle w:val="Proposaltext"/>
      </w:pPr>
      <w:r>
        <w:t xml:space="preserve">We propose to include in the ASIC Rules the data elements related to custom baskets set out in </w:t>
      </w:r>
      <w:r w:rsidR="0054479D">
        <w:fldChar w:fldCharType="begin"/>
      </w:r>
      <w:r w:rsidR="0054479D">
        <w:instrText xml:space="preserve"> REF _Ref56001251 \h </w:instrText>
      </w:r>
      <w:r w:rsidR="0054479D">
        <w:fldChar w:fldCharType="separate"/>
      </w:r>
      <w:r w:rsidR="00314C7E">
        <w:t xml:space="preserve">Table </w:t>
      </w:r>
      <w:r w:rsidR="00314C7E">
        <w:rPr>
          <w:noProof/>
        </w:rPr>
        <w:t>25</w:t>
      </w:r>
      <w:r w:rsidR="0054479D">
        <w:fldChar w:fldCharType="end"/>
      </w:r>
      <w:r>
        <w:t>.</w:t>
      </w:r>
    </w:p>
    <w:p w14:paraId="18183A5A" w14:textId="77777777" w:rsidR="003B5190" w:rsidRDefault="003B5190">
      <w:pPr>
        <w:pStyle w:val="Feedbackhead"/>
      </w:pPr>
      <w:r>
        <w:t>Your feedback</w:t>
      </w:r>
    </w:p>
    <w:p w14:paraId="49CCEE0D" w14:textId="77777777" w:rsidR="003B5190" w:rsidRDefault="003B5190" w:rsidP="003B5190">
      <w:pPr>
        <w:pStyle w:val="Feedbackquestion"/>
      </w:pPr>
      <w:r>
        <w:t>Do you agree with this proposal? In your response, please give detailed reasons for your answer.</w:t>
      </w:r>
    </w:p>
    <w:p w14:paraId="74835EDE" w14:textId="2A381A2A" w:rsidR="003B5190" w:rsidRDefault="003B5190" w:rsidP="003B5190">
      <w:pPr>
        <w:pStyle w:val="Feedbackquestion"/>
      </w:pPr>
      <w:r w:rsidRPr="00C62732">
        <w:t xml:space="preserve">Do you consider that you will have </w:t>
      </w:r>
      <w:r w:rsidR="00790DEA">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_Ref56001251 \h </w:instrText>
      </w:r>
      <w:r w:rsidR="00CB0A2A">
        <w:fldChar w:fldCharType="separate"/>
      </w:r>
      <w:r w:rsidR="00314C7E">
        <w:t xml:space="preserve">Table </w:t>
      </w:r>
      <w:r w:rsidR="00314C7E">
        <w:rPr>
          <w:noProof/>
        </w:rPr>
        <w:t>25</w:t>
      </w:r>
      <w:r w:rsidR="00CB0A2A">
        <w:fldChar w:fldCharType="end"/>
      </w:r>
      <w:r w:rsidRPr="00C62732">
        <w:t>? In your response, please give detailed reasons for your answer.</w:t>
      </w:r>
    </w:p>
    <w:p w14:paraId="62F062A5" w14:textId="0158C997" w:rsidR="00450F9E" w:rsidRDefault="00450F9E" w:rsidP="00450F9E">
      <w:pPr>
        <w:pStyle w:val="Heading3"/>
        <w:rPr>
          <w:rFonts w:eastAsiaTheme="minorHAnsi"/>
        </w:rPr>
      </w:pPr>
      <w:r>
        <w:rPr>
          <w:rFonts w:eastAsiaTheme="minorHAnsi"/>
        </w:rPr>
        <w:t>Other data elements related to custom baskets</w:t>
      </w:r>
    </w:p>
    <w:p w14:paraId="3B053EDD" w14:textId="72FA1AD5" w:rsidR="00450F9E" w:rsidRPr="00C841AB" w:rsidRDefault="00450F9E" w:rsidP="00136CC5">
      <w:pPr>
        <w:pStyle w:val="BodyText"/>
        <w:spacing w:before="220" w:line="310" w:lineRule="atLeast"/>
        <w:rPr>
          <w:rFonts w:eastAsiaTheme="minorHAnsi"/>
        </w:rPr>
      </w:pPr>
      <w:r w:rsidRPr="00C841AB">
        <w:rPr>
          <w:rFonts w:eastAsiaTheme="minorHAnsi"/>
        </w:rPr>
        <w:t>We are also considering proposing, in the second round of consultation, the data elements</w:t>
      </w:r>
      <w:r w:rsidR="00CB0A2A">
        <w:rPr>
          <w:rFonts w:eastAsiaTheme="minorHAnsi"/>
        </w:rPr>
        <w:t xml:space="preserve"> set out in </w:t>
      </w:r>
      <w:r w:rsidR="00CB0A2A">
        <w:rPr>
          <w:rFonts w:eastAsiaTheme="minorHAnsi"/>
        </w:rPr>
        <w:fldChar w:fldCharType="begin"/>
      </w:r>
      <w:r w:rsidR="00CB0A2A">
        <w:rPr>
          <w:rFonts w:eastAsiaTheme="minorHAnsi"/>
        </w:rPr>
        <w:instrText xml:space="preserve"> REF _Ref56001461 \h </w:instrText>
      </w:r>
      <w:r w:rsidR="00CB0A2A">
        <w:rPr>
          <w:rFonts w:eastAsiaTheme="minorHAnsi"/>
        </w:rPr>
      </w:r>
      <w:r w:rsidR="00CB0A2A">
        <w:rPr>
          <w:rFonts w:eastAsiaTheme="minorHAnsi"/>
        </w:rPr>
        <w:fldChar w:fldCharType="separate"/>
      </w:r>
      <w:r w:rsidR="00314C7E">
        <w:t xml:space="preserve">Table </w:t>
      </w:r>
      <w:r w:rsidR="00314C7E">
        <w:rPr>
          <w:noProof/>
        </w:rPr>
        <w:t>26</w:t>
      </w:r>
      <w:r w:rsidR="00CB0A2A">
        <w:rPr>
          <w:rFonts w:eastAsiaTheme="minorHAnsi"/>
        </w:rPr>
        <w:fldChar w:fldCharType="end"/>
      </w:r>
      <w:r w:rsidRPr="00C841AB">
        <w:rPr>
          <w:rFonts w:eastAsiaTheme="minorHAnsi"/>
        </w:rPr>
        <w:t>.</w:t>
      </w:r>
    </w:p>
    <w:p w14:paraId="534985D7" w14:textId="3485ABDE" w:rsidR="00450F9E" w:rsidRDefault="00AC7330" w:rsidP="00136CC5">
      <w:pPr>
        <w:pStyle w:val="BodyText"/>
        <w:spacing w:before="220" w:line="310" w:lineRule="atLeast"/>
        <w:rPr>
          <w:rFonts w:eastAsiaTheme="minorHAnsi"/>
        </w:rPr>
      </w:pPr>
      <w:r>
        <w:rPr>
          <w:rFonts w:eastAsiaTheme="minorHAnsi"/>
        </w:rPr>
        <w:t xml:space="preserve">These are </w:t>
      </w:r>
      <w:r w:rsidR="00450F9E">
        <w:rPr>
          <w:rFonts w:eastAsiaTheme="minorHAnsi"/>
        </w:rPr>
        <w:t xml:space="preserve">CDE </w:t>
      </w:r>
      <w:r w:rsidR="00E401E1">
        <w:rPr>
          <w:rFonts w:eastAsiaTheme="minorHAnsi"/>
        </w:rPr>
        <w:t>Guidance</w:t>
      </w:r>
      <w:r w:rsidR="00450F9E">
        <w:rPr>
          <w:rFonts w:eastAsiaTheme="minorHAnsi"/>
        </w:rPr>
        <w:t xml:space="preserve"> </w:t>
      </w:r>
      <w:r>
        <w:rPr>
          <w:rFonts w:eastAsiaTheme="minorHAnsi"/>
        </w:rPr>
        <w:t>data elements that the text of ESMA proposals included as among th</w:t>
      </w:r>
      <w:r w:rsidRPr="00AC7330">
        <w:rPr>
          <w:rFonts w:eastAsiaTheme="minorHAnsi"/>
        </w:rPr>
        <w:t xml:space="preserve">e five </w:t>
      </w:r>
      <w:r>
        <w:rPr>
          <w:rFonts w:eastAsiaTheme="minorHAnsi"/>
        </w:rPr>
        <w:t xml:space="preserve">CDE </w:t>
      </w:r>
      <w:r w:rsidR="00E401E1">
        <w:rPr>
          <w:rFonts w:eastAsiaTheme="minorHAnsi"/>
        </w:rPr>
        <w:t>Guidance</w:t>
      </w:r>
      <w:r>
        <w:rPr>
          <w:rFonts w:eastAsiaTheme="minorHAnsi"/>
        </w:rPr>
        <w:t xml:space="preserve"> custom basket </w:t>
      </w:r>
      <w:r w:rsidRPr="00AC7330">
        <w:rPr>
          <w:rFonts w:eastAsiaTheme="minorHAnsi"/>
        </w:rPr>
        <w:t>fields</w:t>
      </w:r>
      <w:r>
        <w:rPr>
          <w:rFonts w:eastAsiaTheme="minorHAnsi"/>
        </w:rPr>
        <w:t xml:space="preserve"> that ESMA proposed to include in the EU rules. However, we do not find these data elements in the ‘Draft RTS’ set out in Annex IV of the ESMA proposals.</w:t>
      </w:r>
    </w:p>
    <w:p w14:paraId="73126093" w14:textId="77777777" w:rsidR="00AC7330" w:rsidRDefault="00AC7330" w:rsidP="00136CC5">
      <w:pPr>
        <w:pStyle w:val="BodyText"/>
        <w:spacing w:before="220" w:line="310" w:lineRule="atLeast"/>
        <w:rPr>
          <w:rFonts w:eastAsiaTheme="minorHAnsi"/>
        </w:rPr>
      </w:pPr>
      <w:r w:rsidRPr="00AC7330">
        <w:rPr>
          <w:rFonts w:eastAsiaTheme="minorHAnsi"/>
        </w:rPr>
        <w:t>Accordingly, given our intention to minimise the specification of data elements in the ASIC Rules that are not present in the rules of other jurisdictions, we will consider proposing the additional fields below in light of the final EU rules.</w:t>
      </w:r>
    </w:p>
    <w:p w14:paraId="4031F91C" w14:textId="50A11EC1" w:rsidR="00450F9E" w:rsidRPr="004857CC" w:rsidRDefault="00450F9E" w:rsidP="00450F9E">
      <w:pPr>
        <w:pStyle w:val="tabletitlefullwidth"/>
      </w:pPr>
      <w:bookmarkStart w:id="131" w:name="_Ref56001461"/>
      <w:r>
        <w:lastRenderedPageBreak/>
        <w:t xml:space="preserve">Table </w:t>
      </w:r>
      <w:r w:rsidR="007055A5">
        <w:fldChar w:fldCharType="begin"/>
      </w:r>
      <w:r w:rsidR="007055A5">
        <w:instrText xml:space="preserve"> SEQ Table \* ARABIC </w:instrText>
      </w:r>
      <w:r w:rsidR="007055A5">
        <w:fldChar w:fldCharType="separate"/>
      </w:r>
      <w:r w:rsidR="00314C7E">
        <w:rPr>
          <w:noProof/>
        </w:rPr>
        <w:t>26</w:t>
      </w:r>
      <w:r w:rsidR="007055A5">
        <w:rPr>
          <w:noProof/>
        </w:rPr>
        <w:fldChar w:fldCharType="end"/>
      </w:r>
      <w:bookmarkEnd w:id="131"/>
      <w:r>
        <w:t>:</w:t>
      </w:r>
      <w:r>
        <w:tab/>
        <w:t xml:space="preserve">Data elements to be considered for proposal in </w:t>
      </w:r>
      <w:r w:rsidR="00E30A53">
        <w:t xml:space="preserve">second </w:t>
      </w:r>
      <w:r>
        <w:t xml:space="preserve">round </w:t>
      </w:r>
      <w:r w:rsidR="00E30A53">
        <w:t>of</w:t>
      </w:r>
      <w:r>
        <w:t xml:space="preserve"> consultation</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701"/>
        <w:gridCol w:w="4434"/>
        <w:gridCol w:w="728"/>
        <w:gridCol w:w="727"/>
        <w:gridCol w:w="737"/>
        <w:gridCol w:w="710"/>
      </w:tblGrid>
      <w:tr w:rsidR="00450F9E" w:rsidRPr="000540E1" w14:paraId="34F9E5A8" w14:textId="77777777" w:rsidTr="00797887">
        <w:trPr>
          <w:cantSplit/>
          <w:tblHeader/>
        </w:trPr>
        <w:tc>
          <w:tcPr>
            <w:tcW w:w="941" w:type="pct"/>
            <w:shd w:val="clear" w:color="auto" w:fill="C2E3FA"/>
          </w:tcPr>
          <w:p w14:paraId="582E8BB9" w14:textId="77777777" w:rsidR="00450F9E" w:rsidRDefault="00450F9E" w:rsidP="00136CC5">
            <w:pPr>
              <w:pStyle w:val="tablehead"/>
              <w:spacing w:line="250" w:lineRule="atLeast"/>
            </w:pPr>
          </w:p>
        </w:tc>
        <w:tc>
          <w:tcPr>
            <w:tcW w:w="2453" w:type="pct"/>
            <w:shd w:val="clear" w:color="auto" w:fill="C2E3FA"/>
          </w:tcPr>
          <w:p w14:paraId="0CB32F46" w14:textId="77777777" w:rsidR="00450F9E" w:rsidRDefault="00450F9E" w:rsidP="00136CC5">
            <w:pPr>
              <w:pStyle w:val="tablehead"/>
              <w:spacing w:line="250" w:lineRule="atLeast"/>
            </w:pPr>
          </w:p>
        </w:tc>
        <w:tc>
          <w:tcPr>
            <w:tcW w:w="1606" w:type="pct"/>
            <w:gridSpan w:val="4"/>
            <w:shd w:val="clear" w:color="auto" w:fill="C2E3FA"/>
          </w:tcPr>
          <w:p w14:paraId="51293598" w14:textId="77777777" w:rsidR="00450F9E" w:rsidRPr="000540E1" w:rsidRDefault="00450F9E" w:rsidP="00136CC5">
            <w:pPr>
              <w:pStyle w:val="tablehead"/>
              <w:spacing w:line="250" w:lineRule="atLeast"/>
              <w:jc w:val="center"/>
            </w:pPr>
            <w:r>
              <w:t>Element number references</w:t>
            </w:r>
          </w:p>
        </w:tc>
      </w:tr>
      <w:tr w:rsidR="00450F9E" w:rsidRPr="000540E1" w14:paraId="57439D50" w14:textId="77777777" w:rsidTr="00797887">
        <w:trPr>
          <w:cantSplit/>
          <w:tblHeader/>
        </w:trPr>
        <w:tc>
          <w:tcPr>
            <w:tcW w:w="941" w:type="pct"/>
            <w:shd w:val="clear" w:color="auto" w:fill="C2E3FA"/>
          </w:tcPr>
          <w:p w14:paraId="71EC24E9" w14:textId="77777777" w:rsidR="00450F9E" w:rsidRDefault="00450F9E" w:rsidP="00136CC5">
            <w:pPr>
              <w:pStyle w:val="tablehead"/>
              <w:spacing w:line="250" w:lineRule="atLeast"/>
            </w:pPr>
            <w:r>
              <w:t>Data element</w:t>
            </w:r>
          </w:p>
        </w:tc>
        <w:tc>
          <w:tcPr>
            <w:tcW w:w="2453" w:type="pct"/>
            <w:shd w:val="clear" w:color="auto" w:fill="C2E3FA"/>
          </w:tcPr>
          <w:p w14:paraId="0B50F868" w14:textId="0B92ACEB" w:rsidR="00450F9E" w:rsidRDefault="00450F9E" w:rsidP="00136CC5">
            <w:pPr>
              <w:pStyle w:val="tablehead"/>
              <w:spacing w:line="250" w:lineRule="atLeast"/>
            </w:pPr>
            <w:r>
              <w:t>Definition</w:t>
            </w:r>
            <w:r w:rsidR="00193DFB">
              <w:t>—</w:t>
            </w:r>
            <w:r w:rsidR="00E84322">
              <w:t>S</w:t>
            </w:r>
            <w:r>
              <w:t>ummary of key points</w:t>
            </w:r>
          </w:p>
        </w:tc>
        <w:tc>
          <w:tcPr>
            <w:tcW w:w="403" w:type="pct"/>
            <w:shd w:val="clear" w:color="auto" w:fill="C2E3FA"/>
          </w:tcPr>
          <w:p w14:paraId="3C5667B4" w14:textId="77777777" w:rsidR="00450F9E" w:rsidRPr="000540E1" w:rsidRDefault="00450F9E" w:rsidP="00136CC5">
            <w:pPr>
              <w:pStyle w:val="tablehead"/>
              <w:spacing w:line="250" w:lineRule="atLeast"/>
              <w:jc w:val="center"/>
            </w:pPr>
            <w:r>
              <w:t>CDE</w:t>
            </w:r>
          </w:p>
        </w:tc>
        <w:tc>
          <w:tcPr>
            <w:tcW w:w="402" w:type="pct"/>
            <w:shd w:val="clear" w:color="auto" w:fill="C2E3FA"/>
          </w:tcPr>
          <w:p w14:paraId="59D52786" w14:textId="77777777" w:rsidR="00450F9E" w:rsidRPr="000540E1" w:rsidRDefault="00450F9E" w:rsidP="00136CC5">
            <w:pPr>
              <w:pStyle w:val="tablehead"/>
              <w:spacing w:line="250" w:lineRule="atLeast"/>
              <w:jc w:val="center"/>
            </w:pPr>
            <w:r>
              <w:t>CFTC</w:t>
            </w:r>
          </w:p>
        </w:tc>
        <w:tc>
          <w:tcPr>
            <w:tcW w:w="408" w:type="pct"/>
            <w:shd w:val="clear" w:color="auto" w:fill="C2E3FA"/>
          </w:tcPr>
          <w:p w14:paraId="615A364A" w14:textId="77777777" w:rsidR="00450F9E" w:rsidRPr="000540E1" w:rsidRDefault="00450F9E" w:rsidP="00136CC5">
            <w:pPr>
              <w:pStyle w:val="tablehead"/>
              <w:spacing w:line="250" w:lineRule="atLeast"/>
              <w:jc w:val="center"/>
            </w:pPr>
            <w:r>
              <w:t>ESMA</w:t>
            </w:r>
          </w:p>
        </w:tc>
        <w:tc>
          <w:tcPr>
            <w:tcW w:w="393" w:type="pct"/>
            <w:shd w:val="clear" w:color="auto" w:fill="C2E3FA"/>
          </w:tcPr>
          <w:p w14:paraId="5CE1A353" w14:textId="77777777" w:rsidR="00450F9E" w:rsidRPr="000540E1" w:rsidRDefault="00450F9E" w:rsidP="00136CC5">
            <w:pPr>
              <w:pStyle w:val="tablehead"/>
              <w:spacing w:line="250" w:lineRule="atLeast"/>
              <w:jc w:val="center"/>
            </w:pPr>
            <w:r>
              <w:t>ASIC</w:t>
            </w:r>
          </w:p>
        </w:tc>
      </w:tr>
      <w:tr w:rsidR="004E304A" w:rsidRPr="000540E1" w14:paraId="6599E264" w14:textId="77777777" w:rsidTr="00797887">
        <w:trPr>
          <w:cantSplit/>
        </w:trPr>
        <w:tc>
          <w:tcPr>
            <w:tcW w:w="941" w:type="pct"/>
          </w:tcPr>
          <w:p w14:paraId="57F6F10F" w14:textId="57BFDF91" w:rsidR="004E304A" w:rsidRPr="000540E1" w:rsidRDefault="004E304A" w:rsidP="00136CC5">
            <w:pPr>
              <w:pStyle w:val="tbltext"/>
              <w:spacing w:line="250" w:lineRule="atLeast"/>
            </w:pPr>
            <w:r>
              <w:t>Basket constituent unit of measure</w:t>
            </w:r>
          </w:p>
        </w:tc>
        <w:tc>
          <w:tcPr>
            <w:tcW w:w="2453" w:type="pct"/>
          </w:tcPr>
          <w:p w14:paraId="5F4D9D35" w14:textId="0AA2ABC5" w:rsidR="004E304A" w:rsidRPr="000540E1" w:rsidRDefault="004E304A" w:rsidP="00136CC5">
            <w:pPr>
              <w:pStyle w:val="tbltext"/>
              <w:spacing w:line="250" w:lineRule="atLeast"/>
            </w:pPr>
            <w:r>
              <w:t>{CDE TG} Unit of measure in which the number of units of a particular custom basket constituent is expressed.</w:t>
            </w:r>
          </w:p>
        </w:tc>
        <w:tc>
          <w:tcPr>
            <w:tcW w:w="403" w:type="pct"/>
          </w:tcPr>
          <w:p w14:paraId="32D2BB70" w14:textId="6E1F3399" w:rsidR="004E304A" w:rsidRPr="000540E1" w:rsidRDefault="004E304A" w:rsidP="00136CC5">
            <w:pPr>
              <w:pStyle w:val="tbltext"/>
              <w:spacing w:line="250" w:lineRule="atLeast"/>
              <w:jc w:val="center"/>
            </w:pPr>
            <w:r>
              <w:t>2.99</w:t>
            </w:r>
          </w:p>
        </w:tc>
        <w:tc>
          <w:tcPr>
            <w:tcW w:w="402" w:type="pct"/>
          </w:tcPr>
          <w:p w14:paraId="596D792C" w14:textId="2982E57A" w:rsidR="004E304A" w:rsidRPr="000540E1" w:rsidRDefault="004E304A" w:rsidP="00136CC5">
            <w:pPr>
              <w:pStyle w:val="tbltext"/>
              <w:spacing w:line="250" w:lineRule="atLeast"/>
              <w:jc w:val="center"/>
            </w:pPr>
            <w:r>
              <w:t>n/a</w:t>
            </w:r>
          </w:p>
        </w:tc>
        <w:tc>
          <w:tcPr>
            <w:tcW w:w="408" w:type="pct"/>
          </w:tcPr>
          <w:p w14:paraId="4565B956" w14:textId="4664B071" w:rsidR="004E304A" w:rsidRPr="000540E1" w:rsidRDefault="004E304A" w:rsidP="00136CC5">
            <w:pPr>
              <w:pStyle w:val="tbltext"/>
              <w:spacing w:line="250" w:lineRule="atLeast"/>
              <w:jc w:val="center"/>
            </w:pPr>
            <w:r>
              <w:t>n/a</w:t>
            </w:r>
          </w:p>
        </w:tc>
        <w:tc>
          <w:tcPr>
            <w:tcW w:w="393" w:type="pct"/>
          </w:tcPr>
          <w:p w14:paraId="6A8403FD" w14:textId="18890A0B" w:rsidR="004E304A" w:rsidRPr="000540E1" w:rsidRDefault="004E304A" w:rsidP="00136CC5">
            <w:pPr>
              <w:pStyle w:val="tbltext"/>
              <w:spacing w:line="250" w:lineRule="atLeast"/>
              <w:jc w:val="center"/>
            </w:pPr>
            <w:r>
              <w:t>n/a</w:t>
            </w:r>
          </w:p>
        </w:tc>
      </w:tr>
      <w:tr w:rsidR="004E304A" w:rsidRPr="000540E1" w14:paraId="6F326EA5" w14:textId="77777777" w:rsidTr="00797887">
        <w:trPr>
          <w:cantSplit/>
        </w:trPr>
        <w:tc>
          <w:tcPr>
            <w:tcW w:w="941" w:type="pct"/>
          </w:tcPr>
          <w:p w14:paraId="5B8EFC3B" w14:textId="19CEFFD8" w:rsidR="004E304A" w:rsidRPr="000540E1" w:rsidRDefault="004E304A" w:rsidP="00136CC5">
            <w:pPr>
              <w:pStyle w:val="tbltext"/>
              <w:spacing w:line="250" w:lineRule="atLeast"/>
            </w:pPr>
            <w:r w:rsidRPr="00EA4CA5">
              <w:t>Basket constituent number of units</w:t>
            </w:r>
          </w:p>
        </w:tc>
        <w:tc>
          <w:tcPr>
            <w:tcW w:w="2453" w:type="pct"/>
          </w:tcPr>
          <w:p w14:paraId="21BC7609" w14:textId="741C5A2D" w:rsidR="004E304A" w:rsidRPr="000540E1" w:rsidRDefault="004E304A" w:rsidP="00136CC5">
            <w:pPr>
              <w:pStyle w:val="tbltext"/>
              <w:spacing w:line="250" w:lineRule="atLeast"/>
            </w:pPr>
            <w:r>
              <w:t xml:space="preserve">{CDE TG} </w:t>
            </w:r>
            <w:r w:rsidRPr="00EA4CA5">
              <w:t>The number of units of a particular constituent in a custom basket.</w:t>
            </w:r>
          </w:p>
        </w:tc>
        <w:tc>
          <w:tcPr>
            <w:tcW w:w="403" w:type="pct"/>
          </w:tcPr>
          <w:p w14:paraId="4999F4C0" w14:textId="69DE1695" w:rsidR="004E304A" w:rsidRPr="000540E1" w:rsidRDefault="004E304A" w:rsidP="00136CC5">
            <w:pPr>
              <w:pStyle w:val="tbltext"/>
              <w:spacing w:line="250" w:lineRule="atLeast"/>
              <w:jc w:val="center"/>
            </w:pPr>
            <w:r>
              <w:t>2.100</w:t>
            </w:r>
          </w:p>
        </w:tc>
        <w:tc>
          <w:tcPr>
            <w:tcW w:w="402" w:type="pct"/>
          </w:tcPr>
          <w:p w14:paraId="324F4550" w14:textId="41A2CE67" w:rsidR="004E304A" w:rsidRPr="000540E1" w:rsidRDefault="004E304A" w:rsidP="00136CC5">
            <w:pPr>
              <w:pStyle w:val="tbltext"/>
              <w:spacing w:line="250" w:lineRule="atLeast"/>
              <w:jc w:val="center"/>
            </w:pPr>
            <w:r>
              <w:t>n/a</w:t>
            </w:r>
          </w:p>
        </w:tc>
        <w:tc>
          <w:tcPr>
            <w:tcW w:w="408" w:type="pct"/>
          </w:tcPr>
          <w:p w14:paraId="53D7BA36" w14:textId="7764D2C1" w:rsidR="004E304A" w:rsidRPr="000540E1" w:rsidRDefault="004E304A" w:rsidP="00136CC5">
            <w:pPr>
              <w:pStyle w:val="tbltext"/>
              <w:spacing w:line="250" w:lineRule="atLeast"/>
              <w:jc w:val="center"/>
            </w:pPr>
            <w:r>
              <w:t>n/a</w:t>
            </w:r>
          </w:p>
        </w:tc>
        <w:tc>
          <w:tcPr>
            <w:tcW w:w="393" w:type="pct"/>
          </w:tcPr>
          <w:p w14:paraId="160F9777" w14:textId="21213095" w:rsidR="004E304A" w:rsidRPr="000540E1" w:rsidRDefault="004E304A" w:rsidP="00136CC5">
            <w:pPr>
              <w:pStyle w:val="tbltext"/>
              <w:spacing w:line="250" w:lineRule="atLeast"/>
              <w:jc w:val="center"/>
            </w:pPr>
            <w:r>
              <w:t>n/a</w:t>
            </w:r>
          </w:p>
        </w:tc>
      </w:tr>
    </w:tbl>
    <w:p w14:paraId="1F62A6E3" w14:textId="77777777" w:rsidR="00A765B2" w:rsidRDefault="00A765B2" w:rsidP="00A765B2">
      <w:pPr>
        <w:pStyle w:val="Proposalhead"/>
      </w:pPr>
      <w:r>
        <w:t>Proposal</w:t>
      </w:r>
    </w:p>
    <w:p w14:paraId="26A918E6" w14:textId="3524906A" w:rsidR="00A765B2" w:rsidRDefault="00A765B2" w:rsidP="00136CC5">
      <w:pPr>
        <w:pStyle w:val="Proposaltext"/>
        <w:spacing w:before="220" w:line="270" w:lineRule="atLeast"/>
      </w:pPr>
      <w:r>
        <w:t xml:space="preserve">We are considering </w:t>
      </w:r>
      <w:r w:rsidRPr="00973135">
        <w:rPr>
          <w:rFonts w:eastAsiaTheme="minorHAnsi"/>
        </w:rPr>
        <w:t xml:space="preserve">proposing, in the second round of consultation, </w:t>
      </w:r>
      <w:r>
        <w:rPr>
          <w:rFonts w:eastAsiaTheme="minorHAnsi"/>
        </w:rPr>
        <w:t xml:space="preserve">to include in the ASIC Rules the </w:t>
      </w:r>
      <w:r w:rsidRPr="00973135">
        <w:rPr>
          <w:rFonts w:eastAsiaTheme="minorHAnsi"/>
        </w:rPr>
        <w:t>data element</w:t>
      </w:r>
      <w:r>
        <w:rPr>
          <w:rFonts w:eastAsiaTheme="minorHAnsi"/>
        </w:rPr>
        <w:t xml:space="preserve">s </w:t>
      </w:r>
      <w:r>
        <w:t xml:space="preserve">related to custom baskets set out in </w:t>
      </w:r>
      <w:r w:rsidR="00E84322">
        <w:fldChar w:fldCharType="begin"/>
      </w:r>
      <w:r w:rsidR="00E84322">
        <w:instrText xml:space="preserve"> REF _Ref56001461 \h </w:instrText>
      </w:r>
      <w:r w:rsidR="00E84322">
        <w:fldChar w:fldCharType="separate"/>
      </w:r>
      <w:r w:rsidR="00314C7E">
        <w:t xml:space="preserve">Table </w:t>
      </w:r>
      <w:r w:rsidR="00314C7E">
        <w:rPr>
          <w:noProof/>
        </w:rPr>
        <w:t>26</w:t>
      </w:r>
      <w:r w:rsidR="00E84322">
        <w:fldChar w:fldCharType="end"/>
      </w:r>
      <w:r>
        <w:t>.</w:t>
      </w:r>
    </w:p>
    <w:p w14:paraId="402CFF81" w14:textId="77777777" w:rsidR="00A765B2" w:rsidRDefault="00A765B2" w:rsidP="00A765B2">
      <w:pPr>
        <w:pStyle w:val="Feedbackhead"/>
      </w:pPr>
      <w:r>
        <w:t>Your feedback</w:t>
      </w:r>
    </w:p>
    <w:p w14:paraId="1952CA70" w14:textId="345E9D15" w:rsidR="00A765B2" w:rsidRDefault="00A765B2" w:rsidP="00136CC5">
      <w:pPr>
        <w:pStyle w:val="Feedbackquestion"/>
        <w:spacing w:before="120" w:line="270" w:lineRule="atLeast"/>
      </w:pPr>
      <w:r>
        <w:t xml:space="preserve">Do you agree that we should consider </w:t>
      </w:r>
      <w:r w:rsidR="005D44B3">
        <w:t xml:space="preserve">a </w:t>
      </w:r>
      <w:r>
        <w:t>propos</w:t>
      </w:r>
      <w:r w:rsidR="005D44B3">
        <w:t>al</w:t>
      </w:r>
      <w:r>
        <w:t>, in the second round of consultation, to include these data elements in the ASIC Rules? In your response, please give detailed reasons for your answer.</w:t>
      </w:r>
    </w:p>
    <w:p w14:paraId="39196C75" w14:textId="074D2BD1" w:rsidR="00A765B2" w:rsidRPr="00AF128C" w:rsidRDefault="00A765B2" w:rsidP="00136CC5">
      <w:pPr>
        <w:pStyle w:val="Feedbackquestion"/>
        <w:spacing w:before="120" w:line="270" w:lineRule="atLeast"/>
      </w:pPr>
      <w:r w:rsidRPr="00C62732">
        <w:t xml:space="preserve">Do you consider that you will have </w:t>
      </w:r>
      <w:r w:rsidR="00790DEA">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_Ref56001461 \h </w:instrText>
      </w:r>
      <w:r w:rsidR="00CB0A2A">
        <w:fldChar w:fldCharType="separate"/>
      </w:r>
      <w:r w:rsidR="00314C7E">
        <w:t xml:space="preserve">Table </w:t>
      </w:r>
      <w:r w:rsidR="00314C7E">
        <w:rPr>
          <w:noProof/>
        </w:rPr>
        <w:t>26</w:t>
      </w:r>
      <w:r w:rsidR="00CB0A2A">
        <w:fldChar w:fldCharType="end"/>
      </w:r>
      <w:r w:rsidRPr="00C62732">
        <w:t>? In your response, please give detailed reasons for your answer.</w:t>
      </w:r>
    </w:p>
    <w:p w14:paraId="4213279F" w14:textId="170DDA95" w:rsidR="00EA4CA5" w:rsidRDefault="0058543E" w:rsidP="00D32DB0">
      <w:pPr>
        <w:pStyle w:val="Heading2"/>
        <w:rPr>
          <w:rFonts w:eastAsiaTheme="minorHAnsi"/>
        </w:rPr>
      </w:pPr>
      <w:bookmarkStart w:id="132" w:name="_Toc57146503"/>
      <w:r>
        <w:rPr>
          <w:rFonts w:eastAsiaTheme="minorHAnsi"/>
        </w:rPr>
        <w:t xml:space="preserve">Data elements that are </w:t>
      </w:r>
      <w:r w:rsidR="00812ADA">
        <w:rPr>
          <w:rFonts w:eastAsiaTheme="minorHAnsi"/>
        </w:rPr>
        <w:t>non-CDE d</w:t>
      </w:r>
      <w:r w:rsidR="00EA4CA5">
        <w:rPr>
          <w:rFonts w:eastAsiaTheme="minorHAnsi"/>
        </w:rPr>
        <w:t>ata elements</w:t>
      </w:r>
      <w:bookmarkEnd w:id="132"/>
    </w:p>
    <w:p w14:paraId="21912B1B" w14:textId="0945B3EE" w:rsidR="0059594E" w:rsidRDefault="0059594E" w:rsidP="00136CC5">
      <w:pPr>
        <w:pStyle w:val="BodyText"/>
        <w:keepNext/>
        <w:spacing w:before="180" w:line="290" w:lineRule="atLeast"/>
        <w:rPr>
          <w:rFonts w:eastAsiaTheme="minorHAnsi"/>
        </w:rPr>
      </w:pPr>
      <w:r w:rsidRPr="0059594E">
        <w:rPr>
          <w:rFonts w:eastAsiaTheme="minorHAnsi"/>
        </w:rPr>
        <w:t xml:space="preserve">We propose to include </w:t>
      </w:r>
      <w:r w:rsidR="00D32DB0" w:rsidRPr="0059594E">
        <w:rPr>
          <w:rFonts w:eastAsiaTheme="minorHAnsi"/>
        </w:rPr>
        <w:t xml:space="preserve">in the ASIC Rules </w:t>
      </w:r>
      <w:r w:rsidRPr="0059594E">
        <w:rPr>
          <w:rFonts w:eastAsiaTheme="minorHAnsi"/>
        </w:rPr>
        <w:t>the data elements</w:t>
      </w:r>
      <w:r w:rsidR="00D32DB0">
        <w:rPr>
          <w:rFonts w:eastAsiaTheme="minorHAnsi"/>
        </w:rPr>
        <w:t xml:space="preserve"> set out in </w:t>
      </w:r>
      <w:r w:rsidR="00D32DB0">
        <w:rPr>
          <w:rFonts w:eastAsiaTheme="minorHAnsi"/>
        </w:rPr>
        <w:fldChar w:fldCharType="begin"/>
      </w:r>
      <w:r w:rsidR="00D32DB0">
        <w:rPr>
          <w:rFonts w:eastAsiaTheme="minorHAnsi"/>
        </w:rPr>
        <w:instrText xml:space="preserve"> REF _Ref56003872 \h </w:instrText>
      </w:r>
      <w:r w:rsidR="00D32DB0">
        <w:rPr>
          <w:rFonts w:eastAsiaTheme="minorHAnsi"/>
        </w:rPr>
      </w:r>
      <w:r w:rsidR="00D32DB0">
        <w:rPr>
          <w:rFonts w:eastAsiaTheme="minorHAnsi"/>
        </w:rPr>
        <w:fldChar w:fldCharType="separate"/>
      </w:r>
      <w:r w:rsidR="00314C7E">
        <w:t xml:space="preserve">Table </w:t>
      </w:r>
      <w:r w:rsidR="00314C7E">
        <w:rPr>
          <w:noProof/>
        </w:rPr>
        <w:t>27</w:t>
      </w:r>
      <w:r w:rsidR="00D32DB0">
        <w:rPr>
          <w:rFonts w:eastAsiaTheme="minorHAnsi"/>
        </w:rPr>
        <w:fldChar w:fldCharType="end"/>
      </w:r>
      <w:r w:rsidRPr="0059594E">
        <w:rPr>
          <w:rFonts w:eastAsiaTheme="minorHAnsi"/>
        </w:rPr>
        <w:t>.</w:t>
      </w:r>
    </w:p>
    <w:p w14:paraId="11538903" w14:textId="6533CE3E" w:rsidR="006D4423" w:rsidRDefault="00A438BF" w:rsidP="00136CC5">
      <w:pPr>
        <w:pStyle w:val="BodyText"/>
        <w:spacing w:before="180" w:line="290" w:lineRule="atLeast"/>
        <w:rPr>
          <w:rFonts w:eastAsiaTheme="minorHAnsi"/>
        </w:rPr>
      </w:pPr>
      <w:r>
        <w:rPr>
          <w:rFonts w:eastAsiaTheme="minorHAnsi"/>
        </w:rPr>
        <w:t>This includes</w:t>
      </w:r>
      <w:r w:rsidR="0059594E">
        <w:rPr>
          <w:rFonts w:eastAsiaTheme="minorHAnsi"/>
        </w:rPr>
        <w:t xml:space="preserve"> the UTI and UPI as proposed in Sections </w:t>
      </w:r>
      <w:r w:rsidR="00E84322">
        <w:rPr>
          <w:rFonts w:eastAsiaTheme="minorHAnsi"/>
        </w:rPr>
        <w:fldChar w:fldCharType="begin"/>
      </w:r>
      <w:r w:rsidR="00E84322">
        <w:rPr>
          <w:rFonts w:eastAsiaTheme="minorHAnsi"/>
        </w:rPr>
        <w:instrText xml:space="preserve"> REF _ASICRef243 \w \h </w:instrText>
      </w:r>
      <w:r w:rsidR="00E84322">
        <w:rPr>
          <w:rFonts w:eastAsiaTheme="minorHAnsi"/>
        </w:rPr>
      </w:r>
      <w:r w:rsidR="00E84322">
        <w:rPr>
          <w:rFonts w:eastAsiaTheme="minorHAnsi"/>
        </w:rPr>
        <w:fldChar w:fldCharType="separate"/>
      </w:r>
      <w:r w:rsidR="00314C7E">
        <w:rPr>
          <w:rFonts w:eastAsiaTheme="minorHAnsi"/>
        </w:rPr>
        <w:t>C</w:t>
      </w:r>
      <w:r w:rsidR="00E84322">
        <w:rPr>
          <w:rFonts w:eastAsiaTheme="minorHAnsi"/>
        </w:rPr>
        <w:fldChar w:fldCharType="end"/>
      </w:r>
      <w:r w:rsidR="0059594E">
        <w:rPr>
          <w:rFonts w:eastAsiaTheme="minorHAnsi"/>
        </w:rPr>
        <w:t xml:space="preserve"> and </w:t>
      </w:r>
      <w:r w:rsidR="00E84322">
        <w:rPr>
          <w:rFonts w:eastAsiaTheme="minorHAnsi"/>
        </w:rPr>
        <w:fldChar w:fldCharType="begin"/>
      </w:r>
      <w:r w:rsidR="00E84322">
        <w:rPr>
          <w:rFonts w:eastAsiaTheme="minorHAnsi"/>
        </w:rPr>
        <w:instrText xml:space="preserve"> REF _ASICRef106 \w \h </w:instrText>
      </w:r>
      <w:r w:rsidR="00E84322">
        <w:rPr>
          <w:rFonts w:eastAsiaTheme="minorHAnsi"/>
        </w:rPr>
      </w:r>
      <w:r w:rsidR="00E84322">
        <w:rPr>
          <w:rFonts w:eastAsiaTheme="minorHAnsi"/>
        </w:rPr>
        <w:fldChar w:fldCharType="separate"/>
      </w:r>
      <w:r w:rsidR="00314C7E">
        <w:rPr>
          <w:rFonts w:eastAsiaTheme="minorHAnsi"/>
        </w:rPr>
        <w:t>D</w:t>
      </w:r>
      <w:r w:rsidR="00E84322">
        <w:rPr>
          <w:rFonts w:eastAsiaTheme="minorHAnsi"/>
        </w:rPr>
        <w:fldChar w:fldCharType="end"/>
      </w:r>
      <w:r w:rsidR="0059594E">
        <w:rPr>
          <w:rFonts w:eastAsiaTheme="minorHAnsi"/>
        </w:rPr>
        <w:t xml:space="preserve"> respectively and </w:t>
      </w:r>
      <w:r>
        <w:rPr>
          <w:rFonts w:eastAsiaTheme="minorHAnsi"/>
        </w:rPr>
        <w:t xml:space="preserve">which </w:t>
      </w:r>
      <w:r w:rsidR="0059594E">
        <w:rPr>
          <w:rFonts w:eastAsiaTheme="minorHAnsi"/>
        </w:rPr>
        <w:t xml:space="preserve">directly substitute for the corresponding data elements in </w:t>
      </w:r>
      <w:r w:rsidR="006D4423">
        <w:rPr>
          <w:rFonts w:eastAsiaTheme="minorHAnsi"/>
        </w:rPr>
        <w:t>the current ASIC Rules.</w:t>
      </w:r>
    </w:p>
    <w:p w14:paraId="6CDE881C" w14:textId="6395FBEA" w:rsidR="006D4423" w:rsidRDefault="006D4423" w:rsidP="00136CC5">
      <w:pPr>
        <w:pStyle w:val="BodyText"/>
        <w:spacing w:before="180" w:line="290" w:lineRule="atLeast"/>
        <w:rPr>
          <w:rFonts w:eastAsiaTheme="minorHAnsi"/>
        </w:rPr>
      </w:pPr>
      <w:r>
        <w:rPr>
          <w:rFonts w:eastAsiaTheme="minorHAnsi"/>
        </w:rPr>
        <w:t>‘Report submitting entity ID’, ‘</w:t>
      </w:r>
      <w:r w:rsidR="00E84322">
        <w:rPr>
          <w:rFonts w:eastAsiaTheme="minorHAnsi"/>
        </w:rPr>
        <w:t>r</w:t>
      </w:r>
      <w:r>
        <w:rPr>
          <w:rFonts w:eastAsiaTheme="minorHAnsi"/>
        </w:rPr>
        <w:t>eporting timestamp’ and ‘</w:t>
      </w:r>
      <w:r w:rsidR="00E84322">
        <w:rPr>
          <w:rFonts w:eastAsiaTheme="minorHAnsi"/>
        </w:rPr>
        <w:t>a</w:t>
      </w:r>
      <w:r>
        <w:rPr>
          <w:rFonts w:eastAsiaTheme="minorHAnsi"/>
        </w:rPr>
        <w:t>ction type’ directly substitute for the corresponding data elements in the current ASIC Rules.</w:t>
      </w:r>
    </w:p>
    <w:p w14:paraId="73E3C9FD" w14:textId="0CDD5B5F" w:rsidR="00EA4CA5" w:rsidRDefault="006D4423" w:rsidP="00136CC5">
      <w:pPr>
        <w:pStyle w:val="BodyText"/>
        <w:spacing w:before="180" w:line="290" w:lineRule="atLeast"/>
        <w:rPr>
          <w:rFonts w:eastAsiaTheme="minorHAnsi"/>
        </w:rPr>
      </w:pPr>
      <w:r w:rsidRPr="006D4423">
        <w:rPr>
          <w:rFonts w:eastAsiaTheme="minorHAnsi"/>
        </w:rPr>
        <w:t>‘Event type’ is effectively a second level ‘</w:t>
      </w:r>
      <w:r w:rsidR="00E84322">
        <w:rPr>
          <w:rFonts w:eastAsiaTheme="minorHAnsi"/>
        </w:rPr>
        <w:t>a</w:t>
      </w:r>
      <w:r w:rsidRPr="006D4423">
        <w:rPr>
          <w:rFonts w:eastAsiaTheme="minorHAnsi"/>
        </w:rPr>
        <w:t>ction type’ that further clarifies and explains the nature of the ‘</w:t>
      </w:r>
      <w:r w:rsidR="00E84322">
        <w:rPr>
          <w:rFonts w:eastAsiaTheme="minorHAnsi"/>
        </w:rPr>
        <w:t>a</w:t>
      </w:r>
      <w:r w:rsidRPr="006D4423">
        <w:rPr>
          <w:rFonts w:eastAsiaTheme="minorHAnsi"/>
        </w:rPr>
        <w:t xml:space="preserve">ction type’ reported. It is a data element adopted in the final CFTC rules and the </w:t>
      </w:r>
      <w:r w:rsidR="000127C8">
        <w:rPr>
          <w:rFonts w:eastAsiaTheme="minorHAnsi"/>
        </w:rPr>
        <w:t>ESMA proposals</w:t>
      </w:r>
      <w:r w:rsidRPr="006D4423">
        <w:rPr>
          <w:rFonts w:eastAsiaTheme="minorHAnsi"/>
        </w:rPr>
        <w:t xml:space="preserve"> and is already within the scope of </w:t>
      </w:r>
      <w:r w:rsidR="00787D98">
        <w:rPr>
          <w:rFonts w:eastAsiaTheme="minorHAnsi"/>
        </w:rPr>
        <w:t>trade repositorie</w:t>
      </w:r>
      <w:r w:rsidR="00787D98" w:rsidRPr="006D4423">
        <w:rPr>
          <w:rFonts w:eastAsiaTheme="minorHAnsi"/>
        </w:rPr>
        <w:t xml:space="preserve">s’ </w:t>
      </w:r>
      <w:r w:rsidRPr="006D4423">
        <w:rPr>
          <w:rFonts w:eastAsiaTheme="minorHAnsi"/>
        </w:rPr>
        <w:t>in-bound data elements.</w:t>
      </w:r>
    </w:p>
    <w:p w14:paraId="17F567B6" w14:textId="004CB251" w:rsidR="004345C5" w:rsidRPr="006D4423" w:rsidRDefault="004345C5" w:rsidP="00136CC5">
      <w:pPr>
        <w:pStyle w:val="BodyText"/>
        <w:spacing w:before="180" w:line="290" w:lineRule="atLeast"/>
        <w:rPr>
          <w:rFonts w:eastAsiaTheme="minorHAnsi"/>
        </w:rPr>
      </w:pPr>
      <w:r>
        <w:rPr>
          <w:rFonts w:eastAsiaTheme="minorHAnsi"/>
        </w:rPr>
        <w:t>We also propose to include a ‘</w:t>
      </w:r>
      <w:r w:rsidR="00E84322">
        <w:rPr>
          <w:rFonts w:eastAsiaTheme="minorHAnsi"/>
        </w:rPr>
        <w:t>j</w:t>
      </w:r>
      <w:r>
        <w:rPr>
          <w:rFonts w:eastAsiaTheme="minorHAnsi"/>
        </w:rPr>
        <w:t xml:space="preserve">urisdiction’ data element </w:t>
      </w:r>
      <w:r w:rsidR="00790DEA">
        <w:rPr>
          <w:rFonts w:eastAsiaTheme="minorHAnsi"/>
        </w:rPr>
        <w:t>and an ‘</w:t>
      </w:r>
      <w:r w:rsidR="00E84322">
        <w:rPr>
          <w:rFonts w:eastAsiaTheme="minorHAnsi"/>
        </w:rPr>
        <w:t>e</w:t>
      </w:r>
      <w:r w:rsidR="00790DEA" w:rsidRPr="00790DEA">
        <w:rPr>
          <w:rFonts w:eastAsiaTheme="minorHAnsi"/>
        </w:rPr>
        <w:t>mbedded option type</w:t>
      </w:r>
      <w:r w:rsidR="00790DEA">
        <w:rPr>
          <w:rFonts w:eastAsiaTheme="minorHAnsi"/>
        </w:rPr>
        <w:t>’</w:t>
      </w:r>
      <w:r w:rsidR="00790DEA" w:rsidRPr="00790DEA">
        <w:rPr>
          <w:rFonts w:eastAsiaTheme="minorHAnsi"/>
        </w:rPr>
        <w:t xml:space="preserve"> </w:t>
      </w:r>
      <w:r>
        <w:rPr>
          <w:rFonts w:eastAsiaTheme="minorHAnsi"/>
        </w:rPr>
        <w:t>within the ASIC Rules.</w:t>
      </w:r>
    </w:p>
    <w:p w14:paraId="2593B133" w14:textId="1CAC2CD7" w:rsidR="00DF345B" w:rsidRPr="004857CC" w:rsidRDefault="00DF345B" w:rsidP="00DF345B">
      <w:pPr>
        <w:pStyle w:val="tabletitlefullwidth"/>
      </w:pPr>
      <w:bookmarkStart w:id="133" w:name="_Ref56003872"/>
      <w:r>
        <w:lastRenderedPageBreak/>
        <w:t xml:space="preserve">Table </w:t>
      </w:r>
      <w:r w:rsidR="007055A5">
        <w:fldChar w:fldCharType="begin"/>
      </w:r>
      <w:r w:rsidR="007055A5">
        <w:instrText xml:space="preserve"> SEQ Table \* ARABIC </w:instrText>
      </w:r>
      <w:r w:rsidR="007055A5">
        <w:fldChar w:fldCharType="separate"/>
      </w:r>
      <w:r w:rsidR="00314C7E">
        <w:rPr>
          <w:noProof/>
        </w:rPr>
        <w:t>27</w:t>
      </w:r>
      <w:r w:rsidR="007055A5">
        <w:rPr>
          <w:noProof/>
        </w:rPr>
        <w:fldChar w:fldCharType="end"/>
      </w:r>
      <w:bookmarkEnd w:id="133"/>
      <w:r>
        <w:t>:</w:t>
      </w:r>
      <w:r>
        <w:tab/>
      </w:r>
      <w:r w:rsidR="006D4423">
        <w:t>Proposed data elements that are non-CDE data elements</w:t>
      </w:r>
    </w:p>
    <w:tbl>
      <w:tblPr>
        <w:tblW w:w="4982"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678"/>
        <w:gridCol w:w="4409"/>
        <w:gridCol w:w="737"/>
        <w:gridCol w:w="737"/>
        <w:gridCol w:w="737"/>
        <w:gridCol w:w="739"/>
      </w:tblGrid>
      <w:tr w:rsidR="00EA4CA5" w:rsidRPr="000540E1" w14:paraId="2A6FED06" w14:textId="77777777" w:rsidTr="000D1BA2">
        <w:trPr>
          <w:cantSplit/>
          <w:tblHeader/>
        </w:trPr>
        <w:tc>
          <w:tcPr>
            <w:tcW w:w="928" w:type="pct"/>
            <w:shd w:val="clear" w:color="auto" w:fill="C2E3FA"/>
          </w:tcPr>
          <w:p w14:paraId="27E6A72F" w14:textId="77777777" w:rsidR="00EA4CA5" w:rsidRDefault="00EA4CA5" w:rsidP="00741274">
            <w:pPr>
              <w:pStyle w:val="tablehead"/>
              <w:spacing w:before="100"/>
            </w:pPr>
          </w:p>
        </w:tc>
        <w:tc>
          <w:tcPr>
            <w:tcW w:w="2439" w:type="pct"/>
            <w:shd w:val="clear" w:color="auto" w:fill="C2E3FA"/>
          </w:tcPr>
          <w:p w14:paraId="56A88EF0" w14:textId="77777777" w:rsidR="00EA4CA5" w:rsidRDefault="00EA4CA5" w:rsidP="00741274">
            <w:pPr>
              <w:pStyle w:val="tablehead"/>
              <w:spacing w:before="100"/>
            </w:pPr>
          </w:p>
        </w:tc>
        <w:tc>
          <w:tcPr>
            <w:tcW w:w="1633" w:type="pct"/>
            <w:gridSpan w:val="4"/>
            <w:shd w:val="clear" w:color="auto" w:fill="C2E3FA"/>
          </w:tcPr>
          <w:p w14:paraId="1B80775D" w14:textId="7190DA98" w:rsidR="00EA4CA5" w:rsidRPr="000540E1" w:rsidRDefault="001156A2" w:rsidP="00741274">
            <w:pPr>
              <w:pStyle w:val="tablehead"/>
              <w:spacing w:before="100"/>
              <w:jc w:val="center"/>
            </w:pPr>
            <w:r>
              <w:t>Element</w:t>
            </w:r>
            <w:r w:rsidR="00EA4CA5">
              <w:t xml:space="preserve"> number references</w:t>
            </w:r>
          </w:p>
        </w:tc>
      </w:tr>
      <w:tr w:rsidR="00EA4CA5" w:rsidRPr="000540E1" w14:paraId="7A4427C0" w14:textId="77777777" w:rsidTr="000D1BA2">
        <w:trPr>
          <w:cantSplit/>
          <w:tblHeader/>
        </w:trPr>
        <w:tc>
          <w:tcPr>
            <w:tcW w:w="928" w:type="pct"/>
            <w:shd w:val="clear" w:color="auto" w:fill="C2E3FA"/>
          </w:tcPr>
          <w:p w14:paraId="22E4C889" w14:textId="77777777" w:rsidR="00EA4CA5" w:rsidRDefault="00EA4CA5" w:rsidP="00741274">
            <w:pPr>
              <w:pStyle w:val="tablehead"/>
              <w:spacing w:before="100"/>
            </w:pPr>
            <w:r>
              <w:t>Data element</w:t>
            </w:r>
          </w:p>
        </w:tc>
        <w:tc>
          <w:tcPr>
            <w:tcW w:w="2439" w:type="pct"/>
            <w:shd w:val="clear" w:color="auto" w:fill="C2E3FA"/>
          </w:tcPr>
          <w:p w14:paraId="3DEE02F1" w14:textId="4E69BAC5" w:rsidR="00EA4CA5" w:rsidRDefault="00EA4CA5" w:rsidP="00741274">
            <w:pPr>
              <w:pStyle w:val="tablehead"/>
              <w:spacing w:before="100"/>
            </w:pPr>
            <w:r>
              <w:t>Definition</w:t>
            </w:r>
            <w:r w:rsidR="00193DFB">
              <w:t>—</w:t>
            </w:r>
            <w:r w:rsidR="00E84322">
              <w:t>S</w:t>
            </w:r>
            <w:r>
              <w:t>ummary key points</w:t>
            </w:r>
          </w:p>
        </w:tc>
        <w:tc>
          <w:tcPr>
            <w:tcW w:w="408" w:type="pct"/>
            <w:shd w:val="clear" w:color="auto" w:fill="C2E3FA"/>
          </w:tcPr>
          <w:p w14:paraId="6EF3A2DA" w14:textId="0E10AAFD" w:rsidR="00EA4CA5" w:rsidRPr="000540E1" w:rsidRDefault="00EA4CA5" w:rsidP="00741274">
            <w:pPr>
              <w:pStyle w:val="tablehead"/>
              <w:spacing w:before="100"/>
              <w:jc w:val="center"/>
            </w:pPr>
            <w:r>
              <w:t>CDE</w:t>
            </w:r>
          </w:p>
        </w:tc>
        <w:tc>
          <w:tcPr>
            <w:tcW w:w="408" w:type="pct"/>
            <w:shd w:val="clear" w:color="auto" w:fill="C2E3FA"/>
          </w:tcPr>
          <w:p w14:paraId="13BB7418" w14:textId="77777777" w:rsidR="00EA4CA5" w:rsidRPr="000540E1" w:rsidRDefault="00EA4CA5" w:rsidP="00741274">
            <w:pPr>
              <w:pStyle w:val="tablehead"/>
              <w:spacing w:before="100"/>
              <w:jc w:val="center"/>
            </w:pPr>
            <w:r>
              <w:t>CFTC</w:t>
            </w:r>
          </w:p>
        </w:tc>
        <w:tc>
          <w:tcPr>
            <w:tcW w:w="408" w:type="pct"/>
            <w:shd w:val="clear" w:color="auto" w:fill="C2E3FA"/>
          </w:tcPr>
          <w:p w14:paraId="1961699A" w14:textId="2734EB74" w:rsidR="00EA4CA5" w:rsidRPr="000540E1" w:rsidRDefault="005C1566" w:rsidP="00741274">
            <w:pPr>
              <w:pStyle w:val="tablehead"/>
              <w:spacing w:before="100"/>
              <w:jc w:val="center"/>
            </w:pPr>
            <w:r>
              <w:t>ESMA</w:t>
            </w:r>
          </w:p>
        </w:tc>
        <w:tc>
          <w:tcPr>
            <w:tcW w:w="408" w:type="pct"/>
            <w:shd w:val="clear" w:color="auto" w:fill="C2E3FA"/>
          </w:tcPr>
          <w:p w14:paraId="491D0B37" w14:textId="77777777" w:rsidR="00EA4CA5" w:rsidRPr="000540E1" w:rsidRDefault="00EA4CA5" w:rsidP="00741274">
            <w:pPr>
              <w:pStyle w:val="tablehead"/>
              <w:spacing w:before="100"/>
              <w:jc w:val="center"/>
            </w:pPr>
            <w:r>
              <w:t>ASIC</w:t>
            </w:r>
          </w:p>
        </w:tc>
      </w:tr>
      <w:tr w:rsidR="004E304A" w:rsidRPr="000540E1" w14:paraId="21ADED26" w14:textId="77777777" w:rsidTr="000D1BA2">
        <w:trPr>
          <w:cantSplit/>
        </w:trPr>
        <w:tc>
          <w:tcPr>
            <w:tcW w:w="928" w:type="pct"/>
          </w:tcPr>
          <w:p w14:paraId="23B5EABC" w14:textId="17229C67" w:rsidR="004E304A" w:rsidRPr="000540E1" w:rsidRDefault="004E304A" w:rsidP="00741274">
            <w:pPr>
              <w:pStyle w:val="tbltext"/>
              <w:spacing w:before="100"/>
            </w:pPr>
            <w:r>
              <w:t>UTI</w:t>
            </w:r>
          </w:p>
        </w:tc>
        <w:tc>
          <w:tcPr>
            <w:tcW w:w="2439" w:type="pct"/>
          </w:tcPr>
          <w:p w14:paraId="14FAFD0D" w14:textId="7B72438B" w:rsidR="004E304A" w:rsidRPr="000540E1" w:rsidRDefault="004E304A" w:rsidP="00741274">
            <w:pPr>
              <w:pStyle w:val="tbltext"/>
              <w:spacing w:before="100"/>
            </w:pPr>
            <w:r>
              <w:t>Unique transaction identifier</w:t>
            </w:r>
          </w:p>
        </w:tc>
        <w:tc>
          <w:tcPr>
            <w:tcW w:w="408" w:type="pct"/>
          </w:tcPr>
          <w:p w14:paraId="7BCA8B86" w14:textId="7CFF28EB" w:rsidR="004E304A" w:rsidRPr="000540E1" w:rsidRDefault="004E304A" w:rsidP="00741274">
            <w:pPr>
              <w:pStyle w:val="tbltext"/>
              <w:spacing w:before="100"/>
              <w:jc w:val="center"/>
            </w:pPr>
            <w:r>
              <w:t>n/a</w:t>
            </w:r>
          </w:p>
        </w:tc>
        <w:tc>
          <w:tcPr>
            <w:tcW w:w="408" w:type="pct"/>
          </w:tcPr>
          <w:p w14:paraId="24578F8A" w14:textId="06257B56" w:rsidR="004E304A" w:rsidRPr="000540E1" w:rsidRDefault="004E304A" w:rsidP="00741274">
            <w:pPr>
              <w:pStyle w:val="tbltext"/>
              <w:spacing w:before="100"/>
              <w:jc w:val="center"/>
            </w:pPr>
            <w:r>
              <w:t>103</w:t>
            </w:r>
          </w:p>
        </w:tc>
        <w:tc>
          <w:tcPr>
            <w:tcW w:w="408" w:type="pct"/>
          </w:tcPr>
          <w:p w14:paraId="4E2A5E59" w14:textId="12FC58FE" w:rsidR="004E304A" w:rsidRPr="000540E1" w:rsidRDefault="004E304A" w:rsidP="00741274">
            <w:pPr>
              <w:pStyle w:val="tbltext"/>
              <w:spacing w:before="100"/>
              <w:jc w:val="center"/>
            </w:pPr>
            <w:r>
              <w:t>2.1</w:t>
            </w:r>
          </w:p>
        </w:tc>
        <w:tc>
          <w:tcPr>
            <w:tcW w:w="408" w:type="pct"/>
          </w:tcPr>
          <w:p w14:paraId="4A726588" w14:textId="6B18E2C9" w:rsidR="004E304A" w:rsidRPr="000540E1" w:rsidRDefault="004E304A" w:rsidP="00741274">
            <w:pPr>
              <w:pStyle w:val="tbltext"/>
              <w:spacing w:before="100"/>
              <w:jc w:val="center"/>
            </w:pPr>
            <w:r>
              <w:t>1.1</w:t>
            </w:r>
          </w:p>
        </w:tc>
      </w:tr>
      <w:tr w:rsidR="004E304A" w:rsidRPr="000540E1" w14:paraId="045DDA65" w14:textId="77777777" w:rsidTr="000D1BA2">
        <w:trPr>
          <w:cantSplit/>
        </w:trPr>
        <w:tc>
          <w:tcPr>
            <w:tcW w:w="928" w:type="pct"/>
          </w:tcPr>
          <w:p w14:paraId="286F7D02" w14:textId="5FA7D399" w:rsidR="004E304A" w:rsidRPr="000540E1" w:rsidRDefault="004E304A" w:rsidP="00741274">
            <w:pPr>
              <w:pStyle w:val="tbltext"/>
              <w:spacing w:before="100"/>
            </w:pPr>
            <w:r>
              <w:t>UPI</w:t>
            </w:r>
          </w:p>
        </w:tc>
        <w:tc>
          <w:tcPr>
            <w:tcW w:w="2439" w:type="pct"/>
          </w:tcPr>
          <w:p w14:paraId="581B8407" w14:textId="32ADEB26" w:rsidR="004E304A" w:rsidRPr="000540E1" w:rsidRDefault="004E304A" w:rsidP="00741274">
            <w:pPr>
              <w:pStyle w:val="tbltext"/>
              <w:spacing w:before="100"/>
            </w:pPr>
            <w:r>
              <w:t>Unique product identifier</w:t>
            </w:r>
          </w:p>
        </w:tc>
        <w:tc>
          <w:tcPr>
            <w:tcW w:w="408" w:type="pct"/>
          </w:tcPr>
          <w:p w14:paraId="32A4D344" w14:textId="3FBA93AC" w:rsidR="004E304A" w:rsidRPr="000540E1" w:rsidRDefault="004E304A" w:rsidP="00741274">
            <w:pPr>
              <w:pStyle w:val="tbltext"/>
              <w:spacing w:before="100"/>
              <w:jc w:val="center"/>
            </w:pPr>
            <w:r>
              <w:t>n/a</w:t>
            </w:r>
          </w:p>
        </w:tc>
        <w:tc>
          <w:tcPr>
            <w:tcW w:w="408" w:type="pct"/>
          </w:tcPr>
          <w:p w14:paraId="78499F8E" w14:textId="1431733F" w:rsidR="004E304A" w:rsidRPr="000540E1" w:rsidRDefault="004E304A" w:rsidP="00741274">
            <w:pPr>
              <w:pStyle w:val="tbltext"/>
              <w:spacing w:before="100"/>
              <w:jc w:val="center"/>
            </w:pPr>
            <w:r>
              <w:t>87</w:t>
            </w:r>
          </w:p>
        </w:tc>
        <w:tc>
          <w:tcPr>
            <w:tcW w:w="408" w:type="pct"/>
          </w:tcPr>
          <w:p w14:paraId="3B7B1235" w14:textId="6050BE5E" w:rsidR="004E304A" w:rsidRPr="000540E1" w:rsidRDefault="004E304A" w:rsidP="00741274">
            <w:pPr>
              <w:pStyle w:val="tbltext"/>
              <w:spacing w:before="100"/>
              <w:jc w:val="center"/>
            </w:pPr>
            <w:r>
              <w:t>2.8</w:t>
            </w:r>
          </w:p>
        </w:tc>
        <w:tc>
          <w:tcPr>
            <w:tcW w:w="408" w:type="pct"/>
          </w:tcPr>
          <w:p w14:paraId="7B764C66" w14:textId="6152A89A" w:rsidR="004E304A" w:rsidRPr="000540E1" w:rsidRDefault="004E304A" w:rsidP="00741274">
            <w:pPr>
              <w:pStyle w:val="tbltext"/>
              <w:spacing w:before="100"/>
              <w:jc w:val="center"/>
            </w:pPr>
            <w:r>
              <w:t>1.2</w:t>
            </w:r>
          </w:p>
        </w:tc>
      </w:tr>
      <w:tr w:rsidR="004E304A" w:rsidRPr="000540E1" w14:paraId="7FFB988B" w14:textId="77777777" w:rsidTr="000D1BA2">
        <w:trPr>
          <w:cantSplit/>
        </w:trPr>
        <w:tc>
          <w:tcPr>
            <w:tcW w:w="928" w:type="pct"/>
          </w:tcPr>
          <w:p w14:paraId="689E8B55" w14:textId="2A76F6E9" w:rsidR="004E304A" w:rsidRPr="000540E1" w:rsidRDefault="004E304A" w:rsidP="00741274">
            <w:pPr>
              <w:pStyle w:val="tbltext"/>
              <w:spacing w:before="100"/>
            </w:pPr>
            <w:r>
              <w:t>Action type</w:t>
            </w:r>
          </w:p>
        </w:tc>
        <w:tc>
          <w:tcPr>
            <w:tcW w:w="2439" w:type="pct"/>
          </w:tcPr>
          <w:p w14:paraId="58ADAB95" w14:textId="3B5F6C3C" w:rsidR="004E304A" w:rsidRDefault="004E304A" w:rsidP="00741274">
            <w:pPr>
              <w:pStyle w:val="tbltext"/>
              <w:spacing w:before="100"/>
            </w:pPr>
            <w:r>
              <w:t>{ASIC} A notation to indicate whether the report being made relates to a particular action</w:t>
            </w:r>
          </w:p>
          <w:p w14:paraId="25541D5D" w14:textId="16C8738A" w:rsidR="004E304A" w:rsidRPr="000540E1" w:rsidRDefault="004E304A" w:rsidP="00741274">
            <w:pPr>
              <w:pStyle w:val="tbltext"/>
              <w:spacing w:before="100"/>
            </w:pPr>
            <w:r>
              <w:t xml:space="preserve">e.g. </w:t>
            </w:r>
            <w:r w:rsidR="00E84322">
              <w:t>n</w:t>
            </w:r>
            <w:r w:rsidR="00E84322" w:rsidRPr="00812ADA">
              <w:t>ew</w:t>
            </w:r>
            <w:r>
              <w:t xml:space="preserve">, </w:t>
            </w:r>
            <w:r w:rsidR="00E84322">
              <w:t>m</w:t>
            </w:r>
            <w:r w:rsidR="00E84322" w:rsidRPr="00812ADA">
              <w:t>odify</w:t>
            </w:r>
            <w:r>
              <w:t xml:space="preserve">, </w:t>
            </w:r>
            <w:r w:rsidR="00E84322">
              <w:t>c</w:t>
            </w:r>
            <w:r w:rsidR="00E84322" w:rsidRPr="00812ADA">
              <w:t>orrect</w:t>
            </w:r>
            <w:r>
              <w:t xml:space="preserve">, </w:t>
            </w:r>
            <w:r w:rsidR="00E84322">
              <w:t>e</w:t>
            </w:r>
            <w:r w:rsidR="00E84322" w:rsidRPr="00812ADA">
              <w:t>rror</w:t>
            </w:r>
            <w:r>
              <w:t xml:space="preserve">, </w:t>
            </w:r>
            <w:r w:rsidR="00E84322">
              <w:t>t</w:t>
            </w:r>
            <w:r w:rsidR="00E84322" w:rsidRPr="00812ADA">
              <w:t>erminate</w:t>
            </w:r>
            <w:r>
              <w:t xml:space="preserve">, </w:t>
            </w:r>
            <w:r w:rsidR="00E84322">
              <w:t>r</w:t>
            </w:r>
            <w:r w:rsidR="00E84322" w:rsidRPr="00812ADA">
              <w:t>evive</w:t>
            </w:r>
            <w:r>
              <w:t xml:space="preserve">, </w:t>
            </w:r>
            <w:r w:rsidR="00E84322">
              <w:t>t</w:t>
            </w:r>
            <w:r w:rsidR="00E84322" w:rsidRPr="00812ADA">
              <w:t xml:space="preserve">ransfer </w:t>
            </w:r>
            <w:r w:rsidRPr="00812ADA">
              <w:t>out</w:t>
            </w:r>
            <w:r>
              <w:t xml:space="preserve">, </w:t>
            </w:r>
            <w:r w:rsidR="00E84322">
              <w:t>v</w:t>
            </w:r>
            <w:r w:rsidR="00E84322" w:rsidRPr="00812ADA">
              <w:t>aluation</w:t>
            </w:r>
            <w:r>
              <w:t xml:space="preserve">, </w:t>
            </w:r>
            <w:r w:rsidR="00E84322">
              <w:t>c</w:t>
            </w:r>
            <w:r w:rsidR="00E84322" w:rsidRPr="00812ADA">
              <w:t>ollateral</w:t>
            </w:r>
            <w:r w:rsidR="00E84322">
              <w:t>.</w:t>
            </w:r>
          </w:p>
        </w:tc>
        <w:tc>
          <w:tcPr>
            <w:tcW w:w="408" w:type="pct"/>
          </w:tcPr>
          <w:p w14:paraId="26F73854" w14:textId="467CFFA1" w:rsidR="004E304A" w:rsidRPr="000540E1" w:rsidRDefault="004E304A" w:rsidP="00741274">
            <w:pPr>
              <w:pStyle w:val="tbltext"/>
              <w:spacing w:before="100"/>
              <w:jc w:val="center"/>
            </w:pPr>
            <w:r>
              <w:t>n/a</w:t>
            </w:r>
          </w:p>
        </w:tc>
        <w:tc>
          <w:tcPr>
            <w:tcW w:w="408" w:type="pct"/>
          </w:tcPr>
          <w:p w14:paraId="7538A330" w14:textId="01AD29CE" w:rsidR="004E304A" w:rsidRPr="000540E1" w:rsidRDefault="004E304A" w:rsidP="00741274">
            <w:pPr>
              <w:pStyle w:val="tbltext"/>
              <w:spacing w:before="100"/>
              <w:jc w:val="center"/>
            </w:pPr>
            <w:r>
              <w:t>26</w:t>
            </w:r>
          </w:p>
        </w:tc>
        <w:tc>
          <w:tcPr>
            <w:tcW w:w="408" w:type="pct"/>
          </w:tcPr>
          <w:p w14:paraId="18D95CE1" w14:textId="7E514502" w:rsidR="004E304A" w:rsidRPr="000540E1" w:rsidRDefault="004E304A" w:rsidP="00741274">
            <w:pPr>
              <w:pStyle w:val="tbltext"/>
              <w:spacing w:before="100"/>
              <w:jc w:val="center"/>
            </w:pPr>
            <w:r>
              <w:t>2.149</w:t>
            </w:r>
          </w:p>
        </w:tc>
        <w:tc>
          <w:tcPr>
            <w:tcW w:w="408" w:type="pct"/>
          </w:tcPr>
          <w:p w14:paraId="65CCE1B4" w14:textId="5E534A9D" w:rsidR="004E304A" w:rsidRPr="000540E1" w:rsidRDefault="004E304A" w:rsidP="00741274">
            <w:pPr>
              <w:pStyle w:val="tbltext"/>
              <w:spacing w:before="100"/>
              <w:jc w:val="center"/>
            </w:pPr>
            <w:r>
              <w:t>1.55</w:t>
            </w:r>
          </w:p>
        </w:tc>
      </w:tr>
      <w:tr w:rsidR="004E304A" w:rsidRPr="000540E1" w14:paraId="66684C22" w14:textId="77777777" w:rsidTr="000D1BA2">
        <w:trPr>
          <w:cantSplit/>
        </w:trPr>
        <w:tc>
          <w:tcPr>
            <w:tcW w:w="928" w:type="pct"/>
          </w:tcPr>
          <w:p w14:paraId="72180ABF" w14:textId="6857D446" w:rsidR="004E304A" w:rsidRDefault="004E304A" w:rsidP="00741274">
            <w:pPr>
              <w:pStyle w:val="tbltext"/>
              <w:spacing w:before="100"/>
            </w:pPr>
            <w:r>
              <w:t>Event type</w:t>
            </w:r>
          </w:p>
        </w:tc>
        <w:tc>
          <w:tcPr>
            <w:tcW w:w="2439" w:type="pct"/>
          </w:tcPr>
          <w:p w14:paraId="154BA1C7" w14:textId="23052F6E" w:rsidR="004E304A" w:rsidRDefault="004E304A" w:rsidP="00741274">
            <w:pPr>
              <w:pStyle w:val="tbltext"/>
              <w:spacing w:before="100"/>
            </w:pPr>
            <w:r>
              <w:t>{ASIC} A notation to indicate the explanation or reason for the particular reporting action</w:t>
            </w:r>
          </w:p>
          <w:p w14:paraId="1F614424" w14:textId="1DFFBADA" w:rsidR="004E304A" w:rsidRDefault="004E304A" w:rsidP="00741274">
            <w:pPr>
              <w:pStyle w:val="tbltext"/>
              <w:spacing w:before="100"/>
            </w:pPr>
            <w:r>
              <w:t xml:space="preserve">e.g. </w:t>
            </w:r>
            <w:r w:rsidR="00E84322">
              <w:t>t</w:t>
            </w:r>
            <w:r w:rsidR="00E84322" w:rsidRPr="008E0D68">
              <w:t>rade</w:t>
            </w:r>
            <w:r>
              <w:t xml:space="preserve">, </w:t>
            </w:r>
            <w:r w:rsidR="00E84322">
              <w:t>n</w:t>
            </w:r>
            <w:r w:rsidR="00E84322" w:rsidRPr="008E0D68">
              <w:t>ovation</w:t>
            </w:r>
            <w:r>
              <w:t xml:space="preserve">, </w:t>
            </w:r>
            <w:r w:rsidR="00E84322">
              <w:t>c</w:t>
            </w:r>
            <w:r w:rsidR="00E84322" w:rsidRPr="008E0D68">
              <w:t xml:space="preserve">ompression </w:t>
            </w:r>
            <w:r w:rsidRPr="008E0D68">
              <w:t xml:space="preserve">or </w:t>
            </w:r>
            <w:r w:rsidR="00E84322">
              <w:t>r</w:t>
            </w:r>
            <w:r w:rsidR="00E84322" w:rsidRPr="008E0D68">
              <w:t xml:space="preserve">isk </w:t>
            </w:r>
            <w:r w:rsidR="00E84322">
              <w:t>r</w:t>
            </w:r>
            <w:r w:rsidR="00E84322" w:rsidRPr="008E0D68">
              <w:t>eduction</w:t>
            </w:r>
            <w:r>
              <w:t xml:space="preserve">, </w:t>
            </w:r>
            <w:r w:rsidR="00E84322">
              <w:t>e</w:t>
            </w:r>
            <w:r w:rsidR="00E84322" w:rsidRPr="008E0D68">
              <w:t xml:space="preserve">arly </w:t>
            </w:r>
            <w:r w:rsidRPr="008E0D68">
              <w:t>termination</w:t>
            </w:r>
            <w:r>
              <w:t xml:space="preserve">, </w:t>
            </w:r>
            <w:r w:rsidR="00E84322">
              <w:t>c</w:t>
            </w:r>
            <w:r w:rsidR="00E84322" w:rsidRPr="008E0D68">
              <w:t>learing</w:t>
            </w:r>
            <w:r>
              <w:t xml:space="preserve">, </w:t>
            </w:r>
            <w:r w:rsidR="00E84322">
              <w:t>e</w:t>
            </w:r>
            <w:r w:rsidR="00E84322" w:rsidRPr="008E0D68">
              <w:t>xercise</w:t>
            </w:r>
            <w:r>
              <w:t xml:space="preserve">, </w:t>
            </w:r>
            <w:r w:rsidR="00E84322">
              <w:t>a</w:t>
            </w:r>
            <w:r w:rsidR="00E84322" w:rsidRPr="008E0D68">
              <w:t>llocation</w:t>
            </w:r>
            <w:r>
              <w:t xml:space="preserve">, </w:t>
            </w:r>
            <w:r w:rsidR="00E84322">
              <w:t>c</w:t>
            </w:r>
            <w:r w:rsidR="00E84322" w:rsidRPr="008E0D68">
              <w:t xml:space="preserve">learing </w:t>
            </w:r>
            <w:r w:rsidRPr="008E0D68">
              <w:t xml:space="preserve">&amp; </w:t>
            </w:r>
            <w:r w:rsidR="00E84322">
              <w:t>a</w:t>
            </w:r>
            <w:r w:rsidR="00E84322" w:rsidRPr="008E0D68">
              <w:t>llocation</w:t>
            </w:r>
            <w:r>
              <w:t xml:space="preserve">, </w:t>
            </w:r>
            <w:r w:rsidR="00E84322">
              <w:t>c</w:t>
            </w:r>
            <w:r w:rsidR="00E84322" w:rsidRPr="008E0D68">
              <w:t xml:space="preserve">redit </w:t>
            </w:r>
            <w:r w:rsidRPr="008E0D68">
              <w:t>event</w:t>
            </w:r>
            <w:r>
              <w:t xml:space="preserve">, </w:t>
            </w:r>
            <w:r w:rsidR="00E84322">
              <w:t>t</w:t>
            </w:r>
            <w:r w:rsidR="00E84322" w:rsidRPr="008E0D68">
              <w:t>ransfer</w:t>
            </w:r>
            <w:r>
              <w:t xml:space="preserve">, </w:t>
            </w:r>
            <w:r w:rsidR="00E84322">
              <w:t>misreporting.</w:t>
            </w:r>
          </w:p>
        </w:tc>
        <w:tc>
          <w:tcPr>
            <w:tcW w:w="408" w:type="pct"/>
          </w:tcPr>
          <w:p w14:paraId="717FCB34" w14:textId="5C1953B0" w:rsidR="004E304A" w:rsidRDefault="004E304A" w:rsidP="00741274">
            <w:pPr>
              <w:pStyle w:val="tbltext"/>
              <w:spacing w:before="100"/>
              <w:jc w:val="center"/>
            </w:pPr>
            <w:r>
              <w:t>n/a</w:t>
            </w:r>
          </w:p>
        </w:tc>
        <w:tc>
          <w:tcPr>
            <w:tcW w:w="408" w:type="pct"/>
          </w:tcPr>
          <w:p w14:paraId="4EA37796" w14:textId="7CF78CE3" w:rsidR="004E304A" w:rsidRDefault="004E304A" w:rsidP="00741274">
            <w:pPr>
              <w:pStyle w:val="tbltext"/>
              <w:spacing w:before="100"/>
              <w:jc w:val="center"/>
            </w:pPr>
            <w:r>
              <w:t>27</w:t>
            </w:r>
          </w:p>
        </w:tc>
        <w:tc>
          <w:tcPr>
            <w:tcW w:w="408" w:type="pct"/>
          </w:tcPr>
          <w:p w14:paraId="702F8C55" w14:textId="6F148C7C" w:rsidR="004E304A" w:rsidRDefault="004E304A" w:rsidP="00741274">
            <w:pPr>
              <w:pStyle w:val="tbltext"/>
              <w:spacing w:before="100"/>
              <w:jc w:val="center"/>
            </w:pPr>
            <w:r>
              <w:t>2.150</w:t>
            </w:r>
          </w:p>
        </w:tc>
        <w:tc>
          <w:tcPr>
            <w:tcW w:w="408" w:type="pct"/>
          </w:tcPr>
          <w:p w14:paraId="6B2786B9" w14:textId="58D8874C" w:rsidR="004E304A" w:rsidRDefault="004E304A" w:rsidP="00741274">
            <w:pPr>
              <w:pStyle w:val="tbltext"/>
              <w:spacing w:before="100"/>
              <w:jc w:val="center"/>
            </w:pPr>
            <w:r>
              <w:t>n/a</w:t>
            </w:r>
          </w:p>
        </w:tc>
      </w:tr>
      <w:tr w:rsidR="004E304A" w:rsidRPr="000540E1" w14:paraId="063279EA" w14:textId="77777777" w:rsidTr="000D1BA2">
        <w:trPr>
          <w:cantSplit/>
        </w:trPr>
        <w:tc>
          <w:tcPr>
            <w:tcW w:w="928" w:type="pct"/>
          </w:tcPr>
          <w:p w14:paraId="2D2F5218" w14:textId="17EF3660" w:rsidR="004E304A" w:rsidRDefault="004E304A" w:rsidP="00741274">
            <w:pPr>
              <w:pStyle w:val="tbltext"/>
              <w:spacing w:before="100"/>
            </w:pPr>
            <w:r>
              <w:t>Report submitting entity ID</w:t>
            </w:r>
          </w:p>
        </w:tc>
        <w:tc>
          <w:tcPr>
            <w:tcW w:w="2439" w:type="pct"/>
          </w:tcPr>
          <w:p w14:paraId="7B636EAF" w14:textId="0CC156F3" w:rsidR="004E304A" w:rsidRDefault="004E304A" w:rsidP="00741274">
            <w:pPr>
              <w:pStyle w:val="tbltext"/>
              <w:spacing w:before="100"/>
            </w:pPr>
            <w:r>
              <w:t xml:space="preserve">{ASIC} </w:t>
            </w:r>
            <w:r w:rsidRPr="00182491">
              <w:t xml:space="preserve">Identifier of the entity submitting the data to the </w:t>
            </w:r>
            <w:r w:rsidR="00E84322">
              <w:t>derivative trade r</w:t>
            </w:r>
            <w:r w:rsidR="00E84322" w:rsidRPr="00182491">
              <w:t>epository</w:t>
            </w:r>
            <w:r w:rsidR="00787D98">
              <w:t>,</w:t>
            </w:r>
            <w:r>
              <w:t xml:space="preserve"> and will be:</w:t>
            </w:r>
          </w:p>
          <w:p w14:paraId="3414398A" w14:textId="6ED7A5D5" w:rsidR="004E304A" w:rsidRDefault="00E84322" w:rsidP="00741274">
            <w:pPr>
              <w:pStyle w:val="tablebullet"/>
              <w:spacing w:before="100"/>
            </w:pPr>
            <w:r>
              <w:t xml:space="preserve">counterparty </w:t>
            </w:r>
            <w:r w:rsidR="004E304A">
              <w:t>1 if it has reported on its own behalf; or</w:t>
            </w:r>
          </w:p>
          <w:p w14:paraId="0B6D25A2" w14:textId="78DD5B76" w:rsidR="004E304A" w:rsidRDefault="00E84322" w:rsidP="00741274">
            <w:pPr>
              <w:pStyle w:val="tablebullet"/>
              <w:spacing w:before="100"/>
            </w:pPr>
            <w:r>
              <w:t xml:space="preserve">the </w:t>
            </w:r>
            <w:r w:rsidR="004E304A">
              <w:t xml:space="preserve">entity that has reported on behalf of </w:t>
            </w:r>
            <w:r>
              <w:t xml:space="preserve">counterparty </w:t>
            </w:r>
            <w:r w:rsidR="004E304A">
              <w:t>1</w:t>
            </w:r>
            <w:r>
              <w:t>.</w:t>
            </w:r>
          </w:p>
        </w:tc>
        <w:tc>
          <w:tcPr>
            <w:tcW w:w="408" w:type="pct"/>
          </w:tcPr>
          <w:p w14:paraId="75497331" w14:textId="1E2FC24E" w:rsidR="004E304A" w:rsidRDefault="004E304A" w:rsidP="00741274">
            <w:pPr>
              <w:pStyle w:val="tbltext"/>
              <w:spacing w:before="100"/>
              <w:jc w:val="center"/>
            </w:pPr>
            <w:r>
              <w:t>n/a</w:t>
            </w:r>
          </w:p>
        </w:tc>
        <w:tc>
          <w:tcPr>
            <w:tcW w:w="408" w:type="pct"/>
          </w:tcPr>
          <w:p w14:paraId="1DD5199C" w14:textId="1B22FDCE" w:rsidR="004E304A" w:rsidRDefault="004E304A" w:rsidP="00741274">
            <w:pPr>
              <w:pStyle w:val="tbltext"/>
              <w:spacing w:before="100"/>
              <w:jc w:val="center"/>
            </w:pPr>
            <w:r>
              <w:t>22</w:t>
            </w:r>
          </w:p>
        </w:tc>
        <w:tc>
          <w:tcPr>
            <w:tcW w:w="408" w:type="pct"/>
          </w:tcPr>
          <w:p w14:paraId="1344446D" w14:textId="5C890F47" w:rsidR="004E304A" w:rsidRDefault="004E304A" w:rsidP="00741274">
            <w:pPr>
              <w:pStyle w:val="tbltext"/>
              <w:spacing w:before="100"/>
              <w:jc w:val="center"/>
            </w:pPr>
            <w:r>
              <w:t>1.2</w:t>
            </w:r>
          </w:p>
        </w:tc>
        <w:tc>
          <w:tcPr>
            <w:tcW w:w="408" w:type="pct"/>
          </w:tcPr>
          <w:p w14:paraId="3D01B967" w14:textId="520F8C92" w:rsidR="004E304A" w:rsidRDefault="004E304A" w:rsidP="00741274">
            <w:pPr>
              <w:pStyle w:val="tbltext"/>
              <w:spacing w:before="100"/>
              <w:jc w:val="center"/>
            </w:pPr>
            <w:r>
              <w:t>1.12</w:t>
            </w:r>
          </w:p>
        </w:tc>
      </w:tr>
      <w:tr w:rsidR="004E304A" w:rsidRPr="000540E1" w14:paraId="5EF3A78F" w14:textId="77777777" w:rsidTr="000D1BA2">
        <w:trPr>
          <w:cantSplit/>
        </w:trPr>
        <w:tc>
          <w:tcPr>
            <w:tcW w:w="928" w:type="pct"/>
          </w:tcPr>
          <w:p w14:paraId="64468B97" w14:textId="77777777" w:rsidR="004E304A" w:rsidRDefault="004E304A" w:rsidP="00741274">
            <w:pPr>
              <w:pStyle w:val="tbltext"/>
              <w:spacing w:before="100"/>
            </w:pPr>
            <w:r>
              <w:t>Reporting timestamp</w:t>
            </w:r>
          </w:p>
        </w:tc>
        <w:tc>
          <w:tcPr>
            <w:tcW w:w="2439" w:type="pct"/>
          </w:tcPr>
          <w:p w14:paraId="01661C8A" w14:textId="51DD08E0" w:rsidR="004E304A" w:rsidRDefault="004E304A" w:rsidP="00741274">
            <w:pPr>
              <w:pStyle w:val="tbltext"/>
              <w:spacing w:before="100"/>
            </w:pPr>
            <w:r>
              <w:t xml:space="preserve">The time and date the report about a </w:t>
            </w:r>
            <w:r w:rsidR="00A65611">
              <w:t>reportable transact</w:t>
            </w:r>
            <w:r>
              <w:t xml:space="preserve">ion is reported to the </w:t>
            </w:r>
            <w:r w:rsidR="008A5B87">
              <w:t>derivative trade repository</w:t>
            </w:r>
            <w:r>
              <w:t>.</w:t>
            </w:r>
          </w:p>
        </w:tc>
        <w:tc>
          <w:tcPr>
            <w:tcW w:w="408" w:type="pct"/>
          </w:tcPr>
          <w:p w14:paraId="45619733" w14:textId="6A3B98C3" w:rsidR="004E304A" w:rsidRDefault="004E304A" w:rsidP="00741274">
            <w:pPr>
              <w:pStyle w:val="tbltext"/>
              <w:spacing w:before="100"/>
              <w:jc w:val="center"/>
            </w:pPr>
            <w:r>
              <w:t>n/a</w:t>
            </w:r>
          </w:p>
        </w:tc>
        <w:tc>
          <w:tcPr>
            <w:tcW w:w="408" w:type="pct"/>
          </w:tcPr>
          <w:p w14:paraId="4BF25ACA" w14:textId="77777777" w:rsidR="004E304A" w:rsidRDefault="004E304A" w:rsidP="00741274">
            <w:pPr>
              <w:pStyle w:val="tbltext"/>
              <w:spacing w:before="100"/>
              <w:jc w:val="center"/>
            </w:pPr>
            <w:r>
              <w:t>97</w:t>
            </w:r>
          </w:p>
        </w:tc>
        <w:tc>
          <w:tcPr>
            <w:tcW w:w="408" w:type="pct"/>
          </w:tcPr>
          <w:p w14:paraId="2B91E5D4" w14:textId="77777777" w:rsidR="004E304A" w:rsidRDefault="004E304A" w:rsidP="00741274">
            <w:pPr>
              <w:pStyle w:val="tbltext"/>
              <w:spacing w:before="100"/>
              <w:jc w:val="center"/>
            </w:pPr>
            <w:r>
              <w:t>1.1</w:t>
            </w:r>
          </w:p>
        </w:tc>
        <w:tc>
          <w:tcPr>
            <w:tcW w:w="408" w:type="pct"/>
          </w:tcPr>
          <w:p w14:paraId="172AC5D1" w14:textId="77777777" w:rsidR="004E304A" w:rsidRDefault="004E304A" w:rsidP="00741274">
            <w:pPr>
              <w:pStyle w:val="tbltext"/>
              <w:spacing w:before="100"/>
              <w:jc w:val="center"/>
            </w:pPr>
            <w:r>
              <w:t>1.39</w:t>
            </w:r>
          </w:p>
        </w:tc>
      </w:tr>
      <w:tr w:rsidR="004E304A" w:rsidRPr="000540E1" w14:paraId="7BE5F582" w14:textId="77777777" w:rsidTr="000D1BA2">
        <w:trPr>
          <w:cantSplit/>
        </w:trPr>
        <w:tc>
          <w:tcPr>
            <w:tcW w:w="928" w:type="pct"/>
          </w:tcPr>
          <w:p w14:paraId="4EC9EA16" w14:textId="77777777" w:rsidR="004E304A" w:rsidRPr="000540E1" w:rsidRDefault="004E304A" w:rsidP="00741274">
            <w:pPr>
              <w:pStyle w:val="tbltext"/>
              <w:spacing w:before="100"/>
            </w:pPr>
            <w:r>
              <w:t>Jurisdiction</w:t>
            </w:r>
          </w:p>
        </w:tc>
        <w:tc>
          <w:tcPr>
            <w:tcW w:w="2439" w:type="pct"/>
          </w:tcPr>
          <w:p w14:paraId="00347752" w14:textId="5F0AB7B3" w:rsidR="004E304A" w:rsidRDefault="004E304A" w:rsidP="00741274">
            <w:pPr>
              <w:pStyle w:val="tbltext"/>
              <w:spacing w:before="100"/>
            </w:pPr>
            <w:r>
              <w:t xml:space="preserve">{ASIC} </w:t>
            </w:r>
            <w:r w:rsidRPr="005A1E16">
              <w:t>The jurisdiction(s) that is requiring the reporting of the transaction</w:t>
            </w:r>
            <w:r>
              <w:t xml:space="preserve"> </w:t>
            </w:r>
            <w:r w:rsidRPr="00790DEA">
              <w:t xml:space="preserve">by </w:t>
            </w:r>
            <w:r w:rsidR="00E84322">
              <w:t>c</w:t>
            </w:r>
            <w:r w:rsidR="00E84322" w:rsidRPr="00790DEA">
              <w:t xml:space="preserve">ounterparty </w:t>
            </w:r>
            <w:r w:rsidRPr="00790DEA">
              <w:t>1.</w:t>
            </w:r>
          </w:p>
          <w:p w14:paraId="3326292E" w14:textId="54792B0F" w:rsidR="004E304A" w:rsidRPr="000540E1" w:rsidRDefault="004E304A" w:rsidP="00741274">
            <w:pPr>
              <w:pStyle w:val="tbltext"/>
              <w:spacing w:before="100"/>
            </w:pPr>
            <w:r>
              <w:t>Jurisdictions identified by ISO 3166 2-character country codes</w:t>
            </w:r>
          </w:p>
        </w:tc>
        <w:tc>
          <w:tcPr>
            <w:tcW w:w="408" w:type="pct"/>
          </w:tcPr>
          <w:p w14:paraId="5A06A5B9" w14:textId="33048351" w:rsidR="004E304A" w:rsidRPr="000540E1" w:rsidRDefault="004E304A" w:rsidP="00741274">
            <w:pPr>
              <w:pStyle w:val="tbltext"/>
              <w:spacing w:before="100"/>
              <w:jc w:val="center"/>
            </w:pPr>
            <w:r>
              <w:t>n/a</w:t>
            </w:r>
          </w:p>
        </w:tc>
        <w:tc>
          <w:tcPr>
            <w:tcW w:w="408" w:type="pct"/>
          </w:tcPr>
          <w:p w14:paraId="4C108625" w14:textId="77777777" w:rsidR="004E304A" w:rsidRPr="000540E1" w:rsidRDefault="004E304A" w:rsidP="00741274">
            <w:pPr>
              <w:pStyle w:val="tbltext"/>
              <w:spacing w:before="100"/>
              <w:jc w:val="center"/>
            </w:pPr>
            <w:r>
              <w:t>104</w:t>
            </w:r>
          </w:p>
        </w:tc>
        <w:tc>
          <w:tcPr>
            <w:tcW w:w="408" w:type="pct"/>
          </w:tcPr>
          <w:p w14:paraId="30F70E69" w14:textId="3B53D960" w:rsidR="004E304A" w:rsidRPr="000540E1" w:rsidRDefault="004E304A" w:rsidP="00741274">
            <w:pPr>
              <w:pStyle w:val="tbltext"/>
              <w:spacing w:before="100"/>
              <w:jc w:val="center"/>
            </w:pPr>
            <w:r>
              <w:t>n/a</w:t>
            </w:r>
          </w:p>
        </w:tc>
        <w:tc>
          <w:tcPr>
            <w:tcW w:w="408" w:type="pct"/>
          </w:tcPr>
          <w:p w14:paraId="10F0AB3D" w14:textId="48B98EBB" w:rsidR="004E304A" w:rsidRPr="000540E1" w:rsidRDefault="004E304A" w:rsidP="00741274">
            <w:pPr>
              <w:pStyle w:val="tbltext"/>
              <w:spacing w:before="100"/>
              <w:jc w:val="center"/>
            </w:pPr>
            <w:r>
              <w:t>n/a</w:t>
            </w:r>
          </w:p>
        </w:tc>
      </w:tr>
      <w:tr w:rsidR="004E304A" w:rsidRPr="000540E1" w14:paraId="02492456" w14:textId="77777777" w:rsidTr="000D1BA2">
        <w:trPr>
          <w:cantSplit/>
        </w:trPr>
        <w:tc>
          <w:tcPr>
            <w:tcW w:w="928" w:type="pct"/>
          </w:tcPr>
          <w:p w14:paraId="497E7008" w14:textId="02740A2A" w:rsidR="004E304A" w:rsidRDefault="004E304A" w:rsidP="00741274">
            <w:pPr>
              <w:pStyle w:val="tbltext"/>
              <w:spacing w:before="100"/>
            </w:pPr>
            <w:bookmarkStart w:id="134" w:name="_Hlk54157082"/>
            <w:r>
              <w:t>Embedded option type</w:t>
            </w:r>
            <w:bookmarkEnd w:id="134"/>
          </w:p>
        </w:tc>
        <w:tc>
          <w:tcPr>
            <w:tcW w:w="2439" w:type="pct"/>
          </w:tcPr>
          <w:p w14:paraId="129CBDF2" w14:textId="40BA431E" w:rsidR="004E304A" w:rsidRDefault="004E304A" w:rsidP="00741274">
            <w:pPr>
              <w:pStyle w:val="tbltext"/>
              <w:spacing w:before="100"/>
            </w:pPr>
            <w:r>
              <w:t xml:space="preserve">{CFTC} </w:t>
            </w:r>
            <w:r w:rsidRPr="005A1E16">
              <w:t>Type of option or optional provision embedded in a contract.</w:t>
            </w:r>
          </w:p>
        </w:tc>
        <w:tc>
          <w:tcPr>
            <w:tcW w:w="408" w:type="pct"/>
          </w:tcPr>
          <w:p w14:paraId="222FBAFE" w14:textId="1B17D68F" w:rsidR="004E304A" w:rsidRPr="000540E1" w:rsidRDefault="004E304A" w:rsidP="00741274">
            <w:pPr>
              <w:pStyle w:val="tbltext"/>
              <w:spacing w:before="100"/>
              <w:jc w:val="center"/>
            </w:pPr>
            <w:r>
              <w:t>n/a</w:t>
            </w:r>
          </w:p>
        </w:tc>
        <w:tc>
          <w:tcPr>
            <w:tcW w:w="408" w:type="pct"/>
          </w:tcPr>
          <w:p w14:paraId="1C256017" w14:textId="54DD071C" w:rsidR="004E304A" w:rsidRDefault="004E304A" w:rsidP="00741274">
            <w:pPr>
              <w:pStyle w:val="tbltext"/>
              <w:spacing w:before="100"/>
              <w:jc w:val="center"/>
            </w:pPr>
            <w:r>
              <w:t>86</w:t>
            </w:r>
          </w:p>
        </w:tc>
        <w:tc>
          <w:tcPr>
            <w:tcW w:w="408" w:type="pct"/>
          </w:tcPr>
          <w:p w14:paraId="60E42693" w14:textId="25BF2083" w:rsidR="004E304A" w:rsidRPr="000540E1" w:rsidRDefault="004E304A" w:rsidP="00741274">
            <w:pPr>
              <w:pStyle w:val="tbltext"/>
              <w:spacing w:before="100"/>
              <w:jc w:val="center"/>
            </w:pPr>
            <w:r>
              <w:t>n/a</w:t>
            </w:r>
          </w:p>
        </w:tc>
        <w:tc>
          <w:tcPr>
            <w:tcW w:w="408" w:type="pct"/>
          </w:tcPr>
          <w:p w14:paraId="2BA8B589" w14:textId="5732262F" w:rsidR="004E304A" w:rsidRPr="000540E1" w:rsidRDefault="004E304A" w:rsidP="00741274">
            <w:pPr>
              <w:pStyle w:val="tbltext"/>
              <w:spacing w:before="100"/>
              <w:jc w:val="center"/>
            </w:pPr>
            <w:r>
              <w:t>n/a</w:t>
            </w:r>
          </w:p>
        </w:tc>
      </w:tr>
    </w:tbl>
    <w:p w14:paraId="5E47F65F" w14:textId="3936355B" w:rsidR="004345C5" w:rsidRPr="004345C5" w:rsidRDefault="004345C5" w:rsidP="004345C5">
      <w:pPr>
        <w:pStyle w:val="BodyText"/>
        <w:rPr>
          <w:rFonts w:eastAsiaTheme="minorHAnsi"/>
        </w:rPr>
      </w:pPr>
      <w:r w:rsidRPr="004345C5">
        <w:rPr>
          <w:rFonts w:eastAsiaTheme="minorHAnsi"/>
        </w:rPr>
        <w:t>‘Jurisdiction’ is a data element in the final CFTC rules with the definition of ‘The jurisdiction(s) that is requiring the reporting of the swap transaction’ and allowed values of</w:t>
      </w:r>
      <w:r w:rsidR="00A66E84">
        <w:rPr>
          <w:rFonts w:eastAsiaTheme="minorHAnsi"/>
        </w:rPr>
        <w:t>:</w:t>
      </w:r>
    </w:p>
    <w:p w14:paraId="09C38F1B" w14:textId="5FCB0D8F" w:rsidR="004345C5" w:rsidRDefault="004345C5" w:rsidP="004345C5">
      <w:pPr>
        <w:pStyle w:val="Bodytextplain"/>
        <w:rPr>
          <w:rFonts w:eastAsiaTheme="minorHAnsi"/>
        </w:rPr>
      </w:pPr>
      <w:r>
        <w:rPr>
          <w:rFonts w:eastAsiaTheme="minorHAnsi"/>
        </w:rPr>
        <w:t>CFTC</w:t>
      </w:r>
      <w:r>
        <w:rPr>
          <w:rFonts w:eastAsiaTheme="minorHAnsi"/>
        </w:rPr>
        <w:tab/>
      </w:r>
      <w:r w:rsidRPr="00A65F85">
        <w:rPr>
          <w:rFonts w:eastAsiaTheme="minorHAnsi"/>
        </w:rPr>
        <w:t xml:space="preserve">= </w:t>
      </w:r>
      <w:r w:rsidRPr="00811FE7">
        <w:rPr>
          <w:rFonts w:eastAsiaTheme="minorHAnsi"/>
        </w:rPr>
        <w:t>Commodity Futures Trading Commission</w:t>
      </w:r>
      <w:r>
        <w:rPr>
          <w:rFonts w:eastAsiaTheme="minorHAnsi"/>
        </w:rPr>
        <w:br/>
        <w:t>SECH</w:t>
      </w:r>
      <w:r>
        <w:rPr>
          <w:rFonts w:eastAsiaTheme="minorHAnsi"/>
        </w:rPr>
        <w:tab/>
      </w:r>
      <w:r w:rsidRPr="00A65F85">
        <w:rPr>
          <w:rFonts w:eastAsiaTheme="minorHAnsi"/>
        </w:rPr>
        <w:t xml:space="preserve">= </w:t>
      </w:r>
      <w:r w:rsidRPr="00811FE7">
        <w:rPr>
          <w:rFonts w:eastAsiaTheme="minorHAnsi"/>
        </w:rPr>
        <w:t>US Securities and Exchange Commission</w:t>
      </w:r>
      <w:r>
        <w:rPr>
          <w:rFonts w:eastAsiaTheme="minorHAnsi"/>
        </w:rPr>
        <w:br/>
      </w:r>
      <w:r w:rsidRPr="00811FE7">
        <w:rPr>
          <w:rFonts w:eastAsiaTheme="minorHAnsi"/>
        </w:rPr>
        <w:t>MIXX</w:t>
      </w:r>
      <w:r>
        <w:rPr>
          <w:rFonts w:eastAsiaTheme="minorHAnsi"/>
        </w:rPr>
        <w:tab/>
      </w:r>
      <w:r w:rsidRPr="00811FE7">
        <w:rPr>
          <w:rFonts w:eastAsiaTheme="minorHAnsi"/>
        </w:rPr>
        <w:t>= Mixed</w:t>
      </w:r>
    </w:p>
    <w:p w14:paraId="2E55A433" w14:textId="5AED347F" w:rsidR="004345C5" w:rsidRDefault="004345C5" w:rsidP="004345C5">
      <w:pPr>
        <w:pStyle w:val="BodyText"/>
        <w:rPr>
          <w:rFonts w:eastAsiaTheme="minorHAnsi"/>
        </w:rPr>
      </w:pPr>
      <w:r>
        <w:rPr>
          <w:rFonts w:eastAsiaTheme="minorHAnsi"/>
        </w:rPr>
        <w:t xml:space="preserve">As we understand it, the CFTC intends that ‘MIXX’ would apply to a transaction that is reportable under the rules of more than one jurisdiction by either or both of </w:t>
      </w:r>
      <w:r w:rsidR="00A66E84">
        <w:rPr>
          <w:rFonts w:eastAsiaTheme="minorHAnsi"/>
        </w:rPr>
        <w:t xml:space="preserve">counterparty </w:t>
      </w:r>
      <w:r>
        <w:rPr>
          <w:rFonts w:eastAsiaTheme="minorHAnsi"/>
        </w:rPr>
        <w:t xml:space="preserve">1 and </w:t>
      </w:r>
      <w:r w:rsidR="00A66E84">
        <w:rPr>
          <w:rFonts w:eastAsiaTheme="minorHAnsi"/>
        </w:rPr>
        <w:t xml:space="preserve">counterparty </w:t>
      </w:r>
      <w:r>
        <w:rPr>
          <w:rFonts w:eastAsiaTheme="minorHAnsi"/>
        </w:rPr>
        <w:t>2.</w:t>
      </w:r>
    </w:p>
    <w:p w14:paraId="26890482" w14:textId="48519107" w:rsidR="004345C5" w:rsidRDefault="004345C5" w:rsidP="00741274">
      <w:pPr>
        <w:pStyle w:val="BodyText"/>
        <w:spacing w:before="220" w:line="310" w:lineRule="atLeast"/>
        <w:rPr>
          <w:rFonts w:eastAsiaTheme="minorHAnsi"/>
        </w:rPr>
      </w:pPr>
      <w:r>
        <w:rPr>
          <w:rFonts w:eastAsiaTheme="minorHAnsi"/>
        </w:rPr>
        <w:lastRenderedPageBreak/>
        <w:t xml:space="preserve">We </w:t>
      </w:r>
      <w:r w:rsidR="009C1E8B">
        <w:rPr>
          <w:rFonts w:eastAsiaTheme="minorHAnsi"/>
        </w:rPr>
        <w:t>consider</w:t>
      </w:r>
      <w:r>
        <w:rPr>
          <w:rFonts w:eastAsiaTheme="minorHAnsi"/>
        </w:rPr>
        <w:t xml:space="preserve"> a ‘</w:t>
      </w:r>
      <w:r w:rsidR="00A66E84">
        <w:rPr>
          <w:rFonts w:eastAsiaTheme="minorHAnsi"/>
        </w:rPr>
        <w:t xml:space="preserve">jurisdiction’ </w:t>
      </w:r>
      <w:r>
        <w:rPr>
          <w:rFonts w:eastAsiaTheme="minorHAnsi"/>
        </w:rPr>
        <w:t>data element is important to the Australian regulators for reasons such as:</w:t>
      </w:r>
    </w:p>
    <w:p w14:paraId="717EA9BE" w14:textId="77777777" w:rsidR="004345C5" w:rsidRDefault="004345C5" w:rsidP="00741274">
      <w:pPr>
        <w:pStyle w:val="subparaa"/>
        <w:spacing w:before="120" w:line="310" w:lineRule="atLeast"/>
        <w:rPr>
          <w:rFonts w:eastAsiaTheme="minorHAnsi"/>
        </w:rPr>
      </w:pPr>
      <w:r>
        <w:rPr>
          <w:rFonts w:eastAsiaTheme="minorHAnsi"/>
        </w:rPr>
        <w:t>assessment of the reporting benefits of maintaining alignment of the ASIC Rules data elements with those of other jurisdictions to which the transaction is also reported; and</w:t>
      </w:r>
    </w:p>
    <w:p w14:paraId="2342D8E8" w14:textId="59D8BF37" w:rsidR="004345C5" w:rsidRDefault="004345C5" w:rsidP="00741274">
      <w:pPr>
        <w:pStyle w:val="subparaa"/>
        <w:spacing w:before="120" w:line="310" w:lineRule="atLeast"/>
        <w:rPr>
          <w:rFonts w:eastAsiaTheme="minorHAnsi"/>
        </w:rPr>
      </w:pPr>
      <w:r>
        <w:rPr>
          <w:rFonts w:eastAsiaTheme="minorHAnsi"/>
        </w:rPr>
        <w:t>providing information about which jurisdiction’s rules may have applied to the generation of the UTI of the transaction</w:t>
      </w:r>
      <w:r w:rsidR="00A66E84">
        <w:rPr>
          <w:rFonts w:eastAsiaTheme="minorHAnsi"/>
        </w:rPr>
        <w:t>.</w:t>
      </w:r>
    </w:p>
    <w:p w14:paraId="0D14492D" w14:textId="6EBAB8EE" w:rsidR="004345C5" w:rsidRDefault="004345C5" w:rsidP="00741274">
      <w:pPr>
        <w:pStyle w:val="BodyText"/>
        <w:spacing w:before="220" w:line="310" w:lineRule="atLeast"/>
        <w:rPr>
          <w:rFonts w:eastAsiaTheme="minorHAnsi"/>
        </w:rPr>
      </w:pPr>
      <w:r>
        <w:rPr>
          <w:rFonts w:eastAsiaTheme="minorHAnsi"/>
        </w:rPr>
        <w:t>However, we think a ‘</w:t>
      </w:r>
      <w:r w:rsidR="00A66E84">
        <w:rPr>
          <w:rFonts w:eastAsiaTheme="minorHAnsi"/>
        </w:rPr>
        <w:t xml:space="preserve">jurisdiction’ </w:t>
      </w:r>
      <w:r>
        <w:rPr>
          <w:rFonts w:eastAsiaTheme="minorHAnsi"/>
        </w:rPr>
        <w:t xml:space="preserve">data element should just refer to the jurisdictions to which </w:t>
      </w:r>
      <w:r w:rsidR="00A66E84">
        <w:rPr>
          <w:rFonts w:eastAsiaTheme="minorHAnsi"/>
        </w:rPr>
        <w:t xml:space="preserve">counterparty </w:t>
      </w:r>
      <w:r>
        <w:rPr>
          <w:rFonts w:eastAsiaTheme="minorHAnsi"/>
        </w:rPr>
        <w:t xml:space="preserve">1 (reporting counterparty) is required to report the transaction, rather than also including the jurisdictions to which </w:t>
      </w:r>
      <w:r w:rsidR="00A66E84">
        <w:rPr>
          <w:rFonts w:eastAsiaTheme="minorHAnsi"/>
        </w:rPr>
        <w:t xml:space="preserve">counterparty </w:t>
      </w:r>
      <w:r>
        <w:rPr>
          <w:rFonts w:eastAsiaTheme="minorHAnsi"/>
        </w:rPr>
        <w:t>2 is required to report the transaction.</w:t>
      </w:r>
    </w:p>
    <w:p w14:paraId="21D72B5D" w14:textId="079E7FA0" w:rsidR="006606E0" w:rsidRDefault="00D070BD" w:rsidP="00741274">
      <w:pPr>
        <w:pStyle w:val="BodyText"/>
        <w:spacing w:before="220" w:line="310" w:lineRule="atLeast"/>
        <w:rPr>
          <w:rFonts w:eastAsiaTheme="minorHAnsi"/>
        </w:rPr>
      </w:pPr>
      <w:r>
        <w:rPr>
          <w:rFonts w:eastAsiaTheme="minorHAnsi"/>
        </w:rPr>
        <w:t xml:space="preserve">As we understand it, some </w:t>
      </w:r>
      <w:r w:rsidR="00787D98">
        <w:rPr>
          <w:rFonts w:eastAsiaTheme="minorHAnsi"/>
        </w:rPr>
        <w:t xml:space="preserve">trade repositories </w:t>
      </w:r>
      <w:r>
        <w:rPr>
          <w:rFonts w:eastAsiaTheme="minorHAnsi"/>
        </w:rPr>
        <w:t>require a jurisdiction flag on their in-bound reporting in order to direct the transaction report to the relevant jurisdiction. For simplicity, we propose that ‘</w:t>
      </w:r>
      <w:r w:rsidR="00A66E84">
        <w:rPr>
          <w:rFonts w:eastAsiaTheme="minorHAnsi"/>
        </w:rPr>
        <w:t xml:space="preserve">jurisdiction’ is </w:t>
      </w:r>
      <w:r>
        <w:rPr>
          <w:rFonts w:eastAsiaTheme="minorHAnsi"/>
        </w:rPr>
        <w:t xml:space="preserve">identified by a </w:t>
      </w:r>
      <w:r w:rsidR="00787D98">
        <w:rPr>
          <w:rFonts w:eastAsiaTheme="minorHAnsi"/>
        </w:rPr>
        <w:t>trade-repository</w:t>
      </w:r>
      <w:r>
        <w:rPr>
          <w:rFonts w:eastAsiaTheme="minorHAnsi"/>
        </w:rPr>
        <w:t xml:space="preserve">-agnostic ISO 3166 2-character country code, rather than with any further granularity related to the particular regulatory authority within a country to whom the transaction is reported. It may be that </w:t>
      </w:r>
      <w:r w:rsidR="00A66E84">
        <w:rPr>
          <w:rFonts w:eastAsiaTheme="minorHAnsi"/>
        </w:rPr>
        <w:t xml:space="preserve">the </w:t>
      </w:r>
      <w:r w:rsidR="00787D98">
        <w:rPr>
          <w:rFonts w:eastAsiaTheme="minorHAnsi"/>
        </w:rPr>
        <w:t>trade repository</w:t>
      </w:r>
      <w:r>
        <w:rPr>
          <w:rFonts w:eastAsiaTheme="minorHAnsi"/>
        </w:rPr>
        <w:t xml:space="preserve"> could maintain their existing </w:t>
      </w:r>
      <w:r w:rsidR="00A66E84">
        <w:rPr>
          <w:rFonts w:eastAsiaTheme="minorHAnsi"/>
        </w:rPr>
        <w:t xml:space="preserve">jurisdiction </w:t>
      </w:r>
      <w:r>
        <w:rPr>
          <w:rFonts w:eastAsiaTheme="minorHAnsi"/>
        </w:rPr>
        <w:t xml:space="preserve">flagging schema and translate </w:t>
      </w:r>
      <w:r w:rsidR="00522735">
        <w:rPr>
          <w:rFonts w:eastAsiaTheme="minorHAnsi"/>
        </w:rPr>
        <w:t>these to ISO 3166 2-character country codes in their aggregate reporting to the Australian regulators.</w:t>
      </w:r>
    </w:p>
    <w:p w14:paraId="21EA84FA" w14:textId="4B41A841" w:rsidR="006C55EE" w:rsidRPr="00CD2E27" w:rsidRDefault="006C55EE" w:rsidP="00741274">
      <w:pPr>
        <w:pStyle w:val="BodyText"/>
        <w:spacing w:before="220" w:line="310" w:lineRule="atLeast"/>
        <w:rPr>
          <w:rFonts w:eastAsiaTheme="minorHAnsi"/>
        </w:rPr>
      </w:pPr>
      <w:r>
        <w:rPr>
          <w:rFonts w:eastAsiaTheme="minorHAnsi"/>
        </w:rPr>
        <w:t>We propose an ‘</w:t>
      </w:r>
      <w:r w:rsidR="00A66E84">
        <w:rPr>
          <w:rFonts w:eastAsiaTheme="minorHAnsi"/>
        </w:rPr>
        <w:t xml:space="preserve">embedded </w:t>
      </w:r>
      <w:r>
        <w:rPr>
          <w:rFonts w:eastAsiaTheme="minorHAnsi"/>
        </w:rPr>
        <w:t xml:space="preserve">option type’ data element in the ASIC Rules. This is drawn from the final CFTC rules </w:t>
      </w:r>
      <w:r w:rsidR="00006318">
        <w:rPr>
          <w:rFonts w:eastAsiaTheme="minorHAnsi"/>
        </w:rPr>
        <w:t xml:space="preserve">and </w:t>
      </w:r>
      <w:r>
        <w:rPr>
          <w:rFonts w:eastAsiaTheme="minorHAnsi"/>
        </w:rPr>
        <w:t xml:space="preserve">provides information about transaction terms that are not ordinarily identifiable from other reported data elements. </w:t>
      </w:r>
      <w:r w:rsidR="00AA0E64">
        <w:rPr>
          <w:rFonts w:eastAsiaTheme="minorHAnsi"/>
        </w:rPr>
        <w:t xml:space="preserve">We propose to adopt the same allowed values for this </w:t>
      </w:r>
      <w:r>
        <w:rPr>
          <w:rFonts w:eastAsiaTheme="minorHAnsi"/>
        </w:rPr>
        <w:t>data element</w:t>
      </w:r>
      <w:r w:rsidR="00006318">
        <w:rPr>
          <w:rFonts w:eastAsiaTheme="minorHAnsi"/>
        </w:rPr>
        <w:t>,</w:t>
      </w:r>
      <w:r w:rsidR="00040D79">
        <w:rPr>
          <w:rFonts w:eastAsiaTheme="minorHAnsi"/>
        </w:rPr>
        <w:t xml:space="preserve"> </w:t>
      </w:r>
      <w:r w:rsidR="00006318">
        <w:rPr>
          <w:rFonts w:eastAsiaTheme="minorHAnsi"/>
        </w:rPr>
        <w:t xml:space="preserve">which are </w:t>
      </w:r>
      <w:r w:rsidR="00AA0E64">
        <w:rPr>
          <w:rFonts w:eastAsiaTheme="minorHAnsi"/>
        </w:rPr>
        <w:t xml:space="preserve">set out in </w:t>
      </w:r>
      <w:r w:rsidRPr="00CD2E27">
        <w:rPr>
          <w:rFonts w:eastAsiaTheme="minorHAnsi"/>
        </w:rPr>
        <w:t xml:space="preserve">the final CFTC rules as one of </w:t>
      </w:r>
      <w:r w:rsidR="008D3095">
        <w:rPr>
          <w:rFonts w:eastAsiaTheme="minorHAnsi"/>
        </w:rPr>
        <w:t>five</w:t>
      </w:r>
      <w:r w:rsidR="008D3095" w:rsidRPr="00CD2E27">
        <w:rPr>
          <w:rFonts w:eastAsiaTheme="minorHAnsi"/>
        </w:rPr>
        <w:t xml:space="preserve"> </w:t>
      </w:r>
      <w:r w:rsidRPr="00CD2E27">
        <w:rPr>
          <w:rFonts w:eastAsiaTheme="minorHAnsi"/>
        </w:rPr>
        <w:t>types:</w:t>
      </w:r>
    </w:p>
    <w:p w14:paraId="3CFC1DB2" w14:textId="77777777" w:rsidR="006C55EE" w:rsidRPr="006C3855" w:rsidRDefault="006C55EE" w:rsidP="00741274">
      <w:pPr>
        <w:pStyle w:val="Bodytextplain"/>
        <w:spacing w:before="220" w:line="310" w:lineRule="atLeast"/>
        <w:rPr>
          <w:rFonts w:eastAsiaTheme="minorHAnsi"/>
        </w:rPr>
      </w:pPr>
      <w:r w:rsidRPr="00A65F85">
        <w:rPr>
          <w:rFonts w:eastAsiaTheme="minorHAnsi"/>
        </w:rPr>
        <w:t>MDET</w:t>
      </w:r>
      <w:r>
        <w:rPr>
          <w:rFonts w:eastAsiaTheme="minorHAnsi"/>
        </w:rPr>
        <w:tab/>
      </w:r>
      <w:r w:rsidRPr="00A65F85">
        <w:rPr>
          <w:rFonts w:eastAsiaTheme="minorHAnsi"/>
        </w:rPr>
        <w:t>= Mandatory early termination</w:t>
      </w:r>
      <w:r>
        <w:rPr>
          <w:rFonts w:eastAsiaTheme="minorHAnsi"/>
        </w:rPr>
        <w:br/>
      </w:r>
      <w:r w:rsidRPr="00A65F85">
        <w:rPr>
          <w:rFonts w:eastAsiaTheme="minorHAnsi"/>
        </w:rPr>
        <w:t>OPET</w:t>
      </w:r>
      <w:r>
        <w:rPr>
          <w:rFonts w:eastAsiaTheme="minorHAnsi"/>
        </w:rPr>
        <w:tab/>
      </w:r>
      <w:r w:rsidRPr="00A65F85">
        <w:rPr>
          <w:rFonts w:eastAsiaTheme="minorHAnsi"/>
        </w:rPr>
        <w:t>= Optional early termination</w:t>
      </w:r>
      <w:r>
        <w:rPr>
          <w:rFonts w:eastAsiaTheme="minorHAnsi"/>
        </w:rPr>
        <w:br/>
      </w:r>
      <w:r w:rsidRPr="00A65F85">
        <w:rPr>
          <w:rFonts w:eastAsiaTheme="minorHAnsi"/>
        </w:rPr>
        <w:t>CANC</w:t>
      </w:r>
      <w:r>
        <w:rPr>
          <w:rFonts w:eastAsiaTheme="minorHAnsi"/>
        </w:rPr>
        <w:tab/>
      </w:r>
      <w:r w:rsidRPr="00A65F85">
        <w:rPr>
          <w:rFonts w:eastAsiaTheme="minorHAnsi"/>
        </w:rPr>
        <w:t>= Cancel</w:t>
      </w:r>
      <w:r>
        <w:rPr>
          <w:rFonts w:eastAsiaTheme="minorHAnsi"/>
        </w:rPr>
        <w:t>l</w:t>
      </w:r>
      <w:r w:rsidRPr="00A65F85">
        <w:rPr>
          <w:rFonts w:eastAsiaTheme="minorHAnsi"/>
        </w:rPr>
        <w:t>able</w:t>
      </w:r>
      <w:r>
        <w:rPr>
          <w:rFonts w:eastAsiaTheme="minorHAnsi"/>
        </w:rPr>
        <w:br/>
      </w:r>
      <w:r w:rsidRPr="00A65F85">
        <w:rPr>
          <w:rFonts w:eastAsiaTheme="minorHAnsi"/>
        </w:rPr>
        <w:t>EXTD</w:t>
      </w:r>
      <w:r>
        <w:rPr>
          <w:rFonts w:eastAsiaTheme="minorHAnsi"/>
        </w:rPr>
        <w:tab/>
      </w:r>
      <w:r w:rsidRPr="00A65F85">
        <w:rPr>
          <w:rFonts w:eastAsiaTheme="minorHAnsi"/>
        </w:rPr>
        <w:t>= Extendible</w:t>
      </w:r>
      <w:r>
        <w:rPr>
          <w:rFonts w:eastAsiaTheme="minorHAnsi"/>
        </w:rPr>
        <w:br/>
      </w:r>
      <w:r w:rsidRPr="00A65F85">
        <w:rPr>
          <w:rFonts w:eastAsiaTheme="minorHAnsi"/>
        </w:rPr>
        <w:t>OTHR</w:t>
      </w:r>
      <w:r>
        <w:rPr>
          <w:rFonts w:eastAsiaTheme="minorHAnsi"/>
        </w:rPr>
        <w:tab/>
      </w:r>
      <w:r w:rsidRPr="00A65F85">
        <w:rPr>
          <w:rFonts w:eastAsiaTheme="minorHAnsi"/>
        </w:rPr>
        <w:t>= Other</w:t>
      </w:r>
    </w:p>
    <w:p w14:paraId="2D4D8934" w14:textId="224CF083" w:rsidR="00790DEA" w:rsidRPr="00AA0E64" w:rsidRDefault="006C55EE" w:rsidP="00741274">
      <w:pPr>
        <w:pStyle w:val="BodyText"/>
        <w:spacing w:before="220" w:line="310" w:lineRule="atLeast"/>
        <w:rPr>
          <w:rFonts w:eastAsiaTheme="minorHAnsi"/>
        </w:rPr>
      </w:pPr>
      <w:r w:rsidRPr="006C55EE">
        <w:rPr>
          <w:rFonts w:eastAsiaTheme="minorHAnsi"/>
        </w:rPr>
        <w:t xml:space="preserve">We </w:t>
      </w:r>
      <w:r w:rsidR="009C1E8B">
        <w:rPr>
          <w:rFonts w:eastAsiaTheme="minorHAnsi"/>
        </w:rPr>
        <w:t>consider</w:t>
      </w:r>
      <w:r w:rsidRPr="006C55EE">
        <w:rPr>
          <w:rFonts w:eastAsiaTheme="minorHAnsi"/>
        </w:rPr>
        <w:t xml:space="preserve"> ‘</w:t>
      </w:r>
      <w:r w:rsidR="008D3095">
        <w:rPr>
          <w:rFonts w:eastAsiaTheme="minorHAnsi"/>
        </w:rPr>
        <w:t>e</w:t>
      </w:r>
      <w:r w:rsidRPr="006C55EE">
        <w:rPr>
          <w:rFonts w:eastAsiaTheme="minorHAnsi"/>
        </w:rPr>
        <w:t xml:space="preserve">mbedded option type’ would enable the Australian regulators to more correctly understand the risk profile of an individual transaction and the potential for market disruption events if, for example, a large number of early termination provisions were triggered in </w:t>
      </w:r>
      <w:r w:rsidR="008D3095">
        <w:rPr>
          <w:rFonts w:eastAsiaTheme="minorHAnsi"/>
        </w:rPr>
        <w:t xml:space="preserve">the </w:t>
      </w:r>
      <w:r w:rsidRPr="006C55EE">
        <w:rPr>
          <w:rFonts w:eastAsiaTheme="minorHAnsi"/>
        </w:rPr>
        <w:t>same short period of time.</w:t>
      </w:r>
    </w:p>
    <w:p w14:paraId="662686CC" w14:textId="77777777" w:rsidR="00284CD0" w:rsidRDefault="00284CD0" w:rsidP="005E2C08">
      <w:pPr>
        <w:pStyle w:val="Proposalhead"/>
      </w:pPr>
      <w:r>
        <w:t>Proposal</w:t>
      </w:r>
    </w:p>
    <w:p w14:paraId="6F0E2AA8" w14:textId="7DFCB4A3" w:rsidR="00284CD0" w:rsidRDefault="00284CD0">
      <w:pPr>
        <w:pStyle w:val="Proposaltext"/>
      </w:pPr>
      <w:r>
        <w:t xml:space="preserve">We propose to include in the ASIC Rules the non-CDE data elements set out in </w:t>
      </w:r>
      <w:r w:rsidR="008D3095">
        <w:fldChar w:fldCharType="begin"/>
      </w:r>
      <w:r w:rsidR="008D3095">
        <w:instrText xml:space="preserve"> REF _Ref56003872 \h </w:instrText>
      </w:r>
      <w:r w:rsidR="008D3095">
        <w:fldChar w:fldCharType="separate"/>
      </w:r>
      <w:r w:rsidR="00314C7E">
        <w:t xml:space="preserve">Table </w:t>
      </w:r>
      <w:r w:rsidR="00314C7E">
        <w:rPr>
          <w:noProof/>
        </w:rPr>
        <w:t>27</w:t>
      </w:r>
      <w:r w:rsidR="008D3095">
        <w:fldChar w:fldCharType="end"/>
      </w:r>
      <w:r>
        <w:t>.</w:t>
      </w:r>
    </w:p>
    <w:p w14:paraId="0D87541D" w14:textId="77777777" w:rsidR="00284CD0" w:rsidRDefault="00284CD0">
      <w:pPr>
        <w:pStyle w:val="Feedbackhead"/>
      </w:pPr>
      <w:r>
        <w:lastRenderedPageBreak/>
        <w:t>Your feedback</w:t>
      </w:r>
    </w:p>
    <w:p w14:paraId="2F042417" w14:textId="77777777" w:rsidR="00284CD0" w:rsidRDefault="00284CD0" w:rsidP="00284CD0">
      <w:pPr>
        <w:pStyle w:val="Feedbackquestion"/>
      </w:pPr>
      <w:r>
        <w:t>Do you agree with this proposal? In your response, please give detailed reasons for your answer.</w:t>
      </w:r>
    </w:p>
    <w:p w14:paraId="1BB2915D" w14:textId="4C46C945" w:rsidR="00284CD0" w:rsidRDefault="00284CD0" w:rsidP="00284CD0">
      <w:pPr>
        <w:pStyle w:val="Feedbackquestion"/>
      </w:pPr>
      <w:r w:rsidRPr="00C62732">
        <w:t xml:space="preserve">Do you consider that you will have </w:t>
      </w:r>
      <w:r w:rsidR="00790DEA">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_Ref56003872 \h </w:instrText>
      </w:r>
      <w:r w:rsidR="00CB0A2A">
        <w:fldChar w:fldCharType="separate"/>
      </w:r>
      <w:r w:rsidR="00314C7E">
        <w:t xml:space="preserve">Table </w:t>
      </w:r>
      <w:r w:rsidR="00314C7E">
        <w:rPr>
          <w:noProof/>
        </w:rPr>
        <w:t>27</w:t>
      </w:r>
      <w:r w:rsidR="00CB0A2A">
        <w:fldChar w:fldCharType="end"/>
      </w:r>
      <w:r w:rsidRPr="00C62732">
        <w:t>? In your response, please give detailed reasons for your answer.</w:t>
      </w:r>
    </w:p>
    <w:p w14:paraId="15CAB93B" w14:textId="39360BAB" w:rsidR="005A1E16" w:rsidRDefault="005A1E16" w:rsidP="004345C5">
      <w:pPr>
        <w:pStyle w:val="Heading3"/>
        <w:rPr>
          <w:rFonts w:eastAsiaTheme="minorHAnsi"/>
        </w:rPr>
      </w:pPr>
      <w:r>
        <w:rPr>
          <w:rFonts w:eastAsiaTheme="minorHAnsi"/>
        </w:rPr>
        <w:t>Other non-CDE data elements</w:t>
      </w:r>
    </w:p>
    <w:p w14:paraId="19620047" w14:textId="7BB4F6F3" w:rsidR="006D4423" w:rsidRPr="004A2760" w:rsidRDefault="006D4423" w:rsidP="00136CC5">
      <w:pPr>
        <w:pStyle w:val="BodyText"/>
        <w:spacing w:line="310" w:lineRule="atLeast"/>
        <w:rPr>
          <w:rFonts w:eastAsiaTheme="minorHAnsi"/>
        </w:rPr>
      </w:pPr>
      <w:r w:rsidRPr="004A2760">
        <w:rPr>
          <w:rFonts w:eastAsiaTheme="minorHAnsi"/>
        </w:rPr>
        <w:t>We are also considering proposing, in the second round of consultation, the data elements</w:t>
      </w:r>
      <w:r w:rsidR="004A2493">
        <w:rPr>
          <w:rFonts w:eastAsiaTheme="minorHAnsi"/>
        </w:rPr>
        <w:t xml:space="preserve"> set out in </w:t>
      </w:r>
      <w:r w:rsidR="004A2493">
        <w:rPr>
          <w:rFonts w:eastAsiaTheme="minorHAnsi"/>
        </w:rPr>
        <w:fldChar w:fldCharType="begin"/>
      </w:r>
      <w:r w:rsidR="004A2493">
        <w:rPr>
          <w:rFonts w:eastAsiaTheme="minorHAnsi"/>
        </w:rPr>
        <w:instrText xml:space="preserve"> REF _Ref56004336 \h </w:instrText>
      </w:r>
      <w:r w:rsidR="004A2493">
        <w:rPr>
          <w:rFonts w:eastAsiaTheme="minorHAnsi"/>
        </w:rPr>
      </w:r>
      <w:r w:rsidR="004A2493">
        <w:rPr>
          <w:rFonts w:eastAsiaTheme="minorHAnsi"/>
        </w:rPr>
        <w:fldChar w:fldCharType="separate"/>
      </w:r>
      <w:r w:rsidR="00314C7E">
        <w:t xml:space="preserve">Table </w:t>
      </w:r>
      <w:r w:rsidR="00314C7E">
        <w:rPr>
          <w:noProof/>
        </w:rPr>
        <w:t>28</w:t>
      </w:r>
      <w:r w:rsidR="004A2493">
        <w:rPr>
          <w:rFonts w:eastAsiaTheme="minorHAnsi"/>
        </w:rPr>
        <w:fldChar w:fldCharType="end"/>
      </w:r>
      <w:r w:rsidRPr="004A2760">
        <w:rPr>
          <w:rFonts w:eastAsiaTheme="minorHAnsi"/>
        </w:rPr>
        <w:t>.</w:t>
      </w:r>
    </w:p>
    <w:p w14:paraId="7B94CC3B" w14:textId="2825EB24" w:rsidR="00DF345B" w:rsidRPr="004857CC" w:rsidRDefault="00DF345B" w:rsidP="00DF345B">
      <w:pPr>
        <w:pStyle w:val="tabletitlefullwidth"/>
      </w:pPr>
      <w:bookmarkStart w:id="135" w:name="_Ref56004336"/>
      <w:r>
        <w:t xml:space="preserve">Table </w:t>
      </w:r>
      <w:r w:rsidR="007055A5">
        <w:fldChar w:fldCharType="begin"/>
      </w:r>
      <w:r w:rsidR="007055A5">
        <w:instrText xml:space="preserve"> SEQ Table \* ARABIC </w:instrText>
      </w:r>
      <w:r w:rsidR="007055A5">
        <w:fldChar w:fldCharType="separate"/>
      </w:r>
      <w:r w:rsidR="00314C7E">
        <w:rPr>
          <w:noProof/>
        </w:rPr>
        <w:t>28</w:t>
      </w:r>
      <w:r w:rsidR="007055A5">
        <w:rPr>
          <w:noProof/>
        </w:rPr>
        <w:fldChar w:fldCharType="end"/>
      </w:r>
      <w:bookmarkEnd w:id="135"/>
      <w:r>
        <w:t>:</w:t>
      </w:r>
      <w:r>
        <w:tab/>
      </w:r>
      <w:r w:rsidR="001C0C9D">
        <w:t>Data elements to be considered for proposal in</w:t>
      </w:r>
      <w:r w:rsidR="00E30A53">
        <w:t xml:space="preserve"> second</w:t>
      </w:r>
      <w:r w:rsidR="001C0C9D">
        <w:t xml:space="preserve"> round </w:t>
      </w:r>
      <w:r w:rsidR="00E30A53">
        <w:t>of</w:t>
      </w:r>
      <w:r w:rsidR="001C0C9D">
        <w:t xml:space="preserve"> consultation</w:t>
      </w:r>
    </w:p>
    <w:tbl>
      <w:tblPr>
        <w:tblW w:w="4995"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915"/>
        <w:gridCol w:w="3193"/>
        <w:gridCol w:w="873"/>
        <w:gridCol w:w="1337"/>
        <w:gridCol w:w="873"/>
        <w:gridCol w:w="870"/>
      </w:tblGrid>
      <w:tr w:rsidR="005A1E16" w:rsidRPr="000540E1" w14:paraId="5F527D25" w14:textId="77777777" w:rsidTr="00136CC5">
        <w:trPr>
          <w:cantSplit/>
          <w:tblHeader/>
        </w:trPr>
        <w:tc>
          <w:tcPr>
            <w:tcW w:w="1056" w:type="pct"/>
            <w:shd w:val="clear" w:color="auto" w:fill="C2E3FA"/>
          </w:tcPr>
          <w:p w14:paraId="0A930EF9" w14:textId="77777777" w:rsidR="005A1E16" w:rsidRDefault="005A1E16" w:rsidP="00DA436C">
            <w:pPr>
              <w:pStyle w:val="tablehead"/>
            </w:pPr>
          </w:p>
        </w:tc>
        <w:tc>
          <w:tcPr>
            <w:tcW w:w="1762" w:type="pct"/>
            <w:shd w:val="clear" w:color="auto" w:fill="C2E3FA"/>
          </w:tcPr>
          <w:p w14:paraId="46B20E8B" w14:textId="77777777" w:rsidR="005A1E16" w:rsidRDefault="005A1E16" w:rsidP="00DA436C">
            <w:pPr>
              <w:pStyle w:val="tablehead"/>
            </w:pPr>
          </w:p>
        </w:tc>
        <w:tc>
          <w:tcPr>
            <w:tcW w:w="2182" w:type="pct"/>
            <w:gridSpan w:val="4"/>
            <w:shd w:val="clear" w:color="auto" w:fill="C2E3FA"/>
          </w:tcPr>
          <w:p w14:paraId="37E4CB28" w14:textId="06DAE6DA" w:rsidR="005A1E16" w:rsidRPr="000540E1" w:rsidRDefault="001156A2" w:rsidP="00DA436C">
            <w:pPr>
              <w:pStyle w:val="tablehead"/>
              <w:jc w:val="center"/>
            </w:pPr>
            <w:r>
              <w:t>Element</w:t>
            </w:r>
            <w:r w:rsidR="005A1E16">
              <w:t xml:space="preserve"> number references</w:t>
            </w:r>
          </w:p>
        </w:tc>
      </w:tr>
      <w:tr w:rsidR="004A2493" w:rsidRPr="000540E1" w14:paraId="52AC2943" w14:textId="77777777" w:rsidTr="00136CC5">
        <w:trPr>
          <w:cantSplit/>
          <w:tblHeader/>
        </w:trPr>
        <w:tc>
          <w:tcPr>
            <w:tcW w:w="1056" w:type="pct"/>
            <w:shd w:val="clear" w:color="auto" w:fill="C2E3FA"/>
          </w:tcPr>
          <w:p w14:paraId="7A97D672" w14:textId="77777777" w:rsidR="005A1E16" w:rsidRDefault="005A1E16" w:rsidP="00DA436C">
            <w:pPr>
              <w:pStyle w:val="tablehead"/>
            </w:pPr>
            <w:r>
              <w:t>Data element</w:t>
            </w:r>
          </w:p>
        </w:tc>
        <w:tc>
          <w:tcPr>
            <w:tcW w:w="1762" w:type="pct"/>
            <w:shd w:val="clear" w:color="auto" w:fill="C2E3FA"/>
          </w:tcPr>
          <w:p w14:paraId="2E0AC3BC" w14:textId="2482CC68" w:rsidR="005A1E16" w:rsidRDefault="005A1E16" w:rsidP="00DA436C">
            <w:pPr>
              <w:pStyle w:val="tablehead"/>
            </w:pPr>
            <w:r>
              <w:t>Definition</w:t>
            </w:r>
            <w:r w:rsidR="00193DFB">
              <w:t>—</w:t>
            </w:r>
            <w:r w:rsidR="008D3095">
              <w:t>S</w:t>
            </w:r>
            <w:r>
              <w:t>ummary key points</w:t>
            </w:r>
          </w:p>
        </w:tc>
        <w:tc>
          <w:tcPr>
            <w:tcW w:w="482" w:type="pct"/>
            <w:shd w:val="clear" w:color="auto" w:fill="C2E3FA"/>
          </w:tcPr>
          <w:p w14:paraId="6E03C18F" w14:textId="5734F969" w:rsidR="005A1E16" w:rsidRPr="000540E1" w:rsidRDefault="005A1E16" w:rsidP="00DA436C">
            <w:pPr>
              <w:pStyle w:val="tablehead"/>
              <w:jc w:val="center"/>
            </w:pPr>
            <w:r>
              <w:t>CDE</w:t>
            </w:r>
          </w:p>
        </w:tc>
        <w:tc>
          <w:tcPr>
            <w:tcW w:w="738" w:type="pct"/>
            <w:shd w:val="clear" w:color="auto" w:fill="C2E3FA"/>
          </w:tcPr>
          <w:p w14:paraId="212588FB" w14:textId="77777777" w:rsidR="005A1E16" w:rsidRPr="000540E1" w:rsidRDefault="005A1E16" w:rsidP="00DA436C">
            <w:pPr>
              <w:pStyle w:val="tablehead"/>
              <w:jc w:val="center"/>
            </w:pPr>
            <w:r>
              <w:t>CFTC</w:t>
            </w:r>
          </w:p>
        </w:tc>
        <w:tc>
          <w:tcPr>
            <w:tcW w:w="482" w:type="pct"/>
            <w:shd w:val="clear" w:color="auto" w:fill="C2E3FA"/>
          </w:tcPr>
          <w:p w14:paraId="3804CCBE" w14:textId="1E801D70" w:rsidR="005A1E16" w:rsidRPr="000540E1" w:rsidRDefault="005C1566" w:rsidP="00DA436C">
            <w:pPr>
              <w:pStyle w:val="tablehead"/>
              <w:jc w:val="center"/>
            </w:pPr>
            <w:r>
              <w:t>ESMA</w:t>
            </w:r>
          </w:p>
        </w:tc>
        <w:tc>
          <w:tcPr>
            <w:tcW w:w="481" w:type="pct"/>
            <w:shd w:val="clear" w:color="auto" w:fill="C2E3FA"/>
          </w:tcPr>
          <w:p w14:paraId="2B2F5A69" w14:textId="77777777" w:rsidR="005A1E16" w:rsidRPr="000540E1" w:rsidRDefault="005A1E16" w:rsidP="00DA436C">
            <w:pPr>
              <w:pStyle w:val="tablehead"/>
              <w:jc w:val="center"/>
            </w:pPr>
            <w:r>
              <w:t>ASIC</w:t>
            </w:r>
          </w:p>
        </w:tc>
      </w:tr>
      <w:tr w:rsidR="004A2493" w:rsidRPr="000540E1" w14:paraId="405D1F7A" w14:textId="77777777" w:rsidTr="00136CC5">
        <w:trPr>
          <w:cantSplit/>
        </w:trPr>
        <w:tc>
          <w:tcPr>
            <w:tcW w:w="1056" w:type="pct"/>
          </w:tcPr>
          <w:p w14:paraId="064F7C98" w14:textId="77777777" w:rsidR="004E304A" w:rsidRPr="000540E1" w:rsidRDefault="004E304A" w:rsidP="004E304A">
            <w:pPr>
              <w:pStyle w:val="tbltext"/>
            </w:pPr>
            <w:r w:rsidRPr="00812ADA">
              <w:t>Maturity date of the underlying</w:t>
            </w:r>
          </w:p>
        </w:tc>
        <w:tc>
          <w:tcPr>
            <w:tcW w:w="1762" w:type="pct"/>
          </w:tcPr>
          <w:p w14:paraId="326B8E1D" w14:textId="401A30B3" w:rsidR="004E304A" w:rsidRPr="000540E1" w:rsidRDefault="004E304A" w:rsidP="004E304A">
            <w:pPr>
              <w:pStyle w:val="tbltext"/>
            </w:pPr>
            <w:r>
              <w:t xml:space="preserve">{ESMA} </w:t>
            </w:r>
            <w:r w:rsidRPr="00812ADA">
              <w:t xml:space="preserve">In </w:t>
            </w:r>
            <w:r w:rsidR="008D3095">
              <w:t xml:space="preserve">the </w:t>
            </w:r>
            <w:r w:rsidRPr="00812ADA">
              <w:t>case of swaptions, maturity date of the underlying swap</w:t>
            </w:r>
            <w:r w:rsidR="004A2493">
              <w:t>.</w:t>
            </w:r>
          </w:p>
        </w:tc>
        <w:tc>
          <w:tcPr>
            <w:tcW w:w="482" w:type="pct"/>
          </w:tcPr>
          <w:p w14:paraId="6337BF88" w14:textId="3CE08762" w:rsidR="004E304A" w:rsidRPr="000540E1" w:rsidRDefault="004E304A" w:rsidP="004E304A">
            <w:pPr>
              <w:pStyle w:val="tbltext"/>
              <w:jc w:val="center"/>
            </w:pPr>
            <w:r>
              <w:t>n/a</w:t>
            </w:r>
          </w:p>
        </w:tc>
        <w:tc>
          <w:tcPr>
            <w:tcW w:w="738" w:type="pct"/>
          </w:tcPr>
          <w:p w14:paraId="6CBBABCE" w14:textId="6F175522" w:rsidR="004E304A" w:rsidRPr="000540E1" w:rsidRDefault="004A2493" w:rsidP="004E304A">
            <w:pPr>
              <w:pStyle w:val="tbltext"/>
              <w:jc w:val="center"/>
            </w:pPr>
            <w:r>
              <w:t>n/a</w:t>
            </w:r>
          </w:p>
        </w:tc>
        <w:tc>
          <w:tcPr>
            <w:tcW w:w="482" w:type="pct"/>
          </w:tcPr>
          <w:p w14:paraId="76BAF126" w14:textId="77777777" w:rsidR="004E304A" w:rsidRPr="00EB4403" w:rsidRDefault="004E304A" w:rsidP="004E304A">
            <w:pPr>
              <w:pStyle w:val="tbltext"/>
              <w:jc w:val="center"/>
            </w:pPr>
            <w:r w:rsidRPr="00EB4403">
              <w:t>2.138</w:t>
            </w:r>
          </w:p>
        </w:tc>
        <w:tc>
          <w:tcPr>
            <w:tcW w:w="481" w:type="pct"/>
          </w:tcPr>
          <w:p w14:paraId="7CC22D9F" w14:textId="5819D052" w:rsidR="004E304A" w:rsidRPr="000540E1" w:rsidRDefault="004E304A" w:rsidP="004E304A">
            <w:pPr>
              <w:pStyle w:val="tbltext"/>
              <w:jc w:val="center"/>
            </w:pPr>
            <w:r>
              <w:t>n/a</w:t>
            </w:r>
          </w:p>
        </w:tc>
      </w:tr>
      <w:tr w:rsidR="004A2493" w:rsidRPr="000540E1" w14:paraId="4B44FBB1" w14:textId="77777777" w:rsidTr="00136CC5">
        <w:trPr>
          <w:cantSplit/>
        </w:trPr>
        <w:tc>
          <w:tcPr>
            <w:tcW w:w="1056" w:type="pct"/>
          </w:tcPr>
          <w:p w14:paraId="38C32352" w14:textId="02F8D0E3" w:rsidR="004E304A" w:rsidRPr="000540E1" w:rsidRDefault="004E304A" w:rsidP="004E304A">
            <w:pPr>
              <w:pStyle w:val="tbltext"/>
            </w:pPr>
            <w:r w:rsidRPr="005A1E16">
              <w:t>Non</w:t>
            </w:r>
            <w:r w:rsidR="00176367">
              <w:t>-</w:t>
            </w:r>
            <w:r w:rsidRPr="00B15E5E">
              <w:t>r</w:t>
            </w:r>
            <w:r>
              <w:t>e</w:t>
            </w:r>
            <w:r w:rsidRPr="00B15E5E">
              <w:t>ported</w:t>
            </w:r>
            <w:r>
              <w:t xml:space="preserve"> </w:t>
            </w:r>
            <w:r w:rsidRPr="005A1E16">
              <w:t>term indicator</w:t>
            </w:r>
          </w:p>
        </w:tc>
        <w:tc>
          <w:tcPr>
            <w:tcW w:w="1762" w:type="pct"/>
          </w:tcPr>
          <w:p w14:paraId="312EC619" w14:textId="417FD310" w:rsidR="004E304A" w:rsidRPr="000540E1" w:rsidRDefault="004E304A" w:rsidP="004E304A">
            <w:pPr>
              <w:pStyle w:val="tbltext"/>
            </w:pPr>
            <w:r>
              <w:t xml:space="preserve">{ASIC} </w:t>
            </w:r>
            <w:r w:rsidRPr="005A1E16">
              <w:t>Indicator of whether the transaction has one or more additional</w:t>
            </w:r>
            <w:r>
              <w:t xml:space="preserve"> economic</w:t>
            </w:r>
            <w:r w:rsidRPr="005A1E16">
              <w:t xml:space="preserve"> term(s) or provision(s), other than </w:t>
            </w:r>
            <w:r>
              <w:t>the data elements reported</w:t>
            </w:r>
            <w:r w:rsidR="004A2493">
              <w:t>.</w:t>
            </w:r>
          </w:p>
        </w:tc>
        <w:tc>
          <w:tcPr>
            <w:tcW w:w="482" w:type="pct"/>
          </w:tcPr>
          <w:p w14:paraId="6A728798" w14:textId="4677A962" w:rsidR="004E304A" w:rsidRPr="000540E1" w:rsidRDefault="004E304A" w:rsidP="004E304A">
            <w:pPr>
              <w:pStyle w:val="tbltext"/>
              <w:jc w:val="center"/>
            </w:pPr>
            <w:r>
              <w:t>n/a</w:t>
            </w:r>
          </w:p>
        </w:tc>
        <w:tc>
          <w:tcPr>
            <w:tcW w:w="738" w:type="pct"/>
          </w:tcPr>
          <w:p w14:paraId="2558C8FA" w14:textId="77777777" w:rsidR="004E304A" w:rsidRDefault="004E304A" w:rsidP="004E304A">
            <w:pPr>
              <w:pStyle w:val="tbltext"/>
              <w:jc w:val="center"/>
            </w:pPr>
            <w:r>
              <w:t>92</w:t>
            </w:r>
          </w:p>
          <w:p w14:paraId="46C8BC3E" w14:textId="17003F5E" w:rsidR="004E6D33" w:rsidRPr="000540E1" w:rsidRDefault="004E6D33" w:rsidP="004E304A">
            <w:pPr>
              <w:pStyle w:val="tbltext"/>
              <w:jc w:val="center"/>
            </w:pPr>
            <w:r w:rsidRPr="004E6D33">
              <w:t>‘non-standardi</w:t>
            </w:r>
            <w:r w:rsidR="00ED6887">
              <w:t>s</w:t>
            </w:r>
            <w:r w:rsidRPr="004E6D33">
              <w:t>ed term indicator’</w:t>
            </w:r>
          </w:p>
        </w:tc>
        <w:tc>
          <w:tcPr>
            <w:tcW w:w="482" w:type="pct"/>
          </w:tcPr>
          <w:p w14:paraId="1DEA7130" w14:textId="00EBE552" w:rsidR="004E304A" w:rsidRPr="000540E1" w:rsidRDefault="004E304A" w:rsidP="004E304A">
            <w:pPr>
              <w:pStyle w:val="tbltext"/>
              <w:jc w:val="center"/>
            </w:pPr>
            <w:r>
              <w:t>n/a</w:t>
            </w:r>
          </w:p>
        </w:tc>
        <w:tc>
          <w:tcPr>
            <w:tcW w:w="481" w:type="pct"/>
          </w:tcPr>
          <w:p w14:paraId="46051009" w14:textId="7ADD0DFC" w:rsidR="004E304A" w:rsidRPr="000540E1" w:rsidRDefault="004E304A" w:rsidP="004E304A">
            <w:pPr>
              <w:pStyle w:val="tbltext"/>
              <w:jc w:val="center"/>
            </w:pPr>
            <w:r>
              <w:t>n/a</w:t>
            </w:r>
          </w:p>
        </w:tc>
      </w:tr>
    </w:tbl>
    <w:p w14:paraId="42AD9E01" w14:textId="7E58E002" w:rsidR="00F7704E" w:rsidRDefault="00F7704E" w:rsidP="005E5E03">
      <w:pPr>
        <w:pStyle w:val="BodyText"/>
        <w:rPr>
          <w:rFonts w:eastAsiaTheme="minorHAnsi"/>
        </w:rPr>
      </w:pPr>
      <w:r>
        <w:rPr>
          <w:rFonts w:eastAsiaTheme="minorHAnsi"/>
        </w:rPr>
        <w:t xml:space="preserve">In relation to </w:t>
      </w:r>
      <w:r w:rsidR="001C0C9D" w:rsidRPr="006C3855">
        <w:rPr>
          <w:rFonts w:eastAsiaTheme="minorHAnsi"/>
        </w:rPr>
        <w:t>‘</w:t>
      </w:r>
      <w:r w:rsidR="008D3095">
        <w:rPr>
          <w:rFonts w:eastAsiaTheme="minorHAnsi"/>
        </w:rPr>
        <w:t>m</w:t>
      </w:r>
      <w:r w:rsidR="001C0C9D" w:rsidRPr="006C3855">
        <w:rPr>
          <w:rFonts w:eastAsiaTheme="minorHAnsi"/>
        </w:rPr>
        <w:t xml:space="preserve">aturity date of the underlying’, </w:t>
      </w:r>
      <w:r>
        <w:rPr>
          <w:rFonts w:eastAsiaTheme="minorHAnsi"/>
        </w:rPr>
        <w:t xml:space="preserve">it is important for the Australian regulators to understand the term of the underlying swap to a swaption, given that the risk characteristics of a </w:t>
      </w:r>
      <w:r w:rsidR="008D3095">
        <w:rPr>
          <w:rFonts w:eastAsiaTheme="minorHAnsi"/>
        </w:rPr>
        <w:t>one</w:t>
      </w:r>
      <w:r>
        <w:rPr>
          <w:rFonts w:eastAsiaTheme="minorHAnsi"/>
        </w:rPr>
        <w:t>-year term underlier a</w:t>
      </w:r>
      <w:r w:rsidR="00C86F97">
        <w:rPr>
          <w:rFonts w:eastAsiaTheme="minorHAnsi"/>
        </w:rPr>
        <w:t>re</w:t>
      </w:r>
      <w:r>
        <w:rPr>
          <w:rFonts w:eastAsiaTheme="minorHAnsi"/>
        </w:rPr>
        <w:t xml:space="preserve"> notably different to those of a 30-year underlier.</w:t>
      </w:r>
    </w:p>
    <w:p w14:paraId="108DBB8B" w14:textId="6FD35EA7" w:rsidR="006C3855" w:rsidRPr="006C3855" w:rsidRDefault="00F7704E" w:rsidP="005E5E03">
      <w:pPr>
        <w:pStyle w:val="BodyText"/>
        <w:rPr>
          <w:rFonts w:eastAsiaTheme="minorHAnsi"/>
        </w:rPr>
      </w:pPr>
      <w:r>
        <w:rPr>
          <w:rFonts w:eastAsiaTheme="minorHAnsi"/>
        </w:rPr>
        <w:t>I</w:t>
      </w:r>
      <w:r w:rsidR="001C0C9D" w:rsidRPr="006C3855">
        <w:rPr>
          <w:rFonts w:eastAsiaTheme="minorHAnsi"/>
        </w:rPr>
        <w:t xml:space="preserve">t is not currently clear that the UPI system will </w:t>
      </w:r>
      <w:r w:rsidR="004A2760">
        <w:rPr>
          <w:rFonts w:eastAsiaTheme="minorHAnsi"/>
        </w:rPr>
        <w:t xml:space="preserve">develop to </w:t>
      </w:r>
      <w:r w:rsidR="00AA6800" w:rsidRPr="006C3855">
        <w:rPr>
          <w:rFonts w:eastAsiaTheme="minorHAnsi"/>
        </w:rPr>
        <w:t>include underlier information that will indicate the term or maturity date of the underlying swap in a swaption.</w:t>
      </w:r>
    </w:p>
    <w:p w14:paraId="41785F0E" w14:textId="32969973" w:rsidR="00F7704E" w:rsidRDefault="006C3855" w:rsidP="005E5E03">
      <w:pPr>
        <w:pStyle w:val="BodyText"/>
        <w:rPr>
          <w:rFonts w:eastAsiaTheme="minorHAnsi"/>
        </w:rPr>
      </w:pPr>
      <w:r>
        <w:rPr>
          <w:rFonts w:eastAsiaTheme="minorHAnsi"/>
        </w:rPr>
        <w:t xml:space="preserve">The scope </w:t>
      </w:r>
      <w:r w:rsidR="00C373AF">
        <w:rPr>
          <w:rFonts w:eastAsiaTheme="minorHAnsi"/>
        </w:rPr>
        <w:t xml:space="preserve">of the granularity of information that is contained within underlier information </w:t>
      </w:r>
      <w:r w:rsidR="00A12869">
        <w:rPr>
          <w:rFonts w:eastAsiaTheme="minorHAnsi"/>
        </w:rPr>
        <w:t xml:space="preserve">of a UPI </w:t>
      </w:r>
      <w:r w:rsidR="00C373AF">
        <w:rPr>
          <w:rFonts w:eastAsiaTheme="minorHAnsi"/>
        </w:rPr>
        <w:t xml:space="preserve">has not been </w:t>
      </w:r>
      <w:r w:rsidR="00A12869">
        <w:rPr>
          <w:rFonts w:eastAsiaTheme="minorHAnsi"/>
        </w:rPr>
        <w:t xml:space="preserve">fully prescribed. The UPI </w:t>
      </w:r>
      <w:r w:rsidR="0022679B">
        <w:rPr>
          <w:rFonts w:eastAsiaTheme="minorHAnsi"/>
        </w:rPr>
        <w:t>Guidance</w:t>
      </w:r>
      <w:r w:rsidR="00A12869">
        <w:rPr>
          <w:rFonts w:eastAsiaTheme="minorHAnsi"/>
        </w:rPr>
        <w:t xml:space="preserve"> generally reflects concerns that there </w:t>
      </w:r>
      <w:r w:rsidR="008D3095">
        <w:rPr>
          <w:rFonts w:eastAsiaTheme="minorHAnsi"/>
        </w:rPr>
        <w:t>is not</w:t>
      </w:r>
      <w:r w:rsidR="00A12869">
        <w:rPr>
          <w:rFonts w:eastAsiaTheme="minorHAnsi"/>
        </w:rPr>
        <w:t xml:space="preserve"> an undue proliferation of underliers, </w:t>
      </w:r>
      <w:r w:rsidR="006F440C">
        <w:rPr>
          <w:rFonts w:eastAsiaTheme="minorHAnsi"/>
        </w:rPr>
        <w:t xml:space="preserve">though recognising that the same underlier may </w:t>
      </w:r>
      <w:r w:rsidR="00F7704E">
        <w:rPr>
          <w:rFonts w:eastAsiaTheme="minorHAnsi"/>
        </w:rPr>
        <w:t>have different identifiers from different identifier providers.</w:t>
      </w:r>
    </w:p>
    <w:p w14:paraId="4E926D89" w14:textId="7943BB6F" w:rsidR="001C0C9D" w:rsidRDefault="00C86F97" w:rsidP="005E5E03">
      <w:pPr>
        <w:pStyle w:val="BodyText"/>
        <w:rPr>
          <w:rFonts w:eastAsiaTheme="minorHAnsi"/>
        </w:rPr>
      </w:pPr>
      <w:r>
        <w:rPr>
          <w:rFonts w:eastAsiaTheme="minorHAnsi"/>
        </w:rPr>
        <w:t xml:space="preserve">We </w:t>
      </w:r>
      <w:r w:rsidR="009C1E8B">
        <w:rPr>
          <w:rFonts w:eastAsiaTheme="minorHAnsi"/>
        </w:rPr>
        <w:t>consider</w:t>
      </w:r>
      <w:r>
        <w:rPr>
          <w:rFonts w:eastAsiaTheme="minorHAnsi"/>
        </w:rPr>
        <w:t xml:space="preserve"> there may be scope to specify </w:t>
      </w:r>
      <w:r w:rsidR="005165AD">
        <w:rPr>
          <w:rFonts w:eastAsiaTheme="minorHAnsi"/>
        </w:rPr>
        <w:t>existing swap rate reference rates as underliers in a swaption UPI for swaptions that are exercisable into a standard swap as meant by those reference rates. However, for non-standard swap underliers, there seems less scope to introduce bespoke underliers into the UPI system.</w:t>
      </w:r>
    </w:p>
    <w:p w14:paraId="2854B3DE" w14:textId="568999D5" w:rsidR="005165AD" w:rsidRPr="00274C82" w:rsidRDefault="005165AD" w:rsidP="005165AD">
      <w:pPr>
        <w:pStyle w:val="BodyText"/>
        <w:rPr>
          <w:rFonts w:eastAsiaTheme="minorHAnsi"/>
        </w:rPr>
      </w:pPr>
      <w:r>
        <w:lastRenderedPageBreak/>
        <w:t xml:space="preserve">We seek feedback from stakeholders as to </w:t>
      </w:r>
      <w:r w:rsidR="004F4F3F">
        <w:t xml:space="preserve">the utility of incorporating swap reference rates as swaption underliers in the UPI system as compared to reporting a distinct </w:t>
      </w:r>
      <w:r w:rsidR="004F4F3F" w:rsidRPr="006C3855">
        <w:rPr>
          <w:rFonts w:eastAsiaTheme="minorHAnsi"/>
        </w:rPr>
        <w:t>‘</w:t>
      </w:r>
      <w:r w:rsidR="008D3095">
        <w:rPr>
          <w:rFonts w:eastAsiaTheme="minorHAnsi"/>
        </w:rPr>
        <w:t>m</w:t>
      </w:r>
      <w:r w:rsidR="008D3095" w:rsidRPr="006C3855">
        <w:rPr>
          <w:rFonts w:eastAsiaTheme="minorHAnsi"/>
        </w:rPr>
        <w:t xml:space="preserve">aturity </w:t>
      </w:r>
      <w:r w:rsidR="004F4F3F" w:rsidRPr="006C3855">
        <w:rPr>
          <w:rFonts w:eastAsiaTheme="minorHAnsi"/>
        </w:rPr>
        <w:t>date of the underlying’</w:t>
      </w:r>
      <w:r w:rsidR="004F4F3F">
        <w:rPr>
          <w:rFonts w:eastAsiaTheme="minorHAnsi"/>
        </w:rPr>
        <w:t xml:space="preserve"> data element.</w:t>
      </w:r>
    </w:p>
    <w:p w14:paraId="51F83AF5" w14:textId="7F8BB876" w:rsidR="009E4CD5" w:rsidRDefault="008E3E58" w:rsidP="00A65F85">
      <w:pPr>
        <w:pStyle w:val="BodyText"/>
        <w:rPr>
          <w:rFonts w:eastAsiaTheme="minorHAnsi"/>
        </w:rPr>
      </w:pPr>
      <w:r>
        <w:rPr>
          <w:rFonts w:eastAsiaTheme="minorHAnsi"/>
        </w:rPr>
        <w:t xml:space="preserve">The data element </w:t>
      </w:r>
      <w:r w:rsidR="00AB1F8E">
        <w:rPr>
          <w:rFonts w:eastAsiaTheme="minorHAnsi"/>
        </w:rPr>
        <w:t>‘</w:t>
      </w:r>
      <w:r w:rsidR="008D3095">
        <w:t>n</w:t>
      </w:r>
      <w:r w:rsidR="008D3095" w:rsidRPr="005A1E16">
        <w:t>on</w:t>
      </w:r>
      <w:r w:rsidR="00AB1F8E" w:rsidRPr="005A1E16">
        <w:t>-</w:t>
      </w:r>
      <w:r w:rsidR="00EB4403" w:rsidRPr="005A1E16">
        <w:t>standardi</w:t>
      </w:r>
      <w:r w:rsidR="00EB4403">
        <w:t>s</w:t>
      </w:r>
      <w:r w:rsidR="00EB4403" w:rsidRPr="005A1E16">
        <w:t xml:space="preserve">ed </w:t>
      </w:r>
      <w:r w:rsidR="00AB1F8E" w:rsidRPr="005A1E16">
        <w:t>term indicator</w:t>
      </w:r>
      <w:r w:rsidR="00AB1F8E">
        <w:rPr>
          <w:rFonts w:eastAsiaTheme="minorHAnsi"/>
        </w:rPr>
        <w:t xml:space="preserve">’ </w:t>
      </w:r>
      <w:r>
        <w:rPr>
          <w:rFonts w:eastAsiaTheme="minorHAnsi"/>
        </w:rPr>
        <w:t>in the final CFTC rules is a true or false value that is particular to indicating that a publicly</w:t>
      </w:r>
      <w:r w:rsidR="008D3095">
        <w:rPr>
          <w:rFonts w:eastAsiaTheme="minorHAnsi"/>
        </w:rPr>
        <w:t xml:space="preserve"> </w:t>
      </w:r>
      <w:r>
        <w:rPr>
          <w:rFonts w:eastAsiaTheme="minorHAnsi"/>
        </w:rPr>
        <w:t>disseminated transaction has terms or provisions that materially affect the price of the transaction</w:t>
      </w:r>
      <w:r w:rsidR="00193DFB">
        <w:rPr>
          <w:rFonts w:eastAsiaTheme="minorHAnsi"/>
        </w:rPr>
        <w:t>—</w:t>
      </w:r>
      <w:r w:rsidR="008D3095">
        <w:rPr>
          <w:rFonts w:eastAsiaTheme="minorHAnsi"/>
        </w:rPr>
        <w:t>that is,</w:t>
      </w:r>
      <w:r>
        <w:rPr>
          <w:rFonts w:eastAsiaTheme="minorHAnsi"/>
        </w:rPr>
        <w:t xml:space="preserve"> the public is made aware that the price may not relate to the price of other transactions due to its unique terms.</w:t>
      </w:r>
    </w:p>
    <w:p w14:paraId="4F516493" w14:textId="18359A76" w:rsidR="00475810" w:rsidRDefault="008E3E58" w:rsidP="00A65F85">
      <w:pPr>
        <w:pStyle w:val="BodyText"/>
        <w:rPr>
          <w:rFonts w:eastAsiaTheme="minorHAnsi"/>
        </w:rPr>
      </w:pPr>
      <w:r>
        <w:rPr>
          <w:rFonts w:eastAsiaTheme="minorHAnsi"/>
        </w:rPr>
        <w:t xml:space="preserve">We </w:t>
      </w:r>
      <w:r w:rsidR="009C1E8B">
        <w:rPr>
          <w:rFonts w:eastAsiaTheme="minorHAnsi"/>
        </w:rPr>
        <w:t>consider</w:t>
      </w:r>
      <w:r>
        <w:rPr>
          <w:rFonts w:eastAsiaTheme="minorHAnsi"/>
        </w:rPr>
        <w:t xml:space="preserve"> </w:t>
      </w:r>
      <w:r w:rsidR="00B15E5E">
        <w:rPr>
          <w:rFonts w:eastAsiaTheme="minorHAnsi"/>
        </w:rPr>
        <w:t>such an indicator could be reported under the ASIC Rules to more broadly indicate that the transaction contains terms or provisions that affect the understanding of the economics of the transaction and that a</w:t>
      </w:r>
      <w:r w:rsidR="00475810">
        <w:rPr>
          <w:rFonts w:eastAsiaTheme="minorHAnsi"/>
        </w:rPr>
        <w:t>r</w:t>
      </w:r>
      <w:r w:rsidR="00B15E5E">
        <w:rPr>
          <w:rFonts w:eastAsiaTheme="minorHAnsi"/>
        </w:rPr>
        <w:t>e</w:t>
      </w:r>
      <w:r w:rsidR="00475810">
        <w:rPr>
          <w:rFonts w:eastAsiaTheme="minorHAnsi"/>
        </w:rPr>
        <w:t xml:space="preserve"> not otherwise apparent in the data elements reported.</w:t>
      </w:r>
    </w:p>
    <w:p w14:paraId="4C146AE3" w14:textId="6C9F91FB" w:rsidR="008E3E58" w:rsidRDefault="00475810" w:rsidP="00A65F85">
      <w:pPr>
        <w:pStyle w:val="BodyText"/>
        <w:rPr>
          <w:rFonts w:eastAsiaTheme="minorHAnsi"/>
        </w:rPr>
      </w:pPr>
      <w:r>
        <w:rPr>
          <w:rFonts w:eastAsiaTheme="minorHAnsi"/>
        </w:rPr>
        <w:t>We have described the data element as ‘</w:t>
      </w:r>
      <w:r w:rsidR="008D3095">
        <w:rPr>
          <w:rFonts w:eastAsiaTheme="minorHAnsi"/>
        </w:rPr>
        <w:t>n</w:t>
      </w:r>
      <w:r>
        <w:rPr>
          <w:rFonts w:eastAsiaTheme="minorHAnsi"/>
        </w:rPr>
        <w:t xml:space="preserve">on-reported term indicator’ that would be </w:t>
      </w:r>
      <w:r w:rsidR="004A2760">
        <w:rPr>
          <w:rFonts w:eastAsiaTheme="minorHAnsi"/>
        </w:rPr>
        <w:t>t</w:t>
      </w:r>
      <w:r>
        <w:rPr>
          <w:rFonts w:eastAsiaTheme="minorHAnsi"/>
        </w:rPr>
        <w:t>rue where, for ex</w:t>
      </w:r>
      <w:r w:rsidR="00796336">
        <w:rPr>
          <w:rFonts w:eastAsiaTheme="minorHAnsi"/>
        </w:rPr>
        <w:t>a</w:t>
      </w:r>
      <w:r>
        <w:rPr>
          <w:rFonts w:eastAsiaTheme="minorHAnsi"/>
        </w:rPr>
        <w:t>mple:</w:t>
      </w:r>
    </w:p>
    <w:p w14:paraId="08B19AF7" w14:textId="46000B43" w:rsidR="00796336" w:rsidRDefault="00796336" w:rsidP="00475810">
      <w:pPr>
        <w:pStyle w:val="subparaa"/>
        <w:rPr>
          <w:rFonts w:eastAsiaTheme="minorHAnsi"/>
        </w:rPr>
      </w:pPr>
      <w:r>
        <w:rPr>
          <w:rFonts w:eastAsiaTheme="minorHAnsi"/>
        </w:rPr>
        <w:t xml:space="preserve">the transaction has a </w:t>
      </w:r>
      <w:r w:rsidR="008D3095">
        <w:rPr>
          <w:rFonts w:eastAsiaTheme="minorHAnsi"/>
        </w:rPr>
        <w:t>p</w:t>
      </w:r>
      <w:r>
        <w:rPr>
          <w:rFonts w:eastAsiaTheme="minorHAnsi"/>
        </w:rPr>
        <w:t xml:space="preserve">rice schedule but </w:t>
      </w:r>
      <w:r w:rsidR="008D3095">
        <w:rPr>
          <w:rFonts w:eastAsiaTheme="minorHAnsi"/>
        </w:rPr>
        <w:t>the p</w:t>
      </w:r>
      <w:r>
        <w:rPr>
          <w:rFonts w:eastAsiaTheme="minorHAnsi"/>
        </w:rPr>
        <w:t>rice schedule is not required to be reported under the ASIC Rules;</w:t>
      </w:r>
    </w:p>
    <w:p w14:paraId="7207680E" w14:textId="77777777" w:rsidR="004D389C" w:rsidRDefault="00796336" w:rsidP="00475810">
      <w:pPr>
        <w:pStyle w:val="subparaa"/>
        <w:rPr>
          <w:rFonts w:eastAsiaTheme="minorHAnsi"/>
        </w:rPr>
      </w:pPr>
      <w:r>
        <w:rPr>
          <w:rFonts w:eastAsiaTheme="minorHAnsi"/>
        </w:rPr>
        <w:t>the transaction has a step-up fixed rate or floating rate that is either scheduled or con</w:t>
      </w:r>
      <w:r w:rsidR="004D389C">
        <w:rPr>
          <w:rFonts w:eastAsiaTheme="minorHAnsi"/>
        </w:rPr>
        <w:t>dition- or event-dependent; or</w:t>
      </w:r>
    </w:p>
    <w:p w14:paraId="74B527F2" w14:textId="355A2C33" w:rsidR="00475810" w:rsidRDefault="004D389C" w:rsidP="00475810">
      <w:pPr>
        <w:pStyle w:val="subparaa"/>
        <w:rPr>
          <w:rFonts w:eastAsiaTheme="minorHAnsi"/>
        </w:rPr>
      </w:pPr>
      <w:r>
        <w:rPr>
          <w:rFonts w:eastAsiaTheme="minorHAnsi"/>
        </w:rPr>
        <w:t>any other term that is not able to be reported in another data element.</w:t>
      </w:r>
    </w:p>
    <w:p w14:paraId="5F5E6383" w14:textId="26D68CAF" w:rsidR="004D389C" w:rsidRDefault="004D389C" w:rsidP="004D389C">
      <w:pPr>
        <w:pStyle w:val="BodyText"/>
        <w:rPr>
          <w:rFonts w:eastAsiaTheme="minorHAnsi"/>
        </w:rPr>
      </w:pPr>
      <w:bookmarkStart w:id="136" w:name="_ASICRef382"/>
      <w:r>
        <w:rPr>
          <w:rFonts w:eastAsiaTheme="minorHAnsi"/>
        </w:rPr>
        <w:t xml:space="preserve">An ‘economic term or provision’ </w:t>
      </w:r>
      <w:r w:rsidR="00435760">
        <w:rPr>
          <w:rFonts w:eastAsiaTheme="minorHAnsi"/>
        </w:rPr>
        <w:t xml:space="preserve">may need further definition and </w:t>
      </w:r>
      <w:r>
        <w:rPr>
          <w:rFonts w:eastAsiaTheme="minorHAnsi"/>
        </w:rPr>
        <w:t>could be a term or provision that is, for example:</w:t>
      </w:r>
      <w:bookmarkEnd w:id="136"/>
    </w:p>
    <w:p w14:paraId="7FBD0D18" w14:textId="0ABCF4CA" w:rsidR="004D389C" w:rsidRDefault="004D389C" w:rsidP="004D389C">
      <w:pPr>
        <w:pStyle w:val="subparaa"/>
        <w:rPr>
          <w:rFonts w:eastAsiaTheme="minorHAnsi"/>
        </w:rPr>
      </w:pPr>
      <w:r>
        <w:rPr>
          <w:rFonts w:eastAsiaTheme="minorHAnsi"/>
        </w:rPr>
        <w:t>related to dates or timesta</w:t>
      </w:r>
      <w:r w:rsidR="008D3095">
        <w:rPr>
          <w:rFonts w:eastAsiaTheme="minorHAnsi"/>
        </w:rPr>
        <w:t>m</w:t>
      </w:r>
      <w:r>
        <w:rPr>
          <w:rFonts w:eastAsiaTheme="minorHAnsi"/>
        </w:rPr>
        <w:t>ps;</w:t>
      </w:r>
    </w:p>
    <w:p w14:paraId="777DF035" w14:textId="6E62CBD1" w:rsidR="004D389C" w:rsidRDefault="004D389C" w:rsidP="004D389C">
      <w:pPr>
        <w:pStyle w:val="subparaa"/>
        <w:rPr>
          <w:rFonts w:eastAsiaTheme="minorHAnsi"/>
        </w:rPr>
      </w:pPr>
      <w:r>
        <w:rPr>
          <w:rFonts w:eastAsiaTheme="minorHAnsi"/>
        </w:rPr>
        <w:t xml:space="preserve">related to </w:t>
      </w:r>
      <w:r w:rsidR="00435760">
        <w:rPr>
          <w:rFonts w:eastAsiaTheme="minorHAnsi"/>
        </w:rPr>
        <w:t>regular payments or other payments;</w:t>
      </w:r>
    </w:p>
    <w:p w14:paraId="7BED7C0B" w14:textId="6D8B8B73" w:rsidR="00435760" w:rsidRDefault="00435760" w:rsidP="004D389C">
      <w:pPr>
        <w:pStyle w:val="subparaa"/>
        <w:rPr>
          <w:rFonts w:eastAsiaTheme="minorHAnsi"/>
        </w:rPr>
      </w:pPr>
      <w:r>
        <w:rPr>
          <w:rFonts w:eastAsiaTheme="minorHAnsi"/>
        </w:rPr>
        <w:t>related to prices;</w:t>
      </w:r>
    </w:p>
    <w:p w14:paraId="1D719F09" w14:textId="0FBA9C83" w:rsidR="00435760" w:rsidRDefault="00435760" w:rsidP="004D389C">
      <w:pPr>
        <w:pStyle w:val="subparaa"/>
        <w:rPr>
          <w:rFonts w:eastAsiaTheme="minorHAnsi"/>
        </w:rPr>
      </w:pPr>
      <w:r>
        <w:rPr>
          <w:rFonts w:eastAsiaTheme="minorHAnsi"/>
        </w:rPr>
        <w:t>related to notional amounts and quantities</w:t>
      </w:r>
      <w:r w:rsidR="008D3095">
        <w:rPr>
          <w:rFonts w:eastAsiaTheme="minorHAnsi"/>
        </w:rPr>
        <w:t>,</w:t>
      </w:r>
    </w:p>
    <w:p w14:paraId="55CF3990" w14:textId="6D9254E7" w:rsidR="004D389C" w:rsidRDefault="004D389C" w:rsidP="004D389C">
      <w:pPr>
        <w:pStyle w:val="Bodytextplain"/>
        <w:rPr>
          <w:rFonts w:eastAsiaTheme="minorHAnsi"/>
        </w:rPr>
      </w:pPr>
      <w:r>
        <w:rPr>
          <w:rFonts w:eastAsiaTheme="minorHAnsi"/>
        </w:rPr>
        <w:t>but not</w:t>
      </w:r>
      <w:r w:rsidR="00435760">
        <w:rPr>
          <w:rFonts w:eastAsiaTheme="minorHAnsi"/>
        </w:rPr>
        <w:t xml:space="preserve"> for non-economic terms that are</w:t>
      </w:r>
      <w:r>
        <w:rPr>
          <w:rFonts w:eastAsiaTheme="minorHAnsi"/>
        </w:rPr>
        <w:t>, for example:</w:t>
      </w:r>
    </w:p>
    <w:p w14:paraId="11DC34EB" w14:textId="4BD16177" w:rsidR="004D389C" w:rsidRDefault="004D389C" w:rsidP="004D389C">
      <w:pPr>
        <w:pStyle w:val="subparaa"/>
        <w:rPr>
          <w:rFonts w:eastAsiaTheme="minorHAnsi"/>
        </w:rPr>
      </w:pPr>
      <w:r>
        <w:rPr>
          <w:rFonts w:eastAsiaTheme="minorHAnsi"/>
        </w:rPr>
        <w:t>related to counterparties and beneficiaries;</w:t>
      </w:r>
    </w:p>
    <w:p w14:paraId="3A94FB35" w14:textId="6AFF2FED" w:rsidR="004D389C" w:rsidRPr="00435760" w:rsidRDefault="004D389C" w:rsidP="004D389C">
      <w:pPr>
        <w:pStyle w:val="subparaa"/>
        <w:rPr>
          <w:rFonts w:eastAsiaTheme="minorHAnsi"/>
        </w:rPr>
      </w:pPr>
      <w:r>
        <w:rPr>
          <w:rFonts w:eastAsiaTheme="minorHAnsi"/>
        </w:rPr>
        <w:t xml:space="preserve">related to </w:t>
      </w:r>
      <w:r>
        <w:rPr>
          <w:sz w:val="23"/>
          <w:szCs w:val="23"/>
        </w:rPr>
        <w:t>clearing, trading, confirmation and settlement</w:t>
      </w:r>
      <w:r w:rsidR="00435760">
        <w:rPr>
          <w:sz w:val="23"/>
          <w:szCs w:val="23"/>
        </w:rPr>
        <w:t>;</w:t>
      </w:r>
    </w:p>
    <w:p w14:paraId="5ADE7A60" w14:textId="25BDCCC2" w:rsidR="00435760" w:rsidRPr="004A2760" w:rsidRDefault="00435760" w:rsidP="004D389C">
      <w:pPr>
        <w:pStyle w:val="subparaa"/>
        <w:rPr>
          <w:rFonts w:eastAsiaTheme="minorHAnsi"/>
        </w:rPr>
      </w:pPr>
      <w:r>
        <w:rPr>
          <w:sz w:val="23"/>
          <w:szCs w:val="23"/>
        </w:rPr>
        <w:t>related to valuation, collateral and margins</w:t>
      </w:r>
      <w:r w:rsidR="008D3095">
        <w:rPr>
          <w:sz w:val="23"/>
          <w:szCs w:val="23"/>
        </w:rPr>
        <w:t>.</w:t>
      </w:r>
    </w:p>
    <w:p w14:paraId="646EE2ED" w14:textId="77777777" w:rsidR="004A2760" w:rsidRDefault="004A2760" w:rsidP="004A2760">
      <w:pPr>
        <w:pStyle w:val="Proposalhead"/>
      </w:pPr>
      <w:r>
        <w:t>Proposal</w:t>
      </w:r>
    </w:p>
    <w:p w14:paraId="0D047B76" w14:textId="4678E6C6" w:rsidR="004A2760" w:rsidRDefault="004A2760" w:rsidP="004A2760">
      <w:pPr>
        <w:pStyle w:val="Proposaltext"/>
      </w:pPr>
      <w:r>
        <w:t xml:space="preserve">We are considering </w:t>
      </w:r>
      <w:r w:rsidRPr="00973135">
        <w:rPr>
          <w:rFonts w:eastAsiaTheme="minorHAnsi"/>
        </w:rPr>
        <w:t xml:space="preserve">proposing, in the second round of consultation, </w:t>
      </w:r>
      <w:r>
        <w:rPr>
          <w:rFonts w:eastAsiaTheme="minorHAnsi"/>
        </w:rPr>
        <w:t xml:space="preserve">to include in the ASIC Rules the </w:t>
      </w:r>
      <w:r w:rsidR="00E57554">
        <w:rPr>
          <w:rFonts w:eastAsiaTheme="minorHAnsi"/>
        </w:rPr>
        <w:t xml:space="preserve">other non-CDE </w:t>
      </w:r>
      <w:r w:rsidRPr="00973135">
        <w:rPr>
          <w:rFonts w:eastAsiaTheme="minorHAnsi"/>
        </w:rPr>
        <w:t>data element</w:t>
      </w:r>
      <w:r>
        <w:rPr>
          <w:rFonts w:eastAsiaTheme="minorHAnsi"/>
        </w:rPr>
        <w:t xml:space="preserve">s </w:t>
      </w:r>
      <w:r>
        <w:t xml:space="preserve">set out in </w:t>
      </w:r>
      <w:r w:rsidR="008D3095">
        <w:fldChar w:fldCharType="begin"/>
      </w:r>
      <w:r w:rsidR="008D3095">
        <w:instrText xml:space="preserve"> REF _Ref56004336 \h </w:instrText>
      </w:r>
      <w:r w:rsidR="008D3095">
        <w:fldChar w:fldCharType="separate"/>
      </w:r>
      <w:r w:rsidR="00314C7E">
        <w:t xml:space="preserve">Table </w:t>
      </w:r>
      <w:r w:rsidR="00314C7E">
        <w:rPr>
          <w:noProof/>
        </w:rPr>
        <w:t>28</w:t>
      </w:r>
      <w:r w:rsidR="008D3095">
        <w:fldChar w:fldCharType="end"/>
      </w:r>
      <w:r>
        <w:t>.</w:t>
      </w:r>
    </w:p>
    <w:p w14:paraId="00011DC9" w14:textId="77777777" w:rsidR="004A2760" w:rsidRDefault="004A2760" w:rsidP="004A2760">
      <w:pPr>
        <w:pStyle w:val="Feedbackhead"/>
      </w:pPr>
      <w:r>
        <w:lastRenderedPageBreak/>
        <w:t>Your feedback</w:t>
      </w:r>
    </w:p>
    <w:p w14:paraId="45E0592C" w14:textId="4656FCF7" w:rsidR="004A2760" w:rsidRDefault="004A2760" w:rsidP="004A2760">
      <w:pPr>
        <w:pStyle w:val="Feedbackquestion"/>
      </w:pPr>
      <w:r>
        <w:t xml:space="preserve">Do you agree that we should consider </w:t>
      </w:r>
      <w:r w:rsidR="005D44B3">
        <w:t xml:space="preserve">a </w:t>
      </w:r>
      <w:r>
        <w:t>propos</w:t>
      </w:r>
      <w:r w:rsidR="005D44B3">
        <w:t>al</w:t>
      </w:r>
      <w:r>
        <w:t>, in the second round of consultation, to include these data elements in the ASIC Rules? In your response, please give detailed reasons for your answer.</w:t>
      </w:r>
    </w:p>
    <w:p w14:paraId="0F015A2C" w14:textId="75D42147" w:rsidR="004A2760" w:rsidRPr="00C55EA3" w:rsidRDefault="004A2760" w:rsidP="004A2760">
      <w:pPr>
        <w:pStyle w:val="Feedbackquestion"/>
        <w:rPr>
          <w:rFonts w:eastAsiaTheme="minorHAnsi"/>
        </w:rPr>
      </w:pPr>
      <w:r w:rsidRPr="00C62732">
        <w:t xml:space="preserve">Do you consider that you will have </w:t>
      </w:r>
      <w:r>
        <w:t>particular</w:t>
      </w:r>
      <w:r w:rsidRPr="00C62732">
        <w:t xml:space="preserve"> interpretation or implementation issues with the data elements</w:t>
      </w:r>
      <w:r w:rsidR="00CB0A2A">
        <w:t xml:space="preserve"> set out in </w:t>
      </w:r>
      <w:r w:rsidR="00CB0A2A">
        <w:fldChar w:fldCharType="begin"/>
      </w:r>
      <w:r w:rsidR="00CB0A2A">
        <w:instrText xml:space="preserve"> REF _Ref56004336 \h </w:instrText>
      </w:r>
      <w:r w:rsidR="00CB0A2A">
        <w:fldChar w:fldCharType="separate"/>
      </w:r>
      <w:r w:rsidR="00314C7E">
        <w:t xml:space="preserve">Table </w:t>
      </w:r>
      <w:r w:rsidR="00314C7E">
        <w:rPr>
          <w:noProof/>
        </w:rPr>
        <w:t>28</w:t>
      </w:r>
      <w:r w:rsidR="00CB0A2A">
        <w:fldChar w:fldCharType="end"/>
      </w:r>
      <w:r w:rsidRPr="00C62732">
        <w:t>? In your response, please give detailed reasons for your answer.</w:t>
      </w:r>
    </w:p>
    <w:p w14:paraId="672CA85B" w14:textId="6BF243B0" w:rsidR="00067D75" w:rsidRDefault="00CF3E91" w:rsidP="00067D75">
      <w:pPr>
        <w:pStyle w:val="Heading2"/>
      </w:pPr>
      <w:bookmarkStart w:id="137" w:name="_Toc57146504"/>
      <w:r>
        <w:t>T</w:t>
      </w:r>
      <w:r w:rsidR="00067D75" w:rsidRPr="00276418">
        <w:t xml:space="preserve">echnical specifications </w:t>
      </w:r>
      <w:r>
        <w:t xml:space="preserve">to </w:t>
      </w:r>
      <w:r w:rsidR="00067D75" w:rsidRPr="00276418">
        <w:t xml:space="preserve">the </w:t>
      </w:r>
      <w:r w:rsidR="00E557A8">
        <w:t>ASIC Rules</w:t>
      </w:r>
      <w:bookmarkEnd w:id="137"/>
    </w:p>
    <w:p w14:paraId="488B5C81" w14:textId="1233799B" w:rsidR="00614A69" w:rsidRDefault="00614A69" w:rsidP="00067D75">
      <w:pPr>
        <w:pStyle w:val="BodyText"/>
      </w:pPr>
      <w:bookmarkStart w:id="138" w:name="_ASICRef53"/>
      <w:bookmarkStart w:id="139" w:name="_ASICRef592"/>
      <w:bookmarkStart w:id="140" w:name="_ASICRef575"/>
      <w:bookmarkStart w:id="141" w:name="_ASICRef364"/>
      <w:r>
        <w:t xml:space="preserve">The current ASIC Rules do not comprehensively prescribe format and allowed values for the data elements. The requirements for the types of values required to be reported for each data element are not wholly ambiguous and there are inconsistencies in the types of values reported by </w:t>
      </w:r>
      <w:r w:rsidR="008A5B87">
        <w:t>reporting entit</w:t>
      </w:r>
      <w:r>
        <w:t>ies.</w:t>
      </w:r>
      <w:bookmarkEnd w:id="138"/>
      <w:bookmarkEnd w:id="139"/>
      <w:bookmarkEnd w:id="140"/>
    </w:p>
    <w:p w14:paraId="701827D4" w14:textId="08CE4B06" w:rsidR="00200653" w:rsidRDefault="00614A69" w:rsidP="00067D75">
      <w:pPr>
        <w:pStyle w:val="BodyText"/>
      </w:pPr>
      <w:r>
        <w:t>We propose to develop and prescribe technical specifications to the ASIC Rules that will set out the required formats and allowed values for each data element.</w:t>
      </w:r>
      <w:bookmarkEnd w:id="141"/>
      <w:r w:rsidR="0026405B">
        <w:t xml:space="preserve"> We intend to propose such a technical specification in the second round of consultation.</w:t>
      </w:r>
    </w:p>
    <w:p w14:paraId="208B58B8" w14:textId="31D17BC5" w:rsidR="00C27414" w:rsidRPr="00B75F1D" w:rsidRDefault="00200653" w:rsidP="00067D75">
      <w:pPr>
        <w:pStyle w:val="BodyText"/>
      </w:pPr>
      <w:r>
        <w:t xml:space="preserve">This is an approach commonly adopted in other jurisdictions for derivative transaction reporting requirements and other requirements. </w:t>
      </w:r>
      <w:r w:rsidR="00231FB9">
        <w:t xml:space="preserve">This approach is </w:t>
      </w:r>
      <w:r w:rsidR="00A7522B">
        <w:t xml:space="preserve">also adopted under the </w:t>
      </w:r>
      <w:r w:rsidRPr="00A829C7">
        <w:t>ASIC Market Integrity Rules (Securities Markets) 2017</w:t>
      </w:r>
      <w:r w:rsidR="00A7522B">
        <w:t>—</w:t>
      </w:r>
      <w:r w:rsidR="00A438BF">
        <w:t xml:space="preserve">the securities markets electronic data provided to ASIC by the market operator </w:t>
      </w:r>
      <w:r w:rsidR="00A438BF" w:rsidRPr="00E07EE9">
        <w:t xml:space="preserve">must be in </w:t>
      </w:r>
      <w:r w:rsidR="00A438BF">
        <w:t xml:space="preserve">the </w:t>
      </w:r>
      <w:r w:rsidR="00A438BF" w:rsidRPr="00E07EE9">
        <w:t xml:space="preserve">format </w:t>
      </w:r>
      <w:r w:rsidR="00A438BF">
        <w:t>required by ASIC.</w:t>
      </w:r>
    </w:p>
    <w:p w14:paraId="7FE060B3" w14:textId="617B45DB" w:rsidR="00E07EE9" w:rsidRDefault="00B57881" w:rsidP="001E6658">
      <w:pPr>
        <w:pStyle w:val="BodyText"/>
      </w:pPr>
      <w:r>
        <w:t xml:space="preserve">Section 907B </w:t>
      </w:r>
      <w:r w:rsidR="00E07EE9">
        <w:t xml:space="preserve">of the </w:t>
      </w:r>
      <w:r>
        <w:t xml:space="preserve">Corporations Act </w:t>
      </w:r>
      <w:r w:rsidR="00E07EE9">
        <w:t>provides that derivative transaction rules may make provision in relation to a matter by applying, adopting or incorporating any matter contained in an instrument or other writing:</w:t>
      </w:r>
    </w:p>
    <w:p w14:paraId="35BDB2BB" w14:textId="3F907343" w:rsidR="00E07EE9" w:rsidRDefault="00E07EE9" w:rsidP="001E6658">
      <w:pPr>
        <w:pStyle w:val="subparaa"/>
      </w:pPr>
      <w:r>
        <w:t>as in force or existing at a particular time; or</w:t>
      </w:r>
    </w:p>
    <w:p w14:paraId="3878AD3F" w14:textId="48968C1B" w:rsidR="00067D75" w:rsidRDefault="00E07EE9" w:rsidP="001E6658">
      <w:pPr>
        <w:pStyle w:val="subparaa"/>
      </w:pPr>
      <w:r>
        <w:t>as in force or existing from time to time.</w:t>
      </w:r>
    </w:p>
    <w:p w14:paraId="5289C432" w14:textId="417398EE" w:rsidR="00E07EE9" w:rsidRDefault="00E07EE9" w:rsidP="00E07EE9">
      <w:pPr>
        <w:pStyle w:val="Bodytextplain"/>
      </w:pPr>
      <w:r>
        <w:t xml:space="preserve">A technical specification to the ASIC Rules may be a writing </w:t>
      </w:r>
      <w:r w:rsidR="0026405B">
        <w:t>that is applied under the ASIC Rules as in force or existing from time to time. A technical specification may be amended without requiring any amendment to a reference in the ASIC Rules to the technical specification.</w:t>
      </w:r>
    </w:p>
    <w:p w14:paraId="437CBF52" w14:textId="121DE541" w:rsidR="00067D75" w:rsidRDefault="0026405B" w:rsidP="001E6658">
      <w:pPr>
        <w:pStyle w:val="BodyText"/>
      </w:pPr>
      <w:bookmarkStart w:id="142" w:name="_ASICRef100"/>
      <w:r>
        <w:t xml:space="preserve">We have not yet developed any </w:t>
      </w:r>
      <w:r w:rsidR="00734BF3">
        <w:t xml:space="preserve">particular </w:t>
      </w:r>
      <w:r>
        <w:t>form of technical specification. We welcome feedback from stakeholders as to the preferred form of a technical specification, particularly any suggestions to model the form of a technical specification on an existing technical specification related to transaction reporting whether in this jurisdiction or another jurisdiction.</w:t>
      </w:r>
      <w:bookmarkEnd w:id="142"/>
    </w:p>
    <w:p w14:paraId="70C6557F" w14:textId="77777777" w:rsidR="00331100" w:rsidRDefault="00331100" w:rsidP="001E6658">
      <w:pPr>
        <w:pStyle w:val="Proposalhead"/>
      </w:pPr>
      <w:r>
        <w:lastRenderedPageBreak/>
        <w:t>Proposal</w:t>
      </w:r>
    </w:p>
    <w:p w14:paraId="03CAE90B" w14:textId="164972C8" w:rsidR="00331100" w:rsidRDefault="00331100" w:rsidP="001E6658">
      <w:pPr>
        <w:pStyle w:val="Proposaltext"/>
      </w:pPr>
      <w:r>
        <w:t>We propose to develop and prescribe technical specifications to the ASIC Rules as a writing that is applied under the ASIC Rules as in force or existing from time to time.</w:t>
      </w:r>
    </w:p>
    <w:p w14:paraId="1A5B00DF" w14:textId="77777777" w:rsidR="00331100" w:rsidRDefault="00331100">
      <w:pPr>
        <w:pStyle w:val="Feedbackhead"/>
      </w:pPr>
      <w:r>
        <w:t>Your feedback</w:t>
      </w:r>
    </w:p>
    <w:p w14:paraId="13BAE9E4" w14:textId="77777777" w:rsidR="00331100" w:rsidRDefault="00331100" w:rsidP="00331100">
      <w:pPr>
        <w:pStyle w:val="Feedbackquestion"/>
      </w:pPr>
      <w:r>
        <w:t>Do you agree with this proposal? In your response, please give detailed reasons for your answer.</w:t>
      </w:r>
    </w:p>
    <w:p w14:paraId="303D357E" w14:textId="6DFD9126" w:rsidR="00331100" w:rsidRDefault="00331100" w:rsidP="001E6658">
      <w:pPr>
        <w:pStyle w:val="Feedbackquestion"/>
      </w:pPr>
      <w:r>
        <w:t xml:space="preserve">Do you suggest that we should model </w:t>
      </w:r>
      <w:r w:rsidRPr="00331100">
        <w:t xml:space="preserve">the form of a technical specification on </w:t>
      </w:r>
      <w:r>
        <w:t xml:space="preserve">one or more </w:t>
      </w:r>
      <w:r w:rsidRPr="00331100">
        <w:t>existing technical specification related to transaction reporting</w:t>
      </w:r>
      <w:r>
        <w:t>? In your response, please give detailed reasons for your answer.</w:t>
      </w:r>
    </w:p>
    <w:p w14:paraId="71453F14" w14:textId="4A5FF21D" w:rsidR="00953571" w:rsidRDefault="007F06BD" w:rsidP="0099665F">
      <w:pPr>
        <w:pStyle w:val="Heading1"/>
      </w:pPr>
      <w:bookmarkStart w:id="143" w:name="_Ref53544187"/>
      <w:bookmarkStart w:id="144" w:name="_ASICRef814"/>
      <w:bookmarkStart w:id="145" w:name="_ASICRef961"/>
      <w:bookmarkStart w:id="146" w:name="_Toc57146505"/>
      <w:bookmarkEnd w:id="85"/>
      <w:r>
        <w:lastRenderedPageBreak/>
        <w:t xml:space="preserve">The </w:t>
      </w:r>
      <w:r w:rsidR="006E57F4">
        <w:t>l</w:t>
      </w:r>
      <w:r>
        <w:t xml:space="preserve">egal </w:t>
      </w:r>
      <w:r w:rsidR="006E57F4">
        <w:t>e</w:t>
      </w:r>
      <w:r>
        <w:t xml:space="preserve">ntity </w:t>
      </w:r>
      <w:r w:rsidR="006E57F4">
        <w:t>i</w:t>
      </w:r>
      <w:r>
        <w:t>dentifier (LEI)</w:t>
      </w:r>
      <w:bookmarkEnd w:id="143"/>
      <w:bookmarkEnd w:id="144"/>
      <w:bookmarkEnd w:id="145"/>
      <w:bookmarkEnd w:id="146"/>
    </w:p>
    <w:p w14:paraId="40751C74" w14:textId="77777777" w:rsidR="00067D75" w:rsidRDefault="00067D75">
      <w:pPr>
        <w:pStyle w:val="KPhead"/>
      </w:pPr>
      <w:bookmarkStart w:id="147" w:name="_Hlk51871128"/>
      <w:r>
        <w:t>Key points</w:t>
      </w:r>
    </w:p>
    <w:p w14:paraId="0C6FB1A1" w14:textId="7E7305D3" w:rsidR="00A55C33" w:rsidRDefault="00A55C33" w:rsidP="00136CC5">
      <w:pPr>
        <w:pStyle w:val="KPtext"/>
        <w:spacing w:line="250" w:lineRule="atLeast"/>
      </w:pPr>
      <w:r>
        <w:t xml:space="preserve">We propose to </w:t>
      </w:r>
      <w:r w:rsidR="00300144">
        <w:t>update the ASIC Rules to</w:t>
      </w:r>
      <w:r w:rsidR="0058064D">
        <w:t xml:space="preserve"> </w:t>
      </w:r>
      <w:r>
        <w:t xml:space="preserve">require that </w:t>
      </w:r>
      <w:r w:rsidR="001F02A9">
        <w:t xml:space="preserve">a </w:t>
      </w:r>
      <w:r w:rsidR="00DE1F75">
        <w:t>current</w:t>
      </w:r>
      <w:r w:rsidR="006E57F4">
        <w:t>, renewed</w:t>
      </w:r>
      <w:r>
        <w:t xml:space="preserve"> LEI is the only allowable </w:t>
      </w:r>
      <w:r w:rsidR="0059069B">
        <w:t xml:space="preserve">entity </w:t>
      </w:r>
      <w:r>
        <w:t>identifier</w:t>
      </w:r>
      <w:r w:rsidR="001F02A9">
        <w:t xml:space="preserve"> in</w:t>
      </w:r>
      <w:r>
        <w:t xml:space="preserve"> OTC derivative transaction reporting </w:t>
      </w:r>
      <w:r w:rsidR="00F32978">
        <w:t>for</w:t>
      </w:r>
      <w:r>
        <w:t xml:space="preserve"> all eligible </w:t>
      </w:r>
      <w:r w:rsidR="005E2C08">
        <w:t>relevant entities</w:t>
      </w:r>
      <w:r>
        <w:t xml:space="preserve">. For </w:t>
      </w:r>
      <w:r w:rsidR="00300144">
        <w:t xml:space="preserve">a </w:t>
      </w:r>
      <w:r>
        <w:t>natural person</w:t>
      </w:r>
      <w:r w:rsidR="006E57F4">
        <w:t>, not eligible to obtain an LEI</w:t>
      </w:r>
      <w:r>
        <w:t xml:space="preserve">, we propose that the identifier required to be reported is a client code that comprises the </w:t>
      </w:r>
      <w:r w:rsidR="00A65611">
        <w:t>reporting counterpart</w:t>
      </w:r>
      <w:r>
        <w:t>y’s LEI plus assigned extra characters</w:t>
      </w:r>
      <w:r w:rsidR="00B669E3">
        <w:t xml:space="preserve"> as specified in the CDE Guidance</w:t>
      </w:r>
      <w:r>
        <w:t xml:space="preserve">. </w:t>
      </w:r>
    </w:p>
    <w:p w14:paraId="6E442C2D" w14:textId="3AF1D7F1" w:rsidR="00A55C33" w:rsidRDefault="00A55C33" w:rsidP="00136CC5">
      <w:pPr>
        <w:pStyle w:val="KPtext"/>
        <w:spacing w:line="250" w:lineRule="atLeast"/>
      </w:pPr>
      <w:r>
        <w:t xml:space="preserve">This </w:t>
      </w:r>
      <w:r w:rsidR="004D2438">
        <w:t xml:space="preserve">proposal </w:t>
      </w:r>
      <w:r>
        <w:t>remove</w:t>
      </w:r>
      <w:r w:rsidR="004D2438">
        <w:t>s</w:t>
      </w:r>
      <w:r>
        <w:t xml:space="preserve"> the ability for </w:t>
      </w:r>
      <w:r w:rsidR="008A5B87">
        <w:t>reporting entit</w:t>
      </w:r>
      <w:r>
        <w:t xml:space="preserve">ies to report using either </w:t>
      </w:r>
      <w:bookmarkStart w:id="148" w:name="_Hlk54077903"/>
      <w:r>
        <w:t xml:space="preserve">an international business entity identifier issued by </w:t>
      </w:r>
      <w:proofErr w:type="spellStart"/>
      <w:r>
        <w:t>Avox</w:t>
      </w:r>
      <w:proofErr w:type="spellEnd"/>
      <w:r>
        <w:t xml:space="preserve"> Limited (AVID) or a </w:t>
      </w:r>
      <w:r w:rsidR="00633E7D">
        <w:t xml:space="preserve">SWIFT </w:t>
      </w:r>
      <w:r>
        <w:t>Business Identifier Code (BIC)</w:t>
      </w:r>
      <w:bookmarkEnd w:id="148"/>
      <w:r w:rsidR="00633E7D">
        <w:t xml:space="preserve"> </w:t>
      </w:r>
      <w:r>
        <w:t xml:space="preserve">where an LEI is not </w:t>
      </w:r>
      <w:r w:rsidR="004C0E5F">
        <w:t xml:space="preserve">currently </w:t>
      </w:r>
      <w:r>
        <w:t>available. Further, it requires</w:t>
      </w:r>
      <w:r w:rsidR="00132ADA">
        <w:t xml:space="preserve"> in most circumstances</w:t>
      </w:r>
      <w:r>
        <w:t xml:space="preserve"> that the </w:t>
      </w:r>
      <w:r w:rsidR="005E2C08">
        <w:t xml:space="preserve">registration status of the reported </w:t>
      </w:r>
      <w:r>
        <w:t xml:space="preserve">LEI </w:t>
      </w:r>
      <w:r w:rsidR="005E2C08">
        <w:t xml:space="preserve">is </w:t>
      </w:r>
      <w:r w:rsidR="004C0E5F">
        <w:t xml:space="preserve">duly issued and maintained, </w:t>
      </w:r>
      <w:r w:rsidR="005E2C08">
        <w:t xml:space="preserve">not </w:t>
      </w:r>
      <w:r w:rsidR="00132ADA">
        <w:t>l</w:t>
      </w:r>
      <w:r w:rsidR="005E2C08">
        <w:t>apsed</w:t>
      </w:r>
      <w:r w:rsidR="00300144">
        <w:t>.</w:t>
      </w:r>
      <w:r>
        <w:t xml:space="preserve"> </w:t>
      </w:r>
    </w:p>
    <w:p w14:paraId="10F5C514" w14:textId="490F7ECE" w:rsidR="00A55C33" w:rsidRPr="009B69DF" w:rsidRDefault="00A55C33" w:rsidP="00136CC5">
      <w:pPr>
        <w:pStyle w:val="KPtext"/>
        <w:spacing w:line="250" w:lineRule="atLeast"/>
        <w:rPr>
          <w:color w:val="000000" w:themeColor="text1"/>
        </w:rPr>
      </w:pPr>
      <w:r>
        <w:t xml:space="preserve">Our proposal to </w:t>
      </w:r>
      <w:r w:rsidR="0058064D">
        <w:t>amend</w:t>
      </w:r>
      <w:r>
        <w:t xml:space="preserve"> the</w:t>
      </w:r>
      <w:r w:rsidR="0046244D">
        <w:t xml:space="preserve"> </w:t>
      </w:r>
      <w:r w:rsidR="0059069B">
        <w:t>entity</w:t>
      </w:r>
      <w:r>
        <w:t xml:space="preserve"> identifier requirements is in line with </w:t>
      </w:r>
      <w:r w:rsidRPr="001955AC">
        <w:rPr>
          <w:color w:val="000000" w:themeColor="text1"/>
        </w:rPr>
        <w:t xml:space="preserve">the </w:t>
      </w:r>
      <w:r w:rsidR="00F45D42">
        <w:t>CDE Guidance</w:t>
      </w:r>
      <w:r w:rsidRPr="00A829C7">
        <w:rPr>
          <w:i/>
          <w:iCs/>
        </w:rPr>
        <w:t>.</w:t>
      </w:r>
      <w:r>
        <w:t xml:space="preserve"> LEIs are considered a crucial data element for </w:t>
      </w:r>
      <w:r w:rsidR="004C0E5F">
        <w:t xml:space="preserve">the </w:t>
      </w:r>
      <w:r w:rsidR="0058064D">
        <w:t xml:space="preserve">standardisation of </w:t>
      </w:r>
      <w:r w:rsidR="004C0E5F">
        <w:t>identifying</w:t>
      </w:r>
      <w:r w:rsidR="0058064D">
        <w:t xml:space="preserve"> </w:t>
      </w:r>
      <w:r w:rsidR="001F02A9">
        <w:t xml:space="preserve">information for the </w:t>
      </w:r>
      <w:r w:rsidR="0058064D">
        <w:t xml:space="preserve">relevant entities </w:t>
      </w:r>
      <w:r w:rsidR="004C0E5F">
        <w:t>in</w:t>
      </w:r>
      <w:r w:rsidR="0058064D">
        <w:t xml:space="preserve"> derivative transactions</w:t>
      </w:r>
      <w:r w:rsidR="00CD65AE">
        <w:t>. Further, they</w:t>
      </w:r>
      <w:r>
        <w:t xml:space="preserve"> </w:t>
      </w:r>
      <w:r w:rsidR="006A2632">
        <w:t>are part of a global</w:t>
      </w:r>
      <w:r>
        <w:t xml:space="preserve"> effort to achieve consistency </w:t>
      </w:r>
      <w:r w:rsidR="004D2438">
        <w:t>to</w:t>
      </w:r>
      <w:r>
        <w:t xml:space="preserve"> allow for global </w:t>
      </w:r>
      <w:r w:rsidR="0058064D">
        <w:t xml:space="preserve">data </w:t>
      </w:r>
      <w:r>
        <w:t>aggregation. Our proposal align</w:t>
      </w:r>
      <w:r w:rsidR="0023133E">
        <w:t>s</w:t>
      </w:r>
      <w:r>
        <w:t xml:space="preserve"> with requirements in other </w:t>
      </w:r>
      <w:r w:rsidR="0046244D">
        <w:t xml:space="preserve">major </w:t>
      </w:r>
      <w:r>
        <w:t>jurisdictions.</w:t>
      </w:r>
      <w:r w:rsidRPr="00A55C33">
        <w:rPr>
          <w:color w:val="000000" w:themeColor="text1"/>
        </w:rPr>
        <w:t xml:space="preserve"> </w:t>
      </w:r>
    </w:p>
    <w:p w14:paraId="584CD6FB" w14:textId="70C7889D" w:rsidR="00783C12" w:rsidRDefault="00633E7D" w:rsidP="00633E7D">
      <w:pPr>
        <w:pStyle w:val="Heading2"/>
      </w:pPr>
      <w:bookmarkStart w:id="149" w:name="_Hlk54078176"/>
      <w:bookmarkStart w:id="150" w:name="_Hlk54038498"/>
      <w:bookmarkStart w:id="151" w:name="_Toc57146506"/>
      <w:r>
        <w:t>Background</w:t>
      </w:r>
      <w:bookmarkEnd w:id="149"/>
      <w:bookmarkEnd w:id="150"/>
      <w:bookmarkEnd w:id="151"/>
    </w:p>
    <w:p w14:paraId="7DB51199" w14:textId="4FAF0C19" w:rsidR="00783C12" w:rsidRDefault="00783C12" w:rsidP="00136CC5">
      <w:pPr>
        <w:pStyle w:val="BodyText"/>
        <w:spacing w:line="290" w:lineRule="atLeast"/>
      </w:pPr>
      <w:r>
        <w:t xml:space="preserve">The international </w:t>
      </w:r>
      <w:r w:rsidR="00633E7D">
        <w:t xml:space="preserve">derivative transaction reporting </w:t>
      </w:r>
      <w:r>
        <w:t>standard is that all entities are identified by an LEI, except for natural persons who are not eligible to obtain an LEI unless they trade in derivatives in a business capacity.</w:t>
      </w:r>
    </w:p>
    <w:p w14:paraId="344F2B6B" w14:textId="481ADD81" w:rsidR="007F06BD" w:rsidRDefault="007F06BD" w:rsidP="00136CC5">
      <w:pPr>
        <w:pStyle w:val="BodyText"/>
        <w:spacing w:line="290" w:lineRule="atLeast"/>
      </w:pPr>
      <w:r>
        <w:t>The ASIC Rules currently provide that</w:t>
      </w:r>
      <w:r w:rsidR="00ED623D">
        <w:t>, for other than an individual,</w:t>
      </w:r>
      <w:r>
        <w:t xml:space="preserve"> an LEI is required</w:t>
      </w:r>
      <w:r w:rsidR="009528DD">
        <w:t xml:space="preserve"> </w:t>
      </w:r>
      <w:r w:rsidR="0059069B">
        <w:t xml:space="preserve">to be reported </w:t>
      </w:r>
      <w:r>
        <w:t xml:space="preserve">but, if not available, an AVID (issued by AVOX Limited, a Thomson Reuters company) or a BIC (issued by SWIFT) is a valid </w:t>
      </w:r>
      <w:r w:rsidR="00C75460">
        <w:t>entity identifier</w:t>
      </w:r>
      <w:r>
        <w:t xml:space="preserve">. In practice, </w:t>
      </w:r>
      <w:r w:rsidR="00C75460">
        <w:t xml:space="preserve">an </w:t>
      </w:r>
      <w:r>
        <w:t xml:space="preserve">LEI is reported </w:t>
      </w:r>
      <w:r w:rsidR="0059069B">
        <w:t xml:space="preserve">as the entity identifier for </w:t>
      </w:r>
      <w:r w:rsidR="008A5B87">
        <w:t>reporting entit</w:t>
      </w:r>
      <w:r>
        <w:t xml:space="preserve">ies, brokers, CCPs, clearing members and </w:t>
      </w:r>
      <w:r w:rsidR="00A94A83">
        <w:t xml:space="preserve">trading platforms </w:t>
      </w:r>
      <w:r>
        <w:t>as financial services providers</w:t>
      </w:r>
      <w:r w:rsidR="0059069B">
        <w:t>. An LEI has been less commonly reported as the identifier of the non-reporting counterpart</w:t>
      </w:r>
      <w:r w:rsidR="00023E34">
        <w:t>ies</w:t>
      </w:r>
      <w:r w:rsidR="0059069B">
        <w:t xml:space="preserve"> who are not</w:t>
      </w:r>
      <w:r>
        <w:t xml:space="preserve"> </w:t>
      </w:r>
      <w:r w:rsidR="0059069B">
        <w:t>financial services providers.</w:t>
      </w:r>
    </w:p>
    <w:p w14:paraId="5C417DE3" w14:textId="7DA34150" w:rsidR="007F06BD" w:rsidRDefault="007055A5" w:rsidP="00136CC5">
      <w:pPr>
        <w:pStyle w:val="BodyText"/>
        <w:spacing w:line="290" w:lineRule="atLeast"/>
      </w:pPr>
      <w:hyperlink r:id="rId31" w:history="1">
        <w:r w:rsidR="007F06BD" w:rsidRPr="00FF1FD9">
          <w:rPr>
            <w:rStyle w:val="Hyperlink"/>
          </w:rPr>
          <w:t>C</w:t>
        </w:r>
        <w:r w:rsidR="00D0098C" w:rsidRPr="00FF1FD9">
          <w:rPr>
            <w:rStyle w:val="Hyperlink"/>
          </w:rPr>
          <w:t xml:space="preserve">onsultation </w:t>
        </w:r>
        <w:r w:rsidR="007F06BD" w:rsidRPr="00FF1FD9">
          <w:rPr>
            <w:rStyle w:val="Hyperlink"/>
          </w:rPr>
          <w:t>P</w:t>
        </w:r>
        <w:r w:rsidR="00D0098C" w:rsidRPr="00FF1FD9">
          <w:rPr>
            <w:rStyle w:val="Hyperlink"/>
          </w:rPr>
          <w:t>aper</w:t>
        </w:r>
        <w:r w:rsidR="007F06BD" w:rsidRPr="00FF1FD9">
          <w:rPr>
            <w:rStyle w:val="Hyperlink"/>
          </w:rPr>
          <w:t xml:space="preserve"> 205</w:t>
        </w:r>
      </w:hyperlink>
      <w:r w:rsidR="007F06BD">
        <w:t xml:space="preserve"> </w:t>
      </w:r>
      <w:r w:rsidR="00D0098C" w:rsidRPr="00A829C7">
        <w:rPr>
          <w:i/>
          <w:iCs/>
        </w:rPr>
        <w:t>Derivative transaction reporting</w:t>
      </w:r>
      <w:r w:rsidR="00FF1FD9">
        <w:t>,</w:t>
      </w:r>
      <w:r w:rsidR="00D0098C">
        <w:t xml:space="preserve"> </w:t>
      </w:r>
      <w:r w:rsidR="009528DD">
        <w:t>released</w:t>
      </w:r>
      <w:r w:rsidR="007F06BD">
        <w:t xml:space="preserve"> </w:t>
      </w:r>
      <w:r w:rsidR="009528DD">
        <w:t xml:space="preserve">28 </w:t>
      </w:r>
      <w:r w:rsidR="007F06BD">
        <w:t>March 2013</w:t>
      </w:r>
      <w:r w:rsidR="00FF1FD9">
        <w:t>,</w:t>
      </w:r>
      <w:r w:rsidR="007F06BD">
        <w:t xml:space="preserve"> </w:t>
      </w:r>
      <w:r w:rsidR="009528DD">
        <w:t xml:space="preserve">outlined our </w:t>
      </w:r>
      <w:r w:rsidR="007F06BD">
        <w:t>propos</w:t>
      </w:r>
      <w:r w:rsidR="009528DD">
        <w:t>als for</w:t>
      </w:r>
      <w:r w:rsidR="007F06BD">
        <w:t xml:space="preserve"> making the ASIC Rules</w:t>
      </w:r>
      <w:r w:rsidR="009528DD">
        <w:t xml:space="preserve">. </w:t>
      </w:r>
      <w:r w:rsidR="0059069B">
        <w:t xml:space="preserve">In this paper </w:t>
      </w:r>
      <w:r w:rsidR="009528DD">
        <w:t>we</w:t>
      </w:r>
      <w:r w:rsidR="007F06BD">
        <w:t xml:space="preserve"> </w:t>
      </w:r>
      <w:r w:rsidR="009528DD">
        <w:t>stated</w:t>
      </w:r>
      <w:r w:rsidR="00FF1FD9">
        <w:t xml:space="preserve"> (at paragraph 54)</w:t>
      </w:r>
      <w:r w:rsidR="009528DD">
        <w:t>,</w:t>
      </w:r>
      <w:r w:rsidR="007F06BD">
        <w:t xml:space="preserve"> </w:t>
      </w:r>
      <w:r w:rsidR="00FF1FD9">
        <w:t>‘</w:t>
      </w:r>
      <w:r w:rsidR="007F06BD" w:rsidRPr="00A829C7">
        <w:t>There are however three international standards we consider essential to be used (i.e. LEIs, UTIs and UPIs), where they are available</w:t>
      </w:r>
      <w:r w:rsidR="00E84495">
        <w:t>’</w:t>
      </w:r>
      <w:r w:rsidR="00FF1FD9">
        <w:t xml:space="preserve">. </w:t>
      </w:r>
      <w:r w:rsidR="007F06BD">
        <w:t xml:space="preserve">As the LEI system was then only in the process of being established, the ASIC Rules initially required </w:t>
      </w:r>
      <w:r w:rsidR="00783596">
        <w:t xml:space="preserve">entity </w:t>
      </w:r>
      <w:r w:rsidR="007F06BD">
        <w:t xml:space="preserve">identifiers as </w:t>
      </w:r>
      <w:r w:rsidR="00FF1FD9">
        <w:t>‘</w:t>
      </w:r>
      <w:r w:rsidR="007F06BD" w:rsidRPr="00A829C7">
        <w:t>an LEI or interim entity identifier or, if not available, an Australian Business Number or, in the case of individuals, a client code</w:t>
      </w:r>
      <w:r w:rsidR="00FF1FD9">
        <w:t>’</w:t>
      </w:r>
      <w:r w:rsidR="007F06BD">
        <w:t>.</w:t>
      </w:r>
    </w:p>
    <w:p w14:paraId="57875B62" w14:textId="532CA4D5" w:rsidR="007F06BD" w:rsidRDefault="007F06BD" w:rsidP="007A5C54">
      <w:pPr>
        <w:pStyle w:val="BodyText"/>
        <w:spacing w:before="180" w:line="290" w:lineRule="atLeast"/>
      </w:pPr>
      <w:r>
        <w:lastRenderedPageBreak/>
        <w:t xml:space="preserve">In 2015, the ASIC Rules were amended to substitute an AVID for an ABN </w:t>
      </w:r>
      <w:r w:rsidR="00F24340">
        <w:t xml:space="preserve">to better align with </w:t>
      </w:r>
      <w:r w:rsidR="00C75460">
        <w:t xml:space="preserve">then </w:t>
      </w:r>
      <w:r w:rsidR="00F24340">
        <w:t>international practices where</w:t>
      </w:r>
      <w:r w:rsidR="00C75460">
        <w:t xml:space="preserve"> </w:t>
      </w:r>
      <w:r>
        <w:t xml:space="preserve">an AVID was among the valid </w:t>
      </w:r>
      <w:r w:rsidR="00C75460">
        <w:t>entity identifiers</w:t>
      </w:r>
      <w:r>
        <w:t xml:space="preserve"> in</w:t>
      </w:r>
      <w:r w:rsidR="00F24340">
        <w:t xml:space="preserve">, for example, </w:t>
      </w:r>
      <w:r>
        <w:t>the US and Canadian trade reporting regimes.</w:t>
      </w:r>
    </w:p>
    <w:p w14:paraId="4135AE4E" w14:textId="0858D1EB" w:rsidR="005137F5" w:rsidRDefault="005137F5" w:rsidP="007A5C54">
      <w:pPr>
        <w:pStyle w:val="BodyText"/>
        <w:spacing w:before="180" w:line="290" w:lineRule="atLeast"/>
      </w:pPr>
      <w:r>
        <w:t xml:space="preserve">The GLEIS has since been established and over 1.7 million LEIs have been issued </w:t>
      </w:r>
      <w:r w:rsidRPr="001362DD">
        <w:t>to entities in over 225 countries</w:t>
      </w:r>
      <w:r>
        <w:t xml:space="preserve"> and territories.</w:t>
      </w:r>
      <w:r w:rsidR="00023E34">
        <w:t xml:space="preserve"> There </w:t>
      </w:r>
      <w:r w:rsidR="00023E34" w:rsidRPr="001362DD">
        <w:t xml:space="preserve">are currently in excess of </w:t>
      </w:r>
      <w:r w:rsidR="00FF1FD9">
        <w:t>20,000</w:t>
      </w:r>
      <w:r w:rsidR="00023E34" w:rsidRPr="001362DD">
        <w:t xml:space="preserve"> </w:t>
      </w:r>
      <w:r w:rsidR="00023E34">
        <w:t>L</w:t>
      </w:r>
      <w:r w:rsidR="00023E34" w:rsidRPr="001362DD">
        <w:t>EIs</w:t>
      </w:r>
      <w:r w:rsidR="00023E34">
        <w:t xml:space="preserve"> issued to Australian entities</w:t>
      </w:r>
      <w:r w:rsidR="00023E34" w:rsidRPr="001362DD">
        <w:t>.</w:t>
      </w:r>
    </w:p>
    <w:p w14:paraId="7EC9AA58" w14:textId="372608DE" w:rsidR="007F06BD" w:rsidRPr="007A5C54" w:rsidRDefault="007F06BD" w:rsidP="007A5C54">
      <w:pPr>
        <w:pStyle w:val="BodyText"/>
        <w:spacing w:before="180" w:line="290" w:lineRule="atLeast"/>
        <w:rPr>
          <w:spacing w:val="-2"/>
        </w:rPr>
      </w:pPr>
      <w:r w:rsidRPr="007A5C54">
        <w:rPr>
          <w:spacing w:val="-2"/>
        </w:rPr>
        <w:t xml:space="preserve">For the </w:t>
      </w:r>
      <w:r w:rsidR="00F24340" w:rsidRPr="007A5C54">
        <w:rPr>
          <w:spacing w:val="-2"/>
        </w:rPr>
        <w:t xml:space="preserve">identifier </w:t>
      </w:r>
      <w:r w:rsidRPr="007A5C54">
        <w:rPr>
          <w:spacing w:val="-2"/>
        </w:rPr>
        <w:t xml:space="preserve">of the </w:t>
      </w:r>
      <w:r w:rsidR="00C75460" w:rsidRPr="007A5C54">
        <w:rPr>
          <w:spacing w:val="-2"/>
        </w:rPr>
        <w:t>n</w:t>
      </w:r>
      <w:r w:rsidRPr="007A5C54">
        <w:rPr>
          <w:spacing w:val="-2"/>
        </w:rPr>
        <w:t xml:space="preserve">on-reporting </w:t>
      </w:r>
      <w:r w:rsidR="00C75460" w:rsidRPr="007A5C54">
        <w:rPr>
          <w:spacing w:val="-2"/>
        </w:rPr>
        <w:t>c</w:t>
      </w:r>
      <w:r w:rsidRPr="007A5C54">
        <w:rPr>
          <w:spacing w:val="-2"/>
        </w:rPr>
        <w:t>ounterparty</w:t>
      </w:r>
      <w:r w:rsidR="00923A44" w:rsidRPr="007A5C54">
        <w:rPr>
          <w:spacing w:val="-2"/>
        </w:rPr>
        <w:t xml:space="preserve"> (counterparty 2)</w:t>
      </w:r>
      <w:r w:rsidRPr="007A5C54">
        <w:rPr>
          <w:spacing w:val="-2"/>
        </w:rPr>
        <w:t xml:space="preserve"> (NRCP</w:t>
      </w:r>
      <w:r w:rsidR="00822C35" w:rsidRPr="007A5C54">
        <w:rPr>
          <w:spacing w:val="-2"/>
        </w:rPr>
        <w:t>)</w:t>
      </w:r>
      <w:r w:rsidR="00C75460" w:rsidRPr="007A5C54">
        <w:rPr>
          <w:spacing w:val="-2"/>
        </w:rPr>
        <w:t xml:space="preserve">, </w:t>
      </w:r>
      <w:r w:rsidR="00822C35" w:rsidRPr="007A5C54">
        <w:rPr>
          <w:spacing w:val="-2"/>
        </w:rPr>
        <w:t xml:space="preserve">conditional </w:t>
      </w:r>
      <w:r w:rsidRPr="007A5C54">
        <w:rPr>
          <w:spacing w:val="-2"/>
        </w:rPr>
        <w:t>exemptions allowing a</w:t>
      </w:r>
      <w:r w:rsidR="006C0724" w:rsidRPr="007A5C54">
        <w:rPr>
          <w:spacing w:val="-2"/>
        </w:rPr>
        <w:t>n</w:t>
      </w:r>
      <w:r w:rsidR="004E4141" w:rsidRPr="007A5C54">
        <w:rPr>
          <w:spacing w:val="-2"/>
        </w:rPr>
        <w:t xml:space="preserve"> internal</w:t>
      </w:r>
      <w:r w:rsidRPr="007A5C54">
        <w:rPr>
          <w:spacing w:val="-2"/>
        </w:rPr>
        <w:t xml:space="preserve"> client code to be reported </w:t>
      </w:r>
      <w:r w:rsidR="00C75460" w:rsidRPr="007A5C54">
        <w:rPr>
          <w:spacing w:val="-2"/>
        </w:rPr>
        <w:t>ceased</w:t>
      </w:r>
      <w:r w:rsidRPr="007A5C54">
        <w:rPr>
          <w:spacing w:val="-2"/>
        </w:rPr>
        <w:t xml:space="preserve"> from </w:t>
      </w:r>
      <w:r w:rsidR="002E215F" w:rsidRPr="007A5C54">
        <w:rPr>
          <w:spacing w:val="-2"/>
        </w:rPr>
        <w:t>1</w:t>
      </w:r>
      <w:r w:rsidR="00FF1FD9" w:rsidRPr="007A5C54">
        <w:rPr>
          <w:spacing w:val="-2"/>
        </w:rPr>
        <w:t> </w:t>
      </w:r>
      <w:r w:rsidR="00822C35" w:rsidRPr="007A5C54">
        <w:rPr>
          <w:spacing w:val="-2"/>
        </w:rPr>
        <w:t>October</w:t>
      </w:r>
      <w:r w:rsidRPr="007A5C54">
        <w:rPr>
          <w:spacing w:val="-2"/>
        </w:rPr>
        <w:t xml:space="preserve"> 2019 </w:t>
      </w:r>
      <w:r w:rsidR="002E215F" w:rsidRPr="007A5C54">
        <w:rPr>
          <w:spacing w:val="-2"/>
        </w:rPr>
        <w:t xml:space="preserve">for Australian NRCPs and from 1 </w:t>
      </w:r>
      <w:r w:rsidR="00822C35" w:rsidRPr="007A5C54">
        <w:rPr>
          <w:spacing w:val="-2"/>
        </w:rPr>
        <w:t>April</w:t>
      </w:r>
      <w:r w:rsidR="002E215F" w:rsidRPr="007A5C54">
        <w:rPr>
          <w:spacing w:val="-2"/>
        </w:rPr>
        <w:t xml:space="preserve"> 2020 for foreign NRCPs</w:t>
      </w:r>
      <w:r w:rsidR="00C75460" w:rsidRPr="007A5C54">
        <w:rPr>
          <w:spacing w:val="-2"/>
        </w:rPr>
        <w:t xml:space="preserve">. Since those times, </w:t>
      </w:r>
      <w:r w:rsidRPr="007A5C54">
        <w:rPr>
          <w:spacing w:val="-2"/>
        </w:rPr>
        <w:t>the use of LEI</w:t>
      </w:r>
      <w:r w:rsidR="005202EC" w:rsidRPr="007A5C54">
        <w:rPr>
          <w:spacing w:val="-2"/>
        </w:rPr>
        <w:t>s</w:t>
      </w:r>
      <w:r w:rsidRPr="007A5C54">
        <w:rPr>
          <w:spacing w:val="-2"/>
        </w:rPr>
        <w:t xml:space="preserve"> and AVID</w:t>
      </w:r>
      <w:r w:rsidR="005202EC" w:rsidRPr="007A5C54">
        <w:rPr>
          <w:spacing w:val="-2"/>
        </w:rPr>
        <w:t>s</w:t>
      </w:r>
      <w:r w:rsidRPr="007A5C54">
        <w:rPr>
          <w:spacing w:val="-2"/>
        </w:rPr>
        <w:t xml:space="preserve"> </w:t>
      </w:r>
      <w:r w:rsidR="00C75460" w:rsidRPr="007A5C54">
        <w:rPr>
          <w:spacing w:val="-2"/>
        </w:rPr>
        <w:t xml:space="preserve">as entity identifiers </w:t>
      </w:r>
      <w:r w:rsidRPr="007A5C54">
        <w:rPr>
          <w:spacing w:val="-2"/>
        </w:rPr>
        <w:t>has increased</w:t>
      </w:r>
      <w:r w:rsidR="00C75460" w:rsidRPr="007A5C54">
        <w:rPr>
          <w:rFonts w:eastAsiaTheme="minorHAnsi"/>
          <w:spacing w:val="-2"/>
        </w:rPr>
        <w:t>—</w:t>
      </w:r>
      <w:r w:rsidR="00FF1FD9" w:rsidRPr="007A5C54">
        <w:rPr>
          <w:rFonts w:eastAsiaTheme="minorHAnsi"/>
          <w:spacing w:val="-2"/>
        </w:rPr>
        <w:fldChar w:fldCharType="begin"/>
      </w:r>
      <w:r w:rsidR="00FF1FD9" w:rsidRPr="007A5C54">
        <w:rPr>
          <w:rFonts w:eastAsiaTheme="minorHAnsi"/>
          <w:spacing w:val="-2"/>
        </w:rPr>
        <w:instrText xml:space="preserve"> REF _Ref56066034 \h </w:instrText>
      </w:r>
      <w:r w:rsidR="005A773A">
        <w:rPr>
          <w:rFonts w:eastAsiaTheme="minorHAnsi"/>
          <w:spacing w:val="-2"/>
        </w:rPr>
        <w:instrText xml:space="preserve"> \* MERGEFORMAT </w:instrText>
      </w:r>
      <w:r w:rsidR="00FF1FD9" w:rsidRPr="007A5C54">
        <w:rPr>
          <w:rFonts w:eastAsiaTheme="minorHAnsi"/>
          <w:spacing w:val="-2"/>
        </w:rPr>
      </w:r>
      <w:r w:rsidR="00FF1FD9" w:rsidRPr="007A5C54">
        <w:rPr>
          <w:rFonts w:eastAsiaTheme="minorHAnsi"/>
          <w:spacing w:val="-2"/>
        </w:rPr>
        <w:fldChar w:fldCharType="separate"/>
      </w:r>
      <w:r w:rsidR="00314C7E" w:rsidRPr="00314C7E">
        <w:rPr>
          <w:spacing w:val="-2"/>
        </w:rPr>
        <w:t xml:space="preserve">Table </w:t>
      </w:r>
      <w:r w:rsidR="00314C7E" w:rsidRPr="00314C7E">
        <w:rPr>
          <w:noProof/>
          <w:spacing w:val="-2"/>
        </w:rPr>
        <w:t>29</w:t>
      </w:r>
      <w:r w:rsidR="00FF1FD9" w:rsidRPr="007A5C54">
        <w:rPr>
          <w:rFonts w:eastAsiaTheme="minorHAnsi"/>
          <w:spacing w:val="-2"/>
        </w:rPr>
        <w:fldChar w:fldCharType="end"/>
      </w:r>
      <w:r w:rsidR="00FF1FD9" w:rsidRPr="007A5C54">
        <w:rPr>
          <w:rFonts w:eastAsiaTheme="minorHAnsi"/>
          <w:spacing w:val="-2"/>
        </w:rPr>
        <w:t xml:space="preserve"> </w:t>
      </w:r>
      <w:r w:rsidR="005137F5" w:rsidRPr="007A5C54">
        <w:rPr>
          <w:rFonts w:eastAsiaTheme="minorHAnsi"/>
          <w:spacing w:val="-2"/>
        </w:rPr>
        <w:t xml:space="preserve">shows the </w:t>
      </w:r>
      <w:r w:rsidR="00D54F51" w:rsidRPr="007A5C54">
        <w:rPr>
          <w:rFonts w:eastAsiaTheme="minorHAnsi"/>
          <w:spacing w:val="-2"/>
        </w:rPr>
        <w:t xml:space="preserve">estimated </w:t>
      </w:r>
      <w:r w:rsidR="005137F5" w:rsidRPr="007A5C54">
        <w:rPr>
          <w:rFonts w:eastAsiaTheme="minorHAnsi"/>
          <w:spacing w:val="-2"/>
        </w:rPr>
        <w:t>percentages of each type of entity identifier reported as the NRCP identifier</w:t>
      </w:r>
      <w:r w:rsidR="00D54F51" w:rsidRPr="007A5C54">
        <w:rPr>
          <w:rFonts w:eastAsiaTheme="minorHAnsi"/>
          <w:spacing w:val="-2"/>
        </w:rPr>
        <w:t>, for entities other than individuals,</w:t>
      </w:r>
      <w:r w:rsidR="005137F5" w:rsidRPr="007A5C54">
        <w:rPr>
          <w:rFonts w:eastAsiaTheme="minorHAnsi"/>
          <w:spacing w:val="-2"/>
        </w:rPr>
        <w:t xml:space="preserve"> in new transactions in </w:t>
      </w:r>
      <w:r w:rsidR="00C75460" w:rsidRPr="007A5C54">
        <w:rPr>
          <w:rFonts w:eastAsiaTheme="minorHAnsi"/>
          <w:spacing w:val="-2"/>
        </w:rPr>
        <w:t>a week</w:t>
      </w:r>
      <w:r w:rsidR="005137F5" w:rsidRPr="007A5C54">
        <w:rPr>
          <w:rFonts w:eastAsiaTheme="minorHAnsi"/>
          <w:spacing w:val="-2"/>
        </w:rPr>
        <w:t xml:space="preserve"> in each month.</w:t>
      </w:r>
      <w:r w:rsidR="00023E34" w:rsidRPr="007A5C54">
        <w:rPr>
          <w:rFonts w:eastAsiaTheme="minorHAnsi"/>
          <w:spacing w:val="-2"/>
        </w:rPr>
        <w:t xml:space="preserve"> The use of LEI</w:t>
      </w:r>
      <w:r w:rsidR="005202EC" w:rsidRPr="007A5C54">
        <w:rPr>
          <w:rFonts w:eastAsiaTheme="minorHAnsi"/>
          <w:spacing w:val="-2"/>
        </w:rPr>
        <w:t>s</w:t>
      </w:r>
      <w:r w:rsidR="00023E34" w:rsidRPr="007A5C54">
        <w:rPr>
          <w:rFonts w:eastAsiaTheme="minorHAnsi"/>
          <w:spacing w:val="-2"/>
        </w:rPr>
        <w:t xml:space="preserve"> has continued to increase, while the use of AVID</w:t>
      </w:r>
      <w:r w:rsidR="005202EC" w:rsidRPr="007A5C54">
        <w:rPr>
          <w:rFonts w:eastAsiaTheme="minorHAnsi"/>
          <w:spacing w:val="-2"/>
        </w:rPr>
        <w:t>s</w:t>
      </w:r>
      <w:r w:rsidR="00023E34" w:rsidRPr="007A5C54">
        <w:rPr>
          <w:rFonts w:eastAsiaTheme="minorHAnsi"/>
          <w:spacing w:val="-2"/>
        </w:rPr>
        <w:t xml:space="preserve"> has been decreasing over the last year.</w:t>
      </w:r>
    </w:p>
    <w:p w14:paraId="7A824853" w14:textId="4DF3C9A3" w:rsidR="002E215F" w:rsidRDefault="002E215F" w:rsidP="002E215F">
      <w:pPr>
        <w:pStyle w:val="tabletitleindented"/>
      </w:pPr>
      <w:bookmarkStart w:id="152" w:name="_Ref56066034"/>
      <w:r>
        <w:t xml:space="preserve">Table </w:t>
      </w:r>
      <w:r w:rsidR="007055A5">
        <w:fldChar w:fldCharType="begin"/>
      </w:r>
      <w:r w:rsidR="007055A5">
        <w:instrText xml:space="preserve"> SEQ Table \* ARABIC </w:instrText>
      </w:r>
      <w:r w:rsidR="007055A5">
        <w:fldChar w:fldCharType="separate"/>
      </w:r>
      <w:r w:rsidR="00314C7E">
        <w:rPr>
          <w:noProof/>
        </w:rPr>
        <w:t>29</w:t>
      </w:r>
      <w:r w:rsidR="007055A5">
        <w:rPr>
          <w:noProof/>
        </w:rPr>
        <w:fldChar w:fldCharType="end"/>
      </w:r>
      <w:bookmarkEnd w:id="152"/>
      <w:r>
        <w:t>:</w:t>
      </w:r>
      <w:r>
        <w:tab/>
      </w:r>
      <w:r w:rsidR="00360DC1">
        <w:t xml:space="preserve">Percentage of </w:t>
      </w:r>
      <w:r w:rsidR="00ED623D">
        <w:t xml:space="preserve">NRCP </w:t>
      </w:r>
      <w:r w:rsidR="00C75460">
        <w:t>entity identifier t</w:t>
      </w:r>
      <w:r w:rsidR="00360DC1">
        <w:t xml:space="preserve">ypes in new </w:t>
      </w:r>
      <w:r w:rsidR="00C75460">
        <w:t>transactions</w:t>
      </w:r>
      <w:r w:rsidR="00ED623D">
        <w:t xml:space="preserve"> </w:t>
      </w:r>
      <w:r w:rsidR="00360DC1">
        <w:t xml:space="preserve">in the </w:t>
      </w:r>
      <w:r w:rsidR="00C75460">
        <w:t xml:space="preserve">third </w:t>
      </w:r>
      <w:r w:rsidR="00360DC1">
        <w:t>week of the month</w:t>
      </w:r>
    </w:p>
    <w:tbl>
      <w:tblPr>
        <w:tblW w:w="0" w:type="auto"/>
        <w:tblInd w:w="2268"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1276"/>
        <w:gridCol w:w="1049"/>
        <w:gridCol w:w="1049"/>
        <w:gridCol w:w="1049"/>
        <w:gridCol w:w="1049"/>
        <w:gridCol w:w="1049"/>
      </w:tblGrid>
      <w:tr w:rsidR="002E215F" w:rsidRPr="000540E1" w14:paraId="182916C0" w14:textId="4175346A" w:rsidTr="00136CC5">
        <w:trPr>
          <w:cantSplit/>
          <w:tblHeader/>
        </w:trPr>
        <w:tc>
          <w:tcPr>
            <w:tcW w:w="1276" w:type="dxa"/>
            <w:shd w:val="clear" w:color="auto" w:fill="C2E3FA"/>
          </w:tcPr>
          <w:p w14:paraId="7E4A40CB" w14:textId="4F04E2D8" w:rsidR="002E215F" w:rsidRDefault="002E215F" w:rsidP="007A5C54">
            <w:pPr>
              <w:pStyle w:val="tablehead"/>
              <w:spacing w:before="100" w:line="230" w:lineRule="atLeast"/>
            </w:pPr>
            <w:r>
              <w:t>Type</w:t>
            </w:r>
          </w:p>
        </w:tc>
        <w:tc>
          <w:tcPr>
            <w:tcW w:w="1049" w:type="dxa"/>
            <w:shd w:val="clear" w:color="auto" w:fill="C2E3FA"/>
            <w:vAlign w:val="center"/>
          </w:tcPr>
          <w:p w14:paraId="2527BE80" w14:textId="5503FF60" w:rsidR="002E215F" w:rsidRPr="000540E1" w:rsidRDefault="002E215F" w:rsidP="007A5C54">
            <w:pPr>
              <w:pStyle w:val="tablehead"/>
              <w:spacing w:before="100" w:line="230" w:lineRule="atLeast"/>
              <w:jc w:val="right"/>
            </w:pPr>
            <w:r>
              <w:t>Oct 18</w:t>
            </w:r>
          </w:p>
        </w:tc>
        <w:tc>
          <w:tcPr>
            <w:tcW w:w="1049" w:type="dxa"/>
            <w:shd w:val="clear" w:color="auto" w:fill="C2E3FA"/>
            <w:vAlign w:val="center"/>
          </w:tcPr>
          <w:p w14:paraId="47440964" w14:textId="6ED9E5F7" w:rsidR="002E215F" w:rsidRPr="000540E1" w:rsidRDefault="002E215F" w:rsidP="007A5C54">
            <w:pPr>
              <w:pStyle w:val="tablehead"/>
              <w:spacing w:before="100" w:line="230" w:lineRule="atLeast"/>
              <w:jc w:val="right"/>
            </w:pPr>
            <w:r>
              <w:t>Apr 19</w:t>
            </w:r>
          </w:p>
        </w:tc>
        <w:tc>
          <w:tcPr>
            <w:tcW w:w="1049" w:type="dxa"/>
            <w:shd w:val="clear" w:color="auto" w:fill="C2E3FA"/>
            <w:vAlign w:val="center"/>
          </w:tcPr>
          <w:p w14:paraId="49349A72" w14:textId="50B1F677" w:rsidR="002E215F" w:rsidRDefault="002E215F" w:rsidP="007A5C54">
            <w:pPr>
              <w:pStyle w:val="tablehead"/>
              <w:spacing w:before="100" w:line="230" w:lineRule="atLeast"/>
              <w:jc w:val="right"/>
            </w:pPr>
            <w:r>
              <w:t>Oct 19</w:t>
            </w:r>
          </w:p>
        </w:tc>
        <w:tc>
          <w:tcPr>
            <w:tcW w:w="1049" w:type="dxa"/>
            <w:shd w:val="clear" w:color="auto" w:fill="C2E3FA"/>
            <w:vAlign w:val="center"/>
          </w:tcPr>
          <w:p w14:paraId="4474CB85" w14:textId="564923B2" w:rsidR="002E215F" w:rsidRDefault="002E215F" w:rsidP="007A5C54">
            <w:pPr>
              <w:pStyle w:val="tablehead"/>
              <w:spacing w:before="100" w:line="230" w:lineRule="atLeast"/>
              <w:jc w:val="right"/>
            </w:pPr>
            <w:r>
              <w:t>Apr 20</w:t>
            </w:r>
          </w:p>
        </w:tc>
        <w:tc>
          <w:tcPr>
            <w:tcW w:w="1049" w:type="dxa"/>
            <w:shd w:val="clear" w:color="auto" w:fill="C2E3FA"/>
            <w:vAlign w:val="center"/>
          </w:tcPr>
          <w:p w14:paraId="48689DA6" w14:textId="30D80110" w:rsidR="002E215F" w:rsidRDefault="00ED623D" w:rsidP="007A5C54">
            <w:pPr>
              <w:pStyle w:val="tablehead"/>
              <w:spacing w:before="100" w:line="230" w:lineRule="atLeast"/>
              <w:jc w:val="right"/>
            </w:pPr>
            <w:r>
              <w:t>Oct</w:t>
            </w:r>
            <w:r w:rsidR="002E215F">
              <w:t xml:space="preserve"> 20</w:t>
            </w:r>
          </w:p>
        </w:tc>
      </w:tr>
      <w:tr w:rsidR="00F45D42" w:rsidRPr="000540E1" w14:paraId="75CDB084" w14:textId="77777777" w:rsidTr="00136CC5">
        <w:trPr>
          <w:cantSplit/>
        </w:trPr>
        <w:tc>
          <w:tcPr>
            <w:tcW w:w="1276" w:type="dxa"/>
          </w:tcPr>
          <w:p w14:paraId="6EFEB2D0" w14:textId="5F9A995C" w:rsidR="00F45D42" w:rsidRDefault="00F45D42" w:rsidP="007A5C54">
            <w:pPr>
              <w:pStyle w:val="tbltext"/>
              <w:spacing w:before="100" w:line="230" w:lineRule="atLeast"/>
            </w:pPr>
            <w:r>
              <w:t>LEI</w:t>
            </w:r>
          </w:p>
        </w:tc>
        <w:tc>
          <w:tcPr>
            <w:tcW w:w="1049" w:type="dxa"/>
            <w:vAlign w:val="center"/>
          </w:tcPr>
          <w:p w14:paraId="3C1EBB51" w14:textId="74B6DFF6" w:rsidR="00F45D42" w:rsidRDefault="00F45D42" w:rsidP="007A5C54">
            <w:pPr>
              <w:pStyle w:val="tbltext"/>
              <w:spacing w:before="100" w:line="230" w:lineRule="atLeast"/>
              <w:jc w:val="right"/>
            </w:pPr>
            <w:r>
              <w:t>46.2%</w:t>
            </w:r>
          </w:p>
        </w:tc>
        <w:tc>
          <w:tcPr>
            <w:tcW w:w="1049" w:type="dxa"/>
            <w:vAlign w:val="center"/>
          </w:tcPr>
          <w:p w14:paraId="0204DFAE" w14:textId="26BAC419" w:rsidR="00F45D42" w:rsidRDefault="00F45D42" w:rsidP="007A5C54">
            <w:pPr>
              <w:pStyle w:val="tbltext"/>
              <w:spacing w:before="100" w:line="230" w:lineRule="atLeast"/>
              <w:jc w:val="right"/>
            </w:pPr>
            <w:r>
              <w:t>54.8%</w:t>
            </w:r>
          </w:p>
        </w:tc>
        <w:tc>
          <w:tcPr>
            <w:tcW w:w="1049" w:type="dxa"/>
            <w:vAlign w:val="center"/>
          </w:tcPr>
          <w:p w14:paraId="1005D41B" w14:textId="0142BABE" w:rsidR="00F45D42" w:rsidRDefault="00F45D42" w:rsidP="007A5C54">
            <w:pPr>
              <w:pStyle w:val="tbltext"/>
              <w:spacing w:before="100" w:line="230" w:lineRule="atLeast"/>
              <w:jc w:val="right"/>
            </w:pPr>
            <w:r>
              <w:t>59.7%</w:t>
            </w:r>
          </w:p>
        </w:tc>
        <w:tc>
          <w:tcPr>
            <w:tcW w:w="1049" w:type="dxa"/>
            <w:vAlign w:val="center"/>
          </w:tcPr>
          <w:p w14:paraId="4AA6C4A3" w14:textId="7BF1C57D" w:rsidR="00F45D42" w:rsidRDefault="00F45D42" w:rsidP="007A5C54">
            <w:pPr>
              <w:pStyle w:val="tbltext"/>
              <w:spacing w:before="100" w:line="230" w:lineRule="atLeast"/>
              <w:jc w:val="right"/>
            </w:pPr>
            <w:r>
              <w:t>63.8%</w:t>
            </w:r>
          </w:p>
        </w:tc>
        <w:tc>
          <w:tcPr>
            <w:tcW w:w="1049" w:type="dxa"/>
            <w:vAlign w:val="center"/>
          </w:tcPr>
          <w:p w14:paraId="7AD26DDD" w14:textId="5C5F152F" w:rsidR="00F45D42" w:rsidRDefault="00F45D42" w:rsidP="007A5C54">
            <w:pPr>
              <w:pStyle w:val="tbltext"/>
              <w:spacing w:before="100" w:line="230" w:lineRule="atLeast"/>
              <w:jc w:val="right"/>
            </w:pPr>
            <w:r>
              <w:t>64.5%</w:t>
            </w:r>
          </w:p>
        </w:tc>
      </w:tr>
      <w:tr w:rsidR="00F45D42" w:rsidRPr="000540E1" w14:paraId="7AD336F3" w14:textId="77777777" w:rsidTr="00136CC5">
        <w:trPr>
          <w:cantSplit/>
        </w:trPr>
        <w:tc>
          <w:tcPr>
            <w:tcW w:w="1276" w:type="dxa"/>
          </w:tcPr>
          <w:p w14:paraId="46BAE699" w14:textId="505A6655" w:rsidR="00F45D42" w:rsidRDefault="00F45D42" w:rsidP="007A5C54">
            <w:pPr>
              <w:pStyle w:val="tbltext"/>
              <w:spacing w:before="100" w:line="230" w:lineRule="atLeast"/>
            </w:pPr>
            <w:r>
              <w:t>AVID</w:t>
            </w:r>
          </w:p>
        </w:tc>
        <w:tc>
          <w:tcPr>
            <w:tcW w:w="1049" w:type="dxa"/>
            <w:vAlign w:val="center"/>
          </w:tcPr>
          <w:p w14:paraId="0B2D5B1F" w14:textId="02AC1121" w:rsidR="00F45D42" w:rsidRDefault="00F45D42" w:rsidP="007A5C54">
            <w:pPr>
              <w:pStyle w:val="tbltext"/>
              <w:spacing w:before="100" w:line="230" w:lineRule="atLeast"/>
              <w:jc w:val="right"/>
            </w:pPr>
            <w:r>
              <w:t>6.1%</w:t>
            </w:r>
          </w:p>
        </w:tc>
        <w:tc>
          <w:tcPr>
            <w:tcW w:w="1049" w:type="dxa"/>
            <w:vAlign w:val="center"/>
          </w:tcPr>
          <w:p w14:paraId="660D5813" w14:textId="1E19CE1F" w:rsidR="00F45D42" w:rsidRDefault="00F45D42" w:rsidP="007A5C54">
            <w:pPr>
              <w:pStyle w:val="tbltext"/>
              <w:spacing w:before="100" w:line="230" w:lineRule="atLeast"/>
              <w:jc w:val="right"/>
            </w:pPr>
            <w:r>
              <w:t>16.4%</w:t>
            </w:r>
          </w:p>
        </w:tc>
        <w:tc>
          <w:tcPr>
            <w:tcW w:w="1049" w:type="dxa"/>
            <w:vAlign w:val="center"/>
          </w:tcPr>
          <w:p w14:paraId="28F8CA5D" w14:textId="724AE971" w:rsidR="00F45D42" w:rsidRDefault="00F45D42" w:rsidP="007A5C54">
            <w:pPr>
              <w:pStyle w:val="tbltext"/>
              <w:spacing w:before="100" w:line="230" w:lineRule="atLeast"/>
              <w:jc w:val="right"/>
            </w:pPr>
            <w:r>
              <w:t>32.7%</w:t>
            </w:r>
          </w:p>
        </w:tc>
        <w:tc>
          <w:tcPr>
            <w:tcW w:w="1049" w:type="dxa"/>
            <w:vAlign w:val="center"/>
          </w:tcPr>
          <w:p w14:paraId="6B78161E" w14:textId="72EED498" w:rsidR="00F45D42" w:rsidRDefault="00F45D42" w:rsidP="007A5C54">
            <w:pPr>
              <w:pStyle w:val="tbltext"/>
              <w:spacing w:before="100" w:line="230" w:lineRule="atLeast"/>
              <w:jc w:val="right"/>
            </w:pPr>
            <w:r>
              <w:t>30.2%</w:t>
            </w:r>
          </w:p>
        </w:tc>
        <w:tc>
          <w:tcPr>
            <w:tcW w:w="1049" w:type="dxa"/>
            <w:vAlign w:val="center"/>
          </w:tcPr>
          <w:p w14:paraId="78F56FE9" w14:textId="75894BBF" w:rsidR="00F45D42" w:rsidRDefault="00F45D42" w:rsidP="007A5C54">
            <w:pPr>
              <w:pStyle w:val="tbltext"/>
              <w:spacing w:before="100" w:line="230" w:lineRule="atLeast"/>
              <w:jc w:val="right"/>
            </w:pPr>
            <w:r>
              <w:t>29.6%</w:t>
            </w:r>
          </w:p>
        </w:tc>
      </w:tr>
      <w:tr w:rsidR="00F45D42" w:rsidRPr="000540E1" w14:paraId="0EE0F0F6" w14:textId="77777777" w:rsidTr="00136CC5">
        <w:trPr>
          <w:cantSplit/>
        </w:trPr>
        <w:tc>
          <w:tcPr>
            <w:tcW w:w="1276" w:type="dxa"/>
          </w:tcPr>
          <w:p w14:paraId="1B51757E" w14:textId="0BD02AA1" w:rsidR="00F45D42" w:rsidRDefault="009C1E8B" w:rsidP="007A5C54">
            <w:pPr>
              <w:pStyle w:val="tbltext"/>
              <w:spacing w:before="100" w:line="230" w:lineRule="atLeast"/>
            </w:pPr>
            <w:r>
              <w:t>Client code</w:t>
            </w:r>
          </w:p>
        </w:tc>
        <w:tc>
          <w:tcPr>
            <w:tcW w:w="1049" w:type="dxa"/>
            <w:vAlign w:val="center"/>
          </w:tcPr>
          <w:p w14:paraId="1F151C19" w14:textId="631F8675" w:rsidR="00F45D42" w:rsidRDefault="00F45D42" w:rsidP="007A5C54">
            <w:pPr>
              <w:pStyle w:val="tbltext"/>
              <w:spacing w:before="100" w:line="230" w:lineRule="atLeast"/>
              <w:jc w:val="right"/>
            </w:pPr>
            <w:r>
              <w:t>56.6%</w:t>
            </w:r>
          </w:p>
        </w:tc>
        <w:tc>
          <w:tcPr>
            <w:tcW w:w="1049" w:type="dxa"/>
            <w:vAlign w:val="center"/>
          </w:tcPr>
          <w:p w14:paraId="07E39CD7" w14:textId="4B761B0F" w:rsidR="00F45D42" w:rsidRDefault="00F45D42" w:rsidP="007A5C54">
            <w:pPr>
              <w:pStyle w:val="tbltext"/>
              <w:spacing w:before="100" w:line="230" w:lineRule="atLeast"/>
              <w:jc w:val="right"/>
            </w:pPr>
            <w:r>
              <w:t>28.8%</w:t>
            </w:r>
          </w:p>
        </w:tc>
        <w:tc>
          <w:tcPr>
            <w:tcW w:w="1049" w:type="dxa"/>
            <w:vAlign w:val="center"/>
          </w:tcPr>
          <w:p w14:paraId="42048899" w14:textId="73938346" w:rsidR="00F45D42" w:rsidRDefault="00F45D42" w:rsidP="007A5C54">
            <w:pPr>
              <w:pStyle w:val="tbltext"/>
              <w:spacing w:before="100" w:line="230" w:lineRule="atLeast"/>
              <w:jc w:val="right"/>
            </w:pPr>
            <w:r>
              <w:t>7.6%</w:t>
            </w:r>
          </w:p>
        </w:tc>
        <w:tc>
          <w:tcPr>
            <w:tcW w:w="1049" w:type="dxa"/>
            <w:vAlign w:val="center"/>
          </w:tcPr>
          <w:p w14:paraId="42F91AAB" w14:textId="005BBAAE" w:rsidR="00F45D42" w:rsidRDefault="00F45D42" w:rsidP="007A5C54">
            <w:pPr>
              <w:pStyle w:val="tbltext"/>
              <w:spacing w:before="100" w:line="230" w:lineRule="atLeast"/>
              <w:jc w:val="right"/>
            </w:pPr>
            <w:r>
              <w:t>6.0%</w:t>
            </w:r>
          </w:p>
        </w:tc>
        <w:tc>
          <w:tcPr>
            <w:tcW w:w="1049" w:type="dxa"/>
            <w:vAlign w:val="center"/>
          </w:tcPr>
          <w:p w14:paraId="6980D7BA" w14:textId="5AAA21A6" w:rsidR="00F45D42" w:rsidRDefault="00F45D42" w:rsidP="007A5C54">
            <w:pPr>
              <w:pStyle w:val="tbltext"/>
              <w:spacing w:before="100" w:line="230" w:lineRule="atLeast"/>
              <w:jc w:val="right"/>
            </w:pPr>
            <w:r>
              <w:t>5.9%</w:t>
            </w:r>
          </w:p>
        </w:tc>
      </w:tr>
    </w:tbl>
    <w:p w14:paraId="104A303F" w14:textId="5068F5CD" w:rsidR="00C23B86" w:rsidRDefault="00E03C12" w:rsidP="007A5C54">
      <w:pPr>
        <w:pStyle w:val="BodyText"/>
        <w:spacing w:before="180" w:line="290" w:lineRule="atLeast"/>
      </w:pPr>
      <w:r>
        <w:t xml:space="preserve">The growth in LEI issuance is </w:t>
      </w:r>
      <w:r w:rsidR="00F74F4E">
        <w:t xml:space="preserve">also </w:t>
      </w:r>
      <w:r>
        <w:t>supported by efficiency and cost reduction initiatives of the</w:t>
      </w:r>
      <w:r w:rsidR="00E84495">
        <w:t xml:space="preserve"> </w:t>
      </w:r>
      <w:r>
        <w:t xml:space="preserve">GLEIF as the not-for-profit service provider to the GLEIS. For example, in September 2020, </w:t>
      </w:r>
      <w:r w:rsidR="00E84495">
        <w:t xml:space="preserve">the </w:t>
      </w:r>
      <w:r w:rsidR="005202EC">
        <w:t xml:space="preserve">GLEIF </w:t>
      </w:r>
      <w:r>
        <w:t>introduced a ‘</w:t>
      </w:r>
      <w:r w:rsidR="005202EC">
        <w:t xml:space="preserve">validation agent’ </w:t>
      </w:r>
      <w:r>
        <w:t xml:space="preserve">role for financial institutions </w:t>
      </w:r>
      <w:r w:rsidR="0011766C">
        <w:t xml:space="preserve">to obtain an LEI for their clients </w:t>
      </w:r>
      <w:r w:rsidR="00F74F4E">
        <w:t>connected to client onboarding or review processes of those institutions.</w:t>
      </w:r>
    </w:p>
    <w:p w14:paraId="440882EC" w14:textId="6C0D66EC" w:rsidR="00023E34" w:rsidRDefault="008B3A63" w:rsidP="008B3A63">
      <w:pPr>
        <w:pStyle w:val="Heading2"/>
      </w:pPr>
      <w:bookmarkStart w:id="153" w:name="_Toc57146507"/>
      <w:r>
        <w:t>LEI as the entity identifier type</w:t>
      </w:r>
      <w:bookmarkEnd w:id="153"/>
    </w:p>
    <w:p w14:paraId="055A87D3" w14:textId="5932524F" w:rsidR="00D54F51" w:rsidRDefault="00F57B19" w:rsidP="007A5C54">
      <w:pPr>
        <w:pStyle w:val="BodyText"/>
        <w:spacing w:before="180" w:line="290" w:lineRule="atLeast"/>
      </w:pPr>
      <w:r>
        <w:t xml:space="preserve">We </w:t>
      </w:r>
      <w:r w:rsidR="00BF214D">
        <w:t xml:space="preserve">propose to amend the ASIC Rules to require </w:t>
      </w:r>
      <w:r w:rsidR="00D54F51">
        <w:t xml:space="preserve">all entity identifiers to be </w:t>
      </w:r>
      <w:r w:rsidR="00F44BDF">
        <w:t xml:space="preserve">valid and duly renewed </w:t>
      </w:r>
      <w:r w:rsidR="00D54F51">
        <w:t>LEIs, other than for natural persons not acting in a business capacity. This would remove AVID and BIC as allowable entity identifiers.</w:t>
      </w:r>
    </w:p>
    <w:p w14:paraId="0C8D0159" w14:textId="79E47DAD" w:rsidR="0043359D" w:rsidRPr="00011C35" w:rsidRDefault="0043359D" w:rsidP="007A5C54">
      <w:pPr>
        <w:pStyle w:val="BodyText"/>
        <w:spacing w:before="180" w:line="290" w:lineRule="atLeast"/>
        <w:rPr>
          <w:color w:val="000000" w:themeColor="text1"/>
        </w:rPr>
      </w:pPr>
      <w:r>
        <w:t xml:space="preserve">This adopts the </w:t>
      </w:r>
      <w:r w:rsidR="00023E34">
        <w:t xml:space="preserve">identifier requirements </w:t>
      </w:r>
      <w:r>
        <w:t xml:space="preserve">of the </w:t>
      </w:r>
      <w:r w:rsidR="00023E34" w:rsidRPr="003112BD">
        <w:rPr>
          <w:color w:val="000000" w:themeColor="text1"/>
        </w:rPr>
        <w:t xml:space="preserve">CDE </w:t>
      </w:r>
      <w:r w:rsidR="00023E34">
        <w:rPr>
          <w:color w:val="000000" w:themeColor="text1"/>
        </w:rPr>
        <w:t>Guidance</w:t>
      </w:r>
      <w:r>
        <w:rPr>
          <w:color w:val="000000" w:themeColor="text1"/>
        </w:rPr>
        <w:t xml:space="preserve"> and aligns with the requirements to report LEIs under the final CFTC rules and the ESMA proposals. </w:t>
      </w:r>
      <w:r>
        <w:t xml:space="preserve">LEIs are considered a crucial data element for the standardisation of identifying relevant entities in derivative transactions. They are an essential part of the global effort to achieve consistency to allow for global data aggregation. </w:t>
      </w:r>
    </w:p>
    <w:p w14:paraId="7A20AC4C" w14:textId="5DEB54E3" w:rsidR="0043359D" w:rsidRPr="0043359D" w:rsidRDefault="00766D80" w:rsidP="007A5C54">
      <w:pPr>
        <w:pStyle w:val="BodyText"/>
        <w:spacing w:line="290" w:lineRule="atLeast"/>
      </w:pPr>
      <w:r>
        <w:lastRenderedPageBreak/>
        <w:t>In relation to an LEI renewal requirement, the final CFTC rules only require swap dealers, major swap participants, swap execution facilities, designated contract markets, derivatives clearing organi</w:t>
      </w:r>
      <w:r w:rsidR="005202EC">
        <w:t>s</w:t>
      </w:r>
      <w:r>
        <w:t xml:space="preserve">ations and swap data repositories </w:t>
      </w:r>
      <w:r w:rsidR="005202EC">
        <w:t xml:space="preserve">to </w:t>
      </w:r>
      <w:r>
        <w:t xml:space="preserve">maintain and renew their LEIs. </w:t>
      </w:r>
      <w:r w:rsidR="006A76B0">
        <w:t xml:space="preserve">The ESMA proposals require the LEIs reported for all entities </w:t>
      </w:r>
      <w:r w:rsidR="00F155A9">
        <w:t xml:space="preserve">to </w:t>
      </w:r>
      <w:r w:rsidR="006A76B0">
        <w:t>be duly renewed LEIs. We consider it is important that</w:t>
      </w:r>
      <w:r w:rsidR="00AD6460">
        <w:t xml:space="preserve"> the accuracy of LEI information is maintain</w:t>
      </w:r>
      <w:r w:rsidR="0020207A">
        <w:t xml:space="preserve">ed and we propose to require that the LEIs reported for all entities </w:t>
      </w:r>
      <w:r w:rsidR="00F155A9">
        <w:t xml:space="preserve">are </w:t>
      </w:r>
      <w:r w:rsidR="0020207A">
        <w:t>duly renewed LEIs.</w:t>
      </w:r>
    </w:p>
    <w:p w14:paraId="57BFF573" w14:textId="5FC05593" w:rsidR="00A6776E" w:rsidRDefault="00A61CBB" w:rsidP="007A5C54">
      <w:pPr>
        <w:pStyle w:val="BodyText"/>
        <w:spacing w:line="290" w:lineRule="atLeast"/>
      </w:pPr>
      <w:r>
        <w:rPr>
          <w:color w:val="000000" w:themeColor="text1"/>
        </w:rPr>
        <w:t xml:space="preserve">The requirement to use LEIs would apply to all </w:t>
      </w:r>
      <w:r w:rsidR="00F155A9">
        <w:rPr>
          <w:color w:val="000000" w:themeColor="text1"/>
        </w:rPr>
        <w:t>‘new’</w:t>
      </w:r>
      <w:r>
        <w:rPr>
          <w:color w:val="000000" w:themeColor="text1"/>
        </w:rPr>
        <w:t xml:space="preserve"> transactions</w:t>
      </w:r>
      <w:r w:rsidR="002F67B0">
        <w:rPr>
          <w:color w:val="000000" w:themeColor="text1"/>
        </w:rPr>
        <w:t>, and to transactions that had not matured or expired by the time the amended ASIC Rules come into force</w:t>
      </w:r>
      <w:r w:rsidR="00023E34" w:rsidRPr="003112BD">
        <w:rPr>
          <w:color w:val="000000" w:themeColor="text1"/>
        </w:rPr>
        <w:t>.</w:t>
      </w:r>
      <w:r w:rsidR="00023E34">
        <w:t xml:space="preserve"> </w:t>
      </w:r>
    </w:p>
    <w:p w14:paraId="2F4484FA" w14:textId="538DD668" w:rsidR="00A6776E" w:rsidRDefault="00386573" w:rsidP="007A5C54">
      <w:pPr>
        <w:pStyle w:val="BodyText"/>
        <w:spacing w:line="290" w:lineRule="atLeast"/>
      </w:pPr>
      <w:r>
        <w:t xml:space="preserve">The conditional exemptions allowing an internal client code to be reported have provided that, </w:t>
      </w:r>
      <w:r w:rsidR="00F155A9">
        <w:t xml:space="preserve">once </w:t>
      </w:r>
      <w:r>
        <w:t>the NRCP obtain</w:t>
      </w:r>
      <w:r w:rsidR="00F155A9">
        <w:t>s</w:t>
      </w:r>
      <w:r>
        <w:t xml:space="preserve"> an allowable entity identifier, the reporting entity must report the identifier on existing transactions</w:t>
      </w:r>
      <w:r w:rsidR="00A6776E">
        <w:t xml:space="preserve">. Likewise, we propose that, </w:t>
      </w:r>
      <w:r w:rsidR="00F155A9">
        <w:t xml:space="preserve">once </w:t>
      </w:r>
      <w:r w:rsidR="00A6776E">
        <w:t>the NRCP obtain</w:t>
      </w:r>
      <w:r w:rsidR="00F155A9">
        <w:t>s</w:t>
      </w:r>
      <w:r w:rsidR="00A6776E">
        <w:t xml:space="preserve"> an LEI, the reporting entity must report the LEI on existing transactions.</w:t>
      </w:r>
    </w:p>
    <w:p w14:paraId="1937EA22" w14:textId="6A83D7AB" w:rsidR="006E5385" w:rsidRDefault="00A6776E" w:rsidP="007A5C54">
      <w:pPr>
        <w:pStyle w:val="BodyText"/>
        <w:spacing w:line="290" w:lineRule="atLeast"/>
      </w:pPr>
      <w:r>
        <w:t xml:space="preserve">We estimate that there are currently </w:t>
      </w:r>
      <w:r w:rsidR="006F69C3">
        <w:t>14</w:t>
      </w:r>
      <w:r>
        <w:t xml:space="preserve"> reporting entities reporting AVID identifiers for </w:t>
      </w:r>
      <w:r w:rsidR="006F69C3">
        <w:t>1,777</w:t>
      </w:r>
      <w:r>
        <w:t xml:space="preserve"> </w:t>
      </w:r>
      <w:r w:rsidR="00555903">
        <w:t>NRCPs</w:t>
      </w:r>
      <w:r>
        <w:t xml:space="preserve"> on </w:t>
      </w:r>
      <w:r w:rsidR="006F69C3">
        <w:t>5,711</w:t>
      </w:r>
      <w:r>
        <w:t xml:space="preserve"> transactions</w:t>
      </w:r>
      <w:r w:rsidR="006F69C3">
        <w:t xml:space="preserve"> with maturity or expiry dates that are later than 30 September 2022</w:t>
      </w:r>
      <w:r w:rsidR="00045AC0">
        <w:t>. Should the amended ASIC Rules be in</w:t>
      </w:r>
      <w:r w:rsidR="00F155A9">
        <w:t xml:space="preserve"> </w:t>
      </w:r>
      <w:r w:rsidR="00045AC0">
        <w:t>force from 1 October 2022</w:t>
      </w:r>
      <w:r w:rsidR="006E5385">
        <w:t xml:space="preserve">, this would be the level of reporting required to update to an LEI for those transactions, though this would be higher where </w:t>
      </w:r>
      <w:r w:rsidR="00555903">
        <w:t>NRCPs</w:t>
      </w:r>
      <w:r w:rsidR="006E5385">
        <w:t xml:space="preserve"> enter into new transactions using AVID </w:t>
      </w:r>
      <w:r w:rsidR="00F155A9">
        <w:t>before</w:t>
      </w:r>
      <w:r w:rsidR="006E5385">
        <w:t xml:space="preserve"> the amended ASIC Rules com</w:t>
      </w:r>
      <w:r w:rsidR="00F155A9">
        <w:t>e</w:t>
      </w:r>
      <w:r w:rsidR="006E5385">
        <w:t xml:space="preserve"> into force. Overall, </w:t>
      </w:r>
      <w:r w:rsidR="00045AC0">
        <w:t xml:space="preserve">this compares to </w:t>
      </w:r>
      <w:r w:rsidR="006E5385">
        <w:t xml:space="preserve">currently </w:t>
      </w:r>
      <w:r w:rsidR="00673015">
        <w:t xml:space="preserve">849 </w:t>
      </w:r>
      <w:r w:rsidR="00045AC0">
        <w:t xml:space="preserve">reporting entities reporting LEIs for </w:t>
      </w:r>
      <w:r w:rsidR="00673015">
        <w:t xml:space="preserve">13,727 </w:t>
      </w:r>
      <w:r w:rsidR="00555903">
        <w:t>NRCPs</w:t>
      </w:r>
      <w:r w:rsidR="00045AC0">
        <w:t xml:space="preserve"> on </w:t>
      </w:r>
      <w:r w:rsidR="005A604C">
        <w:t>1,684,309</w:t>
      </w:r>
      <w:r w:rsidR="00334756">
        <w:t xml:space="preserve"> transactions</w:t>
      </w:r>
      <w:r w:rsidR="00045AC0">
        <w:t xml:space="preserve"> of all maturity or expiry dates.</w:t>
      </w:r>
    </w:p>
    <w:p w14:paraId="15936A9C" w14:textId="09451106" w:rsidR="00023E34" w:rsidRPr="00A829C7" w:rsidRDefault="002F67B0" w:rsidP="005A773A">
      <w:pPr>
        <w:pStyle w:val="BodyText"/>
        <w:spacing w:line="290" w:lineRule="atLeast"/>
        <w:rPr>
          <w:spacing w:val="-2"/>
        </w:rPr>
      </w:pPr>
      <w:r w:rsidRPr="00A829C7">
        <w:rPr>
          <w:spacing w:val="-2"/>
        </w:rPr>
        <w:t xml:space="preserve">We also propose to </w:t>
      </w:r>
      <w:r w:rsidR="009E3411" w:rsidRPr="00A829C7">
        <w:rPr>
          <w:spacing w:val="-2"/>
        </w:rPr>
        <w:t>repeal</w:t>
      </w:r>
      <w:r w:rsidRPr="00A829C7">
        <w:rPr>
          <w:spacing w:val="-2"/>
        </w:rPr>
        <w:t xml:space="preserve"> the existing exemptions </w:t>
      </w:r>
      <w:r w:rsidR="00DB241E" w:rsidRPr="00A829C7">
        <w:rPr>
          <w:spacing w:val="-2"/>
        </w:rPr>
        <w:t xml:space="preserve">(but see paragraph </w:t>
      </w:r>
      <w:r w:rsidR="00DB241E" w:rsidRPr="00A829C7">
        <w:rPr>
          <w:spacing w:val="-2"/>
        </w:rPr>
        <w:fldChar w:fldCharType="begin"/>
      </w:r>
      <w:r w:rsidR="00DB241E" w:rsidRPr="00A829C7">
        <w:rPr>
          <w:spacing w:val="-2"/>
        </w:rPr>
        <w:instrText xml:space="preserve"> REF _ASICRef695 \w \h </w:instrText>
      </w:r>
      <w:r w:rsidR="00E17FF0">
        <w:rPr>
          <w:spacing w:val="-2"/>
        </w:rPr>
        <w:instrText xml:space="preserve"> \* MERGEFORMAT </w:instrText>
      </w:r>
      <w:r w:rsidR="00DB241E" w:rsidRPr="00A829C7">
        <w:rPr>
          <w:spacing w:val="-2"/>
        </w:rPr>
      </w:r>
      <w:r w:rsidR="00DB241E" w:rsidRPr="00A829C7">
        <w:rPr>
          <w:spacing w:val="-2"/>
        </w:rPr>
        <w:fldChar w:fldCharType="separate"/>
      </w:r>
      <w:r w:rsidR="00314C7E">
        <w:rPr>
          <w:spacing w:val="-2"/>
        </w:rPr>
        <w:t>355</w:t>
      </w:r>
      <w:r w:rsidR="00DB241E" w:rsidRPr="00A829C7">
        <w:rPr>
          <w:spacing w:val="-2"/>
        </w:rPr>
        <w:fldChar w:fldCharType="end"/>
      </w:r>
      <w:r w:rsidR="00DB241E" w:rsidRPr="00A829C7">
        <w:rPr>
          <w:spacing w:val="-2"/>
        </w:rPr>
        <w:t xml:space="preserve">) </w:t>
      </w:r>
      <w:r w:rsidRPr="00A829C7">
        <w:rPr>
          <w:spacing w:val="-2"/>
        </w:rPr>
        <w:t xml:space="preserve">that allow the reporting of an internal entity identifier for joint counterparties and where a non-internal entity identifier is applied for within </w:t>
      </w:r>
      <w:r w:rsidR="00F155A9">
        <w:rPr>
          <w:spacing w:val="-2"/>
        </w:rPr>
        <w:t>two</w:t>
      </w:r>
      <w:r w:rsidR="00F155A9" w:rsidRPr="00A829C7">
        <w:rPr>
          <w:spacing w:val="-2"/>
        </w:rPr>
        <w:t xml:space="preserve"> </w:t>
      </w:r>
      <w:r w:rsidRPr="00A829C7">
        <w:rPr>
          <w:spacing w:val="-2"/>
        </w:rPr>
        <w:t xml:space="preserve">business days </w:t>
      </w:r>
      <w:r w:rsidR="00691002" w:rsidRPr="00A829C7">
        <w:rPr>
          <w:spacing w:val="-2"/>
        </w:rPr>
        <w:t xml:space="preserve">(the ‘grace period’) </w:t>
      </w:r>
      <w:r w:rsidRPr="00A829C7">
        <w:rPr>
          <w:spacing w:val="-2"/>
        </w:rPr>
        <w:t>after the requirement to report the entity identifier arises.</w:t>
      </w:r>
    </w:p>
    <w:p w14:paraId="7B654264" w14:textId="77413A8A" w:rsidR="00487A4D" w:rsidRPr="00A829C7" w:rsidRDefault="00487A4D" w:rsidP="00127B32">
      <w:pPr>
        <w:pStyle w:val="Note"/>
        <w:rPr>
          <w:spacing w:val="-2"/>
        </w:rPr>
      </w:pPr>
      <w:r w:rsidRPr="00A829C7">
        <w:rPr>
          <w:spacing w:val="-2"/>
        </w:rPr>
        <w:t xml:space="preserve">Note: These exemptions are </w:t>
      </w:r>
      <w:r w:rsidR="00F155A9" w:rsidRPr="00A829C7">
        <w:rPr>
          <w:spacing w:val="-2"/>
        </w:rPr>
        <w:t xml:space="preserve">section 6 ‘Exemption 2 (Entity Information)’ and </w:t>
      </w:r>
      <w:r w:rsidRPr="00A829C7">
        <w:rPr>
          <w:spacing w:val="-2"/>
        </w:rPr>
        <w:t xml:space="preserve">section 6B </w:t>
      </w:r>
      <w:r w:rsidR="007E56BB" w:rsidRPr="00A829C7">
        <w:rPr>
          <w:spacing w:val="-2"/>
        </w:rPr>
        <w:t>‘</w:t>
      </w:r>
      <w:r w:rsidRPr="00A829C7">
        <w:rPr>
          <w:spacing w:val="-2"/>
        </w:rPr>
        <w:t>Exemption 2B (Joint Counterparties)</w:t>
      </w:r>
      <w:r w:rsidR="007E56BB" w:rsidRPr="00A829C7">
        <w:rPr>
          <w:spacing w:val="-2"/>
        </w:rPr>
        <w:t>’</w:t>
      </w:r>
      <w:r w:rsidRPr="00A829C7">
        <w:rPr>
          <w:spacing w:val="-2"/>
        </w:rPr>
        <w:t xml:space="preserve"> </w:t>
      </w:r>
      <w:r w:rsidR="0027644D" w:rsidRPr="00A829C7">
        <w:rPr>
          <w:spacing w:val="-2"/>
        </w:rPr>
        <w:t xml:space="preserve">of </w:t>
      </w:r>
      <w:hyperlink r:id="rId32" w:history="1">
        <w:r w:rsidR="0027644D" w:rsidRPr="00A829C7">
          <w:rPr>
            <w:rStyle w:val="Hyperlink"/>
            <w:spacing w:val="-2"/>
          </w:rPr>
          <w:t>ASIC Corporations (Derivative Transaction Reporting Exemption) Instrument 2015/844</w:t>
        </w:r>
      </w:hyperlink>
      <w:r w:rsidR="0027644D" w:rsidRPr="00A829C7">
        <w:rPr>
          <w:spacing w:val="-2"/>
        </w:rPr>
        <w:t>.</w:t>
      </w:r>
    </w:p>
    <w:p w14:paraId="43038C7F" w14:textId="4066067D" w:rsidR="002F67B0" w:rsidRDefault="002F67B0" w:rsidP="007A5C54">
      <w:pPr>
        <w:pStyle w:val="BodyText"/>
        <w:spacing w:line="290" w:lineRule="atLeast"/>
      </w:pPr>
      <w:r>
        <w:t xml:space="preserve">In relation to joint counterparties, </w:t>
      </w:r>
      <w:r w:rsidR="00691002">
        <w:t>we propose to align with the final CFTC rules by requiring that the LEI of one of the joint counterparties is reported as the entity identifier of the non-reporting counterparty.</w:t>
      </w:r>
    </w:p>
    <w:p w14:paraId="2513B41E" w14:textId="25B2D66E" w:rsidR="00691002" w:rsidRDefault="00691002" w:rsidP="007A5C54">
      <w:pPr>
        <w:pStyle w:val="BodyText"/>
        <w:spacing w:line="290" w:lineRule="atLeast"/>
      </w:pPr>
      <w:r>
        <w:t xml:space="preserve">In relation to </w:t>
      </w:r>
      <w:r w:rsidR="007E56BB">
        <w:t>the two-</w:t>
      </w:r>
      <w:r>
        <w:t>business</w:t>
      </w:r>
      <w:r w:rsidR="007E56BB">
        <w:t>-</w:t>
      </w:r>
      <w:r>
        <w:t>day grace period, this exemption is intended to apply to counterparties with infrequent dealings in derivatives</w:t>
      </w:r>
      <w:bookmarkStart w:id="154" w:name="_Hlk56068699"/>
      <w:r w:rsidR="007E56BB" w:rsidRPr="00A829C7">
        <w:t>—</w:t>
      </w:r>
      <w:bookmarkEnd w:id="154"/>
      <w:r>
        <w:t>such as an end user rolling over an interest rate swap every two years</w:t>
      </w:r>
      <w:r w:rsidR="00193DFB">
        <w:t>—</w:t>
      </w:r>
      <w:r w:rsidR="009F20BA">
        <w:t xml:space="preserve">and not having prepared for the </w:t>
      </w:r>
      <w:r w:rsidR="00C173B3">
        <w:t xml:space="preserve">infrequent </w:t>
      </w:r>
      <w:r w:rsidR="009F20BA">
        <w:t>dealing by obtaining an LEI. Should the amended ASIC Rules come into force in Q3</w:t>
      </w:r>
      <w:r w:rsidR="007E56BB">
        <w:t>–</w:t>
      </w:r>
      <w:r w:rsidR="009F20BA">
        <w:t xml:space="preserve">Q4 2022, this exemption will have been in place for approximately </w:t>
      </w:r>
      <w:r w:rsidR="007E56BB">
        <w:t xml:space="preserve">three </w:t>
      </w:r>
      <w:r w:rsidR="009F20BA">
        <w:t xml:space="preserve">years </w:t>
      </w:r>
      <w:r w:rsidR="00253F92">
        <w:t xml:space="preserve">and we consider it likely that many cases of infrequent dealings have occurred and a non-internal entity identifier has been obtained. We consider this exemption should not </w:t>
      </w:r>
      <w:r w:rsidR="00D31C28">
        <w:t>continue beyond the time that the amended ASIC Rules come into force.</w:t>
      </w:r>
    </w:p>
    <w:p w14:paraId="52FF3DA5" w14:textId="2CD0B2CE" w:rsidR="00FB304B" w:rsidRDefault="00FB304B" w:rsidP="008A5510">
      <w:pPr>
        <w:pStyle w:val="BodyText"/>
      </w:pPr>
      <w:bookmarkStart w:id="155" w:name="_ASICRef695"/>
      <w:r>
        <w:lastRenderedPageBreak/>
        <w:t xml:space="preserve">These exemptions are also applicable to </w:t>
      </w:r>
      <w:r w:rsidR="00E145CC">
        <w:t xml:space="preserve">reporting entities that are </w:t>
      </w:r>
      <w:r>
        <w:t xml:space="preserve">foreign subsidiaries of Australian reporting entities. As discussed at paragraph </w:t>
      </w:r>
      <w:r>
        <w:fldChar w:fldCharType="begin"/>
      </w:r>
      <w:r>
        <w:instrText xml:space="preserve"> REF _ASICRef226 \w \h </w:instrText>
      </w:r>
      <w:r>
        <w:fldChar w:fldCharType="separate"/>
      </w:r>
      <w:r w:rsidR="00314C7E">
        <w:t>389</w:t>
      </w:r>
      <w:r>
        <w:fldChar w:fldCharType="end"/>
      </w:r>
      <w:r w:rsidR="00E145CC">
        <w:t>, we have recently received an application for relief in relation to the scope of reportable transactions for such foreign subsidiaries. In light of this application, our current proposal is to repeal the exemptions in relation to reporting entities other than reporting entities that are foreign subsidiaries of Australian reporting entities</w:t>
      </w:r>
      <w:r w:rsidR="009E3411">
        <w:t>.</w:t>
      </w:r>
      <w:bookmarkEnd w:id="155"/>
    </w:p>
    <w:bookmarkEnd w:id="147"/>
    <w:p w14:paraId="70797C16" w14:textId="77777777" w:rsidR="00300144" w:rsidRDefault="00300144" w:rsidP="00300144">
      <w:pPr>
        <w:pStyle w:val="Proposalhead"/>
      </w:pPr>
      <w:r>
        <w:t>Proposal</w:t>
      </w:r>
    </w:p>
    <w:p w14:paraId="7F9A4DB3" w14:textId="2E600515" w:rsidR="00300144" w:rsidRDefault="00300144" w:rsidP="00A829C7">
      <w:pPr>
        <w:pStyle w:val="Proposaltext"/>
        <w:spacing w:line="270" w:lineRule="atLeast"/>
      </w:pPr>
      <w:r>
        <w:t xml:space="preserve">We propose </w:t>
      </w:r>
      <w:r w:rsidR="007C26B0">
        <w:t xml:space="preserve">to </w:t>
      </w:r>
      <w:r w:rsidR="00D31C28">
        <w:t>amend the ASIC Rules to:</w:t>
      </w:r>
    </w:p>
    <w:p w14:paraId="548D2453" w14:textId="7EBB4359" w:rsidR="00EB65ED" w:rsidRDefault="007E56BB" w:rsidP="00A829C7">
      <w:pPr>
        <w:pStyle w:val="Proposalsubpara"/>
        <w:spacing w:line="270" w:lineRule="atLeast"/>
      </w:pPr>
      <w:r>
        <w:t xml:space="preserve">require </w:t>
      </w:r>
      <w:r w:rsidR="00EB65ED">
        <w:t>that entity identifiers must be valid and duly renewed LEIs (other than for entities that are natural persons not acting in a business capacity); and</w:t>
      </w:r>
    </w:p>
    <w:p w14:paraId="185FBC23" w14:textId="71139721" w:rsidR="00C173B3" w:rsidRDefault="007E56BB" w:rsidP="00A829C7">
      <w:pPr>
        <w:pStyle w:val="Proposalsubpara"/>
        <w:spacing w:line="270" w:lineRule="atLeast"/>
      </w:pPr>
      <w:r>
        <w:t xml:space="preserve">require </w:t>
      </w:r>
      <w:r w:rsidR="00EB65ED">
        <w:t xml:space="preserve">that transactions that have been reported with </w:t>
      </w:r>
      <w:r w:rsidR="00487A4D">
        <w:t>entity identifiers that are not valid and duly renewed LEIs have their transaction information updated to include a valid and duly renewed LEI</w:t>
      </w:r>
      <w:r w:rsidR="00C173B3">
        <w:t>.</w:t>
      </w:r>
    </w:p>
    <w:p w14:paraId="2A8ED201" w14:textId="77777777" w:rsidR="008605A3" w:rsidRDefault="008605A3" w:rsidP="008605A3">
      <w:pPr>
        <w:pStyle w:val="Feedbackhead"/>
      </w:pPr>
      <w:r>
        <w:t>Your feedback</w:t>
      </w:r>
    </w:p>
    <w:p w14:paraId="441B3692" w14:textId="77777777" w:rsidR="008605A3" w:rsidRDefault="008605A3" w:rsidP="00A829C7">
      <w:pPr>
        <w:pStyle w:val="Feedbackquestion"/>
        <w:spacing w:line="270" w:lineRule="atLeast"/>
      </w:pPr>
      <w:r>
        <w:t>Do you agree with this proposal? In your response, please give detailed reasons for your answer.</w:t>
      </w:r>
    </w:p>
    <w:p w14:paraId="63096072" w14:textId="77777777" w:rsidR="008605A3" w:rsidRDefault="008605A3" w:rsidP="00A829C7">
      <w:pPr>
        <w:pStyle w:val="Feedbackquestion"/>
        <w:spacing w:line="270" w:lineRule="atLeast"/>
      </w:pPr>
      <w:r w:rsidRPr="00C62732">
        <w:t xml:space="preserve">Do you consider that you will have </w:t>
      </w:r>
      <w:r>
        <w:t>particular</w:t>
      </w:r>
      <w:r w:rsidRPr="00C62732">
        <w:t xml:space="preserve"> interpretation or implementation issues with the </w:t>
      </w:r>
      <w:r>
        <w:t>proposed LEI requirements</w:t>
      </w:r>
      <w:r w:rsidRPr="00C62732">
        <w:t>? In your response, please give detailed reasons for your answer.</w:t>
      </w:r>
    </w:p>
    <w:p w14:paraId="4AB761A7" w14:textId="0D4E5000" w:rsidR="00C02AD3" w:rsidRDefault="009E3411" w:rsidP="00A829C7">
      <w:pPr>
        <w:pStyle w:val="Proposaltext"/>
        <w:keepNext/>
      </w:pPr>
      <w:r>
        <w:t xml:space="preserve">We propose to </w:t>
      </w:r>
      <w:r w:rsidR="005F2621">
        <w:t>repeal</w:t>
      </w:r>
      <w:r>
        <w:t xml:space="preserve"> </w:t>
      </w:r>
      <w:r w:rsidRPr="009E3411">
        <w:t xml:space="preserve">section 6 </w:t>
      </w:r>
      <w:r w:rsidR="00AF270A">
        <w:t>‘</w:t>
      </w:r>
      <w:r w:rsidRPr="009E3411">
        <w:t>Exemption 2 (Entity Information)</w:t>
      </w:r>
      <w:r w:rsidR="00AF270A">
        <w:t>’</w:t>
      </w:r>
      <w:r w:rsidRPr="009E3411">
        <w:t xml:space="preserve"> </w:t>
      </w:r>
      <w:r w:rsidR="00AF270A">
        <w:t>and section 6B ‘</w:t>
      </w:r>
      <w:r w:rsidR="00AF270A" w:rsidRPr="009E3411">
        <w:t>Exemption 2B (Joint Counterparties)</w:t>
      </w:r>
      <w:r w:rsidR="00AF270A">
        <w:t>’</w:t>
      </w:r>
      <w:r w:rsidR="00AF270A" w:rsidRPr="009E3411">
        <w:t xml:space="preserve"> </w:t>
      </w:r>
      <w:r w:rsidRPr="009E3411">
        <w:t xml:space="preserve">of </w:t>
      </w:r>
      <w:hyperlink r:id="rId33" w:history="1">
        <w:r w:rsidRPr="00AF270A">
          <w:rPr>
            <w:rStyle w:val="Hyperlink"/>
          </w:rPr>
          <w:t>ASIC Corporations (Derivative Transaction Reporting Exemption) Instrument 2015/844</w:t>
        </w:r>
      </w:hyperlink>
      <w:r>
        <w:t xml:space="preserve"> </w:t>
      </w:r>
      <w:r w:rsidR="005F2621">
        <w:t>in relation to reporting entities other than reporting entities that are foreign subsidiaries of Australian reporting entities.</w:t>
      </w:r>
    </w:p>
    <w:p w14:paraId="5DA3DA04" w14:textId="77777777" w:rsidR="00300144" w:rsidRDefault="00300144" w:rsidP="00300144">
      <w:pPr>
        <w:pStyle w:val="Feedbackhead"/>
      </w:pPr>
      <w:r>
        <w:t>Your feedback</w:t>
      </w:r>
    </w:p>
    <w:p w14:paraId="71EFAD62" w14:textId="77777777" w:rsidR="00300144" w:rsidRDefault="00300144" w:rsidP="00300144">
      <w:pPr>
        <w:pStyle w:val="Feedbackquestion"/>
      </w:pPr>
      <w:r>
        <w:t>Do you agree with this proposal? In your response, please give detailed reasons for your answer.</w:t>
      </w:r>
    </w:p>
    <w:p w14:paraId="066F8C31" w14:textId="2C403B49" w:rsidR="00C76842" w:rsidRDefault="00300144" w:rsidP="00C76842">
      <w:pPr>
        <w:pStyle w:val="Feedbackquestion"/>
      </w:pPr>
      <w:r w:rsidRPr="00C62732">
        <w:t xml:space="preserve">Do you consider that you will have </w:t>
      </w:r>
      <w:r w:rsidR="00790DEA">
        <w:t>particular</w:t>
      </w:r>
      <w:r w:rsidRPr="00C62732">
        <w:t xml:space="preserve"> interpretation or implementation issues with the </w:t>
      </w:r>
      <w:r>
        <w:t>proposed LEI requirements</w:t>
      </w:r>
      <w:r w:rsidRPr="00C62732">
        <w:t>? In your response, please give detailed reasons for your answer.</w:t>
      </w:r>
    </w:p>
    <w:p w14:paraId="432BD02A" w14:textId="0B258F16" w:rsidR="00953571" w:rsidRPr="00161B88" w:rsidRDefault="00953571" w:rsidP="00953571">
      <w:pPr>
        <w:pStyle w:val="Heading1"/>
      </w:pPr>
      <w:bookmarkStart w:id="156" w:name="_ASICRef373"/>
      <w:bookmarkStart w:id="157" w:name="_ASICRef56"/>
      <w:bookmarkStart w:id="158" w:name="_Toc51080722"/>
      <w:bookmarkStart w:id="159" w:name="_ASICRef871"/>
      <w:bookmarkStart w:id="160" w:name="_Toc57146508"/>
      <w:r>
        <w:lastRenderedPageBreak/>
        <w:t xml:space="preserve">Scope of </w:t>
      </w:r>
      <w:r w:rsidR="00A65611">
        <w:t>reportable transact</w:t>
      </w:r>
      <w:r>
        <w:t xml:space="preserve">ions and </w:t>
      </w:r>
      <w:r w:rsidR="008A5B87">
        <w:t xml:space="preserve">reporting </w:t>
      </w:r>
      <w:bookmarkEnd w:id="156"/>
      <w:bookmarkEnd w:id="157"/>
      <w:bookmarkEnd w:id="158"/>
      <w:bookmarkEnd w:id="159"/>
      <w:r w:rsidR="008A5B87">
        <w:t>entities</w:t>
      </w:r>
      <w:bookmarkEnd w:id="160"/>
    </w:p>
    <w:p w14:paraId="02DDBD58" w14:textId="77777777" w:rsidR="00953571" w:rsidRDefault="00953571" w:rsidP="00953571">
      <w:pPr>
        <w:pStyle w:val="KPhead"/>
      </w:pPr>
      <w:r>
        <w:t>Key points</w:t>
      </w:r>
    </w:p>
    <w:p w14:paraId="0FB58388" w14:textId="300423C2" w:rsidR="00953571" w:rsidRDefault="0015638D" w:rsidP="00A829C7">
      <w:pPr>
        <w:pStyle w:val="KPtext"/>
        <w:spacing w:before="140" w:line="244" w:lineRule="atLeast"/>
      </w:pPr>
      <w:r>
        <w:t xml:space="preserve">We propose to amend the ASIC Rules </w:t>
      </w:r>
      <w:r w:rsidR="00933822">
        <w:t xml:space="preserve">so that ‘spot contracts’ other than foreign exchange contracts, FX </w:t>
      </w:r>
      <w:r w:rsidR="00F4676B">
        <w:t xml:space="preserve">securities conversion transactions </w:t>
      </w:r>
      <w:r w:rsidR="00933822">
        <w:t xml:space="preserve">and exchange-traded derivatives are not </w:t>
      </w:r>
      <w:r w:rsidR="00A65611">
        <w:t>reportable transact</w:t>
      </w:r>
      <w:r w:rsidR="00933822">
        <w:t>ions.</w:t>
      </w:r>
    </w:p>
    <w:p w14:paraId="439A9ECC" w14:textId="29DC8798" w:rsidR="00933822" w:rsidRDefault="00933822" w:rsidP="00A829C7">
      <w:pPr>
        <w:pStyle w:val="KPtext"/>
        <w:spacing w:before="140" w:line="244" w:lineRule="atLeast"/>
      </w:pPr>
      <w:r>
        <w:t xml:space="preserve">For exchange-traded derivatives, we propose to adopt a generic meaning of an exchange-traded derivative, rather than maintaining lists of individual </w:t>
      </w:r>
      <w:r w:rsidR="00A869CA">
        <w:t>transactions</w:t>
      </w:r>
      <w:r>
        <w:t>.</w:t>
      </w:r>
    </w:p>
    <w:p w14:paraId="4183B27A" w14:textId="6011AB51" w:rsidR="00953571" w:rsidRDefault="00A869CA" w:rsidP="00A829C7">
      <w:pPr>
        <w:pStyle w:val="KPtext"/>
        <w:spacing w:before="140" w:line="244" w:lineRule="atLeast"/>
      </w:pPr>
      <w:r>
        <w:t xml:space="preserve">We propose to amend the ASIC Rules to ensure that transactions with Australian retail clients are </w:t>
      </w:r>
      <w:r w:rsidR="00A65611">
        <w:t>reportable transact</w:t>
      </w:r>
      <w:r>
        <w:t>ion</w:t>
      </w:r>
      <w:r w:rsidR="00F4676B">
        <w:t>s</w:t>
      </w:r>
      <w:r>
        <w:t xml:space="preserve"> and to clarify the scope of reporting for foreign subsidiaries of Australian entities.</w:t>
      </w:r>
    </w:p>
    <w:p w14:paraId="7712F680" w14:textId="254D88EE" w:rsidR="00A869CA" w:rsidRDefault="00A869CA" w:rsidP="00A829C7">
      <w:pPr>
        <w:pStyle w:val="KPtext"/>
        <w:spacing w:before="140" w:line="244" w:lineRule="atLeast"/>
      </w:pPr>
      <w:r>
        <w:t xml:space="preserve">We will also consider the application of the ASIC Rules to transactions by foreign entities with Australian wholesale clients in the context of our review of the </w:t>
      </w:r>
      <w:r w:rsidR="00F4676B">
        <w:t xml:space="preserve">alternative reporting </w:t>
      </w:r>
      <w:r>
        <w:t>provisions.</w:t>
      </w:r>
    </w:p>
    <w:p w14:paraId="7462DA65" w14:textId="2DAFC1E6" w:rsidR="00953571" w:rsidRDefault="00953571" w:rsidP="00953571">
      <w:pPr>
        <w:pStyle w:val="Heading2"/>
      </w:pPr>
      <w:bookmarkStart w:id="161" w:name="_Toc51080723"/>
      <w:bookmarkStart w:id="162" w:name="_Toc57146509"/>
      <w:r>
        <w:t>Background</w:t>
      </w:r>
      <w:bookmarkEnd w:id="161"/>
      <w:bookmarkEnd w:id="162"/>
    </w:p>
    <w:p w14:paraId="4AAE50CC" w14:textId="1BB740C8" w:rsidR="00F56D18" w:rsidRPr="00A829C7" w:rsidRDefault="00F56D18" w:rsidP="00A829C7">
      <w:pPr>
        <w:pStyle w:val="BodyText"/>
        <w:spacing w:before="180" w:line="284" w:lineRule="atLeast"/>
        <w:rPr>
          <w:spacing w:val="-2"/>
        </w:rPr>
      </w:pPr>
      <w:r w:rsidRPr="00A829C7">
        <w:rPr>
          <w:spacing w:val="-2"/>
        </w:rPr>
        <w:t xml:space="preserve">The ASIC Rules set out the types of transactions that must be reported and the types of entities that </w:t>
      </w:r>
      <w:r w:rsidR="00146BE4" w:rsidRPr="00A829C7">
        <w:rPr>
          <w:spacing w:val="-2"/>
        </w:rPr>
        <w:t>must report those transactions.</w:t>
      </w:r>
    </w:p>
    <w:p w14:paraId="4489F6B5" w14:textId="6FF4C086" w:rsidR="000B5BBA" w:rsidRDefault="00146BE4" w:rsidP="00A829C7">
      <w:pPr>
        <w:pStyle w:val="BodyText"/>
        <w:spacing w:before="180" w:line="284" w:lineRule="atLeast"/>
      </w:pPr>
      <w:r>
        <w:t xml:space="preserve">The </w:t>
      </w:r>
      <w:r w:rsidR="000B5BBA">
        <w:t>Minister’s determination sets out the classes of derivatives in relation to which reporting requirements may be imposed as:</w:t>
      </w:r>
    </w:p>
    <w:p w14:paraId="2B2C125E" w14:textId="5307BD02" w:rsidR="000B5BBA" w:rsidRDefault="000B5BBA" w:rsidP="00A829C7">
      <w:pPr>
        <w:pStyle w:val="subparaa"/>
        <w:spacing w:before="80" w:line="284" w:lineRule="atLeast"/>
      </w:pPr>
      <w:r>
        <w:t>commodity derivatives that are not electricity derivatives;</w:t>
      </w:r>
    </w:p>
    <w:p w14:paraId="54C96455" w14:textId="09E1FD7E" w:rsidR="000B5BBA" w:rsidRDefault="000B5BBA" w:rsidP="00A829C7">
      <w:pPr>
        <w:pStyle w:val="subparaa"/>
        <w:spacing w:before="80" w:line="284" w:lineRule="atLeast"/>
      </w:pPr>
      <w:r>
        <w:t>credit derivatives;</w:t>
      </w:r>
    </w:p>
    <w:p w14:paraId="4D1AF5F5" w14:textId="20AA1A86" w:rsidR="000B5BBA" w:rsidRDefault="000B5BBA" w:rsidP="00A829C7">
      <w:pPr>
        <w:pStyle w:val="subparaa"/>
        <w:spacing w:before="80" w:line="284" w:lineRule="atLeast"/>
      </w:pPr>
      <w:r>
        <w:t>equity derivatives;</w:t>
      </w:r>
    </w:p>
    <w:p w14:paraId="1E5A931E" w14:textId="1715E13A" w:rsidR="000B5BBA" w:rsidRDefault="000B5BBA" w:rsidP="00A829C7">
      <w:pPr>
        <w:pStyle w:val="subparaa"/>
        <w:spacing w:before="80" w:line="284" w:lineRule="atLeast"/>
      </w:pPr>
      <w:r>
        <w:t>foreign exchange derivatives;</w:t>
      </w:r>
    </w:p>
    <w:p w14:paraId="1819641A" w14:textId="4E7CFCB4" w:rsidR="00146BE4" w:rsidRDefault="000B5BBA" w:rsidP="00A829C7">
      <w:pPr>
        <w:pStyle w:val="subparaa"/>
        <w:spacing w:before="80" w:line="284" w:lineRule="atLeast"/>
      </w:pPr>
      <w:r>
        <w:t>interest rate derivatives</w:t>
      </w:r>
      <w:r w:rsidR="00EB39DB">
        <w:t>.</w:t>
      </w:r>
    </w:p>
    <w:p w14:paraId="6835EF9C" w14:textId="4B7EB12B" w:rsidR="00146BE4" w:rsidRPr="00F56D18" w:rsidRDefault="00146BE4" w:rsidP="00A829C7">
      <w:pPr>
        <w:pStyle w:val="BodyText"/>
        <w:spacing w:before="180" w:line="284" w:lineRule="atLeast"/>
      </w:pPr>
      <w:r>
        <w:t xml:space="preserve">Rule </w:t>
      </w:r>
      <w:r w:rsidR="00EB39DB">
        <w:t xml:space="preserve">1.2.4 sets out the meaning of an </w:t>
      </w:r>
      <w:r w:rsidR="00405E83">
        <w:t>OTC derivative</w:t>
      </w:r>
      <w:r w:rsidR="00EB39DB">
        <w:t xml:space="preserve"> and Rule 1.2.5 sets out the meaning of a </w:t>
      </w:r>
      <w:r w:rsidR="009E0748">
        <w:t>reporting entity</w:t>
      </w:r>
      <w:r w:rsidR="00EB39DB">
        <w:t xml:space="preserve"> and a </w:t>
      </w:r>
      <w:r w:rsidR="00A65611">
        <w:t>reportable transact</w:t>
      </w:r>
      <w:r w:rsidR="00EB39DB">
        <w:t>ion.</w:t>
      </w:r>
    </w:p>
    <w:p w14:paraId="0F6139FF" w14:textId="04786EC6" w:rsidR="00953571" w:rsidRDefault="005F5F22" w:rsidP="005F5F22">
      <w:pPr>
        <w:pStyle w:val="Heading2"/>
        <w:rPr>
          <w:lang w:val="en"/>
        </w:rPr>
      </w:pPr>
      <w:bookmarkStart w:id="163" w:name="_Toc57146510"/>
      <w:r>
        <w:rPr>
          <w:lang w:val="en"/>
        </w:rPr>
        <w:t xml:space="preserve">Rule </w:t>
      </w:r>
      <w:r w:rsidR="00953571">
        <w:rPr>
          <w:lang w:val="en"/>
        </w:rPr>
        <w:t xml:space="preserve">1.2.4 </w:t>
      </w:r>
      <w:r w:rsidR="00405E83">
        <w:rPr>
          <w:lang w:val="en"/>
        </w:rPr>
        <w:t>OTC derivative</w:t>
      </w:r>
      <w:r w:rsidR="00953571">
        <w:rPr>
          <w:lang w:val="en"/>
        </w:rPr>
        <w:t>s</w:t>
      </w:r>
      <w:bookmarkEnd w:id="163"/>
    </w:p>
    <w:p w14:paraId="7009C6ED" w14:textId="3B17A22A" w:rsidR="00953571" w:rsidRDefault="005F5F22" w:rsidP="00A829C7">
      <w:pPr>
        <w:pStyle w:val="BodyText"/>
        <w:spacing w:before="180" w:line="284" w:lineRule="atLeast"/>
      </w:pPr>
      <w:r>
        <w:t>Rule 1.2.4</w:t>
      </w:r>
      <w:r w:rsidR="009062B0">
        <w:t xml:space="preserve"> of the ASIC Rules</w:t>
      </w:r>
      <w:r w:rsidR="00222459">
        <w:t xml:space="preserve"> broadly</w:t>
      </w:r>
      <w:r>
        <w:t xml:space="preserve"> </w:t>
      </w:r>
      <w:r w:rsidR="00222459">
        <w:t>defines</w:t>
      </w:r>
      <w:r>
        <w:t xml:space="preserve"> an </w:t>
      </w:r>
      <w:r w:rsidR="00405E83">
        <w:t>OTC derivative</w:t>
      </w:r>
      <w:r>
        <w:t xml:space="preserve"> as:</w:t>
      </w:r>
    </w:p>
    <w:p w14:paraId="22AF1385" w14:textId="14B50AF0" w:rsidR="005F5F22" w:rsidRDefault="005F5F22" w:rsidP="00A829C7">
      <w:pPr>
        <w:pStyle w:val="subparaa"/>
        <w:spacing w:before="80" w:line="284" w:lineRule="atLeast"/>
      </w:pPr>
      <w:r>
        <w:t xml:space="preserve">a </w:t>
      </w:r>
      <w:r w:rsidR="008A5B87">
        <w:t xml:space="preserve">derivative </w:t>
      </w:r>
      <w:r>
        <w:t>having the meaning given by section 761D of the</w:t>
      </w:r>
      <w:r w:rsidR="00BD3198">
        <w:t xml:space="preserve"> </w:t>
      </w:r>
      <w:r>
        <w:t>Act;</w:t>
      </w:r>
    </w:p>
    <w:p w14:paraId="7BC740B6" w14:textId="1862A73B" w:rsidR="00346F9D" w:rsidRDefault="00B30DC7" w:rsidP="00A829C7">
      <w:pPr>
        <w:pStyle w:val="subparaa"/>
        <w:spacing w:before="80" w:line="284" w:lineRule="atLeast"/>
      </w:pPr>
      <w:r>
        <w:t>being in</w:t>
      </w:r>
      <w:r w:rsidR="00346F9D">
        <w:t xml:space="preserve"> a class of </w:t>
      </w:r>
      <w:r w:rsidR="008A5B87">
        <w:t xml:space="preserve">derivatives </w:t>
      </w:r>
      <w:r w:rsidR="00346F9D">
        <w:t>in relation to which reporting requirements may be imposed as determined by the Minister; and</w:t>
      </w:r>
    </w:p>
    <w:p w14:paraId="1F992A42" w14:textId="61170283" w:rsidR="005F5F22" w:rsidRDefault="00346F9D" w:rsidP="00A829C7">
      <w:pPr>
        <w:pStyle w:val="subparaa"/>
        <w:spacing w:before="80" w:line="284" w:lineRule="atLeast"/>
      </w:pPr>
      <w:r>
        <w:t xml:space="preserve">not </w:t>
      </w:r>
      <w:r w:rsidR="00DA6E4C">
        <w:t xml:space="preserve">being </w:t>
      </w:r>
      <w:r w:rsidR="00222459">
        <w:t>an</w:t>
      </w:r>
      <w:r>
        <w:t xml:space="preserve"> exchange-traded derivative </w:t>
      </w:r>
      <w:r w:rsidR="00332081">
        <w:t xml:space="preserve">under </w:t>
      </w:r>
      <w:r w:rsidR="00DA6E4C">
        <w:t xml:space="preserve">Rule </w:t>
      </w:r>
      <w:r>
        <w:t>1.2.4(2).</w:t>
      </w:r>
    </w:p>
    <w:p w14:paraId="1313A10F" w14:textId="650C2503" w:rsidR="00EF249D" w:rsidRDefault="00242A65" w:rsidP="00DD1D01">
      <w:pPr>
        <w:pStyle w:val="BodyText"/>
      </w:pPr>
      <w:r>
        <w:lastRenderedPageBreak/>
        <w:t>A</w:t>
      </w:r>
      <w:r w:rsidR="00E95B8A">
        <w:t xml:space="preserve"> </w:t>
      </w:r>
      <w:r w:rsidR="00A65611">
        <w:t>reportable transact</w:t>
      </w:r>
      <w:r w:rsidR="00E95B8A">
        <w:t>ion is, broadly, a dealing in</w:t>
      </w:r>
      <w:r>
        <w:t xml:space="preserve"> </w:t>
      </w:r>
      <w:r w:rsidR="00E95B8A">
        <w:t xml:space="preserve">an </w:t>
      </w:r>
      <w:r w:rsidR="00405E83">
        <w:t>OTC derivative</w:t>
      </w:r>
      <w:r w:rsidR="00E95B8A">
        <w:t xml:space="preserve"> by a </w:t>
      </w:r>
      <w:r w:rsidR="009E0748">
        <w:t>reporting entity</w:t>
      </w:r>
      <w:r w:rsidR="00E95B8A">
        <w:t xml:space="preserve"> where the dealing </w:t>
      </w:r>
      <w:r w:rsidR="006A1EEC">
        <w:t xml:space="preserve">or </w:t>
      </w:r>
      <w:r w:rsidR="00E95B8A">
        <w:t xml:space="preserve">the </w:t>
      </w:r>
      <w:r w:rsidR="009E0748">
        <w:t>reporting entity</w:t>
      </w:r>
      <w:r w:rsidR="00E95B8A">
        <w:t xml:space="preserve"> </w:t>
      </w:r>
      <w:r w:rsidR="00CB166D">
        <w:t xml:space="preserve">has </w:t>
      </w:r>
      <w:r w:rsidR="00E95B8A">
        <w:t>a relevant connection to Australia.</w:t>
      </w:r>
    </w:p>
    <w:p w14:paraId="7D20FB84" w14:textId="27A703D8" w:rsidR="00E95B8A" w:rsidRDefault="00E95B8A" w:rsidP="00E95B8A">
      <w:pPr>
        <w:pStyle w:val="Note"/>
      </w:pPr>
      <w:r>
        <w:t xml:space="preserve">Note: </w:t>
      </w:r>
      <w:r w:rsidR="00DA6E4C">
        <w:t>T</w:t>
      </w:r>
      <w:r>
        <w:t xml:space="preserve">he relevant connection to Australia of the dealings and </w:t>
      </w:r>
      <w:r w:rsidR="008A5B87">
        <w:t>reporting entit</w:t>
      </w:r>
      <w:r>
        <w:t xml:space="preserve">ies is </w:t>
      </w:r>
      <w:r w:rsidR="00801105">
        <w:t xml:space="preserve">summarised </w:t>
      </w:r>
      <w:r>
        <w:t xml:space="preserve">at </w:t>
      </w:r>
      <w:r w:rsidRPr="00CB166D">
        <w:t>paragraph</w:t>
      </w:r>
      <w:r w:rsidR="00DA6E4C" w:rsidRPr="00CB166D">
        <w:t xml:space="preserve"> </w:t>
      </w:r>
      <w:r w:rsidR="00801105" w:rsidRPr="00CB166D">
        <w:fldChar w:fldCharType="begin"/>
      </w:r>
      <w:r w:rsidR="00801105" w:rsidRPr="00CB166D">
        <w:instrText xml:space="preserve"> REF _ASICRef15 \w \h </w:instrText>
      </w:r>
      <w:r w:rsidR="00CB166D">
        <w:instrText xml:space="preserve"> \* MERGEFORMAT </w:instrText>
      </w:r>
      <w:r w:rsidR="00801105" w:rsidRPr="00CB166D">
        <w:fldChar w:fldCharType="separate"/>
      </w:r>
      <w:r w:rsidR="00314C7E">
        <w:t>383</w:t>
      </w:r>
      <w:r w:rsidR="00801105" w:rsidRPr="00CB166D">
        <w:fldChar w:fldCharType="end"/>
      </w:r>
      <w:r w:rsidRPr="00CB166D">
        <w:t>.</w:t>
      </w:r>
    </w:p>
    <w:p w14:paraId="12739B6C" w14:textId="694D0122" w:rsidR="00E95B8A" w:rsidRDefault="00644171" w:rsidP="00DD1D01">
      <w:pPr>
        <w:pStyle w:val="BodyText"/>
      </w:pPr>
      <w:bookmarkStart w:id="164" w:name="_ASICRef533"/>
      <w:r>
        <w:t xml:space="preserve">The scope of </w:t>
      </w:r>
      <w:r w:rsidR="00A65611">
        <w:t>reportable transact</w:t>
      </w:r>
      <w:r>
        <w:t xml:space="preserve">ions is further narrowed, until 30 September 2022, under an exemption for the reporting of </w:t>
      </w:r>
      <w:r w:rsidR="00222459">
        <w:t>an</w:t>
      </w:r>
      <w:r>
        <w:t xml:space="preserve"> ‘FX </w:t>
      </w:r>
      <w:r w:rsidR="00DA6E4C">
        <w:t>securities conversion transaction’</w:t>
      </w:r>
      <w:r>
        <w:t xml:space="preserve">. An FX </w:t>
      </w:r>
      <w:r w:rsidR="00DA6E4C">
        <w:t xml:space="preserve">securities conversion transaction </w:t>
      </w:r>
      <w:r>
        <w:t xml:space="preserve">is a foreign exchange transaction, settling not more than </w:t>
      </w:r>
      <w:r w:rsidR="00DA6E4C">
        <w:t xml:space="preserve">seven </w:t>
      </w:r>
      <w:r>
        <w:t xml:space="preserve">business days forward, that is entered into </w:t>
      </w:r>
      <w:r w:rsidR="00E57A03" w:rsidRPr="00E57A03">
        <w:t>solely to facilitate the settlement of a foreign currency denominated security</w:t>
      </w:r>
      <w:r w:rsidR="00E57A03">
        <w:t xml:space="preserve"> transaction.</w:t>
      </w:r>
      <w:bookmarkEnd w:id="164"/>
    </w:p>
    <w:p w14:paraId="30A686A6" w14:textId="5B3E9F6C" w:rsidR="00E57A03" w:rsidRDefault="00E57A03" w:rsidP="00E57A03">
      <w:pPr>
        <w:pStyle w:val="Note"/>
      </w:pPr>
      <w:r>
        <w:t xml:space="preserve">Note: </w:t>
      </w:r>
      <w:r w:rsidR="00DA6E4C">
        <w:t>S</w:t>
      </w:r>
      <w:r>
        <w:t xml:space="preserve">ee </w:t>
      </w:r>
      <w:r w:rsidR="00DA6E4C">
        <w:t>section 13 ‘</w:t>
      </w:r>
      <w:r>
        <w:t xml:space="preserve">Exemption 9 </w:t>
      </w:r>
      <w:r w:rsidR="00DA6E4C">
        <w:t>(</w:t>
      </w:r>
      <w:bookmarkStart w:id="165" w:name="_Toc53392977"/>
      <w:r w:rsidR="00DA6E4C" w:rsidRPr="00A829C7">
        <w:t>FX Securities Conversion Transactions</w:t>
      </w:r>
      <w:bookmarkEnd w:id="165"/>
      <w:r w:rsidR="00DA6E4C" w:rsidRPr="00A829C7">
        <w:t>)</w:t>
      </w:r>
      <w:r w:rsidR="00DA6E4C">
        <w:t>’</w:t>
      </w:r>
      <w:r w:rsidR="00DA6E4C" w:rsidRPr="00A829C7">
        <w:t xml:space="preserve"> </w:t>
      </w:r>
      <w:r>
        <w:t xml:space="preserve">of </w:t>
      </w:r>
      <w:hyperlink r:id="rId34" w:history="1">
        <w:r w:rsidRPr="00DA6E4C">
          <w:rPr>
            <w:rStyle w:val="Hyperlink"/>
          </w:rPr>
          <w:t>ASIC Corporations (Derivative Transaction Reporting Exemption) Instrument 2015/844</w:t>
        </w:r>
      </w:hyperlink>
      <w:r>
        <w:t>.</w:t>
      </w:r>
    </w:p>
    <w:p w14:paraId="0ACA5A59" w14:textId="7CC6563F" w:rsidR="00EF249D" w:rsidRDefault="007E1E4C" w:rsidP="007E1E4C">
      <w:pPr>
        <w:pStyle w:val="Heading3"/>
      </w:pPr>
      <w:r>
        <w:t>Comparable definitions in overseas jurisdictions</w:t>
      </w:r>
    </w:p>
    <w:p w14:paraId="7BC740D7" w14:textId="1DF4D29D" w:rsidR="007E1E4C" w:rsidRDefault="007E1E4C" w:rsidP="00A829C7">
      <w:pPr>
        <w:pStyle w:val="BodyText"/>
      </w:pPr>
      <w:r>
        <w:t xml:space="preserve">The general </w:t>
      </w:r>
      <w:r w:rsidR="00737998">
        <w:t xml:space="preserve">high-level </w:t>
      </w:r>
      <w:r>
        <w:t xml:space="preserve">framework that can be observed in </w:t>
      </w:r>
      <w:r w:rsidR="00737998">
        <w:t xml:space="preserve">a number of </w:t>
      </w:r>
      <w:r>
        <w:t>overseas jurisdictions is that a</w:t>
      </w:r>
      <w:r w:rsidR="00EF2FD6">
        <w:t xml:space="preserve"> reportable</w:t>
      </w:r>
      <w:r>
        <w:t xml:space="preserve"> OTC derivative transaction is a transaction in an OTC derivative product that is broadly</w:t>
      </w:r>
      <w:r w:rsidR="00DA6E4C">
        <w:t xml:space="preserve"> </w:t>
      </w:r>
      <w:r w:rsidR="002B4A24">
        <w:t>w</w:t>
      </w:r>
      <w:r>
        <w:t>ithin the principles definition of a derivative, but</w:t>
      </w:r>
      <w:r w:rsidR="00DA6E4C">
        <w:t xml:space="preserve"> excluding:</w:t>
      </w:r>
    </w:p>
    <w:p w14:paraId="260F807A" w14:textId="48987985" w:rsidR="007E1E4C" w:rsidRDefault="007E1E4C" w:rsidP="00DD1D01">
      <w:pPr>
        <w:pStyle w:val="subparaa"/>
      </w:pPr>
      <w:r>
        <w:t>products that are not derivatives;</w:t>
      </w:r>
    </w:p>
    <w:p w14:paraId="3BC09246" w14:textId="2AB1E4F9" w:rsidR="007E1E4C" w:rsidRDefault="007E1E4C" w:rsidP="00DD1D01">
      <w:pPr>
        <w:pStyle w:val="subparaa"/>
      </w:pPr>
      <w:r>
        <w:t>products that are, or may be, both a derivative and something else;</w:t>
      </w:r>
    </w:p>
    <w:p w14:paraId="1C16B3CD" w14:textId="5ABCAA8C" w:rsidR="007E1E4C" w:rsidRDefault="007E1E4C" w:rsidP="00DD1D01">
      <w:pPr>
        <w:pStyle w:val="subparaa"/>
      </w:pPr>
      <w:r>
        <w:t>transactions in commodities for commercial, day</w:t>
      </w:r>
      <w:r w:rsidR="00DA6E4C">
        <w:t>-</w:t>
      </w:r>
      <w:r>
        <w:t>to</w:t>
      </w:r>
      <w:r w:rsidR="00DA6E4C">
        <w:t>-</w:t>
      </w:r>
      <w:r>
        <w:t>day use;</w:t>
      </w:r>
    </w:p>
    <w:p w14:paraId="6F13733E" w14:textId="5DCE91AF" w:rsidR="007E1E4C" w:rsidRDefault="00C73CB6" w:rsidP="00DD1D01">
      <w:pPr>
        <w:pStyle w:val="subparaa"/>
      </w:pPr>
      <w:r>
        <w:t>transactions</w:t>
      </w:r>
      <w:r w:rsidR="007E1E4C">
        <w:t xml:space="preserve"> for spot settlement;</w:t>
      </w:r>
    </w:p>
    <w:p w14:paraId="5839036A" w14:textId="050734B0" w:rsidR="007E1E4C" w:rsidRDefault="007E1E4C" w:rsidP="00DD1D01">
      <w:pPr>
        <w:pStyle w:val="subparaa"/>
      </w:pPr>
      <w:r>
        <w:t>FX contracts for foreign currency securities settlement purposes; and</w:t>
      </w:r>
    </w:p>
    <w:p w14:paraId="18D200E1" w14:textId="5599AA44" w:rsidR="00DA4C2C" w:rsidRDefault="007E1E4C" w:rsidP="00DD1D01">
      <w:pPr>
        <w:pStyle w:val="subparaa"/>
      </w:pPr>
      <w:r>
        <w:t>exchange-traded derivatives</w:t>
      </w:r>
      <w:r w:rsidR="00C36D4E">
        <w:t>.</w:t>
      </w:r>
    </w:p>
    <w:p w14:paraId="612A09EF" w14:textId="4B7FAFAC" w:rsidR="00737998" w:rsidRDefault="00737998" w:rsidP="00DD1D01">
      <w:pPr>
        <w:pStyle w:val="BodyText"/>
      </w:pPr>
      <w:r>
        <w:t>The corollary to this framework in Australia is</w:t>
      </w:r>
      <w:r w:rsidR="00BD3198">
        <w:t xml:space="preserve"> set out in </w:t>
      </w:r>
      <w:r w:rsidR="00BD3198">
        <w:fldChar w:fldCharType="begin"/>
      </w:r>
      <w:r w:rsidR="00BD3198">
        <w:instrText xml:space="preserve"> REF _Ref56075283 \h </w:instrText>
      </w:r>
      <w:r w:rsidR="00BD3198">
        <w:fldChar w:fldCharType="separate"/>
      </w:r>
      <w:r w:rsidR="00314C7E">
        <w:t xml:space="preserve">Table </w:t>
      </w:r>
      <w:r w:rsidR="00314C7E">
        <w:rPr>
          <w:noProof/>
        </w:rPr>
        <w:t>30</w:t>
      </w:r>
      <w:r w:rsidR="00BD3198">
        <w:fldChar w:fldCharType="end"/>
      </w:r>
      <w:r w:rsidR="00BD3198">
        <w:t>.</w:t>
      </w:r>
    </w:p>
    <w:p w14:paraId="24CBF728" w14:textId="1C31AF19" w:rsidR="00737998" w:rsidRDefault="00737998" w:rsidP="00D36F5C">
      <w:pPr>
        <w:pStyle w:val="tabletitlefullwidth"/>
      </w:pPr>
      <w:bookmarkStart w:id="166" w:name="_Ref56075283"/>
      <w:r>
        <w:t xml:space="preserve">Table </w:t>
      </w:r>
      <w:r w:rsidR="007055A5">
        <w:fldChar w:fldCharType="begin"/>
      </w:r>
      <w:r w:rsidR="007055A5">
        <w:instrText xml:space="preserve"> SEQ Table \* ARABIC </w:instrText>
      </w:r>
      <w:r w:rsidR="007055A5">
        <w:fldChar w:fldCharType="separate"/>
      </w:r>
      <w:r w:rsidR="00314C7E">
        <w:rPr>
          <w:noProof/>
        </w:rPr>
        <w:t>30</w:t>
      </w:r>
      <w:r w:rsidR="007055A5">
        <w:rPr>
          <w:noProof/>
        </w:rPr>
        <w:fldChar w:fldCharType="end"/>
      </w:r>
      <w:bookmarkEnd w:id="166"/>
      <w:r>
        <w:t>:</w:t>
      </w:r>
      <w:r>
        <w:tab/>
      </w:r>
      <w:r w:rsidR="005029B1">
        <w:t>Framework for reportable OTC derivative transactions</w:t>
      </w:r>
      <w:r w:rsidR="00193DFB">
        <w:t>—</w:t>
      </w:r>
      <w:r w:rsidR="005029B1">
        <w:t>Australian corollary</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4535"/>
        <w:gridCol w:w="4535"/>
      </w:tblGrid>
      <w:tr w:rsidR="00737998" w:rsidRPr="000540E1" w14:paraId="05E49F4C" w14:textId="77777777" w:rsidTr="00737998">
        <w:trPr>
          <w:cantSplit/>
          <w:tblHeader/>
        </w:trPr>
        <w:tc>
          <w:tcPr>
            <w:tcW w:w="2500" w:type="pct"/>
            <w:shd w:val="clear" w:color="auto" w:fill="C2E3FA"/>
          </w:tcPr>
          <w:p w14:paraId="6947917A" w14:textId="6B33EE1D" w:rsidR="00737998" w:rsidRPr="000540E1" w:rsidRDefault="00737998" w:rsidP="00D36F5C">
            <w:pPr>
              <w:pStyle w:val="tablehead"/>
            </w:pPr>
            <w:r>
              <w:t>Framework element</w:t>
            </w:r>
          </w:p>
        </w:tc>
        <w:tc>
          <w:tcPr>
            <w:tcW w:w="2500" w:type="pct"/>
            <w:shd w:val="clear" w:color="auto" w:fill="C2E3FA"/>
          </w:tcPr>
          <w:p w14:paraId="09A7D009" w14:textId="22CE45D8" w:rsidR="00737998" w:rsidRPr="000540E1" w:rsidRDefault="00737998" w:rsidP="00D36F5C">
            <w:pPr>
              <w:pStyle w:val="tablehead"/>
            </w:pPr>
            <w:r>
              <w:t>Australian corollary</w:t>
            </w:r>
          </w:p>
        </w:tc>
      </w:tr>
      <w:tr w:rsidR="00737998" w:rsidRPr="000540E1" w14:paraId="10E7B220" w14:textId="77777777" w:rsidTr="00737998">
        <w:trPr>
          <w:cantSplit/>
        </w:trPr>
        <w:tc>
          <w:tcPr>
            <w:tcW w:w="2500" w:type="pct"/>
          </w:tcPr>
          <w:p w14:paraId="52C1C882" w14:textId="786C15BD" w:rsidR="00737998" w:rsidRPr="000540E1" w:rsidRDefault="00737998" w:rsidP="00F97CA2">
            <w:pPr>
              <w:pStyle w:val="tbltext"/>
              <w:ind w:left="425" w:hanging="425"/>
            </w:pPr>
            <w:r w:rsidRPr="007A5C54">
              <w:rPr>
                <w:sz w:val="16"/>
                <w:szCs w:val="16"/>
              </w:rPr>
              <w:t>(a)</w:t>
            </w:r>
            <w:r>
              <w:tab/>
              <w:t>Within the principles definition of a derivative</w:t>
            </w:r>
          </w:p>
        </w:tc>
        <w:tc>
          <w:tcPr>
            <w:tcW w:w="2500" w:type="pct"/>
          </w:tcPr>
          <w:p w14:paraId="2EBFD8AA" w14:textId="60185706" w:rsidR="00737998" w:rsidRPr="000540E1" w:rsidRDefault="00737998" w:rsidP="00D36F5C">
            <w:pPr>
              <w:pStyle w:val="tbltext"/>
            </w:pPr>
            <w:r w:rsidRPr="00737998">
              <w:t>s761D</w:t>
            </w:r>
            <w:r w:rsidR="00222459">
              <w:t>(1)</w:t>
            </w:r>
            <w:r w:rsidRPr="00737998">
              <w:t xml:space="preserve"> </w:t>
            </w:r>
            <w:r>
              <w:t xml:space="preserve">of the </w:t>
            </w:r>
            <w:r w:rsidR="00DD1D01">
              <w:t xml:space="preserve">Corporations </w:t>
            </w:r>
            <w:r>
              <w:t xml:space="preserve">Act </w:t>
            </w:r>
            <w:r w:rsidRPr="00737998">
              <w:t>gives the principles definition of a derivative</w:t>
            </w:r>
          </w:p>
        </w:tc>
      </w:tr>
      <w:tr w:rsidR="00737998" w:rsidRPr="000540E1" w14:paraId="69364103" w14:textId="77777777" w:rsidTr="00D36F5C">
        <w:trPr>
          <w:cantSplit/>
        </w:trPr>
        <w:tc>
          <w:tcPr>
            <w:tcW w:w="2500" w:type="pct"/>
          </w:tcPr>
          <w:p w14:paraId="47A3E68F" w14:textId="77777777" w:rsidR="00737998" w:rsidRDefault="00737998" w:rsidP="00F97CA2">
            <w:pPr>
              <w:pStyle w:val="tbltext"/>
              <w:ind w:left="425" w:hanging="425"/>
            </w:pPr>
            <w:r w:rsidRPr="007A5C54">
              <w:rPr>
                <w:sz w:val="16"/>
                <w:szCs w:val="16"/>
              </w:rPr>
              <w:t>(b)</w:t>
            </w:r>
            <w:r>
              <w:tab/>
              <w:t>Excluding products that are not derivatives</w:t>
            </w:r>
          </w:p>
          <w:p w14:paraId="19A0D77D" w14:textId="1A10B855" w:rsidR="00A63773" w:rsidRPr="000540E1" w:rsidRDefault="00A63773" w:rsidP="00F97CA2">
            <w:pPr>
              <w:pStyle w:val="tbltext"/>
              <w:ind w:left="425" w:hanging="425"/>
            </w:pPr>
            <w:r w:rsidRPr="007A5C54">
              <w:rPr>
                <w:sz w:val="16"/>
                <w:szCs w:val="16"/>
              </w:rPr>
              <w:t>(c)</w:t>
            </w:r>
            <w:r w:rsidR="00363342">
              <w:tab/>
              <w:t>Excluding products that are, or may be, both a derivative and something else</w:t>
            </w:r>
          </w:p>
        </w:tc>
        <w:tc>
          <w:tcPr>
            <w:tcW w:w="2500" w:type="pct"/>
          </w:tcPr>
          <w:p w14:paraId="3EFBB44B" w14:textId="73ACC818" w:rsidR="00737998" w:rsidRDefault="00737998" w:rsidP="00737998">
            <w:pPr>
              <w:pStyle w:val="tbltext"/>
            </w:pPr>
            <w:r>
              <w:t xml:space="preserve">s761D(3)(c) of </w:t>
            </w:r>
            <w:r w:rsidR="00A63773">
              <w:t xml:space="preserve">the meaning of a derivative under </w:t>
            </w:r>
            <w:r>
              <w:t xml:space="preserve">the </w:t>
            </w:r>
            <w:r w:rsidR="00DD1D01">
              <w:t xml:space="preserve">Corporations </w:t>
            </w:r>
            <w:r>
              <w:t>Act excludes financial products covered by s764A(1)</w:t>
            </w:r>
            <w:r w:rsidR="00193DFB">
              <w:t>—</w:t>
            </w:r>
            <w:r>
              <w:t xml:space="preserve">for example, a security, an interest in a scheme, an </w:t>
            </w:r>
            <w:r w:rsidR="00F97CA2">
              <w:t>insurance contract or a g</w:t>
            </w:r>
            <w:r>
              <w:t>overnment bond</w:t>
            </w:r>
          </w:p>
          <w:p w14:paraId="4A779905" w14:textId="65EC67F6" w:rsidR="00F97CA2" w:rsidRPr="000540E1" w:rsidRDefault="00F97CA2" w:rsidP="00737998">
            <w:pPr>
              <w:pStyle w:val="tbltext"/>
            </w:pPr>
            <w:r>
              <w:t>Corporations Regulations also declare things not to be a derivative</w:t>
            </w:r>
            <w:r w:rsidR="00193DFB">
              <w:t>—</w:t>
            </w:r>
            <w:r>
              <w:t xml:space="preserve">see, for example, </w:t>
            </w:r>
            <w:r w:rsidR="00DD1D01">
              <w:t xml:space="preserve">reg </w:t>
            </w:r>
            <w:r>
              <w:t xml:space="preserve">7.1.04 (8)(a) </w:t>
            </w:r>
            <w:r w:rsidR="00CB166D">
              <w:t>(</w:t>
            </w:r>
            <w:r>
              <w:t>tradeable water rights</w:t>
            </w:r>
            <w:r w:rsidR="00CB166D">
              <w:t>)</w:t>
            </w:r>
          </w:p>
        </w:tc>
      </w:tr>
      <w:tr w:rsidR="00737998" w:rsidRPr="000540E1" w14:paraId="11EF69E3" w14:textId="77777777" w:rsidTr="00D36F5C">
        <w:trPr>
          <w:cantSplit/>
        </w:trPr>
        <w:tc>
          <w:tcPr>
            <w:tcW w:w="2500" w:type="pct"/>
          </w:tcPr>
          <w:p w14:paraId="534E2FE0" w14:textId="520E28DB" w:rsidR="00737998" w:rsidRPr="000540E1" w:rsidRDefault="00737998" w:rsidP="0033081E">
            <w:pPr>
              <w:pStyle w:val="tbltext"/>
              <w:ind w:left="425" w:hanging="425"/>
            </w:pPr>
            <w:r w:rsidRPr="000C627E">
              <w:rPr>
                <w:sz w:val="16"/>
                <w:szCs w:val="16"/>
              </w:rPr>
              <w:lastRenderedPageBreak/>
              <w:t>(d)</w:t>
            </w:r>
            <w:r>
              <w:tab/>
              <w:t>Excluding transactions in commodities for commercial, day</w:t>
            </w:r>
            <w:r w:rsidR="00DD1D01">
              <w:t>-</w:t>
            </w:r>
            <w:r>
              <w:t>to</w:t>
            </w:r>
            <w:r w:rsidR="00DD1D01">
              <w:t>-</w:t>
            </w:r>
            <w:r>
              <w:t>day use</w:t>
            </w:r>
          </w:p>
        </w:tc>
        <w:tc>
          <w:tcPr>
            <w:tcW w:w="2500" w:type="pct"/>
          </w:tcPr>
          <w:p w14:paraId="798F8508" w14:textId="107EC2AF" w:rsidR="00737998" w:rsidRPr="000540E1" w:rsidRDefault="0033081E" w:rsidP="00D36F5C">
            <w:pPr>
              <w:pStyle w:val="tbltext"/>
            </w:pPr>
            <w:r w:rsidRPr="0033081E">
              <w:t>s761D(3)(a) excludes tra</w:t>
            </w:r>
            <w:r>
              <w:t xml:space="preserve">nsactions for </w:t>
            </w:r>
            <w:r w:rsidRPr="0033081E">
              <w:t xml:space="preserve">tangible property </w:t>
            </w:r>
            <w:r>
              <w:t xml:space="preserve">subject to </w:t>
            </w:r>
            <w:r w:rsidR="00D10DC2">
              <w:t xml:space="preserve">various </w:t>
            </w:r>
            <w:r>
              <w:t>conditions</w:t>
            </w:r>
            <w:r w:rsidR="00DD1D01">
              <w:t>,</w:t>
            </w:r>
            <w:r>
              <w:t xml:space="preserve"> including that the</w:t>
            </w:r>
            <w:r w:rsidR="00D10DC2">
              <w:t>y are</w:t>
            </w:r>
            <w:r>
              <w:t xml:space="preserve"> not for cash settlement</w:t>
            </w:r>
            <w:r w:rsidR="00D10DC2">
              <w:t>, set-off or usual market practices of close-out by matching</w:t>
            </w:r>
          </w:p>
        </w:tc>
      </w:tr>
      <w:tr w:rsidR="00737998" w:rsidRPr="000540E1" w14:paraId="43D65C6F" w14:textId="77777777" w:rsidTr="00D36F5C">
        <w:trPr>
          <w:cantSplit/>
        </w:trPr>
        <w:tc>
          <w:tcPr>
            <w:tcW w:w="2500" w:type="pct"/>
          </w:tcPr>
          <w:p w14:paraId="7E8DD08D" w14:textId="73421A6A" w:rsidR="00737998" w:rsidRPr="000540E1" w:rsidRDefault="00737998" w:rsidP="00D10DC2">
            <w:pPr>
              <w:pStyle w:val="tbltext"/>
              <w:ind w:left="425" w:hanging="425"/>
            </w:pPr>
            <w:r w:rsidRPr="000C627E">
              <w:rPr>
                <w:sz w:val="16"/>
                <w:szCs w:val="16"/>
              </w:rPr>
              <w:t>(e)</w:t>
            </w:r>
            <w:r>
              <w:tab/>
              <w:t xml:space="preserve">Excluding </w:t>
            </w:r>
            <w:r w:rsidR="00C73CB6">
              <w:t>transactions</w:t>
            </w:r>
            <w:r>
              <w:t xml:space="preserve"> for spot settlement</w:t>
            </w:r>
          </w:p>
        </w:tc>
        <w:tc>
          <w:tcPr>
            <w:tcW w:w="2500" w:type="pct"/>
          </w:tcPr>
          <w:p w14:paraId="21869A33" w14:textId="04423ECA" w:rsidR="00737998" w:rsidRPr="000540E1" w:rsidRDefault="00D10DC2" w:rsidP="00D10DC2">
            <w:pPr>
              <w:pStyle w:val="tbltext"/>
            </w:pPr>
            <w:r>
              <w:t>For s761D(1)(b)</w:t>
            </w:r>
            <w:r w:rsidR="00945C87">
              <w:t xml:space="preserve">, </w:t>
            </w:r>
            <w:bookmarkStart w:id="167" w:name="_Hlk52295304"/>
            <w:r w:rsidR="00DD1D01">
              <w:t>reg</w:t>
            </w:r>
            <w:r>
              <w:t xml:space="preserve"> 7.1.04(1) </w:t>
            </w:r>
            <w:bookmarkEnd w:id="167"/>
            <w:r w:rsidR="00DD1D01">
              <w:t xml:space="preserve">of the Corporations Regulations </w:t>
            </w:r>
            <w:r>
              <w:t xml:space="preserve">excludes foreign exchange contracts for less than T+3 settlement </w:t>
            </w:r>
          </w:p>
        </w:tc>
      </w:tr>
      <w:tr w:rsidR="00737998" w:rsidRPr="000540E1" w14:paraId="601F93C6" w14:textId="77777777" w:rsidTr="00D36F5C">
        <w:trPr>
          <w:cantSplit/>
        </w:trPr>
        <w:tc>
          <w:tcPr>
            <w:tcW w:w="2500" w:type="pct"/>
          </w:tcPr>
          <w:p w14:paraId="3E02E2B7" w14:textId="481B3948" w:rsidR="00737998" w:rsidRPr="000540E1" w:rsidRDefault="00737998" w:rsidP="00D10DC2">
            <w:pPr>
              <w:pStyle w:val="tbltext"/>
              <w:ind w:left="425" w:hanging="425"/>
            </w:pPr>
            <w:r w:rsidRPr="000C627E">
              <w:rPr>
                <w:sz w:val="16"/>
                <w:szCs w:val="16"/>
              </w:rPr>
              <w:t>(f)</w:t>
            </w:r>
            <w:r>
              <w:tab/>
              <w:t>Excluding FX contracts for foreign currency securities settlement purposes</w:t>
            </w:r>
          </w:p>
        </w:tc>
        <w:tc>
          <w:tcPr>
            <w:tcW w:w="2500" w:type="pct"/>
          </w:tcPr>
          <w:p w14:paraId="0FC0523C" w14:textId="5012ABCC" w:rsidR="00737998" w:rsidRPr="00A829C7" w:rsidRDefault="00D10DC2" w:rsidP="00D36F5C">
            <w:pPr>
              <w:pStyle w:val="tbltext"/>
              <w:rPr>
                <w:spacing w:val="-2"/>
              </w:rPr>
            </w:pPr>
            <w:r w:rsidRPr="00A829C7">
              <w:rPr>
                <w:spacing w:val="-2"/>
              </w:rPr>
              <w:t xml:space="preserve">Excluded by the exemption </w:t>
            </w:r>
            <w:r w:rsidR="00530D38" w:rsidRPr="00A829C7">
              <w:rPr>
                <w:spacing w:val="-2"/>
              </w:rPr>
              <w:t>described at</w:t>
            </w:r>
            <w:r w:rsidR="00AF7715" w:rsidRPr="00A829C7">
              <w:rPr>
                <w:spacing w:val="-2"/>
              </w:rPr>
              <w:t xml:space="preserve"> </w:t>
            </w:r>
            <w:r w:rsidR="00DD1D01" w:rsidRPr="00A829C7">
              <w:rPr>
                <w:spacing w:val="-2"/>
              </w:rPr>
              <w:t xml:space="preserve">paragraph </w:t>
            </w:r>
            <w:r w:rsidR="00530D38" w:rsidRPr="00A829C7">
              <w:rPr>
                <w:spacing w:val="-2"/>
              </w:rPr>
              <w:fldChar w:fldCharType="begin"/>
            </w:r>
            <w:r w:rsidR="00530D38" w:rsidRPr="00A829C7">
              <w:rPr>
                <w:spacing w:val="-2"/>
              </w:rPr>
              <w:instrText xml:space="preserve"> REF _ASICRef533 \w \h </w:instrText>
            </w:r>
            <w:r w:rsidR="00DD1D01">
              <w:rPr>
                <w:spacing w:val="-2"/>
              </w:rPr>
              <w:instrText xml:space="preserve"> \* MERGEFORMAT </w:instrText>
            </w:r>
            <w:r w:rsidR="00530D38" w:rsidRPr="00A829C7">
              <w:rPr>
                <w:spacing w:val="-2"/>
              </w:rPr>
            </w:r>
            <w:r w:rsidR="00530D38" w:rsidRPr="00A829C7">
              <w:rPr>
                <w:spacing w:val="-2"/>
              </w:rPr>
              <w:fldChar w:fldCharType="separate"/>
            </w:r>
            <w:r w:rsidR="00314C7E">
              <w:rPr>
                <w:spacing w:val="-2"/>
              </w:rPr>
              <w:t>361</w:t>
            </w:r>
            <w:r w:rsidR="00530D38" w:rsidRPr="00A829C7">
              <w:rPr>
                <w:spacing w:val="-2"/>
              </w:rPr>
              <w:fldChar w:fldCharType="end"/>
            </w:r>
          </w:p>
        </w:tc>
      </w:tr>
      <w:tr w:rsidR="00D10DC2" w:rsidRPr="000540E1" w14:paraId="351143B8" w14:textId="77777777" w:rsidTr="00D36F5C">
        <w:trPr>
          <w:cantSplit/>
        </w:trPr>
        <w:tc>
          <w:tcPr>
            <w:tcW w:w="2500" w:type="pct"/>
          </w:tcPr>
          <w:p w14:paraId="785CA77F" w14:textId="7CA8FCAE" w:rsidR="00D10DC2" w:rsidRPr="000540E1" w:rsidRDefault="00D10DC2" w:rsidP="00D36F5C">
            <w:pPr>
              <w:pStyle w:val="tbltext"/>
              <w:ind w:left="425" w:hanging="425"/>
            </w:pPr>
            <w:r w:rsidRPr="000C627E">
              <w:rPr>
                <w:sz w:val="16"/>
                <w:szCs w:val="16"/>
              </w:rPr>
              <w:t>(g)</w:t>
            </w:r>
            <w:r>
              <w:tab/>
              <w:t>Excluding exchange-traded derivatives</w:t>
            </w:r>
          </w:p>
        </w:tc>
        <w:tc>
          <w:tcPr>
            <w:tcW w:w="2500" w:type="pct"/>
          </w:tcPr>
          <w:p w14:paraId="1592A003" w14:textId="1F20857D" w:rsidR="00D10DC2" w:rsidRPr="000540E1" w:rsidRDefault="00530D38" w:rsidP="00D36F5C">
            <w:pPr>
              <w:pStyle w:val="tbltext"/>
            </w:pPr>
            <w:r>
              <w:t xml:space="preserve">Excluded by </w:t>
            </w:r>
            <w:r w:rsidR="00DD1D01">
              <w:t xml:space="preserve">Rule </w:t>
            </w:r>
            <w:r>
              <w:t xml:space="preserve">1.2.4(2) </w:t>
            </w:r>
            <w:r w:rsidR="009062B0">
              <w:t xml:space="preserve">of the ASIC Rules </w:t>
            </w:r>
            <w:r>
              <w:t>and</w:t>
            </w:r>
            <w:r w:rsidR="00945C87">
              <w:t xml:space="preserve"> additionally</w:t>
            </w:r>
            <w:r>
              <w:t>, until 30</w:t>
            </w:r>
            <w:r w:rsidR="00DD1D01">
              <w:t> </w:t>
            </w:r>
            <w:r>
              <w:t>September 2022</w:t>
            </w:r>
            <w:r w:rsidR="00945C87">
              <w:t>,</w:t>
            </w:r>
            <w:r>
              <w:t xml:space="preserve"> by </w:t>
            </w:r>
            <w:r w:rsidR="00DD1D01">
              <w:t>section 5 ‘</w:t>
            </w:r>
            <w:r w:rsidR="00DD1D01" w:rsidRPr="00303BEF">
              <w:t xml:space="preserve">Exemption 1 (Exchange-traded derivatives)’ </w:t>
            </w:r>
            <w:r>
              <w:t xml:space="preserve">of </w:t>
            </w:r>
            <w:hyperlink r:id="rId35" w:history="1">
              <w:r w:rsidRPr="00DD1D01">
                <w:rPr>
                  <w:rStyle w:val="Hyperlink"/>
                </w:rPr>
                <w:t>ASIC Corporations (Derivative Transaction Reporting Exemption) Instrument 2015/844</w:t>
              </w:r>
            </w:hyperlink>
          </w:p>
        </w:tc>
      </w:tr>
    </w:tbl>
    <w:p w14:paraId="6C3B01C7" w14:textId="365A0B35" w:rsidR="00C73CB6" w:rsidRDefault="00C73CB6" w:rsidP="00C73CB6">
      <w:pPr>
        <w:pStyle w:val="Heading3"/>
      </w:pPr>
      <w:r>
        <w:t>Transactions for spot settlement</w:t>
      </w:r>
    </w:p>
    <w:p w14:paraId="46C2FAA8" w14:textId="17AA90D2" w:rsidR="00C73CB6" w:rsidRDefault="00C73CB6" w:rsidP="00DA4C2C">
      <w:pPr>
        <w:pStyle w:val="BodyText"/>
      </w:pPr>
      <w:r>
        <w:t>T</w:t>
      </w:r>
      <w:r w:rsidR="00DA6DCC">
        <w:t>he key products for which ‘spot’ settlement are common transaction types</w:t>
      </w:r>
      <w:r w:rsidR="00193DFB">
        <w:t>—</w:t>
      </w:r>
      <w:r w:rsidR="00DA6DCC">
        <w:t>such as foreign exchange, securities and commodities</w:t>
      </w:r>
      <w:r w:rsidR="00193DFB">
        <w:t>—</w:t>
      </w:r>
      <w:r w:rsidR="00DA6DCC">
        <w:t>are already excluded under provisions</w:t>
      </w:r>
      <w:r>
        <w:t xml:space="preserve"> described above</w:t>
      </w:r>
      <w:r w:rsidR="00DA6DCC">
        <w:t>.</w:t>
      </w:r>
    </w:p>
    <w:p w14:paraId="5677F498" w14:textId="7E286DF4" w:rsidR="00C73CB6" w:rsidRDefault="00DA6DCC" w:rsidP="00DA4C2C">
      <w:pPr>
        <w:pStyle w:val="BodyText"/>
      </w:pPr>
      <w:r>
        <w:t>There is a small number of other products</w:t>
      </w:r>
      <w:r w:rsidR="00193DFB">
        <w:t>—</w:t>
      </w:r>
      <w:r>
        <w:t>such as for Australian carbon credits or other environmental units</w:t>
      </w:r>
      <w:r w:rsidR="00193DFB">
        <w:t>—</w:t>
      </w:r>
      <w:r>
        <w:t>for which market practice for spot settlement is, for example, T+2 or T+3</w:t>
      </w:r>
      <w:r w:rsidR="00B97805">
        <w:t>.</w:t>
      </w:r>
    </w:p>
    <w:p w14:paraId="44C6C58A" w14:textId="60F7216B" w:rsidR="00EF249D" w:rsidRDefault="00B97805" w:rsidP="00DA4C2C">
      <w:pPr>
        <w:pStyle w:val="BodyText"/>
      </w:pPr>
      <w:r>
        <w:t xml:space="preserve">We do not think there is sufficient regulatory benefit </w:t>
      </w:r>
      <w:r w:rsidR="00C73CB6">
        <w:t>in</w:t>
      </w:r>
      <w:r>
        <w:t xml:space="preserve"> ensuring that such transactions are captured by the ASIC Rules.</w:t>
      </w:r>
      <w:r w:rsidR="00C73CB6">
        <w:t xml:space="preserve"> This is consistent with the approach taken in overseas jurisdictions.</w:t>
      </w:r>
    </w:p>
    <w:p w14:paraId="1C3209C1" w14:textId="03C9F152" w:rsidR="00C73CB6" w:rsidRDefault="00C73CB6" w:rsidP="00DA4C2C">
      <w:pPr>
        <w:pStyle w:val="BodyText"/>
      </w:pPr>
      <w:r>
        <w:t>We propose to exclude from the mean</w:t>
      </w:r>
      <w:r w:rsidR="00DB30FC">
        <w:t xml:space="preserve">ing of a </w:t>
      </w:r>
      <w:r w:rsidR="00A65611">
        <w:t>reportable transact</w:t>
      </w:r>
      <w:r w:rsidR="00DB30FC">
        <w:t xml:space="preserve">ion a transaction for spot settlement. We intend to propose the text of such an exclusion in the ASIC Rules in </w:t>
      </w:r>
      <w:r w:rsidR="00E30A53">
        <w:t>the</w:t>
      </w:r>
      <w:r w:rsidR="00DB30FC">
        <w:t xml:space="preserve"> </w:t>
      </w:r>
      <w:r w:rsidR="00E30A53">
        <w:t>second r</w:t>
      </w:r>
      <w:r w:rsidR="00DB30FC">
        <w:t xml:space="preserve">ound </w:t>
      </w:r>
      <w:r w:rsidR="00E30A53">
        <w:t xml:space="preserve">of </w:t>
      </w:r>
      <w:r w:rsidR="00DB30FC">
        <w:t>consultation and will consider the relevant texts in the rules of other jurisdictions, for example:</w:t>
      </w:r>
    </w:p>
    <w:p w14:paraId="36412800" w14:textId="11F469CF" w:rsidR="00DB30FC" w:rsidRDefault="00DB30FC" w:rsidP="00DB30FC">
      <w:pPr>
        <w:pStyle w:val="subparaa"/>
      </w:pPr>
      <w:r w:rsidRPr="00A829C7">
        <w:t>Singapore</w:t>
      </w:r>
      <w:r w:rsidR="008E55EB" w:rsidRPr="00A829C7">
        <w:rPr>
          <w:b/>
          <w:bCs/>
        </w:rPr>
        <w:t>—</w:t>
      </w:r>
      <w:r w:rsidR="008E55EB">
        <w:t>‘</w:t>
      </w:r>
      <w:r w:rsidRPr="00DB30FC">
        <w:t>spot contract</w:t>
      </w:r>
      <w:r w:rsidR="008E55EB">
        <w:t>’</w:t>
      </w:r>
      <w:r w:rsidR="008E55EB" w:rsidRPr="00DB30FC">
        <w:t xml:space="preserve"> </w:t>
      </w:r>
      <w:r w:rsidRPr="00DB30FC">
        <w:t>means a contract or arrangement for the sale or purchase of any underlying thing at the spot price, where it is intended for a party to the contract or arrangement to take delivery of the underlying thing immediately or within a period which must not be longer than the period determined by the market convention for delivery of the underlying thing;</w:t>
      </w:r>
    </w:p>
    <w:p w14:paraId="54EC7834" w14:textId="4DE82551" w:rsidR="00DB30FC" w:rsidRDefault="00DB30FC" w:rsidP="00DB30FC">
      <w:pPr>
        <w:pStyle w:val="subparaa"/>
      </w:pPr>
      <w:r w:rsidRPr="00A829C7">
        <w:t>Hong Kong</w:t>
      </w:r>
      <w:r w:rsidR="008E55EB" w:rsidRPr="004270E6">
        <w:rPr>
          <w:b/>
          <w:bCs/>
        </w:rPr>
        <w:t>—</w:t>
      </w:r>
      <w:r w:rsidR="008E55EB">
        <w:t>‘</w:t>
      </w:r>
      <w:r>
        <w:t>spot contract</w:t>
      </w:r>
      <w:r w:rsidR="008E55EB">
        <w:t>’</w:t>
      </w:r>
      <w:r>
        <w:t xml:space="preserve"> means a contract for the sale of any type or combination of types of securities, commodity, index, property, interest rate or currency exchange rate under the terms of which the settlement of the contract is scheduled to be made within the longest of the following periods</w:t>
      </w:r>
      <w:r w:rsidR="008E55EB">
        <w:t>:</w:t>
      </w:r>
    </w:p>
    <w:p w14:paraId="0ECC58C2" w14:textId="5DEC6E43" w:rsidR="00DB30FC" w:rsidRDefault="00DB30FC" w:rsidP="00DB30FC">
      <w:pPr>
        <w:pStyle w:val="subsubparai"/>
      </w:pPr>
      <w:r>
        <w:lastRenderedPageBreak/>
        <w:t>if the contract is</w:t>
      </w:r>
      <w:r w:rsidR="008E55EB">
        <w:t>:</w:t>
      </w:r>
    </w:p>
    <w:p w14:paraId="5075B33D" w14:textId="524EF860" w:rsidR="00DB30FC" w:rsidRDefault="00DB30FC" w:rsidP="00DB30FC">
      <w:pPr>
        <w:pStyle w:val="sub3paraA"/>
      </w:pPr>
      <w:r>
        <w:t xml:space="preserve">entered into in Hong Kong, </w:t>
      </w:r>
      <w:r w:rsidR="008E55EB">
        <w:t xml:space="preserve">two </w:t>
      </w:r>
      <w:r>
        <w:t>business days after the date of entering into the contract; or</w:t>
      </w:r>
    </w:p>
    <w:p w14:paraId="4E69FDCE" w14:textId="3A9B5444" w:rsidR="00DB30FC" w:rsidRDefault="00DB30FC" w:rsidP="00DB30FC">
      <w:pPr>
        <w:pStyle w:val="sub3paraA"/>
      </w:pPr>
      <w:r>
        <w:t xml:space="preserve">settled outside Hong Kong, </w:t>
      </w:r>
      <w:r w:rsidR="008E55EB">
        <w:t xml:space="preserve">two </w:t>
      </w:r>
      <w:r>
        <w:t>days on which each settlement facility necessary to settle the transaction is open for business, after the date of entering into the contract;</w:t>
      </w:r>
    </w:p>
    <w:p w14:paraId="6B69FA8C" w14:textId="533AAF16" w:rsidR="00DB30FC" w:rsidRDefault="00DB30FC" w:rsidP="00DB30FC">
      <w:pPr>
        <w:pStyle w:val="subsubparai"/>
      </w:pPr>
      <w:r>
        <w:t>the period generally accepted in the market for that type or combination of types of securities, commodity, index, property, interest rate or currency exchange rate as the standard delivery period.</w:t>
      </w:r>
    </w:p>
    <w:p w14:paraId="7A8E60F4" w14:textId="7C107200" w:rsidR="004A79D0" w:rsidRDefault="004A79D0" w:rsidP="004A79D0">
      <w:pPr>
        <w:pStyle w:val="Heading3"/>
      </w:pPr>
      <w:r>
        <w:t>Excluding FX contracts for foreign currency securities settlement purposes</w:t>
      </w:r>
    </w:p>
    <w:p w14:paraId="1E7921AA" w14:textId="6AD7ECC1" w:rsidR="001C0AF5" w:rsidRDefault="004A79D0" w:rsidP="00DA4C2C">
      <w:pPr>
        <w:pStyle w:val="BodyText"/>
      </w:pPr>
      <w:r>
        <w:t>T</w:t>
      </w:r>
      <w:r w:rsidR="005A66D2">
        <w:t>his type of contract is commonly exempted from reporting in overseas jurisdictions and is currently exempted</w:t>
      </w:r>
      <w:r w:rsidR="00193DFB">
        <w:t>—</w:t>
      </w:r>
      <w:r w:rsidR="007166C6">
        <w:t xml:space="preserve">as an ‘FX </w:t>
      </w:r>
      <w:r w:rsidR="008E55EB">
        <w:t>securities conversion transaction’</w:t>
      </w:r>
      <w:r w:rsidR="00193DFB">
        <w:t>—</w:t>
      </w:r>
      <w:r w:rsidR="005A66D2">
        <w:t xml:space="preserve">until 30 September 2022 from reporting requirements under the ASIC Rules. </w:t>
      </w:r>
      <w:r w:rsidR="009733D1">
        <w:t>As we do not anticipate any change in the exemptive approach in overseas jurisdictions, we think it is appropriate to provide for an ongoing ex</w:t>
      </w:r>
      <w:r>
        <w:t>clusion</w:t>
      </w:r>
      <w:r w:rsidR="009733D1">
        <w:t xml:space="preserve"> within the ASIC Rules.</w:t>
      </w:r>
    </w:p>
    <w:p w14:paraId="74ED2652" w14:textId="555CCEF8" w:rsidR="004A79D0" w:rsidRDefault="00A04664" w:rsidP="004A79D0">
      <w:pPr>
        <w:pStyle w:val="BodyText"/>
      </w:pPr>
      <w:r>
        <w:t>In principle, w</w:t>
      </w:r>
      <w:r w:rsidR="004A79D0">
        <w:t xml:space="preserve">e propose to exclude from the meaning of a </w:t>
      </w:r>
      <w:r w:rsidR="00A65611">
        <w:t>reportable transact</w:t>
      </w:r>
      <w:r w:rsidR="004A79D0">
        <w:t>ion a</w:t>
      </w:r>
      <w:r>
        <w:t>n</w:t>
      </w:r>
      <w:r w:rsidR="004A79D0">
        <w:t xml:space="preserve"> </w:t>
      </w:r>
      <w:r>
        <w:t xml:space="preserve">‘FX </w:t>
      </w:r>
      <w:r w:rsidR="008E55EB">
        <w:t>securities conversion transaction’</w:t>
      </w:r>
      <w:r>
        <w:t>.</w:t>
      </w:r>
      <w:r w:rsidR="004A79D0">
        <w:t xml:space="preserve"> We intend to propose the text of such an exclusion in the ASIC Rules in </w:t>
      </w:r>
      <w:r w:rsidR="00E30A53">
        <w:t>the</w:t>
      </w:r>
      <w:r w:rsidR="004A79D0">
        <w:t xml:space="preserve"> </w:t>
      </w:r>
      <w:r w:rsidR="00E30A53">
        <w:t>second r</w:t>
      </w:r>
      <w:r w:rsidR="004A79D0">
        <w:t xml:space="preserve">ound </w:t>
      </w:r>
      <w:r w:rsidR="00E30A53">
        <w:t xml:space="preserve">of </w:t>
      </w:r>
      <w:r w:rsidR="004A79D0">
        <w:t>consultation</w:t>
      </w:r>
      <w:r w:rsidR="000F100A">
        <w:t xml:space="preserve"> but currently </w:t>
      </w:r>
      <w:r w:rsidR="00317745">
        <w:t>foresee</w:t>
      </w:r>
      <w:r w:rsidR="000F100A">
        <w:t xml:space="preserve"> that </w:t>
      </w:r>
      <w:r w:rsidR="008E55EB">
        <w:t xml:space="preserve">this </w:t>
      </w:r>
      <w:r w:rsidR="000F100A">
        <w:t xml:space="preserve">text will define an ‘FX </w:t>
      </w:r>
      <w:r w:rsidR="008E55EB">
        <w:t xml:space="preserve">securities conversion transaction’ </w:t>
      </w:r>
      <w:r w:rsidR="000F100A">
        <w:t>in the same manner as is currently defined in the exemption:</w:t>
      </w:r>
    </w:p>
    <w:p w14:paraId="73583E70" w14:textId="1031A426" w:rsidR="000F100A" w:rsidRPr="008373A2" w:rsidRDefault="000F100A" w:rsidP="00A829C7">
      <w:pPr>
        <w:pStyle w:val="Blockquote"/>
      </w:pPr>
      <w:r w:rsidRPr="008373A2">
        <w:t>a foreign exchange contract:</w:t>
      </w:r>
    </w:p>
    <w:p w14:paraId="1B604766" w14:textId="09FF2146" w:rsidR="000F100A" w:rsidRPr="008373A2" w:rsidRDefault="000F100A" w:rsidP="00A829C7">
      <w:pPr>
        <w:pStyle w:val="Blockquote"/>
        <w:ind w:left="2977" w:hanging="284"/>
      </w:pPr>
      <w:r w:rsidRPr="000C627E">
        <w:rPr>
          <w:sz w:val="19"/>
          <w:szCs w:val="19"/>
        </w:rPr>
        <w:t>(a)</w:t>
      </w:r>
      <w:r w:rsidRPr="008373A2">
        <w:t xml:space="preserve"> that is entered into by the </w:t>
      </w:r>
      <w:r w:rsidR="009E0748">
        <w:t>reporting entity</w:t>
      </w:r>
      <w:r w:rsidRPr="008373A2">
        <w:t xml:space="preserve"> solely to facilitate the settlement of a transaction for the purchase or sale of a foreign currency denominated security; and</w:t>
      </w:r>
    </w:p>
    <w:p w14:paraId="72EBC69F" w14:textId="244C2035" w:rsidR="000F100A" w:rsidRPr="008373A2" w:rsidRDefault="000F100A" w:rsidP="00A829C7">
      <w:pPr>
        <w:pStyle w:val="Blockquote"/>
        <w:ind w:left="2977" w:hanging="284"/>
      </w:pPr>
      <w:r w:rsidRPr="000C627E">
        <w:rPr>
          <w:sz w:val="19"/>
          <w:szCs w:val="19"/>
        </w:rPr>
        <w:t>(b)</w:t>
      </w:r>
      <w:r w:rsidRPr="008373A2">
        <w:t xml:space="preserve"> under which consideration is provided to settle the transaction not more than 7 business days after the day on which the transaction is entered into.</w:t>
      </w:r>
    </w:p>
    <w:p w14:paraId="2BD67372" w14:textId="3384AB95" w:rsidR="008A5778" w:rsidRDefault="008A5778" w:rsidP="008A5778">
      <w:pPr>
        <w:pStyle w:val="Heading3"/>
      </w:pPr>
      <w:r>
        <w:t>Excluding exchange-traded derivatives</w:t>
      </w:r>
    </w:p>
    <w:p w14:paraId="053DD905" w14:textId="0700201D" w:rsidR="009733D1" w:rsidRDefault="008A5778" w:rsidP="009733D1">
      <w:pPr>
        <w:pStyle w:val="BodyText"/>
      </w:pPr>
      <w:r>
        <w:t xml:space="preserve">The current manner of exclusion of exchange-traded derivatives is </w:t>
      </w:r>
      <w:r w:rsidR="009733D1">
        <w:t xml:space="preserve">a </w:t>
      </w:r>
      <w:r>
        <w:t xml:space="preserve">combination </w:t>
      </w:r>
      <w:r w:rsidR="009733D1">
        <w:t>of:</w:t>
      </w:r>
    </w:p>
    <w:p w14:paraId="31927C1E" w14:textId="332A9448" w:rsidR="009733D1" w:rsidRDefault="009733D1" w:rsidP="009733D1">
      <w:pPr>
        <w:pStyle w:val="subparaa"/>
      </w:pPr>
      <w:r>
        <w:t>exclusions for derivatives traded on particular classes of financial markets set out in the ASIC Rules;</w:t>
      </w:r>
    </w:p>
    <w:p w14:paraId="0387587D" w14:textId="3DADCD00" w:rsidR="009733D1" w:rsidRDefault="009733D1" w:rsidP="009733D1">
      <w:pPr>
        <w:pStyle w:val="subparaa"/>
      </w:pPr>
      <w:r>
        <w:t xml:space="preserve">exclusions for derivatives traded on particular financial markets and particular classes of financial markets set out in the </w:t>
      </w:r>
      <w:hyperlink r:id="rId36" w:history="1">
        <w:r w:rsidRPr="00DA5F41">
          <w:rPr>
            <w:rStyle w:val="Hyperlink"/>
          </w:rPr>
          <w:t xml:space="preserve">ASIC Regulated Foreign Market Determination [OTC DET </w:t>
        </w:r>
        <w:r w:rsidR="009A7A92" w:rsidRPr="00DA5F41">
          <w:rPr>
            <w:rStyle w:val="Hyperlink"/>
          </w:rPr>
          <w:t>13/1</w:t>
        </w:r>
        <w:r w:rsidR="00A04664" w:rsidRPr="00DA5F41">
          <w:rPr>
            <w:rStyle w:val="Hyperlink"/>
          </w:rPr>
          <w:t>145</w:t>
        </w:r>
        <w:r w:rsidRPr="00DA5F41">
          <w:rPr>
            <w:rStyle w:val="Hyperlink"/>
          </w:rPr>
          <w:t>]</w:t>
        </w:r>
      </w:hyperlink>
      <w:r>
        <w:t>;</w:t>
      </w:r>
      <w:r w:rsidR="00B370D9">
        <w:t xml:space="preserve"> and</w:t>
      </w:r>
    </w:p>
    <w:p w14:paraId="5D8B3572" w14:textId="4F9E4281" w:rsidR="007C10B2" w:rsidRDefault="007C10B2" w:rsidP="009733D1">
      <w:pPr>
        <w:pStyle w:val="subparaa"/>
      </w:pPr>
      <w:r>
        <w:lastRenderedPageBreak/>
        <w:t xml:space="preserve">exclusions for derivatives with characteristics and a method of dealing that meets a generic definition of an exchange-traded derivative and whose financial market is notified to ASIC as set out in </w:t>
      </w:r>
      <w:hyperlink r:id="rId37" w:history="1">
        <w:r w:rsidRPr="00DA5F41">
          <w:rPr>
            <w:rStyle w:val="Hyperlink"/>
          </w:rPr>
          <w:t>ASIC Corporations (Derivative Transaction Reporting Exemption) Instrument 2015/844</w:t>
        </w:r>
      </w:hyperlink>
      <w:r>
        <w:t>.</w:t>
      </w:r>
    </w:p>
    <w:p w14:paraId="218D00BE" w14:textId="647CE1CC" w:rsidR="007C10B2" w:rsidRDefault="007C10B2" w:rsidP="007C10B2">
      <w:pPr>
        <w:pStyle w:val="BodyText"/>
      </w:pPr>
      <w:r>
        <w:t xml:space="preserve">This approach </w:t>
      </w:r>
      <w:r w:rsidR="002B3EE2">
        <w:t xml:space="preserve">of effectively listing large numbers of individual financial markets has </w:t>
      </w:r>
      <w:r w:rsidR="0023558A">
        <w:t xml:space="preserve">not fully met the need to inform </w:t>
      </w:r>
      <w:r w:rsidR="008A5B87">
        <w:t>reporting entit</w:t>
      </w:r>
      <w:r w:rsidR="0023558A">
        <w:t xml:space="preserve">ies of the derivative transactions that are </w:t>
      </w:r>
      <w:r w:rsidR="00405E83">
        <w:t>OTC derivative</w:t>
      </w:r>
      <w:r w:rsidR="009A7A92">
        <w:t>s</w:t>
      </w:r>
      <w:r w:rsidR="0023558A">
        <w:t>, particularly where the names of financial markets have changed</w:t>
      </w:r>
      <w:r w:rsidR="00B14136">
        <w:t xml:space="preserve">, financial markets have ceased to operate </w:t>
      </w:r>
      <w:r w:rsidR="0023558A">
        <w:t>an</w:t>
      </w:r>
      <w:r w:rsidR="0020453E">
        <w:t>d the listings are not consolidated within a single instrument.</w:t>
      </w:r>
    </w:p>
    <w:p w14:paraId="0996FE71" w14:textId="54408170" w:rsidR="00D36F5C" w:rsidRDefault="00D36F5C" w:rsidP="007C10B2">
      <w:pPr>
        <w:pStyle w:val="BodyText"/>
      </w:pPr>
      <w:r>
        <w:t>In September 2020, ASIC reviewed and updated the listings of the 113</w:t>
      </w:r>
      <w:r w:rsidR="00D50B67">
        <w:t> </w:t>
      </w:r>
      <w:r>
        <w:t xml:space="preserve">financial markets in </w:t>
      </w:r>
      <w:r w:rsidR="00C76385">
        <w:t xml:space="preserve">the </w:t>
      </w:r>
      <w:r w:rsidR="00D50B67">
        <w:t xml:space="preserve">determination </w:t>
      </w:r>
      <w:r>
        <w:t xml:space="preserve">and </w:t>
      </w:r>
      <w:r w:rsidR="00D50B67">
        <w:t>e</w:t>
      </w:r>
      <w:r>
        <w:t>xemption, with outcomes including:</w:t>
      </w:r>
    </w:p>
    <w:p w14:paraId="66D7E5A3" w14:textId="1660AC72" w:rsidR="00D36F5C" w:rsidRDefault="00D50B67" w:rsidP="00D36F5C">
      <w:pPr>
        <w:pStyle w:val="subparaa"/>
      </w:pPr>
      <w:r>
        <w:t>removing</w:t>
      </w:r>
      <w:r w:rsidR="00D36F5C">
        <w:t xml:space="preserve"> 53 financial markets that are </w:t>
      </w:r>
      <w:r w:rsidR="00B8191F">
        <w:t xml:space="preserve">otherwise </w:t>
      </w:r>
      <w:r w:rsidR="00D36F5C">
        <w:t>covered by a class of financial markets definition;</w:t>
      </w:r>
    </w:p>
    <w:p w14:paraId="12E85709" w14:textId="15C450CE" w:rsidR="00B8191F" w:rsidRDefault="00D50B67" w:rsidP="00D36F5C">
      <w:pPr>
        <w:pStyle w:val="subparaa"/>
      </w:pPr>
      <w:r>
        <w:t>removing</w:t>
      </w:r>
      <w:r w:rsidR="00D36F5C">
        <w:t xml:space="preserve"> 24 financial markets that are not, or </w:t>
      </w:r>
      <w:r>
        <w:t xml:space="preserve">are </w:t>
      </w:r>
      <w:r w:rsidR="00D36F5C">
        <w:t>no longer, fina</w:t>
      </w:r>
      <w:r w:rsidR="00B8191F">
        <w:t>ncial markets;</w:t>
      </w:r>
    </w:p>
    <w:p w14:paraId="06BE1CFE" w14:textId="61C75936" w:rsidR="00D36F5C" w:rsidRDefault="00D50B67" w:rsidP="00D36F5C">
      <w:pPr>
        <w:pStyle w:val="subparaa"/>
      </w:pPr>
      <w:r>
        <w:t>adding</w:t>
      </w:r>
      <w:r w:rsidR="00B8191F">
        <w:t xml:space="preserve"> 24 financial markets to </w:t>
      </w:r>
      <w:r w:rsidR="00C76385">
        <w:t xml:space="preserve">the </w:t>
      </w:r>
      <w:r>
        <w:t xml:space="preserve">determination </w:t>
      </w:r>
      <w:r w:rsidR="00B8191F">
        <w:t xml:space="preserve">and </w:t>
      </w:r>
      <w:r w:rsidR="00B151D8">
        <w:t xml:space="preserve">their </w:t>
      </w:r>
      <w:r w:rsidR="00B8191F">
        <w:t xml:space="preserve">corresponding removal from </w:t>
      </w:r>
      <w:r w:rsidR="00C76385">
        <w:t xml:space="preserve">the </w:t>
      </w:r>
      <w:r>
        <w:t>exemption</w:t>
      </w:r>
      <w:r w:rsidR="00B8191F">
        <w:t>; and</w:t>
      </w:r>
    </w:p>
    <w:p w14:paraId="1459882C" w14:textId="699131AB" w:rsidR="00B151D8" w:rsidRDefault="00B151D8" w:rsidP="00D36F5C">
      <w:pPr>
        <w:pStyle w:val="subparaa"/>
      </w:pPr>
      <w:r>
        <w:t xml:space="preserve">updating the name of </w:t>
      </w:r>
      <w:r w:rsidR="00D50B67">
        <w:t xml:space="preserve">nine </w:t>
      </w:r>
      <w:r>
        <w:t>financial markets to their current name.</w:t>
      </w:r>
    </w:p>
    <w:p w14:paraId="2E29083D" w14:textId="022B5799" w:rsidR="00A04664" w:rsidRDefault="00A04664" w:rsidP="00A04664">
      <w:pPr>
        <w:pStyle w:val="BodyText"/>
      </w:pPr>
      <w:r>
        <w:t>We think a better solution to identifying and maintaining lists of individual financial markets whose derivative contracts are not OTC derivatives is to rely on a generic definition of an exchange-traded derivative in the ASIC Rules.</w:t>
      </w:r>
    </w:p>
    <w:p w14:paraId="47848A7D" w14:textId="37B651D9" w:rsidR="00A04664" w:rsidRDefault="00A04664" w:rsidP="00A04664">
      <w:pPr>
        <w:pStyle w:val="BodyText"/>
      </w:pPr>
      <w:r>
        <w:t xml:space="preserve">In principle, we propose to exclude from the meaning of an </w:t>
      </w:r>
      <w:r w:rsidR="00405E83">
        <w:t>OTC derivative</w:t>
      </w:r>
      <w:r>
        <w:t xml:space="preserve"> those derivatives that fall within a generic definition of an exchange-traded derivative. We intend to propose the text of such an exclusion in the ASIC Rules in </w:t>
      </w:r>
      <w:r w:rsidR="00E30A53">
        <w:t>the</w:t>
      </w:r>
      <w:r>
        <w:t xml:space="preserve"> </w:t>
      </w:r>
      <w:r w:rsidR="00E1318E">
        <w:t xml:space="preserve">second round of </w:t>
      </w:r>
      <w:r>
        <w:t xml:space="preserve">consultation but currently </w:t>
      </w:r>
      <w:r w:rsidR="00317745">
        <w:t>foresee</w:t>
      </w:r>
      <w:r>
        <w:t xml:space="preserve"> that </w:t>
      </w:r>
      <w:r w:rsidR="00224E9A">
        <w:t xml:space="preserve">the </w:t>
      </w:r>
      <w:r>
        <w:t xml:space="preserve">text will define an exchange-traded derivative in the same manner as is currently defined in </w:t>
      </w:r>
      <w:r w:rsidR="00C76385">
        <w:t xml:space="preserve">the </w:t>
      </w:r>
      <w:r>
        <w:t>exemption:</w:t>
      </w:r>
    </w:p>
    <w:p w14:paraId="2BCF7158" w14:textId="0D167E27" w:rsidR="008373A2" w:rsidRPr="008373A2" w:rsidRDefault="008373A2" w:rsidP="00A829C7">
      <w:pPr>
        <w:pStyle w:val="Blockquote"/>
      </w:pPr>
      <w:r w:rsidRPr="008373A2">
        <w:t>a Derivative (Exchange-Traded Derivative) where the entry into of the arrangement that is the Derivative takes place on a financial market that is not operated in this jurisdiction and the following apply:</w:t>
      </w:r>
    </w:p>
    <w:p w14:paraId="503C0D71" w14:textId="1829D679" w:rsidR="008373A2" w:rsidRPr="008373A2" w:rsidRDefault="008373A2" w:rsidP="00A829C7">
      <w:pPr>
        <w:pStyle w:val="Blockquote"/>
        <w:ind w:left="2977" w:hanging="284"/>
      </w:pPr>
      <w:r w:rsidRPr="00A829C7">
        <w:rPr>
          <w:sz w:val="19"/>
          <w:szCs w:val="19"/>
        </w:rPr>
        <w:t>(a)</w:t>
      </w:r>
      <w:r w:rsidRPr="008373A2">
        <w:t xml:space="preserve"> the entry into of the arrangement that is the Derivative is in accordance with the operating rules of the financial market;</w:t>
      </w:r>
    </w:p>
    <w:p w14:paraId="2ADC850A" w14:textId="1263715B" w:rsidR="008373A2" w:rsidRPr="008373A2" w:rsidRDefault="008373A2" w:rsidP="00A829C7">
      <w:pPr>
        <w:pStyle w:val="Blockquote"/>
        <w:ind w:left="2977" w:hanging="284"/>
      </w:pPr>
      <w:r w:rsidRPr="00A829C7">
        <w:rPr>
          <w:sz w:val="19"/>
          <w:szCs w:val="19"/>
        </w:rPr>
        <w:t>(b)</w:t>
      </w:r>
      <w:r w:rsidRPr="008373A2">
        <w:t xml:space="preserve"> the terms of the Derivative are documented under or prescribed by the operating rules of the financial market;</w:t>
      </w:r>
    </w:p>
    <w:p w14:paraId="40E38B16" w14:textId="7F75F8C8" w:rsidR="00A04664" w:rsidRPr="008373A2" w:rsidRDefault="008373A2" w:rsidP="00A829C7">
      <w:pPr>
        <w:pStyle w:val="Blockquote"/>
        <w:ind w:left="2977" w:hanging="284"/>
      </w:pPr>
      <w:r w:rsidRPr="00A829C7">
        <w:rPr>
          <w:sz w:val="19"/>
          <w:szCs w:val="19"/>
        </w:rPr>
        <w:t>(c)</w:t>
      </w:r>
      <w:r w:rsidRPr="008373A2">
        <w:t xml:space="preserve"> the Derivative is made available in one or more series in accordance with the operating rules of the financial market and the terms of the</w:t>
      </w:r>
      <w:r>
        <w:t xml:space="preserve"> </w:t>
      </w:r>
      <w:r w:rsidRPr="008373A2">
        <w:t>arrangement constituting the Derivative are the same as for every other Derivative in the same series, with the exception of price.</w:t>
      </w:r>
    </w:p>
    <w:p w14:paraId="66BCCC4C" w14:textId="0FF35057" w:rsidR="00B82BB6" w:rsidRDefault="008373A2" w:rsidP="00B82BB6">
      <w:pPr>
        <w:pStyle w:val="BodyText"/>
      </w:pPr>
      <w:r>
        <w:lastRenderedPageBreak/>
        <w:t>However, we will also consider if</w:t>
      </w:r>
      <w:r w:rsidR="00A31269">
        <w:t xml:space="preserve"> the design of this exclusion should include</w:t>
      </w:r>
      <w:r>
        <w:t>:</w:t>
      </w:r>
    </w:p>
    <w:p w14:paraId="41034413" w14:textId="686EB484" w:rsidR="005A6D4F" w:rsidRDefault="008373A2" w:rsidP="00B82BB6">
      <w:pPr>
        <w:pStyle w:val="subparaa"/>
      </w:pPr>
      <w:r>
        <w:t xml:space="preserve">for the avoidance of doubt, references to certain classes of financial markets whose derivatives are exchange-traded derivatives, as is the current case in the ASIC Rules and </w:t>
      </w:r>
      <w:r w:rsidR="00C76385">
        <w:t xml:space="preserve">the </w:t>
      </w:r>
      <w:r w:rsidR="004F6F77">
        <w:t>determination</w:t>
      </w:r>
      <w:r>
        <w:t>;</w:t>
      </w:r>
    </w:p>
    <w:p w14:paraId="650E7F08" w14:textId="7A101F1D" w:rsidR="008373A2" w:rsidRDefault="008373A2" w:rsidP="00B82BB6">
      <w:pPr>
        <w:pStyle w:val="subparaa"/>
      </w:pPr>
      <w:r>
        <w:t xml:space="preserve">a requirement to notify ASIC of those financial markets that a </w:t>
      </w:r>
      <w:r w:rsidR="009E0748">
        <w:t>reporting entity</w:t>
      </w:r>
      <w:r>
        <w:t xml:space="preserve"> considers trades derivatives that meet the definition of exchange-trade derivatives, as is the current case in </w:t>
      </w:r>
      <w:r w:rsidR="00C76385">
        <w:t xml:space="preserve">the </w:t>
      </w:r>
      <w:r w:rsidR="004F6F77">
        <w:t>exemption</w:t>
      </w:r>
      <w:r>
        <w:t>; and</w:t>
      </w:r>
    </w:p>
    <w:p w14:paraId="56AFA474" w14:textId="59C34DDC" w:rsidR="005A6D4F" w:rsidRDefault="008373A2" w:rsidP="00B82BB6">
      <w:pPr>
        <w:pStyle w:val="subparaa"/>
      </w:pPr>
      <w:r>
        <w:t xml:space="preserve">a form of ‘disallowance’ determination </w:t>
      </w:r>
      <w:r w:rsidR="00A31269">
        <w:t>that empower</w:t>
      </w:r>
      <w:r w:rsidR="000871E6">
        <w:t>s</w:t>
      </w:r>
      <w:r w:rsidR="00A31269">
        <w:t xml:space="preserve"> ASIC to determine that some or all of the derivatives of a financial market</w:t>
      </w:r>
      <w:r>
        <w:t xml:space="preserve"> </w:t>
      </w:r>
      <w:r w:rsidR="00A31269">
        <w:t xml:space="preserve">are not exchange-traded derivatives, whether on being notified by a </w:t>
      </w:r>
      <w:r w:rsidR="009E0748">
        <w:t>reporting entity</w:t>
      </w:r>
      <w:r w:rsidR="00A31269">
        <w:t xml:space="preserve"> of such a financial market or </w:t>
      </w:r>
      <w:r w:rsidR="004F6F77">
        <w:t xml:space="preserve">when </w:t>
      </w:r>
      <w:r w:rsidR="00A31269">
        <w:t xml:space="preserve">ASIC </w:t>
      </w:r>
      <w:r w:rsidR="004F6F77">
        <w:t xml:space="preserve">identifies </w:t>
      </w:r>
      <w:r w:rsidR="00A31269">
        <w:t xml:space="preserve">such a financial market </w:t>
      </w:r>
      <w:r w:rsidR="004F6F77">
        <w:t xml:space="preserve">of </w:t>
      </w:r>
      <w:r w:rsidR="00A31269">
        <w:t>its own volition.</w:t>
      </w:r>
    </w:p>
    <w:p w14:paraId="2728FCC1" w14:textId="77777777" w:rsidR="0039594F" w:rsidRDefault="0039594F" w:rsidP="0039594F">
      <w:pPr>
        <w:pStyle w:val="Proposalhead"/>
      </w:pPr>
      <w:r>
        <w:t>Proposal</w:t>
      </w:r>
    </w:p>
    <w:p w14:paraId="6A7531BB" w14:textId="63B68202" w:rsidR="0039594F" w:rsidRDefault="00A869CA" w:rsidP="0039594F">
      <w:pPr>
        <w:pStyle w:val="Proposaltext"/>
      </w:pPr>
      <w:r>
        <w:t>We propose to amend the ASIC Rules to:</w:t>
      </w:r>
    </w:p>
    <w:p w14:paraId="2D01C6ED" w14:textId="2D70E219" w:rsidR="0039594F" w:rsidRDefault="00904D22" w:rsidP="004D667C">
      <w:pPr>
        <w:pStyle w:val="Proposaltext"/>
        <w:numPr>
          <w:ilvl w:val="2"/>
          <w:numId w:val="11"/>
        </w:numPr>
        <w:spacing w:line="240" w:lineRule="auto"/>
      </w:pPr>
      <w:r>
        <w:t>e</w:t>
      </w:r>
      <w:r w:rsidR="00A869CA">
        <w:t xml:space="preserve">xclude from </w:t>
      </w:r>
      <w:r w:rsidRPr="00904D22">
        <w:t xml:space="preserve">meaning of a </w:t>
      </w:r>
      <w:r w:rsidR="00A65611">
        <w:t>reportable transact</w:t>
      </w:r>
      <w:r w:rsidRPr="00904D22">
        <w:t>ion a transaction for spot settlement</w:t>
      </w:r>
      <w:r w:rsidR="00C76385">
        <w:t>,</w:t>
      </w:r>
      <w:r w:rsidR="00E1318E">
        <w:t xml:space="preserve"> with specific rules text to be proposed in the second round of consultation</w:t>
      </w:r>
      <w:r>
        <w:t>;</w:t>
      </w:r>
    </w:p>
    <w:p w14:paraId="046BBE2E" w14:textId="4EF77062" w:rsidR="0039594F" w:rsidRPr="002120B1" w:rsidRDefault="00E1318E" w:rsidP="004D667C">
      <w:pPr>
        <w:pStyle w:val="Proposaltext"/>
        <w:numPr>
          <w:ilvl w:val="2"/>
          <w:numId w:val="11"/>
        </w:numPr>
        <w:spacing w:line="240" w:lineRule="auto"/>
      </w:pPr>
      <w:r>
        <w:t xml:space="preserve">exclude from the meaning of an </w:t>
      </w:r>
      <w:r w:rsidR="00405E83">
        <w:t>OTC derivative</w:t>
      </w:r>
      <w:r>
        <w:t xml:space="preserve"> those derivatives that fall within a generic definition of an exchange-traded derivative</w:t>
      </w:r>
      <w:r w:rsidR="00C76385">
        <w:t>,</w:t>
      </w:r>
      <w:r>
        <w:t xml:space="preserve"> with specific rules text to be proposed in the second round of consultation.</w:t>
      </w:r>
    </w:p>
    <w:p w14:paraId="346BA23C" w14:textId="77777777" w:rsidR="0039594F" w:rsidRDefault="0039594F" w:rsidP="0039594F">
      <w:pPr>
        <w:pStyle w:val="Feedbackhead"/>
      </w:pPr>
      <w:r>
        <w:t>Your feedback</w:t>
      </w:r>
    </w:p>
    <w:p w14:paraId="0B916CA1" w14:textId="77777777" w:rsidR="00A869CA" w:rsidRDefault="00A869CA" w:rsidP="00A869CA">
      <w:pPr>
        <w:pStyle w:val="Feedbackquestion"/>
      </w:pPr>
      <w:r>
        <w:t>Do you agree with this proposal? In your response, please give detailed reasons for your answer.</w:t>
      </w:r>
    </w:p>
    <w:p w14:paraId="2AC786A9" w14:textId="348ED22E" w:rsidR="0039594F" w:rsidRDefault="00E1318E" w:rsidP="00E30A53">
      <w:pPr>
        <w:pStyle w:val="Feedbackquestion"/>
      </w:pPr>
      <w:r>
        <w:t>Do you consider that the Singapore and Hong Kong definitions for a spot contract are an appropriate basis for an equivalent definition in the ASIC Rules? Are there other definitions that you consider we should also take into account? In your response, please give detailed reasons for your answer.</w:t>
      </w:r>
    </w:p>
    <w:p w14:paraId="5A023206" w14:textId="6621FFB5" w:rsidR="00E1318E" w:rsidRDefault="00E1318E" w:rsidP="00E30A53">
      <w:pPr>
        <w:pStyle w:val="Feedbackquestion"/>
      </w:pPr>
      <w:r>
        <w:t xml:space="preserve">Do you consider that </w:t>
      </w:r>
      <w:r w:rsidR="00B87D1C">
        <w:t xml:space="preserve">the </w:t>
      </w:r>
      <w:r>
        <w:t>existing generic definition in the exemption is an appropriate basis for an equivalent definition in the ASIC Rules? Are there other definitions that you consider we should also take into account? In your response, please give detailed reasons for your answer.</w:t>
      </w:r>
    </w:p>
    <w:p w14:paraId="6438E920" w14:textId="0E8F966E" w:rsidR="00E1318E" w:rsidRDefault="00E1318E" w:rsidP="00E30A53">
      <w:pPr>
        <w:pStyle w:val="Feedbackquestion"/>
      </w:pPr>
      <w:r>
        <w:t xml:space="preserve">Do you consider </w:t>
      </w:r>
      <w:r w:rsidR="00B87D1C">
        <w:t xml:space="preserve">that </w:t>
      </w:r>
      <w:r>
        <w:t xml:space="preserve">the design of this exclusion should </w:t>
      </w:r>
      <w:r w:rsidR="00B87D1C">
        <w:t>include</w:t>
      </w:r>
      <w:r w:rsidR="000871E6">
        <w:t xml:space="preserve"> ‘</w:t>
      </w:r>
      <w:r>
        <w:t>avoidance of doubt</w:t>
      </w:r>
      <w:r w:rsidR="000871E6">
        <w:t xml:space="preserve">’ </w:t>
      </w:r>
      <w:r>
        <w:t>references to certain classes of financial markets</w:t>
      </w:r>
      <w:r w:rsidR="000871E6">
        <w:t xml:space="preserve">, </w:t>
      </w:r>
      <w:r>
        <w:t xml:space="preserve">a requirement to notify ASIC of financial markets that a </w:t>
      </w:r>
      <w:r w:rsidR="009E0748">
        <w:t>reporting entity</w:t>
      </w:r>
      <w:r>
        <w:t xml:space="preserve"> considers trades exchange-trade derivatives</w:t>
      </w:r>
      <w:r w:rsidR="000871E6">
        <w:t xml:space="preserve"> and/or </w:t>
      </w:r>
      <w:r>
        <w:t>a form of ‘disallowance’ determination that empower</w:t>
      </w:r>
      <w:r w:rsidR="000871E6">
        <w:t>s</w:t>
      </w:r>
      <w:r>
        <w:t xml:space="preserve"> ASIC to determine that </w:t>
      </w:r>
      <w:r w:rsidR="000871E6">
        <w:t xml:space="preserve">certain </w:t>
      </w:r>
      <w:r>
        <w:t>derivatives are not exchange-traded derivatives</w:t>
      </w:r>
      <w:r w:rsidR="000871E6">
        <w:t>? In your response, please give detailed reasons for your answer.</w:t>
      </w:r>
    </w:p>
    <w:p w14:paraId="48CE44BA" w14:textId="26DE5453" w:rsidR="00953571" w:rsidRDefault="005B449D" w:rsidP="005B449D">
      <w:pPr>
        <w:pStyle w:val="Heading2"/>
        <w:rPr>
          <w:lang w:val="en"/>
        </w:rPr>
      </w:pPr>
      <w:bookmarkStart w:id="168" w:name="_Toc57146511"/>
      <w:r>
        <w:rPr>
          <w:lang w:val="en"/>
        </w:rPr>
        <w:lastRenderedPageBreak/>
        <w:t xml:space="preserve">Rule </w:t>
      </w:r>
      <w:r w:rsidR="00953571">
        <w:rPr>
          <w:lang w:val="en"/>
        </w:rPr>
        <w:t xml:space="preserve">1.2.5 </w:t>
      </w:r>
      <w:r w:rsidR="00B87D1C">
        <w:rPr>
          <w:lang w:val="en"/>
        </w:rPr>
        <w:t>R</w:t>
      </w:r>
      <w:r w:rsidR="008A5B87">
        <w:rPr>
          <w:lang w:val="en"/>
        </w:rPr>
        <w:t xml:space="preserve">eporting </w:t>
      </w:r>
      <w:r w:rsidR="00B87D1C">
        <w:rPr>
          <w:lang w:val="en"/>
        </w:rPr>
        <w:t xml:space="preserve">entities </w:t>
      </w:r>
      <w:r w:rsidR="00953571">
        <w:rPr>
          <w:lang w:val="en"/>
        </w:rPr>
        <w:t xml:space="preserve">and </w:t>
      </w:r>
      <w:r w:rsidR="00A65611">
        <w:rPr>
          <w:lang w:val="en"/>
        </w:rPr>
        <w:t>reportable transact</w:t>
      </w:r>
      <w:r w:rsidR="00953571">
        <w:rPr>
          <w:lang w:val="en"/>
        </w:rPr>
        <w:t>ions</w:t>
      </w:r>
      <w:bookmarkEnd w:id="168"/>
    </w:p>
    <w:p w14:paraId="321DAB79" w14:textId="3EC9DB97" w:rsidR="00953571" w:rsidRDefault="00307F38" w:rsidP="005B449D">
      <w:pPr>
        <w:pStyle w:val="BodyText"/>
      </w:pPr>
      <w:bookmarkStart w:id="169" w:name="_ASICRef999"/>
      <w:r>
        <w:t xml:space="preserve">Table 1 of </w:t>
      </w:r>
      <w:r w:rsidR="005B449D">
        <w:t xml:space="preserve">Rule 1.2.5 </w:t>
      </w:r>
      <w:r w:rsidR="009062B0">
        <w:t xml:space="preserve">of the ASIC Rules </w:t>
      </w:r>
      <w:r w:rsidR="005B449D">
        <w:t xml:space="preserve">sets out </w:t>
      </w:r>
      <w:r>
        <w:t xml:space="preserve">the </w:t>
      </w:r>
      <w:r w:rsidR="00D83B11">
        <w:t>type</w:t>
      </w:r>
      <w:r w:rsidR="00B87D1C">
        <w:t>s</w:t>
      </w:r>
      <w:r w:rsidR="005B449D">
        <w:t xml:space="preserve"> of entities that are </w:t>
      </w:r>
      <w:r w:rsidR="008A5B87">
        <w:t>reporting entit</w:t>
      </w:r>
      <w:r w:rsidR="005B449D">
        <w:t xml:space="preserve">ies and the scope of </w:t>
      </w:r>
      <w:r w:rsidR="00405E83">
        <w:t>OTC derivative</w:t>
      </w:r>
      <w:r w:rsidR="005B449D">
        <w:t xml:space="preserve">s that are </w:t>
      </w:r>
      <w:r w:rsidR="00A65611">
        <w:t>reportable transact</w:t>
      </w:r>
      <w:r w:rsidR="005B449D">
        <w:t xml:space="preserve">ions for each </w:t>
      </w:r>
      <w:r w:rsidR="00D83B11">
        <w:t>type</w:t>
      </w:r>
      <w:r w:rsidR="005B449D">
        <w:t xml:space="preserve"> of </w:t>
      </w:r>
      <w:r w:rsidR="009E0748">
        <w:t>reporting entity</w:t>
      </w:r>
      <w:r w:rsidR="005B449D">
        <w:t>.</w:t>
      </w:r>
      <w:bookmarkEnd w:id="169"/>
    </w:p>
    <w:p w14:paraId="282AC2B4" w14:textId="2DF5A05B" w:rsidR="00D83B11" w:rsidRDefault="00D83B11" w:rsidP="00D83B11">
      <w:pPr>
        <w:pStyle w:val="BodyText"/>
      </w:pPr>
      <w:r>
        <w:t xml:space="preserve">Rule 2.2.1 sets out the obligations of </w:t>
      </w:r>
      <w:r w:rsidR="008A5B87">
        <w:t>reporting entit</w:t>
      </w:r>
      <w:r>
        <w:t xml:space="preserve">ies to report </w:t>
      </w:r>
      <w:r w:rsidR="00A65611">
        <w:t>reportable transact</w:t>
      </w:r>
      <w:r>
        <w:t xml:space="preserve">ions in accordance with the </w:t>
      </w:r>
      <w:r w:rsidR="00B87D1C">
        <w:t xml:space="preserve">transaction reporting requirements </w:t>
      </w:r>
      <w:r>
        <w:t>in Part S1.1. of Schedule 1.</w:t>
      </w:r>
    </w:p>
    <w:p w14:paraId="0B7C4105" w14:textId="09EF5076" w:rsidR="00D83B11" w:rsidRDefault="00D83B11" w:rsidP="00D83B11">
      <w:pPr>
        <w:pStyle w:val="Note"/>
      </w:pPr>
      <w:r>
        <w:t xml:space="preserve">Note: Rule 2.2.1 also sets out the reporting obligations for </w:t>
      </w:r>
      <w:r w:rsidR="00B87D1C">
        <w:t xml:space="preserve">reportable positions </w:t>
      </w:r>
      <w:r>
        <w:t xml:space="preserve">in accordance with the </w:t>
      </w:r>
      <w:r w:rsidR="00B87D1C">
        <w:t xml:space="preserve">position reporting requirements </w:t>
      </w:r>
      <w:r>
        <w:t>in Part S1.2 of Schedule 1.</w:t>
      </w:r>
    </w:p>
    <w:p w14:paraId="38D71730" w14:textId="1E391CE9" w:rsidR="00D83B11" w:rsidRDefault="00D83B11" w:rsidP="00D83B11">
      <w:pPr>
        <w:pStyle w:val="BodyText"/>
      </w:pPr>
      <w:r>
        <w:t xml:space="preserve">Table S1.1 of Part S1.1 of Schedule 1 dealt with the phased implementation of the </w:t>
      </w:r>
      <w:r w:rsidR="00B87D1C">
        <w:t xml:space="preserve">transaction reporting requirements </w:t>
      </w:r>
      <w:r>
        <w:t xml:space="preserve">by setting out progressive dates over 2013 and 2014 on which a </w:t>
      </w:r>
      <w:r w:rsidR="00B87D1C">
        <w:t xml:space="preserve">transaction reporting requirement </w:t>
      </w:r>
      <w:r>
        <w:t xml:space="preserve">would commence for kinds of entities within the types of </w:t>
      </w:r>
      <w:r w:rsidR="008A5B87">
        <w:t>reporting entit</w:t>
      </w:r>
      <w:r>
        <w:t xml:space="preserve">ies, differentiated broadly </w:t>
      </w:r>
      <w:r w:rsidR="00B87D1C">
        <w:t xml:space="preserve">by </w:t>
      </w:r>
      <w:r>
        <w:t xml:space="preserve">the scale of their dealings in </w:t>
      </w:r>
      <w:r w:rsidR="00405E83">
        <w:t>OTC derivative</w:t>
      </w:r>
      <w:r>
        <w:t>s.</w:t>
      </w:r>
    </w:p>
    <w:p w14:paraId="56E25051" w14:textId="17FE0402" w:rsidR="000A2F47" w:rsidRDefault="00D83B11" w:rsidP="005B449D">
      <w:pPr>
        <w:pStyle w:val="BodyText"/>
      </w:pPr>
      <w:r>
        <w:t xml:space="preserve">The types of </w:t>
      </w:r>
      <w:r w:rsidR="008A5B87">
        <w:t xml:space="preserve">reporting </w:t>
      </w:r>
      <w:r w:rsidR="00B87D1C">
        <w:t>e</w:t>
      </w:r>
      <w:r>
        <w:t xml:space="preserve">ntities in Table 1 of Rule 1.2.5 </w:t>
      </w:r>
      <w:r w:rsidR="009062B0">
        <w:t xml:space="preserve">of the ASIC Rules </w:t>
      </w:r>
      <w:r w:rsidR="000A2F47">
        <w:t>are</w:t>
      </w:r>
      <w:r>
        <w:t xml:space="preserve"> broader than the kinds of entities within these types for which a </w:t>
      </w:r>
      <w:r w:rsidR="008A5B87">
        <w:t xml:space="preserve">transaction reporting requirement </w:t>
      </w:r>
      <w:r>
        <w:t>is set out in Table S1.1 of Part S1.1 of Schedule 1</w:t>
      </w:r>
      <w:r w:rsidR="000A2F47">
        <w:t>.</w:t>
      </w:r>
    </w:p>
    <w:p w14:paraId="6FBC8F85" w14:textId="039E6427" w:rsidR="00D83B11" w:rsidRDefault="000A2F47" w:rsidP="005B449D">
      <w:pPr>
        <w:pStyle w:val="BodyText"/>
      </w:pPr>
      <w:r>
        <w:t>This is because:</w:t>
      </w:r>
    </w:p>
    <w:p w14:paraId="6E74D394" w14:textId="1016CB8C" w:rsidR="000A2F47" w:rsidRDefault="00B87D1C" w:rsidP="000A2F47">
      <w:pPr>
        <w:pStyle w:val="subparaa"/>
      </w:pPr>
      <w:r>
        <w:t>reg</w:t>
      </w:r>
      <w:r w:rsidR="000A2F47">
        <w:t xml:space="preserve"> 7.5A.50 </w:t>
      </w:r>
      <w:r>
        <w:t xml:space="preserve">of the Corporations Regulations </w:t>
      </w:r>
      <w:r w:rsidR="000A2F47">
        <w:t>provides that derivative transaction rules cannot impose requirements on end users; and</w:t>
      </w:r>
    </w:p>
    <w:p w14:paraId="0CF9DE7C" w14:textId="2791C705" w:rsidR="005276E1" w:rsidRDefault="00B87D1C" w:rsidP="000A2F47">
      <w:pPr>
        <w:pStyle w:val="subparaa"/>
      </w:pPr>
      <w:r>
        <w:t xml:space="preserve">a transaction reporting requirement </w:t>
      </w:r>
      <w:r w:rsidR="000A2F47">
        <w:t xml:space="preserve">is not specified for the foreign subsidiaries of Australian entities who are ADIs or AFS </w:t>
      </w:r>
      <w:r w:rsidR="00A65611">
        <w:t>licen</w:t>
      </w:r>
      <w:r w:rsidR="000A2F47">
        <w:t>sees.</w:t>
      </w:r>
    </w:p>
    <w:p w14:paraId="39526B8F" w14:textId="1B961815" w:rsidR="0006423E" w:rsidRDefault="004D3B02" w:rsidP="005276E1">
      <w:pPr>
        <w:pStyle w:val="BodyText"/>
      </w:pPr>
      <w:r>
        <w:t xml:space="preserve">Further, </w:t>
      </w:r>
      <w:r w:rsidR="00041735">
        <w:t>regs</w:t>
      </w:r>
      <w:r>
        <w:t xml:space="preserve"> 7.5A.71</w:t>
      </w:r>
      <w:r w:rsidR="00041735">
        <w:t>–</w:t>
      </w:r>
      <w:r>
        <w:t xml:space="preserve">7.5A.74 </w:t>
      </w:r>
      <w:r w:rsidR="00041735">
        <w:t xml:space="preserve">of the Corporations Regulations </w:t>
      </w:r>
      <w:r>
        <w:t>provide an exemption</w:t>
      </w:r>
      <w:r w:rsidR="00193DFB">
        <w:t>—</w:t>
      </w:r>
      <w:r w:rsidR="0006423E">
        <w:t>the ‘single-sided’ exemption</w:t>
      </w:r>
      <w:r w:rsidR="00193DFB">
        <w:t>—</w:t>
      </w:r>
      <w:r>
        <w:t xml:space="preserve">from the reporting provisions of the ASIC Rules for </w:t>
      </w:r>
      <w:r w:rsidR="008A5B87">
        <w:t>reporting entit</w:t>
      </w:r>
      <w:r>
        <w:t xml:space="preserve">ies with total gross notional outstanding positions that are sustained below </w:t>
      </w:r>
      <w:r w:rsidR="00B87D1C">
        <w:t>A$</w:t>
      </w:r>
      <w:r>
        <w:t xml:space="preserve">5 billion and </w:t>
      </w:r>
      <w:r w:rsidR="0006423E">
        <w:t xml:space="preserve">where the other party to the transaction is a </w:t>
      </w:r>
      <w:r w:rsidR="009E0748">
        <w:t>reporting entity</w:t>
      </w:r>
      <w:r w:rsidR="0006423E">
        <w:t>.</w:t>
      </w:r>
    </w:p>
    <w:p w14:paraId="39CA487E" w14:textId="42C000B6" w:rsidR="0006423E" w:rsidRDefault="0006423E" w:rsidP="0006423E">
      <w:pPr>
        <w:pStyle w:val="Note"/>
      </w:pPr>
      <w:r>
        <w:t xml:space="preserve">Note: </w:t>
      </w:r>
      <w:r w:rsidR="00041735">
        <w:t>T</w:t>
      </w:r>
      <w:r>
        <w:t xml:space="preserve">he </w:t>
      </w:r>
      <w:r w:rsidR="00041735">
        <w:t xml:space="preserve">Corporations Regulations </w:t>
      </w:r>
      <w:r>
        <w:t>set out the details for the tests that determine when the exemption commences, continues or ceas</w:t>
      </w:r>
      <w:r w:rsidR="0070073B">
        <w:t>es</w:t>
      </w:r>
      <w:r>
        <w:t xml:space="preserve"> to apply to a </w:t>
      </w:r>
      <w:r w:rsidR="009E0748">
        <w:t>reporting entity</w:t>
      </w:r>
      <w:r>
        <w:t xml:space="preserve"> and the conditions </w:t>
      </w:r>
      <w:r w:rsidR="0070073B">
        <w:t xml:space="preserve">on a </w:t>
      </w:r>
      <w:r w:rsidR="009E0748">
        <w:t>reporting entity</w:t>
      </w:r>
      <w:r w:rsidR="0070073B">
        <w:t xml:space="preserve"> in terms of reporting representations from </w:t>
      </w:r>
      <w:r w:rsidR="00041735">
        <w:t xml:space="preserve">the </w:t>
      </w:r>
      <w:r w:rsidR="0070073B">
        <w:t xml:space="preserve">other party to the transaction and regular testing of the correctness of those representations by the </w:t>
      </w:r>
      <w:r w:rsidR="009E0748">
        <w:t>reporting entity</w:t>
      </w:r>
      <w:r w:rsidR="0070073B">
        <w:t>.</w:t>
      </w:r>
    </w:p>
    <w:p w14:paraId="0894CCC3" w14:textId="41910BAB" w:rsidR="005276E1" w:rsidRDefault="0070073B" w:rsidP="005276E1">
      <w:pPr>
        <w:pStyle w:val="BodyText"/>
      </w:pPr>
      <w:bookmarkStart w:id="170" w:name="_ASICRef676"/>
      <w:r>
        <w:t>Also, f</w:t>
      </w:r>
      <w:r w:rsidR="005276E1">
        <w:t xml:space="preserve">or foreign entities (other than foreign subsidiaries of Australian </w:t>
      </w:r>
      <w:r w:rsidR="008A5B87">
        <w:t>reporting entit</w:t>
      </w:r>
      <w:r w:rsidR="005276E1">
        <w:t xml:space="preserve">ies), </w:t>
      </w:r>
      <w:hyperlink r:id="rId38" w:history="1">
        <w:r w:rsidR="005276E1" w:rsidRPr="00041735">
          <w:rPr>
            <w:rStyle w:val="Hyperlink"/>
          </w:rPr>
          <w:t>ASIC Derivative Transaction Rules (Nexus Derivatives) Class Exemption 2015</w:t>
        </w:r>
      </w:hyperlink>
      <w:r w:rsidR="005276E1">
        <w:t xml:space="preserve"> </w:t>
      </w:r>
      <w:r w:rsidR="00C42B2B">
        <w:t xml:space="preserve">allows those entities to instead report </w:t>
      </w:r>
      <w:r w:rsidR="00041735">
        <w:t xml:space="preserve">derivative transaction information </w:t>
      </w:r>
      <w:r w:rsidR="00C42B2B">
        <w:t>about</w:t>
      </w:r>
      <w:r w:rsidR="00E04047">
        <w:t>, broadly,</w:t>
      </w:r>
      <w:r w:rsidR="00C42B2B">
        <w:t xml:space="preserve"> </w:t>
      </w:r>
      <w:r w:rsidR="00405E83">
        <w:t>OTC derivative</w:t>
      </w:r>
      <w:r w:rsidR="00C42B2B">
        <w:t>s</w:t>
      </w:r>
      <w:r w:rsidR="00EE6A15">
        <w:t xml:space="preserve"> </w:t>
      </w:r>
      <w:r w:rsidR="005276E1">
        <w:t xml:space="preserve">for which sales, trading or financial risk management functions </w:t>
      </w:r>
      <w:r w:rsidR="00E04047">
        <w:t xml:space="preserve">are </w:t>
      </w:r>
      <w:r w:rsidR="005276E1">
        <w:t xml:space="preserve">performed on behalf of the </w:t>
      </w:r>
      <w:r w:rsidR="009E0748">
        <w:t>reporting entity</w:t>
      </w:r>
      <w:r w:rsidR="005276E1">
        <w:t xml:space="preserve"> by a person ordinarily resident or employed in this jurisdiction or acting as part of a desk, office or branch in this jurisdiction</w:t>
      </w:r>
      <w:r w:rsidR="00193DFB">
        <w:t>—</w:t>
      </w:r>
      <w:r w:rsidR="00F11258">
        <w:t>a ‘nexus’ transaction</w:t>
      </w:r>
      <w:r w:rsidR="005276E1">
        <w:t>.</w:t>
      </w:r>
      <w:bookmarkEnd w:id="170"/>
    </w:p>
    <w:p w14:paraId="0669DA7D" w14:textId="67C4B388" w:rsidR="0070073B" w:rsidRDefault="0089576D" w:rsidP="005B449D">
      <w:pPr>
        <w:pStyle w:val="BodyText"/>
      </w:pPr>
      <w:bookmarkStart w:id="171" w:name="_ASICRef579"/>
      <w:bookmarkStart w:id="172" w:name="_ASICRef15"/>
      <w:bookmarkEnd w:id="171"/>
      <w:r>
        <w:lastRenderedPageBreak/>
        <w:t xml:space="preserve">The </w:t>
      </w:r>
      <w:r w:rsidR="00337D12">
        <w:t>combined effect of the provisions</w:t>
      </w:r>
      <w:r w:rsidR="00DE3B79">
        <w:t xml:space="preserve"> described in paragraphs </w:t>
      </w:r>
      <w:r w:rsidR="00DE3B79">
        <w:fldChar w:fldCharType="begin"/>
      </w:r>
      <w:r w:rsidR="00DE3B79">
        <w:instrText xml:space="preserve"> REF _ASICRef999 \w \h </w:instrText>
      </w:r>
      <w:r w:rsidR="00DE3B79">
        <w:fldChar w:fldCharType="separate"/>
      </w:r>
      <w:r w:rsidR="00314C7E">
        <w:t>376</w:t>
      </w:r>
      <w:r w:rsidR="00DE3B79">
        <w:fldChar w:fldCharType="end"/>
      </w:r>
      <w:r w:rsidR="00DE3B79">
        <w:t>–</w:t>
      </w:r>
      <w:r w:rsidR="00DE3B79">
        <w:fldChar w:fldCharType="begin"/>
      </w:r>
      <w:r w:rsidR="00DE3B79">
        <w:instrText xml:space="preserve"> REF _ASICRef676 \w \h </w:instrText>
      </w:r>
      <w:r w:rsidR="00DE3B79">
        <w:fldChar w:fldCharType="separate"/>
      </w:r>
      <w:r w:rsidR="00314C7E">
        <w:t>382</w:t>
      </w:r>
      <w:r w:rsidR="00DE3B79">
        <w:fldChar w:fldCharType="end"/>
      </w:r>
      <w:r w:rsidR="00337D12">
        <w:t xml:space="preserve"> </w:t>
      </w:r>
      <w:r>
        <w:t xml:space="preserve">is that the ASIC Rules </w:t>
      </w:r>
      <w:r w:rsidR="008A5B87">
        <w:t>reporting entit</w:t>
      </w:r>
      <w:r>
        <w:t xml:space="preserve">ies and their </w:t>
      </w:r>
      <w:r w:rsidR="00A65611">
        <w:t>reportable transact</w:t>
      </w:r>
      <w:r>
        <w:t xml:space="preserve">ions can be </w:t>
      </w:r>
      <w:r w:rsidR="001904C3">
        <w:t xml:space="preserve">summarised in high-level terms </w:t>
      </w:r>
      <w:r w:rsidR="00747F91">
        <w:t xml:space="preserve">as set out in </w:t>
      </w:r>
      <w:r w:rsidR="00747F91">
        <w:fldChar w:fldCharType="begin"/>
      </w:r>
      <w:r w:rsidR="00747F91">
        <w:instrText xml:space="preserve"> REF _Ref56080303 \h </w:instrText>
      </w:r>
      <w:r w:rsidR="00747F91">
        <w:fldChar w:fldCharType="separate"/>
      </w:r>
      <w:r w:rsidR="00314C7E">
        <w:t xml:space="preserve">Table </w:t>
      </w:r>
      <w:r w:rsidR="00314C7E">
        <w:rPr>
          <w:noProof/>
        </w:rPr>
        <w:t>31</w:t>
      </w:r>
      <w:r w:rsidR="00747F91">
        <w:fldChar w:fldCharType="end"/>
      </w:r>
      <w:r w:rsidR="00747F91">
        <w:t>.</w:t>
      </w:r>
      <w:bookmarkEnd w:id="172"/>
    </w:p>
    <w:p w14:paraId="0C8661B1" w14:textId="628D8947" w:rsidR="0089576D" w:rsidRDefault="0089576D" w:rsidP="00E9088A">
      <w:pPr>
        <w:pStyle w:val="tabletitlefullwidth"/>
      </w:pPr>
      <w:bookmarkStart w:id="173" w:name="_Ref56080303"/>
      <w:r>
        <w:t xml:space="preserve">Table </w:t>
      </w:r>
      <w:r w:rsidR="007055A5">
        <w:fldChar w:fldCharType="begin"/>
      </w:r>
      <w:r w:rsidR="007055A5">
        <w:instrText xml:space="preserve"> SEQ Table \* ARABIC </w:instrText>
      </w:r>
      <w:r w:rsidR="007055A5">
        <w:fldChar w:fldCharType="separate"/>
      </w:r>
      <w:r w:rsidR="00314C7E">
        <w:rPr>
          <w:noProof/>
        </w:rPr>
        <w:t>31</w:t>
      </w:r>
      <w:r w:rsidR="007055A5">
        <w:rPr>
          <w:noProof/>
        </w:rPr>
        <w:fldChar w:fldCharType="end"/>
      </w:r>
      <w:bookmarkEnd w:id="173"/>
      <w:r>
        <w:t>:</w:t>
      </w:r>
      <w:r>
        <w:tab/>
      </w:r>
      <w:r w:rsidR="001904C3">
        <w:t xml:space="preserve">High-level summary of </w:t>
      </w:r>
      <w:r w:rsidR="008A5B87">
        <w:t>reporting entit</w:t>
      </w:r>
      <w:r w:rsidR="00945F64">
        <w:t xml:space="preserve">ies and </w:t>
      </w:r>
      <w:r w:rsidR="00A65611">
        <w:t>reportable transact</w:t>
      </w:r>
      <w:r w:rsidR="00945F64">
        <w:t>ions</w:t>
      </w:r>
    </w:p>
    <w:tbl>
      <w:tblPr>
        <w:tblW w:w="5000" w:type="pct"/>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3545"/>
        <w:gridCol w:w="5525"/>
      </w:tblGrid>
      <w:tr w:rsidR="0089576D" w:rsidRPr="000540E1" w14:paraId="67DACED7" w14:textId="77777777" w:rsidTr="00A829C7">
        <w:trPr>
          <w:cantSplit/>
          <w:tblHeader/>
        </w:trPr>
        <w:tc>
          <w:tcPr>
            <w:tcW w:w="1954" w:type="pct"/>
            <w:shd w:val="clear" w:color="auto" w:fill="C2E3FA"/>
          </w:tcPr>
          <w:p w14:paraId="5996B788" w14:textId="4E4930DE" w:rsidR="0089576D" w:rsidRPr="000540E1" w:rsidRDefault="0089576D" w:rsidP="00E9088A">
            <w:pPr>
              <w:pStyle w:val="tablehead"/>
            </w:pPr>
            <w:r>
              <w:t xml:space="preserve">Reporting </w:t>
            </w:r>
            <w:r w:rsidR="009E0748">
              <w:t>e</w:t>
            </w:r>
            <w:r>
              <w:t>ntity</w:t>
            </w:r>
          </w:p>
        </w:tc>
        <w:tc>
          <w:tcPr>
            <w:tcW w:w="3046" w:type="pct"/>
            <w:shd w:val="clear" w:color="auto" w:fill="C2E3FA"/>
          </w:tcPr>
          <w:p w14:paraId="1DD0A1C5" w14:textId="45697891" w:rsidR="0089576D" w:rsidRPr="000540E1" w:rsidRDefault="0089576D" w:rsidP="00E9088A">
            <w:pPr>
              <w:pStyle w:val="tablehead"/>
            </w:pPr>
            <w:r>
              <w:t xml:space="preserve">Reportable </w:t>
            </w:r>
            <w:r w:rsidR="00A65611">
              <w:t>transactions</w:t>
            </w:r>
          </w:p>
        </w:tc>
      </w:tr>
      <w:tr w:rsidR="0089576D" w:rsidRPr="0089576D" w14:paraId="77338451" w14:textId="77777777" w:rsidTr="00A829C7">
        <w:trPr>
          <w:cantSplit/>
        </w:trPr>
        <w:tc>
          <w:tcPr>
            <w:tcW w:w="1954" w:type="pct"/>
          </w:tcPr>
          <w:p w14:paraId="67C788CD" w14:textId="0D4CA2B6" w:rsidR="0089576D" w:rsidRPr="0089576D" w:rsidRDefault="0089576D" w:rsidP="0089576D">
            <w:pPr>
              <w:spacing w:before="60" w:after="60"/>
              <w:rPr>
                <w:rFonts w:ascii="Arial" w:hAnsi="Arial" w:cs="Arial"/>
                <w:color w:val="000000" w:themeColor="text1"/>
                <w:sz w:val="18"/>
                <w:szCs w:val="18"/>
              </w:rPr>
            </w:pPr>
            <w:r w:rsidRPr="0089576D">
              <w:rPr>
                <w:rFonts w:ascii="Arial" w:hAnsi="Arial" w:cs="Arial"/>
                <w:color w:val="000000" w:themeColor="text1"/>
                <w:sz w:val="18"/>
                <w:szCs w:val="18"/>
              </w:rPr>
              <w:t>An Australian entity that is:</w:t>
            </w:r>
          </w:p>
          <w:p w14:paraId="6CD81A01" w14:textId="7895847D" w:rsidR="0089576D" w:rsidRPr="0089576D" w:rsidRDefault="00747F91" w:rsidP="00677993">
            <w:pPr>
              <w:pStyle w:val="ListParagraph"/>
              <w:numPr>
                <w:ilvl w:val="0"/>
                <w:numId w:val="17"/>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Pr>
                <w:rFonts w:ascii="Arial" w:hAnsi="Arial" w:cs="Arial"/>
                <w:color w:val="000000" w:themeColor="text1"/>
                <w:sz w:val="18"/>
                <w:szCs w:val="18"/>
              </w:rPr>
              <w:t xml:space="preserve">an </w:t>
            </w:r>
            <w:r w:rsidR="0089576D" w:rsidRPr="0089576D">
              <w:rPr>
                <w:rFonts w:ascii="Arial" w:hAnsi="Arial" w:cs="Arial"/>
                <w:color w:val="000000" w:themeColor="text1"/>
                <w:sz w:val="18"/>
                <w:szCs w:val="18"/>
              </w:rPr>
              <w:t>Australian ADI</w:t>
            </w:r>
            <w:r w:rsidR="006D5241">
              <w:rPr>
                <w:rFonts w:ascii="Arial" w:hAnsi="Arial" w:cs="Arial"/>
                <w:color w:val="000000" w:themeColor="text1"/>
                <w:sz w:val="18"/>
                <w:szCs w:val="18"/>
              </w:rPr>
              <w:t>;</w:t>
            </w:r>
          </w:p>
          <w:p w14:paraId="396A8A08" w14:textId="6CD3D45F" w:rsidR="0089576D" w:rsidRPr="0089576D" w:rsidRDefault="00747F91" w:rsidP="00677993">
            <w:pPr>
              <w:pStyle w:val="ListParagraph"/>
              <w:numPr>
                <w:ilvl w:val="0"/>
                <w:numId w:val="17"/>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Pr>
                <w:rFonts w:ascii="Arial" w:hAnsi="Arial" w:cs="Arial"/>
                <w:color w:val="000000" w:themeColor="text1"/>
                <w:sz w:val="18"/>
                <w:szCs w:val="18"/>
              </w:rPr>
              <w:t xml:space="preserve">an </w:t>
            </w:r>
            <w:r w:rsidR="0089576D" w:rsidRPr="0089576D">
              <w:rPr>
                <w:rFonts w:ascii="Arial" w:hAnsi="Arial" w:cs="Arial"/>
                <w:color w:val="000000" w:themeColor="text1"/>
                <w:sz w:val="18"/>
                <w:szCs w:val="18"/>
              </w:rPr>
              <w:t xml:space="preserve">AFS </w:t>
            </w:r>
            <w:r w:rsidR="00A65611">
              <w:rPr>
                <w:rFonts w:ascii="Arial" w:hAnsi="Arial" w:cs="Arial"/>
                <w:color w:val="000000" w:themeColor="text1"/>
                <w:sz w:val="18"/>
                <w:szCs w:val="18"/>
              </w:rPr>
              <w:t>licen</w:t>
            </w:r>
            <w:r w:rsidR="0089576D" w:rsidRPr="0089576D">
              <w:rPr>
                <w:rFonts w:ascii="Arial" w:hAnsi="Arial" w:cs="Arial"/>
                <w:color w:val="000000" w:themeColor="text1"/>
                <w:sz w:val="18"/>
                <w:szCs w:val="18"/>
              </w:rPr>
              <w:t>see</w:t>
            </w:r>
            <w:r w:rsidR="006D5241">
              <w:rPr>
                <w:rFonts w:ascii="Arial" w:hAnsi="Arial" w:cs="Arial"/>
                <w:color w:val="000000" w:themeColor="text1"/>
                <w:sz w:val="18"/>
                <w:szCs w:val="18"/>
              </w:rPr>
              <w:t>; or</w:t>
            </w:r>
          </w:p>
          <w:p w14:paraId="3B714A21" w14:textId="4D863BCF" w:rsidR="0089576D" w:rsidRPr="0089576D" w:rsidRDefault="00747F91" w:rsidP="00677993">
            <w:pPr>
              <w:pStyle w:val="ListParagraph"/>
              <w:numPr>
                <w:ilvl w:val="0"/>
                <w:numId w:val="17"/>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Pr>
                <w:rFonts w:ascii="Arial" w:hAnsi="Arial" w:cs="Arial"/>
                <w:color w:val="000000" w:themeColor="text1"/>
                <w:sz w:val="18"/>
                <w:szCs w:val="18"/>
              </w:rPr>
              <w:t xml:space="preserve">a </w:t>
            </w:r>
            <w:r w:rsidR="0089576D" w:rsidRPr="0089576D">
              <w:rPr>
                <w:rFonts w:ascii="Arial" w:hAnsi="Arial" w:cs="Arial"/>
                <w:color w:val="000000" w:themeColor="text1"/>
                <w:sz w:val="18"/>
                <w:szCs w:val="18"/>
              </w:rPr>
              <w:t xml:space="preserve">CS </w:t>
            </w:r>
            <w:r>
              <w:rPr>
                <w:rFonts w:ascii="Arial" w:hAnsi="Arial" w:cs="Arial"/>
                <w:color w:val="000000" w:themeColor="text1"/>
                <w:sz w:val="18"/>
                <w:szCs w:val="18"/>
              </w:rPr>
              <w:t>f</w:t>
            </w:r>
            <w:r w:rsidRPr="0089576D">
              <w:rPr>
                <w:rFonts w:ascii="Arial" w:hAnsi="Arial" w:cs="Arial"/>
                <w:color w:val="000000" w:themeColor="text1"/>
                <w:sz w:val="18"/>
                <w:szCs w:val="18"/>
              </w:rPr>
              <w:t xml:space="preserve">acility </w:t>
            </w:r>
            <w:r w:rsidR="00A65611">
              <w:rPr>
                <w:rFonts w:ascii="Arial" w:hAnsi="Arial" w:cs="Arial"/>
                <w:color w:val="000000" w:themeColor="text1"/>
                <w:sz w:val="18"/>
                <w:szCs w:val="18"/>
              </w:rPr>
              <w:t>licen</w:t>
            </w:r>
            <w:r w:rsidR="0089576D" w:rsidRPr="0089576D">
              <w:rPr>
                <w:rFonts w:ascii="Arial" w:hAnsi="Arial" w:cs="Arial"/>
                <w:color w:val="000000" w:themeColor="text1"/>
                <w:sz w:val="18"/>
                <w:szCs w:val="18"/>
              </w:rPr>
              <w:t>see</w:t>
            </w:r>
          </w:p>
        </w:tc>
        <w:tc>
          <w:tcPr>
            <w:tcW w:w="3046" w:type="pct"/>
          </w:tcPr>
          <w:p w14:paraId="58BEC170" w14:textId="0DDA41D0" w:rsidR="0089576D" w:rsidRPr="006D5241" w:rsidRDefault="0089576D" w:rsidP="0089576D">
            <w:pPr>
              <w:spacing w:before="60" w:after="60"/>
              <w:rPr>
                <w:rFonts w:ascii="Arial" w:hAnsi="Arial" w:cs="Arial"/>
                <w:color w:val="000000" w:themeColor="text1"/>
                <w:sz w:val="18"/>
                <w:szCs w:val="18"/>
              </w:rPr>
            </w:pPr>
            <w:r w:rsidRPr="006D5241">
              <w:rPr>
                <w:rFonts w:ascii="Arial" w:hAnsi="Arial" w:cs="Arial"/>
                <w:color w:val="000000" w:themeColor="text1"/>
                <w:sz w:val="18"/>
                <w:szCs w:val="18"/>
              </w:rPr>
              <w:t xml:space="preserve">All </w:t>
            </w:r>
            <w:r w:rsidR="00405E83">
              <w:rPr>
                <w:rFonts w:ascii="Arial" w:hAnsi="Arial" w:cs="Arial"/>
                <w:color w:val="000000" w:themeColor="text1"/>
                <w:sz w:val="18"/>
                <w:szCs w:val="18"/>
              </w:rPr>
              <w:t>OTC derivative</w:t>
            </w:r>
            <w:r w:rsidRPr="006D5241">
              <w:rPr>
                <w:rFonts w:ascii="Arial" w:hAnsi="Arial" w:cs="Arial"/>
                <w:color w:val="000000" w:themeColor="text1"/>
                <w:sz w:val="18"/>
                <w:szCs w:val="18"/>
              </w:rPr>
              <w:t xml:space="preserve">s to which the </w:t>
            </w:r>
            <w:r w:rsidR="009E0748">
              <w:rPr>
                <w:rFonts w:ascii="Arial" w:hAnsi="Arial" w:cs="Arial"/>
                <w:color w:val="000000" w:themeColor="text1"/>
                <w:sz w:val="18"/>
                <w:szCs w:val="18"/>
              </w:rPr>
              <w:t>reporting entity</w:t>
            </w:r>
            <w:r w:rsidRPr="006D5241">
              <w:rPr>
                <w:rFonts w:ascii="Arial" w:hAnsi="Arial" w:cs="Arial"/>
                <w:color w:val="000000" w:themeColor="text1"/>
                <w:sz w:val="18"/>
                <w:szCs w:val="18"/>
              </w:rPr>
              <w:t xml:space="preserve"> is a counterparty, regardless of where the </w:t>
            </w:r>
            <w:r w:rsidR="00405E83">
              <w:rPr>
                <w:rFonts w:ascii="Arial" w:hAnsi="Arial" w:cs="Arial"/>
                <w:color w:val="000000" w:themeColor="text1"/>
                <w:sz w:val="18"/>
                <w:szCs w:val="18"/>
              </w:rPr>
              <w:t>OTC derivative</w:t>
            </w:r>
            <w:r w:rsidRPr="006D5241">
              <w:rPr>
                <w:rFonts w:ascii="Arial" w:hAnsi="Arial" w:cs="Arial"/>
                <w:color w:val="000000" w:themeColor="text1"/>
                <w:sz w:val="18"/>
                <w:szCs w:val="18"/>
              </w:rPr>
              <w:t xml:space="preserve"> is entered into, </w:t>
            </w:r>
          </w:p>
          <w:p w14:paraId="290FDACD" w14:textId="77777777" w:rsidR="0089576D" w:rsidRPr="006D5241" w:rsidRDefault="0089576D" w:rsidP="0089576D">
            <w:pPr>
              <w:spacing w:before="60" w:after="60"/>
              <w:rPr>
                <w:rFonts w:ascii="Arial" w:hAnsi="Arial" w:cs="Arial"/>
                <w:color w:val="000000" w:themeColor="text1"/>
                <w:sz w:val="18"/>
                <w:szCs w:val="18"/>
              </w:rPr>
            </w:pPr>
            <w:r w:rsidRPr="006D5241">
              <w:rPr>
                <w:rFonts w:ascii="Arial" w:hAnsi="Arial" w:cs="Arial"/>
                <w:color w:val="000000" w:themeColor="text1"/>
                <w:sz w:val="18"/>
                <w:szCs w:val="18"/>
              </w:rPr>
              <w:t>but not transactions that are:</w:t>
            </w:r>
          </w:p>
          <w:p w14:paraId="6049C0A3" w14:textId="691250B8" w:rsidR="0089576D" w:rsidRPr="006D5241" w:rsidRDefault="00945F64" w:rsidP="004D667C">
            <w:pPr>
              <w:pStyle w:val="ListParagraph"/>
              <w:numPr>
                <w:ilvl w:val="0"/>
                <w:numId w:val="19"/>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s</w:t>
            </w:r>
            <w:r w:rsidR="0089576D" w:rsidRPr="006D5241">
              <w:rPr>
                <w:rFonts w:ascii="Arial" w:hAnsi="Arial" w:cs="Arial"/>
                <w:color w:val="000000" w:themeColor="text1"/>
                <w:sz w:val="18"/>
                <w:szCs w:val="18"/>
              </w:rPr>
              <w:t>ingle-sided exempt</w:t>
            </w:r>
            <w:r w:rsidR="006D5241">
              <w:rPr>
                <w:rFonts w:ascii="Arial" w:hAnsi="Arial" w:cs="Arial"/>
                <w:color w:val="000000" w:themeColor="text1"/>
                <w:sz w:val="18"/>
                <w:szCs w:val="18"/>
              </w:rPr>
              <w:t>; or</w:t>
            </w:r>
          </w:p>
          <w:p w14:paraId="503E0ADC" w14:textId="31B14EB7" w:rsidR="0089576D" w:rsidRPr="006D5241" w:rsidRDefault="006D5241" w:rsidP="004D667C">
            <w:pPr>
              <w:pStyle w:val="ListParagraph"/>
              <w:numPr>
                <w:ilvl w:val="0"/>
                <w:numId w:val="19"/>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 xml:space="preserve">for an AFS </w:t>
            </w:r>
            <w:r w:rsidR="00A65611">
              <w:rPr>
                <w:rFonts w:ascii="Arial" w:hAnsi="Arial" w:cs="Arial"/>
                <w:color w:val="000000" w:themeColor="text1"/>
                <w:sz w:val="18"/>
                <w:szCs w:val="18"/>
              </w:rPr>
              <w:t>licen</w:t>
            </w:r>
            <w:r>
              <w:rPr>
                <w:rFonts w:ascii="Arial" w:hAnsi="Arial" w:cs="Arial"/>
                <w:color w:val="000000" w:themeColor="text1"/>
                <w:sz w:val="18"/>
                <w:szCs w:val="18"/>
              </w:rPr>
              <w:t>see, in a class of derivatives for which they are n</w:t>
            </w:r>
            <w:r w:rsidR="0089576D" w:rsidRPr="006D5241">
              <w:rPr>
                <w:rFonts w:ascii="Arial" w:hAnsi="Arial" w:cs="Arial"/>
                <w:color w:val="000000" w:themeColor="text1"/>
                <w:sz w:val="18"/>
                <w:szCs w:val="18"/>
              </w:rPr>
              <w:t>ot authorise</w:t>
            </w:r>
            <w:r>
              <w:rPr>
                <w:rFonts w:ascii="Arial" w:hAnsi="Arial" w:cs="Arial"/>
                <w:color w:val="000000" w:themeColor="text1"/>
                <w:sz w:val="18"/>
                <w:szCs w:val="18"/>
              </w:rPr>
              <w:t>d by their licence to provide financial services</w:t>
            </w:r>
            <w:r w:rsidR="00193DFB">
              <w:rPr>
                <w:rFonts w:ascii="Arial" w:hAnsi="Arial" w:cs="Arial"/>
                <w:color w:val="000000" w:themeColor="text1"/>
                <w:sz w:val="18"/>
                <w:szCs w:val="18"/>
              </w:rPr>
              <w:t>—</w:t>
            </w:r>
            <w:r w:rsidR="00747F91">
              <w:rPr>
                <w:rFonts w:ascii="Arial" w:hAnsi="Arial" w:cs="Arial"/>
                <w:color w:val="000000" w:themeColor="text1"/>
                <w:sz w:val="18"/>
                <w:szCs w:val="18"/>
              </w:rPr>
              <w:t>that is,</w:t>
            </w:r>
            <w:r w:rsidR="0089576D" w:rsidRPr="006D5241">
              <w:rPr>
                <w:rFonts w:ascii="Arial" w:hAnsi="Arial" w:cs="Arial"/>
                <w:color w:val="000000" w:themeColor="text1"/>
                <w:sz w:val="18"/>
                <w:szCs w:val="18"/>
              </w:rPr>
              <w:t xml:space="preserve"> they are an </w:t>
            </w:r>
            <w:r>
              <w:rPr>
                <w:rFonts w:ascii="Arial" w:hAnsi="Arial" w:cs="Arial"/>
                <w:color w:val="000000" w:themeColor="text1"/>
                <w:sz w:val="18"/>
                <w:szCs w:val="18"/>
              </w:rPr>
              <w:t>‘</w:t>
            </w:r>
            <w:r w:rsidR="0089576D" w:rsidRPr="006D5241">
              <w:rPr>
                <w:rFonts w:ascii="Arial" w:hAnsi="Arial" w:cs="Arial"/>
                <w:color w:val="000000" w:themeColor="text1"/>
                <w:sz w:val="18"/>
                <w:szCs w:val="18"/>
              </w:rPr>
              <w:t>end user</w:t>
            </w:r>
            <w:r>
              <w:rPr>
                <w:rFonts w:ascii="Arial" w:hAnsi="Arial" w:cs="Arial"/>
                <w:color w:val="000000" w:themeColor="text1"/>
                <w:sz w:val="18"/>
                <w:szCs w:val="18"/>
              </w:rPr>
              <w:t>’</w:t>
            </w:r>
            <w:r w:rsidR="0089576D" w:rsidRPr="006D5241">
              <w:rPr>
                <w:rFonts w:ascii="Arial" w:hAnsi="Arial" w:cs="Arial"/>
                <w:color w:val="000000" w:themeColor="text1"/>
                <w:sz w:val="18"/>
                <w:szCs w:val="18"/>
              </w:rPr>
              <w:t xml:space="preserve"> for those transactions</w:t>
            </w:r>
          </w:p>
        </w:tc>
      </w:tr>
      <w:tr w:rsidR="00945F64" w:rsidRPr="000540E1" w14:paraId="49F7D1E4" w14:textId="77777777" w:rsidTr="00A829C7">
        <w:trPr>
          <w:cantSplit/>
        </w:trPr>
        <w:tc>
          <w:tcPr>
            <w:tcW w:w="1954" w:type="pct"/>
          </w:tcPr>
          <w:p w14:paraId="53C2A6BC" w14:textId="7A258623" w:rsidR="00945F64" w:rsidRPr="006D5241" w:rsidRDefault="00945F64" w:rsidP="00945F64">
            <w:pPr>
              <w:spacing w:before="60" w:after="60"/>
              <w:rPr>
                <w:rFonts w:ascii="Arial" w:hAnsi="Arial" w:cs="Arial"/>
                <w:color w:val="000000" w:themeColor="text1"/>
                <w:sz w:val="18"/>
                <w:szCs w:val="18"/>
              </w:rPr>
            </w:pPr>
            <w:r w:rsidRPr="006D5241">
              <w:rPr>
                <w:rFonts w:ascii="Arial" w:hAnsi="Arial" w:cs="Arial"/>
                <w:color w:val="000000" w:themeColor="text1"/>
                <w:sz w:val="18"/>
                <w:szCs w:val="18"/>
              </w:rPr>
              <w:t>A foreign entity that is:</w:t>
            </w:r>
          </w:p>
          <w:p w14:paraId="6D835555" w14:textId="0C97EDBF" w:rsidR="00945F64" w:rsidRPr="006D5241" w:rsidRDefault="00747F91" w:rsidP="00677993">
            <w:pPr>
              <w:pStyle w:val="ListParagraph"/>
              <w:numPr>
                <w:ilvl w:val="0"/>
                <w:numId w:val="27"/>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a f</w:t>
            </w:r>
            <w:r w:rsidRPr="006D5241">
              <w:rPr>
                <w:rFonts w:ascii="Arial" w:hAnsi="Arial" w:cs="Arial"/>
                <w:color w:val="000000" w:themeColor="text1"/>
                <w:sz w:val="18"/>
                <w:szCs w:val="18"/>
              </w:rPr>
              <w:t xml:space="preserve">oreign </w:t>
            </w:r>
            <w:r w:rsidR="00945F64" w:rsidRPr="006D5241">
              <w:rPr>
                <w:rFonts w:ascii="Arial" w:hAnsi="Arial" w:cs="Arial"/>
                <w:color w:val="000000" w:themeColor="text1"/>
                <w:sz w:val="18"/>
                <w:szCs w:val="18"/>
              </w:rPr>
              <w:t>ADI;</w:t>
            </w:r>
          </w:p>
          <w:p w14:paraId="626D9251" w14:textId="15F1F739" w:rsidR="00945F64" w:rsidRPr="006D5241" w:rsidRDefault="00747F91" w:rsidP="00677993">
            <w:pPr>
              <w:pStyle w:val="ListParagraph"/>
              <w:numPr>
                <w:ilvl w:val="0"/>
                <w:numId w:val="27"/>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 xml:space="preserve">an </w:t>
            </w:r>
            <w:r w:rsidR="00945F64" w:rsidRPr="006D5241">
              <w:rPr>
                <w:rFonts w:ascii="Arial" w:hAnsi="Arial" w:cs="Arial"/>
                <w:color w:val="000000" w:themeColor="text1"/>
                <w:sz w:val="18"/>
                <w:szCs w:val="18"/>
              </w:rPr>
              <w:t xml:space="preserve">AFS </w:t>
            </w:r>
            <w:r w:rsidR="00A65611">
              <w:rPr>
                <w:rFonts w:ascii="Arial" w:hAnsi="Arial" w:cs="Arial"/>
                <w:color w:val="000000" w:themeColor="text1"/>
                <w:sz w:val="18"/>
                <w:szCs w:val="18"/>
              </w:rPr>
              <w:t>licen</w:t>
            </w:r>
            <w:r w:rsidR="00945F64" w:rsidRPr="006D5241">
              <w:rPr>
                <w:rFonts w:ascii="Arial" w:hAnsi="Arial" w:cs="Arial"/>
                <w:color w:val="000000" w:themeColor="text1"/>
                <w:sz w:val="18"/>
                <w:szCs w:val="18"/>
              </w:rPr>
              <w:t>see;</w:t>
            </w:r>
          </w:p>
          <w:p w14:paraId="209311C2" w14:textId="3B8863C5" w:rsidR="00945F64" w:rsidRPr="006D5241" w:rsidRDefault="00747F91" w:rsidP="00677993">
            <w:pPr>
              <w:pStyle w:val="ListParagraph"/>
              <w:numPr>
                <w:ilvl w:val="0"/>
                <w:numId w:val="27"/>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 xml:space="preserve">a </w:t>
            </w:r>
            <w:r w:rsidR="00945F64" w:rsidRPr="006D5241">
              <w:rPr>
                <w:rFonts w:ascii="Arial" w:hAnsi="Arial" w:cs="Arial"/>
                <w:color w:val="000000" w:themeColor="text1"/>
                <w:sz w:val="18"/>
                <w:szCs w:val="18"/>
              </w:rPr>
              <w:t xml:space="preserve">CS </w:t>
            </w:r>
            <w:r>
              <w:rPr>
                <w:rFonts w:ascii="Arial" w:hAnsi="Arial" w:cs="Arial"/>
                <w:color w:val="000000" w:themeColor="text1"/>
                <w:sz w:val="18"/>
                <w:szCs w:val="18"/>
              </w:rPr>
              <w:t>f</w:t>
            </w:r>
            <w:r w:rsidRPr="006D5241">
              <w:rPr>
                <w:rFonts w:ascii="Arial" w:hAnsi="Arial" w:cs="Arial"/>
                <w:color w:val="000000" w:themeColor="text1"/>
                <w:sz w:val="18"/>
                <w:szCs w:val="18"/>
              </w:rPr>
              <w:t xml:space="preserve">acility </w:t>
            </w:r>
            <w:r w:rsidR="00A65611">
              <w:rPr>
                <w:rFonts w:ascii="Arial" w:hAnsi="Arial" w:cs="Arial"/>
                <w:color w:val="000000" w:themeColor="text1"/>
                <w:sz w:val="18"/>
                <w:szCs w:val="18"/>
              </w:rPr>
              <w:t>licen</w:t>
            </w:r>
            <w:r w:rsidR="00945F64" w:rsidRPr="006D5241">
              <w:rPr>
                <w:rFonts w:ascii="Arial" w:hAnsi="Arial" w:cs="Arial"/>
                <w:color w:val="000000" w:themeColor="text1"/>
                <w:sz w:val="18"/>
                <w:szCs w:val="18"/>
              </w:rPr>
              <w:t>see; or</w:t>
            </w:r>
          </w:p>
          <w:p w14:paraId="3AD7E2CE" w14:textId="74624D24" w:rsidR="00945F64" w:rsidRPr="006D5241" w:rsidRDefault="00747F91" w:rsidP="00677993">
            <w:pPr>
              <w:pStyle w:val="ListParagraph"/>
              <w:numPr>
                <w:ilvl w:val="0"/>
                <w:numId w:val="27"/>
              </w:numPr>
              <w:autoSpaceDE w:val="0"/>
              <w:autoSpaceDN w:val="0"/>
              <w:adjustRightInd w:val="0"/>
              <w:spacing w:before="60" w:after="60" w:line="240" w:lineRule="auto"/>
              <w:contextualSpacing w:val="0"/>
              <w:rPr>
                <w:rFonts w:ascii="Arial" w:hAnsi="Arial" w:cs="Arial"/>
                <w:color w:val="000000" w:themeColor="text1"/>
                <w:sz w:val="18"/>
                <w:szCs w:val="18"/>
              </w:rPr>
            </w:pPr>
            <w:r>
              <w:rPr>
                <w:rFonts w:ascii="Arial" w:hAnsi="Arial" w:cs="Arial"/>
                <w:color w:val="000000" w:themeColor="text1"/>
                <w:sz w:val="18"/>
                <w:szCs w:val="18"/>
              </w:rPr>
              <w:t>an e</w:t>
            </w:r>
            <w:r w:rsidRPr="006D5241">
              <w:rPr>
                <w:rFonts w:ascii="Arial" w:hAnsi="Arial" w:cs="Arial"/>
                <w:color w:val="000000" w:themeColor="text1"/>
                <w:sz w:val="18"/>
                <w:szCs w:val="18"/>
              </w:rPr>
              <w:t xml:space="preserve">xempt </w:t>
            </w:r>
            <w:r>
              <w:rPr>
                <w:rFonts w:ascii="Arial" w:hAnsi="Arial" w:cs="Arial"/>
                <w:color w:val="000000" w:themeColor="text1"/>
                <w:sz w:val="18"/>
                <w:szCs w:val="18"/>
              </w:rPr>
              <w:t>f</w:t>
            </w:r>
            <w:r w:rsidRPr="006D5241">
              <w:rPr>
                <w:rFonts w:ascii="Arial" w:hAnsi="Arial" w:cs="Arial"/>
                <w:color w:val="000000" w:themeColor="text1"/>
                <w:sz w:val="18"/>
                <w:szCs w:val="18"/>
              </w:rPr>
              <w:t xml:space="preserve">oreign </w:t>
            </w:r>
            <w:r w:rsidR="00A65611">
              <w:rPr>
                <w:rFonts w:ascii="Arial" w:hAnsi="Arial" w:cs="Arial"/>
                <w:color w:val="000000" w:themeColor="text1"/>
                <w:sz w:val="18"/>
                <w:szCs w:val="18"/>
              </w:rPr>
              <w:t>licen</w:t>
            </w:r>
            <w:r w:rsidR="00945F64" w:rsidRPr="006D5241">
              <w:rPr>
                <w:rFonts w:ascii="Arial" w:hAnsi="Arial" w:cs="Arial"/>
                <w:color w:val="000000" w:themeColor="text1"/>
                <w:sz w:val="18"/>
                <w:szCs w:val="18"/>
              </w:rPr>
              <w:t>see</w:t>
            </w:r>
            <w:r w:rsidRPr="00A829C7">
              <w:rPr>
                <w:rFonts w:ascii="Arial" w:hAnsi="Arial" w:cs="Arial"/>
                <w:color w:val="000000" w:themeColor="text1"/>
                <w:sz w:val="18"/>
                <w:szCs w:val="18"/>
              </w:rPr>
              <w:t>—</w:t>
            </w:r>
            <w:r>
              <w:rPr>
                <w:rFonts w:ascii="Arial" w:hAnsi="Arial" w:cs="Arial"/>
                <w:color w:val="000000" w:themeColor="text1"/>
                <w:sz w:val="18"/>
                <w:szCs w:val="18"/>
              </w:rPr>
              <w:t>that is,</w:t>
            </w:r>
            <w:r w:rsidR="00945F64">
              <w:rPr>
                <w:rFonts w:ascii="Arial" w:hAnsi="Arial" w:cs="Arial"/>
                <w:color w:val="000000" w:themeColor="text1"/>
                <w:sz w:val="18"/>
                <w:szCs w:val="18"/>
              </w:rPr>
              <w:t xml:space="preserve"> broadly, a foreign-regulated financial services provider</w:t>
            </w:r>
          </w:p>
        </w:tc>
        <w:tc>
          <w:tcPr>
            <w:tcW w:w="3046" w:type="pct"/>
          </w:tcPr>
          <w:p w14:paraId="2CD33AF4" w14:textId="141A73B9" w:rsidR="00945F64" w:rsidRPr="00945F64" w:rsidRDefault="00945F64" w:rsidP="00945F64">
            <w:pPr>
              <w:spacing w:before="60" w:after="60"/>
              <w:rPr>
                <w:rFonts w:ascii="Arial" w:hAnsi="Arial" w:cs="Arial"/>
                <w:color w:val="000000" w:themeColor="text1"/>
                <w:sz w:val="18"/>
                <w:szCs w:val="18"/>
              </w:rPr>
            </w:pPr>
            <w:r w:rsidRPr="00945F64">
              <w:rPr>
                <w:rFonts w:ascii="Arial" w:hAnsi="Arial" w:cs="Arial"/>
                <w:color w:val="000000" w:themeColor="text1"/>
                <w:sz w:val="18"/>
                <w:szCs w:val="18"/>
              </w:rPr>
              <w:t xml:space="preserve">All </w:t>
            </w:r>
            <w:r w:rsidR="00405E83">
              <w:rPr>
                <w:rFonts w:ascii="Arial" w:hAnsi="Arial" w:cs="Arial"/>
                <w:color w:val="000000" w:themeColor="text1"/>
                <w:sz w:val="18"/>
                <w:szCs w:val="18"/>
              </w:rPr>
              <w:t>OTC derivative</w:t>
            </w:r>
            <w:r w:rsidRPr="00945F64">
              <w:rPr>
                <w:rFonts w:ascii="Arial" w:hAnsi="Arial" w:cs="Arial"/>
                <w:color w:val="000000" w:themeColor="text1"/>
                <w:sz w:val="18"/>
                <w:szCs w:val="18"/>
              </w:rPr>
              <w:t>s:</w:t>
            </w:r>
          </w:p>
          <w:p w14:paraId="3E89657A" w14:textId="23971EF2" w:rsidR="00945F64" w:rsidRPr="00945F64" w:rsidRDefault="00945F64" w:rsidP="004D667C">
            <w:pPr>
              <w:pStyle w:val="ListParagraph"/>
              <w:numPr>
                <w:ilvl w:val="0"/>
                <w:numId w:val="18"/>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sidRPr="00945F64">
              <w:rPr>
                <w:rFonts w:ascii="Arial" w:hAnsi="Arial" w:cs="Arial"/>
                <w:color w:val="000000" w:themeColor="text1"/>
                <w:sz w:val="18"/>
                <w:szCs w:val="18"/>
              </w:rPr>
              <w:t xml:space="preserve">booked to the profit or loss account of a branch of the </w:t>
            </w:r>
            <w:r w:rsidR="009E0748">
              <w:rPr>
                <w:rFonts w:ascii="Arial" w:hAnsi="Arial" w:cs="Arial"/>
                <w:color w:val="000000" w:themeColor="text1"/>
                <w:sz w:val="18"/>
                <w:szCs w:val="18"/>
              </w:rPr>
              <w:t>reporting entity</w:t>
            </w:r>
            <w:r w:rsidRPr="00945F64">
              <w:rPr>
                <w:rFonts w:ascii="Arial" w:hAnsi="Arial" w:cs="Arial"/>
                <w:color w:val="000000" w:themeColor="text1"/>
                <w:sz w:val="18"/>
                <w:szCs w:val="18"/>
              </w:rPr>
              <w:t xml:space="preserve"> located in this jurisdiction;</w:t>
            </w:r>
          </w:p>
          <w:p w14:paraId="3806D40F" w14:textId="778AF284" w:rsidR="00945F64" w:rsidRPr="00945F64" w:rsidRDefault="00945F64" w:rsidP="004D667C">
            <w:pPr>
              <w:pStyle w:val="ListParagraph"/>
              <w:numPr>
                <w:ilvl w:val="0"/>
                <w:numId w:val="18"/>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sidRPr="00945F64">
              <w:rPr>
                <w:rFonts w:ascii="Arial" w:hAnsi="Arial" w:cs="Arial"/>
                <w:color w:val="000000" w:themeColor="text1"/>
                <w:sz w:val="18"/>
                <w:szCs w:val="18"/>
              </w:rPr>
              <w:t xml:space="preserve">entered into by the </w:t>
            </w:r>
            <w:r w:rsidR="009E0748">
              <w:rPr>
                <w:rFonts w:ascii="Arial" w:hAnsi="Arial" w:cs="Arial"/>
                <w:color w:val="000000" w:themeColor="text1"/>
                <w:sz w:val="18"/>
                <w:szCs w:val="18"/>
              </w:rPr>
              <w:t>reporting entity</w:t>
            </w:r>
            <w:r w:rsidRPr="00945F64">
              <w:rPr>
                <w:rFonts w:ascii="Arial" w:hAnsi="Arial" w:cs="Arial"/>
                <w:color w:val="000000" w:themeColor="text1"/>
                <w:sz w:val="18"/>
                <w:szCs w:val="18"/>
              </w:rPr>
              <w:t xml:space="preserve"> in this jurisdiction; or</w:t>
            </w:r>
          </w:p>
          <w:p w14:paraId="79021C03" w14:textId="1A215D55" w:rsidR="00945F64" w:rsidRPr="00945F64" w:rsidRDefault="00945F64" w:rsidP="004D667C">
            <w:pPr>
              <w:pStyle w:val="ListParagraph"/>
              <w:numPr>
                <w:ilvl w:val="0"/>
                <w:numId w:val="18"/>
              </w:numPr>
              <w:autoSpaceDE w:val="0"/>
              <w:autoSpaceDN w:val="0"/>
              <w:adjustRightInd w:val="0"/>
              <w:spacing w:before="60" w:after="60" w:line="240" w:lineRule="auto"/>
              <w:ind w:left="340" w:hanging="340"/>
              <w:rPr>
                <w:rFonts w:ascii="Arial" w:hAnsi="Arial" w:cs="Arial"/>
                <w:color w:val="000000" w:themeColor="text1"/>
                <w:sz w:val="18"/>
                <w:szCs w:val="18"/>
              </w:rPr>
            </w:pPr>
            <w:r w:rsidRPr="00945F64">
              <w:rPr>
                <w:rFonts w:ascii="Arial" w:hAnsi="Arial" w:cs="Arial"/>
                <w:color w:val="000000" w:themeColor="text1"/>
                <w:sz w:val="18"/>
                <w:szCs w:val="18"/>
              </w:rPr>
              <w:t>if opted-in instead of (b), that are ‘nexus’ transactions</w:t>
            </w:r>
            <w:r w:rsidR="00A92496">
              <w:rPr>
                <w:rFonts w:ascii="Arial" w:hAnsi="Arial" w:cs="Arial"/>
                <w:color w:val="000000" w:themeColor="text1"/>
                <w:sz w:val="18"/>
                <w:szCs w:val="18"/>
              </w:rPr>
              <w:t>,</w:t>
            </w:r>
          </w:p>
          <w:p w14:paraId="60F993C0" w14:textId="58D5ED5E" w:rsidR="00945F64" w:rsidRPr="00945F64" w:rsidRDefault="00945F64" w:rsidP="00945F64">
            <w:pPr>
              <w:spacing w:before="60" w:after="60"/>
              <w:rPr>
                <w:rFonts w:ascii="Arial" w:hAnsi="Arial" w:cs="Arial"/>
                <w:color w:val="000000" w:themeColor="text1"/>
                <w:sz w:val="18"/>
                <w:szCs w:val="18"/>
              </w:rPr>
            </w:pPr>
            <w:r w:rsidRPr="00945F64">
              <w:rPr>
                <w:rFonts w:ascii="Arial" w:hAnsi="Arial" w:cs="Arial"/>
                <w:color w:val="000000" w:themeColor="text1"/>
                <w:sz w:val="18"/>
                <w:szCs w:val="18"/>
              </w:rPr>
              <w:t>but not transactions that are:</w:t>
            </w:r>
          </w:p>
          <w:p w14:paraId="7F2C49AA" w14:textId="06C30D1B" w:rsidR="00945F64" w:rsidRPr="006D5241" w:rsidRDefault="00945F64" w:rsidP="004D667C">
            <w:pPr>
              <w:pStyle w:val="ListParagraph"/>
              <w:numPr>
                <w:ilvl w:val="0"/>
                <w:numId w:val="18"/>
              </w:numPr>
              <w:autoSpaceDE w:val="0"/>
              <w:autoSpaceDN w:val="0"/>
              <w:adjustRightInd w:val="0"/>
              <w:spacing w:before="60" w:after="60" w:line="240" w:lineRule="auto"/>
              <w:ind w:left="340" w:hanging="340"/>
              <w:contextualSpacing w:val="0"/>
              <w:rPr>
                <w:rFonts w:ascii="Arial" w:hAnsi="Arial" w:cs="Arial"/>
                <w:color w:val="000000" w:themeColor="text1"/>
                <w:sz w:val="18"/>
                <w:szCs w:val="18"/>
              </w:rPr>
            </w:pPr>
            <w:r>
              <w:rPr>
                <w:rFonts w:ascii="Arial" w:hAnsi="Arial" w:cs="Arial"/>
                <w:color w:val="000000" w:themeColor="text1"/>
                <w:sz w:val="18"/>
                <w:szCs w:val="18"/>
              </w:rPr>
              <w:t>si</w:t>
            </w:r>
            <w:r w:rsidRPr="00945F64">
              <w:rPr>
                <w:rFonts w:ascii="Arial" w:hAnsi="Arial" w:cs="Arial"/>
                <w:color w:val="000000" w:themeColor="text1"/>
                <w:sz w:val="18"/>
                <w:szCs w:val="18"/>
              </w:rPr>
              <w:t>ngle-sided exempt</w:t>
            </w:r>
            <w:r>
              <w:rPr>
                <w:rFonts w:ascii="Arial" w:hAnsi="Arial" w:cs="Arial"/>
                <w:color w:val="000000" w:themeColor="text1"/>
                <w:sz w:val="18"/>
                <w:szCs w:val="18"/>
              </w:rPr>
              <w:t>; or</w:t>
            </w:r>
          </w:p>
          <w:p w14:paraId="0E6814EF" w14:textId="1025606D" w:rsidR="00945F64" w:rsidRPr="00945F64" w:rsidRDefault="00945F64" w:rsidP="004D667C">
            <w:pPr>
              <w:pStyle w:val="ListParagraph"/>
              <w:numPr>
                <w:ilvl w:val="0"/>
                <w:numId w:val="18"/>
              </w:numPr>
              <w:autoSpaceDE w:val="0"/>
              <w:autoSpaceDN w:val="0"/>
              <w:adjustRightInd w:val="0"/>
              <w:spacing w:before="60" w:after="60" w:line="240" w:lineRule="auto"/>
              <w:ind w:left="340" w:hanging="340"/>
              <w:contextualSpacing w:val="0"/>
              <w:rPr>
                <w:rFonts w:ascii="Arial" w:hAnsi="Arial" w:cs="Arial"/>
                <w:sz w:val="18"/>
                <w:szCs w:val="18"/>
              </w:rPr>
            </w:pPr>
            <w:r>
              <w:rPr>
                <w:rFonts w:ascii="Arial" w:hAnsi="Arial" w:cs="Arial"/>
                <w:color w:val="000000" w:themeColor="text1"/>
                <w:sz w:val="18"/>
                <w:szCs w:val="18"/>
              </w:rPr>
              <w:t xml:space="preserve">for an AFS </w:t>
            </w:r>
            <w:r w:rsidR="00A65611">
              <w:rPr>
                <w:rFonts w:ascii="Arial" w:hAnsi="Arial" w:cs="Arial"/>
                <w:color w:val="000000" w:themeColor="text1"/>
                <w:sz w:val="18"/>
                <w:szCs w:val="18"/>
              </w:rPr>
              <w:t>licen</w:t>
            </w:r>
            <w:r>
              <w:rPr>
                <w:rFonts w:ascii="Arial" w:hAnsi="Arial" w:cs="Arial"/>
                <w:color w:val="000000" w:themeColor="text1"/>
                <w:sz w:val="18"/>
                <w:szCs w:val="18"/>
              </w:rPr>
              <w:t>see, in a class of derivatives for which they are n</w:t>
            </w:r>
            <w:r w:rsidRPr="006D5241">
              <w:rPr>
                <w:rFonts w:ascii="Arial" w:hAnsi="Arial" w:cs="Arial"/>
                <w:color w:val="000000" w:themeColor="text1"/>
                <w:sz w:val="18"/>
                <w:szCs w:val="18"/>
              </w:rPr>
              <w:t>ot authorise</w:t>
            </w:r>
            <w:r>
              <w:rPr>
                <w:rFonts w:ascii="Arial" w:hAnsi="Arial" w:cs="Arial"/>
                <w:color w:val="000000" w:themeColor="text1"/>
                <w:sz w:val="18"/>
                <w:szCs w:val="18"/>
              </w:rPr>
              <w:t>d by their licence to provide financial services</w:t>
            </w:r>
            <w:r w:rsidR="00193DFB">
              <w:rPr>
                <w:rFonts w:ascii="Arial" w:hAnsi="Arial" w:cs="Arial"/>
                <w:color w:val="000000" w:themeColor="text1"/>
                <w:sz w:val="18"/>
                <w:szCs w:val="18"/>
              </w:rPr>
              <w:t>—</w:t>
            </w:r>
            <w:r w:rsidR="004A6E0D">
              <w:rPr>
                <w:rFonts w:ascii="Arial" w:hAnsi="Arial" w:cs="Arial"/>
                <w:color w:val="000000" w:themeColor="text1"/>
                <w:sz w:val="18"/>
                <w:szCs w:val="18"/>
              </w:rPr>
              <w:t>that is,</w:t>
            </w:r>
            <w:r w:rsidRPr="006D5241">
              <w:rPr>
                <w:rFonts w:ascii="Arial" w:hAnsi="Arial" w:cs="Arial"/>
                <w:color w:val="000000" w:themeColor="text1"/>
                <w:sz w:val="18"/>
                <w:szCs w:val="18"/>
              </w:rPr>
              <w:t xml:space="preserve"> they are an </w:t>
            </w:r>
            <w:r>
              <w:rPr>
                <w:rFonts w:ascii="Arial" w:hAnsi="Arial" w:cs="Arial"/>
                <w:color w:val="000000" w:themeColor="text1"/>
                <w:sz w:val="18"/>
                <w:szCs w:val="18"/>
              </w:rPr>
              <w:t>‘</w:t>
            </w:r>
            <w:r w:rsidRPr="006D5241">
              <w:rPr>
                <w:rFonts w:ascii="Arial" w:hAnsi="Arial" w:cs="Arial"/>
                <w:color w:val="000000" w:themeColor="text1"/>
                <w:sz w:val="18"/>
                <w:szCs w:val="18"/>
              </w:rPr>
              <w:t>end user</w:t>
            </w:r>
            <w:r>
              <w:rPr>
                <w:rFonts w:ascii="Arial" w:hAnsi="Arial" w:cs="Arial"/>
                <w:color w:val="000000" w:themeColor="text1"/>
                <w:sz w:val="18"/>
                <w:szCs w:val="18"/>
              </w:rPr>
              <w:t>’</w:t>
            </w:r>
            <w:r w:rsidRPr="006D5241">
              <w:rPr>
                <w:rFonts w:ascii="Arial" w:hAnsi="Arial" w:cs="Arial"/>
                <w:color w:val="000000" w:themeColor="text1"/>
                <w:sz w:val="18"/>
                <w:szCs w:val="18"/>
              </w:rPr>
              <w:t xml:space="preserve"> for those transactions</w:t>
            </w:r>
          </w:p>
        </w:tc>
      </w:tr>
    </w:tbl>
    <w:p w14:paraId="03FA4EF0" w14:textId="2D70DCDD" w:rsidR="00EE6A15" w:rsidRDefault="00E9088A" w:rsidP="00EE6A15">
      <w:pPr>
        <w:pStyle w:val="Heading3"/>
      </w:pPr>
      <w:r>
        <w:t>ASIC’s concerns</w:t>
      </w:r>
      <w:r w:rsidR="00EE6A15">
        <w:t xml:space="preserve"> with the scope of </w:t>
      </w:r>
      <w:r w:rsidR="008A5B87">
        <w:t>reporting entit</w:t>
      </w:r>
      <w:r w:rsidR="00EE6A15">
        <w:t>ies</w:t>
      </w:r>
    </w:p>
    <w:p w14:paraId="78FE0C93" w14:textId="2C2CACEB" w:rsidR="00023C84" w:rsidRDefault="00023C84" w:rsidP="00023C84">
      <w:pPr>
        <w:pStyle w:val="BodyText"/>
      </w:pPr>
      <w:r>
        <w:t xml:space="preserve">ASIC’s scope is less comprehensive than in </w:t>
      </w:r>
      <w:r w:rsidR="00322CF5">
        <w:t xml:space="preserve">some </w:t>
      </w:r>
      <w:r>
        <w:t>other jurisdictions</w:t>
      </w:r>
      <w:r w:rsidR="00BD0099">
        <w:t>, for example:</w:t>
      </w:r>
    </w:p>
    <w:p w14:paraId="45354C01" w14:textId="48F26E7D" w:rsidR="00023C84" w:rsidRDefault="004A6E0D" w:rsidP="00023C84">
      <w:pPr>
        <w:pStyle w:val="subparaa"/>
      </w:pPr>
      <w:r>
        <w:t xml:space="preserve">the </w:t>
      </w:r>
      <w:r w:rsidR="00023C84">
        <w:t xml:space="preserve">CFTC </w:t>
      </w:r>
      <w:r w:rsidR="0064403F">
        <w:t xml:space="preserve">rules </w:t>
      </w:r>
      <w:r w:rsidR="00023C84">
        <w:t>capture all trades with US persons, albeit as single-sided reporting (i.e. reporting only by the ‘dealer’)</w:t>
      </w:r>
      <w:r>
        <w:t>;</w:t>
      </w:r>
      <w:r w:rsidR="00BB5CDC">
        <w:t xml:space="preserve"> and</w:t>
      </w:r>
    </w:p>
    <w:p w14:paraId="28B18BB8" w14:textId="7B0AB319" w:rsidR="00023C84" w:rsidRDefault="004A6E0D" w:rsidP="00023C84">
      <w:pPr>
        <w:pStyle w:val="subparaa"/>
      </w:pPr>
      <w:r>
        <w:t xml:space="preserve">the </w:t>
      </w:r>
      <w:r w:rsidR="0064403F">
        <w:t>EU rules</w:t>
      </w:r>
      <w:r w:rsidR="00023C84">
        <w:t xml:space="preserve"> oblige all EU entities to report, but with some single-sided exemptions for non-financial counterparties.</w:t>
      </w:r>
    </w:p>
    <w:p w14:paraId="3E49E504" w14:textId="44BE63EC" w:rsidR="00023C84" w:rsidRDefault="00023C84" w:rsidP="00023C84">
      <w:pPr>
        <w:pStyle w:val="BodyText"/>
      </w:pPr>
      <w:r>
        <w:t xml:space="preserve">ASIC’s scope </w:t>
      </w:r>
      <w:r w:rsidR="003D49D5">
        <w:t xml:space="preserve">intentionally </w:t>
      </w:r>
      <w:r>
        <w:t>excludes end users and trades not entered into</w:t>
      </w:r>
      <w:r w:rsidR="0045588E">
        <w:t xml:space="preserve"> or booked in</w:t>
      </w:r>
      <w:r>
        <w:t xml:space="preserve">, or without a nexus to, this jurisdiction. </w:t>
      </w:r>
      <w:r w:rsidR="003D49D5">
        <w:t xml:space="preserve">There can be some interaction between these provisions in situations </w:t>
      </w:r>
      <w:r>
        <w:t>where:</w:t>
      </w:r>
    </w:p>
    <w:p w14:paraId="33E395C2" w14:textId="5786A2B4" w:rsidR="00023C84" w:rsidRDefault="00901C63" w:rsidP="00023C84">
      <w:pPr>
        <w:pStyle w:val="subparaa"/>
      </w:pPr>
      <w:r>
        <w:t>f</w:t>
      </w:r>
      <w:r w:rsidR="00023C84">
        <w:t>oreign AFS</w:t>
      </w:r>
      <w:r w:rsidR="00322CF5">
        <w:t xml:space="preserve"> </w:t>
      </w:r>
      <w:r w:rsidR="00A65611">
        <w:t>licen</w:t>
      </w:r>
      <w:r w:rsidR="00322CF5">
        <w:t xml:space="preserve">sees </w:t>
      </w:r>
      <w:r w:rsidR="00023C84">
        <w:t>trade with Australian retail clients; and</w:t>
      </w:r>
    </w:p>
    <w:p w14:paraId="3CF4FC02" w14:textId="6F8D0BDB" w:rsidR="00023C84" w:rsidRDefault="00901C63" w:rsidP="00023C84">
      <w:pPr>
        <w:pStyle w:val="subparaa"/>
      </w:pPr>
      <w:r>
        <w:t>f</w:t>
      </w:r>
      <w:r w:rsidR="00023C84">
        <w:t xml:space="preserve">oreign </w:t>
      </w:r>
      <w:r w:rsidR="00322CF5">
        <w:t xml:space="preserve">financial services providers </w:t>
      </w:r>
      <w:r w:rsidR="00023C84">
        <w:t>trade with Australian wholesale clients</w:t>
      </w:r>
      <w:r w:rsidR="00322CF5">
        <w:t xml:space="preserve"> who are end users.</w:t>
      </w:r>
    </w:p>
    <w:p w14:paraId="3464E131" w14:textId="7208948F" w:rsidR="001904C3" w:rsidRPr="00A829C7" w:rsidRDefault="00322CF5" w:rsidP="00023C84">
      <w:pPr>
        <w:pStyle w:val="BodyText"/>
        <w:rPr>
          <w:spacing w:val="-2"/>
        </w:rPr>
      </w:pPr>
      <w:r w:rsidRPr="00A829C7">
        <w:rPr>
          <w:spacing w:val="-2"/>
        </w:rPr>
        <w:t xml:space="preserve">Some foreign subsidiaries of Australian </w:t>
      </w:r>
      <w:r w:rsidR="008A5B87" w:rsidRPr="00A829C7">
        <w:rPr>
          <w:spacing w:val="-2"/>
        </w:rPr>
        <w:t>reporting entit</w:t>
      </w:r>
      <w:r w:rsidRPr="00A829C7">
        <w:rPr>
          <w:spacing w:val="-2"/>
        </w:rPr>
        <w:t xml:space="preserve">ies consider that they are a foreign </w:t>
      </w:r>
      <w:r w:rsidR="009E0748" w:rsidRPr="00A829C7">
        <w:rPr>
          <w:spacing w:val="-2"/>
        </w:rPr>
        <w:t>reporting entity</w:t>
      </w:r>
      <w:r w:rsidRPr="00A829C7">
        <w:rPr>
          <w:spacing w:val="-2"/>
        </w:rPr>
        <w:t xml:space="preserve"> under the ASIC Rules but for the same scope of </w:t>
      </w:r>
      <w:r w:rsidR="00A65611" w:rsidRPr="00A829C7">
        <w:rPr>
          <w:spacing w:val="-2"/>
        </w:rPr>
        <w:t>reportable transact</w:t>
      </w:r>
      <w:r w:rsidRPr="00A829C7">
        <w:rPr>
          <w:spacing w:val="-2"/>
        </w:rPr>
        <w:t>ions as their Australian parent entity</w:t>
      </w:r>
      <w:r w:rsidR="001904C3" w:rsidRPr="00A829C7">
        <w:rPr>
          <w:spacing w:val="-2"/>
        </w:rPr>
        <w:t xml:space="preserve">. Table 1 of Rule 1.2.5 </w:t>
      </w:r>
      <w:r w:rsidR="009062B0">
        <w:rPr>
          <w:spacing w:val="-2"/>
        </w:rPr>
        <w:lastRenderedPageBreak/>
        <w:t xml:space="preserve">of the ASIC Rules </w:t>
      </w:r>
      <w:r w:rsidR="001904C3" w:rsidRPr="00A829C7">
        <w:rPr>
          <w:spacing w:val="-2"/>
        </w:rPr>
        <w:t xml:space="preserve">sets out that the scope of </w:t>
      </w:r>
      <w:r w:rsidR="00A65611" w:rsidRPr="00A829C7">
        <w:rPr>
          <w:spacing w:val="-2"/>
        </w:rPr>
        <w:t>reportable transact</w:t>
      </w:r>
      <w:r w:rsidR="001904C3" w:rsidRPr="00A829C7">
        <w:rPr>
          <w:spacing w:val="-2"/>
        </w:rPr>
        <w:t xml:space="preserve">ions for such foreign subsidiaries is the same as for an Australian </w:t>
      </w:r>
      <w:r w:rsidR="009E0748" w:rsidRPr="00A829C7">
        <w:rPr>
          <w:spacing w:val="-2"/>
        </w:rPr>
        <w:t>reporting entity</w:t>
      </w:r>
      <w:r w:rsidR="001904C3" w:rsidRPr="00A829C7">
        <w:rPr>
          <w:spacing w:val="-2"/>
        </w:rPr>
        <w:t>.</w:t>
      </w:r>
    </w:p>
    <w:p w14:paraId="7414ED3A" w14:textId="50D464A6" w:rsidR="008D2C67" w:rsidRDefault="008D2C67" w:rsidP="00023C84">
      <w:pPr>
        <w:pStyle w:val="BodyText"/>
      </w:pPr>
      <w:r>
        <w:t xml:space="preserve">In relation to foreign AFS </w:t>
      </w:r>
      <w:r w:rsidR="00A65611">
        <w:t>licen</w:t>
      </w:r>
      <w:r>
        <w:t xml:space="preserve">sees trading with Australian retail clients, we </w:t>
      </w:r>
      <w:r w:rsidR="009C1E8B">
        <w:t>consider</w:t>
      </w:r>
      <w:r>
        <w:t xml:space="preserve"> it is appropriate that these transactions should be within the scope of </w:t>
      </w:r>
      <w:r w:rsidR="00A65611">
        <w:t>reportable transact</w:t>
      </w:r>
      <w:r>
        <w:t xml:space="preserve">ions so that Australian regulators can monitor, via </w:t>
      </w:r>
      <w:r w:rsidR="009C1E8B">
        <w:t>derivative transaction</w:t>
      </w:r>
      <w:r>
        <w:t xml:space="preserve"> reporting:</w:t>
      </w:r>
    </w:p>
    <w:p w14:paraId="6BD09C14" w14:textId="795164A4" w:rsidR="008D2C67" w:rsidRDefault="008D2C67" w:rsidP="008D2C67">
      <w:pPr>
        <w:pStyle w:val="subparaa"/>
      </w:pPr>
      <w:r>
        <w:t xml:space="preserve">the scale and nature of the activities of those foreign AFS </w:t>
      </w:r>
      <w:r w:rsidR="00A65611">
        <w:t>licen</w:t>
      </w:r>
      <w:r>
        <w:t>sees with Australian retail clients;</w:t>
      </w:r>
    </w:p>
    <w:p w14:paraId="7367EBCC" w14:textId="428EF019" w:rsidR="008D2C67" w:rsidRDefault="008D2C67" w:rsidP="008D2C67">
      <w:pPr>
        <w:pStyle w:val="subparaa"/>
      </w:pPr>
      <w:r>
        <w:t xml:space="preserve">the financial exposures of Australian retail clients to those foreign AFS </w:t>
      </w:r>
      <w:r w:rsidR="00A65611">
        <w:t>licen</w:t>
      </w:r>
      <w:r>
        <w:t>sees; and</w:t>
      </w:r>
    </w:p>
    <w:p w14:paraId="6ADE02F6" w14:textId="009DC721" w:rsidR="008D2C67" w:rsidRDefault="008D2C67" w:rsidP="008D2C67">
      <w:pPr>
        <w:pStyle w:val="subparaa"/>
      </w:pPr>
      <w:r>
        <w:t xml:space="preserve">the conduct in the markets of the Australian retail clients by their transactions with those foreign AFS </w:t>
      </w:r>
      <w:r w:rsidR="00A65611">
        <w:t>licen</w:t>
      </w:r>
      <w:r>
        <w:t>sees.</w:t>
      </w:r>
    </w:p>
    <w:p w14:paraId="00A12902" w14:textId="3FECDA83" w:rsidR="00175B1F" w:rsidRDefault="008D2C67" w:rsidP="008D2C67">
      <w:pPr>
        <w:pStyle w:val="BodyText"/>
      </w:pPr>
      <w:r>
        <w:t xml:space="preserve">In principle, we propose to amend the </w:t>
      </w:r>
      <w:r w:rsidR="001904C3">
        <w:t xml:space="preserve">scope of </w:t>
      </w:r>
      <w:r w:rsidR="00A65611">
        <w:t>reportable transact</w:t>
      </w:r>
      <w:r w:rsidR="001904C3">
        <w:t xml:space="preserve">ions </w:t>
      </w:r>
      <w:r>
        <w:t xml:space="preserve">for foreign </w:t>
      </w:r>
      <w:r w:rsidR="008A5B87">
        <w:t>reporting entit</w:t>
      </w:r>
      <w:r>
        <w:t xml:space="preserve">ies </w:t>
      </w:r>
      <w:r w:rsidR="00175B1F">
        <w:t>to provide certainty that it includes transactions with Australian retail clients. We intend to propose the text of such a</w:t>
      </w:r>
      <w:r w:rsidR="00C15D93">
        <w:t xml:space="preserve"> </w:t>
      </w:r>
      <w:r w:rsidR="00175B1F">
        <w:t xml:space="preserve">provision in the ASIC Rules in </w:t>
      </w:r>
      <w:r w:rsidR="004D165C">
        <w:t xml:space="preserve">the second round of </w:t>
      </w:r>
      <w:r w:rsidR="00175B1F">
        <w:t xml:space="preserve">consultation but this may be, for example, an additional term related to ‘All </w:t>
      </w:r>
      <w:r w:rsidR="00405E83">
        <w:t>OTC derivative</w:t>
      </w:r>
      <w:r w:rsidR="00175B1F">
        <w:t>s entered into with Australian retail clients’.</w:t>
      </w:r>
    </w:p>
    <w:p w14:paraId="1D74ABF9" w14:textId="51CBEBAF" w:rsidR="00023C84" w:rsidRDefault="00175B1F" w:rsidP="008D2C67">
      <w:pPr>
        <w:pStyle w:val="BodyText"/>
      </w:pPr>
      <w:bookmarkStart w:id="174" w:name="_ASICRef226"/>
      <w:bookmarkStart w:id="175" w:name="_Hlk54168197"/>
      <w:r>
        <w:t xml:space="preserve">In relation to the scope of </w:t>
      </w:r>
      <w:r w:rsidR="00A65611">
        <w:t>reportable transact</w:t>
      </w:r>
      <w:r>
        <w:t xml:space="preserve">ions for the foreign subsidiaries of Australian </w:t>
      </w:r>
      <w:r w:rsidR="008A5B87">
        <w:t>reporting entit</w:t>
      </w:r>
      <w:r>
        <w:t xml:space="preserve">ies, </w:t>
      </w:r>
      <w:r w:rsidR="00B1415B">
        <w:t xml:space="preserve">we have recently received an application for relief that seeks to narrow the scope of reportable transactions to </w:t>
      </w:r>
      <w:r w:rsidR="0045588E">
        <w:t xml:space="preserve">exclude transactions that are not connected to Australia in a similar manner as for other foreign </w:t>
      </w:r>
      <w:r w:rsidR="008A5B87">
        <w:t>reporting entit</w:t>
      </w:r>
      <w:r w:rsidR="001F6C30">
        <w:t>ies.</w:t>
      </w:r>
      <w:r w:rsidR="00800950">
        <w:t xml:space="preserve"> </w:t>
      </w:r>
      <w:r w:rsidR="00800950" w:rsidRPr="00800950">
        <w:t>We will consider this application and any implications for future proposals for changes to the ASIC Rules in the second round of consultation.</w:t>
      </w:r>
      <w:bookmarkEnd w:id="174"/>
    </w:p>
    <w:bookmarkEnd w:id="175"/>
    <w:p w14:paraId="780ECB4B" w14:textId="658FB6BC" w:rsidR="00D9024F" w:rsidRPr="00D9024F" w:rsidRDefault="00D9024F" w:rsidP="00D9024F">
      <w:pPr>
        <w:pStyle w:val="BodyText"/>
      </w:pPr>
      <w:r>
        <w:t xml:space="preserve">In relation to </w:t>
      </w:r>
      <w:r w:rsidRPr="00D9024F">
        <w:t>foreign financial services providers trad</w:t>
      </w:r>
      <w:r>
        <w:t>ing</w:t>
      </w:r>
      <w:r w:rsidRPr="00D9024F">
        <w:t xml:space="preserve"> with Australian wholesale clients who are end users</w:t>
      </w:r>
      <w:r>
        <w:t>, we do not have complete information about whether there is a gap in reporting and the scale of any such gap.</w:t>
      </w:r>
    </w:p>
    <w:p w14:paraId="150A1DD9" w14:textId="6216D519" w:rsidR="00E04565" w:rsidRDefault="00D9024F" w:rsidP="00023C84">
      <w:pPr>
        <w:pStyle w:val="BodyText"/>
      </w:pPr>
      <w:r>
        <w:t xml:space="preserve">We observe that </w:t>
      </w:r>
      <w:r w:rsidR="00452F5D">
        <w:t xml:space="preserve">less than </w:t>
      </w:r>
      <w:r>
        <w:t xml:space="preserve">1% </w:t>
      </w:r>
      <w:r w:rsidR="00DB515E">
        <w:t xml:space="preserve">of </w:t>
      </w:r>
      <w:r w:rsidR="005B36B5">
        <w:t>non-CFD</w:t>
      </w:r>
      <w:r w:rsidR="00587E44">
        <w:t xml:space="preserve"> </w:t>
      </w:r>
      <w:r w:rsidR="00DB515E">
        <w:t xml:space="preserve">transactions are reported with a foreign financial services provider as the non-reporting counterparty and the foreign financial services provider does not appear as a reporting counterparty </w:t>
      </w:r>
      <w:r w:rsidR="00211645">
        <w:t xml:space="preserve">in the trade reports from </w:t>
      </w:r>
      <w:r w:rsidR="00787D98">
        <w:rPr>
          <w:rFonts w:eastAsiaTheme="minorHAnsi"/>
        </w:rPr>
        <w:t>trade repositories</w:t>
      </w:r>
      <w:r w:rsidR="00211645">
        <w:t xml:space="preserve"> from whom ASIC currently receives trade reports.</w:t>
      </w:r>
    </w:p>
    <w:p w14:paraId="6BA7BCDC" w14:textId="0C969177" w:rsidR="00F3254D" w:rsidRDefault="00F3254D" w:rsidP="00023C84">
      <w:pPr>
        <w:pStyle w:val="BodyText"/>
      </w:pPr>
      <w:r>
        <w:t>We consider there are t</w:t>
      </w:r>
      <w:r w:rsidR="00452F5D">
        <w:t>hree</w:t>
      </w:r>
      <w:r>
        <w:t xml:space="preserve"> potential explanations for this:</w:t>
      </w:r>
    </w:p>
    <w:p w14:paraId="076494CF" w14:textId="3915C285" w:rsidR="00452F5D" w:rsidRDefault="00452F5D" w:rsidP="00F3254D">
      <w:pPr>
        <w:pStyle w:val="subparaa"/>
      </w:pPr>
      <w:r>
        <w:t>the</w:t>
      </w:r>
      <w:r w:rsidR="00F3254D">
        <w:t xml:space="preserve"> foreign financial services provider does not consider that </w:t>
      </w:r>
      <w:r w:rsidR="00CA5559">
        <w:t>it is</w:t>
      </w:r>
      <w:r>
        <w:t xml:space="preserve"> a </w:t>
      </w:r>
      <w:r w:rsidR="009E0748">
        <w:t>reporting entity</w:t>
      </w:r>
      <w:r>
        <w:t xml:space="preserve"> under the ASIC Rules</w:t>
      </w:r>
      <w:r w:rsidR="00193DFB">
        <w:t>—</w:t>
      </w:r>
      <w:r>
        <w:t xml:space="preserve">for example, </w:t>
      </w:r>
      <w:r w:rsidR="00CA5559">
        <w:t xml:space="preserve">it is </w:t>
      </w:r>
      <w:r>
        <w:t xml:space="preserve">not an </w:t>
      </w:r>
      <w:r w:rsidR="00C15D93">
        <w:t xml:space="preserve">exempt foreign </w:t>
      </w:r>
      <w:r w:rsidR="00A65611">
        <w:t>licen</w:t>
      </w:r>
      <w:r>
        <w:t>see;</w:t>
      </w:r>
    </w:p>
    <w:p w14:paraId="510135DD" w14:textId="6F84746D" w:rsidR="00452F5D" w:rsidRDefault="00452F5D" w:rsidP="00F3254D">
      <w:pPr>
        <w:pStyle w:val="subparaa"/>
      </w:pPr>
      <w:r>
        <w:t xml:space="preserve">the foreign financial services provider does consider that </w:t>
      </w:r>
      <w:r w:rsidR="00CA5559">
        <w:t>it is</w:t>
      </w:r>
      <w:r>
        <w:t xml:space="preserve"> a </w:t>
      </w:r>
      <w:r w:rsidR="009E0748">
        <w:t>reporting entity</w:t>
      </w:r>
      <w:r>
        <w:t xml:space="preserve"> under the ASIC Rules but consider</w:t>
      </w:r>
      <w:r w:rsidR="00CA5559">
        <w:t>s</w:t>
      </w:r>
      <w:r>
        <w:t xml:space="preserve"> that the </w:t>
      </w:r>
      <w:r>
        <w:lastRenderedPageBreak/>
        <w:t xml:space="preserve">transactions are not </w:t>
      </w:r>
      <w:r w:rsidR="00A65611">
        <w:t>reportable transact</w:t>
      </w:r>
      <w:r>
        <w:t xml:space="preserve">ions </w:t>
      </w:r>
      <w:r w:rsidR="003D49D5">
        <w:t xml:space="preserve">or are not nexus transactions </w:t>
      </w:r>
      <w:r>
        <w:t xml:space="preserve">under the ASIC Rules; or </w:t>
      </w:r>
    </w:p>
    <w:p w14:paraId="1FF641BB" w14:textId="3470BC51" w:rsidR="00023C84" w:rsidRDefault="00452F5D" w:rsidP="00F3254D">
      <w:pPr>
        <w:pStyle w:val="subparaa"/>
      </w:pPr>
      <w:r>
        <w:t>the foreign financial services provider consider</w:t>
      </w:r>
      <w:r w:rsidR="00CA5559">
        <w:t>s</w:t>
      </w:r>
      <w:r>
        <w:t xml:space="preserve"> that </w:t>
      </w:r>
      <w:r w:rsidR="00CA5559">
        <w:t xml:space="preserve">it is </w:t>
      </w:r>
      <w:r>
        <w:t xml:space="preserve">a </w:t>
      </w:r>
      <w:r w:rsidR="009E0748">
        <w:t>reporting entity</w:t>
      </w:r>
      <w:r>
        <w:t xml:space="preserve"> under the ASIC Rules</w:t>
      </w:r>
      <w:r w:rsidR="00CA5559">
        <w:t xml:space="preserve">, </w:t>
      </w:r>
      <w:r>
        <w:t xml:space="preserve">the </w:t>
      </w:r>
      <w:r w:rsidR="00F3254D">
        <w:t xml:space="preserve">transactions are </w:t>
      </w:r>
      <w:r w:rsidR="00A65611">
        <w:t>reportable transact</w:t>
      </w:r>
      <w:r>
        <w:t>ions under the ASIC Rules</w:t>
      </w:r>
      <w:r w:rsidR="00CA5559">
        <w:t xml:space="preserve">, the foreign financial services provider is complying with the ASIC Rules by </w:t>
      </w:r>
      <w:r w:rsidR="002F7B45">
        <w:t xml:space="preserve">reporting to a </w:t>
      </w:r>
      <w:r w:rsidR="00787D98">
        <w:rPr>
          <w:rFonts w:eastAsiaTheme="minorHAnsi"/>
        </w:rPr>
        <w:t>trade repository</w:t>
      </w:r>
      <w:r w:rsidR="002F7B45">
        <w:t xml:space="preserve"> under the </w:t>
      </w:r>
      <w:r w:rsidR="00C15D93">
        <w:t xml:space="preserve">alternative reporting </w:t>
      </w:r>
      <w:r w:rsidR="002F7B45">
        <w:t xml:space="preserve">provisions of the ASIC Rules but that this is a </w:t>
      </w:r>
      <w:r w:rsidR="00787D98">
        <w:rPr>
          <w:rFonts w:eastAsiaTheme="minorHAnsi"/>
        </w:rPr>
        <w:t>trade repository</w:t>
      </w:r>
      <w:r w:rsidR="002F7B45">
        <w:t xml:space="preserve"> from whom ASIC does currently receive trade reports.</w:t>
      </w:r>
    </w:p>
    <w:p w14:paraId="34F340F5" w14:textId="22423986" w:rsidR="003D49D5" w:rsidRDefault="003D49D5" w:rsidP="003D49D5">
      <w:pPr>
        <w:pStyle w:val="Note"/>
      </w:pPr>
      <w:r>
        <w:t xml:space="preserve">Note: </w:t>
      </w:r>
      <w:r w:rsidR="00E87768">
        <w:t xml:space="preserve">A foreign </w:t>
      </w:r>
      <w:r w:rsidR="009E0748">
        <w:t>reporting entity</w:t>
      </w:r>
      <w:r w:rsidR="00E87768">
        <w:t xml:space="preserve"> may also be exempt from, or not subject to</w:t>
      </w:r>
      <w:r w:rsidR="00B931FC">
        <w:t>,</w:t>
      </w:r>
      <w:r w:rsidR="00E87768">
        <w:t xml:space="preserve"> requirements </w:t>
      </w:r>
      <w:r w:rsidR="00C15D93">
        <w:t>to report</w:t>
      </w:r>
      <w:r w:rsidR="00E87768">
        <w:t xml:space="preserve"> a </w:t>
      </w:r>
      <w:r w:rsidR="00A65611">
        <w:t>reportable transact</w:t>
      </w:r>
      <w:r w:rsidR="00E87768">
        <w:t>ion i</w:t>
      </w:r>
      <w:r w:rsidRPr="003D49D5">
        <w:t xml:space="preserve">n </w:t>
      </w:r>
      <w:r w:rsidR="00E87768">
        <w:t xml:space="preserve">its </w:t>
      </w:r>
      <w:r w:rsidRPr="003D49D5">
        <w:t>foreign jurisdiction</w:t>
      </w:r>
      <w:r w:rsidR="00E87768">
        <w:t>(s)</w:t>
      </w:r>
      <w:r w:rsidR="00B931FC">
        <w:t>:</w:t>
      </w:r>
      <w:r w:rsidR="00E87768">
        <w:t xml:space="preserve"> see</w:t>
      </w:r>
      <w:r w:rsidRPr="003D49D5">
        <w:t xml:space="preserve"> </w:t>
      </w:r>
      <w:r w:rsidR="00B931FC">
        <w:t>Rule </w:t>
      </w:r>
      <w:r w:rsidRPr="003D49D5">
        <w:t>2.2.1(3)(b)(ii)</w:t>
      </w:r>
      <w:r w:rsidR="00E87768">
        <w:t xml:space="preserve"> of the </w:t>
      </w:r>
      <w:r w:rsidR="00B931FC">
        <w:t xml:space="preserve">ASIC </w:t>
      </w:r>
      <w:r w:rsidR="00E87768">
        <w:t>Rules</w:t>
      </w:r>
      <w:r w:rsidR="00B931FC">
        <w:t>.</w:t>
      </w:r>
    </w:p>
    <w:p w14:paraId="7FC3F7F2" w14:textId="2CB7BD0A" w:rsidR="00E21A19" w:rsidRDefault="00732C4E" w:rsidP="00023C84">
      <w:pPr>
        <w:pStyle w:val="BodyText"/>
      </w:pPr>
      <w:r>
        <w:t xml:space="preserve">As we discuss in Section </w:t>
      </w:r>
      <w:r w:rsidR="004D165C">
        <w:fldChar w:fldCharType="begin"/>
      </w:r>
      <w:r w:rsidR="004D165C">
        <w:instrText xml:space="preserve"> REF _ASICRef767 \w \h </w:instrText>
      </w:r>
      <w:r w:rsidR="004D165C">
        <w:fldChar w:fldCharType="separate"/>
      </w:r>
      <w:r w:rsidR="00314C7E">
        <w:t>H</w:t>
      </w:r>
      <w:r w:rsidR="004D165C">
        <w:fldChar w:fldCharType="end"/>
      </w:r>
      <w:r>
        <w:t xml:space="preserve">, the </w:t>
      </w:r>
      <w:r w:rsidR="00B931FC">
        <w:t xml:space="preserve">alternative reporting </w:t>
      </w:r>
      <w:r>
        <w:t xml:space="preserve">provisions under the ASIC Rules do not require a </w:t>
      </w:r>
      <w:r w:rsidR="00E21A19">
        <w:t xml:space="preserve">foreign </w:t>
      </w:r>
      <w:r w:rsidR="009E0748">
        <w:t>reporting entity</w:t>
      </w:r>
      <w:r>
        <w:t xml:space="preserve"> that makes use of the provisions </w:t>
      </w:r>
      <w:r w:rsidR="00B931FC">
        <w:t xml:space="preserve">to </w:t>
      </w:r>
      <w:r>
        <w:t>notify ASIC that it is doing so</w:t>
      </w:r>
      <w:r w:rsidR="00E21A19">
        <w:t xml:space="preserve">. The range of foreign </w:t>
      </w:r>
      <w:r w:rsidR="008A5B87">
        <w:t>reporting entit</w:t>
      </w:r>
      <w:r w:rsidR="00E21A19">
        <w:t>ies that may make us</w:t>
      </w:r>
      <w:r w:rsidR="00171207">
        <w:t>e</w:t>
      </w:r>
      <w:r w:rsidR="00E21A19">
        <w:t xml:space="preserve"> of the provisions is also wider than in the limited number of other jurisdictions where </w:t>
      </w:r>
      <w:r>
        <w:t>the</w:t>
      </w:r>
      <w:r w:rsidR="00E21A19">
        <w:t>re is a similar form of substituted compliance.</w:t>
      </w:r>
    </w:p>
    <w:p w14:paraId="148AE57C" w14:textId="52A8D80C" w:rsidR="00023C84" w:rsidRPr="00A829C7" w:rsidRDefault="00171207" w:rsidP="00023C84">
      <w:pPr>
        <w:pStyle w:val="BodyText"/>
        <w:rPr>
          <w:spacing w:val="-2"/>
        </w:rPr>
      </w:pPr>
      <w:r w:rsidRPr="00A829C7">
        <w:rPr>
          <w:spacing w:val="-2"/>
        </w:rPr>
        <w:t xml:space="preserve">Given that the use of </w:t>
      </w:r>
      <w:r w:rsidR="00B931FC" w:rsidRPr="00A829C7">
        <w:rPr>
          <w:spacing w:val="-2"/>
        </w:rPr>
        <w:t xml:space="preserve">alternative reporting </w:t>
      </w:r>
      <w:r w:rsidRPr="00A829C7">
        <w:rPr>
          <w:spacing w:val="-2"/>
        </w:rPr>
        <w:t xml:space="preserve">may </w:t>
      </w:r>
      <w:r w:rsidR="00877945" w:rsidRPr="00A829C7">
        <w:rPr>
          <w:spacing w:val="-2"/>
        </w:rPr>
        <w:t xml:space="preserve">be a significant factor in explaining any apparent </w:t>
      </w:r>
      <w:r w:rsidR="00B662E7" w:rsidRPr="00A829C7">
        <w:rPr>
          <w:spacing w:val="-2"/>
        </w:rPr>
        <w:t>non-reporting by foreign entities of transactions with Australian wholesale clients</w:t>
      </w:r>
      <w:r w:rsidR="00877945" w:rsidRPr="00A829C7">
        <w:rPr>
          <w:spacing w:val="-2"/>
        </w:rPr>
        <w:t>, w</w:t>
      </w:r>
      <w:r w:rsidR="00023C84" w:rsidRPr="00A829C7">
        <w:rPr>
          <w:spacing w:val="-2"/>
        </w:rPr>
        <w:t xml:space="preserve">e have not </w:t>
      </w:r>
      <w:r w:rsidR="00877945" w:rsidRPr="00A829C7">
        <w:rPr>
          <w:spacing w:val="-2"/>
        </w:rPr>
        <w:t xml:space="preserve">determined that there is a reporting problem that needs to be addressed. </w:t>
      </w:r>
      <w:r w:rsidR="00023C84" w:rsidRPr="00A829C7">
        <w:rPr>
          <w:spacing w:val="-2"/>
        </w:rPr>
        <w:t xml:space="preserve">We think that our approach to </w:t>
      </w:r>
      <w:r w:rsidR="00B662E7" w:rsidRPr="00A829C7">
        <w:rPr>
          <w:spacing w:val="-2"/>
        </w:rPr>
        <w:t xml:space="preserve">reviewing </w:t>
      </w:r>
      <w:r w:rsidR="00B931FC" w:rsidRPr="00A829C7">
        <w:rPr>
          <w:spacing w:val="-2"/>
        </w:rPr>
        <w:t xml:space="preserve">alternative reporting </w:t>
      </w:r>
      <w:r w:rsidR="00023C84" w:rsidRPr="00A829C7">
        <w:rPr>
          <w:spacing w:val="-2"/>
        </w:rPr>
        <w:t>will inform our further analysis</w:t>
      </w:r>
      <w:r w:rsidR="00B931FC" w:rsidRPr="00A829C7">
        <w:rPr>
          <w:spacing w:val="-2"/>
        </w:rPr>
        <w:t xml:space="preserve">: </w:t>
      </w:r>
      <w:r w:rsidR="00B662E7" w:rsidRPr="00A829C7">
        <w:rPr>
          <w:spacing w:val="-2"/>
        </w:rPr>
        <w:t xml:space="preserve">see Section </w:t>
      </w:r>
      <w:r w:rsidR="00B662E7" w:rsidRPr="00A829C7">
        <w:rPr>
          <w:spacing w:val="-2"/>
        </w:rPr>
        <w:fldChar w:fldCharType="begin"/>
      </w:r>
      <w:r w:rsidR="00B662E7" w:rsidRPr="00A829C7">
        <w:rPr>
          <w:spacing w:val="-2"/>
        </w:rPr>
        <w:instrText xml:space="preserve"> REF _ASICRef767 \w \h </w:instrText>
      </w:r>
      <w:r w:rsidR="00B931FC">
        <w:rPr>
          <w:spacing w:val="-2"/>
        </w:rPr>
        <w:instrText xml:space="preserve"> \* MERGEFORMAT </w:instrText>
      </w:r>
      <w:r w:rsidR="00B662E7" w:rsidRPr="00A829C7">
        <w:rPr>
          <w:spacing w:val="-2"/>
        </w:rPr>
      </w:r>
      <w:r w:rsidR="00B662E7" w:rsidRPr="00A829C7">
        <w:rPr>
          <w:spacing w:val="-2"/>
        </w:rPr>
        <w:fldChar w:fldCharType="separate"/>
      </w:r>
      <w:r w:rsidR="00314C7E">
        <w:rPr>
          <w:spacing w:val="-2"/>
        </w:rPr>
        <w:t>H</w:t>
      </w:r>
      <w:r w:rsidR="00B662E7" w:rsidRPr="00A829C7">
        <w:rPr>
          <w:spacing w:val="-2"/>
        </w:rPr>
        <w:fldChar w:fldCharType="end"/>
      </w:r>
      <w:r w:rsidR="00023C84" w:rsidRPr="00A829C7">
        <w:rPr>
          <w:spacing w:val="-2"/>
        </w:rPr>
        <w:t>.</w:t>
      </w:r>
    </w:p>
    <w:p w14:paraId="79E37130" w14:textId="77777777" w:rsidR="0039594F" w:rsidRDefault="0039594F" w:rsidP="0039594F">
      <w:pPr>
        <w:pStyle w:val="Proposalhead"/>
      </w:pPr>
      <w:r>
        <w:t>Proposal</w:t>
      </w:r>
    </w:p>
    <w:p w14:paraId="5DFE4649" w14:textId="77777777" w:rsidR="004D165C" w:rsidRDefault="004D165C" w:rsidP="004D165C">
      <w:pPr>
        <w:pStyle w:val="Proposaltext"/>
      </w:pPr>
      <w:r>
        <w:t>We propose to amend the ASIC Rules to:</w:t>
      </w:r>
    </w:p>
    <w:p w14:paraId="6668D71A" w14:textId="2985B2F8" w:rsidR="004D165C" w:rsidRDefault="004D165C" w:rsidP="004D165C">
      <w:pPr>
        <w:pStyle w:val="Proposalsubpara"/>
      </w:pPr>
      <w:r>
        <w:t xml:space="preserve">ensure that transactions with Australian retail clients are </w:t>
      </w:r>
      <w:r w:rsidR="00A65611">
        <w:t>reportable transact</w:t>
      </w:r>
      <w:r>
        <w:t>ions with specific rules text to be proposed in the second round of consultation; and</w:t>
      </w:r>
    </w:p>
    <w:p w14:paraId="7846514F" w14:textId="2F909687" w:rsidR="0039594F" w:rsidRPr="002120B1" w:rsidRDefault="004D165C" w:rsidP="004D165C">
      <w:pPr>
        <w:pStyle w:val="Proposalsubpara"/>
      </w:pPr>
      <w:r>
        <w:t>to clarify the scope of reporting for foreign subsidiaries of Australian entities with specific rules text to be proposed in the second round of consultation.</w:t>
      </w:r>
    </w:p>
    <w:p w14:paraId="3CAA3870" w14:textId="77777777" w:rsidR="0039594F" w:rsidRDefault="0039594F" w:rsidP="0039594F">
      <w:pPr>
        <w:pStyle w:val="Feedbackhead"/>
      </w:pPr>
      <w:r>
        <w:t>Your feedback</w:t>
      </w:r>
    </w:p>
    <w:p w14:paraId="7CC331CF" w14:textId="0E311032" w:rsidR="0039594F" w:rsidRDefault="004D165C" w:rsidP="00A436A9">
      <w:pPr>
        <w:pStyle w:val="Feedbackquestion"/>
      </w:pPr>
      <w:r>
        <w:t>Do you agree with th</w:t>
      </w:r>
      <w:r w:rsidR="00A436A9">
        <w:t>is</w:t>
      </w:r>
      <w:r>
        <w:t xml:space="preserve"> proposal? In your response, please give detailed reasons for your answer.</w:t>
      </w:r>
    </w:p>
    <w:p w14:paraId="2981552B" w14:textId="5BB613F6" w:rsidR="0039594F" w:rsidRDefault="0039594F" w:rsidP="0039594F">
      <w:pPr>
        <w:pStyle w:val="Heading1"/>
      </w:pPr>
      <w:bookmarkStart w:id="176" w:name="_Toc51080725"/>
      <w:bookmarkStart w:id="177" w:name="_ASICRef767"/>
      <w:bookmarkStart w:id="178" w:name="_Toc57146512"/>
      <w:bookmarkStart w:id="179" w:name="_Toc51080724"/>
      <w:r>
        <w:lastRenderedPageBreak/>
        <w:t xml:space="preserve">Alternative </w:t>
      </w:r>
      <w:r w:rsidR="00B931FC">
        <w:t xml:space="preserve">reporting </w:t>
      </w:r>
      <w:r>
        <w:t xml:space="preserve">and </w:t>
      </w:r>
      <w:r w:rsidR="00B931FC">
        <w:t xml:space="preserve">delegated </w:t>
      </w:r>
      <w:bookmarkEnd w:id="176"/>
      <w:bookmarkEnd w:id="177"/>
      <w:r w:rsidR="00B931FC">
        <w:t>reporting</w:t>
      </w:r>
      <w:bookmarkEnd w:id="178"/>
    </w:p>
    <w:p w14:paraId="61AD0EA3" w14:textId="77777777" w:rsidR="0039594F" w:rsidRDefault="0039594F" w:rsidP="0039594F">
      <w:pPr>
        <w:pStyle w:val="KPhead"/>
      </w:pPr>
      <w:r>
        <w:t>Key points</w:t>
      </w:r>
    </w:p>
    <w:p w14:paraId="47177003" w14:textId="3397AC3A" w:rsidR="0039594F" w:rsidRDefault="00A754C7" w:rsidP="003A1134">
      <w:pPr>
        <w:pStyle w:val="KPtext"/>
        <w:spacing w:before="140" w:line="246" w:lineRule="atLeast"/>
      </w:pPr>
      <w:r>
        <w:t xml:space="preserve">We observe shortcomings in the operation of both the </w:t>
      </w:r>
      <w:r w:rsidR="0037421E">
        <w:t xml:space="preserve">alternative reporting </w:t>
      </w:r>
      <w:r>
        <w:t xml:space="preserve">and </w:t>
      </w:r>
      <w:r w:rsidR="0037421E">
        <w:t xml:space="preserve">delegated reporting </w:t>
      </w:r>
      <w:r>
        <w:t>frameworks.</w:t>
      </w:r>
    </w:p>
    <w:p w14:paraId="6930F309" w14:textId="493AD091" w:rsidR="0039594F" w:rsidRDefault="009062B0" w:rsidP="003A1134">
      <w:pPr>
        <w:pStyle w:val="KPtext"/>
        <w:spacing w:before="140" w:line="246" w:lineRule="atLeast"/>
      </w:pPr>
      <w:r>
        <w:t xml:space="preserve">Before </w:t>
      </w:r>
      <w:r w:rsidR="00A754C7">
        <w:t xml:space="preserve">forming specific proposals for </w:t>
      </w:r>
      <w:r w:rsidR="00E30A53">
        <w:t>the</w:t>
      </w:r>
      <w:r w:rsidR="00A754C7">
        <w:t xml:space="preserve"> second </w:t>
      </w:r>
      <w:r w:rsidR="00E30A53">
        <w:t xml:space="preserve">round of </w:t>
      </w:r>
      <w:r w:rsidR="00A754C7">
        <w:t xml:space="preserve">consultation, we seek to gather industry feedback about the scope of </w:t>
      </w:r>
      <w:r w:rsidR="008A5B87">
        <w:t>reporting entit</w:t>
      </w:r>
      <w:r w:rsidR="00A754C7">
        <w:t xml:space="preserve">ies using these provisions and existing industry </w:t>
      </w:r>
      <w:r>
        <w:t>practices</w:t>
      </w:r>
      <w:r w:rsidRPr="00A754C7">
        <w:t xml:space="preserve"> </w:t>
      </w:r>
      <w:r w:rsidR="00A754C7">
        <w:t xml:space="preserve">in relation to </w:t>
      </w:r>
      <w:r w:rsidR="0037421E">
        <w:t xml:space="preserve">alternative reporting </w:t>
      </w:r>
      <w:r w:rsidR="00A754C7">
        <w:t xml:space="preserve">and </w:t>
      </w:r>
      <w:r w:rsidR="0037421E">
        <w:t>delegated reporting</w:t>
      </w:r>
      <w:r w:rsidR="00A754C7">
        <w:t xml:space="preserve">. </w:t>
      </w:r>
    </w:p>
    <w:p w14:paraId="57746C3F" w14:textId="70603931" w:rsidR="0039594F" w:rsidRDefault="0039594F" w:rsidP="0039594F">
      <w:pPr>
        <w:pStyle w:val="Heading2"/>
      </w:pPr>
      <w:bookmarkStart w:id="180" w:name="_Toc57146513"/>
      <w:r>
        <w:t xml:space="preserve">Alternative </w:t>
      </w:r>
      <w:r w:rsidR="0037421E">
        <w:t>reporting</w:t>
      </w:r>
      <w:bookmarkEnd w:id="180"/>
    </w:p>
    <w:p w14:paraId="031561D5" w14:textId="0F1146B8" w:rsidR="00E9088A" w:rsidRPr="003A1134" w:rsidRDefault="009062B0" w:rsidP="003A1134">
      <w:pPr>
        <w:pStyle w:val="BodyText"/>
        <w:spacing w:before="180" w:line="286" w:lineRule="atLeast"/>
        <w:rPr>
          <w:spacing w:val="-2"/>
        </w:rPr>
      </w:pPr>
      <w:r w:rsidRPr="003A1134">
        <w:rPr>
          <w:spacing w:val="-2"/>
        </w:rPr>
        <w:t xml:space="preserve">Rule </w:t>
      </w:r>
      <w:r w:rsidR="00E9088A" w:rsidRPr="003A1134">
        <w:rPr>
          <w:spacing w:val="-2"/>
        </w:rPr>
        <w:t xml:space="preserve">2.2.1(3) </w:t>
      </w:r>
      <w:r w:rsidRPr="003A1134">
        <w:rPr>
          <w:spacing w:val="-2"/>
        </w:rPr>
        <w:t xml:space="preserve">of the ASIC Rules </w:t>
      </w:r>
      <w:r w:rsidR="00E9088A" w:rsidRPr="003A1134">
        <w:rPr>
          <w:spacing w:val="-2"/>
        </w:rPr>
        <w:t xml:space="preserve">provides a form of substituted compliance for foreign </w:t>
      </w:r>
      <w:r w:rsidR="008A5B87" w:rsidRPr="003A1134">
        <w:rPr>
          <w:spacing w:val="-2"/>
        </w:rPr>
        <w:t>reporting entit</w:t>
      </w:r>
      <w:r w:rsidR="00E9088A" w:rsidRPr="003A1134">
        <w:rPr>
          <w:spacing w:val="-2"/>
        </w:rPr>
        <w:t xml:space="preserve">ies by taking their reporting under a foreign jurisdiction’s substantially equivalent reporting requirements </w:t>
      </w:r>
      <w:r w:rsidR="000858BA" w:rsidRPr="003A1134">
        <w:rPr>
          <w:spacing w:val="-2"/>
        </w:rPr>
        <w:t>(</w:t>
      </w:r>
      <w:r w:rsidR="0037421E" w:rsidRPr="003A1134">
        <w:rPr>
          <w:spacing w:val="-2"/>
        </w:rPr>
        <w:t>alternative reporting</w:t>
      </w:r>
      <w:r w:rsidR="000858BA" w:rsidRPr="003A1134">
        <w:rPr>
          <w:spacing w:val="-2"/>
        </w:rPr>
        <w:t xml:space="preserve"> </w:t>
      </w:r>
      <w:r w:rsidR="004A6BAB" w:rsidRPr="003A1134">
        <w:rPr>
          <w:spacing w:val="-2"/>
        </w:rPr>
        <w:t>requirements</w:t>
      </w:r>
      <w:r w:rsidR="000858BA" w:rsidRPr="003A1134">
        <w:rPr>
          <w:spacing w:val="-2"/>
        </w:rPr>
        <w:t xml:space="preserve">) </w:t>
      </w:r>
      <w:r w:rsidR="00E9088A" w:rsidRPr="003A1134">
        <w:rPr>
          <w:spacing w:val="-2"/>
        </w:rPr>
        <w:t xml:space="preserve">as satisfying their ASIC Rules </w:t>
      </w:r>
      <w:r w:rsidR="004A6BAB" w:rsidRPr="003A1134">
        <w:rPr>
          <w:spacing w:val="-2"/>
        </w:rPr>
        <w:t>reporting requirements</w:t>
      </w:r>
      <w:r w:rsidR="00E9088A" w:rsidRPr="003A1134">
        <w:rPr>
          <w:spacing w:val="-2"/>
        </w:rPr>
        <w:t xml:space="preserve">. The transaction reporting must be to an ASIC </w:t>
      </w:r>
      <w:r w:rsidR="00CF17E0" w:rsidRPr="003A1134">
        <w:rPr>
          <w:spacing w:val="-2"/>
        </w:rPr>
        <w:t xml:space="preserve">prescribed repository </w:t>
      </w:r>
      <w:r w:rsidR="00E9088A" w:rsidRPr="003A1134">
        <w:rPr>
          <w:spacing w:val="-2"/>
        </w:rPr>
        <w:t>and be ‘</w:t>
      </w:r>
      <w:bookmarkStart w:id="181" w:name="_Hlk54124183"/>
      <w:r w:rsidR="00E9088A" w:rsidRPr="003A1134">
        <w:rPr>
          <w:spacing w:val="-2"/>
        </w:rPr>
        <w:t>designated’ as information that has been reported under the ASIC</w:t>
      </w:r>
      <w:r w:rsidR="000858BA" w:rsidRPr="003A1134">
        <w:rPr>
          <w:spacing w:val="-2"/>
        </w:rPr>
        <w:t xml:space="preserve"> Rules</w:t>
      </w:r>
      <w:bookmarkEnd w:id="181"/>
      <w:r w:rsidR="00E9088A" w:rsidRPr="003A1134">
        <w:rPr>
          <w:spacing w:val="-2"/>
        </w:rPr>
        <w:t>.</w:t>
      </w:r>
    </w:p>
    <w:p w14:paraId="742810D5" w14:textId="7D97952C" w:rsidR="00E9088A" w:rsidRDefault="00E9088A" w:rsidP="003A1134">
      <w:pPr>
        <w:pStyle w:val="BodyText"/>
        <w:spacing w:before="180" w:line="286" w:lineRule="atLeast"/>
      </w:pPr>
      <w:r>
        <w:t xml:space="preserve">Alternative reporting can also be used under the ‘single-sided’ exemption in </w:t>
      </w:r>
      <w:r w:rsidR="004A6BAB">
        <w:t xml:space="preserve">regs </w:t>
      </w:r>
      <w:r>
        <w:t>5A.71</w:t>
      </w:r>
      <w:r w:rsidR="004A6BAB">
        <w:t>–</w:t>
      </w:r>
      <w:r>
        <w:t xml:space="preserve">7.5A.74 </w:t>
      </w:r>
      <w:r w:rsidR="004A6BAB">
        <w:t xml:space="preserve">of the Corporations Regulations </w:t>
      </w:r>
      <w:r>
        <w:t xml:space="preserve">as the means of reporting by the other party </w:t>
      </w:r>
      <w:r w:rsidR="009E0748">
        <w:t>reporting entity</w:t>
      </w:r>
      <w:r w:rsidR="000858BA">
        <w:t xml:space="preserve"> in satisfaction of one of the conditions of the </w:t>
      </w:r>
      <w:r>
        <w:t>exemption</w:t>
      </w:r>
      <w:r w:rsidR="000858BA">
        <w:t>.</w:t>
      </w:r>
    </w:p>
    <w:p w14:paraId="108AB13D" w14:textId="07AAD080" w:rsidR="00E9088A" w:rsidRDefault="00E9088A" w:rsidP="00E9088A">
      <w:pPr>
        <w:pStyle w:val="Heading3"/>
      </w:pPr>
      <w:r>
        <w:t xml:space="preserve">ASIC’s concerns with </w:t>
      </w:r>
      <w:r w:rsidR="0037421E">
        <w:t>alternative reporting</w:t>
      </w:r>
    </w:p>
    <w:p w14:paraId="6656DA47" w14:textId="3F0D7FFD" w:rsidR="00E9088A" w:rsidRDefault="000858BA" w:rsidP="003A1134">
      <w:pPr>
        <w:pStyle w:val="BodyText"/>
        <w:spacing w:before="180" w:line="286" w:lineRule="atLeast"/>
      </w:pPr>
      <w:r>
        <w:t xml:space="preserve">We have a number of concerns with the operation of </w:t>
      </w:r>
      <w:r w:rsidR="0037421E">
        <w:t>alternative reporting</w:t>
      </w:r>
      <w:r>
        <w:t>.</w:t>
      </w:r>
    </w:p>
    <w:p w14:paraId="2D00D4F3" w14:textId="7120F0F4" w:rsidR="00E9088A" w:rsidRDefault="00E9088A" w:rsidP="003A1134">
      <w:pPr>
        <w:pStyle w:val="BodyText"/>
        <w:spacing w:before="180" w:line="286" w:lineRule="atLeast"/>
      </w:pPr>
      <w:r>
        <w:t xml:space="preserve">There is no requirement to notify ASIC that </w:t>
      </w:r>
      <w:r w:rsidR="000858BA">
        <w:t xml:space="preserve">a </w:t>
      </w:r>
      <w:r w:rsidR="009E0748">
        <w:t>reporting entity</w:t>
      </w:r>
      <w:r w:rsidR="000858BA">
        <w:t xml:space="preserve"> </w:t>
      </w:r>
      <w:r>
        <w:t xml:space="preserve">is using </w:t>
      </w:r>
      <w:r w:rsidR="0037421E">
        <w:t>alternative reporting</w:t>
      </w:r>
      <w:r w:rsidR="00193DFB">
        <w:t>—</w:t>
      </w:r>
      <w:r>
        <w:t xml:space="preserve">we are aware of entities that do so but only because of </w:t>
      </w:r>
      <w:r w:rsidR="009572D3">
        <w:t xml:space="preserve">inquiries </w:t>
      </w:r>
      <w:r>
        <w:t>they have made to ASIC about the provision</w:t>
      </w:r>
      <w:r w:rsidR="000858BA">
        <w:t>.</w:t>
      </w:r>
    </w:p>
    <w:p w14:paraId="13F64220" w14:textId="63F53D46" w:rsidR="00E9088A" w:rsidRDefault="00E9088A" w:rsidP="003A1134">
      <w:pPr>
        <w:pStyle w:val="BodyText"/>
        <w:spacing w:before="180" w:line="286" w:lineRule="atLeast"/>
      </w:pPr>
      <w:r>
        <w:t xml:space="preserve">The ‘designation’ was intended to be a designation to the relevant </w:t>
      </w:r>
      <w:r w:rsidR="00787D98">
        <w:rPr>
          <w:rFonts w:eastAsiaTheme="minorHAnsi"/>
        </w:rPr>
        <w:t>trade repository</w:t>
      </w:r>
      <w:r w:rsidR="00787D98">
        <w:t xml:space="preserve"> </w:t>
      </w:r>
      <w:r>
        <w:t>of tra</w:t>
      </w:r>
      <w:r w:rsidR="000858BA">
        <w:t xml:space="preserve">nsaction </w:t>
      </w:r>
      <w:r>
        <w:t>reporting that is also for ASIC Rules</w:t>
      </w:r>
      <w:r w:rsidR="00193DFB">
        <w:t>—</w:t>
      </w:r>
      <w:r>
        <w:t xml:space="preserve">however, none of the </w:t>
      </w:r>
      <w:r w:rsidR="00CF17E0">
        <w:t xml:space="preserve">prescribed repositories </w:t>
      </w:r>
      <w:r>
        <w:t xml:space="preserve">with whom we have </w:t>
      </w:r>
      <w:r w:rsidR="000858BA">
        <w:t xml:space="preserve">engaged </w:t>
      </w:r>
      <w:r>
        <w:t>are technically able to identify tra</w:t>
      </w:r>
      <w:r w:rsidR="000858BA">
        <w:t>nsaction</w:t>
      </w:r>
      <w:r>
        <w:t xml:space="preserve"> reports as being in substituted compliance for the ASIC Rules</w:t>
      </w:r>
      <w:r w:rsidR="000858BA">
        <w:t>.</w:t>
      </w:r>
    </w:p>
    <w:p w14:paraId="695382EA" w14:textId="48CC228E" w:rsidR="00E9088A" w:rsidRDefault="00B46602" w:rsidP="003A1134">
      <w:pPr>
        <w:pStyle w:val="BodyText"/>
        <w:spacing w:before="180" w:line="286" w:lineRule="atLeast"/>
      </w:pPr>
      <w:r>
        <w:t xml:space="preserve">Where a </w:t>
      </w:r>
      <w:r w:rsidR="00A65611">
        <w:t>licen</w:t>
      </w:r>
      <w:r w:rsidR="000858BA">
        <w:t xml:space="preserve">sed </w:t>
      </w:r>
      <w:r w:rsidR="00CF17E0">
        <w:t xml:space="preserve">repository </w:t>
      </w:r>
      <w:r>
        <w:t xml:space="preserve">is also a </w:t>
      </w:r>
      <w:r w:rsidR="00CF17E0">
        <w:t>prescribed repository</w:t>
      </w:r>
      <w:r>
        <w:t xml:space="preserve">, the </w:t>
      </w:r>
      <w:r w:rsidR="00787D98">
        <w:rPr>
          <w:rFonts w:eastAsiaTheme="minorHAnsi"/>
        </w:rPr>
        <w:t>trade repository</w:t>
      </w:r>
      <w:r>
        <w:t xml:space="preserve"> can be constrained in </w:t>
      </w:r>
      <w:r w:rsidR="00E9088A">
        <w:t>implement</w:t>
      </w:r>
      <w:r>
        <w:t>ing</w:t>
      </w:r>
      <w:r w:rsidR="00E9088A">
        <w:t xml:space="preserve"> </w:t>
      </w:r>
      <w:r w:rsidR="002F5E28">
        <w:t xml:space="preserve">data </w:t>
      </w:r>
      <w:r w:rsidR="001156A2">
        <w:t>element</w:t>
      </w:r>
      <w:r w:rsidR="00E9088A">
        <w:t xml:space="preserve"> validations and completeness requirements for </w:t>
      </w:r>
      <w:r>
        <w:t xml:space="preserve">ASIC </w:t>
      </w:r>
      <w:r w:rsidR="002F5E28">
        <w:t xml:space="preserve">data </w:t>
      </w:r>
      <w:r w:rsidR="001156A2">
        <w:t>element</w:t>
      </w:r>
      <w:r w:rsidR="00E9088A">
        <w:t xml:space="preserve">s that are not present in, or require different value types to, another jurisdiction’s </w:t>
      </w:r>
      <w:r w:rsidR="002F5E28">
        <w:t xml:space="preserve">data </w:t>
      </w:r>
      <w:r w:rsidR="001156A2">
        <w:t>element</w:t>
      </w:r>
      <w:r w:rsidR="00E9088A">
        <w:t xml:space="preserve"> set given the possibility that a </w:t>
      </w:r>
      <w:r w:rsidR="009E0748">
        <w:t>reporting entity</w:t>
      </w:r>
      <w:r w:rsidR="00E9088A">
        <w:t xml:space="preserve"> is using </w:t>
      </w:r>
      <w:r w:rsidR="0037421E">
        <w:t>alternative reporting</w:t>
      </w:r>
      <w:r>
        <w:t xml:space="preserve">. This means that the transaction reporting that is not </w:t>
      </w:r>
      <w:r w:rsidR="0037421E">
        <w:t>alternative reporting</w:t>
      </w:r>
      <w:r>
        <w:t xml:space="preserve"> would not be subject to relevant validation against the ASIC Rules requirements.</w:t>
      </w:r>
    </w:p>
    <w:p w14:paraId="680DB6CA" w14:textId="766F60CF" w:rsidR="00FF1581" w:rsidRDefault="00FF1581" w:rsidP="00136CC5">
      <w:pPr>
        <w:pStyle w:val="BodyText"/>
        <w:spacing w:before="180" w:line="290" w:lineRule="atLeast"/>
      </w:pPr>
      <w:r>
        <w:lastRenderedPageBreak/>
        <w:t xml:space="preserve">In order to receive </w:t>
      </w:r>
      <w:r w:rsidR="0037421E">
        <w:t>alternative reporting</w:t>
      </w:r>
      <w:r>
        <w:t xml:space="preserve"> transaction reports, ASIC needs to connect to those </w:t>
      </w:r>
      <w:r w:rsidR="00CF17E0">
        <w:t xml:space="preserve">prescribed repositories </w:t>
      </w:r>
      <w:r>
        <w:t xml:space="preserve">to whom such reports are being made. However, in the absence of a notification requirement to ASIC and an effective ‘designation’ to the </w:t>
      </w:r>
      <w:r w:rsidR="00CF17E0">
        <w:t>prescribed repository</w:t>
      </w:r>
      <w:r>
        <w:t xml:space="preserve">, ASIC is not readily able to identify the </w:t>
      </w:r>
      <w:r w:rsidR="00CF17E0">
        <w:t xml:space="preserve">prescribed repositories </w:t>
      </w:r>
      <w:r>
        <w:t>to whom we need to connect.</w:t>
      </w:r>
    </w:p>
    <w:p w14:paraId="6F9A560C" w14:textId="6DE7B9D3" w:rsidR="006B7F0F" w:rsidRDefault="006B7F0F" w:rsidP="00136CC5">
      <w:pPr>
        <w:pStyle w:val="BodyText"/>
        <w:spacing w:before="180" w:line="290" w:lineRule="atLeast"/>
      </w:pPr>
      <w:r>
        <w:t xml:space="preserve">Notwithstanding the approaches of jurisdictions to adopt the CDE </w:t>
      </w:r>
      <w:r w:rsidR="002F5E28">
        <w:t xml:space="preserve">data </w:t>
      </w:r>
      <w:r w:rsidR="001156A2">
        <w:t>element</w:t>
      </w:r>
      <w:r>
        <w:t xml:space="preserve">s as core </w:t>
      </w:r>
      <w:r w:rsidR="001156A2">
        <w:t>element</w:t>
      </w:r>
      <w:r>
        <w:t xml:space="preserve">s within the transaction reporting requirements, it appears likely that material differences will persist in their data </w:t>
      </w:r>
      <w:r w:rsidR="001156A2">
        <w:t>element</w:t>
      </w:r>
      <w:r>
        <w:t xml:space="preserve"> requirements. This means that the wider the use of </w:t>
      </w:r>
      <w:r w:rsidR="0037421E">
        <w:t>alternative reporting</w:t>
      </w:r>
      <w:r>
        <w:t>, the more we need to handle multiple and disparate datasets</w:t>
      </w:r>
      <w:r w:rsidR="00670559">
        <w:t>,</w:t>
      </w:r>
      <w:r>
        <w:t xml:space="preserve"> which makes it more difficult and inefficient to consolidate information for our regulatory purposes.</w:t>
      </w:r>
    </w:p>
    <w:p w14:paraId="64050986" w14:textId="1375E551" w:rsidR="009401B0" w:rsidRDefault="009401B0" w:rsidP="00136CC5">
      <w:pPr>
        <w:pStyle w:val="BodyText"/>
        <w:spacing w:before="180" w:line="290" w:lineRule="atLeast"/>
      </w:pPr>
      <w:r>
        <w:t xml:space="preserve">Alternative </w:t>
      </w:r>
      <w:r w:rsidR="00670559">
        <w:t xml:space="preserve">reporting </w:t>
      </w:r>
      <w:r>
        <w:t xml:space="preserve">is </w:t>
      </w:r>
      <w:r w:rsidR="00A37F1D">
        <w:t xml:space="preserve">also a </w:t>
      </w:r>
      <w:r>
        <w:t>provision in overseas jurisdictions</w:t>
      </w:r>
      <w:r w:rsidR="00A37F1D">
        <w:t xml:space="preserve">, but </w:t>
      </w:r>
      <w:r w:rsidR="00670559">
        <w:t xml:space="preserve">it </w:t>
      </w:r>
      <w:r w:rsidR="00A37F1D">
        <w:t>is generally not as widely applicable as under the ASIC Rules</w:t>
      </w:r>
      <w:r>
        <w:t>.</w:t>
      </w:r>
      <w:r w:rsidR="006F3434">
        <w:t xml:space="preserve"> It is our understanding that:</w:t>
      </w:r>
    </w:p>
    <w:p w14:paraId="743179C5" w14:textId="6E8EA97C" w:rsidR="009401B0" w:rsidRDefault="006F3434" w:rsidP="00136CC5">
      <w:pPr>
        <w:pStyle w:val="subparaa"/>
        <w:spacing w:before="80" w:line="290" w:lineRule="atLeast"/>
      </w:pPr>
      <w:r>
        <w:t>i</w:t>
      </w:r>
      <w:r w:rsidR="009401B0">
        <w:t xml:space="preserve">n the </w:t>
      </w:r>
      <w:r w:rsidR="00670559">
        <w:t>European Union</w:t>
      </w:r>
      <w:r w:rsidR="009401B0">
        <w:t xml:space="preserve">, since June 2020, a form of </w:t>
      </w:r>
      <w:r w:rsidR="0037421E">
        <w:t>alternative reporting</w:t>
      </w:r>
      <w:r w:rsidR="009401B0">
        <w:t xml:space="preserve"> has been available but only for non-financial counterparties below the clearing threshold in transactions with non-EU counterparties, who would be financial counterparties if formed in the </w:t>
      </w:r>
      <w:r w:rsidR="00670559">
        <w:t>European Union</w:t>
      </w:r>
      <w:r w:rsidR="009401B0">
        <w:t xml:space="preserve">, and who report to a </w:t>
      </w:r>
      <w:r w:rsidR="00787D98">
        <w:t>trade repository</w:t>
      </w:r>
      <w:r w:rsidR="009401B0">
        <w:t xml:space="preserve"> </w:t>
      </w:r>
      <w:r w:rsidR="009401B0" w:rsidRPr="009401B0">
        <w:t xml:space="preserve">in </w:t>
      </w:r>
      <w:r w:rsidR="009401B0">
        <w:t xml:space="preserve">an </w:t>
      </w:r>
      <w:r w:rsidR="009401B0" w:rsidRPr="009401B0">
        <w:t xml:space="preserve">equivalent regime </w:t>
      </w:r>
      <w:r w:rsidR="009401B0">
        <w:t xml:space="preserve">where the </w:t>
      </w:r>
      <w:r w:rsidR="00787D98">
        <w:t>trade repository</w:t>
      </w:r>
      <w:r w:rsidR="009401B0" w:rsidRPr="009401B0">
        <w:t xml:space="preserve"> </w:t>
      </w:r>
      <w:r w:rsidR="009401B0">
        <w:t xml:space="preserve">is </w:t>
      </w:r>
      <w:r w:rsidR="009401B0" w:rsidRPr="009401B0">
        <w:t xml:space="preserve">obliged to give data access to </w:t>
      </w:r>
      <w:r w:rsidR="009401B0">
        <w:t>EU regulators;</w:t>
      </w:r>
    </w:p>
    <w:p w14:paraId="43D23B2D" w14:textId="2C2AA273" w:rsidR="00E9088A" w:rsidRDefault="006F3434" w:rsidP="00136CC5">
      <w:pPr>
        <w:pStyle w:val="subparaa"/>
        <w:spacing w:before="80" w:line="290" w:lineRule="atLeast"/>
      </w:pPr>
      <w:r>
        <w:t>i</w:t>
      </w:r>
      <w:r w:rsidR="009401B0">
        <w:t xml:space="preserve">n the </w:t>
      </w:r>
      <w:r w:rsidR="00670559">
        <w:t>United States</w:t>
      </w:r>
      <w:r w:rsidR="009401B0">
        <w:t xml:space="preserve">, </w:t>
      </w:r>
      <w:r w:rsidR="00A37F1D">
        <w:t xml:space="preserve">under CFTC </w:t>
      </w:r>
      <w:r w:rsidR="0064403F">
        <w:t>r</w:t>
      </w:r>
      <w:r w:rsidR="00A37F1D">
        <w:t>ules, substituted compliance for the entity-level requirement of swap data repository reporting is not available for transactions involving US persons but is available for transactions between non-US persons</w:t>
      </w:r>
      <w:r w:rsidR="00CB4D8C">
        <w:t>;</w:t>
      </w:r>
    </w:p>
    <w:p w14:paraId="758ACECD" w14:textId="7AA6E8DF" w:rsidR="00CB4D8C" w:rsidRDefault="006F3434" w:rsidP="00136CC5">
      <w:pPr>
        <w:pStyle w:val="subparaa"/>
        <w:spacing w:before="80" w:line="290" w:lineRule="atLeast"/>
      </w:pPr>
      <w:r>
        <w:t>i</w:t>
      </w:r>
      <w:r w:rsidR="00CB4D8C">
        <w:t xml:space="preserve">n Singapore and Hong Kong, </w:t>
      </w:r>
      <w:r w:rsidR="0037421E">
        <w:t>alternative reporting</w:t>
      </w:r>
      <w:r w:rsidR="00CB4D8C">
        <w:t xml:space="preserve"> is not available.</w:t>
      </w:r>
    </w:p>
    <w:p w14:paraId="72EEDE35" w14:textId="619A3351" w:rsidR="006B7F0F" w:rsidRDefault="006B7F0F" w:rsidP="006B7F0F">
      <w:pPr>
        <w:pStyle w:val="Heading3"/>
      </w:pPr>
      <w:r>
        <w:t xml:space="preserve">Approaches to addressing </w:t>
      </w:r>
      <w:r w:rsidR="00A13BA9">
        <w:t>our</w:t>
      </w:r>
      <w:r>
        <w:t xml:space="preserve"> concerns</w:t>
      </w:r>
    </w:p>
    <w:p w14:paraId="553A43A7" w14:textId="7D16B1E7" w:rsidR="003049C1" w:rsidRDefault="003049C1" w:rsidP="00136CC5">
      <w:pPr>
        <w:pStyle w:val="BodyText"/>
        <w:spacing w:before="180" w:line="290" w:lineRule="atLeast"/>
      </w:pPr>
      <w:r>
        <w:t xml:space="preserve">We </w:t>
      </w:r>
      <w:r w:rsidR="009C1E8B">
        <w:t>consider</w:t>
      </w:r>
      <w:r>
        <w:t xml:space="preserve"> the approaches we can take to address our concerns with </w:t>
      </w:r>
      <w:r w:rsidR="0037421E">
        <w:t>alternative reporting</w:t>
      </w:r>
      <w:r>
        <w:t xml:space="preserve"> include:</w:t>
      </w:r>
    </w:p>
    <w:p w14:paraId="4FB5B503" w14:textId="2B3DA96D" w:rsidR="003049C1" w:rsidRDefault="003049C1" w:rsidP="00136CC5">
      <w:pPr>
        <w:pStyle w:val="subparaa"/>
        <w:spacing w:before="80" w:line="290" w:lineRule="atLeast"/>
      </w:pPr>
      <w:r>
        <w:t xml:space="preserve">removing the </w:t>
      </w:r>
      <w:r w:rsidR="0037421E">
        <w:t>alternative reporting</w:t>
      </w:r>
      <w:r>
        <w:t xml:space="preserve"> provisions in the ASIC Rules, with or without grandfathering the existing use of </w:t>
      </w:r>
      <w:r w:rsidR="0037421E">
        <w:t>alternative reporting</w:t>
      </w:r>
      <w:r>
        <w:t>;</w:t>
      </w:r>
    </w:p>
    <w:p w14:paraId="53E5F3AB" w14:textId="5A2DFADE" w:rsidR="00E9088A" w:rsidRDefault="003049C1" w:rsidP="00136CC5">
      <w:pPr>
        <w:pStyle w:val="subparaa"/>
        <w:spacing w:before="80" w:line="290" w:lineRule="atLeast"/>
      </w:pPr>
      <w:r>
        <w:t>retain</w:t>
      </w:r>
      <w:r w:rsidR="006966F4">
        <w:t>ing</w:t>
      </w:r>
      <w:r>
        <w:t xml:space="preserve"> the </w:t>
      </w:r>
      <w:r w:rsidR="0037421E">
        <w:t>alternative reporting</w:t>
      </w:r>
      <w:r>
        <w:t xml:space="preserve"> provisions in the ASIC Rules but requir</w:t>
      </w:r>
      <w:r w:rsidR="006966F4">
        <w:t>ing</w:t>
      </w:r>
      <w:r>
        <w:t xml:space="preserve"> that</w:t>
      </w:r>
      <w:r w:rsidR="006966F4">
        <w:t xml:space="preserve"> reporting entities</w:t>
      </w:r>
      <w:r w:rsidR="00E9088A">
        <w:t>:</w:t>
      </w:r>
    </w:p>
    <w:p w14:paraId="7479A613" w14:textId="59C1FF5E" w:rsidR="003049C1" w:rsidRDefault="003049C1" w:rsidP="00136CC5">
      <w:pPr>
        <w:pStyle w:val="subsubparai"/>
        <w:spacing w:before="80" w:line="290" w:lineRule="atLeast"/>
      </w:pPr>
      <w:r>
        <w:t xml:space="preserve">notify ASIC of the intention to commence </w:t>
      </w:r>
      <w:r w:rsidR="0037421E">
        <w:t>alternative reporting</w:t>
      </w:r>
      <w:r>
        <w:t>; and</w:t>
      </w:r>
    </w:p>
    <w:p w14:paraId="4115ACD9" w14:textId="7208E02C" w:rsidR="003049C1" w:rsidRDefault="006966F4" w:rsidP="00136CC5">
      <w:pPr>
        <w:pStyle w:val="subsubparai"/>
        <w:spacing w:before="80" w:line="290" w:lineRule="atLeast"/>
      </w:pPr>
      <w:r>
        <w:t xml:space="preserve">do </w:t>
      </w:r>
      <w:r w:rsidR="003049C1">
        <w:t xml:space="preserve">not commence </w:t>
      </w:r>
      <w:r w:rsidR="0037421E">
        <w:t>alternative reporting</w:t>
      </w:r>
      <w:r w:rsidR="003049C1">
        <w:t xml:space="preserve"> until ASIC has made arrangements to connect to the relevant </w:t>
      </w:r>
      <w:r w:rsidR="00787D98">
        <w:t>trade repository</w:t>
      </w:r>
      <w:r w:rsidR="003049C1">
        <w:t xml:space="preserve"> for the purposes of accessing and receiving the relevant transaction reports;</w:t>
      </w:r>
    </w:p>
    <w:p w14:paraId="112F4C22" w14:textId="35DDD0F3" w:rsidR="003049C1" w:rsidRDefault="003049C1" w:rsidP="00136CC5">
      <w:pPr>
        <w:pStyle w:val="subparaa"/>
        <w:spacing w:before="80" w:line="290" w:lineRule="atLeast"/>
      </w:pPr>
      <w:r>
        <w:t xml:space="preserve">reducing the diversity of </w:t>
      </w:r>
      <w:r w:rsidR="00CF17E0">
        <w:t>prescribed trade repositories</w:t>
      </w:r>
      <w:r>
        <w:t xml:space="preserve">, including ceasing to prescribe </w:t>
      </w:r>
      <w:r w:rsidR="00A65611">
        <w:t>licen</w:t>
      </w:r>
      <w:r>
        <w:t xml:space="preserve">sed </w:t>
      </w:r>
      <w:r w:rsidR="00CF17E0">
        <w:t>trade repositories</w:t>
      </w:r>
      <w:r w:rsidR="006F3434">
        <w:t>.</w:t>
      </w:r>
    </w:p>
    <w:p w14:paraId="45D4155D" w14:textId="4F3D6F57" w:rsidR="0039594F" w:rsidRDefault="006F3434" w:rsidP="003A1134">
      <w:pPr>
        <w:pStyle w:val="BodyText"/>
        <w:spacing w:line="290" w:lineRule="atLeast"/>
      </w:pPr>
      <w:r>
        <w:lastRenderedPageBreak/>
        <w:t xml:space="preserve">However, in the absence of a notification requirement of the use of </w:t>
      </w:r>
      <w:r w:rsidR="0037421E">
        <w:t>alternative reporting</w:t>
      </w:r>
      <w:r>
        <w:t>, we currently have insufficient information to enable us to properly evaluate our current concerns and consider what, if any, approaches we may propose to address those concerns.</w:t>
      </w:r>
    </w:p>
    <w:p w14:paraId="2093A085" w14:textId="77777777" w:rsidR="00674F94" w:rsidRDefault="00674F94" w:rsidP="00674F94">
      <w:pPr>
        <w:pStyle w:val="Proposalhead"/>
      </w:pPr>
      <w:r>
        <w:t>Proposal</w:t>
      </w:r>
    </w:p>
    <w:p w14:paraId="28C40DBC" w14:textId="1B3158F4" w:rsidR="006E324D" w:rsidRPr="006E324D" w:rsidRDefault="00674F94" w:rsidP="003A1134">
      <w:pPr>
        <w:pStyle w:val="Proposaltext"/>
        <w:spacing w:line="250" w:lineRule="atLeast"/>
      </w:pPr>
      <w:r>
        <w:t xml:space="preserve">In </w:t>
      </w:r>
      <w:r w:rsidR="006E324D">
        <w:t xml:space="preserve">this first consultation we </w:t>
      </w:r>
      <w:r w:rsidR="006E324D" w:rsidRPr="006A2A4B">
        <w:t>seek to gather information about the</w:t>
      </w:r>
      <w:r w:rsidR="006E324D">
        <w:t xml:space="preserve"> scope and </w:t>
      </w:r>
      <w:r w:rsidR="006E324D" w:rsidRPr="006E324D">
        <w:t xml:space="preserve">practices of </w:t>
      </w:r>
      <w:r w:rsidR="008A5B87">
        <w:t>reporting entit</w:t>
      </w:r>
      <w:r w:rsidR="006E324D" w:rsidRPr="006E324D">
        <w:t xml:space="preserve">ies undertaking </w:t>
      </w:r>
      <w:r w:rsidR="0037421E">
        <w:t>alternative reporting</w:t>
      </w:r>
      <w:r w:rsidR="006E324D" w:rsidRPr="006E324D">
        <w:t xml:space="preserve"> in order to better inform any future proposal</w:t>
      </w:r>
      <w:r w:rsidR="002927AD">
        <w:t>s</w:t>
      </w:r>
      <w:r w:rsidR="006E324D" w:rsidRPr="006E324D">
        <w:t xml:space="preserve"> we may make in relation to </w:t>
      </w:r>
      <w:r w:rsidR="0037421E">
        <w:t>alternative reporting</w:t>
      </w:r>
      <w:r w:rsidR="006E324D" w:rsidRPr="006E324D">
        <w:t xml:space="preserve"> in </w:t>
      </w:r>
      <w:r w:rsidR="00802A65">
        <w:t xml:space="preserve">the </w:t>
      </w:r>
      <w:r w:rsidR="006E324D" w:rsidRPr="006E324D">
        <w:t xml:space="preserve">second </w:t>
      </w:r>
      <w:r w:rsidR="00802A65">
        <w:t xml:space="preserve">round of </w:t>
      </w:r>
      <w:r w:rsidR="006E324D" w:rsidRPr="006E324D">
        <w:t>consultation.</w:t>
      </w:r>
    </w:p>
    <w:p w14:paraId="4391C544" w14:textId="77777777" w:rsidR="00674F94" w:rsidRDefault="00674F94" w:rsidP="00674F94">
      <w:pPr>
        <w:pStyle w:val="Feedbackhead"/>
      </w:pPr>
      <w:r>
        <w:t>Your feedback</w:t>
      </w:r>
    </w:p>
    <w:p w14:paraId="62AAF4DE" w14:textId="296D44AB" w:rsidR="006E324D" w:rsidRPr="006A2A4B" w:rsidRDefault="006E324D" w:rsidP="003A1134">
      <w:pPr>
        <w:pStyle w:val="Feedbackquestion"/>
        <w:spacing w:line="250" w:lineRule="atLeast"/>
      </w:pPr>
      <w:r>
        <w:t>W</w:t>
      </w:r>
      <w:r w:rsidRPr="006E324D">
        <w:t xml:space="preserve">e request that </w:t>
      </w:r>
      <w:r w:rsidR="008A5B87">
        <w:t>reporting entit</w:t>
      </w:r>
      <w:r w:rsidRPr="006E324D">
        <w:t>ies that are current users of</w:t>
      </w:r>
      <w:r w:rsidR="00802A65">
        <w:t xml:space="preserve"> </w:t>
      </w:r>
      <w:r w:rsidR="0037421E">
        <w:t>alternative reporting</w:t>
      </w:r>
      <w:r w:rsidRPr="006E324D">
        <w:t xml:space="preserve"> identify themselves to us and engage in discussion with us about their </w:t>
      </w:r>
      <w:r w:rsidR="0037421E">
        <w:t>alternative reporting</w:t>
      </w:r>
      <w:r w:rsidRPr="006E324D">
        <w:t xml:space="preserve"> practices</w:t>
      </w:r>
      <w:r w:rsidR="00410EEF">
        <w:t>.</w:t>
      </w:r>
      <w:r w:rsidR="00802A65">
        <w:t xml:space="preserve"> In particular:</w:t>
      </w:r>
    </w:p>
    <w:p w14:paraId="0177097F" w14:textId="082988F5" w:rsidR="00410EEF" w:rsidRDefault="00410EEF" w:rsidP="003A1134">
      <w:pPr>
        <w:pStyle w:val="Feedbacksubquestion"/>
        <w:spacing w:line="250" w:lineRule="atLeast"/>
      </w:pPr>
      <w:r>
        <w:t xml:space="preserve">to which ASIC </w:t>
      </w:r>
      <w:r w:rsidR="00CF17E0">
        <w:t xml:space="preserve">prescribed repository </w:t>
      </w:r>
      <w:r>
        <w:t>do you report?</w:t>
      </w:r>
    </w:p>
    <w:p w14:paraId="3352F71A" w14:textId="769B21A0" w:rsidR="00410EEF" w:rsidRDefault="00410EEF" w:rsidP="003A1134">
      <w:pPr>
        <w:pStyle w:val="Feedbacksubquestion"/>
        <w:spacing w:line="250" w:lineRule="atLeast"/>
      </w:pPr>
      <w:r>
        <w:t xml:space="preserve">how </w:t>
      </w:r>
      <w:r w:rsidR="00FB7360">
        <w:t>do you</w:t>
      </w:r>
      <w:r>
        <w:t xml:space="preserve"> ‘</w:t>
      </w:r>
      <w:r w:rsidRPr="00410EEF">
        <w:t>designat</w:t>
      </w:r>
      <w:r w:rsidR="00FB7360">
        <w:t>e</w:t>
      </w:r>
      <w:r w:rsidRPr="00410EEF">
        <w:t xml:space="preserve">’ </w:t>
      </w:r>
      <w:r w:rsidR="00FB7360">
        <w:t xml:space="preserve">the reporting </w:t>
      </w:r>
      <w:r w:rsidRPr="00410EEF">
        <w:t>as information that has been reported under the ASIC Rules</w:t>
      </w:r>
      <w:r w:rsidR="00FB7360">
        <w:t>?</w:t>
      </w:r>
    </w:p>
    <w:p w14:paraId="1A009C82" w14:textId="250B7A2E" w:rsidR="005848B0" w:rsidRPr="0039594F" w:rsidRDefault="005848B0" w:rsidP="005848B0">
      <w:pPr>
        <w:pStyle w:val="Heading2"/>
      </w:pPr>
      <w:bookmarkStart w:id="182" w:name="_Toc57146514"/>
      <w:r>
        <w:t>Delegated reporting</w:t>
      </w:r>
      <w:bookmarkEnd w:id="182"/>
    </w:p>
    <w:p w14:paraId="6BBFECF5" w14:textId="4BA15368" w:rsidR="002E0200" w:rsidRPr="00A829C7" w:rsidRDefault="0034771B" w:rsidP="003A1134">
      <w:pPr>
        <w:pStyle w:val="BodyText"/>
        <w:spacing w:line="290" w:lineRule="atLeast"/>
        <w:rPr>
          <w:spacing w:val="-2"/>
        </w:rPr>
      </w:pPr>
      <w:r w:rsidRPr="00A829C7">
        <w:rPr>
          <w:spacing w:val="-2"/>
        </w:rPr>
        <w:t xml:space="preserve">As is commonly provided for in other jurisdictions, </w:t>
      </w:r>
      <w:r w:rsidR="006966F4" w:rsidRPr="00A829C7">
        <w:rPr>
          <w:spacing w:val="-2"/>
        </w:rPr>
        <w:t>R</w:t>
      </w:r>
      <w:r w:rsidR="002E0200" w:rsidRPr="00A829C7">
        <w:rPr>
          <w:spacing w:val="-2"/>
        </w:rPr>
        <w:t xml:space="preserve">ule 2.2.7 </w:t>
      </w:r>
      <w:r w:rsidR="006966F4" w:rsidRPr="00A829C7">
        <w:rPr>
          <w:spacing w:val="-2"/>
        </w:rPr>
        <w:t xml:space="preserve">of the ASIC Rules </w:t>
      </w:r>
      <w:r w:rsidR="002E0200" w:rsidRPr="00A829C7">
        <w:rPr>
          <w:spacing w:val="-2"/>
        </w:rPr>
        <w:t xml:space="preserve">provides that a </w:t>
      </w:r>
      <w:r w:rsidR="009E0748" w:rsidRPr="00A829C7">
        <w:rPr>
          <w:spacing w:val="-2"/>
        </w:rPr>
        <w:t>reporting entity</w:t>
      </w:r>
      <w:r w:rsidR="002E0200" w:rsidRPr="00A829C7">
        <w:rPr>
          <w:spacing w:val="-2"/>
        </w:rPr>
        <w:t xml:space="preserve"> may appoint another person (a </w:t>
      </w:r>
      <w:r w:rsidR="006966F4" w:rsidRPr="00A829C7">
        <w:rPr>
          <w:spacing w:val="-2"/>
        </w:rPr>
        <w:t>delegate</w:t>
      </w:r>
      <w:r w:rsidR="002E0200" w:rsidRPr="00A829C7">
        <w:rPr>
          <w:spacing w:val="-2"/>
        </w:rPr>
        <w:t xml:space="preserve">) to report on behalf of the </w:t>
      </w:r>
      <w:r w:rsidR="009E0748" w:rsidRPr="00A829C7">
        <w:rPr>
          <w:spacing w:val="-2"/>
        </w:rPr>
        <w:t>reporting entity</w:t>
      </w:r>
      <w:r w:rsidR="002E0200" w:rsidRPr="00A829C7">
        <w:rPr>
          <w:spacing w:val="-2"/>
        </w:rPr>
        <w:t xml:space="preserve">. </w:t>
      </w:r>
      <w:r w:rsidR="006966F4">
        <w:rPr>
          <w:spacing w:val="-2"/>
        </w:rPr>
        <w:t>Rule</w:t>
      </w:r>
      <w:r w:rsidR="006966F4" w:rsidRPr="00A829C7">
        <w:rPr>
          <w:spacing w:val="-2"/>
        </w:rPr>
        <w:t xml:space="preserve"> </w:t>
      </w:r>
      <w:r w:rsidR="002E0200" w:rsidRPr="00A829C7">
        <w:rPr>
          <w:spacing w:val="-2"/>
        </w:rPr>
        <w:t xml:space="preserve">2.2.7(2) provides that a </w:t>
      </w:r>
      <w:r w:rsidR="009E0748" w:rsidRPr="00A829C7">
        <w:rPr>
          <w:spacing w:val="-2"/>
        </w:rPr>
        <w:t>reporting entity</w:t>
      </w:r>
      <w:r w:rsidR="002E0200" w:rsidRPr="00A829C7">
        <w:rPr>
          <w:spacing w:val="-2"/>
        </w:rPr>
        <w:t xml:space="preserve"> is taken to have complied with its reporting obligations </w:t>
      </w:r>
      <w:r w:rsidRPr="00A829C7">
        <w:rPr>
          <w:spacing w:val="-2"/>
        </w:rPr>
        <w:t xml:space="preserve">if </w:t>
      </w:r>
      <w:r w:rsidR="002E0200" w:rsidRPr="00A829C7">
        <w:rPr>
          <w:spacing w:val="-2"/>
        </w:rPr>
        <w:t xml:space="preserve">they have a documented agreement with their </w:t>
      </w:r>
      <w:r w:rsidR="006966F4">
        <w:rPr>
          <w:spacing w:val="-2"/>
        </w:rPr>
        <w:t>d</w:t>
      </w:r>
      <w:r w:rsidR="006966F4" w:rsidRPr="00A829C7">
        <w:rPr>
          <w:spacing w:val="-2"/>
        </w:rPr>
        <w:t xml:space="preserve">elegate </w:t>
      </w:r>
      <w:r w:rsidR="002E0200" w:rsidRPr="00A829C7">
        <w:rPr>
          <w:spacing w:val="-2"/>
        </w:rPr>
        <w:t xml:space="preserve">and if they make </w:t>
      </w:r>
      <w:bookmarkStart w:id="183" w:name="_Hlk54104493"/>
      <w:r w:rsidR="002E0200" w:rsidRPr="00A829C7">
        <w:rPr>
          <w:spacing w:val="-2"/>
        </w:rPr>
        <w:t xml:space="preserve">‘regular enquiries reasonably designed’ to determine if the </w:t>
      </w:r>
      <w:r w:rsidR="006966F4">
        <w:rPr>
          <w:spacing w:val="-2"/>
        </w:rPr>
        <w:t>d</w:t>
      </w:r>
      <w:r w:rsidR="006966F4" w:rsidRPr="00A829C7">
        <w:rPr>
          <w:spacing w:val="-2"/>
        </w:rPr>
        <w:t xml:space="preserve">elegate </w:t>
      </w:r>
      <w:r w:rsidR="002E0200" w:rsidRPr="00A829C7">
        <w:rPr>
          <w:spacing w:val="-2"/>
        </w:rPr>
        <w:t>is complying with the terms of the agreement</w:t>
      </w:r>
      <w:bookmarkEnd w:id="183"/>
      <w:r w:rsidR="002E0200" w:rsidRPr="00A829C7">
        <w:rPr>
          <w:spacing w:val="-2"/>
        </w:rPr>
        <w:t>.</w:t>
      </w:r>
    </w:p>
    <w:p w14:paraId="3CF253A9" w14:textId="059FF823" w:rsidR="002E0200" w:rsidRDefault="002E0200" w:rsidP="003A1134">
      <w:pPr>
        <w:pStyle w:val="BodyText"/>
        <w:spacing w:line="290" w:lineRule="atLeast"/>
      </w:pPr>
      <w:r>
        <w:t xml:space="preserve">Rule 2.2.6 provides that a </w:t>
      </w:r>
      <w:r w:rsidR="009E0748">
        <w:t>reporting entity</w:t>
      </w:r>
      <w:r>
        <w:t xml:space="preserve"> must take all reasonable steps to ensure that information it reports, ‘whether reported by the </w:t>
      </w:r>
      <w:r w:rsidR="009E0748">
        <w:t>reporting entity</w:t>
      </w:r>
      <w:r>
        <w:t xml:space="preserve"> on its own behalf or by another person on behalf of the </w:t>
      </w:r>
      <w:r w:rsidR="009E0748">
        <w:t>reporting entity</w:t>
      </w:r>
      <w:r>
        <w:t>, is and remains at all times complete, accurate and current</w:t>
      </w:r>
      <w:r w:rsidR="0034771B">
        <w:t>’</w:t>
      </w:r>
      <w:r>
        <w:t>.</w:t>
      </w:r>
    </w:p>
    <w:p w14:paraId="6BDA9A86" w14:textId="07099EF1" w:rsidR="0034771B" w:rsidRDefault="0034771B" w:rsidP="0034771B">
      <w:pPr>
        <w:pStyle w:val="Heading3"/>
      </w:pPr>
      <w:r>
        <w:t xml:space="preserve">ASIC’s concerns with </w:t>
      </w:r>
      <w:r w:rsidR="0037421E">
        <w:t>delegated reporting</w:t>
      </w:r>
    </w:p>
    <w:p w14:paraId="4D7B508C" w14:textId="7BB5F576" w:rsidR="00BC650E" w:rsidRDefault="00BC650E" w:rsidP="003A1134">
      <w:pPr>
        <w:pStyle w:val="BodyText"/>
        <w:spacing w:line="290" w:lineRule="atLeast"/>
        <w:rPr>
          <w:color w:val="000000" w:themeColor="text1"/>
        </w:rPr>
      </w:pPr>
      <w:r>
        <w:rPr>
          <w:color w:val="000000" w:themeColor="text1"/>
        </w:rPr>
        <w:t>F</w:t>
      </w:r>
      <w:r w:rsidRPr="0034771B">
        <w:rPr>
          <w:color w:val="000000" w:themeColor="text1"/>
        </w:rPr>
        <w:t xml:space="preserve">rom our own interactions with </w:t>
      </w:r>
      <w:r>
        <w:rPr>
          <w:color w:val="000000" w:themeColor="text1"/>
        </w:rPr>
        <w:t xml:space="preserve">a variety of </w:t>
      </w:r>
      <w:r w:rsidR="008A5B87">
        <w:rPr>
          <w:color w:val="000000" w:themeColor="text1"/>
        </w:rPr>
        <w:t>reporting entit</w:t>
      </w:r>
      <w:r>
        <w:rPr>
          <w:color w:val="000000" w:themeColor="text1"/>
        </w:rPr>
        <w:t xml:space="preserve">ies that make use of </w:t>
      </w:r>
      <w:r w:rsidR="0037421E">
        <w:rPr>
          <w:color w:val="000000" w:themeColor="text1"/>
        </w:rPr>
        <w:t>delegated reporting</w:t>
      </w:r>
      <w:r>
        <w:rPr>
          <w:color w:val="000000" w:themeColor="text1"/>
        </w:rPr>
        <w:t xml:space="preserve">, </w:t>
      </w:r>
      <w:r w:rsidRPr="0034771B">
        <w:rPr>
          <w:color w:val="000000" w:themeColor="text1"/>
        </w:rPr>
        <w:t xml:space="preserve">we </w:t>
      </w:r>
      <w:r>
        <w:rPr>
          <w:color w:val="000000" w:themeColor="text1"/>
        </w:rPr>
        <w:t xml:space="preserve">generally </w:t>
      </w:r>
      <w:r w:rsidRPr="0034771B">
        <w:rPr>
          <w:color w:val="000000" w:themeColor="text1"/>
        </w:rPr>
        <w:t xml:space="preserve">concur with ESMA’s comments </w:t>
      </w:r>
      <w:r w:rsidR="006966F4" w:rsidRPr="0034771B">
        <w:rPr>
          <w:color w:val="000000" w:themeColor="text1"/>
        </w:rPr>
        <w:t xml:space="preserve">about </w:t>
      </w:r>
      <w:r w:rsidR="006966F4">
        <w:rPr>
          <w:color w:val="000000" w:themeColor="text1"/>
        </w:rPr>
        <w:t xml:space="preserve">EU </w:t>
      </w:r>
      <w:r w:rsidR="006966F4" w:rsidRPr="0034771B">
        <w:rPr>
          <w:color w:val="000000" w:themeColor="text1"/>
        </w:rPr>
        <w:t xml:space="preserve">delegated reporting </w:t>
      </w:r>
      <w:r w:rsidRPr="0034771B">
        <w:rPr>
          <w:color w:val="000000" w:themeColor="text1"/>
        </w:rPr>
        <w:t xml:space="preserve">in </w:t>
      </w:r>
      <w:r w:rsidR="004E34EC">
        <w:rPr>
          <w:color w:val="000000" w:themeColor="text1"/>
        </w:rPr>
        <w:t>the ESMA proposals</w:t>
      </w:r>
      <w:r w:rsidR="006966F4">
        <w:t xml:space="preserve"> (p. 17)</w:t>
      </w:r>
      <w:r>
        <w:rPr>
          <w:color w:val="000000" w:themeColor="text1"/>
        </w:rPr>
        <w:t>:</w:t>
      </w:r>
    </w:p>
    <w:p w14:paraId="529661F5" w14:textId="20FF7D13" w:rsidR="00BC650E" w:rsidRPr="003A1134" w:rsidRDefault="00BC650E" w:rsidP="003A1134">
      <w:pPr>
        <w:pStyle w:val="Blockquote"/>
        <w:spacing w:before="160"/>
      </w:pPr>
      <w:r w:rsidRPr="003A1134">
        <w:t>27.</w:t>
      </w:r>
      <w:r w:rsidRPr="003A1134">
        <w:tab/>
        <w:t>The current approach to delegation of reporting has shown a series of shortcomings.</w:t>
      </w:r>
    </w:p>
    <w:p w14:paraId="6E38E033" w14:textId="046DF382" w:rsidR="00BC650E" w:rsidRPr="003A1134" w:rsidRDefault="00BC650E" w:rsidP="00136CC5">
      <w:pPr>
        <w:pStyle w:val="Blockquote"/>
      </w:pPr>
      <w:r w:rsidRPr="003A1134">
        <w:t>28.</w:t>
      </w:r>
      <w:r w:rsidRPr="003A1134">
        <w:tab/>
        <w:t xml:space="preserve">Some of the reporting entities (mostly NFCs) who delegated their reporting to the other counterparty or to a third entity are often not capable to monitor whether their delegation agreement is abided by. In some instances delegating counterparties are not even aware that by delegating reporting they cannot </w:t>
      </w:r>
      <w:proofErr w:type="gramStart"/>
      <w:r w:rsidRPr="003A1134">
        <w:t>transfer also</w:t>
      </w:r>
      <w:proofErr w:type="gramEnd"/>
      <w:r w:rsidRPr="003A1134">
        <w:t xml:space="preserve"> their responsibility for the reporting. In </w:t>
      </w:r>
      <w:r w:rsidRPr="003A1134">
        <w:lastRenderedPageBreak/>
        <w:t>other cases delegating counterparties are aware of their obligations, but still unable to fully develop their technological knowhow to be actually capable to monitor the reporting and/or fully control the fulfilment of their delegation agreement.</w:t>
      </w:r>
    </w:p>
    <w:p w14:paraId="27378463" w14:textId="78C3FEA8" w:rsidR="00D91DE8" w:rsidRDefault="00A67F8C" w:rsidP="00A829C7">
      <w:pPr>
        <w:pStyle w:val="BodyText"/>
        <w:spacing w:before="220" w:line="310" w:lineRule="atLeast"/>
      </w:pPr>
      <w:r>
        <w:t xml:space="preserve">We are likewise unconvinced that all </w:t>
      </w:r>
      <w:r w:rsidR="008A5B87">
        <w:t>reporting entit</w:t>
      </w:r>
      <w:r>
        <w:t xml:space="preserve">ies subject their </w:t>
      </w:r>
      <w:r w:rsidR="0037421E">
        <w:t>delegated reporting</w:t>
      </w:r>
      <w:r>
        <w:t xml:space="preserve"> arrangements to a level of oversight and rigour </w:t>
      </w:r>
      <w:r w:rsidR="00D91DE8">
        <w:t xml:space="preserve">that sufficiently contributes to maintaining reported information as complete, </w:t>
      </w:r>
      <w:r w:rsidR="0092383D">
        <w:t xml:space="preserve">accurate </w:t>
      </w:r>
      <w:r w:rsidR="00D91DE8">
        <w:t xml:space="preserve">and </w:t>
      </w:r>
      <w:r w:rsidR="0092383D">
        <w:t>current</w:t>
      </w:r>
      <w:r w:rsidR="00D91DE8">
        <w:t>.</w:t>
      </w:r>
    </w:p>
    <w:p w14:paraId="7683A29E" w14:textId="598CE800" w:rsidR="0092383D" w:rsidRDefault="0092383D" w:rsidP="00A829C7">
      <w:pPr>
        <w:pStyle w:val="BodyText"/>
        <w:spacing w:before="220" w:line="310" w:lineRule="atLeast"/>
      </w:pPr>
      <w:r>
        <w:t xml:space="preserve">For example, we are unconvinced that </w:t>
      </w:r>
      <w:r w:rsidR="008A5B87">
        <w:t>reporting entit</w:t>
      </w:r>
      <w:r>
        <w:t xml:space="preserve">ies obtaining periodic attestations from their </w:t>
      </w:r>
      <w:r w:rsidR="006966F4">
        <w:t xml:space="preserve">delegate </w:t>
      </w:r>
      <w:r>
        <w:t xml:space="preserve">as to </w:t>
      </w:r>
      <w:r w:rsidR="001A2958">
        <w:t xml:space="preserve">the </w:t>
      </w:r>
      <w:r>
        <w:t xml:space="preserve">quality of the information reported on their behalf, or more frequent reporting from their </w:t>
      </w:r>
      <w:r w:rsidR="006966F4">
        <w:t xml:space="preserve">delegate </w:t>
      </w:r>
      <w:r>
        <w:t xml:space="preserve">as to the number of transaction reports successfully submitted to a </w:t>
      </w:r>
      <w:r w:rsidR="00787D98">
        <w:t>trade repository</w:t>
      </w:r>
      <w:r>
        <w:t xml:space="preserve">, can be considered as satisfying the </w:t>
      </w:r>
      <w:r w:rsidR="000E517A">
        <w:t xml:space="preserve">‘regular enquiries reasonably designed’ </w:t>
      </w:r>
      <w:r>
        <w:t xml:space="preserve">requirement of </w:t>
      </w:r>
      <w:r w:rsidR="006966F4">
        <w:t>Rule </w:t>
      </w:r>
      <w:r>
        <w:t>2.2.7</w:t>
      </w:r>
      <w:r w:rsidR="006966F4">
        <w:t xml:space="preserve"> of the ASIC Rules</w:t>
      </w:r>
      <w:r>
        <w:t>.</w:t>
      </w:r>
    </w:p>
    <w:p w14:paraId="611D0E6D" w14:textId="0DAD371F" w:rsidR="006B1E23" w:rsidRDefault="006B1E23" w:rsidP="00A829C7">
      <w:pPr>
        <w:pStyle w:val="BodyText"/>
        <w:spacing w:before="220" w:line="310" w:lineRule="atLeast"/>
      </w:pPr>
      <w:r>
        <w:t xml:space="preserve">Circumstances have also arisen where </w:t>
      </w:r>
      <w:r w:rsidR="008A5B87">
        <w:t>reporting entit</w:t>
      </w:r>
      <w:r>
        <w:t xml:space="preserve">ies have changed their </w:t>
      </w:r>
      <w:r w:rsidR="006966F4">
        <w:t xml:space="preserve">delegate </w:t>
      </w:r>
      <w:r>
        <w:t xml:space="preserve">and the new reporting arrangements established with a </w:t>
      </w:r>
      <w:r w:rsidR="00787D98">
        <w:t>trade repository</w:t>
      </w:r>
      <w:r>
        <w:t xml:space="preserve"> have not immediately included the ability to make error corrections to transaction reports made by the preceding </w:t>
      </w:r>
      <w:r w:rsidR="006966F4">
        <w:t>delegate</w:t>
      </w:r>
      <w:r>
        <w:t>.</w:t>
      </w:r>
    </w:p>
    <w:p w14:paraId="66861748" w14:textId="77777777" w:rsidR="00497794" w:rsidRDefault="00497794" w:rsidP="00497794">
      <w:pPr>
        <w:pStyle w:val="Proposalhead"/>
      </w:pPr>
      <w:r>
        <w:t>Proposal</w:t>
      </w:r>
    </w:p>
    <w:p w14:paraId="413823B6" w14:textId="0B345F36" w:rsidR="00497794" w:rsidRPr="00164691" w:rsidRDefault="00497794" w:rsidP="00A829C7">
      <w:pPr>
        <w:pStyle w:val="Proposaltext"/>
        <w:spacing w:before="220" w:line="270" w:lineRule="atLeast"/>
      </w:pPr>
      <w:r>
        <w:t xml:space="preserve">In principle, we </w:t>
      </w:r>
      <w:r w:rsidR="009C1E8B">
        <w:t>consider</w:t>
      </w:r>
      <w:r>
        <w:t xml:space="preserve"> the most effective approach to addressing our concerns in relation to delegated reporting is to amend the ASIC Rules to remove the ‘safe harbour’ provisions and revert to </w:t>
      </w:r>
      <w:r w:rsidR="008A5B87">
        <w:t>reporting entit</w:t>
      </w:r>
      <w:r>
        <w:t>ies having responsibilities for reporting as otherwise set out in the ASIC Rules.</w:t>
      </w:r>
      <w:r w:rsidR="0067684C">
        <w:t xml:space="preserve"> </w:t>
      </w:r>
    </w:p>
    <w:p w14:paraId="21BECEF1" w14:textId="086BA76B" w:rsidR="00497794" w:rsidRDefault="00497794" w:rsidP="00497794">
      <w:pPr>
        <w:pStyle w:val="Feedbackhead"/>
      </w:pPr>
      <w:r>
        <w:t>Your feedback</w:t>
      </w:r>
    </w:p>
    <w:p w14:paraId="366F8804" w14:textId="3CA78664" w:rsidR="006A2A4B" w:rsidRPr="006A2A4B" w:rsidRDefault="006A2A4B" w:rsidP="002927AD">
      <w:pPr>
        <w:pStyle w:val="Feedbackquestion"/>
      </w:pPr>
      <w:r w:rsidRPr="006A2A4B">
        <w:t>In this first consultation we seek to gather information about the</w:t>
      </w:r>
      <w:r w:rsidR="002927AD">
        <w:t xml:space="preserve"> </w:t>
      </w:r>
      <w:r w:rsidRPr="006A2A4B">
        <w:t xml:space="preserve">practices of </w:t>
      </w:r>
      <w:r w:rsidR="008A5B87">
        <w:t>reporting entit</w:t>
      </w:r>
      <w:r w:rsidRPr="006A2A4B">
        <w:t xml:space="preserve">ies in overseeing their </w:t>
      </w:r>
      <w:r w:rsidR="006966F4">
        <w:t>d</w:t>
      </w:r>
      <w:r w:rsidR="006966F4" w:rsidRPr="006A2A4B">
        <w:t>elegates</w:t>
      </w:r>
      <w:r w:rsidR="006966F4">
        <w:t xml:space="preserve"> </w:t>
      </w:r>
      <w:r w:rsidR="002927AD" w:rsidRPr="006E324D">
        <w:t>in order to better inform any future proposal</w:t>
      </w:r>
      <w:r w:rsidR="002927AD">
        <w:t>s</w:t>
      </w:r>
      <w:r w:rsidR="002927AD" w:rsidRPr="006E324D">
        <w:t xml:space="preserve"> we may make in relation to </w:t>
      </w:r>
      <w:r w:rsidR="0037421E">
        <w:t>delegated reporting</w:t>
      </w:r>
      <w:r w:rsidR="002927AD" w:rsidRPr="006E324D">
        <w:t xml:space="preserve"> in </w:t>
      </w:r>
      <w:r w:rsidR="002927AD">
        <w:t xml:space="preserve">the </w:t>
      </w:r>
      <w:r w:rsidR="002927AD" w:rsidRPr="006E324D">
        <w:t xml:space="preserve">second </w:t>
      </w:r>
      <w:r w:rsidR="002927AD">
        <w:t xml:space="preserve">round of </w:t>
      </w:r>
      <w:r w:rsidR="002927AD" w:rsidRPr="006E324D">
        <w:t>consultation</w:t>
      </w:r>
      <w:r w:rsidR="002927AD">
        <w:t>. In particular:</w:t>
      </w:r>
      <w:bookmarkStart w:id="184" w:name="_Hlk54123544"/>
    </w:p>
    <w:p w14:paraId="101D6870" w14:textId="1656DC8D" w:rsidR="006A2A4B" w:rsidRDefault="002927AD" w:rsidP="00E30A53">
      <w:pPr>
        <w:pStyle w:val="Feedbacksubquestion"/>
      </w:pPr>
      <w:r>
        <w:t xml:space="preserve">What are </w:t>
      </w:r>
      <w:r w:rsidR="001A2958">
        <w:t xml:space="preserve">the </w:t>
      </w:r>
      <w:r>
        <w:t xml:space="preserve">specific processes and practices that you rely on to determine if the </w:t>
      </w:r>
      <w:r w:rsidR="001A2958">
        <w:t xml:space="preserve">delegate </w:t>
      </w:r>
      <w:r>
        <w:t>is complying with the terms of the delegation agreement</w:t>
      </w:r>
      <w:bookmarkEnd w:id="184"/>
      <w:r>
        <w:t xml:space="preserve"> and to </w:t>
      </w:r>
      <w:r w:rsidR="001A2958">
        <w:t xml:space="preserve">ensure </w:t>
      </w:r>
      <w:r>
        <w:t xml:space="preserve">that </w:t>
      </w:r>
      <w:r w:rsidR="007D224A">
        <w:t>complete, accurate and current reporting is being carried out on your behalf</w:t>
      </w:r>
      <w:r>
        <w:t>?</w:t>
      </w:r>
    </w:p>
    <w:p w14:paraId="4512A0A7" w14:textId="1D57D17C" w:rsidR="00953571" w:rsidRDefault="00953571" w:rsidP="00953571">
      <w:pPr>
        <w:pStyle w:val="Heading1"/>
      </w:pPr>
      <w:bookmarkStart w:id="185" w:name="_Toc57146515"/>
      <w:r>
        <w:lastRenderedPageBreak/>
        <w:t xml:space="preserve">Reporting </w:t>
      </w:r>
      <w:bookmarkEnd w:id="179"/>
      <w:r w:rsidR="001A2958">
        <w:t>requirements</w:t>
      </w:r>
      <w:bookmarkEnd w:id="185"/>
    </w:p>
    <w:p w14:paraId="608EC9D2" w14:textId="77777777" w:rsidR="004F2769" w:rsidRDefault="004F2769" w:rsidP="004F2769">
      <w:pPr>
        <w:pStyle w:val="KPhead"/>
      </w:pPr>
      <w:r>
        <w:t>Key points</w:t>
      </w:r>
    </w:p>
    <w:p w14:paraId="60E1563A" w14:textId="221C9E6C" w:rsidR="004F2769" w:rsidRDefault="004F2769" w:rsidP="004F2769">
      <w:pPr>
        <w:pStyle w:val="KPtext"/>
      </w:pPr>
      <w:r>
        <w:t xml:space="preserve">We are proposing to repeal </w:t>
      </w:r>
      <w:r w:rsidRPr="002F26EB">
        <w:t xml:space="preserve">outdated transitional implementation provisions in relation to </w:t>
      </w:r>
      <w:r w:rsidR="001A2958">
        <w:t>p</w:t>
      </w:r>
      <w:r w:rsidR="001A2958" w:rsidRPr="002F26EB">
        <w:t xml:space="preserve">osition </w:t>
      </w:r>
      <w:r w:rsidR="001A2958">
        <w:t>r</w:t>
      </w:r>
      <w:r w:rsidR="001A2958" w:rsidRPr="002F26EB">
        <w:t xml:space="preserve">eporting </w:t>
      </w:r>
      <w:r w:rsidR="001A2958">
        <w:t>r</w:t>
      </w:r>
      <w:r w:rsidR="001A2958" w:rsidRPr="002F26EB">
        <w:t xml:space="preserve">equirements </w:t>
      </w:r>
      <w:r w:rsidRPr="002F26EB">
        <w:t>in the ASIC Rules.</w:t>
      </w:r>
    </w:p>
    <w:p w14:paraId="3F675C19" w14:textId="77777777" w:rsidR="004F2769" w:rsidRDefault="004F2769" w:rsidP="004F2769">
      <w:pPr>
        <w:pStyle w:val="KPtext"/>
      </w:pPr>
      <w:r>
        <w:t xml:space="preserve">We are also proposing to amend the timing requirement in Rule 2.2.3 to implement a standardised T+1 requirement for the purposes of UTI generation. </w:t>
      </w:r>
    </w:p>
    <w:p w14:paraId="7B44F4CF" w14:textId="4518A123" w:rsidR="004F2769" w:rsidRDefault="001A2A90" w:rsidP="004F2769">
      <w:pPr>
        <w:pStyle w:val="KPtext"/>
      </w:pPr>
      <w:r>
        <w:t>Further, w</w:t>
      </w:r>
      <w:r w:rsidR="004F2769">
        <w:t>e are also proposing to amend the lifecycle or snapshot reporting requirement in Rule 2.2.8 to require lifecycle reporting for cleared trades.</w:t>
      </w:r>
    </w:p>
    <w:p w14:paraId="01CBAEBF" w14:textId="20F511FB" w:rsidR="009A7124" w:rsidRDefault="009A7124" w:rsidP="00672C33">
      <w:pPr>
        <w:pStyle w:val="BodyText"/>
      </w:pPr>
      <w:r>
        <w:t xml:space="preserve">Chapter 2 of the ASIC Rules imposes obligations on </w:t>
      </w:r>
      <w:r w:rsidR="008A5B87">
        <w:t>reporting entit</w:t>
      </w:r>
      <w:r>
        <w:t xml:space="preserve">ies to report their </w:t>
      </w:r>
      <w:r w:rsidR="00A65611">
        <w:t>reportable transact</w:t>
      </w:r>
      <w:r>
        <w:t xml:space="preserve">ions and </w:t>
      </w:r>
      <w:r w:rsidR="001A2958">
        <w:t>reportable p</w:t>
      </w:r>
      <w:r>
        <w:t xml:space="preserve">ositions to </w:t>
      </w:r>
      <w:r w:rsidR="00A65611">
        <w:t>licen</w:t>
      </w:r>
      <w:r>
        <w:t xml:space="preserve">sed </w:t>
      </w:r>
      <w:r w:rsidR="001A2958">
        <w:t xml:space="preserve">repositories </w:t>
      </w:r>
      <w:r>
        <w:t xml:space="preserve">and </w:t>
      </w:r>
      <w:r w:rsidR="001A2958">
        <w:t>prescribed repositories</w:t>
      </w:r>
      <w:r>
        <w:t xml:space="preserve">. The </w:t>
      </w:r>
      <w:r w:rsidR="001A2958">
        <w:t xml:space="preserve">parts </w:t>
      </w:r>
      <w:r>
        <w:t xml:space="preserve">of Chapter </w:t>
      </w:r>
      <w:r w:rsidR="001A2958">
        <w:t xml:space="preserve">2 </w:t>
      </w:r>
      <w:r>
        <w:t>are:</w:t>
      </w:r>
    </w:p>
    <w:p w14:paraId="583A5735" w14:textId="11937B47" w:rsidR="009A7124" w:rsidRDefault="009A7124" w:rsidP="009A7124">
      <w:pPr>
        <w:pStyle w:val="subparaa"/>
      </w:pPr>
      <w:r>
        <w:t>Part 2.1 Application;</w:t>
      </w:r>
    </w:p>
    <w:p w14:paraId="72E7C81D" w14:textId="61ED1CF8" w:rsidR="009A7124" w:rsidRDefault="009A7124" w:rsidP="009A7124">
      <w:pPr>
        <w:pStyle w:val="subparaa"/>
      </w:pPr>
      <w:r>
        <w:t>Part 2.2 Reporting Requirements;</w:t>
      </w:r>
    </w:p>
    <w:p w14:paraId="5C05BEF6" w14:textId="0F549F8A" w:rsidR="009A7124" w:rsidRDefault="009A7124" w:rsidP="009A7124">
      <w:pPr>
        <w:pStyle w:val="subparaa"/>
      </w:pPr>
      <w:r>
        <w:t>Part 2.3 Records; and</w:t>
      </w:r>
    </w:p>
    <w:p w14:paraId="5CEA910F" w14:textId="2DC4FDB1" w:rsidR="009A7124" w:rsidRDefault="009A7124" w:rsidP="009A7124">
      <w:pPr>
        <w:pStyle w:val="subparaa"/>
      </w:pPr>
      <w:r>
        <w:t>Part 2.4 Transitional matters</w:t>
      </w:r>
      <w:r w:rsidR="001A2958">
        <w:t>.</w:t>
      </w:r>
    </w:p>
    <w:p w14:paraId="46917CFF" w14:textId="2B9DDFA3" w:rsidR="005C5A16" w:rsidRDefault="005C5A16" w:rsidP="005C5A16">
      <w:pPr>
        <w:pStyle w:val="BodyText"/>
      </w:pPr>
      <w:r>
        <w:t>Part 2.2 Reporting Requirements includes:</w:t>
      </w:r>
    </w:p>
    <w:p w14:paraId="62993A8B" w14:textId="62F4D565" w:rsidR="005C5A16" w:rsidRDefault="009D527B" w:rsidP="005C5A16">
      <w:pPr>
        <w:pStyle w:val="subparaa"/>
      </w:pPr>
      <w:r>
        <w:t xml:space="preserve">Rule </w:t>
      </w:r>
      <w:r w:rsidR="005C5A16">
        <w:t>2.2.1 Transaction Reporting Requirements and Position Reporting Requirements;</w:t>
      </w:r>
    </w:p>
    <w:p w14:paraId="416FE152" w14:textId="7DC2A01C" w:rsidR="005C5A16" w:rsidRDefault="009D527B" w:rsidP="005C5A16">
      <w:pPr>
        <w:pStyle w:val="subparaa"/>
      </w:pPr>
      <w:r>
        <w:t xml:space="preserve">Rule </w:t>
      </w:r>
      <w:r w:rsidR="005C5A16">
        <w:t>2.2.2 Reporting Requirement</w:t>
      </w:r>
      <w:r w:rsidR="005C5A16" w:rsidRPr="005C5A16">
        <w:t>—</w:t>
      </w:r>
      <w:r w:rsidR="005C5A16">
        <w:t>Changes</w:t>
      </w:r>
      <w:r>
        <w:t>;</w:t>
      </w:r>
    </w:p>
    <w:p w14:paraId="0F4675FB" w14:textId="73662B78" w:rsidR="005C5A16" w:rsidRDefault="009D527B" w:rsidP="005C5A16">
      <w:pPr>
        <w:pStyle w:val="subparaa"/>
      </w:pPr>
      <w:r>
        <w:t xml:space="preserve">Rule </w:t>
      </w:r>
      <w:r w:rsidR="005C5A16">
        <w:t>2.2.3</w:t>
      </w:r>
      <w:r w:rsidR="005C5A16" w:rsidRPr="005C5A16">
        <w:t xml:space="preserve"> Reporting Requirement—Timing (generally, T+1)</w:t>
      </w:r>
      <w:r>
        <w:t>;</w:t>
      </w:r>
    </w:p>
    <w:p w14:paraId="6BCDBB9A" w14:textId="7966CB40" w:rsidR="005C5A16" w:rsidRDefault="009D527B" w:rsidP="005C5A16">
      <w:pPr>
        <w:pStyle w:val="subparaa"/>
      </w:pPr>
      <w:r>
        <w:t xml:space="preserve">Rule </w:t>
      </w:r>
      <w:r w:rsidR="005C5A16" w:rsidRPr="005C5A16">
        <w:t>2.2.4 Reporting Requirement—Format</w:t>
      </w:r>
      <w:r>
        <w:t>;</w:t>
      </w:r>
    </w:p>
    <w:p w14:paraId="5280A429" w14:textId="756279C9" w:rsidR="005C5A16" w:rsidRDefault="009D527B" w:rsidP="005C5A16">
      <w:pPr>
        <w:pStyle w:val="subparaa"/>
      </w:pPr>
      <w:r>
        <w:t xml:space="preserve">Rule </w:t>
      </w:r>
      <w:r w:rsidR="005C5A16" w:rsidRPr="005C5A16">
        <w:t>2.2.5 Reporting Requirement—Continuity of reporting</w:t>
      </w:r>
      <w:r>
        <w:t>;</w:t>
      </w:r>
    </w:p>
    <w:p w14:paraId="40B23A7A" w14:textId="2621A8A8" w:rsidR="005C5A16" w:rsidRDefault="009D527B" w:rsidP="005C5A16">
      <w:pPr>
        <w:pStyle w:val="subparaa"/>
      </w:pPr>
      <w:r>
        <w:t xml:space="preserve">Rule </w:t>
      </w:r>
      <w:r w:rsidR="005C5A16" w:rsidRPr="005C5A16">
        <w:t>2.2.6 Reporting Requirement—Accuracy of reporting</w:t>
      </w:r>
      <w:r>
        <w:t>;</w:t>
      </w:r>
    </w:p>
    <w:p w14:paraId="1BB673B3" w14:textId="34B72EFD" w:rsidR="005C5A16" w:rsidRDefault="009D527B" w:rsidP="005C5A16">
      <w:pPr>
        <w:pStyle w:val="subparaa"/>
      </w:pPr>
      <w:r>
        <w:t xml:space="preserve">Rule </w:t>
      </w:r>
      <w:r w:rsidR="005C5A16">
        <w:t>2.2.7</w:t>
      </w:r>
      <w:r w:rsidR="005C5A16" w:rsidRPr="005C5A16">
        <w:t xml:space="preserve"> Derivative Transaction Information—Delegation of reporting</w:t>
      </w:r>
      <w:r>
        <w:t>; and</w:t>
      </w:r>
    </w:p>
    <w:p w14:paraId="147E42B4" w14:textId="732FD0BB" w:rsidR="005C5A16" w:rsidRDefault="009D527B" w:rsidP="005C5A16">
      <w:pPr>
        <w:pStyle w:val="subparaa"/>
      </w:pPr>
      <w:r>
        <w:t xml:space="preserve">Rule </w:t>
      </w:r>
      <w:r w:rsidR="005C5A16" w:rsidRPr="005C5A16">
        <w:t>2.2.8 Lifecycle or snapshot reporting</w:t>
      </w:r>
      <w:r w:rsidR="001A2958">
        <w:t>.</w:t>
      </w:r>
    </w:p>
    <w:p w14:paraId="0A70B254" w14:textId="5DCA41BF" w:rsidR="00E376E4" w:rsidRDefault="00C646A9" w:rsidP="00E376E4">
      <w:pPr>
        <w:pStyle w:val="BodyText"/>
      </w:pPr>
      <w:r>
        <w:t>In this consultation paper, we have focused on the key changes to the ASIC Rules that we are proposing in this first consultation or considering to propose in the second round of consultation. In addition</w:t>
      </w:r>
      <w:r w:rsidR="00672C33">
        <w:t xml:space="preserve">, we have identified the following </w:t>
      </w:r>
      <w:r>
        <w:t xml:space="preserve">key </w:t>
      </w:r>
      <w:r w:rsidR="00DF2A29">
        <w:t xml:space="preserve">provisions </w:t>
      </w:r>
      <w:r>
        <w:t xml:space="preserve">for inclusion in this consultation paper. We intend </w:t>
      </w:r>
      <w:r w:rsidR="0020615F">
        <w:t xml:space="preserve">to </w:t>
      </w:r>
      <w:r>
        <w:t xml:space="preserve">further review </w:t>
      </w:r>
      <w:r w:rsidR="00DF2A29">
        <w:t xml:space="preserve">the ASIC Rules and may make proposals in the second round of </w:t>
      </w:r>
      <w:r>
        <w:t>consultation</w:t>
      </w:r>
      <w:r w:rsidR="00DF2A29">
        <w:t xml:space="preserve"> on any other provisions in the ASIC Rules.</w:t>
      </w:r>
    </w:p>
    <w:p w14:paraId="3A827B6B" w14:textId="4D21F322" w:rsidR="00C80345" w:rsidRDefault="008F2B79" w:rsidP="00C80345">
      <w:pPr>
        <w:pStyle w:val="Heading2"/>
      </w:pPr>
      <w:bookmarkStart w:id="186" w:name="_Toc57146516"/>
      <w:r>
        <w:lastRenderedPageBreak/>
        <w:t xml:space="preserve">Rule </w:t>
      </w:r>
      <w:r w:rsidR="00C80345">
        <w:t>2.2.3 Reporting Requirement</w:t>
      </w:r>
      <w:r w:rsidR="00193DFB">
        <w:t>—</w:t>
      </w:r>
      <w:r w:rsidR="00C80345">
        <w:t>Timing (generally, T+1)</w:t>
      </w:r>
      <w:bookmarkEnd w:id="186"/>
    </w:p>
    <w:p w14:paraId="44DECE0B" w14:textId="0069A521" w:rsidR="00C80345" w:rsidRDefault="00C80345" w:rsidP="00C80345">
      <w:pPr>
        <w:pStyle w:val="BodyText"/>
      </w:pPr>
      <w:r>
        <w:t xml:space="preserve">Rule 2.2.3 </w:t>
      </w:r>
      <w:r w:rsidR="008F2B79">
        <w:t xml:space="preserve">of the ASIC Rules </w:t>
      </w:r>
      <w:r>
        <w:t xml:space="preserve">requires a </w:t>
      </w:r>
      <w:r w:rsidR="009E0748">
        <w:t>reporting entity</w:t>
      </w:r>
      <w:r>
        <w:t xml:space="preserve"> to report information about a </w:t>
      </w:r>
      <w:r w:rsidR="00A65611">
        <w:t>reportable transact</w:t>
      </w:r>
      <w:r>
        <w:t xml:space="preserve">ion or a change to information about a </w:t>
      </w:r>
      <w:r w:rsidR="00A65611">
        <w:t>reportable transact</w:t>
      </w:r>
      <w:r>
        <w:t xml:space="preserve">ion or </w:t>
      </w:r>
      <w:r w:rsidR="008F2B79">
        <w:t xml:space="preserve">reportable position </w:t>
      </w:r>
      <w:r>
        <w:t xml:space="preserve">by no later than </w:t>
      </w:r>
      <w:r w:rsidRPr="00E80C96">
        <w:t xml:space="preserve">the end of the next </w:t>
      </w:r>
      <w:r w:rsidR="008F2B79">
        <w:t>b</w:t>
      </w:r>
      <w:r w:rsidR="008F2B79" w:rsidRPr="00E80C96">
        <w:t xml:space="preserve">usiness </w:t>
      </w:r>
      <w:r w:rsidR="008F2B79">
        <w:t>d</w:t>
      </w:r>
      <w:r w:rsidR="008F2B79" w:rsidRPr="00E80C96">
        <w:t xml:space="preserve">ay </w:t>
      </w:r>
      <w:r w:rsidRPr="00E80C96">
        <w:t>after the requirement to report the information or change arises.</w:t>
      </w:r>
    </w:p>
    <w:p w14:paraId="32935FA7" w14:textId="3F5910DE" w:rsidR="00C80345" w:rsidRDefault="00C80345" w:rsidP="00C80345">
      <w:pPr>
        <w:pStyle w:val="BodyText"/>
      </w:pPr>
      <w:r>
        <w:t xml:space="preserve">At present, Rule 2.2.3 does not specify </w:t>
      </w:r>
      <w:r w:rsidR="00C6045C">
        <w:t xml:space="preserve">a singular time </w:t>
      </w:r>
      <w:r>
        <w:t xml:space="preserve">as the </w:t>
      </w:r>
      <w:r w:rsidR="00576D20">
        <w:t xml:space="preserve">deadline for </w:t>
      </w:r>
      <w:r>
        <w:t>reporting as the definition for ‘</w:t>
      </w:r>
      <w:r w:rsidR="008F2B79">
        <w:t xml:space="preserve">business day’ </w:t>
      </w:r>
      <w:r>
        <w:t xml:space="preserve">means ‘A day that is not a Saturday, Sunday, or a public holiday or bank holiday in the Relevant Jurisdiction’. This means that the </w:t>
      </w:r>
      <w:r w:rsidR="00576D20">
        <w:t xml:space="preserve">deadline for </w:t>
      </w:r>
      <w:r>
        <w:t xml:space="preserve">reporting is </w:t>
      </w:r>
      <w:r w:rsidR="00C6045C" w:rsidRPr="00C6045C">
        <w:t xml:space="preserve">the end of the next </w:t>
      </w:r>
      <w:r w:rsidR="008F2B79">
        <w:t>b</w:t>
      </w:r>
      <w:r w:rsidR="008F2B79" w:rsidRPr="00C6045C">
        <w:t xml:space="preserve">usiness </w:t>
      </w:r>
      <w:r w:rsidR="008F2B79">
        <w:t>d</w:t>
      </w:r>
      <w:r w:rsidR="008F2B79" w:rsidRPr="00C6045C">
        <w:t>ay</w:t>
      </w:r>
      <w:r w:rsidR="008F2B79">
        <w:t xml:space="preserve"> </w:t>
      </w:r>
      <w:r>
        <w:t xml:space="preserve">in the jurisdiction in which the </w:t>
      </w:r>
      <w:r w:rsidR="00A65611">
        <w:t>reportable transact</w:t>
      </w:r>
      <w:r>
        <w:t>ion is entered into.</w:t>
      </w:r>
    </w:p>
    <w:p w14:paraId="294914F8" w14:textId="616360DF" w:rsidR="00913468" w:rsidRDefault="00576D20" w:rsidP="00913468">
      <w:pPr>
        <w:pStyle w:val="BodyText"/>
      </w:pPr>
      <w:r>
        <w:t xml:space="preserve">This means that there is not a single fixed deadline for reporting under the ASIC Rules and this may introduce a complexity </w:t>
      </w:r>
      <w:r w:rsidR="00913468">
        <w:t xml:space="preserve">under the UTI rules in determining the ‘jurisdiction with the sooner deadline for reporting’ for a </w:t>
      </w:r>
      <w:r w:rsidR="008F2B79">
        <w:t>cross</w:t>
      </w:r>
      <w:r w:rsidR="00913468">
        <w:t xml:space="preserve">-jurisdictional </w:t>
      </w:r>
      <w:r w:rsidR="008F2B79">
        <w:t>transaction</w:t>
      </w:r>
      <w:r w:rsidR="00913468">
        <w:t>.</w:t>
      </w:r>
    </w:p>
    <w:p w14:paraId="51DA4440" w14:textId="77777777" w:rsidR="00AE1A7B" w:rsidRPr="003A3721" w:rsidRDefault="00AE1A7B" w:rsidP="00AE1A7B">
      <w:pPr>
        <w:pStyle w:val="BodyText"/>
      </w:pPr>
      <w:r w:rsidRPr="003A3721">
        <w:t>Despite the ASIC Rules allowing a transaction to be reported after midnight Sydney T+1 if it is entered into in another jurisdiction, we do not observe any significant or systemic reliance on this provision in transaction reports under the ASIC Rules.</w:t>
      </w:r>
    </w:p>
    <w:p w14:paraId="7D0FDB84" w14:textId="77777777" w:rsidR="00AE1A7B" w:rsidRPr="003A3721" w:rsidRDefault="00AE1A7B" w:rsidP="00AE1A7B">
      <w:pPr>
        <w:pStyle w:val="BodyText"/>
      </w:pPr>
      <w:r w:rsidRPr="003A3721">
        <w:t>Therefore, we do not currently consider it is also necessary to fix the deadline for reporting for the actual reporting obligation, though we note that this would simplify the ASIC Rules and be in keeping with other jurisdictions.</w:t>
      </w:r>
    </w:p>
    <w:p w14:paraId="5AC95379" w14:textId="77777777" w:rsidR="00C80345" w:rsidRDefault="00C80345" w:rsidP="00C80345">
      <w:pPr>
        <w:pStyle w:val="Proposalhead"/>
      </w:pPr>
      <w:r>
        <w:t>Proposal</w:t>
      </w:r>
    </w:p>
    <w:p w14:paraId="78941F92" w14:textId="67CED468" w:rsidR="00C80345" w:rsidRDefault="00C80345" w:rsidP="00913468">
      <w:pPr>
        <w:pStyle w:val="Proposaltext"/>
      </w:pPr>
      <w:r>
        <w:t xml:space="preserve">We propose to </w:t>
      </w:r>
      <w:r w:rsidR="00913468">
        <w:t xml:space="preserve">clarify in the ASIC Rules that the deadline for reporting for the purposes of the UTI rules within the ASIC Rules is </w:t>
      </w:r>
      <w:r w:rsidR="002F6663">
        <w:t>a singular time referring to Sydney time</w:t>
      </w:r>
      <w:r w:rsidR="00913468">
        <w:t>.</w:t>
      </w:r>
    </w:p>
    <w:p w14:paraId="658C2357" w14:textId="77777777" w:rsidR="00C80345" w:rsidRDefault="00C80345" w:rsidP="00C80345">
      <w:pPr>
        <w:pStyle w:val="Feedbackhead"/>
      </w:pPr>
      <w:r>
        <w:t>Your feedback</w:t>
      </w:r>
    </w:p>
    <w:p w14:paraId="4C34B1D2" w14:textId="5934A8BB" w:rsidR="00C80345" w:rsidRDefault="00C80345" w:rsidP="00913468">
      <w:pPr>
        <w:pStyle w:val="Feedbackquestion"/>
      </w:pPr>
      <w:r>
        <w:t xml:space="preserve">Do you agree with our proposal to </w:t>
      </w:r>
      <w:r w:rsidR="00913468">
        <w:t>clarify the deadline for reporting for the purposes of the UTI rules within the ASIC Rules? In your response, please give detailed reasons for your answer.</w:t>
      </w:r>
    </w:p>
    <w:p w14:paraId="18D82A2E" w14:textId="5EA4FAF4" w:rsidR="0038185E" w:rsidRDefault="0038185E" w:rsidP="00913468">
      <w:pPr>
        <w:pStyle w:val="Feedbackquestion"/>
      </w:pPr>
      <w:r>
        <w:t>Do you consider there should be a single deadline for reporting that is applicable to both the UTI rules and the actual reporting obligation? In your response, please give detailed reasons for your answers.</w:t>
      </w:r>
    </w:p>
    <w:p w14:paraId="2E495528" w14:textId="0A1CDE56" w:rsidR="002F6663" w:rsidRDefault="002F6663" w:rsidP="00136CC5">
      <w:pPr>
        <w:pStyle w:val="Feedbackquestion"/>
        <w:spacing w:line="250" w:lineRule="atLeast"/>
      </w:pPr>
      <w:r>
        <w:t>Do you consider that such a singular time should be expressed as a precise time such as 11.59</w:t>
      </w:r>
      <w:r w:rsidR="008F2B79">
        <w:t xml:space="preserve"> </w:t>
      </w:r>
      <w:r>
        <w:t>pm or as the end of the day? In your response, please give detailed reasons for your answers.</w:t>
      </w:r>
    </w:p>
    <w:p w14:paraId="748896B2" w14:textId="796C8096" w:rsidR="00286C55" w:rsidRDefault="008F2B79" w:rsidP="00286C55">
      <w:pPr>
        <w:pStyle w:val="Heading2"/>
      </w:pPr>
      <w:bookmarkStart w:id="187" w:name="_Toc57146517"/>
      <w:r>
        <w:lastRenderedPageBreak/>
        <w:t xml:space="preserve">Rule </w:t>
      </w:r>
      <w:bookmarkStart w:id="188" w:name="_Ref54248167"/>
      <w:r w:rsidR="00286C55">
        <w:t>2.2.8 Lifecycle or snapshot reporting</w:t>
      </w:r>
      <w:bookmarkEnd w:id="187"/>
      <w:bookmarkEnd w:id="188"/>
    </w:p>
    <w:p w14:paraId="1932D9D2" w14:textId="40F6D7B9" w:rsidR="00286C55" w:rsidRDefault="00286C55" w:rsidP="00136CC5">
      <w:pPr>
        <w:pStyle w:val="BodyText"/>
        <w:spacing w:before="180" w:line="290" w:lineRule="atLeast"/>
      </w:pPr>
      <w:r>
        <w:t xml:space="preserve">Rule 2.2.8 </w:t>
      </w:r>
      <w:r w:rsidR="008F2B79">
        <w:t xml:space="preserve">of the ASIC Rules </w:t>
      </w:r>
      <w:r>
        <w:t xml:space="preserve">provides that a </w:t>
      </w:r>
      <w:r w:rsidR="009E0748">
        <w:t>reporting entity</w:t>
      </w:r>
      <w:r>
        <w:t xml:space="preserve"> may comply with Rule 2.2.1 in relation to a </w:t>
      </w:r>
      <w:r w:rsidR="00A65611">
        <w:t>reportable transact</w:t>
      </w:r>
      <w:r>
        <w:t xml:space="preserve">ion in an </w:t>
      </w:r>
      <w:r w:rsidR="00405E83">
        <w:t>OTC derivative</w:t>
      </w:r>
      <w:r>
        <w:t xml:space="preserve"> (</w:t>
      </w:r>
      <w:r w:rsidR="008F2B79">
        <w:t xml:space="preserve">relevant </w:t>
      </w:r>
      <w:r w:rsidR="00405E83">
        <w:t>OTC derivative</w:t>
      </w:r>
      <w:r>
        <w:t xml:space="preserve">), other than a </w:t>
      </w:r>
      <w:r w:rsidR="008F2B79">
        <w:t xml:space="preserve">derivative </w:t>
      </w:r>
      <w:r>
        <w:t xml:space="preserve">that is an </w:t>
      </w:r>
      <w:r w:rsidR="008F2B79">
        <w:t xml:space="preserve">excluded derivative </w:t>
      </w:r>
      <w:r>
        <w:t xml:space="preserve">or that is in a class of </w:t>
      </w:r>
      <w:r w:rsidR="008F2B79">
        <w:t xml:space="preserve">excluded derivatives </w:t>
      </w:r>
      <w:r>
        <w:t xml:space="preserve">at the time the </w:t>
      </w:r>
      <w:r w:rsidR="00A65611">
        <w:t>reportable transact</w:t>
      </w:r>
      <w:r>
        <w:t>ion is entered into, on a day (</w:t>
      </w:r>
      <w:r w:rsidR="008F2B79">
        <w:t>relevant day</w:t>
      </w:r>
      <w:r>
        <w:t>) by:</w:t>
      </w:r>
    </w:p>
    <w:p w14:paraId="4EDAF97F" w14:textId="68B00C12" w:rsidR="00286C55" w:rsidRDefault="00286C55" w:rsidP="00136CC5">
      <w:pPr>
        <w:pStyle w:val="subparaa"/>
        <w:spacing w:before="80" w:line="290" w:lineRule="atLeast"/>
      </w:pPr>
      <w:r w:rsidRPr="00EB2E10">
        <w:t xml:space="preserve">reporting </w:t>
      </w:r>
      <w:r w:rsidR="008F2B79">
        <w:t>d</w:t>
      </w:r>
      <w:r w:rsidR="008F2B79" w:rsidRPr="00EB2E10">
        <w:t xml:space="preserve">erivative </w:t>
      </w:r>
      <w:r w:rsidR="008F2B79">
        <w:t>t</w:t>
      </w:r>
      <w:r w:rsidR="008F2B79" w:rsidRPr="00EB2E10">
        <w:t xml:space="preserve">ransaction </w:t>
      </w:r>
      <w:r w:rsidR="008F2B79">
        <w:t>i</w:t>
      </w:r>
      <w:r w:rsidR="008F2B79" w:rsidRPr="00EB2E10">
        <w:t xml:space="preserve">nformation </w:t>
      </w:r>
      <w:r w:rsidRPr="00EB2E10">
        <w:t xml:space="preserve">separately for each </w:t>
      </w:r>
      <w:r w:rsidR="00A65611">
        <w:t>reportable transact</w:t>
      </w:r>
      <w:r w:rsidRPr="00EB2E10">
        <w:t xml:space="preserve">ion in the </w:t>
      </w:r>
      <w:r w:rsidR="008F2B79">
        <w:t>r</w:t>
      </w:r>
      <w:r w:rsidR="008F2B79" w:rsidRPr="00EB2E10">
        <w:t xml:space="preserve">elevant </w:t>
      </w:r>
      <w:r w:rsidR="00405E83">
        <w:t>OTC derivative</w:t>
      </w:r>
      <w:r w:rsidR="007951C9">
        <w:t xml:space="preserve"> (i.e. ‘</w:t>
      </w:r>
      <w:r w:rsidR="008F2B79">
        <w:t xml:space="preserve">lifecycle </w:t>
      </w:r>
      <w:r w:rsidR="007951C9">
        <w:t>reporting’)</w:t>
      </w:r>
      <w:r w:rsidRPr="00EB2E10">
        <w:t>; or</w:t>
      </w:r>
    </w:p>
    <w:p w14:paraId="41A25D6B" w14:textId="128D31EA" w:rsidR="00286C55" w:rsidRDefault="00286C55" w:rsidP="00136CC5">
      <w:pPr>
        <w:pStyle w:val="subparaa"/>
        <w:spacing w:before="80" w:line="290" w:lineRule="atLeast"/>
      </w:pPr>
      <w:r w:rsidRPr="00EB2E10">
        <w:t xml:space="preserve">reporting </w:t>
      </w:r>
      <w:r w:rsidR="008F2B79">
        <w:t>d</w:t>
      </w:r>
      <w:r w:rsidR="008F2B79" w:rsidRPr="00EB2E10">
        <w:t xml:space="preserve">erivative </w:t>
      </w:r>
      <w:r w:rsidR="008F2B79">
        <w:t>t</w:t>
      </w:r>
      <w:r w:rsidR="008F2B79" w:rsidRPr="00EB2E10">
        <w:t xml:space="preserve">ransaction </w:t>
      </w:r>
      <w:r w:rsidR="008F2B79">
        <w:t>i</w:t>
      </w:r>
      <w:r w:rsidR="008F2B79" w:rsidRPr="00EB2E10">
        <w:t xml:space="preserve">nformation </w:t>
      </w:r>
      <w:r w:rsidRPr="00EB2E10">
        <w:t xml:space="preserve">in relation to the </w:t>
      </w:r>
      <w:r w:rsidR="008F2B79">
        <w:t>r</w:t>
      </w:r>
      <w:r w:rsidR="008F2B79" w:rsidRPr="00EB2E10">
        <w:t xml:space="preserve">elevant </w:t>
      </w:r>
      <w:r w:rsidR="00405E83">
        <w:t>OTC derivative</w:t>
      </w:r>
      <w:r w:rsidRPr="00EB2E10">
        <w:t xml:space="preserve"> on its terms as of the </w:t>
      </w:r>
      <w:r w:rsidR="008F2B79">
        <w:t>r</w:t>
      </w:r>
      <w:r w:rsidR="008F2B79" w:rsidRPr="00EB2E10">
        <w:t xml:space="preserve">elevant </w:t>
      </w:r>
      <w:r w:rsidR="008F2B79">
        <w:t>d</w:t>
      </w:r>
      <w:r w:rsidR="008F2B79" w:rsidRPr="00EB2E10">
        <w:t>ay</w:t>
      </w:r>
      <w:r w:rsidR="008F2B79">
        <w:t xml:space="preserve"> </w:t>
      </w:r>
      <w:r w:rsidR="007951C9">
        <w:t>(i.e. ‘</w:t>
      </w:r>
      <w:r w:rsidR="008F2B79">
        <w:t xml:space="preserve">snapshot </w:t>
      </w:r>
      <w:r w:rsidR="007951C9">
        <w:t>reporting’</w:t>
      </w:r>
      <w:r w:rsidR="008F2B79">
        <w:t>)</w:t>
      </w:r>
      <w:r>
        <w:t>.</w:t>
      </w:r>
    </w:p>
    <w:p w14:paraId="0AAEFBC3" w14:textId="77E311AA" w:rsidR="00286C55" w:rsidRDefault="008F2B79" w:rsidP="00136CC5">
      <w:pPr>
        <w:pStyle w:val="BodyText"/>
        <w:spacing w:before="180" w:line="290" w:lineRule="atLeast"/>
      </w:pPr>
      <w:r>
        <w:t>Rule</w:t>
      </w:r>
      <w:r w:rsidRPr="008A1594">
        <w:t xml:space="preserve"> </w:t>
      </w:r>
      <w:r w:rsidR="00286C55" w:rsidRPr="008A1594">
        <w:t xml:space="preserve">2.2.8(3) provides that ASIC may determine from time to time that an </w:t>
      </w:r>
      <w:r w:rsidR="00405E83">
        <w:t>OTC derivative</w:t>
      </w:r>
      <w:r w:rsidR="00286C55" w:rsidRPr="008A1594">
        <w:t xml:space="preserve">, or a derivative product class, is an </w:t>
      </w:r>
      <w:r>
        <w:t>e</w:t>
      </w:r>
      <w:r w:rsidRPr="008A1594">
        <w:t xml:space="preserve">xcluded </w:t>
      </w:r>
      <w:r>
        <w:t>d</w:t>
      </w:r>
      <w:r w:rsidRPr="008A1594">
        <w:t xml:space="preserve">erivative </w:t>
      </w:r>
      <w:r w:rsidR="00286C55" w:rsidRPr="008A1594">
        <w:t xml:space="preserve">for the purposes of </w:t>
      </w:r>
      <w:r>
        <w:t>Rule</w:t>
      </w:r>
      <w:r w:rsidRPr="008A1594">
        <w:t xml:space="preserve"> </w:t>
      </w:r>
      <w:r w:rsidR="00286C55" w:rsidRPr="008A1594">
        <w:t>2.2.8(1), where, in the opinion of ASIC, doing so is desirable in order to enhance the transparency of transaction information available to relevant authorities and the public, promote financial stability or support the detection and prevention of market abuse.</w:t>
      </w:r>
    </w:p>
    <w:p w14:paraId="1891BC42" w14:textId="3B68E124" w:rsidR="007951C9" w:rsidRDefault="007951C9" w:rsidP="00136CC5">
      <w:pPr>
        <w:pStyle w:val="BodyText"/>
        <w:spacing w:before="180" w:line="290" w:lineRule="atLeast"/>
      </w:pPr>
      <w:r>
        <w:t xml:space="preserve">On 30 November 2018, ASIC made an </w:t>
      </w:r>
      <w:hyperlink r:id="rId39" w:history="1">
        <w:r w:rsidR="008F2B79" w:rsidRPr="008F2B79">
          <w:rPr>
            <w:rStyle w:val="Hyperlink"/>
          </w:rPr>
          <w:t xml:space="preserve">excluded derivative </w:t>
        </w:r>
        <w:r w:rsidRPr="008F2B79">
          <w:rPr>
            <w:rStyle w:val="Hyperlink"/>
          </w:rPr>
          <w:t>determination</w:t>
        </w:r>
      </w:hyperlink>
      <w:r w:rsidR="008F2B79">
        <w:t xml:space="preserve"> (PDF </w:t>
      </w:r>
      <w:r w:rsidR="000505E0">
        <w:t>105 KB)</w:t>
      </w:r>
      <w:r>
        <w:t xml:space="preserve"> requiring transactions in contracts for difference (CFDs), margin FX and equity derivatives to be reported to derivative trade repositories on a </w:t>
      </w:r>
      <w:r w:rsidR="008F2B79">
        <w:t>‘</w:t>
      </w:r>
      <w:r>
        <w:t>lifecycle</w:t>
      </w:r>
      <w:r w:rsidR="008F2B79">
        <w:t>’</w:t>
      </w:r>
      <w:r>
        <w:t xml:space="preserve"> method from 1 July 2019.</w:t>
      </w:r>
    </w:p>
    <w:p w14:paraId="11DCF1A5" w14:textId="00E189C5" w:rsidR="00CD55E7" w:rsidRDefault="0027097D" w:rsidP="00136CC5">
      <w:pPr>
        <w:pStyle w:val="BodyText"/>
        <w:spacing w:before="180" w:line="290" w:lineRule="atLeast"/>
      </w:pPr>
      <w:r>
        <w:t>ASIC is currently of the opinion that determining that derivative transactions entered into with an intent to clear those transactions</w:t>
      </w:r>
      <w:r w:rsidR="00C84AE5">
        <w:t xml:space="preserve"> (i.e. the pre-clearing or ‘alpha’ transactions) would also s</w:t>
      </w:r>
      <w:r>
        <w:t>a</w:t>
      </w:r>
      <w:r w:rsidR="00C84AE5">
        <w:t xml:space="preserve">tisfy the criteria of </w:t>
      </w:r>
      <w:r w:rsidR="000505E0">
        <w:t xml:space="preserve">Rule </w:t>
      </w:r>
      <w:r w:rsidR="00C84AE5">
        <w:t>2.2.8(3)</w:t>
      </w:r>
      <w:r w:rsidR="00CD55E7">
        <w:t>.</w:t>
      </w:r>
      <w:r w:rsidR="00A71073">
        <w:t xml:space="preserve"> We note that many </w:t>
      </w:r>
      <w:r w:rsidR="008A5B87">
        <w:t>reporting entit</w:t>
      </w:r>
      <w:r w:rsidR="00A71073">
        <w:t>ies currently report such types of transactions as lifecycle reporting.</w:t>
      </w:r>
    </w:p>
    <w:p w14:paraId="0265DC30" w14:textId="420D0056" w:rsidR="00800950" w:rsidRDefault="00800950" w:rsidP="00136CC5">
      <w:pPr>
        <w:pStyle w:val="BodyText"/>
        <w:spacing w:before="180" w:line="290" w:lineRule="atLeast"/>
      </w:pPr>
      <w:r>
        <w:t xml:space="preserve">In products other than CFDs, margin FX, equity derivatives and cleared transactions, there appears to be material termination and amendment transactional activity. For transaction reports in </w:t>
      </w:r>
      <w:r w:rsidR="00EF7823">
        <w:t xml:space="preserve">the month of </w:t>
      </w:r>
      <w:r>
        <w:t xml:space="preserve">October 2020, we estimate that terminations and amendments as a percentage of new uncleared transactions were 9% in </w:t>
      </w:r>
      <w:r w:rsidR="000505E0">
        <w:t xml:space="preserve">commodity </w:t>
      </w:r>
      <w:r>
        <w:t xml:space="preserve">products, 18% in </w:t>
      </w:r>
      <w:r w:rsidR="000505E0">
        <w:t xml:space="preserve">foreign exchange </w:t>
      </w:r>
      <w:r>
        <w:t xml:space="preserve">products, 54% in </w:t>
      </w:r>
      <w:r w:rsidR="000505E0">
        <w:t xml:space="preserve">interest rate </w:t>
      </w:r>
      <w:r>
        <w:t xml:space="preserve">products and 78% in </w:t>
      </w:r>
      <w:r w:rsidR="000505E0">
        <w:t xml:space="preserve">credit </w:t>
      </w:r>
      <w:r>
        <w:t>products, with terminations accounting for between about 30% to 70% across the various asset classes.</w:t>
      </w:r>
    </w:p>
    <w:p w14:paraId="7E441C57" w14:textId="1AEFFA65" w:rsidR="007951C9" w:rsidRDefault="0082064E" w:rsidP="000505E0">
      <w:pPr>
        <w:pStyle w:val="BodyText"/>
      </w:pPr>
      <w:r>
        <w:t xml:space="preserve">We also </w:t>
      </w:r>
      <w:r w:rsidR="00800950">
        <w:t xml:space="preserve">find that about </w:t>
      </w:r>
      <w:r>
        <w:t>40</w:t>
      </w:r>
      <w:r w:rsidR="00C0244B">
        <w:t>–</w:t>
      </w:r>
      <w:r>
        <w:t>60</w:t>
      </w:r>
      <w:r w:rsidR="00800950">
        <w:t xml:space="preserve">% of terminations </w:t>
      </w:r>
      <w:r>
        <w:t xml:space="preserve">across the asset classes </w:t>
      </w:r>
      <w:r w:rsidR="00800950">
        <w:t xml:space="preserve">occur within two days of the execution date of the transactions. We </w:t>
      </w:r>
      <w:r w:rsidR="009C1E8B">
        <w:t>consider</w:t>
      </w:r>
      <w:r w:rsidR="00800950">
        <w:t xml:space="preserve"> such short-term trading indicates that transparency </w:t>
      </w:r>
      <w:r w:rsidR="00800950" w:rsidRPr="008A1594">
        <w:t>of transaction information available to relevant authorities</w:t>
      </w:r>
      <w:r w:rsidR="00800950">
        <w:t xml:space="preserve"> and </w:t>
      </w:r>
      <w:r w:rsidR="00800950" w:rsidRPr="008A1594">
        <w:t>support</w:t>
      </w:r>
      <w:r w:rsidR="00800950">
        <w:t xml:space="preserve"> for </w:t>
      </w:r>
      <w:r w:rsidR="00800950" w:rsidRPr="008A1594">
        <w:t>detection and prevention of market abuse</w:t>
      </w:r>
      <w:r w:rsidR="00800950">
        <w:t xml:space="preserve"> would be enhanced by ‘lifecycle reporting’</w:t>
      </w:r>
      <w:r w:rsidR="00EF7823">
        <w:t xml:space="preserve"> to ensure the reporting of same-day new and terminated transactions</w:t>
      </w:r>
      <w:r w:rsidR="00800950">
        <w:t>.</w:t>
      </w:r>
    </w:p>
    <w:p w14:paraId="2036560F" w14:textId="116E20B5" w:rsidR="00DE42A0" w:rsidRDefault="00DE42A0" w:rsidP="007951C9">
      <w:pPr>
        <w:pStyle w:val="BodyText"/>
      </w:pPr>
      <w:r>
        <w:lastRenderedPageBreak/>
        <w:t xml:space="preserve">Therefore, we are considering </w:t>
      </w:r>
      <w:r w:rsidR="000505E0">
        <w:t xml:space="preserve">a proposal </w:t>
      </w:r>
      <w:r>
        <w:t xml:space="preserve">in the second round of consultation </w:t>
      </w:r>
      <w:r w:rsidR="000505E0">
        <w:t xml:space="preserve">to amend </w:t>
      </w:r>
      <w:r w:rsidR="005E4AFB">
        <w:t xml:space="preserve">the </w:t>
      </w:r>
      <w:r w:rsidR="00A71073">
        <w:t>ASIC Rules</w:t>
      </w:r>
      <w:r>
        <w:t xml:space="preserve"> to specify ‘lifecycle reporting’ as the reporting requirement for all </w:t>
      </w:r>
      <w:r w:rsidR="00A65611">
        <w:t>reportable transact</w:t>
      </w:r>
      <w:r>
        <w:t>ions.</w:t>
      </w:r>
    </w:p>
    <w:p w14:paraId="75FD2FEB" w14:textId="77777777" w:rsidR="00286C55" w:rsidRDefault="00286C55" w:rsidP="00286C55">
      <w:pPr>
        <w:pStyle w:val="Proposalhead"/>
      </w:pPr>
      <w:r>
        <w:t>Proposal</w:t>
      </w:r>
    </w:p>
    <w:p w14:paraId="0D244089" w14:textId="0F944156" w:rsidR="00286C55" w:rsidRDefault="00286C55" w:rsidP="00A71073">
      <w:pPr>
        <w:pStyle w:val="Proposaltext"/>
      </w:pPr>
      <w:r>
        <w:t xml:space="preserve">We </w:t>
      </w:r>
      <w:r w:rsidR="00A71073" w:rsidRPr="00A71073">
        <w:t xml:space="preserve">are considering </w:t>
      </w:r>
      <w:r w:rsidR="000505E0">
        <w:t>a proposal</w:t>
      </w:r>
      <w:r w:rsidR="00A71073" w:rsidRPr="00A71073">
        <w:t xml:space="preserve"> in the second round of consultation </w:t>
      </w:r>
      <w:r w:rsidR="000505E0">
        <w:t xml:space="preserve">to amend </w:t>
      </w:r>
      <w:r w:rsidR="00A71073" w:rsidRPr="00A71073">
        <w:t xml:space="preserve">the ASIC Rules </w:t>
      </w:r>
      <w:r>
        <w:t xml:space="preserve">to require </w:t>
      </w:r>
      <w:r w:rsidRPr="005937B2">
        <w:t xml:space="preserve">lifecycle reporting for </w:t>
      </w:r>
      <w:r w:rsidR="00A71073">
        <w:t xml:space="preserve">all </w:t>
      </w:r>
      <w:r w:rsidR="00A65611">
        <w:t>reportable transact</w:t>
      </w:r>
      <w:r w:rsidR="00A71073">
        <w:t>ions.</w:t>
      </w:r>
    </w:p>
    <w:p w14:paraId="42CC8C7B" w14:textId="77777777" w:rsidR="00286C55" w:rsidRDefault="00286C55" w:rsidP="00286C55">
      <w:pPr>
        <w:pStyle w:val="Feedbackhead"/>
      </w:pPr>
      <w:r>
        <w:t>Your feedback</w:t>
      </w:r>
    </w:p>
    <w:p w14:paraId="07EAA6F1" w14:textId="5590B634" w:rsidR="00A71073" w:rsidRDefault="00A71073" w:rsidP="00A71073">
      <w:pPr>
        <w:pStyle w:val="Feedbackquestion"/>
      </w:pPr>
      <w:r>
        <w:t>Do you agree that we should propose such requirements? In your response, please give detailed reasons for your answer.</w:t>
      </w:r>
    </w:p>
    <w:p w14:paraId="2BAAC08F" w14:textId="6DD12EE0" w:rsidR="00800950" w:rsidRDefault="00800950" w:rsidP="00800950">
      <w:pPr>
        <w:pStyle w:val="Feedbackquestion"/>
      </w:pPr>
      <w:r w:rsidRPr="00C62732">
        <w:t xml:space="preserve">Do you consider that you will have </w:t>
      </w:r>
      <w:r>
        <w:t>particular</w:t>
      </w:r>
      <w:r w:rsidRPr="00C62732">
        <w:t xml:space="preserve"> interpretation or implementation issues with </w:t>
      </w:r>
      <w:r w:rsidRPr="00F131D3">
        <w:t xml:space="preserve">‘lifecycle reporting’ for all </w:t>
      </w:r>
      <w:r w:rsidR="00D9559A">
        <w:t>r</w:t>
      </w:r>
      <w:r w:rsidR="00D9559A" w:rsidRPr="00F131D3">
        <w:t xml:space="preserve">eportable </w:t>
      </w:r>
      <w:r w:rsidR="00D9559A">
        <w:t>t</w:t>
      </w:r>
      <w:r w:rsidR="00D9559A" w:rsidRPr="00F131D3">
        <w:t>ransactions</w:t>
      </w:r>
      <w:r>
        <w:t xml:space="preserve">? </w:t>
      </w:r>
      <w:r w:rsidRPr="00C62732">
        <w:t>In your response, please give detailed reasons for your answer.</w:t>
      </w:r>
    </w:p>
    <w:p w14:paraId="1074C8B2" w14:textId="35A64A5D" w:rsidR="008F78FA" w:rsidRDefault="008F78FA" w:rsidP="008F78FA">
      <w:pPr>
        <w:pStyle w:val="Heading2"/>
        <w:rPr>
          <w:lang w:val="en"/>
        </w:rPr>
      </w:pPr>
      <w:bookmarkStart w:id="189" w:name="_Toc57146518"/>
      <w:r>
        <w:rPr>
          <w:lang w:val="en"/>
        </w:rPr>
        <w:t>Part 2.4 Transitional Matters and other transitional matters</w:t>
      </w:r>
      <w:bookmarkEnd w:id="189"/>
    </w:p>
    <w:p w14:paraId="76B526B7" w14:textId="24D63A54" w:rsidR="006973B7" w:rsidRDefault="008F78FA" w:rsidP="008F78FA">
      <w:pPr>
        <w:pStyle w:val="BodyText"/>
      </w:pPr>
      <w:r>
        <w:t xml:space="preserve">Part 2.4 </w:t>
      </w:r>
      <w:r w:rsidR="00D9559A">
        <w:t xml:space="preserve">of the ASIC Rules </w:t>
      </w:r>
      <w:r>
        <w:t>deals with transitional matters</w:t>
      </w:r>
      <w:r w:rsidR="006973B7">
        <w:t xml:space="preserve"> generally</w:t>
      </w:r>
      <w:r>
        <w:t xml:space="preserve"> in terms of deferring cer</w:t>
      </w:r>
      <w:r w:rsidR="006973B7">
        <w:t>tain</w:t>
      </w:r>
      <w:r>
        <w:t xml:space="preserve"> aspects </w:t>
      </w:r>
      <w:r w:rsidR="006973B7">
        <w:t>of the ASIC Rules from the commencement date of the ASIC Rules to various future dates.</w:t>
      </w:r>
    </w:p>
    <w:p w14:paraId="2EBBBDEC" w14:textId="3AF994AC" w:rsidR="006973B7" w:rsidRDefault="006973B7" w:rsidP="00614A69">
      <w:pPr>
        <w:pStyle w:val="BodyText"/>
      </w:pPr>
      <w:r>
        <w:t xml:space="preserve">In addition, Schedule 1: Reporting </w:t>
      </w:r>
      <w:r w:rsidRPr="006973B7">
        <w:t>Requirements—Phasing</w:t>
      </w:r>
      <w:r>
        <w:t xml:space="preserve"> sets out the phased implementation of the obligations under the ASIC Rules for various types of </w:t>
      </w:r>
      <w:r w:rsidR="008A5B87">
        <w:t>reporting entit</w:t>
      </w:r>
      <w:r>
        <w:t>ies and various type</w:t>
      </w:r>
      <w:r w:rsidR="00D9559A">
        <w:t>s</w:t>
      </w:r>
      <w:r>
        <w:t xml:space="preserve"> of </w:t>
      </w:r>
      <w:r w:rsidR="00A65611">
        <w:t>reportable transact</w:t>
      </w:r>
      <w:r>
        <w:t xml:space="preserve">ions and </w:t>
      </w:r>
      <w:r w:rsidR="00D9559A">
        <w:t>reportable positions</w:t>
      </w:r>
      <w:r>
        <w:t xml:space="preserve">. </w:t>
      </w:r>
    </w:p>
    <w:p w14:paraId="224B4137" w14:textId="2487AD37" w:rsidR="006973B7" w:rsidRDefault="006973B7" w:rsidP="00614A69">
      <w:pPr>
        <w:pStyle w:val="BodyText"/>
      </w:pPr>
      <w:r>
        <w:t xml:space="preserve">Furthermore, Part S2.2 Derivative Position Information sets out the information that must be reported for a </w:t>
      </w:r>
      <w:r w:rsidR="00D9559A">
        <w:t>reportable position</w:t>
      </w:r>
      <w:r>
        <w:t xml:space="preserve">. </w:t>
      </w:r>
      <w:r w:rsidR="00B15385">
        <w:t xml:space="preserve">A </w:t>
      </w:r>
      <w:r w:rsidR="00D9559A">
        <w:t xml:space="preserve">reportable position </w:t>
      </w:r>
      <w:r w:rsidR="00B15385">
        <w:t xml:space="preserve">is, broadly, an existing derivative transaction that was entered into </w:t>
      </w:r>
      <w:r w:rsidR="005E4AFB">
        <w:t>before</w:t>
      </w:r>
      <w:r w:rsidR="00B15385">
        <w:t xml:space="preserve"> the commencement of obligations to report </w:t>
      </w:r>
      <w:r w:rsidR="00A65611">
        <w:t>reportable transact</w:t>
      </w:r>
      <w:r w:rsidR="00B15385">
        <w:t xml:space="preserve">ions and has not matured or been terminated by the time </w:t>
      </w:r>
      <w:r w:rsidR="005E4AFB">
        <w:t>r</w:t>
      </w:r>
      <w:r w:rsidR="00B15385">
        <w:t xml:space="preserve">eportable </w:t>
      </w:r>
      <w:r w:rsidR="005E4AFB">
        <w:t xml:space="preserve">positions </w:t>
      </w:r>
      <w:r w:rsidR="00B15385">
        <w:t>were required to be reported.</w:t>
      </w:r>
    </w:p>
    <w:p w14:paraId="6D4AA7C8" w14:textId="040CE283" w:rsidR="00B15385" w:rsidRDefault="00B15385" w:rsidP="00614A69">
      <w:pPr>
        <w:pStyle w:val="BodyText"/>
      </w:pPr>
      <w:r>
        <w:t xml:space="preserve">There are also definitions in Part 1.2 Interpretation of the ASIC Rules that solely </w:t>
      </w:r>
      <w:r w:rsidR="005E4AFB">
        <w:t xml:space="preserve">apply </w:t>
      </w:r>
      <w:r>
        <w:t>to one or more of the above provisions.</w:t>
      </w:r>
    </w:p>
    <w:p w14:paraId="1F709F37" w14:textId="6FDE7AEB" w:rsidR="004F2769" w:rsidRDefault="00B15385" w:rsidP="005E4AFB">
      <w:pPr>
        <w:pStyle w:val="BodyText"/>
      </w:pPr>
      <w:r>
        <w:t>As the relevant time for all these provisions has passed</w:t>
      </w:r>
      <w:r w:rsidR="00193DFB">
        <w:t>—</w:t>
      </w:r>
      <w:r w:rsidR="005E4AFB">
        <w:t>that is, the</w:t>
      </w:r>
      <w:r>
        <w:t xml:space="preserve"> Part 2.4 </w:t>
      </w:r>
      <w:r w:rsidR="005E4AFB">
        <w:t xml:space="preserve">transitional matters </w:t>
      </w:r>
      <w:r>
        <w:t xml:space="preserve">are no longer transitional, the Schedule 1 phasing has been fully implemented and the deadlines for </w:t>
      </w:r>
      <w:r w:rsidR="005E4AFB">
        <w:t xml:space="preserve">reportable positions </w:t>
      </w:r>
      <w:r>
        <w:t>has passed</w:t>
      </w:r>
      <w:r w:rsidR="00193DFB">
        <w:t>—</w:t>
      </w:r>
      <w:r>
        <w:t xml:space="preserve">we propose to simplify the ASIC Rules by repealing </w:t>
      </w:r>
      <w:r w:rsidR="00524C27">
        <w:t>or amending the relevant outdated provisions of the ASIC Rules.</w:t>
      </w:r>
    </w:p>
    <w:p w14:paraId="3E98B7C1" w14:textId="77777777" w:rsidR="004F2769" w:rsidRDefault="004F2769" w:rsidP="004F2769">
      <w:pPr>
        <w:pStyle w:val="Proposalhead"/>
      </w:pPr>
      <w:r>
        <w:lastRenderedPageBreak/>
        <w:t>Proposal</w:t>
      </w:r>
    </w:p>
    <w:p w14:paraId="03CE387D" w14:textId="5F59A49C" w:rsidR="004F2769" w:rsidRDefault="00FE623E" w:rsidP="004F2769">
      <w:pPr>
        <w:pStyle w:val="Proposaltext"/>
      </w:pPr>
      <w:r>
        <w:t xml:space="preserve">We propose </w:t>
      </w:r>
      <w:r w:rsidR="004F2769">
        <w:t xml:space="preserve">to repeal </w:t>
      </w:r>
      <w:r>
        <w:t xml:space="preserve">or amend </w:t>
      </w:r>
      <w:r w:rsidR="004F2769">
        <w:t xml:space="preserve">the </w:t>
      </w:r>
      <w:r>
        <w:t xml:space="preserve">relevant </w:t>
      </w:r>
      <w:r w:rsidR="004F2769">
        <w:t xml:space="preserve">outdated provisions </w:t>
      </w:r>
      <w:r>
        <w:t>of the ASIC Rules</w:t>
      </w:r>
    </w:p>
    <w:p w14:paraId="0CF99DE1" w14:textId="77777777" w:rsidR="00FE623E" w:rsidRDefault="00FE623E" w:rsidP="00FE623E">
      <w:pPr>
        <w:pStyle w:val="Feedbackhead"/>
      </w:pPr>
      <w:r>
        <w:t>Your feedback</w:t>
      </w:r>
    </w:p>
    <w:p w14:paraId="567A45CD" w14:textId="2F384374" w:rsidR="00FE623E" w:rsidRDefault="00FE623E" w:rsidP="00317745">
      <w:pPr>
        <w:pStyle w:val="Feedbackquestion"/>
      </w:pPr>
      <w:r>
        <w:t>Do you agree with this proposal? In your response, please give detailed reasons for your answer.</w:t>
      </w:r>
    </w:p>
    <w:p w14:paraId="021B2940" w14:textId="57EE4582" w:rsidR="00953571" w:rsidRDefault="00FE623E" w:rsidP="00953571">
      <w:pPr>
        <w:pStyle w:val="Heading1"/>
      </w:pPr>
      <w:bookmarkStart w:id="190" w:name="_Toc51080726"/>
      <w:bookmarkStart w:id="191" w:name="_ASICRef949"/>
      <w:bookmarkStart w:id="192" w:name="_Toc57146519"/>
      <w:r>
        <w:lastRenderedPageBreak/>
        <w:t xml:space="preserve">Outstanding </w:t>
      </w:r>
      <w:r w:rsidR="00953571">
        <w:t>matters</w:t>
      </w:r>
      <w:bookmarkEnd w:id="190"/>
      <w:bookmarkEnd w:id="191"/>
      <w:bookmarkEnd w:id="192"/>
    </w:p>
    <w:p w14:paraId="36BFC460" w14:textId="52C2B0FE" w:rsidR="00FE623E" w:rsidRDefault="005E4AFB" w:rsidP="00136CC5">
      <w:pPr>
        <w:pStyle w:val="BodyText"/>
        <w:spacing w:before="0"/>
      </w:pPr>
      <w:r>
        <w:t xml:space="preserve">In this paper, </w:t>
      </w:r>
      <w:r w:rsidR="00AD7472">
        <w:t>we set out</w:t>
      </w:r>
      <w:r w:rsidR="004123BC">
        <w:t xml:space="preserve"> a number of matters to be considered for proposals in the second round of consultation.</w:t>
      </w:r>
    </w:p>
    <w:p w14:paraId="56092348" w14:textId="4BD21F10" w:rsidR="004123BC" w:rsidRDefault="004123BC" w:rsidP="00FE623E">
      <w:pPr>
        <w:pStyle w:val="BodyText"/>
      </w:pPr>
      <w:r>
        <w:t xml:space="preserve">There are also a number of </w:t>
      </w:r>
      <w:r w:rsidR="00833D88">
        <w:t xml:space="preserve">other </w:t>
      </w:r>
      <w:r>
        <w:t xml:space="preserve">matters that we have </w:t>
      </w:r>
      <w:r w:rsidR="00833D88" w:rsidRPr="00833D88">
        <w:t xml:space="preserve">not </w:t>
      </w:r>
      <w:r w:rsidR="00833D88">
        <w:t>discussed</w:t>
      </w:r>
      <w:r w:rsidR="0020615F">
        <w:t>, or not discussed in depth,</w:t>
      </w:r>
      <w:r w:rsidR="00833D88" w:rsidRPr="00833D88">
        <w:t xml:space="preserve"> in this paper</w:t>
      </w:r>
      <w:r>
        <w:t xml:space="preserve"> </w:t>
      </w:r>
      <w:r w:rsidR="00833D88">
        <w:t xml:space="preserve">that </w:t>
      </w:r>
      <w:r w:rsidR="00AD7472">
        <w:t>we currently</w:t>
      </w:r>
      <w:r>
        <w:t xml:space="preserve"> intend to consider making proposals about in the second round of consultation.</w:t>
      </w:r>
    </w:p>
    <w:p w14:paraId="0597F9CB" w14:textId="01471F75" w:rsidR="004123BC" w:rsidRDefault="004123BC" w:rsidP="00FE623E">
      <w:pPr>
        <w:pStyle w:val="BodyText"/>
      </w:pPr>
      <w:r>
        <w:t xml:space="preserve">These outstanding matters are set out in </w:t>
      </w:r>
      <w:r w:rsidR="00AD7472">
        <w:fldChar w:fldCharType="begin"/>
      </w:r>
      <w:r w:rsidR="00AD7472">
        <w:instrText xml:space="preserve"> REF _Ref56151547 \h </w:instrText>
      </w:r>
      <w:r w:rsidR="00AD7472">
        <w:fldChar w:fldCharType="separate"/>
      </w:r>
      <w:r w:rsidR="00314C7E">
        <w:t xml:space="preserve">Table </w:t>
      </w:r>
      <w:r w:rsidR="00314C7E">
        <w:rPr>
          <w:noProof/>
        </w:rPr>
        <w:t>32</w:t>
      </w:r>
      <w:r w:rsidR="00AD7472">
        <w:fldChar w:fldCharType="end"/>
      </w:r>
      <w:r>
        <w:t>.</w:t>
      </w:r>
    </w:p>
    <w:p w14:paraId="05A80D51" w14:textId="4717DB0E" w:rsidR="004123BC" w:rsidRDefault="004123BC" w:rsidP="00FE623E">
      <w:pPr>
        <w:pStyle w:val="BodyText"/>
      </w:pPr>
      <w:r>
        <w:t>We also welcome feedback from stakeholders about any other matters that you suggest we should take into consideration in the second round of consultation.</w:t>
      </w:r>
    </w:p>
    <w:p w14:paraId="79B24140" w14:textId="121361B7" w:rsidR="004123BC" w:rsidRDefault="004123BC" w:rsidP="00C753BA">
      <w:pPr>
        <w:pStyle w:val="tabletitlefullwidth"/>
      </w:pPr>
      <w:bookmarkStart w:id="193" w:name="_Ref56151547"/>
      <w:r>
        <w:t xml:space="preserve">Table </w:t>
      </w:r>
      <w:r w:rsidR="007055A5">
        <w:fldChar w:fldCharType="begin"/>
      </w:r>
      <w:r w:rsidR="007055A5">
        <w:instrText xml:space="preserve"> SEQ Table \* ARABIC </w:instrText>
      </w:r>
      <w:r w:rsidR="007055A5">
        <w:fldChar w:fldCharType="separate"/>
      </w:r>
      <w:r w:rsidR="00314C7E">
        <w:rPr>
          <w:noProof/>
        </w:rPr>
        <w:t>32</w:t>
      </w:r>
      <w:r w:rsidR="007055A5">
        <w:rPr>
          <w:noProof/>
        </w:rPr>
        <w:fldChar w:fldCharType="end"/>
      </w:r>
      <w:bookmarkEnd w:id="193"/>
      <w:r>
        <w:t>:</w:t>
      </w:r>
      <w:r>
        <w:tab/>
        <w:t>Outstanding matters for the second round of consultation</w:t>
      </w:r>
    </w:p>
    <w:tbl>
      <w:tblPr>
        <w:tblW w:w="9072" w:type="dxa"/>
        <w:tblBorders>
          <w:top w:val="single" w:sz="4" w:space="0" w:color="999999"/>
          <w:bottom w:val="single" w:sz="4" w:space="0" w:color="999999"/>
          <w:insideH w:val="single" w:sz="4" w:space="0" w:color="999999"/>
        </w:tblBorders>
        <w:tblLayout w:type="fixed"/>
        <w:tblCellMar>
          <w:bottom w:w="113" w:type="dxa"/>
        </w:tblCellMar>
        <w:tblLook w:val="0620" w:firstRow="1" w:lastRow="0" w:firstColumn="0" w:lastColumn="0" w:noHBand="1" w:noVBand="1"/>
      </w:tblPr>
      <w:tblGrid>
        <w:gridCol w:w="4536"/>
        <w:gridCol w:w="4536"/>
      </w:tblGrid>
      <w:tr w:rsidR="004123BC" w:rsidRPr="000540E1" w14:paraId="318B624B" w14:textId="77777777" w:rsidTr="00791FCC">
        <w:trPr>
          <w:cantSplit/>
          <w:tblHeader/>
        </w:trPr>
        <w:tc>
          <w:tcPr>
            <w:tcW w:w="4536" w:type="dxa"/>
            <w:shd w:val="clear" w:color="auto" w:fill="C2E3FA"/>
          </w:tcPr>
          <w:p w14:paraId="0A2FD0AD" w14:textId="11E18568" w:rsidR="004123BC" w:rsidRPr="000540E1" w:rsidRDefault="004123BC" w:rsidP="00C753BA">
            <w:pPr>
              <w:pStyle w:val="tablehead"/>
            </w:pPr>
            <w:r>
              <w:t>Matter</w:t>
            </w:r>
          </w:p>
        </w:tc>
        <w:tc>
          <w:tcPr>
            <w:tcW w:w="4536" w:type="dxa"/>
            <w:shd w:val="clear" w:color="auto" w:fill="C2E3FA"/>
          </w:tcPr>
          <w:p w14:paraId="6FD3F5D8" w14:textId="2AE86597" w:rsidR="004123BC" w:rsidRPr="000540E1" w:rsidRDefault="000D2F6F" w:rsidP="00C753BA">
            <w:pPr>
              <w:pStyle w:val="tablehead"/>
            </w:pPr>
            <w:r>
              <w:t>Issues</w:t>
            </w:r>
          </w:p>
        </w:tc>
      </w:tr>
      <w:tr w:rsidR="0020615F" w:rsidRPr="000540E1" w14:paraId="6A4317BD" w14:textId="77777777" w:rsidTr="00791FCC">
        <w:trPr>
          <w:cantSplit/>
        </w:trPr>
        <w:tc>
          <w:tcPr>
            <w:tcW w:w="4536" w:type="dxa"/>
          </w:tcPr>
          <w:p w14:paraId="408A11D5" w14:textId="77777777" w:rsidR="0020615F" w:rsidRPr="000540E1" w:rsidRDefault="0020615F" w:rsidP="00FF00A5">
            <w:pPr>
              <w:pStyle w:val="tbltext"/>
            </w:pPr>
            <w:r>
              <w:t>D</w:t>
            </w:r>
            <w:r w:rsidRPr="0020615F">
              <w:t>ifferent types of reports</w:t>
            </w:r>
          </w:p>
        </w:tc>
        <w:tc>
          <w:tcPr>
            <w:tcW w:w="4536" w:type="dxa"/>
          </w:tcPr>
          <w:p w14:paraId="0BDAF704" w14:textId="77777777" w:rsidR="0020615F" w:rsidRPr="000540E1" w:rsidRDefault="0020615F" w:rsidP="00FF00A5">
            <w:pPr>
              <w:pStyle w:val="tbltext"/>
            </w:pPr>
            <w:r>
              <w:t>W</w:t>
            </w:r>
            <w:r w:rsidRPr="0020615F">
              <w:t>hether the ASIC Rules should address specifying different types of reports—such as transaction, valuation or collateral reports—and the data elements that would be required to be reported in each type of report</w:t>
            </w:r>
          </w:p>
        </w:tc>
      </w:tr>
      <w:tr w:rsidR="0020615F" w:rsidRPr="000540E1" w14:paraId="12F176FD" w14:textId="77777777" w:rsidTr="00791FCC">
        <w:trPr>
          <w:cantSplit/>
        </w:trPr>
        <w:tc>
          <w:tcPr>
            <w:tcW w:w="4536" w:type="dxa"/>
          </w:tcPr>
          <w:p w14:paraId="361AB72D" w14:textId="77777777" w:rsidR="0020615F" w:rsidRPr="000540E1" w:rsidRDefault="0020615F" w:rsidP="00FF00A5">
            <w:pPr>
              <w:pStyle w:val="tbltext"/>
            </w:pPr>
            <w:r>
              <w:t>Commencement of transaction reporting under the new requirements</w:t>
            </w:r>
          </w:p>
        </w:tc>
        <w:tc>
          <w:tcPr>
            <w:tcW w:w="4536" w:type="dxa"/>
          </w:tcPr>
          <w:p w14:paraId="39F1F930" w14:textId="66DD7256" w:rsidR="0020615F" w:rsidRPr="000540E1" w:rsidRDefault="0020615F" w:rsidP="00FF00A5">
            <w:pPr>
              <w:pStyle w:val="tbltext"/>
            </w:pPr>
            <w:r>
              <w:t>The new requirements should apply from ‘not later than’ a specified or determinable date and having regard to the applicable dates in other jurisdictions. To allow for the data handling readiness of reporting entities, trade repositories and the Australian regulators, the new requirements may also need to be not applicable before a date</w:t>
            </w:r>
          </w:p>
        </w:tc>
      </w:tr>
      <w:tr w:rsidR="0020615F" w:rsidRPr="000540E1" w14:paraId="56AA5BD8" w14:textId="77777777" w:rsidTr="00791FCC">
        <w:trPr>
          <w:cantSplit/>
        </w:trPr>
        <w:tc>
          <w:tcPr>
            <w:tcW w:w="4536" w:type="dxa"/>
          </w:tcPr>
          <w:p w14:paraId="546E8580" w14:textId="77777777" w:rsidR="0020615F" w:rsidRPr="000540E1" w:rsidRDefault="0020615F" w:rsidP="00FF00A5">
            <w:pPr>
              <w:pStyle w:val="tbltext"/>
            </w:pPr>
            <w:r>
              <w:t>Updating existing reported transactions to new requirements</w:t>
            </w:r>
          </w:p>
        </w:tc>
        <w:tc>
          <w:tcPr>
            <w:tcW w:w="4536" w:type="dxa"/>
          </w:tcPr>
          <w:p w14:paraId="2F04652E" w14:textId="77777777" w:rsidR="0020615F" w:rsidRPr="000540E1" w:rsidRDefault="0020615F" w:rsidP="00FF00A5">
            <w:pPr>
              <w:pStyle w:val="tbltext"/>
            </w:pPr>
            <w:r>
              <w:t>The circumstances under which the information reported for existing transactions should be updated to conform to new reporting requirements for data elements</w:t>
            </w:r>
          </w:p>
        </w:tc>
      </w:tr>
      <w:tr w:rsidR="0020615F" w:rsidRPr="000540E1" w14:paraId="279FFBA2" w14:textId="77777777" w:rsidTr="00791FCC">
        <w:trPr>
          <w:cantSplit/>
        </w:trPr>
        <w:tc>
          <w:tcPr>
            <w:tcW w:w="4536" w:type="dxa"/>
          </w:tcPr>
          <w:p w14:paraId="26AE1D24" w14:textId="77777777" w:rsidR="0020615F" w:rsidRDefault="0020615F" w:rsidP="00FF00A5">
            <w:pPr>
              <w:pStyle w:val="tbltext"/>
            </w:pPr>
            <w:r>
              <w:t>Other provisions of Part 2.2 Reporting Requirements not covered in this paper</w:t>
            </w:r>
          </w:p>
        </w:tc>
        <w:tc>
          <w:tcPr>
            <w:tcW w:w="4536" w:type="dxa"/>
          </w:tcPr>
          <w:p w14:paraId="251B6936" w14:textId="7B84F7D6" w:rsidR="0020615F" w:rsidRDefault="0020615F" w:rsidP="00D62F2D">
            <w:pPr>
              <w:pStyle w:val="tbltext"/>
            </w:pPr>
            <w:r>
              <w:t>This paper</w:t>
            </w:r>
            <w:r w:rsidR="00D62F2D">
              <w:t xml:space="preserve"> </w:t>
            </w:r>
            <w:r>
              <w:t>focus</w:t>
            </w:r>
            <w:r w:rsidR="00D62F2D">
              <w:t>es o</w:t>
            </w:r>
            <w:r>
              <w:t xml:space="preserve">n key </w:t>
            </w:r>
            <w:r w:rsidR="00F16A91">
              <w:t xml:space="preserve">proposed rule changes. </w:t>
            </w:r>
            <w:r>
              <w:t xml:space="preserve">We intend </w:t>
            </w:r>
            <w:r w:rsidR="00D62F2D">
              <w:t xml:space="preserve">to </w:t>
            </w:r>
            <w:r>
              <w:t>further review the ASIC Rules and may make proposals in the second round of consultation on any other provisions in the ASIC Rules</w:t>
            </w:r>
          </w:p>
        </w:tc>
      </w:tr>
      <w:tr w:rsidR="0020615F" w:rsidRPr="000540E1" w14:paraId="72DEE0D5" w14:textId="77777777" w:rsidTr="00791FCC">
        <w:trPr>
          <w:cantSplit/>
        </w:trPr>
        <w:tc>
          <w:tcPr>
            <w:tcW w:w="4536" w:type="dxa"/>
          </w:tcPr>
          <w:p w14:paraId="08FA63FD" w14:textId="20A9A71E" w:rsidR="0020615F" w:rsidRPr="000540E1" w:rsidRDefault="0020615F" w:rsidP="0020615F">
            <w:pPr>
              <w:pStyle w:val="tbltext"/>
            </w:pPr>
            <w:r>
              <w:t>Data messaging standard</w:t>
            </w:r>
          </w:p>
        </w:tc>
        <w:tc>
          <w:tcPr>
            <w:tcW w:w="4536" w:type="dxa"/>
          </w:tcPr>
          <w:p w14:paraId="4B46B6C8" w14:textId="491B6FB6" w:rsidR="0020615F" w:rsidRPr="000540E1" w:rsidRDefault="0020615F" w:rsidP="0020615F">
            <w:pPr>
              <w:pStyle w:val="tbltext"/>
            </w:pPr>
            <w:r>
              <w:t>Whether to specify a common data messaging standard such as ISO 20022</w:t>
            </w:r>
          </w:p>
        </w:tc>
      </w:tr>
    </w:tbl>
    <w:p w14:paraId="238A7EFA" w14:textId="77777777" w:rsidR="004D2B37" w:rsidRDefault="004D2B37" w:rsidP="00355775">
      <w:pPr>
        <w:pStyle w:val="Heading1"/>
      </w:pPr>
      <w:bookmarkStart w:id="194" w:name="_Regulatory_and_financial_impact"/>
      <w:bookmarkStart w:id="195" w:name="_Regulatory_and_financial"/>
      <w:bookmarkStart w:id="196" w:name="_Toc152037858"/>
      <w:bookmarkStart w:id="197" w:name="_Ref157863730"/>
      <w:bookmarkStart w:id="198" w:name="_Toc158520482"/>
      <w:bookmarkStart w:id="199" w:name="_Ref164325814"/>
      <w:bookmarkStart w:id="200" w:name="_Ref164325851"/>
      <w:bookmarkStart w:id="201" w:name="_Ref164326448"/>
      <w:bookmarkStart w:id="202" w:name="_Toc164436800"/>
      <w:bookmarkStart w:id="203" w:name="_Ref306270861"/>
      <w:bookmarkStart w:id="204" w:name="_Toc57146520"/>
      <w:bookmarkEnd w:id="194"/>
      <w:bookmarkEnd w:id="195"/>
      <w:r>
        <w:lastRenderedPageBreak/>
        <w:t>Regulatory and financial impact</w:t>
      </w:r>
      <w:bookmarkEnd w:id="196"/>
      <w:bookmarkEnd w:id="197"/>
      <w:bookmarkEnd w:id="198"/>
      <w:bookmarkEnd w:id="199"/>
      <w:bookmarkEnd w:id="200"/>
      <w:bookmarkEnd w:id="201"/>
      <w:bookmarkEnd w:id="202"/>
      <w:bookmarkEnd w:id="203"/>
      <w:bookmarkEnd w:id="204"/>
    </w:p>
    <w:p w14:paraId="13360654" w14:textId="3FADFE11" w:rsidR="004D2B37" w:rsidRDefault="004D2B37" w:rsidP="00A829C7">
      <w:pPr>
        <w:pStyle w:val="BodyText"/>
        <w:spacing w:line="290" w:lineRule="atLeast"/>
      </w:pPr>
      <w:r>
        <w:t xml:space="preserve">In developing the </w:t>
      </w:r>
      <w:r w:rsidR="000F4047">
        <w:t xml:space="preserve">final </w:t>
      </w:r>
      <w:r>
        <w:t xml:space="preserve">proposals </w:t>
      </w:r>
      <w:r w:rsidR="000F4047">
        <w:t>in the second round of consultation</w:t>
      </w:r>
      <w:r>
        <w:t xml:space="preserve">, we </w:t>
      </w:r>
      <w:r w:rsidR="000F4047">
        <w:t>will</w:t>
      </w:r>
      <w:r>
        <w:t xml:space="preserve"> carefully consider their regulatory and financial impact. On the information currently available to us we think they will strike an appropriate balance between:</w:t>
      </w:r>
    </w:p>
    <w:p w14:paraId="1A9D7F43" w14:textId="2BF22966" w:rsidR="004D2B37" w:rsidRDefault="00D55F6A" w:rsidP="00A829C7">
      <w:pPr>
        <w:pStyle w:val="subparaa"/>
        <w:spacing w:line="290" w:lineRule="atLeast"/>
      </w:pPr>
      <w:r>
        <w:t>the likely effect of the proposed rule changes on the Australian economy, and on the efficiency, integrity and stability of the Australian financial system</w:t>
      </w:r>
      <w:r w:rsidR="004D2B37">
        <w:t>;</w:t>
      </w:r>
    </w:p>
    <w:p w14:paraId="7D5EA75B" w14:textId="35175190" w:rsidR="007D77AD" w:rsidRDefault="007D77AD" w:rsidP="00A829C7">
      <w:pPr>
        <w:pStyle w:val="subparaa"/>
        <w:spacing w:line="290" w:lineRule="atLeast"/>
      </w:pPr>
      <w:r>
        <w:t>any effects on competition in the Australian financial system;</w:t>
      </w:r>
    </w:p>
    <w:p w14:paraId="01A1B8D2" w14:textId="53D673E7" w:rsidR="00D55F6A" w:rsidRDefault="00D55F6A" w:rsidP="00A829C7">
      <w:pPr>
        <w:pStyle w:val="subparaa"/>
        <w:spacing w:line="290" w:lineRule="atLeast"/>
      </w:pPr>
      <w:r>
        <w:t>the likely regulatory impact of the proposed rule changes</w:t>
      </w:r>
      <w:r w:rsidR="007D77AD">
        <w:t xml:space="preserve"> (including compliance costs and barriers to entry)</w:t>
      </w:r>
      <w:r>
        <w:t>;</w:t>
      </w:r>
    </w:p>
    <w:p w14:paraId="6CBB6F0A" w14:textId="4D6C90E0" w:rsidR="00D55F6A" w:rsidRDefault="00D55F6A" w:rsidP="00A829C7">
      <w:pPr>
        <w:pStyle w:val="subparaa"/>
        <w:spacing w:line="290" w:lineRule="atLeast"/>
      </w:pPr>
      <w:r>
        <w:t>ensuring that regulators have access to comprehensive and complete information about OTC derivative transactions in the Australian market; and</w:t>
      </w:r>
    </w:p>
    <w:p w14:paraId="2CAE9866" w14:textId="4DC1A740" w:rsidR="00D55F6A" w:rsidRDefault="00D55F6A" w:rsidP="00A829C7">
      <w:pPr>
        <w:pStyle w:val="subparaa"/>
        <w:spacing w:line="290" w:lineRule="atLeast"/>
      </w:pPr>
      <w:r>
        <w:t xml:space="preserve">providing an appropriate level of consistency with the international regulatory approach to OTC derivative transaction reporting </w:t>
      </w:r>
      <w:r w:rsidR="007231E7">
        <w:t xml:space="preserve">in other </w:t>
      </w:r>
      <w:r w:rsidR="00317745">
        <w:t>jurisdictions.</w:t>
      </w:r>
    </w:p>
    <w:p w14:paraId="423E68B3" w14:textId="77777777" w:rsidR="004D2B37" w:rsidRDefault="004D2B37" w:rsidP="00A829C7">
      <w:pPr>
        <w:pStyle w:val="BodyText"/>
        <w:spacing w:line="290" w:lineRule="atLeast"/>
      </w:pPr>
      <w:r>
        <w:t>Before settling on a final policy, we will comply with the Australian Government’s regulatory impact analysis (RIA) requirements by:</w:t>
      </w:r>
    </w:p>
    <w:p w14:paraId="6F43673A" w14:textId="77777777" w:rsidR="004D2B37" w:rsidRDefault="004D2B37" w:rsidP="00A829C7">
      <w:pPr>
        <w:pStyle w:val="subparaa"/>
        <w:spacing w:line="290" w:lineRule="atLeast"/>
      </w:pPr>
      <w:r>
        <w:t xml:space="preserve">considering all feasible options, </w:t>
      </w:r>
      <w:r w:rsidRPr="003E2B30">
        <w:t xml:space="preserve">including examining the likely impacts of the range of alternative options </w:t>
      </w:r>
      <w:r>
        <w:t>that</w:t>
      </w:r>
      <w:r w:rsidRPr="003E2B30">
        <w:t xml:space="preserve"> could meet our policy objectives</w:t>
      </w:r>
      <w:r>
        <w:t>;</w:t>
      </w:r>
    </w:p>
    <w:p w14:paraId="07DC11DD" w14:textId="77777777" w:rsidR="004D2B37" w:rsidRDefault="004D2B37" w:rsidP="00A829C7">
      <w:pPr>
        <w:pStyle w:val="subparaa"/>
        <w:spacing w:line="290" w:lineRule="atLeast"/>
      </w:pPr>
      <w:r>
        <w:t xml:space="preserve">if regulatory options are under consideration, </w:t>
      </w:r>
      <w:r w:rsidRPr="003E2B30">
        <w:t>notifying the Office of Best Practice Regulation (OBPR)</w:t>
      </w:r>
      <w:r>
        <w:t>; and</w:t>
      </w:r>
    </w:p>
    <w:p w14:paraId="20A5ED14" w14:textId="77777777" w:rsidR="004D2B37" w:rsidRDefault="004D2B37" w:rsidP="00A829C7">
      <w:pPr>
        <w:pStyle w:val="subparaa"/>
        <w:spacing w:line="290" w:lineRule="atLeast"/>
      </w:pPr>
      <w:r>
        <w:t xml:space="preserve">if our proposed option has more than a minor or machinery impact on business or on the not-for-profit sector, preparing a Regulation Impact Statement (RIS). </w:t>
      </w:r>
    </w:p>
    <w:p w14:paraId="1884EF09" w14:textId="77777777" w:rsidR="004D2B37" w:rsidRDefault="004D2B37" w:rsidP="00A829C7">
      <w:pPr>
        <w:pStyle w:val="BodyText"/>
        <w:spacing w:line="290" w:lineRule="atLeast"/>
      </w:pPr>
      <w:r>
        <w:t>All RISs are submitted to the OBPR for approval before we make any final decision. Without an approved RIS, ASIC is unable to give relief or make any other form of regulation, including issuing a regulatory guide that contains regulation.</w:t>
      </w:r>
    </w:p>
    <w:p w14:paraId="3ED2ECC8" w14:textId="77777777" w:rsidR="004D2B37" w:rsidRDefault="004D2B37" w:rsidP="00A829C7">
      <w:pPr>
        <w:pStyle w:val="BodyText"/>
        <w:spacing w:line="290" w:lineRule="atLeast"/>
      </w:pPr>
      <w:r>
        <w:t>To ensure that we are in a position to properly complete any required RIS, please give us as much information as you can about our proposals or any alternative approaches, including:</w:t>
      </w:r>
    </w:p>
    <w:p w14:paraId="3CD29D8E" w14:textId="77777777" w:rsidR="004D2B37" w:rsidRDefault="004D2B37" w:rsidP="00A829C7">
      <w:pPr>
        <w:pStyle w:val="subparaa"/>
        <w:spacing w:line="290" w:lineRule="atLeast"/>
      </w:pPr>
      <w:r>
        <w:t xml:space="preserve">the likely compliance costs; </w:t>
      </w:r>
    </w:p>
    <w:p w14:paraId="76F335D0" w14:textId="77777777" w:rsidR="004D2B37" w:rsidRDefault="004D2B37" w:rsidP="00A829C7">
      <w:pPr>
        <w:pStyle w:val="subparaa"/>
        <w:spacing w:line="290" w:lineRule="atLeast"/>
      </w:pPr>
      <w:r>
        <w:t>the likely effect on competition; and</w:t>
      </w:r>
    </w:p>
    <w:p w14:paraId="6B64559C" w14:textId="77777777" w:rsidR="004D2B37" w:rsidRDefault="004D2B37" w:rsidP="00A829C7">
      <w:pPr>
        <w:pStyle w:val="subparaa"/>
        <w:spacing w:line="290" w:lineRule="atLeast"/>
      </w:pPr>
      <w:r>
        <w:t>other impacts, costs and benefits.</w:t>
      </w:r>
    </w:p>
    <w:p w14:paraId="033534FE" w14:textId="3DF44B22" w:rsidR="004D2B37" w:rsidRDefault="004D2B37" w:rsidP="00A829C7">
      <w:pPr>
        <w:pStyle w:val="Bodytextplain"/>
        <w:spacing w:line="290" w:lineRule="atLeast"/>
      </w:pPr>
      <w:r>
        <w:t xml:space="preserve">See ‘The consultation process’, p. </w:t>
      </w:r>
      <w:r>
        <w:fldChar w:fldCharType="begin"/>
      </w:r>
      <w:r>
        <w:instrText xml:space="preserve"> PAGEREF ConsultationProcess \h </w:instrText>
      </w:r>
      <w:r>
        <w:fldChar w:fldCharType="separate"/>
      </w:r>
      <w:r w:rsidR="00314C7E">
        <w:rPr>
          <w:noProof/>
        </w:rPr>
        <w:t>5</w:t>
      </w:r>
      <w:r>
        <w:fldChar w:fldCharType="end"/>
      </w:r>
      <w:r>
        <w:t>.</w:t>
      </w:r>
    </w:p>
    <w:p w14:paraId="1B1B606E" w14:textId="77777777" w:rsidR="004D2B37" w:rsidRDefault="004D2B37" w:rsidP="00355775">
      <w:pPr>
        <w:pStyle w:val="Heading1nonumber"/>
      </w:pPr>
      <w:bookmarkStart w:id="205" w:name="_Toc164436802"/>
      <w:bookmarkStart w:id="206" w:name="_Toc57146521"/>
      <w:r>
        <w:lastRenderedPageBreak/>
        <w:t>Key terms</w:t>
      </w:r>
      <w:bookmarkEnd w:id="205"/>
      <w:bookmarkEnd w:id="206"/>
    </w:p>
    <w:tbl>
      <w:tblPr>
        <w:tblW w:w="6804" w:type="dxa"/>
        <w:tblInd w:w="2268" w:type="dxa"/>
        <w:tblLayout w:type="fixed"/>
        <w:tblCellMar>
          <w:bottom w:w="85" w:type="dxa"/>
        </w:tblCellMar>
        <w:tblLook w:val="0020" w:firstRow="1" w:lastRow="0" w:firstColumn="0" w:lastColumn="0" w:noHBand="0" w:noVBand="0"/>
      </w:tblPr>
      <w:tblGrid>
        <w:gridCol w:w="1985"/>
        <w:gridCol w:w="4819"/>
      </w:tblGrid>
      <w:tr w:rsidR="004D2B37" w:rsidRPr="00D8236C" w14:paraId="38A75146" w14:textId="77777777" w:rsidTr="00E9353E">
        <w:trPr>
          <w:cantSplit/>
          <w:tblHeader/>
        </w:trPr>
        <w:tc>
          <w:tcPr>
            <w:tcW w:w="1985" w:type="dxa"/>
            <w:tcBorders>
              <w:top w:val="single" w:sz="4" w:space="0" w:color="999999"/>
              <w:bottom w:val="single" w:sz="4" w:space="0" w:color="999999"/>
            </w:tcBorders>
            <w:shd w:val="clear" w:color="auto" w:fill="C2E3FA"/>
          </w:tcPr>
          <w:p w14:paraId="044F22FF" w14:textId="77777777" w:rsidR="004D2B37" w:rsidRPr="00D8236C" w:rsidRDefault="004D2B37">
            <w:pPr>
              <w:pStyle w:val="tablehead"/>
            </w:pPr>
            <w:r w:rsidRPr="00D8236C">
              <w:t>Term</w:t>
            </w:r>
          </w:p>
        </w:tc>
        <w:tc>
          <w:tcPr>
            <w:tcW w:w="4819" w:type="dxa"/>
            <w:tcBorders>
              <w:top w:val="single" w:sz="4" w:space="0" w:color="999999"/>
              <w:bottom w:val="single" w:sz="4" w:space="0" w:color="999999"/>
            </w:tcBorders>
            <w:shd w:val="clear" w:color="auto" w:fill="C2E3FA"/>
          </w:tcPr>
          <w:p w14:paraId="6AFE4B9A" w14:textId="77777777" w:rsidR="004D2B37" w:rsidRPr="00D8236C" w:rsidRDefault="004D2B37">
            <w:pPr>
              <w:pStyle w:val="tablehead"/>
            </w:pPr>
            <w:r w:rsidRPr="00D8236C">
              <w:t>Meaning in this document</w:t>
            </w:r>
          </w:p>
        </w:tc>
      </w:tr>
      <w:tr w:rsidR="008D35B3" w:rsidRPr="00D8236C" w14:paraId="3B95746F" w14:textId="77777777" w:rsidTr="000514E1">
        <w:trPr>
          <w:cantSplit/>
        </w:trPr>
        <w:tc>
          <w:tcPr>
            <w:tcW w:w="1985" w:type="dxa"/>
            <w:tcBorders>
              <w:top w:val="single" w:sz="4" w:space="0" w:color="999999"/>
            </w:tcBorders>
          </w:tcPr>
          <w:p w14:paraId="3B87A3F1" w14:textId="444AFD13" w:rsidR="008D35B3" w:rsidRPr="00D8236C" w:rsidRDefault="008D35B3" w:rsidP="008D35B3">
            <w:pPr>
              <w:pStyle w:val="tabletext"/>
            </w:pPr>
            <w:r w:rsidRPr="00D8236C">
              <w:t>ABN</w:t>
            </w:r>
          </w:p>
        </w:tc>
        <w:tc>
          <w:tcPr>
            <w:tcW w:w="4819" w:type="dxa"/>
            <w:tcBorders>
              <w:top w:val="single" w:sz="4" w:space="0" w:color="999999"/>
            </w:tcBorders>
          </w:tcPr>
          <w:p w14:paraId="5DA91B9E" w14:textId="793F7A42" w:rsidR="008D35B3" w:rsidRPr="00D8236C" w:rsidRDefault="008D35B3" w:rsidP="00EF49DF">
            <w:pPr>
              <w:pStyle w:val="tbltext"/>
            </w:pPr>
            <w:r w:rsidRPr="00D8236C">
              <w:t>Australian Business Number</w:t>
            </w:r>
          </w:p>
        </w:tc>
      </w:tr>
      <w:tr w:rsidR="008D35B3" w:rsidRPr="00D8236C" w14:paraId="4CCB35FA" w14:textId="77777777" w:rsidTr="000514E1">
        <w:trPr>
          <w:cantSplit/>
        </w:trPr>
        <w:tc>
          <w:tcPr>
            <w:tcW w:w="1985" w:type="dxa"/>
          </w:tcPr>
          <w:p w14:paraId="1A2BDD8D" w14:textId="47E20469" w:rsidR="008D35B3" w:rsidRPr="00D8236C" w:rsidRDefault="008D35B3" w:rsidP="008D35B3">
            <w:pPr>
              <w:pStyle w:val="tabletext"/>
            </w:pPr>
            <w:r w:rsidRPr="00D8236C">
              <w:t>ADI</w:t>
            </w:r>
          </w:p>
        </w:tc>
        <w:tc>
          <w:tcPr>
            <w:tcW w:w="4819" w:type="dxa"/>
          </w:tcPr>
          <w:p w14:paraId="44CFF933" w14:textId="77777777" w:rsidR="008D35B3" w:rsidRPr="00D8236C" w:rsidRDefault="008D35B3" w:rsidP="008D35B3">
            <w:pPr>
              <w:pStyle w:val="tbltext"/>
            </w:pPr>
            <w:r w:rsidRPr="00D8236C">
              <w:t xml:space="preserve">An authorised deposit-taking institution—a corporation that is authorised under the </w:t>
            </w:r>
            <w:r w:rsidRPr="00D8236C">
              <w:rPr>
                <w:i/>
              </w:rPr>
              <w:t>Banking Act 1959</w:t>
            </w:r>
            <w:r w:rsidRPr="00D8236C">
              <w:t>. ADIs include:</w:t>
            </w:r>
          </w:p>
          <w:p w14:paraId="7997F72F" w14:textId="77777777" w:rsidR="008D35B3" w:rsidRPr="00D8236C" w:rsidRDefault="008D35B3" w:rsidP="008D35B3">
            <w:pPr>
              <w:pStyle w:val="tablebullet"/>
            </w:pPr>
            <w:r w:rsidRPr="00D8236C">
              <w:t>banks;</w:t>
            </w:r>
          </w:p>
          <w:p w14:paraId="55F2C839" w14:textId="77777777" w:rsidR="008D35B3" w:rsidRPr="00D8236C" w:rsidRDefault="008D35B3" w:rsidP="008D35B3">
            <w:pPr>
              <w:pStyle w:val="tablebullet"/>
            </w:pPr>
            <w:r w:rsidRPr="00D8236C">
              <w:t>building societies; and</w:t>
            </w:r>
          </w:p>
          <w:p w14:paraId="1FDF18E8" w14:textId="5DF8202D" w:rsidR="008D35B3" w:rsidRPr="00D8236C" w:rsidRDefault="008D35B3" w:rsidP="00EF49DF">
            <w:pPr>
              <w:pStyle w:val="tablebullet"/>
            </w:pPr>
            <w:r w:rsidRPr="00D8236C">
              <w:t>credit unions</w:t>
            </w:r>
          </w:p>
        </w:tc>
      </w:tr>
      <w:tr w:rsidR="008D35B3" w:rsidRPr="00D8236C" w14:paraId="11C57097" w14:textId="77777777" w:rsidTr="000514E1">
        <w:trPr>
          <w:cantSplit/>
        </w:trPr>
        <w:tc>
          <w:tcPr>
            <w:tcW w:w="1985" w:type="dxa"/>
          </w:tcPr>
          <w:p w14:paraId="66A584F2" w14:textId="123F1CCD" w:rsidR="008D35B3" w:rsidRPr="00D8236C" w:rsidRDefault="008D35B3" w:rsidP="008D35B3">
            <w:pPr>
              <w:pStyle w:val="tabletext"/>
            </w:pPr>
            <w:r w:rsidRPr="00D8236C">
              <w:t>AFS licence</w:t>
            </w:r>
          </w:p>
        </w:tc>
        <w:tc>
          <w:tcPr>
            <w:tcW w:w="4819" w:type="dxa"/>
          </w:tcPr>
          <w:p w14:paraId="256A51FF" w14:textId="77777777" w:rsidR="008D35B3" w:rsidRPr="00D8236C" w:rsidRDefault="008D35B3" w:rsidP="008D35B3">
            <w:pPr>
              <w:pStyle w:val="tbltext"/>
            </w:pPr>
            <w:r w:rsidRPr="00D8236C">
              <w:t>An Australian financial services licence under s913B of the Corporations Act that authorises a person who carries on a financial services business to provide financial services</w:t>
            </w:r>
          </w:p>
          <w:p w14:paraId="76EA3378" w14:textId="7AD85E61" w:rsidR="008D35B3" w:rsidRPr="00D8236C" w:rsidRDefault="008D35B3" w:rsidP="008D35B3">
            <w:pPr>
              <w:pStyle w:val="tblnote"/>
            </w:pPr>
            <w:r w:rsidRPr="00D8236C">
              <w:t>Note: This is a definition contained in s761A.</w:t>
            </w:r>
          </w:p>
        </w:tc>
      </w:tr>
      <w:tr w:rsidR="008D35B3" w:rsidRPr="00D8236C" w14:paraId="1AF45017" w14:textId="77777777" w:rsidTr="000514E1">
        <w:trPr>
          <w:cantSplit/>
        </w:trPr>
        <w:tc>
          <w:tcPr>
            <w:tcW w:w="1985" w:type="dxa"/>
          </w:tcPr>
          <w:p w14:paraId="1D74D5C7" w14:textId="1D4B45E0" w:rsidR="008D35B3" w:rsidRPr="00D8236C" w:rsidRDefault="008D35B3" w:rsidP="008D35B3">
            <w:pPr>
              <w:pStyle w:val="tabletext"/>
            </w:pPr>
            <w:r w:rsidRPr="00D8236C">
              <w:t>AFS licensee</w:t>
            </w:r>
          </w:p>
        </w:tc>
        <w:tc>
          <w:tcPr>
            <w:tcW w:w="4819" w:type="dxa"/>
          </w:tcPr>
          <w:p w14:paraId="263A0591" w14:textId="5CA09946" w:rsidR="008D35B3" w:rsidRPr="00D8236C" w:rsidRDefault="008D35B3" w:rsidP="008D35B3">
            <w:pPr>
              <w:pStyle w:val="tabletext"/>
            </w:pPr>
            <w:r w:rsidRPr="00D8236C">
              <w:t>A person who holds an AFS licence under s913B of the Corporations Act</w:t>
            </w:r>
          </w:p>
        </w:tc>
      </w:tr>
      <w:tr w:rsidR="008D35B3" w:rsidRPr="00D8236C" w14:paraId="4A780535" w14:textId="77777777" w:rsidTr="00AD06A2">
        <w:trPr>
          <w:cantSplit/>
        </w:trPr>
        <w:tc>
          <w:tcPr>
            <w:tcW w:w="1985" w:type="dxa"/>
          </w:tcPr>
          <w:p w14:paraId="0DA9861B" w14:textId="77777777" w:rsidR="008D35B3" w:rsidRPr="00D8236C" w:rsidRDefault="008D35B3" w:rsidP="008D35B3">
            <w:pPr>
              <w:pStyle w:val="tabletext"/>
            </w:pPr>
            <w:r w:rsidRPr="00D8236C">
              <w:t>alternative reporting</w:t>
            </w:r>
          </w:p>
        </w:tc>
        <w:tc>
          <w:tcPr>
            <w:tcW w:w="4819" w:type="dxa"/>
          </w:tcPr>
          <w:p w14:paraId="3B8A7A06" w14:textId="77777777" w:rsidR="008D35B3" w:rsidRPr="00D8236C" w:rsidRDefault="008D35B3" w:rsidP="008D35B3">
            <w:pPr>
              <w:pStyle w:val="tabletext"/>
            </w:pPr>
            <w:r w:rsidRPr="00D8236C">
              <w:t>A form of substituted compliance, under Rule 2.2.1(3) of the ASIC Rules, for foreign reporting entities by taking their reporting under a foreign jurisdiction’s substantially equivalent reporting requirements (alternative reporting requirements) as satisfying their ASIC Rules reporting requirements</w:t>
            </w:r>
          </w:p>
        </w:tc>
      </w:tr>
      <w:tr w:rsidR="008D35B3" w:rsidRPr="00D8236C" w14:paraId="7F6F8C49" w14:textId="77777777" w:rsidTr="000514E1">
        <w:trPr>
          <w:cantSplit/>
        </w:trPr>
        <w:tc>
          <w:tcPr>
            <w:tcW w:w="1985" w:type="dxa"/>
          </w:tcPr>
          <w:p w14:paraId="5AB46D81" w14:textId="7D03514B" w:rsidR="008D35B3" w:rsidRPr="00D8236C" w:rsidRDefault="008D35B3" w:rsidP="008D35B3">
            <w:pPr>
              <w:pStyle w:val="tabletext"/>
            </w:pPr>
            <w:r w:rsidRPr="00D8236C">
              <w:t>ANNA</w:t>
            </w:r>
          </w:p>
        </w:tc>
        <w:tc>
          <w:tcPr>
            <w:tcW w:w="4819" w:type="dxa"/>
          </w:tcPr>
          <w:p w14:paraId="56D9DFE7" w14:textId="69B99B34" w:rsidR="008D35B3" w:rsidRPr="00D8236C" w:rsidRDefault="008D35B3" w:rsidP="008D35B3">
            <w:pPr>
              <w:pStyle w:val="tabletext"/>
            </w:pPr>
            <w:r w:rsidRPr="00D8236C">
              <w:t>Association of National Numbering Agencies</w:t>
            </w:r>
          </w:p>
        </w:tc>
      </w:tr>
      <w:tr w:rsidR="00EF49DF" w:rsidRPr="00D8236C" w14:paraId="05108D02" w14:textId="77777777" w:rsidTr="00AD06A2">
        <w:trPr>
          <w:cantSplit/>
        </w:trPr>
        <w:tc>
          <w:tcPr>
            <w:tcW w:w="1985" w:type="dxa"/>
          </w:tcPr>
          <w:p w14:paraId="448C481A" w14:textId="77777777" w:rsidR="00EF49DF" w:rsidRPr="00D8236C" w:rsidRDefault="00EF49DF" w:rsidP="00AD06A2">
            <w:pPr>
              <w:pStyle w:val="tabletext"/>
            </w:pPr>
            <w:r w:rsidRPr="00D8236C">
              <w:t>ASATP</w:t>
            </w:r>
          </w:p>
        </w:tc>
        <w:tc>
          <w:tcPr>
            <w:tcW w:w="4819" w:type="dxa"/>
          </w:tcPr>
          <w:p w14:paraId="54B6D4DA" w14:textId="77777777" w:rsidR="00EF49DF" w:rsidRPr="00D8236C" w:rsidRDefault="00EF49DF" w:rsidP="00AD06A2">
            <w:pPr>
              <w:pStyle w:val="tabletext"/>
            </w:pPr>
            <w:r w:rsidRPr="00D8236C">
              <w:t>As soon as technologically possible</w:t>
            </w:r>
          </w:p>
        </w:tc>
      </w:tr>
      <w:tr w:rsidR="008D35B3" w:rsidRPr="00D8236C" w14:paraId="22470C6E" w14:textId="77777777" w:rsidTr="000514E1">
        <w:trPr>
          <w:cantSplit/>
        </w:trPr>
        <w:tc>
          <w:tcPr>
            <w:tcW w:w="1985" w:type="dxa"/>
          </w:tcPr>
          <w:p w14:paraId="7A85C925" w14:textId="4B69E4DC" w:rsidR="008D35B3" w:rsidRPr="00D8236C" w:rsidRDefault="008D35B3" w:rsidP="008D35B3">
            <w:pPr>
              <w:pStyle w:val="tabletext"/>
            </w:pPr>
            <w:r w:rsidRPr="00D8236C">
              <w:t>ASIC</w:t>
            </w:r>
          </w:p>
        </w:tc>
        <w:tc>
          <w:tcPr>
            <w:tcW w:w="4819" w:type="dxa"/>
          </w:tcPr>
          <w:p w14:paraId="7982997B" w14:textId="1FE3E370" w:rsidR="008D35B3" w:rsidRPr="00D8236C" w:rsidRDefault="008D35B3" w:rsidP="008D35B3">
            <w:pPr>
              <w:pStyle w:val="tabletext"/>
            </w:pPr>
            <w:r w:rsidRPr="00D8236C">
              <w:t>Australian Securities and Investments Commission</w:t>
            </w:r>
          </w:p>
        </w:tc>
      </w:tr>
      <w:tr w:rsidR="008D35B3" w:rsidRPr="00D8236C" w14:paraId="2E3CC8E9" w14:textId="77777777" w:rsidTr="00E9353E">
        <w:trPr>
          <w:cantSplit/>
        </w:trPr>
        <w:tc>
          <w:tcPr>
            <w:tcW w:w="1985" w:type="dxa"/>
          </w:tcPr>
          <w:p w14:paraId="1C0712E8" w14:textId="3E64E2C8" w:rsidR="008D35B3" w:rsidRPr="00D8236C" w:rsidRDefault="008D35B3" w:rsidP="008D35B3">
            <w:pPr>
              <w:pStyle w:val="tabletext"/>
            </w:pPr>
            <w:r w:rsidRPr="00D8236C">
              <w:t>ASIC Rules</w:t>
            </w:r>
          </w:p>
        </w:tc>
        <w:tc>
          <w:tcPr>
            <w:tcW w:w="4819" w:type="dxa"/>
          </w:tcPr>
          <w:p w14:paraId="566CFD43" w14:textId="3F5CF09E" w:rsidR="008D35B3" w:rsidRPr="00D8236C" w:rsidRDefault="008D35B3" w:rsidP="008D35B3">
            <w:pPr>
              <w:pStyle w:val="tabletext"/>
            </w:pPr>
            <w:r w:rsidRPr="00D8236C">
              <w:t>ASIC Derivative Transaction Rules (Reporting) 2013</w:t>
            </w:r>
          </w:p>
        </w:tc>
      </w:tr>
      <w:tr w:rsidR="008D35B3" w:rsidRPr="00D8236C" w14:paraId="72EB7701" w14:textId="77777777" w:rsidTr="00E9353E">
        <w:trPr>
          <w:cantSplit/>
        </w:trPr>
        <w:tc>
          <w:tcPr>
            <w:tcW w:w="1985" w:type="dxa"/>
          </w:tcPr>
          <w:p w14:paraId="0704484E" w14:textId="6764DEB7" w:rsidR="008D35B3" w:rsidRPr="00D8236C" w:rsidRDefault="008D35B3" w:rsidP="008D35B3">
            <w:pPr>
              <w:pStyle w:val="tabletext"/>
            </w:pPr>
            <w:r w:rsidRPr="00D8236C">
              <w:t>AVID</w:t>
            </w:r>
          </w:p>
        </w:tc>
        <w:tc>
          <w:tcPr>
            <w:tcW w:w="4819" w:type="dxa"/>
          </w:tcPr>
          <w:p w14:paraId="4A567C4D" w14:textId="3DE53395" w:rsidR="008D35B3" w:rsidRPr="00D8236C" w:rsidRDefault="008D35B3" w:rsidP="008D35B3">
            <w:pPr>
              <w:pStyle w:val="tabletext"/>
            </w:pPr>
            <w:r w:rsidRPr="00D8236C">
              <w:t xml:space="preserve">An entity identifier issued by </w:t>
            </w:r>
            <w:proofErr w:type="spellStart"/>
            <w:r w:rsidRPr="00D8236C">
              <w:t>Avox</w:t>
            </w:r>
            <w:proofErr w:type="spellEnd"/>
            <w:r w:rsidRPr="00D8236C">
              <w:t xml:space="preserve"> Limited</w:t>
            </w:r>
          </w:p>
        </w:tc>
      </w:tr>
      <w:tr w:rsidR="008D35B3" w:rsidRPr="00D8236C" w14:paraId="188882AC" w14:textId="77777777" w:rsidTr="00E9353E">
        <w:trPr>
          <w:cantSplit/>
        </w:trPr>
        <w:tc>
          <w:tcPr>
            <w:tcW w:w="1985" w:type="dxa"/>
          </w:tcPr>
          <w:p w14:paraId="3BA643D1" w14:textId="4491F49A" w:rsidR="008D35B3" w:rsidRPr="00D8236C" w:rsidRDefault="008D35B3" w:rsidP="008D35B3">
            <w:pPr>
              <w:pStyle w:val="tabletext"/>
            </w:pPr>
            <w:r w:rsidRPr="00D8236C">
              <w:t>BIC</w:t>
            </w:r>
          </w:p>
        </w:tc>
        <w:tc>
          <w:tcPr>
            <w:tcW w:w="4819" w:type="dxa"/>
          </w:tcPr>
          <w:p w14:paraId="748474FA" w14:textId="67AB38C2" w:rsidR="008D35B3" w:rsidRPr="00D8236C" w:rsidRDefault="008D35B3" w:rsidP="008D35B3">
            <w:pPr>
              <w:pStyle w:val="tabletext"/>
            </w:pPr>
            <w:r w:rsidRPr="00D8236C">
              <w:t>An entity identifier issued by SWIFT, the Society for Worldwide Interbank Financial Telecommunication</w:t>
            </w:r>
          </w:p>
        </w:tc>
      </w:tr>
      <w:tr w:rsidR="008D35B3" w:rsidRPr="00D8236C" w14:paraId="475AF8A2" w14:textId="77777777" w:rsidTr="00E9353E">
        <w:trPr>
          <w:cantSplit/>
        </w:trPr>
        <w:tc>
          <w:tcPr>
            <w:tcW w:w="1985" w:type="dxa"/>
          </w:tcPr>
          <w:p w14:paraId="043046EC" w14:textId="20CB7802" w:rsidR="008D35B3" w:rsidRPr="00D8236C" w:rsidRDefault="008D35B3" w:rsidP="008D35B3">
            <w:pPr>
              <w:pStyle w:val="tabletext"/>
            </w:pPr>
            <w:r w:rsidRPr="00D8236C">
              <w:t>CCP (central counterparty)</w:t>
            </w:r>
          </w:p>
        </w:tc>
        <w:tc>
          <w:tcPr>
            <w:tcW w:w="4819" w:type="dxa"/>
          </w:tcPr>
          <w:p w14:paraId="4B1D8A99" w14:textId="0D29218E" w:rsidR="008D35B3" w:rsidRPr="00D8236C" w:rsidRDefault="008D35B3" w:rsidP="008D35B3">
            <w:pPr>
              <w:pStyle w:val="tabletext"/>
            </w:pPr>
            <w:r w:rsidRPr="00D8236C">
              <w:rPr>
                <w:rFonts w:eastAsia="Calibri"/>
              </w:rPr>
              <w:t>An entity that interposes itself between counterparties to trades, becoming the buyer to every seller and the seller to every buyer</w:t>
            </w:r>
          </w:p>
        </w:tc>
      </w:tr>
      <w:tr w:rsidR="008D35B3" w:rsidRPr="00D8236C" w14:paraId="2EFE8828" w14:textId="77777777" w:rsidTr="00E9353E">
        <w:trPr>
          <w:cantSplit/>
        </w:trPr>
        <w:tc>
          <w:tcPr>
            <w:tcW w:w="1985" w:type="dxa"/>
          </w:tcPr>
          <w:p w14:paraId="4B5BB6A4" w14:textId="28591D6F" w:rsidR="008D35B3" w:rsidRPr="00D8236C" w:rsidRDefault="008D35B3" w:rsidP="008D35B3">
            <w:pPr>
              <w:pStyle w:val="tabletext"/>
            </w:pPr>
            <w:r w:rsidRPr="00D8236C">
              <w:t>CDE</w:t>
            </w:r>
          </w:p>
        </w:tc>
        <w:tc>
          <w:tcPr>
            <w:tcW w:w="4819" w:type="dxa"/>
          </w:tcPr>
          <w:p w14:paraId="187A82F4" w14:textId="1471BD28" w:rsidR="008D35B3" w:rsidRPr="00D8236C" w:rsidRDefault="008D35B3" w:rsidP="008D35B3">
            <w:pPr>
              <w:pStyle w:val="tabletext"/>
            </w:pPr>
            <w:r w:rsidRPr="00D8236C">
              <w:t>Critical data elements</w:t>
            </w:r>
          </w:p>
        </w:tc>
      </w:tr>
      <w:tr w:rsidR="008D35B3" w:rsidRPr="00D8236C" w14:paraId="51828B12" w14:textId="77777777" w:rsidTr="00E9353E">
        <w:trPr>
          <w:cantSplit/>
        </w:trPr>
        <w:tc>
          <w:tcPr>
            <w:tcW w:w="1985" w:type="dxa"/>
          </w:tcPr>
          <w:p w14:paraId="06984156" w14:textId="54F459A0" w:rsidR="008D35B3" w:rsidRPr="00D8236C" w:rsidRDefault="008D35B3" w:rsidP="008D35B3">
            <w:pPr>
              <w:pStyle w:val="tabletext"/>
            </w:pPr>
            <w:r w:rsidRPr="00D8236C">
              <w:t>CDE Guidance</w:t>
            </w:r>
          </w:p>
        </w:tc>
        <w:tc>
          <w:tcPr>
            <w:tcW w:w="4819" w:type="dxa"/>
          </w:tcPr>
          <w:p w14:paraId="1A0F2170" w14:textId="64692ABC" w:rsidR="00BC19B3" w:rsidRPr="003401C9" w:rsidRDefault="008D35B3" w:rsidP="008D35B3">
            <w:pPr>
              <w:pStyle w:val="tabletext"/>
              <w:rPr>
                <w:u w:val="single"/>
              </w:rPr>
            </w:pPr>
            <w:r w:rsidRPr="00D8236C">
              <w:t xml:space="preserve">CPMI IOSCO, </w:t>
            </w:r>
            <w:hyperlink r:id="rId40" w:history="1">
              <w:r w:rsidR="00BC19B3" w:rsidRPr="00BC19B3">
                <w:rPr>
                  <w:rStyle w:val="Hyperlink"/>
                  <w:i/>
                  <w:iCs/>
                </w:rPr>
                <w:t>Technical guidance:</w:t>
              </w:r>
              <w:r w:rsidR="00BC19B3" w:rsidRPr="00BC19B3">
                <w:rPr>
                  <w:rStyle w:val="Hyperlink"/>
                </w:rPr>
                <w:t xml:space="preserve"> </w:t>
              </w:r>
              <w:r w:rsidR="00BC19B3" w:rsidRPr="00BC19B3">
                <w:rPr>
                  <w:rStyle w:val="Hyperlink"/>
                  <w:i/>
                  <w:iCs/>
                </w:rPr>
                <w:t>Harmonisation of critical OTC derivatives data elements (other than UTI and UPI)</w:t>
              </w:r>
            </w:hyperlink>
            <w:r w:rsidR="00BC19B3">
              <w:rPr>
                <w:i/>
                <w:iCs/>
              </w:rPr>
              <w:t xml:space="preserve"> </w:t>
            </w:r>
            <w:r w:rsidR="00BC19B3">
              <w:t>(PDF 1.01 MB)</w:t>
            </w:r>
          </w:p>
        </w:tc>
      </w:tr>
      <w:tr w:rsidR="008D35B3" w:rsidRPr="00D8236C" w14:paraId="6503E87E" w14:textId="77777777" w:rsidTr="00E9353E">
        <w:trPr>
          <w:cantSplit/>
        </w:trPr>
        <w:tc>
          <w:tcPr>
            <w:tcW w:w="1985" w:type="dxa"/>
          </w:tcPr>
          <w:p w14:paraId="306298AD" w14:textId="75D90CEA" w:rsidR="008D35B3" w:rsidRPr="00D8236C" w:rsidRDefault="008D35B3" w:rsidP="008D35B3">
            <w:pPr>
              <w:pStyle w:val="tabletext"/>
            </w:pPr>
            <w:r w:rsidRPr="00D8236C">
              <w:t>CDIDE</w:t>
            </w:r>
          </w:p>
        </w:tc>
        <w:tc>
          <w:tcPr>
            <w:tcW w:w="4819" w:type="dxa"/>
          </w:tcPr>
          <w:p w14:paraId="5187E25D" w14:textId="035BB520" w:rsidR="008D35B3" w:rsidRPr="00D8236C" w:rsidRDefault="008D35B3" w:rsidP="008D35B3">
            <w:pPr>
              <w:pStyle w:val="tabletext"/>
            </w:pPr>
            <w:r w:rsidRPr="00D8236C">
              <w:t>Committee on Derivative Identifiers and Data Elements of the ROC</w:t>
            </w:r>
          </w:p>
        </w:tc>
      </w:tr>
      <w:tr w:rsidR="008D35B3" w:rsidRPr="00D8236C" w14:paraId="469551F1" w14:textId="77777777" w:rsidTr="00E9353E">
        <w:trPr>
          <w:cantSplit/>
        </w:trPr>
        <w:tc>
          <w:tcPr>
            <w:tcW w:w="1985" w:type="dxa"/>
          </w:tcPr>
          <w:p w14:paraId="6CF456C0" w14:textId="2951741E" w:rsidR="008D35B3" w:rsidRPr="00D8236C" w:rsidRDefault="008D35B3" w:rsidP="008D35B3">
            <w:pPr>
              <w:pStyle w:val="tabletext"/>
            </w:pPr>
            <w:r w:rsidRPr="00D8236C">
              <w:lastRenderedPageBreak/>
              <w:t>CFD</w:t>
            </w:r>
          </w:p>
        </w:tc>
        <w:tc>
          <w:tcPr>
            <w:tcW w:w="4819" w:type="dxa"/>
          </w:tcPr>
          <w:p w14:paraId="74B10838" w14:textId="57333F1E" w:rsidR="008D35B3" w:rsidRPr="00D8236C" w:rsidRDefault="008D35B3" w:rsidP="008D35B3">
            <w:pPr>
              <w:pStyle w:val="tabletext"/>
            </w:pPr>
            <w:r w:rsidRPr="00D8236C">
              <w:t>A contract for difference</w:t>
            </w:r>
          </w:p>
        </w:tc>
      </w:tr>
      <w:tr w:rsidR="008D35B3" w:rsidRPr="00D8236C" w14:paraId="6D501C54" w14:textId="77777777" w:rsidTr="00E9353E">
        <w:trPr>
          <w:cantSplit/>
        </w:trPr>
        <w:tc>
          <w:tcPr>
            <w:tcW w:w="1985" w:type="dxa"/>
          </w:tcPr>
          <w:p w14:paraId="7051788F" w14:textId="722AB6D7" w:rsidR="008D35B3" w:rsidRPr="00D8236C" w:rsidRDefault="008D35B3" w:rsidP="008D35B3">
            <w:pPr>
              <w:pStyle w:val="tabletext"/>
            </w:pPr>
            <w:r w:rsidRPr="00D8236C">
              <w:t>CFI</w:t>
            </w:r>
          </w:p>
        </w:tc>
        <w:tc>
          <w:tcPr>
            <w:tcW w:w="4819" w:type="dxa"/>
          </w:tcPr>
          <w:p w14:paraId="008AF11A" w14:textId="440E9C2D" w:rsidR="008D35B3" w:rsidRPr="00D8236C" w:rsidRDefault="008D35B3" w:rsidP="008D35B3">
            <w:pPr>
              <w:pStyle w:val="tabletext"/>
            </w:pPr>
            <w:r w:rsidRPr="00D8236C">
              <w:t>ISO Classification of Financial Instruments</w:t>
            </w:r>
          </w:p>
        </w:tc>
      </w:tr>
      <w:tr w:rsidR="008D35B3" w:rsidRPr="00D8236C" w14:paraId="5E0612D3" w14:textId="77777777" w:rsidTr="00E9353E">
        <w:trPr>
          <w:cantSplit/>
        </w:trPr>
        <w:tc>
          <w:tcPr>
            <w:tcW w:w="1985" w:type="dxa"/>
          </w:tcPr>
          <w:p w14:paraId="69755F4B" w14:textId="07E0C6A3" w:rsidR="008D35B3" w:rsidRPr="00D8236C" w:rsidRDefault="008D35B3" w:rsidP="008D35B3">
            <w:pPr>
              <w:pStyle w:val="tabletext"/>
            </w:pPr>
            <w:r w:rsidRPr="00D8236C">
              <w:t>CFTC</w:t>
            </w:r>
          </w:p>
        </w:tc>
        <w:tc>
          <w:tcPr>
            <w:tcW w:w="4819" w:type="dxa"/>
          </w:tcPr>
          <w:p w14:paraId="56D5AACB" w14:textId="4AE4840F" w:rsidR="008D35B3" w:rsidRPr="00D8236C" w:rsidRDefault="008D35B3" w:rsidP="008D35B3">
            <w:pPr>
              <w:pStyle w:val="tabletext"/>
            </w:pPr>
            <w:r w:rsidRPr="00D8236C">
              <w:t>US Commodity Futures Trading Commission</w:t>
            </w:r>
          </w:p>
        </w:tc>
      </w:tr>
      <w:tr w:rsidR="008D35B3" w:rsidRPr="00D8236C" w14:paraId="5D35FE79" w14:textId="77777777" w:rsidTr="00E9353E">
        <w:trPr>
          <w:cantSplit/>
        </w:trPr>
        <w:tc>
          <w:tcPr>
            <w:tcW w:w="1985" w:type="dxa"/>
          </w:tcPr>
          <w:p w14:paraId="60A58EDD" w14:textId="6A7F96D9" w:rsidR="008D35B3" w:rsidRPr="00D8236C" w:rsidRDefault="008D35B3" w:rsidP="008D35B3">
            <w:pPr>
              <w:pStyle w:val="tabletext"/>
            </w:pPr>
            <w:r w:rsidRPr="00D8236C">
              <w:t>clearing member</w:t>
            </w:r>
          </w:p>
        </w:tc>
        <w:tc>
          <w:tcPr>
            <w:tcW w:w="4819" w:type="dxa"/>
          </w:tcPr>
          <w:p w14:paraId="4A669A30" w14:textId="4894C9E5" w:rsidR="008D35B3" w:rsidRPr="00D8236C" w:rsidRDefault="008D35B3" w:rsidP="008D35B3">
            <w:pPr>
              <w:pStyle w:val="tabletext"/>
            </w:pPr>
            <w:r w:rsidRPr="00D8236C">
              <w:t>A person who is allowed to directly participate in a CS</w:t>
            </w:r>
            <w:r w:rsidR="00BC19B3">
              <w:t> </w:t>
            </w:r>
            <w:r w:rsidRPr="00D8236C">
              <w:t>facility under the facility’s operating rules</w:t>
            </w:r>
          </w:p>
        </w:tc>
      </w:tr>
      <w:tr w:rsidR="008D35B3" w:rsidRPr="00D8236C" w14:paraId="2939383D" w14:textId="77777777" w:rsidTr="00E9353E">
        <w:trPr>
          <w:cantSplit/>
        </w:trPr>
        <w:tc>
          <w:tcPr>
            <w:tcW w:w="1985" w:type="dxa"/>
          </w:tcPr>
          <w:p w14:paraId="25E50EE0" w14:textId="0332619F" w:rsidR="008D35B3" w:rsidRPr="00D8236C" w:rsidRDefault="008D35B3" w:rsidP="008D35B3">
            <w:pPr>
              <w:pStyle w:val="tabletext"/>
            </w:pPr>
            <w:r w:rsidRPr="00D8236C">
              <w:t>confirmation platform</w:t>
            </w:r>
          </w:p>
        </w:tc>
        <w:tc>
          <w:tcPr>
            <w:tcW w:w="4819" w:type="dxa"/>
          </w:tcPr>
          <w:p w14:paraId="5F7867F6" w14:textId="7C93F310" w:rsidR="008D35B3" w:rsidRPr="00D8236C" w:rsidRDefault="008D35B3" w:rsidP="008D35B3">
            <w:pPr>
              <w:pStyle w:val="tabletext"/>
            </w:pPr>
            <w:r w:rsidRPr="00D8236C">
              <w:t>An electronic trade confirmation platform</w:t>
            </w:r>
          </w:p>
        </w:tc>
      </w:tr>
      <w:tr w:rsidR="008D35B3" w:rsidRPr="00D8236C" w14:paraId="19918FF3" w14:textId="77777777" w:rsidTr="00E9353E">
        <w:trPr>
          <w:cantSplit/>
        </w:trPr>
        <w:tc>
          <w:tcPr>
            <w:tcW w:w="1985" w:type="dxa"/>
          </w:tcPr>
          <w:p w14:paraId="2A0D03C4" w14:textId="06EA1680" w:rsidR="008D35B3" w:rsidRPr="00D8236C" w:rsidRDefault="008D35B3" w:rsidP="008D35B3">
            <w:pPr>
              <w:pStyle w:val="tabletext"/>
            </w:pPr>
            <w:r w:rsidRPr="00D8236C">
              <w:t>Corporations Act</w:t>
            </w:r>
          </w:p>
        </w:tc>
        <w:tc>
          <w:tcPr>
            <w:tcW w:w="4819" w:type="dxa"/>
          </w:tcPr>
          <w:p w14:paraId="50564B3F" w14:textId="5AEE7889" w:rsidR="008D35B3" w:rsidRPr="00D8236C" w:rsidRDefault="008D35B3" w:rsidP="008D35B3">
            <w:pPr>
              <w:pStyle w:val="tabletext"/>
            </w:pPr>
            <w:r w:rsidRPr="00D8236C">
              <w:rPr>
                <w:i/>
                <w:iCs/>
              </w:rPr>
              <w:t>Corporations Act 2001</w:t>
            </w:r>
            <w:r w:rsidRPr="00D8236C">
              <w:t xml:space="preserve">, including regulations made for the purposes of that Act </w:t>
            </w:r>
          </w:p>
        </w:tc>
      </w:tr>
      <w:tr w:rsidR="008D35B3" w:rsidRPr="00D8236C" w14:paraId="57AA3D10" w14:textId="77777777" w:rsidTr="00E9353E">
        <w:trPr>
          <w:cantSplit/>
        </w:trPr>
        <w:tc>
          <w:tcPr>
            <w:tcW w:w="1985" w:type="dxa"/>
          </w:tcPr>
          <w:p w14:paraId="004C0B83" w14:textId="4A1E04D1" w:rsidR="008D35B3" w:rsidRPr="00D8236C" w:rsidRDefault="008D35B3" w:rsidP="008D35B3">
            <w:pPr>
              <w:pStyle w:val="tabletext"/>
            </w:pPr>
            <w:r w:rsidRPr="00D8236C">
              <w:t>Corporations Regulations</w:t>
            </w:r>
          </w:p>
        </w:tc>
        <w:tc>
          <w:tcPr>
            <w:tcW w:w="4819" w:type="dxa"/>
          </w:tcPr>
          <w:p w14:paraId="006256D8" w14:textId="1C3819EF" w:rsidR="008D35B3" w:rsidRPr="00D8236C" w:rsidRDefault="008D35B3" w:rsidP="008D35B3">
            <w:pPr>
              <w:pStyle w:val="tabletext"/>
            </w:pPr>
            <w:r w:rsidRPr="00D8236C">
              <w:t>Corporations Regulations 2001</w:t>
            </w:r>
          </w:p>
        </w:tc>
      </w:tr>
      <w:tr w:rsidR="008D35B3" w:rsidRPr="00D8236C" w14:paraId="33ED44BE" w14:textId="77777777" w:rsidTr="00E9353E">
        <w:trPr>
          <w:cantSplit/>
        </w:trPr>
        <w:tc>
          <w:tcPr>
            <w:tcW w:w="1985" w:type="dxa"/>
          </w:tcPr>
          <w:p w14:paraId="3D1FB3F1" w14:textId="7B20F5D0" w:rsidR="008D35B3" w:rsidRPr="00D8236C" w:rsidRDefault="008D35B3" w:rsidP="008D35B3">
            <w:pPr>
              <w:pStyle w:val="tabletext"/>
            </w:pPr>
            <w:r w:rsidRPr="00D8236C">
              <w:t>CPMI</w:t>
            </w:r>
          </w:p>
        </w:tc>
        <w:tc>
          <w:tcPr>
            <w:tcW w:w="4819" w:type="dxa"/>
          </w:tcPr>
          <w:p w14:paraId="0447073C" w14:textId="3846D5EC" w:rsidR="008D35B3" w:rsidRPr="00D8236C" w:rsidRDefault="008D35B3" w:rsidP="008D35B3">
            <w:pPr>
              <w:pStyle w:val="tabletext"/>
            </w:pPr>
            <w:r w:rsidRPr="00D8236C">
              <w:t>Committee on Payments and Market Infrastructures of the Bank for International Settlements</w:t>
            </w:r>
          </w:p>
        </w:tc>
      </w:tr>
      <w:tr w:rsidR="008D35B3" w:rsidRPr="00D8236C" w14:paraId="5E03F2A1" w14:textId="77777777" w:rsidTr="003927E2">
        <w:trPr>
          <w:cantSplit/>
        </w:trPr>
        <w:tc>
          <w:tcPr>
            <w:tcW w:w="1985" w:type="dxa"/>
          </w:tcPr>
          <w:p w14:paraId="1378E628" w14:textId="77777777" w:rsidR="008D35B3" w:rsidRPr="00D8236C" w:rsidRDefault="008D35B3" w:rsidP="008D35B3">
            <w:pPr>
              <w:pStyle w:val="tabletext"/>
            </w:pPr>
            <w:r w:rsidRPr="00D8236C">
              <w:t>CPMI IOSCO</w:t>
            </w:r>
          </w:p>
        </w:tc>
        <w:tc>
          <w:tcPr>
            <w:tcW w:w="4819" w:type="dxa"/>
          </w:tcPr>
          <w:p w14:paraId="202246D4" w14:textId="6E492C3C" w:rsidR="008D35B3" w:rsidRPr="00D8236C" w:rsidRDefault="008D35B3" w:rsidP="008D35B3">
            <w:pPr>
              <w:pStyle w:val="tabletext"/>
            </w:pPr>
            <w:r w:rsidRPr="00D8236C">
              <w:t>CPMI and IOSCO acting as joint publishers</w:t>
            </w:r>
          </w:p>
        </w:tc>
      </w:tr>
      <w:tr w:rsidR="008D35B3" w:rsidRPr="00D8236C" w14:paraId="4991E1D1" w14:textId="77777777" w:rsidTr="005701EE">
        <w:trPr>
          <w:cantSplit/>
        </w:trPr>
        <w:tc>
          <w:tcPr>
            <w:tcW w:w="1985" w:type="dxa"/>
          </w:tcPr>
          <w:p w14:paraId="057E36FD" w14:textId="27AA61F8" w:rsidR="008D35B3" w:rsidRPr="00D8236C" w:rsidRDefault="008D35B3" w:rsidP="008D35B3">
            <w:pPr>
              <w:pStyle w:val="tabletext"/>
            </w:pPr>
            <w:r w:rsidRPr="00D8236C">
              <w:t>cross-jurisdictional transaction</w:t>
            </w:r>
          </w:p>
        </w:tc>
        <w:tc>
          <w:tcPr>
            <w:tcW w:w="4819" w:type="dxa"/>
          </w:tcPr>
          <w:p w14:paraId="56104773" w14:textId="3194F4D0" w:rsidR="008D35B3" w:rsidRPr="00D8236C" w:rsidRDefault="008D35B3" w:rsidP="008D35B3">
            <w:pPr>
              <w:pStyle w:val="tabletext"/>
            </w:pPr>
            <w:r w:rsidRPr="00D8236C">
              <w:t>A transaction that is reportable under the rules of two or more jurisdictions</w:t>
            </w:r>
          </w:p>
        </w:tc>
      </w:tr>
      <w:tr w:rsidR="008D35B3" w:rsidRPr="00D8236C" w14:paraId="2FBBADB5" w14:textId="77777777" w:rsidTr="00E9353E">
        <w:trPr>
          <w:cantSplit/>
        </w:trPr>
        <w:tc>
          <w:tcPr>
            <w:tcW w:w="1985" w:type="dxa"/>
          </w:tcPr>
          <w:p w14:paraId="6D08674B" w14:textId="68F3CE7E" w:rsidR="008D35B3" w:rsidRPr="00D8236C" w:rsidRDefault="008D35B3" w:rsidP="008D35B3">
            <w:pPr>
              <w:pStyle w:val="tabletext"/>
            </w:pPr>
            <w:r w:rsidRPr="00D8236C">
              <w:t>CS facility</w:t>
            </w:r>
          </w:p>
        </w:tc>
        <w:tc>
          <w:tcPr>
            <w:tcW w:w="4819" w:type="dxa"/>
          </w:tcPr>
          <w:p w14:paraId="766F87DA" w14:textId="027ACEC4" w:rsidR="008D35B3" w:rsidRPr="00D8236C" w:rsidRDefault="008D35B3" w:rsidP="008D35B3">
            <w:pPr>
              <w:pStyle w:val="tabletext"/>
            </w:pPr>
            <w:r w:rsidRPr="00D8236C">
              <w:t>A clearing and settlement facility as defined in s768A of the Corporations Act</w:t>
            </w:r>
          </w:p>
        </w:tc>
      </w:tr>
      <w:tr w:rsidR="008D35B3" w:rsidRPr="00D8236C" w14:paraId="6E60D5E4" w14:textId="77777777" w:rsidTr="005701EE">
        <w:trPr>
          <w:cantSplit/>
        </w:trPr>
        <w:tc>
          <w:tcPr>
            <w:tcW w:w="1985" w:type="dxa"/>
          </w:tcPr>
          <w:p w14:paraId="7F690644" w14:textId="5B860B10" w:rsidR="008D35B3" w:rsidRPr="00D8236C" w:rsidRDefault="008D35B3" w:rsidP="008D35B3">
            <w:pPr>
              <w:pStyle w:val="tabletext"/>
            </w:pPr>
            <w:r w:rsidRPr="00D8236C">
              <w:t>delegated reporting</w:t>
            </w:r>
          </w:p>
        </w:tc>
        <w:tc>
          <w:tcPr>
            <w:tcW w:w="4819" w:type="dxa"/>
          </w:tcPr>
          <w:p w14:paraId="7B224FEB" w14:textId="344CE169" w:rsidR="008D35B3" w:rsidRPr="00D8236C" w:rsidRDefault="008D35B3" w:rsidP="008D35B3">
            <w:pPr>
              <w:pStyle w:val="tabletext"/>
            </w:pPr>
            <w:r w:rsidRPr="00D8236C">
              <w:t>The reporting by a person (a delegate) on behalf of a reporting entity under Rule 2.2.7 of the ASIC Rules</w:t>
            </w:r>
          </w:p>
        </w:tc>
      </w:tr>
      <w:tr w:rsidR="008D35B3" w:rsidRPr="00D8236C" w14:paraId="43BFAB99" w14:textId="77777777" w:rsidTr="00E9353E">
        <w:trPr>
          <w:cantSplit/>
        </w:trPr>
        <w:tc>
          <w:tcPr>
            <w:tcW w:w="1985" w:type="dxa"/>
          </w:tcPr>
          <w:p w14:paraId="1F2EB556" w14:textId="4981C874" w:rsidR="008D35B3" w:rsidRPr="00D8236C" w:rsidRDefault="008D35B3" w:rsidP="008D35B3">
            <w:pPr>
              <w:pStyle w:val="tabletext"/>
            </w:pPr>
            <w:r w:rsidRPr="00D8236C">
              <w:t>DSB</w:t>
            </w:r>
          </w:p>
        </w:tc>
        <w:tc>
          <w:tcPr>
            <w:tcW w:w="4819" w:type="dxa"/>
          </w:tcPr>
          <w:p w14:paraId="5DEF6341" w14:textId="638ECE22" w:rsidR="008D35B3" w:rsidRPr="00D8236C" w:rsidRDefault="008D35B3" w:rsidP="008D35B3">
            <w:pPr>
              <w:pStyle w:val="tabletext"/>
            </w:pPr>
            <w:r w:rsidRPr="00D8236C">
              <w:t>The Derivatives Service Bureau (DSB) Limited</w:t>
            </w:r>
          </w:p>
        </w:tc>
      </w:tr>
      <w:tr w:rsidR="008D35B3" w:rsidRPr="00D8236C" w14:paraId="1054AF73" w14:textId="77777777" w:rsidTr="00E9353E">
        <w:trPr>
          <w:cantSplit/>
        </w:trPr>
        <w:tc>
          <w:tcPr>
            <w:tcW w:w="1985" w:type="dxa"/>
          </w:tcPr>
          <w:p w14:paraId="1341DD48" w14:textId="6AE8C86F" w:rsidR="008D35B3" w:rsidRPr="00D8236C" w:rsidRDefault="008D35B3" w:rsidP="008D35B3">
            <w:pPr>
              <w:pStyle w:val="tabletext"/>
            </w:pPr>
            <w:r w:rsidRPr="00D8236C">
              <w:t>ESMA</w:t>
            </w:r>
          </w:p>
        </w:tc>
        <w:tc>
          <w:tcPr>
            <w:tcW w:w="4819" w:type="dxa"/>
          </w:tcPr>
          <w:p w14:paraId="60D2C176" w14:textId="457A7055" w:rsidR="008D35B3" w:rsidRPr="00D8236C" w:rsidRDefault="008D35B3" w:rsidP="008D35B3">
            <w:pPr>
              <w:pStyle w:val="tabletext"/>
            </w:pPr>
            <w:r w:rsidRPr="00D8236C">
              <w:t>European Securities and Markets Authority</w:t>
            </w:r>
          </w:p>
        </w:tc>
      </w:tr>
      <w:tr w:rsidR="008D35B3" w:rsidRPr="00D8236C" w14:paraId="062F7C88" w14:textId="77777777" w:rsidTr="00E9353E">
        <w:trPr>
          <w:cantSplit/>
        </w:trPr>
        <w:tc>
          <w:tcPr>
            <w:tcW w:w="1985" w:type="dxa"/>
          </w:tcPr>
          <w:p w14:paraId="0FB431BF" w14:textId="30D6FBD2" w:rsidR="008D35B3" w:rsidRPr="00D8236C" w:rsidRDefault="008D35B3" w:rsidP="008D35B3">
            <w:pPr>
              <w:pStyle w:val="tabletext"/>
            </w:pPr>
            <w:r w:rsidRPr="00D8236C">
              <w:t>FSB</w:t>
            </w:r>
          </w:p>
        </w:tc>
        <w:tc>
          <w:tcPr>
            <w:tcW w:w="4819" w:type="dxa"/>
          </w:tcPr>
          <w:p w14:paraId="0EE51A52" w14:textId="68890139" w:rsidR="008D35B3" w:rsidRPr="00D8236C" w:rsidRDefault="008D35B3" w:rsidP="008D35B3">
            <w:pPr>
              <w:pStyle w:val="tabletext"/>
            </w:pPr>
            <w:r w:rsidRPr="00D8236C">
              <w:t>Financial Stability Board</w:t>
            </w:r>
          </w:p>
        </w:tc>
      </w:tr>
      <w:tr w:rsidR="008D35B3" w:rsidRPr="00D8236C" w14:paraId="40EBB059" w14:textId="77777777" w:rsidTr="00E9353E">
        <w:trPr>
          <w:cantSplit/>
        </w:trPr>
        <w:tc>
          <w:tcPr>
            <w:tcW w:w="1985" w:type="dxa"/>
          </w:tcPr>
          <w:p w14:paraId="7F7D470F" w14:textId="1DDCCA61" w:rsidR="008D35B3" w:rsidRPr="00D8236C" w:rsidRDefault="008D35B3" w:rsidP="008D35B3">
            <w:pPr>
              <w:pStyle w:val="tabletext"/>
            </w:pPr>
            <w:r w:rsidRPr="00D8236C">
              <w:t>FX</w:t>
            </w:r>
          </w:p>
        </w:tc>
        <w:tc>
          <w:tcPr>
            <w:tcW w:w="4819" w:type="dxa"/>
          </w:tcPr>
          <w:p w14:paraId="041BFDFE" w14:textId="559CDF4E" w:rsidR="008D35B3" w:rsidRPr="00D8236C" w:rsidRDefault="008D35B3" w:rsidP="008D35B3">
            <w:pPr>
              <w:pStyle w:val="tabletext"/>
            </w:pPr>
            <w:r w:rsidRPr="00D8236C">
              <w:t>Foreign exchange</w:t>
            </w:r>
          </w:p>
        </w:tc>
      </w:tr>
      <w:tr w:rsidR="008D35B3" w:rsidRPr="00D8236C" w14:paraId="3B058395" w14:textId="77777777" w:rsidTr="00E9353E">
        <w:trPr>
          <w:cantSplit/>
        </w:trPr>
        <w:tc>
          <w:tcPr>
            <w:tcW w:w="1985" w:type="dxa"/>
          </w:tcPr>
          <w:p w14:paraId="38F5778D" w14:textId="1BF6727F" w:rsidR="008D35B3" w:rsidRPr="00D8236C" w:rsidRDefault="008D35B3" w:rsidP="008D35B3">
            <w:pPr>
              <w:pStyle w:val="tabletext"/>
            </w:pPr>
            <w:r w:rsidRPr="00D8236C">
              <w:t>G20</w:t>
            </w:r>
          </w:p>
        </w:tc>
        <w:tc>
          <w:tcPr>
            <w:tcW w:w="4819" w:type="dxa"/>
          </w:tcPr>
          <w:p w14:paraId="3BF82DE5" w14:textId="28C7CEFC" w:rsidR="008D35B3" w:rsidRPr="00D8236C" w:rsidRDefault="008D35B3" w:rsidP="008D35B3">
            <w:pPr>
              <w:pStyle w:val="tabletext"/>
            </w:pPr>
            <w:r w:rsidRPr="00D8236C">
              <w:t>Group of Twenty</w:t>
            </w:r>
          </w:p>
        </w:tc>
      </w:tr>
      <w:tr w:rsidR="008D35B3" w:rsidRPr="00D8236C" w14:paraId="33234B36" w14:textId="77777777" w:rsidTr="00E9353E">
        <w:trPr>
          <w:cantSplit/>
        </w:trPr>
        <w:tc>
          <w:tcPr>
            <w:tcW w:w="1985" w:type="dxa"/>
          </w:tcPr>
          <w:p w14:paraId="751785D6" w14:textId="27250E36" w:rsidR="008D35B3" w:rsidRPr="00D8236C" w:rsidRDefault="008D35B3" w:rsidP="008D35B3">
            <w:pPr>
              <w:pStyle w:val="tabletext"/>
            </w:pPr>
            <w:r w:rsidRPr="00D8236C">
              <w:t>GLEIF</w:t>
            </w:r>
          </w:p>
        </w:tc>
        <w:tc>
          <w:tcPr>
            <w:tcW w:w="4819" w:type="dxa"/>
          </w:tcPr>
          <w:p w14:paraId="22766592" w14:textId="5DD90C29" w:rsidR="008D35B3" w:rsidRPr="00D8236C" w:rsidRDefault="008D35B3" w:rsidP="008D35B3">
            <w:pPr>
              <w:pStyle w:val="tabletext"/>
            </w:pPr>
            <w:r w:rsidRPr="00D8236C">
              <w:t>Global Legal Entity Identifier Foundation</w:t>
            </w:r>
          </w:p>
        </w:tc>
      </w:tr>
      <w:tr w:rsidR="008D35B3" w:rsidRPr="00D8236C" w14:paraId="63F18D5A" w14:textId="77777777" w:rsidTr="00E9353E">
        <w:trPr>
          <w:cantSplit/>
        </w:trPr>
        <w:tc>
          <w:tcPr>
            <w:tcW w:w="1985" w:type="dxa"/>
          </w:tcPr>
          <w:p w14:paraId="185D45A0" w14:textId="35A94F55" w:rsidR="008D35B3" w:rsidRPr="00D8236C" w:rsidRDefault="008D35B3" w:rsidP="008D35B3">
            <w:pPr>
              <w:pStyle w:val="tabletext"/>
            </w:pPr>
            <w:r w:rsidRPr="00D8236C">
              <w:t>GLEIS</w:t>
            </w:r>
          </w:p>
        </w:tc>
        <w:tc>
          <w:tcPr>
            <w:tcW w:w="4819" w:type="dxa"/>
          </w:tcPr>
          <w:p w14:paraId="4D44D022" w14:textId="0EA0DE51" w:rsidR="008D35B3" w:rsidRPr="00D8236C" w:rsidRDefault="008D35B3" w:rsidP="008D35B3">
            <w:pPr>
              <w:pStyle w:val="tabletext"/>
            </w:pPr>
            <w:r w:rsidRPr="00D8236C">
              <w:t>Global LEI system</w:t>
            </w:r>
          </w:p>
        </w:tc>
      </w:tr>
      <w:tr w:rsidR="008D35B3" w:rsidRPr="00D8236C" w14:paraId="4BD6A5BF" w14:textId="77777777" w:rsidTr="00E9353E">
        <w:trPr>
          <w:cantSplit/>
        </w:trPr>
        <w:tc>
          <w:tcPr>
            <w:tcW w:w="1985" w:type="dxa"/>
          </w:tcPr>
          <w:p w14:paraId="6E8302DD" w14:textId="0318A6F8" w:rsidR="008D35B3" w:rsidRPr="00D8236C" w:rsidRDefault="008D35B3" w:rsidP="008D35B3">
            <w:pPr>
              <w:pStyle w:val="tabletext"/>
            </w:pPr>
            <w:r w:rsidRPr="00D8236C">
              <w:t>IGB</w:t>
            </w:r>
          </w:p>
        </w:tc>
        <w:tc>
          <w:tcPr>
            <w:tcW w:w="4819" w:type="dxa"/>
          </w:tcPr>
          <w:p w14:paraId="3311C59B" w14:textId="26ED7D02" w:rsidR="008D35B3" w:rsidRPr="00D8236C" w:rsidRDefault="008D35B3" w:rsidP="008D35B3">
            <w:pPr>
              <w:pStyle w:val="tabletext"/>
            </w:pPr>
            <w:r w:rsidRPr="00D8236C">
              <w:t>International governance body</w:t>
            </w:r>
          </w:p>
        </w:tc>
      </w:tr>
      <w:tr w:rsidR="008D35B3" w:rsidRPr="00D8236C" w14:paraId="4BF36E7F" w14:textId="77777777" w:rsidTr="00E9353E">
        <w:trPr>
          <w:cantSplit/>
        </w:trPr>
        <w:tc>
          <w:tcPr>
            <w:tcW w:w="1985" w:type="dxa"/>
          </w:tcPr>
          <w:p w14:paraId="76E82A7E" w14:textId="4438F8FB" w:rsidR="008D35B3" w:rsidRPr="00D8236C" w:rsidRDefault="008D35B3" w:rsidP="008D35B3">
            <w:pPr>
              <w:pStyle w:val="tabletext"/>
            </w:pPr>
            <w:r w:rsidRPr="00D8236C">
              <w:t>IOSCO</w:t>
            </w:r>
          </w:p>
        </w:tc>
        <w:tc>
          <w:tcPr>
            <w:tcW w:w="4819" w:type="dxa"/>
          </w:tcPr>
          <w:p w14:paraId="43B32DDE" w14:textId="331AF06A" w:rsidR="008D35B3" w:rsidRPr="00D8236C" w:rsidRDefault="008D35B3" w:rsidP="008D35B3">
            <w:pPr>
              <w:pStyle w:val="tabletext"/>
            </w:pPr>
            <w:r w:rsidRPr="00D8236C">
              <w:t>International Organization of Securities Commissions</w:t>
            </w:r>
          </w:p>
        </w:tc>
      </w:tr>
      <w:tr w:rsidR="008D35B3" w:rsidRPr="00D8236C" w14:paraId="558A1FC0" w14:textId="77777777" w:rsidTr="00E9353E">
        <w:trPr>
          <w:cantSplit/>
        </w:trPr>
        <w:tc>
          <w:tcPr>
            <w:tcW w:w="1985" w:type="dxa"/>
          </w:tcPr>
          <w:p w14:paraId="64DBE9A0" w14:textId="6DDC5D13" w:rsidR="008D35B3" w:rsidRPr="00D8236C" w:rsidRDefault="008D35B3" w:rsidP="008D35B3">
            <w:pPr>
              <w:pStyle w:val="tabletext"/>
            </w:pPr>
            <w:r w:rsidRPr="00D8236C">
              <w:t>ISDA</w:t>
            </w:r>
          </w:p>
        </w:tc>
        <w:tc>
          <w:tcPr>
            <w:tcW w:w="4819" w:type="dxa"/>
          </w:tcPr>
          <w:p w14:paraId="639E9369" w14:textId="02449DFD" w:rsidR="008D35B3" w:rsidRPr="00D8236C" w:rsidRDefault="008D35B3" w:rsidP="008D35B3">
            <w:pPr>
              <w:pStyle w:val="tabletext"/>
            </w:pPr>
            <w:r w:rsidRPr="00D8236C">
              <w:t>International Swaps and Derivatives Association</w:t>
            </w:r>
          </w:p>
        </w:tc>
      </w:tr>
      <w:tr w:rsidR="008D35B3" w:rsidRPr="00D8236C" w14:paraId="33F0E482" w14:textId="77777777" w:rsidTr="00E9353E">
        <w:trPr>
          <w:cantSplit/>
        </w:trPr>
        <w:tc>
          <w:tcPr>
            <w:tcW w:w="1985" w:type="dxa"/>
          </w:tcPr>
          <w:p w14:paraId="702433C9" w14:textId="04353E5A" w:rsidR="008D35B3" w:rsidRPr="00D8236C" w:rsidRDefault="008D35B3" w:rsidP="008D35B3">
            <w:pPr>
              <w:pStyle w:val="tabletext"/>
            </w:pPr>
            <w:r w:rsidRPr="00D8236C">
              <w:t>ISIN</w:t>
            </w:r>
          </w:p>
        </w:tc>
        <w:tc>
          <w:tcPr>
            <w:tcW w:w="4819" w:type="dxa"/>
          </w:tcPr>
          <w:p w14:paraId="37E3A9AB" w14:textId="56AD393B" w:rsidR="008D35B3" w:rsidRPr="00D8236C" w:rsidRDefault="008D35B3" w:rsidP="008D35B3">
            <w:pPr>
              <w:pStyle w:val="tabletext"/>
            </w:pPr>
            <w:r w:rsidRPr="00D8236C">
              <w:t>International securities identification number</w:t>
            </w:r>
          </w:p>
        </w:tc>
      </w:tr>
      <w:tr w:rsidR="008D35B3" w:rsidRPr="00D8236C" w14:paraId="0E65822D" w14:textId="77777777" w:rsidTr="00E9353E">
        <w:trPr>
          <w:cantSplit/>
        </w:trPr>
        <w:tc>
          <w:tcPr>
            <w:tcW w:w="1985" w:type="dxa"/>
          </w:tcPr>
          <w:p w14:paraId="6D7B1BE8" w14:textId="375A6FB8" w:rsidR="008D35B3" w:rsidRPr="00D8236C" w:rsidRDefault="008D35B3" w:rsidP="008D35B3">
            <w:pPr>
              <w:pStyle w:val="tabletext"/>
            </w:pPr>
            <w:r w:rsidRPr="00D8236C">
              <w:t>ISO</w:t>
            </w:r>
          </w:p>
        </w:tc>
        <w:tc>
          <w:tcPr>
            <w:tcW w:w="4819" w:type="dxa"/>
          </w:tcPr>
          <w:p w14:paraId="26EA87B9" w14:textId="24DF061B" w:rsidR="008D35B3" w:rsidRPr="00D8236C" w:rsidRDefault="008D35B3" w:rsidP="008D35B3">
            <w:pPr>
              <w:pStyle w:val="tabletext"/>
            </w:pPr>
            <w:r w:rsidRPr="00D8236C">
              <w:t>International Organization for Standardization</w:t>
            </w:r>
          </w:p>
        </w:tc>
      </w:tr>
      <w:tr w:rsidR="008D35B3" w:rsidRPr="00D8236C" w14:paraId="71C7A0C5" w14:textId="77777777" w:rsidTr="003927E2">
        <w:trPr>
          <w:cantSplit/>
        </w:trPr>
        <w:tc>
          <w:tcPr>
            <w:tcW w:w="1985" w:type="dxa"/>
          </w:tcPr>
          <w:p w14:paraId="1AC36A38" w14:textId="7256EF94" w:rsidR="008D35B3" w:rsidRPr="00D8236C" w:rsidRDefault="008D35B3" w:rsidP="008D35B3">
            <w:pPr>
              <w:pStyle w:val="tabletext"/>
            </w:pPr>
            <w:r w:rsidRPr="00D8236C">
              <w:t>ISO 23897 (for example)</w:t>
            </w:r>
          </w:p>
        </w:tc>
        <w:tc>
          <w:tcPr>
            <w:tcW w:w="4819" w:type="dxa"/>
          </w:tcPr>
          <w:p w14:paraId="55CE98C5" w14:textId="2A2A92E3" w:rsidR="008D35B3" w:rsidRPr="00D8236C" w:rsidRDefault="008D35B3" w:rsidP="008D35B3">
            <w:pPr>
              <w:pStyle w:val="tabletext"/>
            </w:pPr>
            <w:r w:rsidRPr="00D8236C">
              <w:t xml:space="preserve">A standard maintained and published by ISO (in this example numbered 23897), unless otherwise specified </w:t>
            </w:r>
          </w:p>
        </w:tc>
      </w:tr>
      <w:tr w:rsidR="00036EE7" w:rsidRPr="00D8236C" w14:paraId="118465FD" w14:textId="77777777" w:rsidTr="005701EE">
        <w:trPr>
          <w:cantSplit/>
        </w:trPr>
        <w:tc>
          <w:tcPr>
            <w:tcW w:w="1985" w:type="dxa"/>
          </w:tcPr>
          <w:p w14:paraId="61293D6E" w14:textId="13F10DBD" w:rsidR="00036EE7" w:rsidRPr="00D8236C" w:rsidRDefault="00036EE7" w:rsidP="00036EE7">
            <w:pPr>
              <w:pStyle w:val="tabletext"/>
            </w:pPr>
            <w:r w:rsidRPr="00D8236C">
              <w:lastRenderedPageBreak/>
              <w:t>LEI</w:t>
            </w:r>
          </w:p>
        </w:tc>
        <w:tc>
          <w:tcPr>
            <w:tcW w:w="4819" w:type="dxa"/>
          </w:tcPr>
          <w:p w14:paraId="0626973B" w14:textId="1A70EFC4" w:rsidR="00036EE7" w:rsidRPr="00D8236C" w:rsidRDefault="00036EE7" w:rsidP="00036EE7">
            <w:pPr>
              <w:pStyle w:val="tabletext"/>
            </w:pPr>
            <w:r w:rsidRPr="00D8236C">
              <w:t>Legal entity identifier</w:t>
            </w:r>
          </w:p>
        </w:tc>
      </w:tr>
      <w:tr w:rsidR="00036EE7" w:rsidRPr="00D8236C" w14:paraId="604B24C6" w14:textId="77777777" w:rsidTr="005701EE">
        <w:trPr>
          <w:cantSplit/>
        </w:trPr>
        <w:tc>
          <w:tcPr>
            <w:tcW w:w="1985" w:type="dxa"/>
          </w:tcPr>
          <w:p w14:paraId="4E2A2914" w14:textId="159F758C" w:rsidR="00036EE7" w:rsidRPr="00D8236C" w:rsidRDefault="00036EE7" w:rsidP="00036EE7">
            <w:pPr>
              <w:pStyle w:val="tabletext"/>
            </w:pPr>
            <w:r w:rsidRPr="00D8236C">
              <w:t>lifecycle reporting</w:t>
            </w:r>
          </w:p>
        </w:tc>
        <w:tc>
          <w:tcPr>
            <w:tcW w:w="4819" w:type="dxa"/>
          </w:tcPr>
          <w:p w14:paraId="4276BD5B" w14:textId="3E4939B3" w:rsidR="00036EE7" w:rsidRPr="00D8236C" w:rsidRDefault="00BC19B3" w:rsidP="00036EE7">
            <w:pPr>
              <w:pStyle w:val="tabletext"/>
            </w:pPr>
            <w:r>
              <w:t>R</w:t>
            </w:r>
            <w:r w:rsidR="00036EE7" w:rsidRPr="00D8236C">
              <w:t>eporting derivative transaction information separately for each reportable transaction in the relevant OTC derivative, including where there are multiple reportable transactions on a day</w:t>
            </w:r>
          </w:p>
        </w:tc>
      </w:tr>
      <w:tr w:rsidR="00036EE7" w:rsidRPr="00D8236C" w14:paraId="5FAAD14D" w14:textId="77777777" w:rsidTr="005701EE">
        <w:trPr>
          <w:cantSplit/>
        </w:trPr>
        <w:tc>
          <w:tcPr>
            <w:tcW w:w="1985" w:type="dxa"/>
          </w:tcPr>
          <w:p w14:paraId="5A321D1A" w14:textId="5DEA5A60" w:rsidR="00036EE7" w:rsidRPr="00D8236C" w:rsidRDefault="00036EE7" w:rsidP="00036EE7">
            <w:pPr>
              <w:pStyle w:val="tabletext"/>
            </w:pPr>
            <w:r w:rsidRPr="00D8236C">
              <w:t>LOU</w:t>
            </w:r>
          </w:p>
        </w:tc>
        <w:tc>
          <w:tcPr>
            <w:tcW w:w="4819" w:type="dxa"/>
          </w:tcPr>
          <w:p w14:paraId="4F93442A" w14:textId="64BF988E" w:rsidR="00036EE7" w:rsidRPr="00D8236C" w:rsidRDefault="00036EE7" w:rsidP="00036EE7">
            <w:pPr>
              <w:pStyle w:val="tabletext"/>
            </w:pPr>
            <w:r w:rsidRPr="00D8236C">
              <w:t>Local operating unit accredited by the GLEIF to register and renew LEIs</w:t>
            </w:r>
          </w:p>
        </w:tc>
      </w:tr>
      <w:tr w:rsidR="00036EE7" w:rsidRPr="00D8236C" w14:paraId="40523745" w14:textId="77777777" w:rsidTr="00E9353E">
        <w:trPr>
          <w:cantSplit/>
        </w:trPr>
        <w:tc>
          <w:tcPr>
            <w:tcW w:w="1985" w:type="dxa"/>
          </w:tcPr>
          <w:p w14:paraId="75F722C6" w14:textId="6BE0A5A9" w:rsidR="00036EE7" w:rsidRPr="00D8236C" w:rsidRDefault="00036EE7" w:rsidP="00036EE7">
            <w:pPr>
              <w:pStyle w:val="tabletext"/>
            </w:pPr>
            <w:r w:rsidRPr="00D8236C">
              <w:t>NRCP</w:t>
            </w:r>
          </w:p>
        </w:tc>
        <w:tc>
          <w:tcPr>
            <w:tcW w:w="4819" w:type="dxa"/>
          </w:tcPr>
          <w:p w14:paraId="24FE06A9" w14:textId="011E3E37" w:rsidR="00036EE7" w:rsidRPr="00D8236C" w:rsidRDefault="00036EE7" w:rsidP="00036EE7">
            <w:pPr>
              <w:pStyle w:val="tabletext"/>
            </w:pPr>
            <w:r w:rsidRPr="00D8236C">
              <w:t>Non-reporting counterparty (counterparty 2)</w:t>
            </w:r>
          </w:p>
        </w:tc>
      </w:tr>
      <w:tr w:rsidR="00036EE7" w:rsidRPr="00D8236C" w14:paraId="6B3D2E8A" w14:textId="77777777" w:rsidTr="00E9353E">
        <w:trPr>
          <w:cantSplit/>
        </w:trPr>
        <w:tc>
          <w:tcPr>
            <w:tcW w:w="1985" w:type="dxa"/>
          </w:tcPr>
          <w:p w14:paraId="5D95B95A" w14:textId="4A97A1AC" w:rsidR="00036EE7" w:rsidRPr="00D8236C" w:rsidRDefault="00036EE7" w:rsidP="00036EE7">
            <w:pPr>
              <w:pStyle w:val="tabletext"/>
            </w:pPr>
            <w:r w:rsidRPr="00D8236C">
              <w:t>OTC</w:t>
            </w:r>
          </w:p>
        </w:tc>
        <w:tc>
          <w:tcPr>
            <w:tcW w:w="4819" w:type="dxa"/>
          </w:tcPr>
          <w:p w14:paraId="53F4A3CF" w14:textId="69A918CC" w:rsidR="00036EE7" w:rsidRPr="00D8236C" w:rsidRDefault="00036EE7" w:rsidP="00036EE7">
            <w:pPr>
              <w:pStyle w:val="tabletext"/>
            </w:pPr>
            <w:r w:rsidRPr="00D8236C">
              <w:t>Over the counter</w:t>
            </w:r>
          </w:p>
        </w:tc>
      </w:tr>
      <w:tr w:rsidR="00036EE7" w:rsidRPr="00D8236C" w14:paraId="6C2668D2" w14:textId="77777777" w:rsidTr="00E9353E">
        <w:trPr>
          <w:cantSplit/>
        </w:trPr>
        <w:tc>
          <w:tcPr>
            <w:tcW w:w="1985" w:type="dxa"/>
          </w:tcPr>
          <w:p w14:paraId="26150199" w14:textId="1C3FF10E" w:rsidR="00036EE7" w:rsidRPr="00D8236C" w:rsidRDefault="00036EE7" w:rsidP="00036EE7">
            <w:pPr>
              <w:pStyle w:val="tabletext"/>
            </w:pPr>
            <w:r w:rsidRPr="00D8236C">
              <w:t>OTC derivative</w:t>
            </w:r>
          </w:p>
        </w:tc>
        <w:tc>
          <w:tcPr>
            <w:tcW w:w="4819" w:type="dxa"/>
          </w:tcPr>
          <w:p w14:paraId="0EEB18E3" w14:textId="00720A5B" w:rsidR="00036EE7" w:rsidRPr="00D8236C" w:rsidRDefault="00036EE7" w:rsidP="00036EE7">
            <w:pPr>
              <w:pStyle w:val="tabletext"/>
            </w:pPr>
            <w:r w:rsidRPr="00D8236C">
              <w:rPr>
                <w:szCs w:val="22"/>
              </w:rPr>
              <w:t>A derivative that has the meaning given by Rule 1.2.4 of the ASIC Rules</w:t>
            </w:r>
          </w:p>
        </w:tc>
      </w:tr>
      <w:tr w:rsidR="00036EE7" w:rsidRPr="00D8236C" w14:paraId="50BDCDAD" w14:textId="77777777" w:rsidTr="00E9353E">
        <w:trPr>
          <w:cantSplit/>
        </w:trPr>
        <w:tc>
          <w:tcPr>
            <w:tcW w:w="1985" w:type="dxa"/>
          </w:tcPr>
          <w:p w14:paraId="5923DFFA" w14:textId="5DE33CB0" w:rsidR="00036EE7" w:rsidRPr="00D8236C" w:rsidRDefault="00036EE7" w:rsidP="00036EE7">
            <w:pPr>
              <w:pStyle w:val="tabletext"/>
            </w:pPr>
            <w:r w:rsidRPr="00D8236C">
              <w:t>Part 2.2 (for example)</w:t>
            </w:r>
          </w:p>
        </w:tc>
        <w:tc>
          <w:tcPr>
            <w:tcW w:w="4819" w:type="dxa"/>
          </w:tcPr>
          <w:p w14:paraId="50546544" w14:textId="2B2B2C2F" w:rsidR="00036EE7" w:rsidRPr="00D8236C" w:rsidRDefault="00036EE7" w:rsidP="00036EE7">
            <w:pPr>
              <w:pStyle w:val="tabletext"/>
            </w:pPr>
            <w:r w:rsidRPr="00D8236C">
              <w:t>A part of the ASIC Rules (in this example numbered 2.2)</w:t>
            </w:r>
          </w:p>
        </w:tc>
      </w:tr>
      <w:tr w:rsidR="00036EE7" w:rsidRPr="00D8236C" w14:paraId="61634608" w14:textId="77777777" w:rsidTr="00E9353E">
        <w:trPr>
          <w:cantSplit/>
        </w:trPr>
        <w:tc>
          <w:tcPr>
            <w:tcW w:w="1985" w:type="dxa"/>
          </w:tcPr>
          <w:p w14:paraId="41438EDE" w14:textId="47F32CD6" w:rsidR="00036EE7" w:rsidRPr="00D8236C" w:rsidRDefault="00036EE7" w:rsidP="00036EE7">
            <w:pPr>
              <w:pStyle w:val="tabletext"/>
            </w:pPr>
            <w:r w:rsidRPr="00D8236C">
              <w:t>phase 3 reporting entity</w:t>
            </w:r>
          </w:p>
        </w:tc>
        <w:tc>
          <w:tcPr>
            <w:tcW w:w="4819" w:type="dxa"/>
          </w:tcPr>
          <w:p w14:paraId="750ABD60" w14:textId="31994B22" w:rsidR="00036EE7" w:rsidRPr="00D8236C" w:rsidRDefault="00036EE7" w:rsidP="00036EE7">
            <w:pPr>
              <w:pStyle w:val="tabletext"/>
            </w:pPr>
            <w:r w:rsidRPr="00D8236C">
              <w:t xml:space="preserve">A Phase 3 Reporting Entity within the meaning of </w:t>
            </w:r>
            <w:hyperlink r:id="rId41" w:history="1">
              <w:r w:rsidRPr="001E787C">
                <w:rPr>
                  <w:rStyle w:val="Hyperlink"/>
                </w:rPr>
                <w:t>ASIC Instrument [14/0633]</w:t>
              </w:r>
            </w:hyperlink>
            <w:r w:rsidRPr="00D8236C">
              <w:t xml:space="preserve"> as in force on 1 October 2015.</w:t>
            </w:r>
          </w:p>
          <w:p w14:paraId="57CCA859" w14:textId="7AE19B4B" w:rsidR="00036EE7" w:rsidRPr="00D8236C" w:rsidRDefault="00036EE7" w:rsidP="00036EE7">
            <w:pPr>
              <w:pStyle w:val="tabletext"/>
            </w:pPr>
            <w:r w:rsidRPr="00D8236C">
              <w:t>Generally, this means a reporting entity with the latest reporting commencement dates because it held less than A$50 billion of outstanding derivatives positions as at 31</w:t>
            </w:r>
            <w:r>
              <w:t> </w:t>
            </w:r>
            <w:r w:rsidRPr="00D8236C">
              <w:t>December 2013</w:t>
            </w:r>
          </w:p>
        </w:tc>
      </w:tr>
      <w:tr w:rsidR="00036EE7" w:rsidRPr="00D8236C" w14:paraId="0051CBFA" w14:textId="77777777" w:rsidTr="00E9353E">
        <w:trPr>
          <w:cantSplit/>
        </w:trPr>
        <w:tc>
          <w:tcPr>
            <w:tcW w:w="1985" w:type="dxa"/>
          </w:tcPr>
          <w:p w14:paraId="252F4504" w14:textId="55494307" w:rsidR="00036EE7" w:rsidRPr="00D8236C" w:rsidRDefault="00036EE7" w:rsidP="00036EE7">
            <w:pPr>
              <w:pStyle w:val="tabletext"/>
            </w:pPr>
            <w:r w:rsidRPr="00D8236C">
              <w:t>Pt 7.5A (for example)</w:t>
            </w:r>
          </w:p>
        </w:tc>
        <w:tc>
          <w:tcPr>
            <w:tcW w:w="4819" w:type="dxa"/>
          </w:tcPr>
          <w:p w14:paraId="21777F0D" w14:textId="635CB371" w:rsidR="00036EE7" w:rsidRPr="00D8236C" w:rsidRDefault="00036EE7" w:rsidP="00036EE7">
            <w:pPr>
              <w:pStyle w:val="tabletext"/>
            </w:pPr>
            <w:r w:rsidRPr="00D8236C">
              <w:t>A part of the Corporations Act (in this example numbered 7.5A), unless otherwise specified</w:t>
            </w:r>
          </w:p>
        </w:tc>
      </w:tr>
      <w:tr w:rsidR="00036EE7" w:rsidRPr="00D8236C" w14:paraId="05DA80A1" w14:textId="77777777" w:rsidTr="00E9353E">
        <w:trPr>
          <w:cantSplit/>
        </w:trPr>
        <w:tc>
          <w:tcPr>
            <w:tcW w:w="1985" w:type="dxa"/>
          </w:tcPr>
          <w:p w14:paraId="25BDC1DD" w14:textId="26AB4C7D" w:rsidR="00036EE7" w:rsidRPr="00D8236C" w:rsidRDefault="00036EE7" w:rsidP="00036EE7">
            <w:pPr>
              <w:pStyle w:val="tabletext"/>
            </w:pPr>
            <w:r w:rsidRPr="00D8236C">
              <w:t>reg 7.5A.50 (for example)</w:t>
            </w:r>
          </w:p>
        </w:tc>
        <w:tc>
          <w:tcPr>
            <w:tcW w:w="4819" w:type="dxa"/>
          </w:tcPr>
          <w:p w14:paraId="7BC313C6" w14:textId="404F9BE1" w:rsidR="00036EE7" w:rsidRPr="00D8236C" w:rsidRDefault="00036EE7" w:rsidP="00036EE7">
            <w:pPr>
              <w:pStyle w:val="tabletext"/>
            </w:pPr>
            <w:r w:rsidRPr="00D8236C">
              <w:t xml:space="preserve">A regulation of the Corporations Regulations (in this example numbered 7.5A.50), unless otherwise specified </w:t>
            </w:r>
          </w:p>
        </w:tc>
      </w:tr>
      <w:tr w:rsidR="00036EE7" w:rsidRPr="00D8236C" w14:paraId="7ADD26E3" w14:textId="77777777" w:rsidTr="00E9353E">
        <w:trPr>
          <w:cantSplit/>
        </w:trPr>
        <w:tc>
          <w:tcPr>
            <w:tcW w:w="1985" w:type="dxa"/>
          </w:tcPr>
          <w:p w14:paraId="671ED8FF" w14:textId="36FFCBE3" w:rsidR="00036EE7" w:rsidRPr="00D8236C" w:rsidRDefault="00036EE7" w:rsidP="00036EE7">
            <w:pPr>
              <w:pStyle w:val="tabletext"/>
            </w:pPr>
            <w:r w:rsidRPr="00D8236C">
              <w:t>reportable transaction</w:t>
            </w:r>
          </w:p>
        </w:tc>
        <w:tc>
          <w:tcPr>
            <w:tcW w:w="4819" w:type="dxa"/>
          </w:tcPr>
          <w:p w14:paraId="2577AAB8" w14:textId="2CA600A1" w:rsidR="00036EE7" w:rsidRPr="00D8236C" w:rsidRDefault="00036EE7" w:rsidP="00036EE7">
            <w:pPr>
              <w:pStyle w:val="tabletext"/>
            </w:pPr>
            <w:r w:rsidRPr="00D8236C">
              <w:t xml:space="preserve">A transaction in an OTC derivative </w:t>
            </w:r>
            <w:r w:rsidRPr="00D8236C">
              <w:rPr>
                <w:szCs w:val="22"/>
              </w:rPr>
              <w:t>that has the meaning given by Rule 1.2.5 of the ASIC Rules</w:t>
            </w:r>
          </w:p>
        </w:tc>
      </w:tr>
      <w:tr w:rsidR="00036EE7" w:rsidRPr="00D8236C" w14:paraId="5A64642B" w14:textId="77777777" w:rsidTr="00E9353E">
        <w:trPr>
          <w:cantSplit/>
        </w:trPr>
        <w:tc>
          <w:tcPr>
            <w:tcW w:w="1985" w:type="dxa"/>
          </w:tcPr>
          <w:p w14:paraId="44051335" w14:textId="1F82B6B0" w:rsidR="00036EE7" w:rsidRPr="00D8236C" w:rsidRDefault="00036EE7" w:rsidP="00036EE7">
            <w:pPr>
              <w:pStyle w:val="tabletext"/>
            </w:pPr>
            <w:r w:rsidRPr="00D8236C">
              <w:t>retail client</w:t>
            </w:r>
          </w:p>
        </w:tc>
        <w:tc>
          <w:tcPr>
            <w:tcW w:w="4819" w:type="dxa"/>
          </w:tcPr>
          <w:p w14:paraId="11BEA8F4" w14:textId="223664AD" w:rsidR="00036EE7" w:rsidRPr="00D8236C" w:rsidRDefault="00036EE7" w:rsidP="00036EE7">
            <w:pPr>
              <w:pStyle w:val="tabletext"/>
            </w:pPr>
            <w:r w:rsidRPr="00D8236C">
              <w:t xml:space="preserve">A client as defined in s761G of the Corporations Act and </w:t>
            </w:r>
            <w:proofErr w:type="spellStart"/>
            <w:r w:rsidRPr="00D8236C">
              <w:t>Div</w:t>
            </w:r>
            <w:proofErr w:type="spellEnd"/>
            <w:r w:rsidRPr="00D8236C">
              <w:t xml:space="preserve"> 2 of Pt 7.1 of the Corporations Regulations</w:t>
            </w:r>
          </w:p>
        </w:tc>
      </w:tr>
      <w:tr w:rsidR="00036EE7" w:rsidRPr="00D8236C" w14:paraId="567E349E" w14:textId="77777777" w:rsidTr="00E9353E">
        <w:trPr>
          <w:cantSplit/>
        </w:trPr>
        <w:tc>
          <w:tcPr>
            <w:tcW w:w="1985" w:type="dxa"/>
          </w:tcPr>
          <w:p w14:paraId="0D574427" w14:textId="21B46223" w:rsidR="00036EE7" w:rsidRPr="00D8236C" w:rsidRDefault="00036EE7" w:rsidP="00036EE7">
            <w:pPr>
              <w:pStyle w:val="tabletext"/>
            </w:pPr>
            <w:r w:rsidRPr="00D8236C">
              <w:t>ROC</w:t>
            </w:r>
          </w:p>
        </w:tc>
        <w:tc>
          <w:tcPr>
            <w:tcW w:w="4819" w:type="dxa"/>
          </w:tcPr>
          <w:p w14:paraId="67DE4EB4" w14:textId="20259E07" w:rsidR="00036EE7" w:rsidRPr="00D8236C" w:rsidRDefault="00036EE7" w:rsidP="00036EE7">
            <w:pPr>
              <w:pStyle w:val="tabletext"/>
            </w:pPr>
            <w:r w:rsidRPr="00D8236C">
              <w:t>Regulatory Oversight Committee</w:t>
            </w:r>
          </w:p>
        </w:tc>
      </w:tr>
      <w:tr w:rsidR="00036EE7" w:rsidRPr="00D8236C" w14:paraId="5A93A970" w14:textId="77777777" w:rsidTr="00E9353E">
        <w:trPr>
          <w:cantSplit/>
        </w:trPr>
        <w:tc>
          <w:tcPr>
            <w:tcW w:w="1985" w:type="dxa"/>
          </w:tcPr>
          <w:p w14:paraId="13D6FABC" w14:textId="4CFA3718" w:rsidR="00036EE7" w:rsidRPr="00D8236C" w:rsidRDefault="00036EE7" w:rsidP="00036EE7">
            <w:pPr>
              <w:pStyle w:val="tabletext"/>
            </w:pPr>
            <w:r w:rsidRPr="00D8236C">
              <w:t>Rule 2.2.1 (for example)</w:t>
            </w:r>
          </w:p>
        </w:tc>
        <w:tc>
          <w:tcPr>
            <w:tcW w:w="4819" w:type="dxa"/>
          </w:tcPr>
          <w:p w14:paraId="395DB273" w14:textId="45D20FAA" w:rsidR="00036EE7" w:rsidRPr="00D8236C" w:rsidRDefault="00036EE7" w:rsidP="00036EE7">
            <w:pPr>
              <w:pStyle w:val="tabletext"/>
            </w:pPr>
            <w:r w:rsidRPr="00D8236C">
              <w:t>A rule of the ASIC Rules (in this example numbered 2.2.1)</w:t>
            </w:r>
          </w:p>
        </w:tc>
      </w:tr>
      <w:tr w:rsidR="00036EE7" w:rsidRPr="00D8236C" w14:paraId="37588283" w14:textId="77777777" w:rsidTr="00AD06A2">
        <w:trPr>
          <w:cantSplit/>
        </w:trPr>
        <w:tc>
          <w:tcPr>
            <w:tcW w:w="1985" w:type="dxa"/>
          </w:tcPr>
          <w:p w14:paraId="42896231" w14:textId="77777777" w:rsidR="00036EE7" w:rsidRPr="00D8236C" w:rsidRDefault="00036EE7" w:rsidP="00036EE7">
            <w:pPr>
              <w:pStyle w:val="tabletext"/>
            </w:pPr>
            <w:r w:rsidRPr="00D8236C">
              <w:t>s901J</w:t>
            </w:r>
          </w:p>
        </w:tc>
        <w:tc>
          <w:tcPr>
            <w:tcW w:w="4819" w:type="dxa"/>
          </w:tcPr>
          <w:p w14:paraId="2B88BA1C" w14:textId="77777777" w:rsidR="00036EE7" w:rsidRPr="00D8236C" w:rsidRDefault="00036EE7" w:rsidP="00036EE7">
            <w:pPr>
              <w:pStyle w:val="tabletext"/>
            </w:pPr>
            <w:r w:rsidRPr="00D8236C">
              <w:t xml:space="preserve">A section of the Corporations Act (in this example numbered 901J), unless otherwise specified </w:t>
            </w:r>
          </w:p>
        </w:tc>
      </w:tr>
      <w:tr w:rsidR="00036EE7" w:rsidRPr="00D8236C" w14:paraId="28ABA5FF" w14:textId="77777777" w:rsidTr="00E9353E">
        <w:trPr>
          <w:cantSplit/>
        </w:trPr>
        <w:tc>
          <w:tcPr>
            <w:tcW w:w="1985" w:type="dxa"/>
          </w:tcPr>
          <w:p w14:paraId="3815A89A" w14:textId="525FD705" w:rsidR="00036EE7" w:rsidRPr="00D8236C" w:rsidRDefault="00036EE7" w:rsidP="00036EE7">
            <w:pPr>
              <w:pStyle w:val="tabletext"/>
            </w:pPr>
            <w:r w:rsidRPr="00D8236C">
              <w:t>SEC</w:t>
            </w:r>
          </w:p>
        </w:tc>
        <w:tc>
          <w:tcPr>
            <w:tcW w:w="4819" w:type="dxa"/>
          </w:tcPr>
          <w:p w14:paraId="31F1EA06" w14:textId="3FE7E662" w:rsidR="00036EE7" w:rsidRPr="00D8236C" w:rsidRDefault="00036EE7" w:rsidP="00036EE7">
            <w:pPr>
              <w:pStyle w:val="tabletext"/>
            </w:pPr>
            <w:r w:rsidRPr="00D8236C">
              <w:t>US Securities and Exchange Commission</w:t>
            </w:r>
          </w:p>
        </w:tc>
      </w:tr>
      <w:tr w:rsidR="00036EE7" w:rsidRPr="00D8236C" w14:paraId="4AACC4EB" w14:textId="77777777" w:rsidTr="00E9353E">
        <w:trPr>
          <w:cantSplit/>
        </w:trPr>
        <w:tc>
          <w:tcPr>
            <w:tcW w:w="1985" w:type="dxa"/>
          </w:tcPr>
          <w:p w14:paraId="45EC6482" w14:textId="0D4BB37D" w:rsidR="00036EE7" w:rsidRPr="00D8236C" w:rsidRDefault="00036EE7" w:rsidP="00036EE7">
            <w:pPr>
              <w:pStyle w:val="tabletext"/>
            </w:pPr>
            <w:r w:rsidRPr="00D8236C">
              <w:t>single-jurisdictional transaction</w:t>
            </w:r>
          </w:p>
        </w:tc>
        <w:tc>
          <w:tcPr>
            <w:tcW w:w="4819" w:type="dxa"/>
          </w:tcPr>
          <w:p w14:paraId="18D8A7DF" w14:textId="622682C1" w:rsidR="00036EE7" w:rsidRPr="00D8236C" w:rsidRDefault="00036EE7" w:rsidP="00036EE7">
            <w:pPr>
              <w:pStyle w:val="tabletext"/>
            </w:pPr>
            <w:r w:rsidRPr="00D8236C">
              <w:t>A transaction that is solely reportable under the rules of just one jurisdiction</w:t>
            </w:r>
          </w:p>
        </w:tc>
      </w:tr>
      <w:tr w:rsidR="00036EE7" w:rsidRPr="00D8236C" w14:paraId="65B82D5D" w14:textId="77777777" w:rsidTr="005701EE">
        <w:trPr>
          <w:cantSplit/>
        </w:trPr>
        <w:tc>
          <w:tcPr>
            <w:tcW w:w="1985" w:type="dxa"/>
          </w:tcPr>
          <w:p w14:paraId="19DA84AC" w14:textId="701F0C21" w:rsidR="00036EE7" w:rsidRPr="00D8236C" w:rsidRDefault="00036EE7" w:rsidP="00036EE7">
            <w:pPr>
              <w:pStyle w:val="tabletext"/>
            </w:pPr>
            <w:r w:rsidRPr="00D8236C">
              <w:t>snapshot reporting</w:t>
            </w:r>
          </w:p>
        </w:tc>
        <w:tc>
          <w:tcPr>
            <w:tcW w:w="4819" w:type="dxa"/>
          </w:tcPr>
          <w:p w14:paraId="4B5DBA12" w14:textId="143FA17E" w:rsidR="00036EE7" w:rsidRPr="00D8236C" w:rsidRDefault="003401C9" w:rsidP="00036EE7">
            <w:pPr>
              <w:pStyle w:val="tabletext"/>
            </w:pPr>
            <w:r>
              <w:t>R</w:t>
            </w:r>
            <w:r w:rsidR="00036EE7" w:rsidRPr="00D8236C">
              <w:t>eporting derivative transaction information in relation to the relevant OTC derivative on its terms as of the relevant day</w:t>
            </w:r>
          </w:p>
        </w:tc>
      </w:tr>
      <w:tr w:rsidR="00036EE7" w:rsidRPr="00D8236C" w14:paraId="6084711A" w14:textId="77777777" w:rsidTr="00E9353E">
        <w:trPr>
          <w:cantSplit/>
        </w:trPr>
        <w:tc>
          <w:tcPr>
            <w:tcW w:w="1985" w:type="dxa"/>
          </w:tcPr>
          <w:p w14:paraId="11CF2544" w14:textId="0D357EEF" w:rsidR="00036EE7" w:rsidRPr="00D8236C" w:rsidRDefault="00036EE7" w:rsidP="00036EE7">
            <w:pPr>
              <w:pStyle w:val="tabletext"/>
            </w:pPr>
            <w:r w:rsidRPr="00D8236C">
              <w:t>T+1</w:t>
            </w:r>
          </w:p>
        </w:tc>
        <w:tc>
          <w:tcPr>
            <w:tcW w:w="4819" w:type="dxa"/>
          </w:tcPr>
          <w:p w14:paraId="52D56B5B" w14:textId="1FA92769" w:rsidR="00036EE7" w:rsidRPr="00D8236C" w:rsidRDefault="00036EE7" w:rsidP="00036EE7">
            <w:pPr>
              <w:pStyle w:val="tabletext"/>
            </w:pPr>
            <w:r w:rsidRPr="00D8236C">
              <w:t>The business day following the transaction date</w:t>
            </w:r>
          </w:p>
        </w:tc>
      </w:tr>
      <w:tr w:rsidR="00036EE7" w:rsidRPr="00D8236C" w14:paraId="28B9F9F4" w14:textId="77777777" w:rsidTr="00E9353E">
        <w:trPr>
          <w:cantSplit/>
        </w:trPr>
        <w:tc>
          <w:tcPr>
            <w:tcW w:w="1985" w:type="dxa"/>
          </w:tcPr>
          <w:p w14:paraId="605CAF07" w14:textId="75C1F34D" w:rsidR="00036EE7" w:rsidRPr="00D8236C" w:rsidRDefault="00036EE7" w:rsidP="00036EE7">
            <w:pPr>
              <w:pStyle w:val="tabletext"/>
            </w:pPr>
            <w:r w:rsidRPr="00D8236C">
              <w:lastRenderedPageBreak/>
              <w:t>trading platform</w:t>
            </w:r>
          </w:p>
        </w:tc>
        <w:tc>
          <w:tcPr>
            <w:tcW w:w="4819" w:type="dxa"/>
          </w:tcPr>
          <w:p w14:paraId="5EB389CA" w14:textId="25D4C65E" w:rsidR="00036EE7" w:rsidRPr="00D8236C" w:rsidRDefault="00036EE7" w:rsidP="00036EE7">
            <w:pPr>
              <w:pStyle w:val="tabletext"/>
            </w:pPr>
            <w:r w:rsidRPr="00D8236C">
              <w:t>A financial market, as defined in s767A of the Corporations Act, through which offers to acquire or dispose of financial products are regularly made or accepted</w:t>
            </w:r>
          </w:p>
        </w:tc>
      </w:tr>
      <w:tr w:rsidR="00036EE7" w:rsidRPr="00D8236C" w14:paraId="6DAB7AA9" w14:textId="77777777" w:rsidTr="00E9353E">
        <w:trPr>
          <w:cantSplit/>
        </w:trPr>
        <w:tc>
          <w:tcPr>
            <w:tcW w:w="1985" w:type="dxa"/>
          </w:tcPr>
          <w:p w14:paraId="5D260F76" w14:textId="222861D5" w:rsidR="00036EE7" w:rsidRPr="00D8236C" w:rsidRDefault="00036EE7" w:rsidP="00036EE7">
            <w:pPr>
              <w:pStyle w:val="tabletext"/>
            </w:pPr>
            <w:r w:rsidRPr="00D8236C">
              <w:t>UPI</w:t>
            </w:r>
          </w:p>
        </w:tc>
        <w:tc>
          <w:tcPr>
            <w:tcW w:w="4819" w:type="dxa"/>
          </w:tcPr>
          <w:p w14:paraId="182C1197" w14:textId="261A43FB" w:rsidR="00036EE7" w:rsidRPr="00D8236C" w:rsidRDefault="003401C9" w:rsidP="00036EE7">
            <w:pPr>
              <w:pStyle w:val="tabletext"/>
            </w:pPr>
            <w:r>
              <w:t>U</w:t>
            </w:r>
            <w:r w:rsidR="00036EE7" w:rsidRPr="00D8236C">
              <w:t>nique product identifier</w:t>
            </w:r>
          </w:p>
        </w:tc>
      </w:tr>
      <w:tr w:rsidR="00036EE7" w:rsidRPr="00D8236C" w14:paraId="3E8F1A93" w14:textId="77777777" w:rsidTr="00E9353E">
        <w:trPr>
          <w:cantSplit/>
        </w:trPr>
        <w:tc>
          <w:tcPr>
            <w:tcW w:w="1985" w:type="dxa"/>
          </w:tcPr>
          <w:p w14:paraId="74505804" w14:textId="07FF7C47" w:rsidR="00036EE7" w:rsidRPr="00D8236C" w:rsidRDefault="00036EE7" w:rsidP="00036EE7">
            <w:pPr>
              <w:pStyle w:val="tabletext"/>
            </w:pPr>
            <w:r w:rsidRPr="00D8236C">
              <w:t>UPI Guidance</w:t>
            </w:r>
          </w:p>
        </w:tc>
        <w:tc>
          <w:tcPr>
            <w:tcW w:w="4819" w:type="dxa"/>
          </w:tcPr>
          <w:p w14:paraId="494D890A" w14:textId="60E43336" w:rsidR="00036EE7" w:rsidRPr="003401C9" w:rsidRDefault="00036EE7" w:rsidP="00036EE7">
            <w:pPr>
              <w:pStyle w:val="tabletext"/>
            </w:pPr>
            <w:r w:rsidRPr="00D8236C">
              <w:t xml:space="preserve">CPMI IOSCO, </w:t>
            </w:r>
            <w:hyperlink r:id="rId42" w:history="1">
              <w:r w:rsidR="003401C9" w:rsidRPr="003401C9">
                <w:rPr>
                  <w:rStyle w:val="Hyperlink"/>
                  <w:i/>
                  <w:iCs/>
                </w:rPr>
                <w:t>Technical guidance: Harmonisation of the unique product identifier</w:t>
              </w:r>
            </w:hyperlink>
            <w:r w:rsidR="003401C9">
              <w:rPr>
                <w:i/>
                <w:iCs/>
              </w:rPr>
              <w:t xml:space="preserve"> </w:t>
            </w:r>
            <w:r w:rsidR="003401C9">
              <w:t>(PDF 602 KB)</w:t>
            </w:r>
          </w:p>
        </w:tc>
      </w:tr>
      <w:tr w:rsidR="00036EE7" w:rsidRPr="00D8236C" w14:paraId="6DA5CEBC" w14:textId="77777777" w:rsidTr="00E9353E">
        <w:trPr>
          <w:cantSplit/>
        </w:trPr>
        <w:tc>
          <w:tcPr>
            <w:tcW w:w="1985" w:type="dxa"/>
          </w:tcPr>
          <w:p w14:paraId="212DDBA9" w14:textId="47A5320C" w:rsidR="00036EE7" w:rsidRPr="00D8236C" w:rsidRDefault="00036EE7" w:rsidP="00036EE7">
            <w:pPr>
              <w:pStyle w:val="tabletext"/>
            </w:pPr>
            <w:r w:rsidRPr="00D8236C">
              <w:t>UTI</w:t>
            </w:r>
          </w:p>
        </w:tc>
        <w:tc>
          <w:tcPr>
            <w:tcW w:w="4819" w:type="dxa"/>
          </w:tcPr>
          <w:p w14:paraId="7750B111" w14:textId="75BB896F" w:rsidR="00036EE7" w:rsidRPr="00D8236C" w:rsidRDefault="003401C9" w:rsidP="00036EE7">
            <w:pPr>
              <w:pStyle w:val="tabletext"/>
            </w:pPr>
            <w:r>
              <w:t>U</w:t>
            </w:r>
            <w:r w:rsidR="00036EE7" w:rsidRPr="00D8236C">
              <w:t>nique transaction identifier</w:t>
            </w:r>
          </w:p>
        </w:tc>
      </w:tr>
      <w:tr w:rsidR="00036EE7" w:rsidRPr="00D8236C" w14:paraId="4121AA80" w14:textId="77777777" w:rsidTr="00E9353E">
        <w:trPr>
          <w:cantSplit/>
        </w:trPr>
        <w:tc>
          <w:tcPr>
            <w:tcW w:w="1985" w:type="dxa"/>
          </w:tcPr>
          <w:p w14:paraId="1564FC5C" w14:textId="3F442A1D" w:rsidR="00036EE7" w:rsidRPr="00D8236C" w:rsidRDefault="00036EE7" w:rsidP="00036EE7">
            <w:pPr>
              <w:pStyle w:val="tabletext"/>
            </w:pPr>
            <w:r w:rsidRPr="00D8236C">
              <w:t>UTI Guidance</w:t>
            </w:r>
          </w:p>
        </w:tc>
        <w:tc>
          <w:tcPr>
            <w:tcW w:w="4819" w:type="dxa"/>
          </w:tcPr>
          <w:p w14:paraId="5E320CCB" w14:textId="2D8D92FB" w:rsidR="00036EE7" w:rsidRPr="003401C9" w:rsidRDefault="00036EE7" w:rsidP="00036EE7">
            <w:pPr>
              <w:pStyle w:val="tabletext"/>
            </w:pPr>
            <w:r w:rsidRPr="00D8236C">
              <w:t xml:space="preserve">CPMI IOSCO, </w:t>
            </w:r>
            <w:hyperlink r:id="rId43" w:history="1">
              <w:r w:rsidR="003401C9" w:rsidRPr="003401C9">
                <w:rPr>
                  <w:rStyle w:val="Hyperlink"/>
                  <w:i/>
                  <w:iCs/>
                </w:rPr>
                <w:t>Technical guidance: Harmonisation of the unique transaction identifier</w:t>
              </w:r>
            </w:hyperlink>
            <w:r w:rsidR="003401C9">
              <w:rPr>
                <w:i/>
                <w:iCs/>
              </w:rPr>
              <w:t xml:space="preserve"> </w:t>
            </w:r>
            <w:r w:rsidR="003401C9">
              <w:t>(PDF 570 KB)</w:t>
            </w:r>
          </w:p>
        </w:tc>
      </w:tr>
      <w:tr w:rsidR="00036EE7" w14:paraId="081B7B5E" w14:textId="77777777" w:rsidTr="00E9353E">
        <w:trPr>
          <w:cantSplit/>
        </w:trPr>
        <w:tc>
          <w:tcPr>
            <w:tcW w:w="1985" w:type="dxa"/>
          </w:tcPr>
          <w:p w14:paraId="134C0CDD" w14:textId="268BE55F" w:rsidR="00036EE7" w:rsidRPr="00D8236C" w:rsidRDefault="00036EE7" w:rsidP="00036EE7">
            <w:pPr>
              <w:pStyle w:val="tabletext"/>
            </w:pPr>
            <w:r w:rsidRPr="00D8236C">
              <w:t>wholesale client</w:t>
            </w:r>
          </w:p>
        </w:tc>
        <w:tc>
          <w:tcPr>
            <w:tcW w:w="4819" w:type="dxa"/>
          </w:tcPr>
          <w:p w14:paraId="6796327B" w14:textId="57885BAF" w:rsidR="00036EE7" w:rsidRDefault="00036EE7" w:rsidP="00036EE7">
            <w:pPr>
              <w:pStyle w:val="tabletext"/>
            </w:pPr>
            <w:r w:rsidRPr="00D8236C">
              <w:t xml:space="preserve">A client who is not a retail client as defined in s761G of the Corporations Act and </w:t>
            </w:r>
            <w:proofErr w:type="spellStart"/>
            <w:r w:rsidRPr="00D8236C">
              <w:t>Div</w:t>
            </w:r>
            <w:proofErr w:type="spellEnd"/>
            <w:r w:rsidRPr="00D8236C">
              <w:t xml:space="preserve"> 2 of Pt 7.1 of the Corporations Regulations</w:t>
            </w:r>
          </w:p>
        </w:tc>
      </w:tr>
    </w:tbl>
    <w:p w14:paraId="286A8ECC" w14:textId="77777777" w:rsidR="00F96B9E" w:rsidRDefault="00F96B9E" w:rsidP="00AD06A2">
      <w:pPr>
        <w:pStyle w:val="Heading1nonumber"/>
      </w:pPr>
      <w:bookmarkStart w:id="207" w:name="_Toc57146522"/>
      <w:r>
        <w:lastRenderedPageBreak/>
        <w:t>List of proposals and questions</w:t>
      </w:r>
      <w:bookmarkEnd w:id="207"/>
      <w:r>
        <w:t xml:space="preserve"> </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4536"/>
        <w:gridCol w:w="4536"/>
      </w:tblGrid>
      <w:tr w:rsidR="00F96B9E" w14:paraId="20AA130F" w14:textId="77777777" w:rsidTr="00314C7E">
        <w:trPr>
          <w:cantSplit/>
          <w:tblHeader/>
        </w:trPr>
        <w:tc>
          <w:tcPr>
            <w:tcW w:w="4536" w:type="dxa"/>
            <w:shd w:val="clear" w:color="auto" w:fill="C2E3FA"/>
          </w:tcPr>
          <w:p w14:paraId="1AF4DEBC" w14:textId="77777777" w:rsidR="00F96B9E" w:rsidRDefault="00F96B9E">
            <w:pPr>
              <w:pStyle w:val="tablehead"/>
            </w:pPr>
            <w:r>
              <w:t>Proposal</w:t>
            </w:r>
          </w:p>
        </w:tc>
        <w:tc>
          <w:tcPr>
            <w:tcW w:w="4536" w:type="dxa"/>
            <w:shd w:val="clear" w:color="auto" w:fill="C2E3FA"/>
          </w:tcPr>
          <w:p w14:paraId="3F1195BC" w14:textId="77777777" w:rsidR="00F96B9E" w:rsidRDefault="00F96B9E">
            <w:pPr>
              <w:pStyle w:val="tablehead"/>
            </w:pPr>
            <w:r>
              <w:t>Your feedback</w:t>
            </w:r>
          </w:p>
        </w:tc>
      </w:tr>
      <w:tr w:rsidR="00F96B9E" w14:paraId="415BD97B" w14:textId="77777777" w:rsidTr="00314C7E">
        <w:trPr>
          <w:cantSplit/>
        </w:trPr>
        <w:tc>
          <w:tcPr>
            <w:tcW w:w="4536" w:type="dxa"/>
            <w:shd w:val="clear" w:color="auto" w:fill="auto"/>
          </w:tcPr>
          <w:p w14:paraId="5A0860F1" w14:textId="445E5B26" w:rsidR="00F96B9E" w:rsidRDefault="00F96B9E" w:rsidP="00F96B9E">
            <w:pPr>
              <w:pStyle w:val="tblProposaltext"/>
            </w:pPr>
            <w:r>
              <w:t>C1</w:t>
            </w:r>
            <w:r>
              <w:tab/>
              <w:t xml:space="preserve">We propose to set out the UTI structure and format in a technical specification and the text of UTI rules for transaction events in the ASIC Rules. </w:t>
            </w:r>
          </w:p>
        </w:tc>
        <w:tc>
          <w:tcPr>
            <w:tcW w:w="4536" w:type="dxa"/>
            <w:shd w:val="clear" w:color="auto" w:fill="auto"/>
          </w:tcPr>
          <w:p w14:paraId="7D9A638B" w14:textId="77777777" w:rsidR="00F96B9E" w:rsidRDefault="00F96B9E" w:rsidP="00F96B9E">
            <w:pPr>
              <w:pStyle w:val="tblFeedbackquestion"/>
            </w:pPr>
            <w:r>
              <w:t>C1Q1</w:t>
            </w:r>
            <w:r>
              <w:tab/>
              <w:t>Do you agree with this proposal? In your response, please give detailed reasons for your answer.</w:t>
            </w:r>
          </w:p>
          <w:p w14:paraId="0E7BE062" w14:textId="31C226B9" w:rsidR="00F96B9E" w:rsidRDefault="00F96B9E" w:rsidP="00F96B9E">
            <w:pPr>
              <w:pStyle w:val="tblFeedbackquestion"/>
            </w:pPr>
            <w:r>
              <w:t>C1Q2</w:t>
            </w:r>
            <w:r>
              <w:tab/>
              <w:t xml:space="preserve">Do you consider that the UTI Guidance concerning the impact of the transaction events on the UTI is sufficiently clear or are there uncertainties that we should take into account when drafting the text for the ASIC Rules? In your response, please give detailed reasons for your answer. </w:t>
            </w:r>
          </w:p>
        </w:tc>
      </w:tr>
      <w:tr w:rsidR="00F96B9E" w14:paraId="6FD292B3" w14:textId="77777777" w:rsidTr="00314C7E">
        <w:trPr>
          <w:cantSplit/>
        </w:trPr>
        <w:tc>
          <w:tcPr>
            <w:tcW w:w="4536" w:type="dxa"/>
            <w:shd w:val="clear" w:color="auto" w:fill="auto"/>
          </w:tcPr>
          <w:p w14:paraId="66BF1561" w14:textId="00C0D273" w:rsidR="00F96B9E" w:rsidRDefault="00F96B9E" w:rsidP="00F96B9E">
            <w:pPr>
              <w:pStyle w:val="tblProposaltext"/>
            </w:pPr>
            <w:r>
              <w:t>C2</w:t>
            </w:r>
            <w:r>
              <w:tab/>
              <w:t xml:space="preserve">We propose to implement UTI Guidance step 1 (CCP), UTI Guidance step 2 (clearing member) and UTI Guidance step 3 (trading platform) as steps 1, 2 and 3 respectively in the ASIC Rules for UTI generation and reporting. </w:t>
            </w:r>
          </w:p>
        </w:tc>
        <w:tc>
          <w:tcPr>
            <w:tcW w:w="4536" w:type="dxa"/>
            <w:shd w:val="clear" w:color="auto" w:fill="auto"/>
          </w:tcPr>
          <w:p w14:paraId="1FD88E6D" w14:textId="77777777" w:rsidR="00F96B9E" w:rsidRDefault="00F96B9E" w:rsidP="00F96B9E">
            <w:pPr>
              <w:pStyle w:val="tblFeedbackquestion"/>
            </w:pPr>
            <w:r>
              <w:t>C2Q1</w:t>
            </w:r>
            <w:r>
              <w:tab/>
              <w:t>Do you agree with this proposal? In your response, please give detailed reasons for your answer.</w:t>
            </w:r>
          </w:p>
          <w:p w14:paraId="22FA9EFD" w14:textId="77777777" w:rsidR="00F96B9E" w:rsidRDefault="00F96B9E" w:rsidP="00F96B9E">
            <w:pPr>
              <w:pStyle w:val="tblFeedbackquestion"/>
            </w:pPr>
            <w:r>
              <w:t>C2Q2</w:t>
            </w:r>
            <w:r>
              <w:tab/>
              <w:t>Do you consider that, in addition to uncertainties about the globally common recognition, for UTI rules’ purposes, of CCPs, clearing members and trading platforms and the manner and timing of implementing UTI generation obligations, there are other uncertainties or implementation risks in relation to implementing these steps 1, 2 and 3 as UTI rules within the ASIC Rules? In your response, please give detailed reasons for your answer.</w:t>
            </w:r>
          </w:p>
          <w:p w14:paraId="4BA40EA4" w14:textId="5E4DF81C" w:rsidR="00F96B9E" w:rsidRDefault="00F96B9E" w:rsidP="00F96B9E">
            <w:pPr>
              <w:pStyle w:val="tblFeedbackquestion"/>
            </w:pPr>
            <w:r>
              <w:t>C2Q3</w:t>
            </w:r>
            <w:r>
              <w:tab/>
              <w:t xml:space="preserve">Do you consider that, in addition to considering temporary exemptions for jurisdictional implementation timing differences, there are other steps that ASIC could take or other provisions or exemptions that ASIC could consider to resolve or minimise the uncertainties or implementation risks? In your response, please give detailed reasons for your answer. </w:t>
            </w:r>
          </w:p>
        </w:tc>
      </w:tr>
      <w:tr w:rsidR="00F96B9E" w14:paraId="39E75FB0" w14:textId="77777777" w:rsidTr="00314C7E">
        <w:trPr>
          <w:cantSplit/>
        </w:trPr>
        <w:tc>
          <w:tcPr>
            <w:tcW w:w="4536" w:type="dxa"/>
            <w:shd w:val="clear" w:color="auto" w:fill="auto"/>
          </w:tcPr>
          <w:p w14:paraId="09083C9B" w14:textId="2BF28F96" w:rsidR="00F96B9E" w:rsidRDefault="00F96B9E" w:rsidP="00F96B9E">
            <w:pPr>
              <w:pStyle w:val="tblProposaltext"/>
            </w:pPr>
            <w:r>
              <w:lastRenderedPageBreak/>
              <w:t>C3</w:t>
            </w:r>
            <w:r>
              <w:tab/>
              <w:t xml:space="preserve">In principle, we propose to implement the elements of Table 4 as the steps of UTI rules for single-jurisdictional transactions within the ASIC Rules. As these steps are intended to align with the EU rules, our proposal is subject to the final EU rules. </w:t>
            </w:r>
          </w:p>
        </w:tc>
        <w:tc>
          <w:tcPr>
            <w:tcW w:w="4536" w:type="dxa"/>
            <w:shd w:val="clear" w:color="auto" w:fill="auto"/>
          </w:tcPr>
          <w:p w14:paraId="4C24E797" w14:textId="77777777" w:rsidR="00F96B9E" w:rsidRDefault="00F96B9E" w:rsidP="00F96B9E">
            <w:pPr>
              <w:pStyle w:val="tblFeedbackquestion"/>
            </w:pPr>
            <w:r>
              <w:t>C3Q1</w:t>
            </w:r>
            <w:r>
              <w:tab/>
              <w:t>Do you agree with this proposal? In your response, please give detailed reasons for your answer.</w:t>
            </w:r>
          </w:p>
          <w:p w14:paraId="1BCDADC9" w14:textId="77777777" w:rsidR="00F96B9E" w:rsidRDefault="00F96B9E" w:rsidP="00F96B9E">
            <w:pPr>
              <w:pStyle w:val="tblFeedbackquestion"/>
            </w:pPr>
            <w:r>
              <w:t>C3Q2</w:t>
            </w:r>
            <w:r>
              <w:tab/>
              <w:t>Do you consider that either option 1 or option 2 or both should not be adopted in the ASIC Rules? In your response please give detailed reasons for your answer.</w:t>
            </w:r>
          </w:p>
          <w:p w14:paraId="57410B72" w14:textId="77777777" w:rsidR="00F96B9E" w:rsidRDefault="00F96B9E" w:rsidP="00F96B9E">
            <w:pPr>
              <w:pStyle w:val="tblFeedbackquestion"/>
            </w:pPr>
            <w:r>
              <w:t>C3Q3</w:t>
            </w:r>
            <w:r>
              <w:tab/>
              <w:t>Noting that the proposal would not include the step of a UTI generator determination by agreement between the counterparties under option 2, do you consider that this form of UTI generator determination should be a step in the UTI rules within the ASIC Rules? In your response please give detailed reasons for your answer.</w:t>
            </w:r>
          </w:p>
          <w:p w14:paraId="23BD987C" w14:textId="77777777" w:rsidR="00F96B9E" w:rsidRDefault="00F96B9E" w:rsidP="00F96B9E">
            <w:pPr>
              <w:pStyle w:val="tblFeedbackquestion"/>
            </w:pPr>
            <w:r>
              <w:t>C3Q4</w:t>
            </w:r>
            <w:r>
              <w:tab/>
              <w:t>Noting that the proposal focuses on aligning with the final EU rules, do you consider there are other specific jurisdictions where aligning with UTI rules should be of greater focus? In your response please give detailed reasons for your answer.</w:t>
            </w:r>
          </w:p>
          <w:p w14:paraId="736CAC2F" w14:textId="77777777" w:rsidR="00F96B9E" w:rsidRDefault="00F96B9E" w:rsidP="00F96B9E">
            <w:pPr>
              <w:pStyle w:val="tblFeedbackquestion"/>
            </w:pPr>
            <w:r>
              <w:t>C3Q5</w:t>
            </w:r>
            <w:r>
              <w:tab/>
              <w:t>Do you consider there are combinations of types of counterparties to a single-jurisdictional transaction where the UTI generator may not be determinable or would determine the UTI generator as a type of counterparty that is not your preferred UTI generator outcome? In your response please give detailed reasons for your answer.</w:t>
            </w:r>
          </w:p>
          <w:p w14:paraId="1C09AABA" w14:textId="146D0D2B" w:rsidR="00F96B9E" w:rsidRDefault="00F96B9E" w:rsidP="00F96B9E">
            <w:pPr>
              <w:pStyle w:val="tblFeedbackquestion"/>
            </w:pPr>
            <w:r>
              <w:t>C3Q6</w:t>
            </w:r>
            <w:r>
              <w:tab/>
              <w:t xml:space="preserve">Do you have any other comments about the proposal? </w:t>
            </w:r>
          </w:p>
        </w:tc>
      </w:tr>
      <w:tr w:rsidR="00F96B9E" w14:paraId="46D198D4" w14:textId="77777777" w:rsidTr="00314C7E">
        <w:trPr>
          <w:cantSplit/>
        </w:trPr>
        <w:tc>
          <w:tcPr>
            <w:tcW w:w="4536" w:type="dxa"/>
            <w:shd w:val="clear" w:color="auto" w:fill="auto"/>
          </w:tcPr>
          <w:p w14:paraId="221CA2CF" w14:textId="01FC960E" w:rsidR="00F96B9E" w:rsidRDefault="00F96B9E" w:rsidP="00F96B9E">
            <w:pPr>
              <w:pStyle w:val="tblProposaltext"/>
            </w:pPr>
            <w:r>
              <w:lastRenderedPageBreak/>
              <w:t>C4</w:t>
            </w:r>
            <w:r>
              <w:tab/>
              <w:t xml:space="preserve">We are not making a formal proposal in relation to a UTI cross-jurisdictional test at this time but we seek your feedback as set out below. </w:t>
            </w:r>
          </w:p>
        </w:tc>
        <w:tc>
          <w:tcPr>
            <w:tcW w:w="4536" w:type="dxa"/>
            <w:shd w:val="clear" w:color="auto" w:fill="auto"/>
          </w:tcPr>
          <w:p w14:paraId="5CF76351" w14:textId="77777777" w:rsidR="00F96B9E" w:rsidRDefault="00F96B9E" w:rsidP="00F96B9E">
            <w:pPr>
              <w:pStyle w:val="tblFeedbackquestion"/>
            </w:pPr>
            <w:r>
              <w:t>C4Q1</w:t>
            </w:r>
            <w:r>
              <w:tab/>
              <w:t>Do you consider that the approach outlined in paragraphs 103–107 would assist in clarifying the determination of a UTI generator? In your response, please give detailed reasons for your answer.</w:t>
            </w:r>
          </w:p>
          <w:p w14:paraId="279C8B6C" w14:textId="77777777" w:rsidR="00F96B9E" w:rsidRDefault="00F96B9E" w:rsidP="00F96B9E">
            <w:pPr>
              <w:pStyle w:val="tblFeedbackquestion"/>
            </w:pPr>
            <w:r>
              <w:t>C4Q2</w:t>
            </w:r>
            <w:r>
              <w:tab/>
              <w:t>Do you consider that the capacity in which a counterparty is acting should include any status information that would overarchingly impact on a UTI generator determination? In your response, please give detailed reasons for your answer.</w:t>
            </w:r>
          </w:p>
          <w:p w14:paraId="20BFE906" w14:textId="77777777" w:rsidR="00F96B9E" w:rsidRDefault="00F96B9E" w:rsidP="00F96B9E">
            <w:pPr>
              <w:pStyle w:val="tblFeedbackquestion"/>
            </w:pPr>
            <w:r>
              <w:t>C4Q3</w:t>
            </w:r>
            <w:r>
              <w:tab/>
              <w:t>Do you consider there are significant impediments for you in obtaining such capacity information from your counterparties or conveying such capacity information to them? In your response, please give detailed reasons for your answer.</w:t>
            </w:r>
          </w:p>
          <w:p w14:paraId="1B0DDCF1" w14:textId="77777777" w:rsidR="00F96B9E" w:rsidRDefault="00F96B9E" w:rsidP="00F96B9E">
            <w:pPr>
              <w:pStyle w:val="tblFeedbackquestion"/>
            </w:pPr>
            <w:r>
              <w:t>C4Q4</w:t>
            </w:r>
            <w:r>
              <w:tab/>
              <w:t>Do you consider there are particular transaction circumstances (such as counterparty domicile/branch location/status combinations) where the approach outlined in paragraphs 103–107 would not assist in clarifying how to determine a UTI generator? In your response, please give detailed reasons for your answer.</w:t>
            </w:r>
          </w:p>
          <w:p w14:paraId="3F9EB6A4" w14:textId="39116F38" w:rsidR="00F96B9E" w:rsidRDefault="00F96B9E" w:rsidP="00F96B9E">
            <w:pPr>
              <w:pStyle w:val="tblFeedbackquestion"/>
            </w:pPr>
            <w:r>
              <w:t>C4Q5</w:t>
            </w:r>
            <w:r>
              <w:tab/>
              <w:t xml:space="preserve">Do you have any other comments about the approach outlined in paragraphs 103–107? </w:t>
            </w:r>
          </w:p>
        </w:tc>
      </w:tr>
      <w:tr w:rsidR="00F96B9E" w14:paraId="41D0B91E" w14:textId="77777777" w:rsidTr="00314C7E">
        <w:trPr>
          <w:cantSplit/>
        </w:trPr>
        <w:tc>
          <w:tcPr>
            <w:tcW w:w="4536" w:type="dxa"/>
            <w:shd w:val="clear" w:color="auto" w:fill="auto"/>
          </w:tcPr>
          <w:p w14:paraId="331B769B" w14:textId="5E1FF1F5" w:rsidR="00F96B9E" w:rsidRDefault="00F96B9E" w:rsidP="00F96B9E">
            <w:pPr>
              <w:pStyle w:val="tblProposaltext"/>
            </w:pPr>
            <w:r>
              <w:t>C5</w:t>
            </w:r>
            <w:r>
              <w:tab/>
              <w:t xml:space="preserve">We are not making a formal proposal in relation to a method for determining the jurisdiction with the sooner deadline for reporting at this time but we seek your feedback as set out below. </w:t>
            </w:r>
          </w:p>
        </w:tc>
        <w:tc>
          <w:tcPr>
            <w:tcW w:w="4536" w:type="dxa"/>
            <w:shd w:val="clear" w:color="auto" w:fill="auto"/>
          </w:tcPr>
          <w:p w14:paraId="2461D3D7" w14:textId="77777777" w:rsidR="00F96B9E" w:rsidRDefault="00F96B9E" w:rsidP="00F96B9E">
            <w:pPr>
              <w:pStyle w:val="tblFeedbackquestion"/>
            </w:pPr>
            <w:r>
              <w:t>C5Q1</w:t>
            </w:r>
            <w:r>
              <w:tab/>
              <w:t>Do you consider there is uncertainty in how the UTI Guidance’s ‘sooner deadline for reporting’ test is interpreted? In your response, please give detailed reasons for your answer.</w:t>
            </w:r>
          </w:p>
          <w:p w14:paraId="5D05E320" w14:textId="77777777" w:rsidR="00F96B9E" w:rsidRDefault="00F96B9E" w:rsidP="00F96B9E">
            <w:pPr>
              <w:pStyle w:val="tblFeedbackquestion"/>
            </w:pPr>
            <w:r>
              <w:t>C5Q2</w:t>
            </w:r>
            <w:r>
              <w:tab/>
              <w:t>Do you consider we have correctly identified the possible interpretations? In your response, please give detailed reasons for your answer.</w:t>
            </w:r>
          </w:p>
          <w:p w14:paraId="50E23461" w14:textId="77777777" w:rsidR="00F96B9E" w:rsidRDefault="00F96B9E" w:rsidP="00F96B9E">
            <w:pPr>
              <w:pStyle w:val="tblFeedbackquestion"/>
            </w:pPr>
            <w:r>
              <w:t>C5Q3</w:t>
            </w:r>
            <w:r>
              <w:tab/>
              <w:t>Do you have a preferred single interpretation? In your response, please give detailed reasons for your answer.</w:t>
            </w:r>
          </w:p>
          <w:p w14:paraId="3FA1EB68" w14:textId="19368255" w:rsidR="00F96B9E" w:rsidRDefault="00F96B9E" w:rsidP="00F96B9E">
            <w:pPr>
              <w:pStyle w:val="tblFeedbackquestion"/>
            </w:pPr>
            <w:r>
              <w:t>C5Q4</w:t>
            </w:r>
            <w:r>
              <w:tab/>
              <w:t xml:space="preserve">Do you have any other comments about this issue? </w:t>
            </w:r>
          </w:p>
        </w:tc>
      </w:tr>
      <w:tr w:rsidR="00F96B9E" w14:paraId="286AEB8E" w14:textId="77777777" w:rsidTr="00314C7E">
        <w:trPr>
          <w:cantSplit/>
        </w:trPr>
        <w:tc>
          <w:tcPr>
            <w:tcW w:w="4536" w:type="dxa"/>
            <w:shd w:val="clear" w:color="auto" w:fill="auto"/>
          </w:tcPr>
          <w:p w14:paraId="5B79A451" w14:textId="31BFD337" w:rsidR="00F96B9E" w:rsidRDefault="00F96B9E" w:rsidP="00F96B9E">
            <w:pPr>
              <w:pStyle w:val="tblProposaltext"/>
            </w:pPr>
            <w:r>
              <w:lastRenderedPageBreak/>
              <w:t>C6</w:t>
            </w:r>
            <w:r>
              <w:tab/>
              <w:t xml:space="preserve">In principle, we propose that the UTI generator rules for a cross-jurisdictional transaction are the same rules as for a single-jurisdictional transaction. </w:t>
            </w:r>
          </w:p>
        </w:tc>
        <w:tc>
          <w:tcPr>
            <w:tcW w:w="4536" w:type="dxa"/>
            <w:shd w:val="clear" w:color="auto" w:fill="auto"/>
          </w:tcPr>
          <w:p w14:paraId="1B6962AC" w14:textId="77777777" w:rsidR="00F96B9E" w:rsidRDefault="00F96B9E" w:rsidP="00F96B9E">
            <w:pPr>
              <w:pStyle w:val="tblFeedbackquestion"/>
            </w:pPr>
            <w:r>
              <w:t>C6Q1</w:t>
            </w:r>
            <w:r>
              <w:tab/>
              <w:t>Do you agree with this proposal? In your response, please give detailed reasons for your answer.</w:t>
            </w:r>
          </w:p>
          <w:p w14:paraId="6102E291" w14:textId="77777777" w:rsidR="00F96B9E" w:rsidRDefault="00F96B9E" w:rsidP="00F96B9E">
            <w:pPr>
              <w:pStyle w:val="tblFeedbackquestion"/>
            </w:pPr>
            <w:r>
              <w:t>C6Q2</w:t>
            </w:r>
            <w:r>
              <w:tab/>
              <w:t>Do you agree that the above rules will provide the same UTI generator outcome in a transaction between an Australian entity and an EU financial counterparty, whether under the ASIC Rules or the ESMA proposals for EU rules? In your response, please give detailed reasons for your answer.</w:t>
            </w:r>
          </w:p>
          <w:p w14:paraId="7776CB20" w14:textId="77777777" w:rsidR="00F96B9E" w:rsidRDefault="00F96B9E" w:rsidP="00F96B9E">
            <w:pPr>
              <w:pStyle w:val="tblFeedbackquestion"/>
            </w:pPr>
            <w:r>
              <w:t>C6Q3</w:t>
            </w:r>
            <w:r>
              <w:tab/>
              <w:t>Do you agree that there can be the outcome (described in paragraph 134) that an EU non-financial counterparty is the UTI generator in a transaction with an Australian reporting entity but not in a transaction with an EU financial counterparty? In your response, please give detailed reasons for your answer.</w:t>
            </w:r>
          </w:p>
          <w:p w14:paraId="0996E335" w14:textId="77777777" w:rsidR="00F96B9E" w:rsidRDefault="00F96B9E" w:rsidP="00F96B9E">
            <w:pPr>
              <w:pStyle w:val="tblFeedbackquestion"/>
            </w:pPr>
            <w:r>
              <w:t>C6Q4</w:t>
            </w:r>
            <w:r>
              <w:tab/>
              <w:t>Do you consider there are other particular transaction circumstances (such as counterparty domicile/branch location/status/jurisdictional combinations) where there may be similar differences in a UTI generator outcome? In your response, please give detailed reasons for your answer.</w:t>
            </w:r>
          </w:p>
          <w:p w14:paraId="64A1A605" w14:textId="6110DD1C" w:rsidR="00F96B9E" w:rsidRDefault="00F96B9E" w:rsidP="00F96B9E">
            <w:pPr>
              <w:pStyle w:val="tblFeedbackquestion"/>
            </w:pPr>
            <w:r>
              <w:t>C6Q5</w:t>
            </w:r>
            <w:r>
              <w:tab/>
              <w:t xml:space="preserve">Do you have any other comments about the proposal? </w:t>
            </w:r>
          </w:p>
        </w:tc>
      </w:tr>
      <w:tr w:rsidR="00F96B9E" w14:paraId="1C9E20D8" w14:textId="77777777" w:rsidTr="00314C7E">
        <w:trPr>
          <w:cantSplit/>
        </w:trPr>
        <w:tc>
          <w:tcPr>
            <w:tcW w:w="4536" w:type="dxa"/>
            <w:shd w:val="clear" w:color="auto" w:fill="auto"/>
          </w:tcPr>
          <w:p w14:paraId="6135331B" w14:textId="26C4D02A" w:rsidR="00F96B9E" w:rsidRDefault="00F96B9E" w:rsidP="00F96B9E">
            <w:pPr>
              <w:pStyle w:val="tblProposaltext"/>
            </w:pPr>
            <w:r>
              <w:t>C7</w:t>
            </w:r>
            <w:r>
              <w:tab/>
              <w:t xml:space="preserve">We are not making a formal proposal for ‘special purpose’ rules as discussed at paragraphs 135–139 at this time but we seek your feedback as set out below. </w:t>
            </w:r>
          </w:p>
        </w:tc>
        <w:tc>
          <w:tcPr>
            <w:tcW w:w="4536" w:type="dxa"/>
            <w:shd w:val="clear" w:color="auto" w:fill="auto"/>
          </w:tcPr>
          <w:p w14:paraId="3FF8E441" w14:textId="77777777" w:rsidR="00F96B9E" w:rsidRDefault="00F96B9E" w:rsidP="00F96B9E">
            <w:pPr>
              <w:pStyle w:val="tblFeedbackquestion"/>
            </w:pPr>
            <w:r>
              <w:t>C7Q1</w:t>
            </w:r>
            <w:r>
              <w:tab/>
              <w:t>Do you consider there is merit in considering a ‘special purpose’ rule that would, in effect, deem the CFTC to be the sooner jurisdiction in all such cross-jurisdictional transactions? In your response, please give detailed reasons for your answer.</w:t>
            </w:r>
          </w:p>
          <w:p w14:paraId="3DE86072" w14:textId="77777777" w:rsidR="00F96B9E" w:rsidRDefault="00F96B9E" w:rsidP="00F96B9E">
            <w:pPr>
              <w:pStyle w:val="tblFeedbackquestion"/>
            </w:pPr>
            <w:r>
              <w:t>C7Q2</w:t>
            </w:r>
            <w:r>
              <w:tab/>
              <w:t>Do you consider there are particular transaction circumstances (such as counterparty domicile/branch location/status/jurisdictional combinations) where there may be unintended complexities or conflicts with other jurisdictions’ rules under this approach? In your response, please give detailed reasons for your answer.</w:t>
            </w:r>
          </w:p>
          <w:p w14:paraId="318A195D" w14:textId="77777777" w:rsidR="00F96B9E" w:rsidRDefault="00F96B9E" w:rsidP="00F96B9E">
            <w:pPr>
              <w:pStyle w:val="tblFeedbackquestion"/>
            </w:pPr>
            <w:r>
              <w:t>C7Q3</w:t>
            </w:r>
            <w:r>
              <w:tab/>
              <w:t>Do you consider there may be other cross-jurisdictional situations which may also merit a ‘special purpose’ UTI rule? In your response, please give detailed reasons for your answer.</w:t>
            </w:r>
          </w:p>
          <w:p w14:paraId="50F686CC" w14:textId="662BA61E" w:rsidR="00F96B9E" w:rsidRDefault="00F96B9E" w:rsidP="00F96B9E">
            <w:pPr>
              <w:pStyle w:val="tblFeedbackquestion"/>
            </w:pPr>
            <w:r>
              <w:t>C7Q4</w:t>
            </w:r>
            <w:r>
              <w:tab/>
              <w:t xml:space="preserve">Do you have any other comments about this issue? </w:t>
            </w:r>
          </w:p>
        </w:tc>
      </w:tr>
      <w:tr w:rsidR="00F96B9E" w14:paraId="1D1D4E3F" w14:textId="77777777" w:rsidTr="00314C7E">
        <w:trPr>
          <w:cantSplit/>
        </w:trPr>
        <w:tc>
          <w:tcPr>
            <w:tcW w:w="4536" w:type="dxa"/>
            <w:shd w:val="clear" w:color="auto" w:fill="auto"/>
          </w:tcPr>
          <w:p w14:paraId="3330E054" w14:textId="2A4D545F" w:rsidR="00F96B9E" w:rsidRDefault="00F96B9E" w:rsidP="00F96B9E">
            <w:pPr>
              <w:pStyle w:val="tblProposaltext"/>
            </w:pPr>
            <w:r>
              <w:lastRenderedPageBreak/>
              <w:t>C8</w:t>
            </w:r>
            <w:r>
              <w:tab/>
              <w:t xml:space="preserve">In principle, we propose to provide for an ultimate determinant as per the UTI Guidance. </w:t>
            </w:r>
          </w:p>
        </w:tc>
        <w:tc>
          <w:tcPr>
            <w:tcW w:w="4536" w:type="dxa"/>
            <w:shd w:val="clear" w:color="auto" w:fill="auto"/>
          </w:tcPr>
          <w:p w14:paraId="751AB84D" w14:textId="35A39DFF" w:rsidR="00F96B9E" w:rsidRDefault="00F96B9E" w:rsidP="00F96B9E">
            <w:pPr>
              <w:pStyle w:val="tblFeedbackquestion"/>
            </w:pPr>
            <w:r>
              <w:t>C8Q1</w:t>
            </w:r>
            <w:r>
              <w:tab/>
              <w:t xml:space="preserve">Do you agree with this proposal? In your response, please give detailed reasons for your answer. </w:t>
            </w:r>
          </w:p>
        </w:tc>
      </w:tr>
      <w:tr w:rsidR="00F96B9E" w14:paraId="18710608" w14:textId="77777777" w:rsidTr="00314C7E">
        <w:trPr>
          <w:cantSplit/>
        </w:trPr>
        <w:tc>
          <w:tcPr>
            <w:tcW w:w="4536" w:type="dxa"/>
            <w:shd w:val="clear" w:color="auto" w:fill="auto"/>
          </w:tcPr>
          <w:p w14:paraId="7AB70C93" w14:textId="6639ACF9" w:rsidR="00F96B9E" w:rsidRDefault="00F96B9E" w:rsidP="00F96B9E">
            <w:pPr>
              <w:pStyle w:val="tblProposaltext"/>
            </w:pPr>
            <w:r>
              <w:t>C9</w:t>
            </w:r>
            <w:r>
              <w:tab/>
              <w:t xml:space="preserve">We intend to propose that the ASIC Rules require that ASIC reporting entities, when acting as a UTI generator, generate a UTI and provide it to their counterparty with an obligation of timeliness. </w:t>
            </w:r>
          </w:p>
        </w:tc>
        <w:tc>
          <w:tcPr>
            <w:tcW w:w="4536" w:type="dxa"/>
            <w:shd w:val="clear" w:color="auto" w:fill="auto"/>
          </w:tcPr>
          <w:p w14:paraId="02B44887" w14:textId="77777777" w:rsidR="00F96B9E" w:rsidRDefault="00F96B9E" w:rsidP="00F96B9E">
            <w:pPr>
              <w:pStyle w:val="tblFeedbackquestion"/>
            </w:pPr>
            <w:r>
              <w:t>C9Q1</w:t>
            </w:r>
            <w:r>
              <w:tab/>
              <w:t>Do you agree with this proposal? In your response, please give detailed reasons for your answer.</w:t>
            </w:r>
          </w:p>
          <w:p w14:paraId="0570A188" w14:textId="77777777" w:rsidR="00F96B9E" w:rsidRDefault="00F96B9E" w:rsidP="00F96B9E">
            <w:pPr>
              <w:pStyle w:val="tblFeedbackquestion"/>
            </w:pPr>
            <w:r>
              <w:t>C9Q2</w:t>
            </w:r>
            <w:r>
              <w:tab/>
              <w:t>Do you consider that an obligation of timeliness should refer to a fixed deadline (e.g. T+1, 12:00 a.m. Sydney) or as an amount of time after transaction execution (e.g. 12 hours) or as another timeliness reference? In your response, please give detailed reasons for your answer.</w:t>
            </w:r>
          </w:p>
          <w:p w14:paraId="5B6A4F4C" w14:textId="2FDA9FCC" w:rsidR="00F96B9E" w:rsidRDefault="00F96B9E" w:rsidP="00F96B9E">
            <w:pPr>
              <w:pStyle w:val="tblFeedbackquestion"/>
            </w:pPr>
            <w:r>
              <w:t>C9Q3</w:t>
            </w:r>
            <w:r>
              <w:tab/>
              <w:t xml:space="preserve">Do you consider there should be different obligations of timeliness for single-jurisdictional transactions and cross-jurisdictional transactions? In your response, please give detailed reasons for your answer. </w:t>
            </w:r>
          </w:p>
        </w:tc>
      </w:tr>
      <w:tr w:rsidR="00F96B9E" w14:paraId="618D4EE9" w14:textId="77777777" w:rsidTr="00314C7E">
        <w:trPr>
          <w:cantSplit/>
        </w:trPr>
        <w:tc>
          <w:tcPr>
            <w:tcW w:w="4536" w:type="dxa"/>
            <w:shd w:val="clear" w:color="auto" w:fill="auto"/>
          </w:tcPr>
          <w:p w14:paraId="693969E7" w14:textId="785BED06" w:rsidR="00F96B9E" w:rsidRDefault="00F96B9E" w:rsidP="00F96B9E">
            <w:pPr>
              <w:pStyle w:val="tblProposaltext"/>
            </w:pPr>
            <w:r>
              <w:t>C10</w:t>
            </w:r>
            <w:r>
              <w:tab/>
              <w:t xml:space="preserve">We may propose in the second round of consultation that the ASIC Rules include requirements on reporting entities to report their own UTI when they do not receive the UTI from the other UTI generator and to re-report using that second UTI when it is received. </w:t>
            </w:r>
          </w:p>
        </w:tc>
        <w:tc>
          <w:tcPr>
            <w:tcW w:w="4536" w:type="dxa"/>
            <w:shd w:val="clear" w:color="auto" w:fill="auto"/>
          </w:tcPr>
          <w:p w14:paraId="2739808F" w14:textId="77777777" w:rsidR="00F96B9E" w:rsidRDefault="00F96B9E" w:rsidP="00F96B9E">
            <w:pPr>
              <w:pStyle w:val="tblFeedbackquestion"/>
            </w:pPr>
            <w:proofErr w:type="gramStart"/>
            <w:r>
              <w:t>C10Q1</w:t>
            </w:r>
            <w:proofErr w:type="gramEnd"/>
            <w:r>
              <w:tab/>
              <w:t>Do you agree that we should propose such requirements? In your response, please give detailed reasons for your answer.</w:t>
            </w:r>
          </w:p>
          <w:p w14:paraId="5AA0B003" w14:textId="3A979DA2" w:rsidR="00F96B9E" w:rsidRDefault="00F96B9E" w:rsidP="00F96B9E">
            <w:pPr>
              <w:pStyle w:val="tblFeedbackquestion"/>
            </w:pPr>
            <w:r>
              <w:t>C10Q2</w:t>
            </w:r>
            <w:r>
              <w:tab/>
              <w:t xml:space="preserve">What are the kinds of requirements that you consider we should take into account when drafting such a proposal? In your response, please give detailed reasons for your answer. </w:t>
            </w:r>
          </w:p>
        </w:tc>
      </w:tr>
      <w:tr w:rsidR="00F96B9E" w14:paraId="4D6C53A7" w14:textId="77777777" w:rsidTr="00314C7E">
        <w:trPr>
          <w:cantSplit/>
        </w:trPr>
        <w:tc>
          <w:tcPr>
            <w:tcW w:w="4536" w:type="dxa"/>
            <w:shd w:val="clear" w:color="auto" w:fill="auto"/>
          </w:tcPr>
          <w:p w14:paraId="01CFA7E6" w14:textId="14DD3534" w:rsidR="00F96B9E" w:rsidRDefault="00F96B9E" w:rsidP="00F96B9E">
            <w:pPr>
              <w:pStyle w:val="tblProposaltext"/>
            </w:pPr>
            <w:r>
              <w:lastRenderedPageBreak/>
              <w:t>E1</w:t>
            </w:r>
            <w:r>
              <w:tab/>
              <w:t xml:space="preserve">We propose to include in the ASIC Rules the data elements related to dates and timestamps set out in Table 7. </w:t>
            </w:r>
          </w:p>
        </w:tc>
        <w:tc>
          <w:tcPr>
            <w:tcW w:w="4536" w:type="dxa"/>
            <w:shd w:val="clear" w:color="auto" w:fill="auto"/>
          </w:tcPr>
          <w:p w14:paraId="184DA0FF" w14:textId="77777777" w:rsidR="00F96B9E" w:rsidRDefault="00F96B9E" w:rsidP="00F96B9E">
            <w:pPr>
              <w:pStyle w:val="tblFeedbackquestion"/>
            </w:pPr>
            <w:r>
              <w:t>E1Q1</w:t>
            </w:r>
            <w:r>
              <w:tab/>
              <w:t>Do you agree with this proposal? In your response, please give detailed reasons for your answer.</w:t>
            </w:r>
          </w:p>
          <w:p w14:paraId="539A7B73" w14:textId="77777777" w:rsidR="00F96B9E" w:rsidRDefault="00F96B9E" w:rsidP="00F96B9E">
            <w:pPr>
              <w:pStyle w:val="tblFeedbackquestion"/>
            </w:pPr>
            <w:r>
              <w:t>E1Q2</w:t>
            </w:r>
            <w:r>
              <w:tab/>
              <w:t>In relation to ‘effective date’, do you consider that:</w:t>
            </w:r>
          </w:p>
          <w:p w14:paraId="651E127A" w14:textId="77777777" w:rsidR="00F96B9E" w:rsidRDefault="00F96B9E" w:rsidP="00F96B9E">
            <w:pPr>
              <w:pStyle w:val="tblFeedbacksubquestion"/>
            </w:pPr>
            <w:r>
              <w:t>(a)</w:t>
            </w:r>
            <w:r>
              <w:tab/>
              <w:t>there is a need to clarify the meaning of ‘effective date’;</w:t>
            </w:r>
          </w:p>
          <w:p w14:paraId="1F9B75C9" w14:textId="77777777" w:rsidR="00F96B9E" w:rsidRDefault="00F96B9E" w:rsidP="00F96B9E">
            <w:pPr>
              <w:pStyle w:val="tblFeedbacksubquestion"/>
            </w:pPr>
            <w:r>
              <w:t>(b)</w:t>
            </w:r>
            <w:r>
              <w:tab/>
              <w:t>there are particular types of transactions for which determining ‘effective date’ is problematic; or</w:t>
            </w:r>
          </w:p>
          <w:p w14:paraId="3929DFB4" w14:textId="77777777" w:rsidR="00F96B9E" w:rsidRDefault="00F96B9E" w:rsidP="00F96B9E">
            <w:pPr>
              <w:pStyle w:val="tblFeedbacksubquestion"/>
            </w:pPr>
            <w:r>
              <w:t>(c)</w:t>
            </w:r>
            <w:r>
              <w:tab/>
              <w:t>in the absence of a determinable ‘effective date’, ‘execution timestamp’ should be reported instead?</w:t>
            </w:r>
          </w:p>
          <w:p w14:paraId="0B7148FE" w14:textId="73507361" w:rsidR="00F96B9E" w:rsidRDefault="00F96B9E" w:rsidP="00F96B9E">
            <w:pPr>
              <w:pStyle w:val="tblFeedbackquestion"/>
            </w:pPr>
            <w:r>
              <w:tab/>
              <w:t>In your response, please give detailed reasons for your answer.</w:t>
            </w:r>
          </w:p>
          <w:p w14:paraId="5C696DA0" w14:textId="77777777" w:rsidR="00F96B9E" w:rsidRDefault="00F96B9E" w:rsidP="00F96B9E">
            <w:pPr>
              <w:pStyle w:val="tblFeedbackquestion"/>
            </w:pPr>
            <w:r>
              <w:t>E1Q3</w:t>
            </w:r>
            <w:r>
              <w:tab/>
              <w:t>Do you agree that ‘event timestamp’ should be a timestamp data element and not a date data element? In your response, please give detailed reasons for your answer.</w:t>
            </w:r>
          </w:p>
          <w:p w14:paraId="1668CC25" w14:textId="3068D1C4" w:rsidR="00F96B9E" w:rsidRDefault="00F96B9E" w:rsidP="00F96B9E">
            <w:pPr>
              <w:pStyle w:val="tblFeedbackquestion"/>
            </w:pPr>
            <w:r>
              <w:t>E1Q4</w:t>
            </w:r>
            <w:r>
              <w:tab/>
              <w:t xml:space="preserve">Do you consider that you will have particular interpretation or implementation issues with the data elements set out in Table 7? In your response, please give detailed reasons for your answer. </w:t>
            </w:r>
          </w:p>
        </w:tc>
      </w:tr>
      <w:tr w:rsidR="00F96B9E" w14:paraId="15A1F24D" w14:textId="77777777" w:rsidTr="00314C7E">
        <w:trPr>
          <w:cantSplit/>
        </w:trPr>
        <w:tc>
          <w:tcPr>
            <w:tcW w:w="4536" w:type="dxa"/>
            <w:shd w:val="clear" w:color="auto" w:fill="auto"/>
          </w:tcPr>
          <w:p w14:paraId="5C9A187F" w14:textId="5A24158E" w:rsidR="00F96B9E" w:rsidRDefault="00F96B9E" w:rsidP="00F96B9E">
            <w:pPr>
              <w:pStyle w:val="tblProposaltext"/>
            </w:pPr>
            <w:r>
              <w:t>E2</w:t>
            </w:r>
            <w:r>
              <w:tab/>
              <w:t xml:space="preserve">We propose to include in the ASIC Rules the data elements related to counterparties and beneficiaries set out in Table </w:t>
            </w:r>
            <w:r w:rsidR="00671BE8">
              <w:t>8</w:t>
            </w:r>
            <w:r>
              <w:t xml:space="preserve">. </w:t>
            </w:r>
          </w:p>
        </w:tc>
        <w:tc>
          <w:tcPr>
            <w:tcW w:w="4536" w:type="dxa"/>
            <w:shd w:val="clear" w:color="auto" w:fill="auto"/>
          </w:tcPr>
          <w:p w14:paraId="15452166" w14:textId="77777777" w:rsidR="00F96B9E" w:rsidRDefault="00F96B9E" w:rsidP="00F96B9E">
            <w:pPr>
              <w:pStyle w:val="tblFeedbackquestion"/>
            </w:pPr>
            <w:r>
              <w:t>E2Q1</w:t>
            </w:r>
            <w:r>
              <w:tab/>
              <w:t>Do you agree with this proposal? In your response, please give detailed reasons for your answer.</w:t>
            </w:r>
          </w:p>
          <w:p w14:paraId="7AA0723F" w14:textId="77777777" w:rsidR="00F96B9E" w:rsidRDefault="00F96B9E" w:rsidP="00F96B9E">
            <w:pPr>
              <w:pStyle w:val="tblFeedbackquestion"/>
            </w:pPr>
            <w:r>
              <w:t>E2Q2</w:t>
            </w:r>
            <w:r>
              <w:tab/>
              <w:t>Do you consider that you will have particular interpretation or implementation issues with the data elements set out in Table 8? In your response, please give detailed reasons for your answer.</w:t>
            </w:r>
          </w:p>
          <w:p w14:paraId="1EAAB301" w14:textId="6346C0EA" w:rsidR="00F96B9E" w:rsidRDefault="00F96B9E" w:rsidP="00F96B9E">
            <w:pPr>
              <w:pStyle w:val="tblFeedbackquestion"/>
            </w:pPr>
            <w:r>
              <w:t>E2Q3</w:t>
            </w:r>
            <w:r>
              <w:tab/>
              <w:t xml:space="preserve">In relation to ‘reporting entity’, do you consider that this should be reported in all circumstances or only reported where it is a different entity to ‘counterparty 1 (reporting counterparty)? </w:t>
            </w:r>
          </w:p>
        </w:tc>
      </w:tr>
      <w:tr w:rsidR="00F96B9E" w14:paraId="7550FBA4" w14:textId="77777777" w:rsidTr="00314C7E">
        <w:trPr>
          <w:cantSplit/>
        </w:trPr>
        <w:tc>
          <w:tcPr>
            <w:tcW w:w="4536" w:type="dxa"/>
            <w:shd w:val="clear" w:color="auto" w:fill="auto"/>
          </w:tcPr>
          <w:p w14:paraId="066205B4" w14:textId="56AC8CF9" w:rsidR="00F96B9E" w:rsidRDefault="00F96B9E" w:rsidP="00F96B9E">
            <w:pPr>
              <w:pStyle w:val="tblProposaltext"/>
            </w:pPr>
            <w:r>
              <w:t>E3</w:t>
            </w:r>
            <w:r>
              <w:tab/>
              <w:t xml:space="preserve">We propose to include in the ASIC Rules the data elements for ‘direction’ that make the same elections as proposed by ESMA—that is, the data elements ‘Direction 1’, ‘Direction 2 —Leg 1’ and ‘Direction 2—Leg 2’: see Table 10. </w:t>
            </w:r>
          </w:p>
        </w:tc>
        <w:tc>
          <w:tcPr>
            <w:tcW w:w="4536" w:type="dxa"/>
            <w:shd w:val="clear" w:color="auto" w:fill="auto"/>
          </w:tcPr>
          <w:p w14:paraId="4B3F78AC" w14:textId="77777777" w:rsidR="00F96B9E" w:rsidRDefault="00F96B9E" w:rsidP="00F96B9E">
            <w:pPr>
              <w:pStyle w:val="tblFeedbackquestion"/>
            </w:pPr>
            <w:r>
              <w:t>E3Q1</w:t>
            </w:r>
            <w:r>
              <w:tab/>
              <w:t>Do you agree with this proposal? In your response, please give detailed reasons for your answer.</w:t>
            </w:r>
          </w:p>
          <w:p w14:paraId="79816D74" w14:textId="24711AAE" w:rsidR="00F96B9E" w:rsidRDefault="00F96B9E" w:rsidP="00F96B9E">
            <w:pPr>
              <w:pStyle w:val="tblFeedbackquestion"/>
            </w:pPr>
            <w:r>
              <w:t>E3Q2</w:t>
            </w:r>
            <w:r>
              <w:tab/>
              <w:t xml:space="preserve">Do you consider that you will have particular interpretation or implementation issues with the data elements set out in Table 10? In your response, please give detailed reasons for your answer. </w:t>
            </w:r>
          </w:p>
        </w:tc>
      </w:tr>
      <w:tr w:rsidR="00F96B9E" w14:paraId="5BD7E494" w14:textId="77777777" w:rsidTr="00314C7E">
        <w:trPr>
          <w:cantSplit/>
        </w:trPr>
        <w:tc>
          <w:tcPr>
            <w:tcW w:w="4536" w:type="dxa"/>
            <w:shd w:val="clear" w:color="auto" w:fill="auto"/>
          </w:tcPr>
          <w:p w14:paraId="56B5003A" w14:textId="109FCBCC" w:rsidR="00F96B9E" w:rsidRDefault="00F96B9E" w:rsidP="00F96B9E">
            <w:pPr>
              <w:pStyle w:val="tblProposaltext"/>
            </w:pPr>
            <w:r>
              <w:lastRenderedPageBreak/>
              <w:t>E4</w:t>
            </w:r>
            <w:r>
              <w:tab/>
              <w:t xml:space="preserve">We propose to include in the ASIC Rules the data elements related to clearing, trading, confirmation and settlement set out in Table 11. </w:t>
            </w:r>
          </w:p>
        </w:tc>
        <w:tc>
          <w:tcPr>
            <w:tcW w:w="4536" w:type="dxa"/>
            <w:shd w:val="clear" w:color="auto" w:fill="auto"/>
          </w:tcPr>
          <w:p w14:paraId="54731F1B" w14:textId="77777777" w:rsidR="00F96B9E" w:rsidRDefault="00F96B9E" w:rsidP="00F96B9E">
            <w:pPr>
              <w:pStyle w:val="tblFeedbackquestion"/>
            </w:pPr>
            <w:r>
              <w:t>E4Q1</w:t>
            </w:r>
            <w:r>
              <w:tab/>
              <w:t>Do you agree with this proposal? In your response, please give detailed reasons for your answer.</w:t>
            </w:r>
          </w:p>
          <w:p w14:paraId="78D699D1" w14:textId="06187DB4" w:rsidR="00F96B9E" w:rsidRDefault="00F96B9E" w:rsidP="00F96B9E">
            <w:pPr>
              <w:pStyle w:val="tblFeedbackquestion"/>
            </w:pPr>
            <w:r>
              <w:t>E4Q2</w:t>
            </w:r>
            <w:r>
              <w:tab/>
              <w:t xml:space="preserve">Do you consider that you will have particular interpretation or implementation issues with the data elements set out in Table 11? In your response, please give detailed reasons for your answer. </w:t>
            </w:r>
          </w:p>
        </w:tc>
      </w:tr>
      <w:tr w:rsidR="00F96B9E" w14:paraId="38BF9F60" w14:textId="77777777" w:rsidTr="00314C7E">
        <w:trPr>
          <w:cantSplit/>
        </w:trPr>
        <w:tc>
          <w:tcPr>
            <w:tcW w:w="4536" w:type="dxa"/>
            <w:shd w:val="clear" w:color="auto" w:fill="auto"/>
          </w:tcPr>
          <w:p w14:paraId="3A3764A4" w14:textId="64F15B7B" w:rsidR="00F96B9E" w:rsidRDefault="00F96B9E" w:rsidP="00F96B9E">
            <w:pPr>
              <w:pStyle w:val="tblProposaltext"/>
            </w:pPr>
            <w:r>
              <w:t>E5</w:t>
            </w:r>
            <w:r>
              <w:tab/>
              <w:t xml:space="preserve">We propose to include in the ASIC Rules the data elements related to regular payments set out in Table 12. </w:t>
            </w:r>
          </w:p>
        </w:tc>
        <w:tc>
          <w:tcPr>
            <w:tcW w:w="4536" w:type="dxa"/>
            <w:shd w:val="clear" w:color="auto" w:fill="auto"/>
          </w:tcPr>
          <w:p w14:paraId="2EAA5ADD" w14:textId="77777777" w:rsidR="00F96B9E" w:rsidRDefault="00F96B9E" w:rsidP="00F96B9E">
            <w:pPr>
              <w:pStyle w:val="tblFeedbackquestion"/>
            </w:pPr>
            <w:r>
              <w:t>E5Q1</w:t>
            </w:r>
            <w:r>
              <w:tab/>
              <w:t>Do you agree with this proposal? In your response, please give detailed reasons for your answer.</w:t>
            </w:r>
          </w:p>
          <w:p w14:paraId="7A1CAA56" w14:textId="227226EA" w:rsidR="00F96B9E" w:rsidRDefault="00F96B9E" w:rsidP="00F96B9E">
            <w:pPr>
              <w:pStyle w:val="tblFeedbackquestion"/>
            </w:pPr>
            <w:r>
              <w:t>E5Q2</w:t>
            </w:r>
            <w:r>
              <w:tab/>
              <w:t xml:space="preserve">Do you consider that you will have particular interpretation or implementation issues with the data elements in Table 12? In your response, please give detailed reasons for your answer. </w:t>
            </w:r>
          </w:p>
        </w:tc>
      </w:tr>
      <w:tr w:rsidR="00F96B9E" w14:paraId="4D30A27D" w14:textId="77777777" w:rsidTr="00314C7E">
        <w:trPr>
          <w:cantSplit/>
        </w:trPr>
        <w:tc>
          <w:tcPr>
            <w:tcW w:w="4536" w:type="dxa"/>
            <w:shd w:val="clear" w:color="auto" w:fill="auto"/>
          </w:tcPr>
          <w:p w14:paraId="2771CC0D" w14:textId="1701FC2C" w:rsidR="00F96B9E" w:rsidRDefault="00F96B9E" w:rsidP="00F96B9E">
            <w:pPr>
              <w:pStyle w:val="tblProposaltext"/>
            </w:pPr>
            <w:r>
              <w:t>E6</w:t>
            </w:r>
            <w:r>
              <w:tab/>
              <w:t xml:space="preserve">We are considering a proposal, in the second round of consultation, to include in the ASIC Rules the data elements related to the floating rate reset frequency set out in Table 13. </w:t>
            </w:r>
          </w:p>
        </w:tc>
        <w:tc>
          <w:tcPr>
            <w:tcW w:w="4536" w:type="dxa"/>
            <w:shd w:val="clear" w:color="auto" w:fill="auto"/>
          </w:tcPr>
          <w:p w14:paraId="04AAFF9A" w14:textId="77777777" w:rsidR="00F96B9E" w:rsidRDefault="00F96B9E" w:rsidP="00F96B9E">
            <w:pPr>
              <w:pStyle w:val="tblFeedbackquestion"/>
            </w:pPr>
            <w:r>
              <w:t>E6Q1</w:t>
            </w:r>
            <w:r>
              <w:tab/>
              <w:t>Do you agree that we should consider a proposal, in the second round of consultation, to include these data elements in the ASIC Rules? In your response, please give detailed reasons for your answer.</w:t>
            </w:r>
          </w:p>
          <w:p w14:paraId="715F1511" w14:textId="77777777" w:rsidR="00F96B9E" w:rsidRDefault="00F96B9E" w:rsidP="00F96B9E">
            <w:pPr>
              <w:pStyle w:val="tblFeedbackquestion"/>
            </w:pPr>
            <w:r>
              <w:t>E6Q2</w:t>
            </w:r>
            <w:r>
              <w:tab/>
              <w:t>For transactions where the frequency of resets of the floating rate differ from the frequency of the reference rate itself, please provide feedback about:</w:t>
            </w:r>
          </w:p>
          <w:p w14:paraId="1CC93568" w14:textId="77777777" w:rsidR="00F96B9E" w:rsidRDefault="00F96B9E" w:rsidP="00F96B9E">
            <w:pPr>
              <w:pStyle w:val="tblFeedbacksubquestion"/>
            </w:pPr>
            <w:r>
              <w:t>(a)</w:t>
            </w:r>
            <w:r>
              <w:tab/>
              <w:t>the incidence of these types of transactions in your own dealings; and</w:t>
            </w:r>
          </w:p>
          <w:p w14:paraId="5CF7C1FA" w14:textId="77777777" w:rsidR="00F96B9E" w:rsidRDefault="00F96B9E" w:rsidP="00F96B9E">
            <w:pPr>
              <w:pStyle w:val="tblFeedbacksubquestion"/>
            </w:pPr>
            <w:r>
              <w:t>(b)</w:t>
            </w:r>
            <w:r>
              <w:tab/>
              <w:t>whether other data elements—for example, payment frequency—could be relied on, in all cases or in most cases or in few cases, to infer the ‘floating rate reset frequency (period/period multiplier)’.</w:t>
            </w:r>
          </w:p>
          <w:p w14:paraId="53ADCA24" w14:textId="4AC0C8AA" w:rsidR="00F96B9E" w:rsidRDefault="00F96B9E" w:rsidP="00F96B9E">
            <w:pPr>
              <w:pStyle w:val="tblFeedbackquestion"/>
            </w:pPr>
            <w:r>
              <w:t>E6Q3</w:t>
            </w:r>
            <w:r>
              <w:tab/>
              <w:t xml:space="preserve">Do you consider that you will have particular interpretation or implementation issues with the data elements in Table 13? In your response, please give detailed reasons for your answer. </w:t>
            </w:r>
          </w:p>
        </w:tc>
      </w:tr>
      <w:tr w:rsidR="00F96B9E" w14:paraId="54FD8E21" w14:textId="77777777" w:rsidTr="00314C7E">
        <w:trPr>
          <w:cantSplit/>
        </w:trPr>
        <w:tc>
          <w:tcPr>
            <w:tcW w:w="4536" w:type="dxa"/>
            <w:shd w:val="clear" w:color="auto" w:fill="auto"/>
          </w:tcPr>
          <w:p w14:paraId="75868028" w14:textId="0A8505F1" w:rsidR="00F96B9E" w:rsidRDefault="00F96B9E" w:rsidP="00F96B9E">
            <w:pPr>
              <w:pStyle w:val="tblProposaltext"/>
            </w:pPr>
            <w:r>
              <w:t>E7</w:t>
            </w:r>
            <w:r>
              <w:tab/>
              <w:t xml:space="preserve">We propose to include in the ASIC Rules the data elements related to valuation set out in Table 14. </w:t>
            </w:r>
          </w:p>
        </w:tc>
        <w:tc>
          <w:tcPr>
            <w:tcW w:w="4536" w:type="dxa"/>
            <w:shd w:val="clear" w:color="auto" w:fill="auto"/>
          </w:tcPr>
          <w:p w14:paraId="54F49F34" w14:textId="77777777" w:rsidR="00F96B9E" w:rsidRDefault="00F96B9E" w:rsidP="00F96B9E">
            <w:pPr>
              <w:pStyle w:val="tblFeedbackquestion"/>
            </w:pPr>
            <w:r>
              <w:t>E7Q1</w:t>
            </w:r>
            <w:r>
              <w:tab/>
              <w:t>Do you agree with this proposal? In your response, please give detailed reasons for your answer.</w:t>
            </w:r>
          </w:p>
          <w:p w14:paraId="43EF78E4" w14:textId="45DAC3EF" w:rsidR="00F96B9E" w:rsidRDefault="00F96B9E" w:rsidP="00F96B9E">
            <w:pPr>
              <w:pStyle w:val="tblFeedbackquestion"/>
            </w:pPr>
            <w:r>
              <w:t>E7Q2</w:t>
            </w:r>
            <w:r>
              <w:tab/>
              <w:t xml:space="preserve">Do you consider that you will have particular interpretation or implementation issues with the data elements in Table 14? In your response, please give detailed reasons for your answer. </w:t>
            </w:r>
          </w:p>
        </w:tc>
      </w:tr>
      <w:tr w:rsidR="00F96B9E" w14:paraId="2B4DDB04" w14:textId="77777777" w:rsidTr="00314C7E">
        <w:trPr>
          <w:cantSplit/>
        </w:trPr>
        <w:tc>
          <w:tcPr>
            <w:tcW w:w="4536" w:type="dxa"/>
            <w:shd w:val="clear" w:color="auto" w:fill="auto"/>
          </w:tcPr>
          <w:p w14:paraId="056B79C7" w14:textId="04F955C4" w:rsidR="00F96B9E" w:rsidRDefault="00F96B9E" w:rsidP="00F96B9E">
            <w:pPr>
              <w:pStyle w:val="tblProposaltext"/>
            </w:pPr>
            <w:r>
              <w:lastRenderedPageBreak/>
              <w:t>E8</w:t>
            </w:r>
            <w:r>
              <w:tab/>
              <w:t xml:space="preserve">We propose to include in the ASIC Rules the data elements related to collateral and margins set out in Table 15. </w:t>
            </w:r>
          </w:p>
        </w:tc>
        <w:tc>
          <w:tcPr>
            <w:tcW w:w="4536" w:type="dxa"/>
            <w:shd w:val="clear" w:color="auto" w:fill="auto"/>
          </w:tcPr>
          <w:p w14:paraId="5A15A679" w14:textId="77777777" w:rsidR="00F96B9E" w:rsidRDefault="00F96B9E" w:rsidP="00F96B9E">
            <w:pPr>
              <w:pStyle w:val="tblFeedbackquestion"/>
            </w:pPr>
            <w:r>
              <w:t>E8Q1</w:t>
            </w:r>
            <w:r>
              <w:tab/>
              <w:t>Do you agree with this proposal? In your response, please give detailed reasons for your answer.</w:t>
            </w:r>
          </w:p>
          <w:p w14:paraId="072B8304" w14:textId="36D393DC" w:rsidR="00F96B9E" w:rsidRDefault="00F96B9E" w:rsidP="00F96B9E">
            <w:pPr>
              <w:pStyle w:val="tblFeedbackquestion"/>
            </w:pPr>
            <w:r>
              <w:t>E8Q2</w:t>
            </w:r>
            <w:r>
              <w:tab/>
              <w:t xml:space="preserve">Do you consider that you will have particular interpretation or implementation issues with the data elements set out in Table 15? In your response, please give detailed reasons for your answer. </w:t>
            </w:r>
          </w:p>
        </w:tc>
      </w:tr>
      <w:tr w:rsidR="00F96B9E" w14:paraId="0B05575C" w14:textId="77777777" w:rsidTr="00314C7E">
        <w:trPr>
          <w:cantSplit/>
        </w:trPr>
        <w:tc>
          <w:tcPr>
            <w:tcW w:w="4536" w:type="dxa"/>
            <w:shd w:val="clear" w:color="auto" w:fill="auto"/>
          </w:tcPr>
          <w:p w14:paraId="45FE40BF" w14:textId="099BC030" w:rsidR="00F96B9E" w:rsidRDefault="00F96B9E" w:rsidP="00F96B9E">
            <w:pPr>
              <w:pStyle w:val="tblProposaltext"/>
            </w:pPr>
            <w:r>
              <w:t>E9</w:t>
            </w:r>
            <w:r>
              <w:tab/>
              <w:t xml:space="preserve">We do not propose to include in the ASIC Rules the data elements related to counterparty rating triggers set out in Table 16. </w:t>
            </w:r>
          </w:p>
        </w:tc>
        <w:tc>
          <w:tcPr>
            <w:tcW w:w="4536" w:type="dxa"/>
            <w:shd w:val="clear" w:color="auto" w:fill="auto"/>
          </w:tcPr>
          <w:p w14:paraId="4606B973" w14:textId="20F645C2" w:rsidR="00F96B9E" w:rsidRDefault="00F96B9E" w:rsidP="00F96B9E">
            <w:pPr>
              <w:pStyle w:val="tblFeedbackquestion"/>
            </w:pPr>
            <w:r>
              <w:t>E9Q1</w:t>
            </w:r>
            <w:r>
              <w:tab/>
              <w:t xml:space="preserve">Do you agree with this proposal? If not, please give detailed reasons for your answer. </w:t>
            </w:r>
          </w:p>
        </w:tc>
      </w:tr>
      <w:tr w:rsidR="00F96B9E" w14:paraId="0C18CE78" w14:textId="77777777" w:rsidTr="00314C7E">
        <w:trPr>
          <w:cantSplit/>
        </w:trPr>
        <w:tc>
          <w:tcPr>
            <w:tcW w:w="4536" w:type="dxa"/>
            <w:shd w:val="clear" w:color="auto" w:fill="auto"/>
          </w:tcPr>
          <w:p w14:paraId="13F29B93" w14:textId="79E08C26" w:rsidR="00F96B9E" w:rsidRDefault="00F96B9E" w:rsidP="00F96B9E">
            <w:pPr>
              <w:pStyle w:val="tblProposaltext"/>
            </w:pPr>
            <w:r>
              <w:t>E10</w:t>
            </w:r>
            <w:r>
              <w:tab/>
              <w:t>We propose to include in the ASIC Rules the data elements related to prices set out in Table</w:t>
            </w:r>
            <w:r w:rsidR="00744341">
              <w:t> </w:t>
            </w:r>
            <w:r>
              <w:t xml:space="preserve">18. </w:t>
            </w:r>
          </w:p>
        </w:tc>
        <w:tc>
          <w:tcPr>
            <w:tcW w:w="4536" w:type="dxa"/>
            <w:shd w:val="clear" w:color="auto" w:fill="auto"/>
          </w:tcPr>
          <w:p w14:paraId="2EB4355F" w14:textId="77777777" w:rsidR="00F96B9E" w:rsidRDefault="00F96B9E" w:rsidP="00F96B9E">
            <w:pPr>
              <w:pStyle w:val="tblFeedbackquestion"/>
            </w:pPr>
            <w:r>
              <w:t>E10Q1</w:t>
            </w:r>
            <w:r>
              <w:tab/>
              <w:t>Do you agree with this proposal? In your response, please give detailed reasons for your answer.</w:t>
            </w:r>
          </w:p>
          <w:p w14:paraId="5D471C62" w14:textId="6F2A4194" w:rsidR="00F96B9E" w:rsidRDefault="00F96B9E" w:rsidP="00F96B9E">
            <w:pPr>
              <w:pStyle w:val="tblFeedbackquestion"/>
            </w:pPr>
            <w:r>
              <w:t>E10Q2</w:t>
            </w:r>
            <w:r>
              <w:tab/>
              <w:t xml:space="preserve">Do you consider that you will have particular interpretation or implementation issues with the data elements in Table 18? In your response, please give detailed reasons for your answer. </w:t>
            </w:r>
          </w:p>
        </w:tc>
      </w:tr>
      <w:tr w:rsidR="00F96B9E" w14:paraId="18738807" w14:textId="77777777" w:rsidTr="00314C7E">
        <w:trPr>
          <w:cantSplit/>
        </w:trPr>
        <w:tc>
          <w:tcPr>
            <w:tcW w:w="4536" w:type="dxa"/>
            <w:shd w:val="clear" w:color="auto" w:fill="auto"/>
          </w:tcPr>
          <w:p w14:paraId="6E16193C" w14:textId="7C6E19DC" w:rsidR="00F96B9E" w:rsidRDefault="00F96B9E" w:rsidP="00F96B9E">
            <w:pPr>
              <w:pStyle w:val="tblProposaltext"/>
            </w:pPr>
            <w:r>
              <w:t>E11</w:t>
            </w:r>
            <w:r>
              <w:tab/>
              <w:t xml:space="preserve">We are considering proposing, in the second round of consultation, to include in the ASIC Rules the data elements related to prices set out in Table 19. </w:t>
            </w:r>
          </w:p>
        </w:tc>
        <w:tc>
          <w:tcPr>
            <w:tcW w:w="4536" w:type="dxa"/>
            <w:shd w:val="clear" w:color="auto" w:fill="auto"/>
          </w:tcPr>
          <w:p w14:paraId="131670AF" w14:textId="77777777" w:rsidR="00F96B9E" w:rsidRDefault="00F96B9E" w:rsidP="00F96B9E">
            <w:pPr>
              <w:pStyle w:val="tblFeedbackquestion"/>
            </w:pPr>
            <w:r>
              <w:t>E11Q1</w:t>
            </w:r>
            <w:r>
              <w:tab/>
              <w:t>Do you agree that we should consider a proposal, in the second round of consultation, to include these data elements in the ASIC Rules? In your response, please give detailed reasons for your answer.</w:t>
            </w:r>
          </w:p>
          <w:p w14:paraId="5F7D6D10" w14:textId="77777777" w:rsidR="00F96B9E" w:rsidRDefault="00F96B9E" w:rsidP="00F96B9E">
            <w:pPr>
              <w:pStyle w:val="tblFeedbackquestion"/>
            </w:pPr>
            <w:r>
              <w:t>E11Q2</w:t>
            </w:r>
            <w:r>
              <w:tab/>
              <w:t>For transactions involving ‘price schedules’ or ‘strike price schedules’, please provide feedback about:</w:t>
            </w:r>
          </w:p>
          <w:p w14:paraId="19C0C78C" w14:textId="77777777" w:rsidR="00F96B9E" w:rsidRDefault="00F96B9E" w:rsidP="00F96B9E">
            <w:pPr>
              <w:pStyle w:val="tblFeedbacksubquestion"/>
            </w:pPr>
            <w:r>
              <w:t>(a)</w:t>
            </w:r>
            <w:r>
              <w:tab/>
              <w:t>the incidence of such types of transactions in your own dealings; and</w:t>
            </w:r>
          </w:p>
          <w:p w14:paraId="7E5F3CA6" w14:textId="77777777" w:rsidR="00F96B9E" w:rsidRDefault="00F96B9E" w:rsidP="00F96B9E">
            <w:pPr>
              <w:pStyle w:val="tblFeedbacksubquestion"/>
            </w:pPr>
            <w:r>
              <w:t>(b)</w:t>
            </w:r>
            <w:r>
              <w:tab/>
              <w:t>whether you prefer to provide this information in your initial transaction report as a ‘schedule’ rather than reporting the changes according to the ‘schedule’ in subsequent transaction reports.</w:t>
            </w:r>
          </w:p>
          <w:p w14:paraId="5FB3F152" w14:textId="77777777" w:rsidR="00F96B9E" w:rsidRDefault="00F96B9E" w:rsidP="00F96B9E">
            <w:pPr>
              <w:pStyle w:val="tblFeedbackquestion"/>
            </w:pPr>
            <w:r>
              <w:t>E11Q3</w:t>
            </w:r>
            <w:r>
              <w:tab/>
              <w:t>For transactions where ‘first exercise date’ would be reported as a value that is not otherwise reported in another data element, please provide feedback about the incidence of such types of transactions in your own dealings and any other feedback.</w:t>
            </w:r>
          </w:p>
          <w:p w14:paraId="60D2F7A6" w14:textId="4BA61AE8" w:rsidR="00F96B9E" w:rsidRDefault="00F96B9E" w:rsidP="00F96B9E">
            <w:pPr>
              <w:pStyle w:val="tblFeedbackquestion"/>
            </w:pPr>
            <w:r>
              <w:t>E11Q4</w:t>
            </w:r>
            <w:r>
              <w:tab/>
              <w:t xml:space="preserve">Do you consider that you will have particular interpretation or implementation issues with the data elements set out in Table 19? In your response, please give detailed reasons for your answer. </w:t>
            </w:r>
          </w:p>
        </w:tc>
      </w:tr>
      <w:tr w:rsidR="00F96B9E" w14:paraId="2F748E2F" w14:textId="77777777" w:rsidTr="00314C7E">
        <w:trPr>
          <w:cantSplit/>
        </w:trPr>
        <w:tc>
          <w:tcPr>
            <w:tcW w:w="4536" w:type="dxa"/>
            <w:shd w:val="clear" w:color="auto" w:fill="auto"/>
          </w:tcPr>
          <w:p w14:paraId="5CE993A8" w14:textId="0BCF1951" w:rsidR="00F96B9E" w:rsidRDefault="00F96B9E" w:rsidP="00F96B9E">
            <w:pPr>
              <w:pStyle w:val="tblProposaltext"/>
            </w:pPr>
            <w:r>
              <w:lastRenderedPageBreak/>
              <w:t>E12</w:t>
            </w:r>
            <w:r>
              <w:tab/>
              <w:t xml:space="preserve">We propose to include in the ASIC Rules the data elements related to notional amounts and quantities set out in Table 20. </w:t>
            </w:r>
          </w:p>
        </w:tc>
        <w:tc>
          <w:tcPr>
            <w:tcW w:w="4536" w:type="dxa"/>
            <w:shd w:val="clear" w:color="auto" w:fill="auto"/>
          </w:tcPr>
          <w:p w14:paraId="14337BFC" w14:textId="77777777" w:rsidR="00F96B9E" w:rsidRDefault="00F96B9E" w:rsidP="00F96B9E">
            <w:pPr>
              <w:pStyle w:val="tblFeedbackquestion"/>
            </w:pPr>
            <w:r>
              <w:t>E12Q1</w:t>
            </w:r>
            <w:r>
              <w:tab/>
              <w:t>Do you agree with this proposal? In your response, please give detailed reasons for your answer.</w:t>
            </w:r>
          </w:p>
          <w:p w14:paraId="1EA915F2" w14:textId="77777777" w:rsidR="00F96B9E" w:rsidRDefault="00F96B9E" w:rsidP="00F96B9E">
            <w:pPr>
              <w:pStyle w:val="tblFeedbackquestion"/>
            </w:pPr>
            <w:r>
              <w:t>E12Q2</w:t>
            </w:r>
            <w:r>
              <w:tab/>
              <w:t>Do you consider that you will have particular interpretation or implementation issues with the data elements set out in Table 20? In your response, please give detailed reasons for your answer.</w:t>
            </w:r>
          </w:p>
          <w:p w14:paraId="07D27238" w14:textId="3C0AFE28" w:rsidR="00F96B9E" w:rsidRDefault="00F96B9E" w:rsidP="00F96B9E">
            <w:pPr>
              <w:pStyle w:val="tblFeedbackquestion"/>
            </w:pPr>
            <w:r>
              <w:t>E12Q3</w:t>
            </w:r>
            <w:r>
              <w:tab/>
              <w:t xml:space="preserve">Do you consider that the identification of which currency data elements are the call option/put option data elements in a foreign exchange option could, or should, be simplified by, for example, only specifying the call currency? In your response, please give detailed reasons for your answer. </w:t>
            </w:r>
          </w:p>
        </w:tc>
      </w:tr>
      <w:tr w:rsidR="00F96B9E" w14:paraId="0DA9B416" w14:textId="77777777" w:rsidTr="00314C7E">
        <w:trPr>
          <w:cantSplit/>
        </w:trPr>
        <w:tc>
          <w:tcPr>
            <w:tcW w:w="4536" w:type="dxa"/>
            <w:shd w:val="clear" w:color="auto" w:fill="auto"/>
          </w:tcPr>
          <w:p w14:paraId="187F3B71" w14:textId="709DEA55" w:rsidR="00F96B9E" w:rsidRDefault="00F96B9E" w:rsidP="00F96B9E">
            <w:pPr>
              <w:pStyle w:val="tblProposaltext"/>
            </w:pPr>
            <w:r>
              <w:t>E13</w:t>
            </w:r>
            <w:r>
              <w:tab/>
              <w:t xml:space="preserve">We are considering proposing, in the second round of consultation, to include in the ASIC Rules the data elements related to notional quantities set out in Table 21. </w:t>
            </w:r>
          </w:p>
        </w:tc>
        <w:tc>
          <w:tcPr>
            <w:tcW w:w="4536" w:type="dxa"/>
            <w:shd w:val="clear" w:color="auto" w:fill="auto"/>
          </w:tcPr>
          <w:p w14:paraId="1823DB61" w14:textId="77777777" w:rsidR="00F96B9E" w:rsidRDefault="00F96B9E" w:rsidP="00F96B9E">
            <w:pPr>
              <w:pStyle w:val="tblFeedbackquestion"/>
            </w:pPr>
            <w:r>
              <w:t>E13Q1</w:t>
            </w:r>
            <w:r>
              <w:tab/>
              <w:t>Do you agree that we should consider a proposal, in the second round of consultation, to include these data elements in the ASIC Rules? In your response, please give detailed reasons for your answer.</w:t>
            </w:r>
          </w:p>
          <w:p w14:paraId="527FE97E" w14:textId="77777777" w:rsidR="00F96B9E" w:rsidRDefault="00F96B9E" w:rsidP="00F96B9E">
            <w:pPr>
              <w:pStyle w:val="tblFeedbackquestion"/>
            </w:pPr>
            <w:r>
              <w:t>E13Q2</w:t>
            </w:r>
            <w:r>
              <w:tab/>
              <w:t>For transactions involving ‘notional quantity schedules’, please provide feedback about:</w:t>
            </w:r>
          </w:p>
          <w:p w14:paraId="3BABCCFF" w14:textId="77777777" w:rsidR="00F96B9E" w:rsidRDefault="00F96B9E" w:rsidP="00F96B9E">
            <w:pPr>
              <w:pStyle w:val="tblFeedbacksubquestion"/>
            </w:pPr>
            <w:r>
              <w:t>(a)</w:t>
            </w:r>
            <w:r>
              <w:tab/>
              <w:t>the incidence of such types of transactions in your own dealings; and</w:t>
            </w:r>
          </w:p>
          <w:p w14:paraId="72B3AB33" w14:textId="77777777" w:rsidR="00F96B9E" w:rsidRDefault="00F96B9E" w:rsidP="00F96B9E">
            <w:pPr>
              <w:pStyle w:val="tblFeedbacksubquestion"/>
            </w:pPr>
            <w:r>
              <w:t>(b)</w:t>
            </w:r>
            <w:r>
              <w:tab/>
              <w:t>if the relationship between quantity, price and notional can be relied on to infer a ‘notional quantity schedule’ from a ‘notional amount schedule; and</w:t>
            </w:r>
          </w:p>
          <w:p w14:paraId="490C08CE" w14:textId="77777777" w:rsidR="00F96B9E" w:rsidRDefault="00F96B9E" w:rsidP="00F96B9E">
            <w:pPr>
              <w:pStyle w:val="tblFeedbacksubquestion"/>
            </w:pPr>
            <w:r>
              <w:t>(c)</w:t>
            </w:r>
            <w:r>
              <w:tab/>
              <w:t>whether you prefer to provide this information in your initial transaction report as a ‘schedule’ rather than reporting the changes according to the ‘schedule’ in subsequent transaction reports.</w:t>
            </w:r>
          </w:p>
          <w:p w14:paraId="64182754" w14:textId="4AEB3A46" w:rsidR="00F96B9E" w:rsidRDefault="00F96B9E" w:rsidP="00F96B9E">
            <w:pPr>
              <w:pStyle w:val="tblFeedbackquestion"/>
            </w:pPr>
            <w:r>
              <w:t>E13Q3</w:t>
            </w:r>
            <w:r>
              <w:tab/>
              <w:t xml:space="preserve">Do you consider that you will have particular interpretation or implementation issues with the data elements set out in Table 21? In your response, please give detailed reasons for your answer. </w:t>
            </w:r>
          </w:p>
        </w:tc>
      </w:tr>
      <w:tr w:rsidR="00F96B9E" w14:paraId="20239ED2" w14:textId="77777777" w:rsidTr="00314C7E">
        <w:trPr>
          <w:cantSplit/>
        </w:trPr>
        <w:tc>
          <w:tcPr>
            <w:tcW w:w="4536" w:type="dxa"/>
            <w:shd w:val="clear" w:color="auto" w:fill="auto"/>
          </w:tcPr>
          <w:p w14:paraId="3AFF9095" w14:textId="6859F2CB" w:rsidR="00F96B9E" w:rsidRDefault="00F96B9E" w:rsidP="00F96B9E">
            <w:pPr>
              <w:pStyle w:val="tblProposaltext"/>
            </w:pPr>
            <w:r>
              <w:t>E14</w:t>
            </w:r>
            <w:r>
              <w:tab/>
              <w:t xml:space="preserve">We propose to include in the ASIC Rules the data elements related to CDS index transactions set out in Table 22. </w:t>
            </w:r>
          </w:p>
        </w:tc>
        <w:tc>
          <w:tcPr>
            <w:tcW w:w="4536" w:type="dxa"/>
            <w:shd w:val="clear" w:color="auto" w:fill="auto"/>
          </w:tcPr>
          <w:p w14:paraId="3B983C71" w14:textId="77777777" w:rsidR="00F96B9E" w:rsidRDefault="00F96B9E" w:rsidP="00F96B9E">
            <w:pPr>
              <w:pStyle w:val="tblFeedbackquestion"/>
            </w:pPr>
            <w:r>
              <w:t>E14Q1</w:t>
            </w:r>
            <w:r>
              <w:tab/>
              <w:t>Do you agree with this proposal? In your response, please give detailed reasons for your answer.</w:t>
            </w:r>
          </w:p>
          <w:p w14:paraId="795A8169" w14:textId="3713889C" w:rsidR="00F96B9E" w:rsidRDefault="00F96B9E" w:rsidP="00F96B9E">
            <w:pPr>
              <w:pStyle w:val="tblFeedbackquestion"/>
            </w:pPr>
            <w:r>
              <w:t>E14Q2</w:t>
            </w:r>
            <w:r>
              <w:tab/>
              <w:t xml:space="preserve">Do you consider that you will have particular interpretation or implementation issues with the data elements set out in Table 22? In your response, please give detailed reasons for your answer. </w:t>
            </w:r>
          </w:p>
        </w:tc>
      </w:tr>
      <w:tr w:rsidR="00F96B9E" w14:paraId="7A8295F5" w14:textId="77777777" w:rsidTr="00314C7E">
        <w:trPr>
          <w:cantSplit/>
        </w:trPr>
        <w:tc>
          <w:tcPr>
            <w:tcW w:w="4536" w:type="dxa"/>
            <w:shd w:val="clear" w:color="auto" w:fill="auto"/>
          </w:tcPr>
          <w:p w14:paraId="2A5DCCF2" w14:textId="4098CECC" w:rsidR="00F96B9E" w:rsidRDefault="00F96B9E" w:rsidP="00F96B9E">
            <w:pPr>
              <w:pStyle w:val="tblProposaltext"/>
            </w:pPr>
            <w:r>
              <w:lastRenderedPageBreak/>
              <w:t>E15</w:t>
            </w:r>
            <w:r>
              <w:tab/>
              <w:t xml:space="preserve">We propose to include in the ASIC Rules the data elements related to other payments set out in Table 23. </w:t>
            </w:r>
          </w:p>
        </w:tc>
        <w:tc>
          <w:tcPr>
            <w:tcW w:w="4536" w:type="dxa"/>
            <w:shd w:val="clear" w:color="auto" w:fill="auto"/>
          </w:tcPr>
          <w:p w14:paraId="217EBAEA" w14:textId="77777777" w:rsidR="00F96B9E" w:rsidRDefault="00F96B9E" w:rsidP="00F96B9E">
            <w:pPr>
              <w:pStyle w:val="tblFeedbackquestion"/>
            </w:pPr>
            <w:r>
              <w:t>E15Q1</w:t>
            </w:r>
            <w:r>
              <w:tab/>
              <w:t>Do you agree with this proposal? In your response, please give detailed reasons for your answer.</w:t>
            </w:r>
          </w:p>
          <w:p w14:paraId="6B8C255F" w14:textId="3728FF56" w:rsidR="00F96B9E" w:rsidRDefault="00F96B9E" w:rsidP="00F96B9E">
            <w:pPr>
              <w:pStyle w:val="tblFeedbackquestion"/>
            </w:pPr>
            <w:r>
              <w:t>E15Q2</w:t>
            </w:r>
            <w:r>
              <w:tab/>
              <w:t xml:space="preserve">Do you consider that you will have particular interpretation or implementation issues with the data elements set out in Table 23? In your response, please give detailed reasons for your answer. </w:t>
            </w:r>
          </w:p>
        </w:tc>
      </w:tr>
      <w:tr w:rsidR="00F96B9E" w14:paraId="6A668FA5" w14:textId="77777777" w:rsidTr="00314C7E">
        <w:trPr>
          <w:cantSplit/>
        </w:trPr>
        <w:tc>
          <w:tcPr>
            <w:tcW w:w="4536" w:type="dxa"/>
            <w:shd w:val="clear" w:color="auto" w:fill="auto"/>
          </w:tcPr>
          <w:p w14:paraId="3D5834B2" w14:textId="26299AB9" w:rsidR="00F96B9E" w:rsidRDefault="00F96B9E" w:rsidP="00F96B9E">
            <w:pPr>
              <w:pStyle w:val="tblProposaltext"/>
            </w:pPr>
            <w:r>
              <w:t>E16</w:t>
            </w:r>
            <w:r>
              <w:tab/>
              <w:t xml:space="preserve">We propose to include in the ASIC Rules the data elements related to packages and links set out in Table 24. </w:t>
            </w:r>
          </w:p>
        </w:tc>
        <w:tc>
          <w:tcPr>
            <w:tcW w:w="4536" w:type="dxa"/>
            <w:shd w:val="clear" w:color="auto" w:fill="auto"/>
          </w:tcPr>
          <w:p w14:paraId="4EFDA17F" w14:textId="77777777" w:rsidR="00F96B9E" w:rsidRDefault="00F96B9E" w:rsidP="00F96B9E">
            <w:pPr>
              <w:pStyle w:val="tblFeedbackquestion"/>
            </w:pPr>
            <w:r>
              <w:t>E16Q1</w:t>
            </w:r>
            <w:r>
              <w:tab/>
              <w:t>Do you agree with this proposal? In your response, please give detailed reasons for your answer.</w:t>
            </w:r>
          </w:p>
          <w:p w14:paraId="7BEA6661" w14:textId="31B23184" w:rsidR="00F96B9E" w:rsidRDefault="00F96B9E" w:rsidP="00F96B9E">
            <w:pPr>
              <w:pStyle w:val="tblFeedbackquestion"/>
            </w:pPr>
            <w:r>
              <w:t>E16Q2</w:t>
            </w:r>
            <w:r>
              <w:tab/>
              <w:t xml:space="preserve">Do you consider that you will have particular interpretation or implementation issues with the data elements set out in Table 24? In your response, please give detailed reasons for your answer. </w:t>
            </w:r>
          </w:p>
        </w:tc>
      </w:tr>
      <w:tr w:rsidR="00F96B9E" w14:paraId="55F13485" w14:textId="77777777" w:rsidTr="00314C7E">
        <w:trPr>
          <w:cantSplit/>
        </w:trPr>
        <w:tc>
          <w:tcPr>
            <w:tcW w:w="4536" w:type="dxa"/>
            <w:shd w:val="clear" w:color="auto" w:fill="auto"/>
          </w:tcPr>
          <w:p w14:paraId="4FF512C2" w14:textId="576A88FE" w:rsidR="00F96B9E" w:rsidRDefault="00F96B9E" w:rsidP="00F96B9E">
            <w:pPr>
              <w:pStyle w:val="tblProposaltext"/>
            </w:pPr>
            <w:r>
              <w:t>E17</w:t>
            </w:r>
            <w:r>
              <w:tab/>
              <w:t xml:space="preserve">We propose to include in the ASIC Rules the data elements related to custom baskets set out in Table 25. </w:t>
            </w:r>
          </w:p>
        </w:tc>
        <w:tc>
          <w:tcPr>
            <w:tcW w:w="4536" w:type="dxa"/>
            <w:shd w:val="clear" w:color="auto" w:fill="auto"/>
          </w:tcPr>
          <w:p w14:paraId="1AC62476" w14:textId="77777777" w:rsidR="00F96B9E" w:rsidRDefault="00F96B9E" w:rsidP="00F96B9E">
            <w:pPr>
              <w:pStyle w:val="tblFeedbackquestion"/>
            </w:pPr>
            <w:r>
              <w:t>E17Q1</w:t>
            </w:r>
            <w:r>
              <w:tab/>
              <w:t>Do you agree with this proposal? In your response, please give detailed reasons for your answer.</w:t>
            </w:r>
          </w:p>
          <w:p w14:paraId="07DD757F" w14:textId="2382941F" w:rsidR="00F96B9E" w:rsidRDefault="00F96B9E" w:rsidP="00F96B9E">
            <w:pPr>
              <w:pStyle w:val="tblFeedbackquestion"/>
            </w:pPr>
            <w:r>
              <w:t>E17Q2</w:t>
            </w:r>
            <w:r>
              <w:tab/>
              <w:t xml:space="preserve">Do you consider that you will have particular interpretation or implementation issues with the data elements set out in Table 25? In your response, please give detailed reasons for your answer. </w:t>
            </w:r>
          </w:p>
        </w:tc>
      </w:tr>
      <w:tr w:rsidR="00F96B9E" w14:paraId="730C8FBB" w14:textId="77777777" w:rsidTr="00314C7E">
        <w:trPr>
          <w:cantSplit/>
        </w:trPr>
        <w:tc>
          <w:tcPr>
            <w:tcW w:w="4536" w:type="dxa"/>
            <w:shd w:val="clear" w:color="auto" w:fill="auto"/>
          </w:tcPr>
          <w:p w14:paraId="47ACA191" w14:textId="4BBBE741" w:rsidR="00F96B9E" w:rsidRDefault="00F96B9E" w:rsidP="00F96B9E">
            <w:pPr>
              <w:pStyle w:val="tblProposaltext"/>
            </w:pPr>
            <w:r>
              <w:t>E18</w:t>
            </w:r>
            <w:r>
              <w:tab/>
              <w:t xml:space="preserve">We are considering proposing, in the second round of consultation, to include in the ASIC Rules the data elements related to custom baskets set out in Table 26. </w:t>
            </w:r>
          </w:p>
        </w:tc>
        <w:tc>
          <w:tcPr>
            <w:tcW w:w="4536" w:type="dxa"/>
            <w:shd w:val="clear" w:color="auto" w:fill="auto"/>
          </w:tcPr>
          <w:p w14:paraId="0A3C79E2" w14:textId="77777777" w:rsidR="00F96B9E" w:rsidRDefault="00F96B9E" w:rsidP="00F96B9E">
            <w:pPr>
              <w:pStyle w:val="tblFeedbackquestion"/>
            </w:pPr>
            <w:r>
              <w:t>E18Q1</w:t>
            </w:r>
            <w:r>
              <w:tab/>
              <w:t>Do you agree that we should consider a proposal, in the second round of consultation, to include these data elements in the ASIC Rules? In your response, please give detailed reasons for your answer.</w:t>
            </w:r>
          </w:p>
          <w:p w14:paraId="44BF1EC7" w14:textId="136DF601" w:rsidR="00F96B9E" w:rsidRDefault="00F96B9E" w:rsidP="00F96B9E">
            <w:pPr>
              <w:pStyle w:val="tblFeedbackquestion"/>
            </w:pPr>
            <w:r>
              <w:t>E18Q2</w:t>
            </w:r>
            <w:r>
              <w:tab/>
              <w:t xml:space="preserve">Do you consider that you will have particular interpretation or implementation issues with the data elements set out in Table 26? In your response, please give detailed reasons for your answer. </w:t>
            </w:r>
          </w:p>
        </w:tc>
      </w:tr>
      <w:tr w:rsidR="00F96B9E" w14:paraId="6E008F4B" w14:textId="77777777" w:rsidTr="00314C7E">
        <w:trPr>
          <w:cantSplit/>
        </w:trPr>
        <w:tc>
          <w:tcPr>
            <w:tcW w:w="4536" w:type="dxa"/>
            <w:shd w:val="clear" w:color="auto" w:fill="auto"/>
          </w:tcPr>
          <w:p w14:paraId="58002C2E" w14:textId="694D58DB" w:rsidR="00F96B9E" w:rsidRDefault="00F96B9E" w:rsidP="00F96B9E">
            <w:pPr>
              <w:pStyle w:val="tblProposaltext"/>
            </w:pPr>
            <w:r>
              <w:t>E19</w:t>
            </w:r>
            <w:r>
              <w:tab/>
              <w:t xml:space="preserve">We propose to include in the ASIC Rules the non-CDE data elements set out in Table 27. </w:t>
            </w:r>
          </w:p>
        </w:tc>
        <w:tc>
          <w:tcPr>
            <w:tcW w:w="4536" w:type="dxa"/>
            <w:shd w:val="clear" w:color="auto" w:fill="auto"/>
          </w:tcPr>
          <w:p w14:paraId="46F529CF" w14:textId="77777777" w:rsidR="00F96B9E" w:rsidRDefault="00F96B9E" w:rsidP="00F96B9E">
            <w:pPr>
              <w:pStyle w:val="tblFeedbackquestion"/>
            </w:pPr>
            <w:r>
              <w:t>E19Q1</w:t>
            </w:r>
            <w:r>
              <w:tab/>
              <w:t>Do you agree with this proposal? In your response, please give detailed reasons for your answer.</w:t>
            </w:r>
          </w:p>
          <w:p w14:paraId="19ABC711" w14:textId="6BDFBEBB" w:rsidR="00F96B9E" w:rsidRDefault="00F96B9E" w:rsidP="00F96B9E">
            <w:pPr>
              <w:pStyle w:val="tblFeedbackquestion"/>
            </w:pPr>
            <w:r>
              <w:t>E19Q2</w:t>
            </w:r>
            <w:r>
              <w:tab/>
              <w:t xml:space="preserve">Do you consider that you will have particular interpretation or implementation issues with the data elements set out in Table 27? In your response, please give detailed reasons for your answer. </w:t>
            </w:r>
          </w:p>
        </w:tc>
      </w:tr>
      <w:tr w:rsidR="00F96B9E" w14:paraId="370A5DE8" w14:textId="77777777" w:rsidTr="00314C7E">
        <w:trPr>
          <w:cantSplit/>
        </w:trPr>
        <w:tc>
          <w:tcPr>
            <w:tcW w:w="4536" w:type="dxa"/>
            <w:shd w:val="clear" w:color="auto" w:fill="auto"/>
          </w:tcPr>
          <w:p w14:paraId="31103CB7" w14:textId="216172F3" w:rsidR="00F96B9E" w:rsidRDefault="00F96B9E" w:rsidP="00F96B9E">
            <w:pPr>
              <w:pStyle w:val="tblProposaltext"/>
            </w:pPr>
            <w:r>
              <w:lastRenderedPageBreak/>
              <w:t>E20</w:t>
            </w:r>
            <w:r>
              <w:tab/>
              <w:t xml:space="preserve">We are considering proposing, in the second round of consultation, to include in the ASIC Rules the data elements related to custom baskets set out in Table 28. </w:t>
            </w:r>
          </w:p>
        </w:tc>
        <w:tc>
          <w:tcPr>
            <w:tcW w:w="4536" w:type="dxa"/>
            <w:shd w:val="clear" w:color="auto" w:fill="auto"/>
          </w:tcPr>
          <w:p w14:paraId="17059510" w14:textId="77777777" w:rsidR="00F96B9E" w:rsidRDefault="00F96B9E" w:rsidP="00F96B9E">
            <w:pPr>
              <w:pStyle w:val="tblFeedbackquestion"/>
            </w:pPr>
            <w:r>
              <w:t>E20Q1</w:t>
            </w:r>
            <w:r>
              <w:tab/>
              <w:t>Do you agree that we should consider a proposal, in the second round of consultation, to include these data elements in the ASIC Rules? In your response, please give detailed reasons for your answer.</w:t>
            </w:r>
          </w:p>
          <w:p w14:paraId="56F60428" w14:textId="3035BC54" w:rsidR="00F96B9E" w:rsidRDefault="00F96B9E" w:rsidP="00F96B9E">
            <w:pPr>
              <w:pStyle w:val="tblFeedbackquestion"/>
            </w:pPr>
            <w:r>
              <w:t>E20Q2</w:t>
            </w:r>
            <w:r>
              <w:tab/>
              <w:t xml:space="preserve">Do you consider that you will have particular interpretation or implementation issues with the data elements set out in Table 28? In your response, please give detailed reasons for your answer. </w:t>
            </w:r>
          </w:p>
        </w:tc>
      </w:tr>
      <w:tr w:rsidR="00F96B9E" w14:paraId="4E0509AA" w14:textId="77777777" w:rsidTr="00314C7E">
        <w:trPr>
          <w:cantSplit/>
        </w:trPr>
        <w:tc>
          <w:tcPr>
            <w:tcW w:w="4536" w:type="dxa"/>
            <w:shd w:val="clear" w:color="auto" w:fill="auto"/>
          </w:tcPr>
          <w:p w14:paraId="4CB2263D" w14:textId="06CFE1B2" w:rsidR="00F96B9E" w:rsidRDefault="00F96B9E" w:rsidP="00F96B9E">
            <w:pPr>
              <w:pStyle w:val="tblProposaltext"/>
            </w:pPr>
            <w:r>
              <w:t>E21</w:t>
            </w:r>
            <w:r>
              <w:tab/>
              <w:t xml:space="preserve">We propose to develop and prescribe technical specifications to the ASIC Rules as a writing that is applied under the ASIC Rules as in force or existing from time to time. </w:t>
            </w:r>
          </w:p>
        </w:tc>
        <w:tc>
          <w:tcPr>
            <w:tcW w:w="4536" w:type="dxa"/>
            <w:shd w:val="clear" w:color="auto" w:fill="auto"/>
          </w:tcPr>
          <w:p w14:paraId="51333908" w14:textId="77777777" w:rsidR="00F96B9E" w:rsidRDefault="00F96B9E" w:rsidP="00F96B9E">
            <w:pPr>
              <w:pStyle w:val="tblFeedbackquestion"/>
            </w:pPr>
            <w:r>
              <w:t>E21Q1</w:t>
            </w:r>
            <w:r>
              <w:tab/>
              <w:t>Do you agree with this proposal? In your response, please give detailed reasons for your answer.</w:t>
            </w:r>
          </w:p>
          <w:p w14:paraId="6971CE52" w14:textId="76901EF6" w:rsidR="00F96B9E" w:rsidRDefault="00F96B9E" w:rsidP="00F96B9E">
            <w:pPr>
              <w:pStyle w:val="tblFeedbackquestion"/>
            </w:pPr>
            <w:proofErr w:type="gramStart"/>
            <w:r>
              <w:t>E21Q2</w:t>
            </w:r>
            <w:proofErr w:type="gramEnd"/>
            <w:r>
              <w:tab/>
              <w:t xml:space="preserve">Do you suggest that we should model the form of a technical specification on one or more existing technical specification related to transaction reporting? In your response, please give detailed reasons for your answer. </w:t>
            </w:r>
          </w:p>
        </w:tc>
      </w:tr>
      <w:tr w:rsidR="00F96B9E" w14:paraId="4BD66454" w14:textId="77777777" w:rsidTr="00314C7E">
        <w:trPr>
          <w:cantSplit/>
        </w:trPr>
        <w:tc>
          <w:tcPr>
            <w:tcW w:w="4536" w:type="dxa"/>
            <w:shd w:val="clear" w:color="auto" w:fill="auto"/>
          </w:tcPr>
          <w:p w14:paraId="7E8947F9" w14:textId="77777777" w:rsidR="00F96B9E" w:rsidRDefault="00F96B9E" w:rsidP="00F96B9E">
            <w:pPr>
              <w:pStyle w:val="tblProposaltext"/>
            </w:pPr>
            <w:r>
              <w:t>F1</w:t>
            </w:r>
            <w:r>
              <w:tab/>
              <w:t>We propose to amend the ASIC Rules to:</w:t>
            </w:r>
          </w:p>
          <w:p w14:paraId="58F9070D" w14:textId="77777777" w:rsidR="00F96B9E" w:rsidRDefault="00F96B9E" w:rsidP="00F96B9E">
            <w:pPr>
              <w:pStyle w:val="tblProposalsubpara"/>
            </w:pPr>
            <w:r>
              <w:t>(a)</w:t>
            </w:r>
            <w:r>
              <w:tab/>
              <w:t>require that entity identifiers must be valid and duly renewed LEIs (other than for entities that are natural persons not acting in a business capacity); and</w:t>
            </w:r>
          </w:p>
          <w:p w14:paraId="2925E830" w14:textId="7833DB8B" w:rsidR="00F96B9E" w:rsidRDefault="00F96B9E" w:rsidP="00F96B9E">
            <w:pPr>
              <w:pStyle w:val="tblProposalsubpara"/>
            </w:pPr>
            <w:r>
              <w:t>(b)</w:t>
            </w:r>
            <w:r>
              <w:tab/>
              <w:t xml:space="preserve">require that transactions that have been reported with entity identifiers that are not valid and duly renewed LEIs have their transaction information updated to include a valid and duly renewed LEI. </w:t>
            </w:r>
          </w:p>
        </w:tc>
        <w:tc>
          <w:tcPr>
            <w:tcW w:w="4536" w:type="dxa"/>
            <w:shd w:val="clear" w:color="auto" w:fill="auto"/>
          </w:tcPr>
          <w:p w14:paraId="38716354" w14:textId="77777777" w:rsidR="00F96B9E" w:rsidRDefault="00F96B9E" w:rsidP="00F96B9E">
            <w:pPr>
              <w:pStyle w:val="tblFeedbackquestion"/>
            </w:pPr>
            <w:r>
              <w:t>F1Q1</w:t>
            </w:r>
            <w:r>
              <w:tab/>
              <w:t>Do you agree with this proposal? In your response, please give detailed reasons for your answer.</w:t>
            </w:r>
          </w:p>
          <w:p w14:paraId="2E494485" w14:textId="6137FF04" w:rsidR="00F96B9E" w:rsidRDefault="00F96B9E" w:rsidP="00F96B9E">
            <w:pPr>
              <w:pStyle w:val="tblFeedbackquestion"/>
            </w:pPr>
            <w:r>
              <w:t>F1Q2</w:t>
            </w:r>
            <w:r>
              <w:tab/>
              <w:t xml:space="preserve">Do you consider that you will have particular interpretation or implementation issues with the proposed LEI requirements? In your response, please give detailed reasons for your answer. </w:t>
            </w:r>
          </w:p>
        </w:tc>
      </w:tr>
      <w:tr w:rsidR="00F96B9E" w14:paraId="146F333D" w14:textId="77777777" w:rsidTr="00314C7E">
        <w:trPr>
          <w:cantSplit/>
        </w:trPr>
        <w:tc>
          <w:tcPr>
            <w:tcW w:w="4536" w:type="dxa"/>
            <w:shd w:val="clear" w:color="auto" w:fill="auto"/>
          </w:tcPr>
          <w:p w14:paraId="6C3FCF8E" w14:textId="5EA56D3D" w:rsidR="00F96B9E" w:rsidRDefault="00F96B9E" w:rsidP="00F96B9E">
            <w:pPr>
              <w:pStyle w:val="tblProposaltext"/>
            </w:pPr>
            <w:r>
              <w:t>F2</w:t>
            </w:r>
            <w:r>
              <w:tab/>
              <w:t xml:space="preserve">We propose to repeal section 6 ‘Exemption 2 (Entity Information)’ and section 6B ‘Exemption 2B (Joint Counterparties)’ of ASIC Corporations (Derivative Transaction Reporting Exemption) Instrument 2015/844 in relation to reporting entities other than reporting entities that are foreign subsidiaries of Australian reporting entities. </w:t>
            </w:r>
          </w:p>
        </w:tc>
        <w:tc>
          <w:tcPr>
            <w:tcW w:w="4536" w:type="dxa"/>
            <w:shd w:val="clear" w:color="auto" w:fill="auto"/>
          </w:tcPr>
          <w:p w14:paraId="73F38E46" w14:textId="77777777" w:rsidR="00F96B9E" w:rsidRDefault="00F96B9E" w:rsidP="00F96B9E">
            <w:pPr>
              <w:pStyle w:val="tblFeedbackquestion"/>
            </w:pPr>
            <w:r>
              <w:t>F2Q1</w:t>
            </w:r>
            <w:r>
              <w:tab/>
              <w:t>Do you agree with this proposal? In your response, please give detailed reasons for your answer.</w:t>
            </w:r>
          </w:p>
          <w:p w14:paraId="670A626F" w14:textId="683AA6A3" w:rsidR="00F96B9E" w:rsidRDefault="00F96B9E" w:rsidP="00F96B9E">
            <w:pPr>
              <w:pStyle w:val="tblFeedbackquestion"/>
            </w:pPr>
            <w:r>
              <w:t>F2Q2</w:t>
            </w:r>
            <w:r>
              <w:tab/>
              <w:t xml:space="preserve">Do you consider that you will have particular interpretation or implementation issues with the proposed LEI requirements? In your response, please give detailed reasons for your answer. </w:t>
            </w:r>
          </w:p>
        </w:tc>
      </w:tr>
      <w:tr w:rsidR="00F96B9E" w14:paraId="25D6414E" w14:textId="77777777" w:rsidTr="00314C7E">
        <w:trPr>
          <w:cantSplit/>
        </w:trPr>
        <w:tc>
          <w:tcPr>
            <w:tcW w:w="4536" w:type="dxa"/>
            <w:shd w:val="clear" w:color="auto" w:fill="auto"/>
          </w:tcPr>
          <w:p w14:paraId="7F97401A" w14:textId="77777777" w:rsidR="00F96B9E" w:rsidRDefault="00F96B9E" w:rsidP="00F96B9E">
            <w:pPr>
              <w:pStyle w:val="tblProposaltext"/>
            </w:pPr>
            <w:r>
              <w:lastRenderedPageBreak/>
              <w:t>G1</w:t>
            </w:r>
            <w:r>
              <w:tab/>
              <w:t>We propose to amend the ASIC Rules to:</w:t>
            </w:r>
          </w:p>
          <w:p w14:paraId="5174FE74" w14:textId="77777777" w:rsidR="00F96B9E" w:rsidRDefault="00F96B9E" w:rsidP="00F96B9E">
            <w:pPr>
              <w:pStyle w:val="tblProposaltext"/>
            </w:pPr>
            <w:r>
              <w:t>(a)</w:t>
            </w:r>
            <w:r>
              <w:tab/>
              <w:t>exclude from meaning of a reportable transaction a transaction for spot settlement, with specific rules text to be proposed in the second round of consultation;</w:t>
            </w:r>
          </w:p>
          <w:p w14:paraId="25CFC486" w14:textId="4EA8D6B3" w:rsidR="00F96B9E" w:rsidRDefault="00F96B9E" w:rsidP="00F96B9E">
            <w:pPr>
              <w:pStyle w:val="tblProposaltext"/>
            </w:pPr>
            <w:r>
              <w:t>(b)</w:t>
            </w:r>
            <w:r>
              <w:tab/>
              <w:t xml:space="preserve">exclude from the meaning of an OTC derivative those derivatives that fall within a generic definition of an exchange-traded derivative, with specific rules text to be proposed in the second round of consultation. </w:t>
            </w:r>
          </w:p>
        </w:tc>
        <w:tc>
          <w:tcPr>
            <w:tcW w:w="4536" w:type="dxa"/>
            <w:shd w:val="clear" w:color="auto" w:fill="auto"/>
          </w:tcPr>
          <w:p w14:paraId="0EF23942" w14:textId="77777777" w:rsidR="00F96B9E" w:rsidRDefault="00F96B9E" w:rsidP="00F96B9E">
            <w:pPr>
              <w:pStyle w:val="tblFeedbackquestion"/>
            </w:pPr>
            <w:r>
              <w:t>G1Q1</w:t>
            </w:r>
            <w:r>
              <w:tab/>
              <w:t>Do you agree with this proposal? In your response, please give detailed reasons for your answer.</w:t>
            </w:r>
          </w:p>
          <w:p w14:paraId="3F90323A" w14:textId="77777777" w:rsidR="00F96B9E" w:rsidRDefault="00F96B9E" w:rsidP="00F96B9E">
            <w:pPr>
              <w:pStyle w:val="tblFeedbackquestion"/>
            </w:pPr>
            <w:r>
              <w:t>G1Q2</w:t>
            </w:r>
            <w:r>
              <w:tab/>
              <w:t>Do you consider that the Singapore and Hong Kong definitions for a spot contract are an appropriate basis for an equivalent definition in the ASIC Rules? Are there other definitions that you consider we should also take into account? In your response, please give detailed reasons for your answer.</w:t>
            </w:r>
          </w:p>
          <w:p w14:paraId="1BA5A29E" w14:textId="77777777" w:rsidR="00F96B9E" w:rsidRDefault="00F96B9E" w:rsidP="00F96B9E">
            <w:pPr>
              <w:pStyle w:val="tblFeedbackquestion"/>
            </w:pPr>
            <w:r>
              <w:t>G1Q3</w:t>
            </w:r>
            <w:r>
              <w:tab/>
              <w:t>Do you consider that the existing generic definition in the exemption is an appropriate basis for an equivalent definition in the ASIC Rules? Are there other definitions that you consider we should also take into account? In your response, please give detailed reasons for your answer.</w:t>
            </w:r>
          </w:p>
          <w:p w14:paraId="2EB30BBE" w14:textId="7C20E673" w:rsidR="00F96B9E" w:rsidRDefault="00F96B9E" w:rsidP="00F96B9E">
            <w:pPr>
              <w:pStyle w:val="tblFeedbackquestion"/>
            </w:pPr>
            <w:r>
              <w:t>G1Q4</w:t>
            </w:r>
            <w:r>
              <w:tab/>
              <w:t xml:space="preserve">Do you consider that the design of this exclusion should include ‘avoidance of doubt’ references to certain classes of financial markets, a requirement to notify ASIC of financial markets that a reporting entity considers trades exchange-trade derivatives and/or a form of ‘disallowance’ determination that empowers ASIC to determine that certain derivatives are not exchange-traded derivatives? In your response, please give detailed reasons for your answer. </w:t>
            </w:r>
          </w:p>
        </w:tc>
      </w:tr>
      <w:tr w:rsidR="00F96B9E" w14:paraId="036B3242" w14:textId="77777777" w:rsidTr="00314C7E">
        <w:trPr>
          <w:cantSplit/>
        </w:trPr>
        <w:tc>
          <w:tcPr>
            <w:tcW w:w="4536" w:type="dxa"/>
            <w:shd w:val="clear" w:color="auto" w:fill="auto"/>
          </w:tcPr>
          <w:p w14:paraId="29461D0A" w14:textId="77777777" w:rsidR="00F96B9E" w:rsidRDefault="00F96B9E" w:rsidP="00F96B9E">
            <w:pPr>
              <w:pStyle w:val="tblProposaltext"/>
            </w:pPr>
            <w:r>
              <w:t>G2</w:t>
            </w:r>
            <w:r>
              <w:tab/>
              <w:t>We propose to amend the ASIC Rules to:</w:t>
            </w:r>
          </w:p>
          <w:p w14:paraId="38A80202" w14:textId="77777777" w:rsidR="00F96B9E" w:rsidRDefault="00F96B9E" w:rsidP="00F96B9E">
            <w:pPr>
              <w:pStyle w:val="tblProposalsubpara"/>
            </w:pPr>
            <w:r>
              <w:t>(a)</w:t>
            </w:r>
            <w:r>
              <w:tab/>
              <w:t>ensure that transactions with Australian retail clients are reportable transactions with specific rules text to be proposed in the second round of consultation; and</w:t>
            </w:r>
          </w:p>
          <w:p w14:paraId="161C75E0" w14:textId="6FB13A7B" w:rsidR="00F96B9E" w:rsidRDefault="00F96B9E" w:rsidP="00F96B9E">
            <w:pPr>
              <w:pStyle w:val="tblProposalsubpara"/>
            </w:pPr>
            <w:r>
              <w:t>(b)</w:t>
            </w:r>
            <w:r>
              <w:tab/>
              <w:t xml:space="preserve">to clarify the scope of reporting for foreign subsidiaries of Australian entities with specific rules text to be proposed in the second round of consultation. </w:t>
            </w:r>
          </w:p>
        </w:tc>
        <w:tc>
          <w:tcPr>
            <w:tcW w:w="4536" w:type="dxa"/>
            <w:shd w:val="clear" w:color="auto" w:fill="auto"/>
          </w:tcPr>
          <w:p w14:paraId="5CE2C9F9" w14:textId="6FE244DC" w:rsidR="00F96B9E" w:rsidRDefault="00F96B9E" w:rsidP="00F96B9E">
            <w:pPr>
              <w:pStyle w:val="tblFeedbackquestion"/>
            </w:pPr>
            <w:r>
              <w:t>G2Q1</w:t>
            </w:r>
            <w:r>
              <w:tab/>
              <w:t xml:space="preserve">Do you agree with this proposal? In your response, please give detailed reasons for your answer. </w:t>
            </w:r>
          </w:p>
        </w:tc>
      </w:tr>
      <w:tr w:rsidR="00F96B9E" w14:paraId="247A7B59" w14:textId="77777777" w:rsidTr="00314C7E">
        <w:trPr>
          <w:cantSplit/>
        </w:trPr>
        <w:tc>
          <w:tcPr>
            <w:tcW w:w="4536" w:type="dxa"/>
            <w:shd w:val="clear" w:color="auto" w:fill="auto"/>
          </w:tcPr>
          <w:p w14:paraId="642C30E8" w14:textId="22F125B0" w:rsidR="00F96B9E" w:rsidRDefault="00F96B9E" w:rsidP="00F96B9E">
            <w:pPr>
              <w:pStyle w:val="tblProposaltext"/>
            </w:pPr>
            <w:r>
              <w:t>H1</w:t>
            </w:r>
            <w:r>
              <w:tab/>
              <w:t xml:space="preserve">In this first consultation we seek to gather information about the scope and practices of reporting entities undertaking alternative reporting in order to better inform any future proposals we may make in relation to alternative reporting in the second round of consultation. </w:t>
            </w:r>
          </w:p>
        </w:tc>
        <w:tc>
          <w:tcPr>
            <w:tcW w:w="4536" w:type="dxa"/>
            <w:shd w:val="clear" w:color="auto" w:fill="auto"/>
          </w:tcPr>
          <w:p w14:paraId="25C1C491" w14:textId="77777777" w:rsidR="00F96B9E" w:rsidRDefault="00F96B9E" w:rsidP="00F96B9E">
            <w:pPr>
              <w:pStyle w:val="tblFeedbackquestion"/>
            </w:pPr>
            <w:r>
              <w:t>H1Q1</w:t>
            </w:r>
            <w:r>
              <w:tab/>
              <w:t>We request that reporting entities that are current users of alternative reporting identify themselves to us and engage in discussion with us about their alternative reporting practices. In particular:</w:t>
            </w:r>
          </w:p>
          <w:p w14:paraId="0690AC5D" w14:textId="77777777" w:rsidR="00F96B9E" w:rsidRDefault="00F96B9E" w:rsidP="00F96B9E">
            <w:pPr>
              <w:pStyle w:val="tblFeedbacksubquestion"/>
            </w:pPr>
            <w:r>
              <w:t>(a)</w:t>
            </w:r>
            <w:r>
              <w:tab/>
              <w:t>to which ASIC prescribed repository do you report?</w:t>
            </w:r>
          </w:p>
          <w:p w14:paraId="0E5D1850" w14:textId="2A401A77" w:rsidR="00F96B9E" w:rsidRDefault="00F96B9E" w:rsidP="00F96B9E">
            <w:pPr>
              <w:pStyle w:val="tblFeedbacksubquestion"/>
            </w:pPr>
            <w:r>
              <w:t>(b)</w:t>
            </w:r>
            <w:r>
              <w:tab/>
              <w:t xml:space="preserve">how do you ‘designate’ the reporting as information that has been reported under the ASIC Rules? </w:t>
            </w:r>
          </w:p>
        </w:tc>
      </w:tr>
      <w:tr w:rsidR="00F96B9E" w14:paraId="527C9597" w14:textId="77777777" w:rsidTr="00314C7E">
        <w:trPr>
          <w:cantSplit/>
        </w:trPr>
        <w:tc>
          <w:tcPr>
            <w:tcW w:w="4536" w:type="dxa"/>
            <w:shd w:val="clear" w:color="auto" w:fill="auto"/>
          </w:tcPr>
          <w:p w14:paraId="2E5FFA35" w14:textId="02C88E20" w:rsidR="00F96B9E" w:rsidRDefault="00F96B9E" w:rsidP="00F96B9E">
            <w:pPr>
              <w:pStyle w:val="tblProposaltext"/>
            </w:pPr>
            <w:r>
              <w:lastRenderedPageBreak/>
              <w:t>H2</w:t>
            </w:r>
            <w:r>
              <w:tab/>
              <w:t xml:space="preserve">In principle, we consider the most effective approach to addressing our concerns in relation to delegated reporting is to amend the ASIC Rules to remove the ‘safe harbour’ provisions and revert to reporting entities having responsibilities for reporting as otherwise set out in the ASIC Rules. </w:t>
            </w:r>
          </w:p>
        </w:tc>
        <w:tc>
          <w:tcPr>
            <w:tcW w:w="4536" w:type="dxa"/>
            <w:shd w:val="clear" w:color="auto" w:fill="auto"/>
          </w:tcPr>
          <w:p w14:paraId="45F48DF4" w14:textId="77777777" w:rsidR="00F96B9E" w:rsidRDefault="00F96B9E" w:rsidP="00F96B9E">
            <w:pPr>
              <w:pStyle w:val="tblFeedbackquestion"/>
            </w:pPr>
            <w:r>
              <w:t>H2Q1</w:t>
            </w:r>
            <w:r>
              <w:tab/>
              <w:t>In this first consultation we seek to gather information about the practices of reporting entities in overseeing their delegates in order to better inform any future proposals we may make in relation to delegated reporting in the second round of consultation. In particular:</w:t>
            </w:r>
          </w:p>
          <w:p w14:paraId="330E9BD2" w14:textId="01665930" w:rsidR="00F96B9E" w:rsidRDefault="00F96B9E" w:rsidP="00F96B9E">
            <w:pPr>
              <w:pStyle w:val="tblFeedbacksubquestion"/>
            </w:pPr>
            <w:r>
              <w:t>(a)</w:t>
            </w:r>
            <w:r>
              <w:tab/>
              <w:t xml:space="preserve">What are the specific processes and practices that you rely on to determine if the delegate is complying with the terms of the delegation agreement and to ensure that complete, accurate and current reporting is being carried out on your behalf? </w:t>
            </w:r>
          </w:p>
        </w:tc>
      </w:tr>
      <w:tr w:rsidR="00F96B9E" w14:paraId="0752027C" w14:textId="77777777" w:rsidTr="00314C7E">
        <w:trPr>
          <w:cantSplit/>
        </w:trPr>
        <w:tc>
          <w:tcPr>
            <w:tcW w:w="4536" w:type="dxa"/>
            <w:shd w:val="clear" w:color="auto" w:fill="auto"/>
          </w:tcPr>
          <w:p w14:paraId="3220372D" w14:textId="054781A6" w:rsidR="00F96B9E" w:rsidRDefault="00F96B9E" w:rsidP="00F96B9E">
            <w:pPr>
              <w:pStyle w:val="tblProposaltext"/>
            </w:pPr>
            <w:r>
              <w:t>I1</w:t>
            </w:r>
            <w:r>
              <w:tab/>
              <w:t xml:space="preserve">We propose to clarify in the ASIC Rules that the deadline for reporting for the purposes of the UTI rules within the ASIC Rules is a singular time referring to Sydney time. </w:t>
            </w:r>
          </w:p>
        </w:tc>
        <w:tc>
          <w:tcPr>
            <w:tcW w:w="4536" w:type="dxa"/>
            <w:shd w:val="clear" w:color="auto" w:fill="auto"/>
          </w:tcPr>
          <w:p w14:paraId="67001AEF" w14:textId="77777777" w:rsidR="00F96B9E" w:rsidRDefault="00F96B9E" w:rsidP="00F96B9E">
            <w:pPr>
              <w:pStyle w:val="tblFeedbackquestion"/>
            </w:pPr>
            <w:r>
              <w:t>I1Q1</w:t>
            </w:r>
            <w:r>
              <w:tab/>
              <w:t>Do you agree with our proposal to clarify the deadline for reporting for the purposes of the UTI rules within the ASIC Rules? In your response, please give detailed reasons for your answer.</w:t>
            </w:r>
          </w:p>
          <w:p w14:paraId="11E2A30E" w14:textId="77777777" w:rsidR="00F96B9E" w:rsidRDefault="00F96B9E" w:rsidP="00F96B9E">
            <w:pPr>
              <w:pStyle w:val="tblFeedbackquestion"/>
            </w:pPr>
            <w:r>
              <w:t>I1Q2</w:t>
            </w:r>
            <w:r>
              <w:tab/>
              <w:t>Do you consider there should be a single deadline for reporting that is applicable to both the UTI rules and the actual reporting obligation? In your response, please give detailed reasons for your answers.</w:t>
            </w:r>
          </w:p>
          <w:p w14:paraId="18F1979C" w14:textId="5F7ED3F2" w:rsidR="00F96B9E" w:rsidRDefault="00F96B9E" w:rsidP="00F96B9E">
            <w:pPr>
              <w:pStyle w:val="tblFeedbackquestion"/>
            </w:pPr>
            <w:r>
              <w:t>I1Q3</w:t>
            </w:r>
            <w:r>
              <w:tab/>
              <w:t xml:space="preserve">Do you consider that such a singular time should be expressed as a precise time such as 11.59 pm or as the end of the day? In your response, please give detailed reasons for your answers. </w:t>
            </w:r>
          </w:p>
        </w:tc>
      </w:tr>
      <w:tr w:rsidR="00F96B9E" w14:paraId="0633C776" w14:textId="77777777" w:rsidTr="00314C7E">
        <w:trPr>
          <w:cantSplit/>
        </w:trPr>
        <w:tc>
          <w:tcPr>
            <w:tcW w:w="4536" w:type="dxa"/>
            <w:shd w:val="clear" w:color="auto" w:fill="auto"/>
          </w:tcPr>
          <w:p w14:paraId="336BF367" w14:textId="61F2A532" w:rsidR="00F96B9E" w:rsidRDefault="00F96B9E" w:rsidP="00F96B9E">
            <w:pPr>
              <w:pStyle w:val="tblProposaltext"/>
            </w:pPr>
            <w:r>
              <w:t>I2</w:t>
            </w:r>
            <w:r>
              <w:tab/>
              <w:t xml:space="preserve">We are considering a proposal in the second round of consultation to amend the ASIC Rules to require lifecycle reporting for all reportable transactions. </w:t>
            </w:r>
          </w:p>
        </w:tc>
        <w:tc>
          <w:tcPr>
            <w:tcW w:w="4536" w:type="dxa"/>
            <w:shd w:val="clear" w:color="auto" w:fill="auto"/>
          </w:tcPr>
          <w:p w14:paraId="411B3C87" w14:textId="77777777" w:rsidR="00F96B9E" w:rsidRDefault="00F96B9E" w:rsidP="00F96B9E">
            <w:pPr>
              <w:pStyle w:val="tblFeedbackquestion"/>
            </w:pPr>
            <w:proofErr w:type="gramStart"/>
            <w:r>
              <w:t>I2Q1</w:t>
            </w:r>
            <w:proofErr w:type="gramEnd"/>
            <w:r>
              <w:tab/>
              <w:t>Do you agree that we should propose such requirements? In your response, please give detailed reasons for your answer.</w:t>
            </w:r>
          </w:p>
          <w:p w14:paraId="4F658F35" w14:textId="56911D2C" w:rsidR="00F96B9E" w:rsidRDefault="00F96B9E" w:rsidP="00F96B9E">
            <w:pPr>
              <w:pStyle w:val="tblFeedbackquestion"/>
            </w:pPr>
            <w:r>
              <w:t>I2Q2</w:t>
            </w:r>
            <w:r>
              <w:tab/>
              <w:t xml:space="preserve">Do you consider that you will have particular interpretation or implementation issues with ‘lifecycle reporting’ for all reportable transactions? In your response, please give detailed reasons for your answer. </w:t>
            </w:r>
          </w:p>
        </w:tc>
      </w:tr>
      <w:tr w:rsidR="00F96B9E" w14:paraId="1019F506" w14:textId="77777777" w:rsidTr="00314C7E">
        <w:trPr>
          <w:cantSplit/>
        </w:trPr>
        <w:tc>
          <w:tcPr>
            <w:tcW w:w="4536" w:type="dxa"/>
            <w:shd w:val="clear" w:color="auto" w:fill="auto"/>
          </w:tcPr>
          <w:p w14:paraId="2F9F8073" w14:textId="088DA09D" w:rsidR="00F96B9E" w:rsidRDefault="00F96B9E" w:rsidP="00F96B9E">
            <w:pPr>
              <w:pStyle w:val="tblProposaltext"/>
            </w:pPr>
            <w:r>
              <w:t>I3</w:t>
            </w:r>
            <w:r>
              <w:tab/>
              <w:t>We propose to repeal or amend the relevant outdated provisions of the ASIC Rules</w:t>
            </w:r>
          </w:p>
        </w:tc>
        <w:tc>
          <w:tcPr>
            <w:tcW w:w="4536" w:type="dxa"/>
            <w:shd w:val="clear" w:color="auto" w:fill="auto"/>
          </w:tcPr>
          <w:p w14:paraId="150F897B" w14:textId="59C90672" w:rsidR="00F96B9E" w:rsidRDefault="00F96B9E" w:rsidP="00F96B9E">
            <w:pPr>
              <w:pStyle w:val="tblFeedbackquestion"/>
            </w:pPr>
            <w:r>
              <w:t>I3Q1</w:t>
            </w:r>
            <w:r>
              <w:tab/>
              <w:t xml:space="preserve">Do you agree with this proposal? In your response, please give detailed reasons for your answer. </w:t>
            </w:r>
          </w:p>
        </w:tc>
      </w:tr>
    </w:tbl>
    <w:p w14:paraId="4130DE97" w14:textId="77777777" w:rsidR="004D2B37" w:rsidRDefault="004D2B37">
      <w:pPr>
        <w:pStyle w:val="Bodytextplain"/>
      </w:pPr>
    </w:p>
    <w:sectPr w:rsidR="004D2B37" w:rsidSect="004D2B37">
      <w:headerReference w:type="even" r:id="rId44"/>
      <w:headerReference w:type="default" r:id="rId45"/>
      <w:footerReference w:type="even" r:id="rId46"/>
      <w:footerReference w:type="default" r:id="rId47"/>
      <w:headerReference w:type="first" r:id="rId48"/>
      <w:pgSz w:w="11906" w:h="16838" w:code="9"/>
      <w:pgMar w:top="1644" w:right="1418" w:bottom="1418"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46E0" w14:textId="77777777" w:rsidR="007055A5" w:rsidRDefault="007055A5">
      <w:r>
        <w:separator/>
      </w:r>
    </w:p>
  </w:endnote>
  <w:endnote w:type="continuationSeparator" w:id="0">
    <w:p w14:paraId="130497ED" w14:textId="77777777" w:rsidR="007055A5" w:rsidRDefault="007055A5">
      <w:r>
        <w:continuationSeparator/>
      </w:r>
    </w:p>
  </w:endnote>
  <w:endnote w:type="continuationNotice" w:id="1">
    <w:p w14:paraId="1EDDC377" w14:textId="77777777" w:rsidR="007055A5" w:rsidRDefault="007055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HelveticaNeue LT 55 Roman">
    <w:altName w:val="Arial"/>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6D3D" w14:textId="77777777" w:rsidR="00600E02" w:rsidRDefault="00600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0DA82D8" w14:textId="77777777" w:rsidR="00600E02" w:rsidRDefault="00600E02">
    <w:pPr>
      <w:pStyle w:val="Footer"/>
      <w:ind w:right="360"/>
    </w:pPr>
  </w:p>
  <w:p w14:paraId="79DA6F75" w14:textId="77777777" w:rsidR="00600E02" w:rsidRDefault="00600E02"/>
  <w:p w14:paraId="4BF2D749" w14:textId="77777777" w:rsidR="00600E02" w:rsidRDefault="00600E02"/>
  <w:p w14:paraId="3E39E80E" w14:textId="77777777" w:rsidR="00600E02" w:rsidRDefault="00600E02"/>
  <w:p w14:paraId="4E884770" w14:textId="77777777" w:rsidR="00600E02" w:rsidRDefault="00600E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DDB3" w14:textId="3BBA098C" w:rsidR="00600E02" w:rsidRDefault="00600E02">
    <w:pPr>
      <w:pStyle w:val="Footer"/>
      <w:pBdr>
        <w:top w:val="single" w:sz="4" w:space="1" w:color="117DC7"/>
      </w:pBdr>
      <w:rPr>
        <w:b/>
        <w:color w:val="117DC7"/>
      </w:rPr>
    </w:pPr>
    <w:r>
      <w:rPr>
        <w:color w:val="117DC7"/>
      </w:rPr>
      <w:t xml:space="preserve">© Australian Securities and Investments Commission </w:t>
    </w:r>
    <w:r>
      <w:rPr>
        <w:color w:val="117DC7"/>
      </w:rPr>
      <w:fldChar w:fldCharType="begin"/>
    </w:r>
    <w:r>
      <w:rPr>
        <w:color w:val="117DC7"/>
      </w:rPr>
      <w:instrText xml:space="preserve"> DOCPROPERTY  "Issue date"  \* MERGEFORMAT </w:instrText>
    </w:r>
    <w:r>
      <w:rPr>
        <w:color w:val="117DC7"/>
      </w:rPr>
      <w:fldChar w:fldCharType="separate"/>
    </w:r>
    <w:r>
      <w:rPr>
        <w:color w:val="117DC7"/>
      </w:rPr>
      <w:t>November 2020</w:t>
    </w:r>
    <w:r>
      <w:rPr>
        <w:color w:val="117DC7"/>
      </w:rPr>
      <w:fldChar w:fldCharType="end"/>
    </w:r>
    <w:r>
      <w:rPr>
        <w:color w:val="117DC7"/>
      </w:rPr>
      <w:tab/>
      <w:t xml:space="preserve">Page </w:t>
    </w:r>
    <w:r>
      <w:rPr>
        <w:rStyle w:val="PageNumber"/>
        <w:color w:val="117DC7"/>
      </w:rPr>
      <w:fldChar w:fldCharType="begin"/>
    </w:r>
    <w:r>
      <w:rPr>
        <w:rStyle w:val="PageNumber"/>
        <w:color w:val="117DC7"/>
      </w:rPr>
      <w:instrText xml:space="preserve"> PAGE </w:instrText>
    </w:r>
    <w:r>
      <w:rPr>
        <w:rStyle w:val="PageNumber"/>
        <w:color w:val="117DC7"/>
      </w:rPr>
      <w:fldChar w:fldCharType="separate"/>
    </w:r>
    <w:r>
      <w:rPr>
        <w:rStyle w:val="PageNumber"/>
        <w:noProof/>
        <w:color w:val="117DC7"/>
      </w:rPr>
      <w:t>13</w:t>
    </w:r>
    <w:r>
      <w:rPr>
        <w:rStyle w:val="PageNumber"/>
        <w:color w:val="117DC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EFB4" w14:textId="77777777" w:rsidR="00600E02" w:rsidRDefault="00600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8339717" w14:textId="77777777" w:rsidR="00600E02" w:rsidRDefault="00600E02">
    <w:pPr>
      <w:pStyle w:val="Footer"/>
      <w:ind w:right="360"/>
    </w:pPr>
  </w:p>
  <w:p w14:paraId="6E38513A" w14:textId="77777777" w:rsidR="00600E02" w:rsidRDefault="00600E02"/>
  <w:p w14:paraId="0191124A" w14:textId="77777777" w:rsidR="00600E02" w:rsidRDefault="00600E02"/>
  <w:p w14:paraId="357749DF" w14:textId="77777777" w:rsidR="00600E02" w:rsidRDefault="00600E02"/>
  <w:p w14:paraId="3C59B133" w14:textId="77777777" w:rsidR="00600E02" w:rsidRDefault="00600E0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13A" w14:textId="692A8EF7" w:rsidR="00600E02" w:rsidRPr="007E5BC8" w:rsidRDefault="00600E02" w:rsidP="007E5BC8">
    <w:pPr>
      <w:pStyle w:val="Footer"/>
      <w:pBdr>
        <w:top w:val="single" w:sz="4" w:space="1" w:color="117DC7"/>
      </w:pBdr>
      <w:rPr>
        <w:b/>
        <w:color w:val="117DC7"/>
      </w:rPr>
    </w:pPr>
    <w:r>
      <w:rPr>
        <w:color w:val="117DC7"/>
      </w:rPr>
      <w:t xml:space="preserve">© Australian Securities and Investments Commission </w:t>
    </w:r>
    <w:r w:rsidR="007055A5">
      <w:fldChar w:fldCharType="begin"/>
    </w:r>
    <w:r w:rsidR="007055A5">
      <w:instrText xml:space="preserve"> DOCPROPERTY  "Issue date"  \* MERGEFORMAT </w:instrText>
    </w:r>
    <w:r w:rsidR="007055A5">
      <w:fldChar w:fldCharType="separate"/>
    </w:r>
    <w:r w:rsidRPr="00314C7E">
      <w:rPr>
        <w:color w:val="117DC7"/>
      </w:rPr>
      <w:t>November 2020</w:t>
    </w:r>
    <w:r w:rsidR="007055A5">
      <w:rPr>
        <w:color w:val="117DC7"/>
      </w:rPr>
      <w:fldChar w:fldCharType="end"/>
    </w:r>
    <w:r>
      <w:rPr>
        <w:color w:val="117DC7"/>
      </w:rPr>
      <w:tab/>
    </w:r>
    <w:r w:rsidRPr="001C0367">
      <w:rPr>
        <w:color w:val="117DC7"/>
      </w:rPr>
      <w:t xml:space="preserve">Page </w:t>
    </w:r>
    <w:r w:rsidRPr="001C0367">
      <w:rPr>
        <w:b/>
        <w:color w:val="117DC7"/>
      </w:rPr>
      <w:fldChar w:fldCharType="begin"/>
    </w:r>
    <w:r w:rsidRPr="001C0367">
      <w:rPr>
        <w:b/>
        <w:color w:val="117DC7"/>
      </w:rPr>
      <w:instrText xml:space="preserve"> PAGE </w:instrText>
    </w:r>
    <w:r w:rsidRPr="001C0367">
      <w:rPr>
        <w:b/>
        <w:color w:val="117DC7"/>
      </w:rPr>
      <w:fldChar w:fldCharType="separate"/>
    </w:r>
    <w:r>
      <w:rPr>
        <w:b/>
        <w:color w:val="117DC7"/>
      </w:rPr>
      <w:t>2</w:t>
    </w:r>
    <w:r w:rsidRPr="001C0367">
      <w:rPr>
        <w:color w:val="117DC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C26E" w14:textId="77777777" w:rsidR="007055A5" w:rsidRDefault="007055A5">
      <w:r>
        <w:separator/>
      </w:r>
    </w:p>
  </w:footnote>
  <w:footnote w:type="continuationSeparator" w:id="0">
    <w:p w14:paraId="37C1F952" w14:textId="77777777" w:rsidR="007055A5" w:rsidRDefault="007055A5">
      <w:r>
        <w:continuationSeparator/>
      </w:r>
    </w:p>
  </w:footnote>
  <w:footnote w:type="continuationNotice" w:id="1">
    <w:p w14:paraId="72F03AC4" w14:textId="77777777" w:rsidR="007055A5" w:rsidRDefault="007055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4989" w14:textId="77777777" w:rsidR="00600E02" w:rsidRDefault="00600E02"/>
  <w:p w14:paraId="1D59F718" w14:textId="77777777" w:rsidR="00600E02" w:rsidRDefault="00600E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C94E" w14:textId="42416685" w:rsidR="00600E02" w:rsidRDefault="00600E02">
    <w:pPr>
      <w:pStyle w:val="Footer"/>
      <w:pBdr>
        <w:bottom w:val="single" w:sz="4" w:space="1" w:color="117DC7"/>
      </w:pBdr>
      <w:jc w:val="right"/>
      <w:rPr>
        <w:color w:val="117DC7"/>
      </w:rPr>
    </w:pPr>
    <w:r>
      <w:tab/>
    </w:r>
    <w:r>
      <w:rPr>
        <w:caps/>
        <w:color w:val="117DC7"/>
      </w:rPr>
      <w:fldChar w:fldCharType="begin"/>
    </w:r>
    <w:r>
      <w:rPr>
        <w:caps/>
        <w:color w:val="117DC7"/>
      </w:rPr>
      <w:instrText xml:space="preserve"> DOCPROPERTY  "Document type"  \* MERGEFORMAT </w:instrText>
    </w:r>
    <w:r>
      <w:rPr>
        <w:caps/>
        <w:color w:val="117DC7"/>
      </w:rPr>
      <w:fldChar w:fldCharType="separate"/>
    </w:r>
    <w:r>
      <w:rPr>
        <w:caps/>
        <w:color w:val="117DC7"/>
      </w:rPr>
      <w:t>CONSULTATION PAPER</w:t>
    </w:r>
    <w:r>
      <w:rPr>
        <w:caps/>
        <w:color w:val="117DC7"/>
      </w:rPr>
      <w:fldChar w:fldCharType="end"/>
    </w:r>
    <w:r>
      <w:rPr>
        <w:color w:val="117DC7"/>
      </w:rPr>
      <w:t xml:space="preserve"> </w:t>
    </w:r>
    <w:r>
      <w:rPr>
        <w:color w:val="117DC7"/>
      </w:rPr>
      <w:fldChar w:fldCharType="begin"/>
    </w:r>
    <w:r>
      <w:rPr>
        <w:color w:val="117DC7"/>
      </w:rPr>
      <w:instrText xml:space="preserve"> DOCPROPERTY  "Document num"  \* MERGEFORMAT </w:instrText>
    </w:r>
    <w:r>
      <w:rPr>
        <w:color w:val="117DC7"/>
      </w:rPr>
      <w:fldChar w:fldCharType="separate"/>
    </w:r>
    <w:r>
      <w:rPr>
        <w:color w:val="117DC7"/>
      </w:rPr>
      <w:t>334</w:t>
    </w:r>
    <w:r>
      <w:rPr>
        <w:color w:val="117DC7"/>
      </w:rPr>
      <w:fldChar w:fldCharType="end"/>
    </w:r>
    <w:r>
      <w:rPr>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Pr>
        <w:color w:val="117DC7"/>
      </w:rPr>
      <w:t>Proposed changes to simplify the ASIC Derivative Transaction Rules (Reporting): First consultation</w:t>
    </w:r>
    <w:r>
      <w:rPr>
        <w:color w:val="117DC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43CE" w14:textId="5AB02488" w:rsidR="00600E02" w:rsidRDefault="00600E02" w:rsidP="00355775">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1D9A" w14:textId="77777777" w:rsidR="00600E02" w:rsidRDefault="00600E02"/>
  <w:p w14:paraId="503D85FE" w14:textId="77777777" w:rsidR="00600E02" w:rsidRDefault="00600E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2D7F" w14:textId="7913B1AD" w:rsidR="00600E02" w:rsidRPr="00362FC1" w:rsidRDefault="00600E02" w:rsidP="00BD3B53">
    <w:pPr>
      <w:pStyle w:val="Footer"/>
      <w:pBdr>
        <w:bottom w:val="single" w:sz="4" w:space="1" w:color="0072CE"/>
      </w:pBdr>
      <w:jc w:val="right"/>
      <w:rPr>
        <w:color w:val="0072CE"/>
        <w:spacing w:val="-4"/>
      </w:rPr>
    </w:pPr>
    <w:r w:rsidRPr="00BD3B53">
      <w:rPr>
        <w:color w:val="0072CE"/>
      </w:rPr>
      <w:tab/>
    </w:r>
    <w:r w:rsidRPr="00362FC1">
      <w:rPr>
        <w:color w:val="0072CE"/>
        <w:spacing w:val="-4"/>
      </w:rPr>
      <w:fldChar w:fldCharType="begin"/>
    </w:r>
    <w:r w:rsidRPr="00362FC1">
      <w:rPr>
        <w:color w:val="0072CE"/>
        <w:spacing w:val="-4"/>
      </w:rPr>
      <w:instrText xml:space="preserve"> DOCPROPERTY  "Document type"  \* MERGEFORMAT </w:instrText>
    </w:r>
    <w:r w:rsidRPr="00362FC1">
      <w:rPr>
        <w:color w:val="0072CE"/>
        <w:spacing w:val="-4"/>
      </w:rPr>
      <w:fldChar w:fldCharType="separate"/>
    </w:r>
    <w:r w:rsidRPr="00314C7E">
      <w:rPr>
        <w:caps/>
        <w:color w:val="0072CE"/>
        <w:spacing w:val="-4"/>
      </w:rPr>
      <w:t>CONSULTATION PAPER</w:t>
    </w:r>
    <w:r w:rsidRPr="00362FC1">
      <w:rPr>
        <w:caps/>
        <w:color w:val="0072CE"/>
        <w:spacing w:val="-4"/>
      </w:rPr>
      <w:fldChar w:fldCharType="end"/>
    </w:r>
    <w:r w:rsidRPr="00362FC1">
      <w:rPr>
        <w:color w:val="0072CE"/>
        <w:spacing w:val="-4"/>
      </w:rPr>
      <w:t xml:space="preserve"> </w:t>
    </w:r>
    <w:r w:rsidRPr="00362FC1">
      <w:rPr>
        <w:color w:val="0072CE"/>
        <w:spacing w:val="-4"/>
      </w:rPr>
      <w:fldChar w:fldCharType="begin"/>
    </w:r>
    <w:r w:rsidRPr="00362FC1">
      <w:rPr>
        <w:color w:val="0072CE"/>
        <w:spacing w:val="-4"/>
      </w:rPr>
      <w:instrText xml:space="preserve"> DOCPROPERTY  "Document num"  \* MERGEFORMAT </w:instrText>
    </w:r>
    <w:r w:rsidRPr="00362FC1">
      <w:rPr>
        <w:color w:val="0072CE"/>
        <w:spacing w:val="-4"/>
      </w:rPr>
      <w:fldChar w:fldCharType="separate"/>
    </w:r>
    <w:r>
      <w:rPr>
        <w:color w:val="0072CE"/>
        <w:spacing w:val="-4"/>
      </w:rPr>
      <w:t>334</w:t>
    </w:r>
    <w:r w:rsidRPr="00362FC1">
      <w:rPr>
        <w:color w:val="0072CE"/>
        <w:spacing w:val="-4"/>
      </w:rPr>
      <w:fldChar w:fldCharType="end"/>
    </w:r>
    <w:r w:rsidRPr="00362FC1">
      <w:rPr>
        <w:color w:val="0072CE"/>
        <w:spacing w:val="-4"/>
      </w:rPr>
      <w:t xml:space="preserve">: </w:t>
    </w:r>
    <w:r w:rsidRPr="00362FC1">
      <w:rPr>
        <w:color w:val="0072CE"/>
        <w:spacing w:val="-4"/>
      </w:rPr>
      <w:fldChar w:fldCharType="begin"/>
    </w:r>
    <w:r w:rsidRPr="00362FC1">
      <w:rPr>
        <w:color w:val="0072CE"/>
        <w:spacing w:val="-4"/>
      </w:rPr>
      <w:instrText xml:space="preserve"> DOCPROPERTY  "Document title"  \* charformat </w:instrText>
    </w:r>
    <w:r w:rsidRPr="00362FC1">
      <w:rPr>
        <w:color w:val="0072CE"/>
        <w:spacing w:val="-4"/>
      </w:rPr>
      <w:fldChar w:fldCharType="separate"/>
    </w:r>
    <w:r>
      <w:rPr>
        <w:color w:val="0072CE"/>
        <w:spacing w:val="-4"/>
      </w:rPr>
      <w:t>Proposed changes to simplify the ASIC Derivative Transaction Rules (Reporting): First consultation</w:t>
    </w:r>
    <w:r w:rsidRPr="00362FC1">
      <w:rPr>
        <w:color w:val="0072CE"/>
        <w:spacing w:val="-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F64D" w14:textId="77777777" w:rsidR="00600E02" w:rsidRDefault="00600E02">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874D0"/>
    <w:multiLevelType w:val="multilevel"/>
    <w:tmpl w:val="C0C8615E"/>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Letter"/>
      <w:lvlText w:val="(%3)"/>
      <w:lvlJc w:val="left"/>
      <w:pPr>
        <w:tabs>
          <w:tab w:val="num" w:pos="3120"/>
        </w:tabs>
        <w:ind w:left="3120" w:hanging="426"/>
      </w:pPr>
      <w:rPr>
        <w:rFonts w:hint="default"/>
        <w:b w:val="0"/>
        <w:bCs w:val="0"/>
        <w:i w:val="0"/>
        <w:iCs w:val="0"/>
        <w:caps w:val="0"/>
        <w:strike w:val="0"/>
        <w:dstrike w:val="0"/>
        <w:vanish w:val="0"/>
        <w:color w:val="auto"/>
        <w:spacing w:val="0"/>
        <w:kern w:val="0"/>
        <w:position w:val="0"/>
        <w:sz w:val="17"/>
        <w:szCs w:val="17"/>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 w15:restartNumberingAfterBreak="0">
    <w:nsid w:val="0DA769B0"/>
    <w:multiLevelType w:val="hybridMultilevel"/>
    <w:tmpl w:val="22429344"/>
    <w:lvl w:ilvl="0" w:tplc="E3364E6E">
      <w:start w:val="1"/>
      <w:numFmt w:val="bullet"/>
      <w:pStyle w:val="Responsebullet"/>
      <w:lvlText w:val=""/>
      <w:lvlJc w:val="left"/>
      <w:pPr>
        <w:ind w:left="3952" w:hanging="360"/>
      </w:pPr>
      <w:rPr>
        <w:rFonts w:ascii="Symbol" w:hAnsi="Symbol" w:hint="default"/>
      </w:rPr>
    </w:lvl>
    <w:lvl w:ilvl="1" w:tplc="0C090003" w:tentative="1">
      <w:start w:val="1"/>
      <w:numFmt w:val="bullet"/>
      <w:lvlText w:val="o"/>
      <w:lvlJc w:val="left"/>
      <w:pPr>
        <w:ind w:left="4672" w:hanging="360"/>
      </w:pPr>
      <w:rPr>
        <w:rFonts w:ascii="Courier New" w:hAnsi="Courier New" w:cs="Courier New" w:hint="default"/>
      </w:rPr>
    </w:lvl>
    <w:lvl w:ilvl="2" w:tplc="0C090005" w:tentative="1">
      <w:start w:val="1"/>
      <w:numFmt w:val="bullet"/>
      <w:lvlText w:val=""/>
      <w:lvlJc w:val="left"/>
      <w:pPr>
        <w:ind w:left="5392" w:hanging="360"/>
      </w:pPr>
      <w:rPr>
        <w:rFonts w:ascii="Wingdings" w:hAnsi="Wingdings" w:hint="default"/>
      </w:rPr>
    </w:lvl>
    <w:lvl w:ilvl="3" w:tplc="0C090001" w:tentative="1">
      <w:start w:val="1"/>
      <w:numFmt w:val="bullet"/>
      <w:lvlText w:val=""/>
      <w:lvlJc w:val="left"/>
      <w:pPr>
        <w:ind w:left="6112" w:hanging="360"/>
      </w:pPr>
      <w:rPr>
        <w:rFonts w:ascii="Symbol" w:hAnsi="Symbol" w:hint="default"/>
      </w:rPr>
    </w:lvl>
    <w:lvl w:ilvl="4" w:tplc="0C090003" w:tentative="1">
      <w:start w:val="1"/>
      <w:numFmt w:val="bullet"/>
      <w:lvlText w:val="o"/>
      <w:lvlJc w:val="left"/>
      <w:pPr>
        <w:ind w:left="6832" w:hanging="360"/>
      </w:pPr>
      <w:rPr>
        <w:rFonts w:ascii="Courier New" w:hAnsi="Courier New" w:cs="Courier New" w:hint="default"/>
      </w:rPr>
    </w:lvl>
    <w:lvl w:ilvl="5" w:tplc="0C090005" w:tentative="1">
      <w:start w:val="1"/>
      <w:numFmt w:val="bullet"/>
      <w:lvlText w:val=""/>
      <w:lvlJc w:val="left"/>
      <w:pPr>
        <w:ind w:left="7552" w:hanging="360"/>
      </w:pPr>
      <w:rPr>
        <w:rFonts w:ascii="Wingdings" w:hAnsi="Wingdings" w:hint="default"/>
      </w:rPr>
    </w:lvl>
    <w:lvl w:ilvl="6" w:tplc="0C090001" w:tentative="1">
      <w:start w:val="1"/>
      <w:numFmt w:val="bullet"/>
      <w:lvlText w:val=""/>
      <w:lvlJc w:val="left"/>
      <w:pPr>
        <w:ind w:left="8272" w:hanging="360"/>
      </w:pPr>
      <w:rPr>
        <w:rFonts w:ascii="Symbol" w:hAnsi="Symbol" w:hint="default"/>
      </w:rPr>
    </w:lvl>
    <w:lvl w:ilvl="7" w:tplc="0C090003" w:tentative="1">
      <w:start w:val="1"/>
      <w:numFmt w:val="bullet"/>
      <w:lvlText w:val="o"/>
      <w:lvlJc w:val="left"/>
      <w:pPr>
        <w:ind w:left="8992" w:hanging="360"/>
      </w:pPr>
      <w:rPr>
        <w:rFonts w:ascii="Courier New" w:hAnsi="Courier New" w:cs="Courier New" w:hint="default"/>
      </w:rPr>
    </w:lvl>
    <w:lvl w:ilvl="8" w:tplc="0C090005" w:tentative="1">
      <w:start w:val="1"/>
      <w:numFmt w:val="bullet"/>
      <w:lvlText w:val=""/>
      <w:lvlJc w:val="left"/>
      <w:pPr>
        <w:ind w:left="9712" w:hanging="360"/>
      </w:pPr>
      <w:rPr>
        <w:rFonts w:ascii="Wingdings" w:hAnsi="Wingdings" w:hint="default"/>
      </w:rPr>
    </w:lvl>
  </w:abstractNum>
  <w:abstractNum w:abstractNumId="4" w15:restartNumberingAfterBreak="0">
    <w:nsid w:val="0F944638"/>
    <w:multiLevelType w:val="multilevel"/>
    <w:tmpl w:val="764229A0"/>
    <w:lvl w:ilvl="0">
      <w:start w:val="575"/>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1276"/>
        </w:tabs>
        <w:ind w:left="1276"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lowerRoman"/>
      <w:pStyle w:val="MIRSubsubpara"/>
      <w:lvlText w:val="(%3)"/>
      <w:lvlJc w:val="left"/>
      <w:pPr>
        <w:tabs>
          <w:tab w:val="num" w:pos="1701"/>
        </w:tabs>
        <w:ind w:left="1701" w:hanging="425"/>
      </w:pPr>
      <w:rPr>
        <w:rFonts w:hint="default"/>
        <w:sz w:val="18"/>
      </w:rPr>
    </w:lvl>
    <w:lvl w:ilvl="3">
      <w:start w:val="2"/>
      <w:numFmt w:val="upperLetter"/>
      <w:pStyle w:val="MIRsubsubsubpara"/>
      <w:lvlText w:val="(%4)"/>
      <w:lvlJc w:val="left"/>
      <w:pPr>
        <w:tabs>
          <w:tab w:val="num" w:pos="2126"/>
        </w:tabs>
        <w:ind w:left="2126" w:hanging="425"/>
      </w:pPr>
      <w:rPr>
        <w:rFonts w:hint="default"/>
        <w:sz w:val="16"/>
        <w:szCs w:val="16"/>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0C6808"/>
    <w:multiLevelType w:val="multilevel"/>
    <w:tmpl w:val="D110E7D2"/>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43B1A7D"/>
    <w:multiLevelType w:val="multilevel"/>
    <w:tmpl w:val="D292D8DE"/>
    <w:lvl w:ilvl="0">
      <w:start w:val="1"/>
      <w:numFmt w:val="upperLetter"/>
      <w:pStyle w:val="Heading1"/>
      <w:lvlText w:val="%1"/>
      <w:lvlJc w:val="left"/>
      <w:pPr>
        <w:tabs>
          <w:tab w:val="num" w:pos="851"/>
        </w:tabs>
        <w:ind w:left="851" w:hanging="851"/>
      </w:pPr>
      <w:rPr>
        <w:rFonts w:hint="default"/>
        <w:b/>
        <w:i w:val="0"/>
        <w:color w:val="0072CE"/>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15:restartNumberingAfterBreak="0">
    <w:nsid w:val="28B27E2C"/>
    <w:multiLevelType w:val="hybridMultilevel"/>
    <w:tmpl w:val="4648BDCE"/>
    <w:lvl w:ilvl="0" w:tplc="231412F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70327E"/>
    <w:multiLevelType w:val="hybridMultilevel"/>
    <w:tmpl w:val="33769FC8"/>
    <w:lvl w:ilvl="0" w:tplc="46DE2400">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6D3558"/>
    <w:multiLevelType w:val="multilevel"/>
    <w:tmpl w:val="08E45434"/>
    <w:lvl w:ilvl="0">
      <w:start w:val="1"/>
      <w:numFmt w:val="none"/>
      <w:pStyle w:val="ParaHdg1"/>
      <w:lvlText w:val=""/>
      <w:lvlJc w:val="left"/>
      <w:pPr>
        <w:ind w:left="0" w:firstLine="0"/>
      </w:pPr>
      <w:rPr>
        <w:rFonts w:hint="default"/>
        <w:sz w:val="22"/>
        <w:szCs w:val="22"/>
      </w:rPr>
    </w:lvl>
    <w:lvl w:ilvl="1">
      <w:start w:val="1"/>
      <w:numFmt w:val="decimal"/>
      <w:lvlRestart w:val="0"/>
      <w:pStyle w:val="ParaLvl1"/>
      <w:lvlText w:val="%2."/>
      <w:lvlJc w:val="left"/>
      <w:pPr>
        <w:ind w:left="567" w:hanging="567"/>
      </w:pPr>
      <w:rPr>
        <w:rFonts w:hint="default"/>
      </w:rPr>
    </w:lvl>
    <w:lvl w:ilvl="2">
      <w:start w:val="1"/>
      <w:numFmt w:val="decimal"/>
      <w:pStyle w:val="ParaLvl2"/>
      <w:lvlText w:val="%2%1.%3"/>
      <w:lvlJc w:val="left"/>
      <w:pPr>
        <w:ind w:left="1134" w:hanging="567"/>
      </w:pPr>
      <w:rPr>
        <w:rFonts w:hint="default"/>
      </w:rPr>
    </w:lvl>
    <w:lvl w:ilvl="3">
      <w:start w:val="1"/>
      <w:numFmt w:val="decimal"/>
      <w:pStyle w:val="ParaHdg2"/>
      <w:lvlText w:val="%2.%3.%4%1"/>
      <w:lvlJc w:val="left"/>
      <w:pPr>
        <w:ind w:left="1134" w:hanging="567"/>
      </w:pPr>
      <w:rPr>
        <w:rFonts w:hint="default"/>
      </w:rPr>
    </w:lvl>
    <w:lvl w:ilvl="4">
      <w:start w:val="1"/>
      <w:numFmt w:val="decimal"/>
      <w:lvlText w:val="%1.%5"/>
      <w:lvlJc w:val="left"/>
      <w:pPr>
        <w:ind w:left="1134" w:hanging="567"/>
      </w:pPr>
      <w:rPr>
        <w:rFonts w:hint="default"/>
      </w:rPr>
    </w:lvl>
    <w:lvl w:ilvl="5">
      <w:start w:val="1"/>
      <w:numFmt w:val="decimal"/>
      <w:pStyle w:val="ParaLvl3"/>
      <w:lvlText w:val="%1.%4.%6"/>
      <w:lvlJc w:val="left"/>
      <w:pPr>
        <w:ind w:left="1814" w:hanging="680"/>
      </w:pPr>
      <w:rPr>
        <w:rFonts w:hint="default"/>
      </w:rPr>
    </w:lvl>
    <w:lvl w:ilvl="6">
      <w:start w:val="1"/>
      <w:numFmt w:val="lowerLetter"/>
      <w:pStyle w:val="ListPara3"/>
      <w:lvlText w:val="%7)"/>
      <w:lvlJc w:val="left"/>
      <w:pPr>
        <w:ind w:left="1985" w:hanging="171"/>
      </w:pPr>
      <w:rPr>
        <w:rFonts w:hint="default"/>
      </w:rPr>
    </w:lvl>
    <w:lvl w:ilvl="7">
      <w:start w:val="1"/>
      <w:numFmt w:val="lowerLetter"/>
      <w:lvlText w:val="%8."/>
      <w:lvlJc w:val="left"/>
      <w:pPr>
        <w:ind w:left="1985" w:hanging="284"/>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C041993"/>
    <w:multiLevelType w:val="multilevel"/>
    <w:tmpl w:val="4680F51A"/>
    <w:name w:val="ASIC para nos"/>
    <w:lvl w:ilvl="0">
      <w:start w:val="1"/>
      <w:numFmt w:val="decimal"/>
      <w:lvlText w:val="%1"/>
      <w:lvlJc w:val="left"/>
      <w:pPr>
        <w:tabs>
          <w:tab w:val="num" w:pos="2693"/>
        </w:tabs>
        <w:ind w:left="2693" w:hanging="425"/>
      </w:pPr>
      <w:rPr>
        <w:rFonts w:hint="default"/>
        <w:sz w:val="22"/>
      </w:rPr>
    </w:lvl>
    <w:lvl w:ilvl="1">
      <w:start w:val="1"/>
      <w:numFmt w:val="decimal"/>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2" w15:restartNumberingAfterBreak="0">
    <w:nsid w:val="462F3DF3"/>
    <w:multiLevelType w:val="multilevel"/>
    <w:tmpl w:val="90D6C4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63D5567"/>
    <w:multiLevelType w:val="hybridMultilevel"/>
    <w:tmpl w:val="2AA67D84"/>
    <w:lvl w:ilvl="0" w:tplc="A0EAE09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B3316B"/>
    <w:multiLevelType w:val="multilevel"/>
    <w:tmpl w:val="2A7AF0FE"/>
    <w:lvl w:ilvl="0">
      <w:start w:val="1"/>
      <w:numFmt w:val="decimal"/>
      <w:pStyle w:val="ListPara1"/>
      <w:lvlText w:val="%1."/>
      <w:lvlJc w:val="left"/>
      <w:pPr>
        <w:ind w:left="720" w:hanging="360"/>
      </w:pPr>
      <w:rPr>
        <w:rFonts w:hint="default"/>
        <w:sz w:val="22"/>
        <w:szCs w:val="22"/>
      </w:rPr>
    </w:lvl>
    <w:lvl w:ilvl="1">
      <w:start w:val="1"/>
      <w:numFmt w:val="decimal"/>
      <w:pStyle w:val="ListPara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7E154A"/>
    <w:multiLevelType w:val="hybridMultilevel"/>
    <w:tmpl w:val="C1FA1118"/>
    <w:lvl w:ilvl="0" w:tplc="A0EAE094">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C8B3F4F"/>
    <w:multiLevelType w:val="multilevel"/>
    <w:tmpl w:val="D8FE40B2"/>
    <w:lvl w:ilvl="0">
      <w:start w:val="1"/>
      <w:numFmt w:val="upperLetter"/>
      <w:lvlText w:val="%1"/>
      <w:lvlJc w:val="left"/>
      <w:pPr>
        <w:tabs>
          <w:tab w:val="num" w:pos="851"/>
        </w:tabs>
        <w:ind w:left="851" w:hanging="851"/>
      </w:pPr>
      <w:rPr>
        <w:rFonts w:hint="default"/>
        <w:b/>
        <w:i w:val="0"/>
        <w:color w:val="117DC7"/>
        <w:sz w:val="36"/>
        <w:szCs w:val="72"/>
      </w:rPr>
    </w:lvl>
    <w:lvl w:ilvl="1">
      <w:start w:val="1"/>
      <w:numFmt w:val="bullet"/>
      <w:lvlText w:val=""/>
      <w:lvlJc w:val="left"/>
      <w:pPr>
        <w:tabs>
          <w:tab w:val="num" w:pos="2693"/>
        </w:tabs>
        <w:ind w:left="2693" w:hanging="425"/>
      </w:pPr>
      <w:rPr>
        <w:rFonts w:ascii="Symbol" w:hAnsi="Symbol"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7"/>
        <w:szCs w:val="17"/>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15:restartNumberingAfterBreak="0">
    <w:nsid w:val="4E8D4077"/>
    <w:multiLevelType w:val="hybridMultilevel"/>
    <w:tmpl w:val="33769FC8"/>
    <w:lvl w:ilvl="0" w:tplc="46DE2400">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8247AA"/>
    <w:multiLevelType w:val="multilevel"/>
    <w:tmpl w:val="C0C8615E"/>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Letter"/>
      <w:lvlText w:val="(%3)"/>
      <w:lvlJc w:val="left"/>
      <w:pPr>
        <w:tabs>
          <w:tab w:val="num" w:pos="3120"/>
        </w:tabs>
        <w:ind w:left="3120" w:hanging="426"/>
      </w:pPr>
      <w:rPr>
        <w:rFonts w:hint="default"/>
        <w:b w:val="0"/>
        <w:bCs w:val="0"/>
        <w:i w:val="0"/>
        <w:iCs w:val="0"/>
        <w:caps w:val="0"/>
        <w:strike w:val="0"/>
        <w:dstrike w:val="0"/>
        <w:vanish w:val="0"/>
        <w:color w:val="auto"/>
        <w:spacing w:val="0"/>
        <w:kern w:val="0"/>
        <w:position w:val="0"/>
        <w:sz w:val="17"/>
        <w:szCs w:val="17"/>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15:restartNumberingAfterBreak="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4" w15:restartNumberingAfterBreak="0">
    <w:nsid w:val="6EC13EC9"/>
    <w:multiLevelType w:val="hybridMultilevel"/>
    <w:tmpl w:val="2AA67D84"/>
    <w:lvl w:ilvl="0" w:tplc="A0EAE094">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BF2DF2"/>
    <w:multiLevelType w:val="multilevel"/>
    <w:tmpl w:val="4ABC9A5A"/>
    <w:lvl w:ilvl="0">
      <w:start w:val="1"/>
      <w:numFmt w:val="decimal"/>
      <w:pStyle w:val="ParaHeading1"/>
      <w:lvlText w:val="%1."/>
      <w:lvlJc w:val="left"/>
      <w:pPr>
        <w:ind w:left="425" w:hanging="425"/>
      </w:pPr>
      <w:rPr>
        <w:rFonts w:hint="default"/>
      </w:rPr>
    </w:lvl>
    <w:lvl w:ilvl="1">
      <w:start w:val="1"/>
      <w:numFmt w:val="decimal"/>
      <w:pStyle w:val="ParaHeading2"/>
      <w:lvlText w:val="%2.%1"/>
      <w:lvlJc w:val="left"/>
      <w:pPr>
        <w:ind w:left="1049" w:hanging="624"/>
      </w:pPr>
      <w:rPr>
        <w:rFonts w:hint="default"/>
      </w:rPr>
    </w:lvl>
    <w:lvl w:ilvl="2">
      <w:start w:val="1"/>
      <w:numFmt w:val="decimal"/>
      <w:pStyle w:val="ParaLevel2"/>
      <w:lvlText w:val="%1.%3"/>
      <w:lvlJc w:val="left"/>
      <w:pPr>
        <w:ind w:left="1049" w:hanging="624"/>
      </w:pPr>
      <w:rPr>
        <w:rFonts w:hint="default"/>
      </w:rPr>
    </w:lvl>
    <w:lvl w:ilvl="3">
      <w:start w:val="1"/>
      <w:numFmt w:val="decimal"/>
      <w:pStyle w:val="ParaHeading3"/>
      <w:lvlText w:val="%1.%2.%4"/>
      <w:lvlJc w:val="left"/>
      <w:pPr>
        <w:ind w:left="1418" w:hanging="369"/>
      </w:pPr>
      <w:rPr>
        <w:rFonts w:hint="default"/>
      </w:rPr>
    </w:lvl>
    <w:lvl w:ilvl="4">
      <w:start w:val="1"/>
      <w:numFmt w:val="decimal"/>
      <w:pStyle w:val="ParaLevel3"/>
      <w:lvlText w:val="%1.%2.%5"/>
      <w:lvlJc w:val="left"/>
      <w:pPr>
        <w:ind w:left="1418" w:hanging="369"/>
      </w:pPr>
      <w:rPr>
        <w:rFonts w:hint="default"/>
      </w:rPr>
    </w:lvl>
    <w:lvl w:ilvl="5">
      <w:start w:val="1"/>
      <w:numFmt w:val="decimal"/>
      <w:pStyle w:val="ParaHeading4"/>
      <w:lvlText w:val="%1.%2.%3.%6"/>
      <w:lvlJc w:val="left"/>
      <w:pPr>
        <w:ind w:left="2268" w:hanging="850"/>
      </w:pPr>
      <w:rPr>
        <w:rFonts w:hint="default"/>
      </w:rPr>
    </w:lvl>
    <w:lvl w:ilvl="6">
      <w:start w:val="1"/>
      <w:numFmt w:val="decimal"/>
      <w:pStyle w:val="PraLevel4"/>
      <w:lvlText w:val="%1.%2.%3.%7"/>
      <w:lvlJc w:val="left"/>
      <w:pPr>
        <w:ind w:left="2268" w:hanging="85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22"/>
  </w:num>
  <w:num w:numId="3">
    <w:abstractNumId w:val="1"/>
  </w:num>
  <w:num w:numId="4">
    <w:abstractNumId w:val="21"/>
  </w:num>
  <w:num w:numId="5">
    <w:abstractNumId w:val="5"/>
  </w:num>
  <w:num w:numId="6">
    <w:abstractNumId w:val="18"/>
  </w:num>
  <w:num w:numId="7">
    <w:abstractNumId w:val="19"/>
  </w:num>
  <w:num w:numId="8">
    <w:abstractNumId w:val="0"/>
  </w:num>
  <w:num w:numId="9">
    <w:abstractNumId w:val="3"/>
  </w:num>
  <w:num w:numId="10">
    <w:abstractNumId w:val="20"/>
  </w:num>
  <w:num w:numId="11">
    <w:abstractNumId w:val="16"/>
  </w:num>
  <w:num w:numId="12">
    <w:abstractNumId w:val="4"/>
    <w:lvlOverride w:ilvl="0">
      <w:startOverride w:val="525"/>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4"/>
  </w:num>
  <w:num w:numId="15">
    <w:abstractNumId w:val="10"/>
  </w:num>
  <w:num w:numId="16">
    <w:abstractNumId w:val="17"/>
  </w:num>
  <w:num w:numId="17">
    <w:abstractNumId w:val="24"/>
  </w:num>
  <w:num w:numId="18">
    <w:abstractNumId w:val="7"/>
  </w:num>
  <w:num w:numId="19">
    <w:abstractNumId w:val="8"/>
  </w:num>
  <w:num w:numId="20">
    <w:abstractNumId w:val="2"/>
  </w:num>
  <w:num w:numId="21">
    <w:abstractNumId w:val="6"/>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2049">
      <o:colormru v:ext="edit" colors="#00a8d0,#008eb0,#1492e8,#1287d6,#117dc7,#c2e3f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37"/>
    <w:rsid w:val="00004332"/>
    <w:rsid w:val="000061E5"/>
    <w:rsid w:val="00006318"/>
    <w:rsid w:val="0000748A"/>
    <w:rsid w:val="00007D1C"/>
    <w:rsid w:val="000104D6"/>
    <w:rsid w:val="00011C35"/>
    <w:rsid w:val="00011FD8"/>
    <w:rsid w:val="000127C8"/>
    <w:rsid w:val="00013685"/>
    <w:rsid w:val="0001377C"/>
    <w:rsid w:val="00013D19"/>
    <w:rsid w:val="00014FC5"/>
    <w:rsid w:val="000151BA"/>
    <w:rsid w:val="00016D4E"/>
    <w:rsid w:val="00017749"/>
    <w:rsid w:val="000208B8"/>
    <w:rsid w:val="00020D19"/>
    <w:rsid w:val="00022490"/>
    <w:rsid w:val="000226B9"/>
    <w:rsid w:val="00023C84"/>
    <w:rsid w:val="00023E34"/>
    <w:rsid w:val="000240FA"/>
    <w:rsid w:val="000253D5"/>
    <w:rsid w:val="00027058"/>
    <w:rsid w:val="000270BC"/>
    <w:rsid w:val="00027150"/>
    <w:rsid w:val="0003019F"/>
    <w:rsid w:val="00031077"/>
    <w:rsid w:val="00032C0F"/>
    <w:rsid w:val="00034D06"/>
    <w:rsid w:val="00035366"/>
    <w:rsid w:val="00036A58"/>
    <w:rsid w:val="00036EE7"/>
    <w:rsid w:val="00040D79"/>
    <w:rsid w:val="0004103B"/>
    <w:rsid w:val="00041735"/>
    <w:rsid w:val="000424F1"/>
    <w:rsid w:val="00042CD4"/>
    <w:rsid w:val="000431FD"/>
    <w:rsid w:val="00045AC0"/>
    <w:rsid w:val="00046396"/>
    <w:rsid w:val="000473A4"/>
    <w:rsid w:val="00047B1C"/>
    <w:rsid w:val="000503AF"/>
    <w:rsid w:val="000505E0"/>
    <w:rsid w:val="0005065E"/>
    <w:rsid w:val="00051292"/>
    <w:rsid w:val="000514E1"/>
    <w:rsid w:val="00051547"/>
    <w:rsid w:val="000530A4"/>
    <w:rsid w:val="000539B1"/>
    <w:rsid w:val="000545FD"/>
    <w:rsid w:val="00057434"/>
    <w:rsid w:val="00057B8E"/>
    <w:rsid w:val="000606F1"/>
    <w:rsid w:val="0006086A"/>
    <w:rsid w:val="0006104A"/>
    <w:rsid w:val="00061F70"/>
    <w:rsid w:val="0006423E"/>
    <w:rsid w:val="00066AE2"/>
    <w:rsid w:val="00067D75"/>
    <w:rsid w:val="00070E65"/>
    <w:rsid w:val="00071358"/>
    <w:rsid w:val="00071F7A"/>
    <w:rsid w:val="00073008"/>
    <w:rsid w:val="0007428F"/>
    <w:rsid w:val="00074961"/>
    <w:rsid w:val="000753A8"/>
    <w:rsid w:val="00076BDC"/>
    <w:rsid w:val="00083A5F"/>
    <w:rsid w:val="00084434"/>
    <w:rsid w:val="00084B74"/>
    <w:rsid w:val="000858BA"/>
    <w:rsid w:val="00085E54"/>
    <w:rsid w:val="00086C30"/>
    <w:rsid w:val="000871E6"/>
    <w:rsid w:val="00091D01"/>
    <w:rsid w:val="00094A7F"/>
    <w:rsid w:val="00097052"/>
    <w:rsid w:val="00097838"/>
    <w:rsid w:val="000A0319"/>
    <w:rsid w:val="000A04C4"/>
    <w:rsid w:val="000A08C2"/>
    <w:rsid w:val="000A0B03"/>
    <w:rsid w:val="000A0DDA"/>
    <w:rsid w:val="000A2F47"/>
    <w:rsid w:val="000A3BFF"/>
    <w:rsid w:val="000A4C2B"/>
    <w:rsid w:val="000A4D3A"/>
    <w:rsid w:val="000A61D7"/>
    <w:rsid w:val="000A7E01"/>
    <w:rsid w:val="000B08E8"/>
    <w:rsid w:val="000B11D5"/>
    <w:rsid w:val="000B1E79"/>
    <w:rsid w:val="000B254F"/>
    <w:rsid w:val="000B29AA"/>
    <w:rsid w:val="000B2C01"/>
    <w:rsid w:val="000B2E31"/>
    <w:rsid w:val="000B34D3"/>
    <w:rsid w:val="000B35E8"/>
    <w:rsid w:val="000B3B5E"/>
    <w:rsid w:val="000B4B18"/>
    <w:rsid w:val="000B5BBA"/>
    <w:rsid w:val="000B6362"/>
    <w:rsid w:val="000B6420"/>
    <w:rsid w:val="000B6930"/>
    <w:rsid w:val="000B7231"/>
    <w:rsid w:val="000B7B4A"/>
    <w:rsid w:val="000C08CC"/>
    <w:rsid w:val="000C4928"/>
    <w:rsid w:val="000C5827"/>
    <w:rsid w:val="000C5AF3"/>
    <w:rsid w:val="000C627E"/>
    <w:rsid w:val="000C6F95"/>
    <w:rsid w:val="000C7021"/>
    <w:rsid w:val="000C7915"/>
    <w:rsid w:val="000C7D76"/>
    <w:rsid w:val="000D0269"/>
    <w:rsid w:val="000D07AE"/>
    <w:rsid w:val="000D1BA2"/>
    <w:rsid w:val="000D22B2"/>
    <w:rsid w:val="000D2F6F"/>
    <w:rsid w:val="000D41B6"/>
    <w:rsid w:val="000D50AE"/>
    <w:rsid w:val="000D5185"/>
    <w:rsid w:val="000D51AE"/>
    <w:rsid w:val="000D59A9"/>
    <w:rsid w:val="000D606D"/>
    <w:rsid w:val="000D760D"/>
    <w:rsid w:val="000E24AE"/>
    <w:rsid w:val="000E48AE"/>
    <w:rsid w:val="000E4B5F"/>
    <w:rsid w:val="000E517A"/>
    <w:rsid w:val="000E7247"/>
    <w:rsid w:val="000F039A"/>
    <w:rsid w:val="000F100A"/>
    <w:rsid w:val="000F4047"/>
    <w:rsid w:val="000F41ED"/>
    <w:rsid w:val="000F5E24"/>
    <w:rsid w:val="000F7F2D"/>
    <w:rsid w:val="001004E3"/>
    <w:rsid w:val="0010355D"/>
    <w:rsid w:val="00103568"/>
    <w:rsid w:val="00103669"/>
    <w:rsid w:val="001042F5"/>
    <w:rsid w:val="001050BE"/>
    <w:rsid w:val="00105736"/>
    <w:rsid w:val="001058D4"/>
    <w:rsid w:val="00107D50"/>
    <w:rsid w:val="001109B7"/>
    <w:rsid w:val="00111484"/>
    <w:rsid w:val="0011188E"/>
    <w:rsid w:val="00111BFE"/>
    <w:rsid w:val="00112A43"/>
    <w:rsid w:val="00113042"/>
    <w:rsid w:val="001130A9"/>
    <w:rsid w:val="0011365B"/>
    <w:rsid w:val="00113E12"/>
    <w:rsid w:val="0011441F"/>
    <w:rsid w:val="00114BE4"/>
    <w:rsid w:val="001156A2"/>
    <w:rsid w:val="00116864"/>
    <w:rsid w:val="00116961"/>
    <w:rsid w:val="001169C5"/>
    <w:rsid w:val="0011766C"/>
    <w:rsid w:val="00117AE4"/>
    <w:rsid w:val="00120292"/>
    <w:rsid w:val="001229BC"/>
    <w:rsid w:val="00123305"/>
    <w:rsid w:val="00123796"/>
    <w:rsid w:val="001246F0"/>
    <w:rsid w:val="00124735"/>
    <w:rsid w:val="00125A49"/>
    <w:rsid w:val="00127B32"/>
    <w:rsid w:val="00130A66"/>
    <w:rsid w:val="00131016"/>
    <w:rsid w:val="00131472"/>
    <w:rsid w:val="00132A01"/>
    <w:rsid w:val="00132ADA"/>
    <w:rsid w:val="0013312A"/>
    <w:rsid w:val="00133C4D"/>
    <w:rsid w:val="001360AB"/>
    <w:rsid w:val="001362DD"/>
    <w:rsid w:val="00136CC5"/>
    <w:rsid w:val="00140263"/>
    <w:rsid w:val="00141A7E"/>
    <w:rsid w:val="00142283"/>
    <w:rsid w:val="00142BE9"/>
    <w:rsid w:val="00145895"/>
    <w:rsid w:val="00145D83"/>
    <w:rsid w:val="001461F2"/>
    <w:rsid w:val="00146BE4"/>
    <w:rsid w:val="00146F85"/>
    <w:rsid w:val="001470BB"/>
    <w:rsid w:val="0014717A"/>
    <w:rsid w:val="001474A2"/>
    <w:rsid w:val="00147C5B"/>
    <w:rsid w:val="00151205"/>
    <w:rsid w:val="00153E5E"/>
    <w:rsid w:val="0015638D"/>
    <w:rsid w:val="0015679D"/>
    <w:rsid w:val="00156898"/>
    <w:rsid w:val="00156B71"/>
    <w:rsid w:val="00157091"/>
    <w:rsid w:val="001616D6"/>
    <w:rsid w:val="00161BB3"/>
    <w:rsid w:val="001640CC"/>
    <w:rsid w:val="00164691"/>
    <w:rsid w:val="001650A2"/>
    <w:rsid w:val="00165D27"/>
    <w:rsid w:val="0016768F"/>
    <w:rsid w:val="00171207"/>
    <w:rsid w:val="001718F0"/>
    <w:rsid w:val="00171CAF"/>
    <w:rsid w:val="00172806"/>
    <w:rsid w:val="00172AB6"/>
    <w:rsid w:val="001736E8"/>
    <w:rsid w:val="001759DF"/>
    <w:rsid w:val="00175B1F"/>
    <w:rsid w:val="00176367"/>
    <w:rsid w:val="00177162"/>
    <w:rsid w:val="00177EE3"/>
    <w:rsid w:val="001813CB"/>
    <w:rsid w:val="00182491"/>
    <w:rsid w:val="00183994"/>
    <w:rsid w:val="00186BE0"/>
    <w:rsid w:val="001870FC"/>
    <w:rsid w:val="001904C3"/>
    <w:rsid w:val="001917DB"/>
    <w:rsid w:val="00192B47"/>
    <w:rsid w:val="00192F85"/>
    <w:rsid w:val="00193DFB"/>
    <w:rsid w:val="001940DB"/>
    <w:rsid w:val="001955AC"/>
    <w:rsid w:val="001968C5"/>
    <w:rsid w:val="00197752"/>
    <w:rsid w:val="001A0B04"/>
    <w:rsid w:val="001A1160"/>
    <w:rsid w:val="001A2627"/>
    <w:rsid w:val="001A2958"/>
    <w:rsid w:val="001A2A7A"/>
    <w:rsid w:val="001A2A89"/>
    <w:rsid w:val="001A2A90"/>
    <w:rsid w:val="001A336D"/>
    <w:rsid w:val="001A4A9B"/>
    <w:rsid w:val="001A51D9"/>
    <w:rsid w:val="001A5F86"/>
    <w:rsid w:val="001A637D"/>
    <w:rsid w:val="001A76BD"/>
    <w:rsid w:val="001B0EB2"/>
    <w:rsid w:val="001B122A"/>
    <w:rsid w:val="001B182E"/>
    <w:rsid w:val="001B3035"/>
    <w:rsid w:val="001B6597"/>
    <w:rsid w:val="001B7433"/>
    <w:rsid w:val="001B7E86"/>
    <w:rsid w:val="001C01F6"/>
    <w:rsid w:val="001C0AF5"/>
    <w:rsid w:val="001C0C9D"/>
    <w:rsid w:val="001C3561"/>
    <w:rsid w:val="001C41ED"/>
    <w:rsid w:val="001C528B"/>
    <w:rsid w:val="001C55E6"/>
    <w:rsid w:val="001C7A22"/>
    <w:rsid w:val="001D0307"/>
    <w:rsid w:val="001D0C1C"/>
    <w:rsid w:val="001D1991"/>
    <w:rsid w:val="001D2A7E"/>
    <w:rsid w:val="001D3F9A"/>
    <w:rsid w:val="001D49B8"/>
    <w:rsid w:val="001D62A1"/>
    <w:rsid w:val="001D6DAA"/>
    <w:rsid w:val="001D7A07"/>
    <w:rsid w:val="001D7A22"/>
    <w:rsid w:val="001E064A"/>
    <w:rsid w:val="001E09FA"/>
    <w:rsid w:val="001E15C6"/>
    <w:rsid w:val="001E2F61"/>
    <w:rsid w:val="001E578F"/>
    <w:rsid w:val="001E6658"/>
    <w:rsid w:val="001E6D4A"/>
    <w:rsid w:val="001E71C8"/>
    <w:rsid w:val="001E787C"/>
    <w:rsid w:val="001F02A9"/>
    <w:rsid w:val="001F1027"/>
    <w:rsid w:val="001F1C66"/>
    <w:rsid w:val="001F1F4B"/>
    <w:rsid w:val="001F23A2"/>
    <w:rsid w:val="001F5A98"/>
    <w:rsid w:val="001F5D5A"/>
    <w:rsid w:val="001F6C30"/>
    <w:rsid w:val="001F7918"/>
    <w:rsid w:val="00200653"/>
    <w:rsid w:val="0020207A"/>
    <w:rsid w:val="0020357B"/>
    <w:rsid w:val="0020453E"/>
    <w:rsid w:val="0020615F"/>
    <w:rsid w:val="00206220"/>
    <w:rsid w:val="002069BE"/>
    <w:rsid w:val="00207DDE"/>
    <w:rsid w:val="00211645"/>
    <w:rsid w:val="00211F72"/>
    <w:rsid w:val="00215E73"/>
    <w:rsid w:val="00216836"/>
    <w:rsid w:val="00216A91"/>
    <w:rsid w:val="00217833"/>
    <w:rsid w:val="00217969"/>
    <w:rsid w:val="00220093"/>
    <w:rsid w:val="00222459"/>
    <w:rsid w:val="00223326"/>
    <w:rsid w:val="002233EF"/>
    <w:rsid w:val="00224E9A"/>
    <w:rsid w:val="0022679B"/>
    <w:rsid w:val="00226AAE"/>
    <w:rsid w:val="00226DC3"/>
    <w:rsid w:val="00227C2B"/>
    <w:rsid w:val="0023133E"/>
    <w:rsid w:val="00231FB9"/>
    <w:rsid w:val="00234185"/>
    <w:rsid w:val="00234C1F"/>
    <w:rsid w:val="0023558A"/>
    <w:rsid w:val="0023577D"/>
    <w:rsid w:val="00235C18"/>
    <w:rsid w:val="002360B8"/>
    <w:rsid w:val="002370ED"/>
    <w:rsid w:val="002401A9"/>
    <w:rsid w:val="0024186E"/>
    <w:rsid w:val="0024211A"/>
    <w:rsid w:val="00242316"/>
    <w:rsid w:val="00242582"/>
    <w:rsid w:val="00242A65"/>
    <w:rsid w:val="00244E50"/>
    <w:rsid w:val="002464D4"/>
    <w:rsid w:val="00251775"/>
    <w:rsid w:val="00253F92"/>
    <w:rsid w:val="0025460C"/>
    <w:rsid w:val="0025493B"/>
    <w:rsid w:val="00255BCA"/>
    <w:rsid w:val="00255E95"/>
    <w:rsid w:val="00256098"/>
    <w:rsid w:val="002579A0"/>
    <w:rsid w:val="00260748"/>
    <w:rsid w:val="00262053"/>
    <w:rsid w:val="0026405B"/>
    <w:rsid w:val="00265264"/>
    <w:rsid w:val="002656DD"/>
    <w:rsid w:val="0027097D"/>
    <w:rsid w:val="00271408"/>
    <w:rsid w:val="002725EA"/>
    <w:rsid w:val="00272B52"/>
    <w:rsid w:val="00273BFA"/>
    <w:rsid w:val="00274C82"/>
    <w:rsid w:val="002751EA"/>
    <w:rsid w:val="00275342"/>
    <w:rsid w:val="0027596E"/>
    <w:rsid w:val="0027644D"/>
    <w:rsid w:val="00276BE3"/>
    <w:rsid w:val="002774A0"/>
    <w:rsid w:val="00277807"/>
    <w:rsid w:val="002835F3"/>
    <w:rsid w:val="00283EE6"/>
    <w:rsid w:val="0028420D"/>
    <w:rsid w:val="00284CD0"/>
    <w:rsid w:val="002866DA"/>
    <w:rsid w:val="00286C55"/>
    <w:rsid w:val="00291D07"/>
    <w:rsid w:val="002921E7"/>
    <w:rsid w:val="002927AD"/>
    <w:rsid w:val="002953A4"/>
    <w:rsid w:val="00295CB6"/>
    <w:rsid w:val="00297A20"/>
    <w:rsid w:val="002A39B7"/>
    <w:rsid w:val="002A5860"/>
    <w:rsid w:val="002A7218"/>
    <w:rsid w:val="002B0DA1"/>
    <w:rsid w:val="002B1780"/>
    <w:rsid w:val="002B2054"/>
    <w:rsid w:val="002B31B7"/>
    <w:rsid w:val="002B3E90"/>
    <w:rsid w:val="002B3EE2"/>
    <w:rsid w:val="002B4A24"/>
    <w:rsid w:val="002B57B1"/>
    <w:rsid w:val="002B63DA"/>
    <w:rsid w:val="002B6E52"/>
    <w:rsid w:val="002B6F3E"/>
    <w:rsid w:val="002B70A5"/>
    <w:rsid w:val="002B74F1"/>
    <w:rsid w:val="002B798C"/>
    <w:rsid w:val="002C0998"/>
    <w:rsid w:val="002C1992"/>
    <w:rsid w:val="002C1E29"/>
    <w:rsid w:val="002C3A0E"/>
    <w:rsid w:val="002C3CFD"/>
    <w:rsid w:val="002C3F32"/>
    <w:rsid w:val="002C45F5"/>
    <w:rsid w:val="002C563E"/>
    <w:rsid w:val="002C61A3"/>
    <w:rsid w:val="002C6247"/>
    <w:rsid w:val="002C627F"/>
    <w:rsid w:val="002C7073"/>
    <w:rsid w:val="002C7910"/>
    <w:rsid w:val="002D0974"/>
    <w:rsid w:val="002D14FD"/>
    <w:rsid w:val="002D1ACC"/>
    <w:rsid w:val="002D2247"/>
    <w:rsid w:val="002D36A5"/>
    <w:rsid w:val="002D3CD0"/>
    <w:rsid w:val="002D3F93"/>
    <w:rsid w:val="002D59A2"/>
    <w:rsid w:val="002D6752"/>
    <w:rsid w:val="002D687F"/>
    <w:rsid w:val="002D7823"/>
    <w:rsid w:val="002E0200"/>
    <w:rsid w:val="002E0223"/>
    <w:rsid w:val="002E0589"/>
    <w:rsid w:val="002E09D2"/>
    <w:rsid w:val="002E0F75"/>
    <w:rsid w:val="002E215F"/>
    <w:rsid w:val="002E2E55"/>
    <w:rsid w:val="002E34C9"/>
    <w:rsid w:val="002E4D55"/>
    <w:rsid w:val="002E6584"/>
    <w:rsid w:val="002E6655"/>
    <w:rsid w:val="002F0645"/>
    <w:rsid w:val="002F0649"/>
    <w:rsid w:val="002F0A63"/>
    <w:rsid w:val="002F26AF"/>
    <w:rsid w:val="002F3A98"/>
    <w:rsid w:val="002F58DB"/>
    <w:rsid w:val="002F5E28"/>
    <w:rsid w:val="002F6663"/>
    <w:rsid w:val="002F67B0"/>
    <w:rsid w:val="002F7B45"/>
    <w:rsid w:val="00300144"/>
    <w:rsid w:val="003024F0"/>
    <w:rsid w:val="00302623"/>
    <w:rsid w:val="00302853"/>
    <w:rsid w:val="00303BEF"/>
    <w:rsid w:val="00304726"/>
    <w:rsid w:val="003049C1"/>
    <w:rsid w:val="003055C8"/>
    <w:rsid w:val="003056B4"/>
    <w:rsid w:val="00305E6A"/>
    <w:rsid w:val="00306199"/>
    <w:rsid w:val="0030794C"/>
    <w:rsid w:val="00307F38"/>
    <w:rsid w:val="003109D1"/>
    <w:rsid w:val="003112BD"/>
    <w:rsid w:val="003118BC"/>
    <w:rsid w:val="003119A8"/>
    <w:rsid w:val="00311B76"/>
    <w:rsid w:val="00311C82"/>
    <w:rsid w:val="00311D90"/>
    <w:rsid w:val="00311E96"/>
    <w:rsid w:val="00313F8A"/>
    <w:rsid w:val="00314C7E"/>
    <w:rsid w:val="0031536E"/>
    <w:rsid w:val="00315409"/>
    <w:rsid w:val="00315A14"/>
    <w:rsid w:val="00315BBB"/>
    <w:rsid w:val="00317745"/>
    <w:rsid w:val="00320621"/>
    <w:rsid w:val="00320C61"/>
    <w:rsid w:val="00322CF5"/>
    <w:rsid w:val="00323D5C"/>
    <w:rsid w:val="003262F3"/>
    <w:rsid w:val="0033081E"/>
    <w:rsid w:val="00331100"/>
    <w:rsid w:val="003316F9"/>
    <w:rsid w:val="00332081"/>
    <w:rsid w:val="00333971"/>
    <w:rsid w:val="00333A26"/>
    <w:rsid w:val="00334756"/>
    <w:rsid w:val="00337843"/>
    <w:rsid w:val="00337D12"/>
    <w:rsid w:val="003401C9"/>
    <w:rsid w:val="0034081E"/>
    <w:rsid w:val="00342C58"/>
    <w:rsid w:val="003444C4"/>
    <w:rsid w:val="00346F9D"/>
    <w:rsid w:val="0034700A"/>
    <w:rsid w:val="0034771B"/>
    <w:rsid w:val="00350C7B"/>
    <w:rsid w:val="003523D4"/>
    <w:rsid w:val="003543A8"/>
    <w:rsid w:val="00354EFA"/>
    <w:rsid w:val="00355775"/>
    <w:rsid w:val="00360DC1"/>
    <w:rsid w:val="00360FD6"/>
    <w:rsid w:val="0036216E"/>
    <w:rsid w:val="003624A1"/>
    <w:rsid w:val="00362D16"/>
    <w:rsid w:val="00362FC1"/>
    <w:rsid w:val="00363342"/>
    <w:rsid w:val="00371B63"/>
    <w:rsid w:val="00372209"/>
    <w:rsid w:val="0037421E"/>
    <w:rsid w:val="003746C7"/>
    <w:rsid w:val="00374C39"/>
    <w:rsid w:val="00375EA3"/>
    <w:rsid w:val="00380109"/>
    <w:rsid w:val="0038057E"/>
    <w:rsid w:val="003808E3"/>
    <w:rsid w:val="0038185E"/>
    <w:rsid w:val="0038359F"/>
    <w:rsid w:val="00385801"/>
    <w:rsid w:val="00386573"/>
    <w:rsid w:val="003877EC"/>
    <w:rsid w:val="00387F58"/>
    <w:rsid w:val="00391E5A"/>
    <w:rsid w:val="00392065"/>
    <w:rsid w:val="003927E2"/>
    <w:rsid w:val="00392942"/>
    <w:rsid w:val="00392A4C"/>
    <w:rsid w:val="00392F85"/>
    <w:rsid w:val="00395704"/>
    <w:rsid w:val="0039594F"/>
    <w:rsid w:val="003969D0"/>
    <w:rsid w:val="003A0F16"/>
    <w:rsid w:val="003A10C8"/>
    <w:rsid w:val="003A1134"/>
    <w:rsid w:val="003A15A0"/>
    <w:rsid w:val="003A3721"/>
    <w:rsid w:val="003A4ED2"/>
    <w:rsid w:val="003A5070"/>
    <w:rsid w:val="003A6974"/>
    <w:rsid w:val="003A6B99"/>
    <w:rsid w:val="003A6D42"/>
    <w:rsid w:val="003B146D"/>
    <w:rsid w:val="003B1F52"/>
    <w:rsid w:val="003B3D6F"/>
    <w:rsid w:val="003B5190"/>
    <w:rsid w:val="003B7ED4"/>
    <w:rsid w:val="003C000A"/>
    <w:rsid w:val="003C0062"/>
    <w:rsid w:val="003C0112"/>
    <w:rsid w:val="003C0D10"/>
    <w:rsid w:val="003C1F84"/>
    <w:rsid w:val="003C2477"/>
    <w:rsid w:val="003C3708"/>
    <w:rsid w:val="003C3719"/>
    <w:rsid w:val="003C5111"/>
    <w:rsid w:val="003C5E7E"/>
    <w:rsid w:val="003C637B"/>
    <w:rsid w:val="003C7B21"/>
    <w:rsid w:val="003C7C4E"/>
    <w:rsid w:val="003D0DB1"/>
    <w:rsid w:val="003D2607"/>
    <w:rsid w:val="003D2C7A"/>
    <w:rsid w:val="003D3198"/>
    <w:rsid w:val="003D3578"/>
    <w:rsid w:val="003D4824"/>
    <w:rsid w:val="003D49D5"/>
    <w:rsid w:val="003D4BEA"/>
    <w:rsid w:val="003D5070"/>
    <w:rsid w:val="003D625D"/>
    <w:rsid w:val="003D70AF"/>
    <w:rsid w:val="003D74CE"/>
    <w:rsid w:val="003D7E6B"/>
    <w:rsid w:val="003E133F"/>
    <w:rsid w:val="003E19A9"/>
    <w:rsid w:val="003E3C0B"/>
    <w:rsid w:val="003E4F1F"/>
    <w:rsid w:val="003E549E"/>
    <w:rsid w:val="003E6B80"/>
    <w:rsid w:val="003F2CD7"/>
    <w:rsid w:val="003F35C5"/>
    <w:rsid w:val="003F3A70"/>
    <w:rsid w:val="003F40F2"/>
    <w:rsid w:val="003F61A3"/>
    <w:rsid w:val="003F69F2"/>
    <w:rsid w:val="003F7287"/>
    <w:rsid w:val="003F7C61"/>
    <w:rsid w:val="004010F7"/>
    <w:rsid w:val="00401297"/>
    <w:rsid w:val="004014BD"/>
    <w:rsid w:val="004015F7"/>
    <w:rsid w:val="004019CD"/>
    <w:rsid w:val="00402C33"/>
    <w:rsid w:val="00404AE3"/>
    <w:rsid w:val="00405E83"/>
    <w:rsid w:val="004066AC"/>
    <w:rsid w:val="00406B4D"/>
    <w:rsid w:val="00407B58"/>
    <w:rsid w:val="004106BD"/>
    <w:rsid w:val="00410EEF"/>
    <w:rsid w:val="00411185"/>
    <w:rsid w:val="004117A3"/>
    <w:rsid w:val="00411BFF"/>
    <w:rsid w:val="00411F92"/>
    <w:rsid w:val="0041210E"/>
    <w:rsid w:val="004123BC"/>
    <w:rsid w:val="004124F2"/>
    <w:rsid w:val="00416217"/>
    <w:rsid w:val="00416F90"/>
    <w:rsid w:val="00417B10"/>
    <w:rsid w:val="004255E7"/>
    <w:rsid w:val="004264A5"/>
    <w:rsid w:val="00427EBD"/>
    <w:rsid w:val="00430E1E"/>
    <w:rsid w:val="0043102E"/>
    <w:rsid w:val="0043167A"/>
    <w:rsid w:val="00431A90"/>
    <w:rsid w:val="004320C8"/>
    <w:rsid w:val="00432728"/>
    <w:rsid w:val="0043359D"/>
    <w:rsid w:val="00434072"/>
    <w:rsid w:val="004345C5"/>
    <w:rsid w:val="004346EF"/>
    <w:rsid w:val="00435760"/>
    <w:rsid w:val="004365C3"/>
    <w:rsid w:val="00436F73"/>
    <w:rsid w:val="00437EBF"/>
    <w:rsid w:val="004402F0"/>
    <w:rsid w:val="00440590"/>
    <w:rsid w:val="00441F9A"/>
    <w:rsid w:val="004421A3"/>
    <w:rsid w:val="00442961"/>
    <w:rsid w:val="00442C79"/>
    <w:rsid w:val="00442E99"/>
    <w:rsid w:val="00443BFE"/>
    <w:rsid w:val="00445C0F"/>
    <w:rsid w:val="00446245"/>
    <w:rsid w:val="00447F0E"/>
    <w:rsid w:val="00450F9E"/>
    <w:rsid w:val="00452F5D"/>
    <w:rsid w:val="004546B6"/>
    <w:rsid w:val="0045588E"/>
    <w:rsid w:val="00456DEE"/>
    <w:rsid w:val="00461A0A"/>
    <w:rsid w:val="0046244D"/>
    <w:rsid w:val="004634F6"/>
    <w:rsid w:val="00464D9F"/>
    <w:rsid w:val="0046677D"/>
    <w:rsid w:val="0046797C"/>
    <w:rsid w:val="00467B47"/>
    <w:rsid w:val="004707DF"/>
    <w:rsid w:val="00470CA5"/>
    <w:rsid w:val="00471082"/>
    <w:rsid w:val="00475124"/>
    <w:rsid w:val="00475801"/>
    <w:rsid w:val="00475810"/>
    <w:rsid w:val="0047791F"/>
    <w:rsid w:val="00480CD9"/>
    <w:rsid w:val="00481861"/>
    <w:rsid w:val="004827A0"/>
    <w:rsid w:val="00484ABF"/>
    <w:rsid w:val="00484F92"/>
    <w:rsid w:val="00485237"/>
    <w:rsid w:val="00485625"/>
    <w:rsid w:val="004857CC"/>
    <w:rsid w:val="00485BD4"/>
    <w:rsid w:val="00486135"/>
    <w:rsid w:val="004865FE"/>
    <w:rsid w:val="00487A4D"/>
    <w:rsid w:val="00487A8B"/>
    <w:rsid w:val="0049144E"/>
    <w:rsid w:val="00491803"/>
    <w:rsid w:val="00494421"/>
    <w:rsid w:val="004945D0"/>
    <w:rsid w:val="0049486D"/>
    <w:rsid w:val="00495272"/>
    <w:rsid w:val="00497794"/>
    <w:rsid w:val="004A0000"/>
    <w:rsid w:val="004A0FD0"/>
    <w:rsid w:val="004A1A38"/>
    <w:rsid w:val="004A1E65"/>
    <w:rsid w:val="004A2493"/>
    <w:rsid w:val="004A26B3"/>
    <w:rsid w:val="004A2760"/>
    <w:rsid w:val="004A50B4"/>
    <w:rsid w:val="004A5FE7"/>
    <w:rsid w:val="004A61A6"/>
    <w:rsid w:val="004A6BAB"/>
    <w:rsid w:val="004A6E0D"/>
    <w:rsid w:val="004A6F31"/>
    <w:rsid w:val="004A73AB"/>
    <w:rsid w:val="004A79D0"/>
    <w:rsid w:val="004A7CED"/>
    <w:rsid w:val="004B1D3C"/>
    <w:rsid w:val="004B2379"/>
    <w:rsid w:val="004B6887"/>
    <w:rsid w:val="004B7646"/>
    <w:rsid w:val="004C0771"/>
    <w:rsid w:val="004C0A11"/>
    <w:rsid w:val="004C0E39"/>
    <w:rsid w:val="004C0E5F"/>
    <w:rsid w:val="004C2556"/>
    <w:rsid w:val="004C369B"/>
    <w:rsid w:val="004C3C7E"/>
    <w:rsid w:val="004C43EF"/>
    <w:rsid w:val="004C60B2"/>
    <w:rsid w:val="004C72A9"/>
    <w:rsid w:val="004C73E4"/>
    <w:rsid w:val="004D01CC"/>
    <w:rsid w:val="004D0BE0"/>
    <w:rsid w:val="004D1080"/>
    <w:rsid w:val="004D165C"/>
    <w:rsid w:val="004D1794"/>
    <w:rsid w:val="004D21C6"/>
    <w:rsid w:val="004D2438"/>
    <w:rsid w:val="004D2B37"/>
    <w:rsid w:val="004D2BE8"/>
    <w:rsid w:val="004D364C"/>
    <w:rsid w:val="004D389C"/>
    <w:rsid w:val="004D3B02"/>
    <w:rsid w:val="004D4264"/>
    <w:rsid w:val="004D623E"/>
    <w:rsid w:val="004D667C"/>
    <w:rsid w:val="004D68A1"/>
    <w:rsid w:val="004D6A31"/>
    <w:rsid w:val="004D7AB2"/>
    <w:rsid w:val="004E1DAF"/>
    <w:rsid w:val="004E2514"/>
    <w:rsid w:val="004E304A"/>
    <w:rsid w:val="004E34EC"/>
    <w:rsid w:val="004E4141"/>
    <w:rsid w:val="004E4ECD"/>
    <w:rsid w:val="004E5A5E"/>
    <w:rsid w:val="004E61FB"/>
    <w:rsid w:val="004E6D33"/>
    <w:rsid w:val="004E6FA2"/>
    <w:rsid w:val="004F0C9A"/>
    <w:rsid w:val="004F155F"/>
    <w:rsid w:val="004F1976"/>
    <w:rsid w:val="004F2769"/>
    <w:rsid w:val="004F29F7"/>
    <w:rsid w:val="004F4F3F"/>
    <w:rsid w:val="004F6680"/>
    <w:rsid w:val="004F6F77"/>
    <w:rsid w:val="004F7B80"/>
    <w:rsid w:val="00501412"/>
    <w:rsid w:val="00501C01"/>
    <w:rsid w:val="00501F3B"/>
    <w:rsid w:val="005029B1"/>
    <w:rsid w:val="005033F5"/>
    <w:rsid w:val="005043F9"/>
    <w:rsid w:val="00506331"/>
    <w:rsid w:val="00506BAD"/>
    <w:rsid w:val="00507621"/>
    <w:rsid w:val="005076C7"/>
    <w:rsid w:val="00507EF7"/>
    <w:rsid w:val="005137F5"/>
    <w:rsid w:val="00513A09"/>
    <w:rsid w:val="00513A4C"/>
    <w:rsid w:val="0051416E"/>
    <w:rsid w:val="0051474F"/>
    <w:rsid w:val="00514E01"/>
    <w:rsid w:val="005165AD"/>
    <w:rsid w:val="00516A17"/>
    <w:rsid w:val="00517152"/>
    <w:rsid w:val="00517DCC"/>
    <w:rsid w:val="005202EC"/>
    <w:rsid w:val="005204F2"/>
    <w:rsid w:val="005207D4"/>
    <w:rsid w:val="00520DFF"/>
    <w:rsid w:val="005211B5"/>
    <w:rsid w:val="00522735"/>
    <w:rsid w:val="0052280B"/>
    <w:rsid w:val="00523BEE"/>
    <w:rsid w:val="00524C27"/>
    <w:rsid w:val="00524EDC"/>
    <w:rsid w:val="00526795"/>
    <w:rsid w:val="00526D2A"/>
    <w:rsid w:val="005274E0"/>
    <w:rsid w:val="005276E1"/>
    <w:rsid w:val="00527EE8"/>
    <w:rsid w:val="00530D38"/>
    <w:rsid w:val="00533979"/>
    <w:rsid w:val="00535B52"/>
    <w:rsid w:val="00536019"/>
    <w:rsid w:val="00537D02"/>
    <w:rsid w:val="00537FD3"/>
    <w:rsid w:val="00540F41"/>
    <w:rsid w:val="0054184C"/>
    <w:rsid w:val="00541F40"/>
    <w:rsid w:val="005439B9"/>
    <w:rsid w:val="00543DCE"/>
    <w:rsid w:val="0054479D"/>
    <w:rsid w:val="0054551C"/>
    <w:rsid w:val="0054557F"/>
    <w:rsid w:val="00546B5C"/>
    <w:rsid w:val="005505AB"/>
    <w:rsid w:val="005516FE"/>
    <w:rsid w:val="00552494"/>
    <w:rsid w:val="00553098"/>
    <w:rsid w:val="00555903"/>
    <w:rsid w:val="0055736F"/>
    <w:rsid w:val="00557728"/>
    <w:rsid w:val="005578E4"/>
    <w:rsid w:val="005610B3"/>
    <w:rsid w:val="005615BC"/>
    <w:rsid w:val="00562F57"/>
    <w:rsid w:val="00564737"/>
    <w:rsid w:val="005701EE"/>
    <w:rsid w:val="00570F0F"/>
    <w:rsid w:val="005726CA"/>
    <w:rsid w:val="00572DB6"/>
    <w:rsid w:val="00574C9C"/>
    <w:rsid w:val="00575B21"/>
    <w:rsid w:val="00575B83"/>
    <w:rsid w:val="00575C42"/>
    <w:rsid w:val="00576497"/>
    <w:rsid w:val="00576A8B"/>
    <w:rsid w:val="00576C1B"/>
    <w:rsid w:val="00576D20"/>
    <w:rsid w:val="00576FFB"/>
    <w:rsid w:val="00577113"/>
    <w:rsid w:val="0058064D"/>
    <w:rsid w:val="005814D2"/>
    <w:rsid w:val="00581717"/>
    <w:rsid w:val="00582202"/>
    <w:rsid w:val="00582851"/>
    <w:rsid w:val="0058446D"/>
    <w:rsid w:val="005848B0"/>
    <w:rsid w:val="00584D73"/>
    <w:rsid w:val="0058543E"/>
    <w:rsid w:val="00586958"/>
    <w:rsid w:val="00586A34"/>
    <w:rsid w:val="00587E44"/>
    <w:rsid w:val="0059069B"/>
    <w:rsid w:val="00592502"/>
    <w:rsid w:val="00593337"/>
    <w:rsid w:val="00593502"/>
    <w:rsid w:val="005935B5"/>
    <w:rsid w:val="005937B2"/>
    <w:rsid w:val="005937F7"/>
    <w:rsid w:val="0059417C"/>
    <w:rsid w:val="00594980"/>
    <w:rsid w:val="0059594E"/>
    <w:rsid w:val="00596A13"/>
    <w:rsid w:val="0059746D"/>
    <w:rsid w:val="00597820"/>
    <w:rsid w:val="00597A9C"/>
    <w:rsid w:val="00597F97"/>
    <w:rsid w:val="005A0189"/>
    <w:rsid w:val="005A18C3"/>
    <w:rsid w:val="005A1D8D"/>
    <w:rsid w:val="005A1E16"/>
    <w:rsid w:val="005A457D"/>
    <w:rsid w:val="005A4EE3"/>
    <w:rsid w:val="005A553D"/>
    <w:rsid w:val="005A584C"/>
    <w:rsid w:val="005A604C"/>
    <w:rsid w:val="005A66D2"/>
    <w:rsid w:val="005A6D3A"/>
    <w:rsid w:val="005A6D4F"/>
    <w:rsid w:val="005A741A"/>
    <w:rsid w:val="005A773A"/>
    <w:rsid w:val="005B0633"/>
    <w:rsid w:val="005B0F39"/>
    <w:rsid w:val="005B1CC3"/>
    <w:rsid w:val="005B1F4F"/>
    <w:rsid w:val="005B2925"/>
    <w:rsid w:val="005B36B5"/>
    <w:rsid w:val="005B449D"/>
    <w:rsid w:val="005B47C3"/>
    <w:rsid w:val="005B4EEF"/>
    <w:rsid w:val="005B52C1"/>
    <w:rsid w:val="005B55A0"/>
    <w:rsid w:val="005B5D59"/>
    <w:rsid w:val="005B61CE"/>
    <w:rsid w:val="005B6717"/>
    <w:rsid w:val="005C1566"/>
    <w:rsid w:val="005C23A2"/>
    <w:rsid w:val="005C246B"/>
    <w:rsid w:val="005C2F1F"/>
    <w:rsid w:val="005C46CC"/>
    <w:rsid w:val="005C5A16"/>
    <w:rsid w:val="005C6267"/>
    <w:rsid w:val="005C69A7"/>
    <w:rsid w:val="005C7184"/>
    <w:rsid w:val="005D0543"/>
    <w:rsid w:val="005D08BD"/>
    <w:rsid w:val="005D1060"/>
    <w:rsid w:val="005D1129"/>
    <w:rsid w:val="005D18CA"/>
    <w:rsid w:val="005D26B0"/>
    <w:rsid w:val="005D30B0"/>
    <w:rsid w:val="005D3AA8"/>
    <w:rsid w:val="005D44B3"/>
    <w:rsid w:val="005D4D06"/>
    <w:rsid w:val="005D5967"/>
    <w:rsid w:val="005D607D"/>
    <w:rsid w:val="005D798A"/>
    <w:rsid w:val="005D7D44"/>
    <w:rsid w:val="005E0A03"/>
    <w:rsid w:val="005E1137"/>
    <w:rsid w:val="005E180C"/>
    <w:rsid w:val="005E2B6E"/>
    <w:rsid w:val="005E2C08"/>
    <w:rsid w:val="005E45D1"/>
    <w:rsid w:val="005E4AFB"/>
    <w:rsid w:val="005E4FDA"/>
    <w:rsid w:val="005E529F"/>
    <w:rsid w:val="005E5E03"/>
    <w:rsid w:val="005E7612"/>
    <w:rsid w:val="005E77E2"/>
    <w:rsid w:val="005E7C34"/>
    <w:rsid w:val="005F091C"/>
    <w:rsid w:val="005F099B"/>
    <w:rsid w:val="005F18E8"/>
    <w:rsid w:val="005F23CA"/>
    <w:rsid w:val="005F2621"/>
    <w:rsid w:val="005F5F22"/>
    <w:rsid w:val="005F633B"/>
    <w:rsid w:val="00600CAD"/>
    <w:rsid w:val="00600E02"/>
    <w:rsid w:val="00601CE0"/>
    <w:rsid w:val="006022AE"/>
    <w:rsid w:val="006025E9"/>
    <w:rsid w:val="006036AE"/>
    <w:rsid w:val="00604049"/>
    <w:rsid w:val="00604627"/>
    <w:rsid w:val="006105DF"/>
    <w:rsid w:val="00611380"/>
    <w:rsid w:val="00611A47"/>
    <w:rsid w:val="00611C4C"/>
    <w:rsid w:val="00612DE1"/>
    <w:rsid w:val="006133DD"/>
    <w:rsid w:val="00614A69"/>
    <w:rsid w:val="006160B8"/>
    <w:rsid w:val="00616CAF"/>
    <w:rsid w:val="00616E2B"/>
    <w:rsid w:val="00620BF4"/>
    <w:rsid w:val="00622609"/>
    <w:rsid w:val="00622CA8"/>
    <w:rsid w:val="006230A4"/>
    <w:rsid w:val="006256CC"/>
    <w:rsid w:val="006269ED"/>
    <w:rsid w:val="00626F3F"/>
    <w:rsid w:val="00630162"/>
    <w:rsid w:val="00631905"/>
    <w:rsid w:val="00631BF3"/>
    <w:rsid w:val="00632AD6"/>
    <w:rsid w:val="00633E7D"/>
    <w:rsid w:val="00634414"/>
    <w:rsid w:val="00635D6F"/>
    <w:rsid w:val="0064169B"/>
    <w:rsid w:val="00641F9A"/>
    <w:rsid w:val="0064212F"/>
    <w:rsid w:val="006422DB"/>
    <w:rsid w:val="0064403F"/>
    <w:rsid w:val="00644171"/>
    <w:rsid w:val="00645652"/>
    <w:rsid w:val="00646098"/>
    <w:rsid w:val="006464EB"/>
    <w:rsid w:val="00651C13"/>
    <w:rsid w:val="006527F0"/>
    <w:rsid w:val="006529CA"/>
    <w:rsid w:val="00653B1C"/>
    <w:rsid w:val="00653F4F"/>
    <w:rsid w:val="0065474F"/>
    <w:rsid w:val="006606E0"/>
    <w:rsid w:val="00660F40"/>
    <w:rsid w:val="00661D33"/>
    <w:rsid w:val="006628EB"/>
    <w:rsid w:val="00663755"/>
    <w:rsid w:val="00663DF0"/>
    <w:rsid w:val="00664968"/>
    <w:rsid w:val="00666889"/>
    <w:rsid w:val="00670559"/>
    <w:rsid w:val="00670C1A"/>
    <w:rsid w:val="006717AC"/>
    <w:rsid w:val="00671BE8"/>
    <w:rsid w:val="00671F47"/>
    <w:rsid w:val="0067207C"/>
    <w:rsid w:val="00672140"/>
    <w:rsid w:val="00672C33"/>
    <w:rsid w:val="00673015"/>
    <w:rsid w:val="00674F94"/>
    <w:rsid w:val="00675D9A"/>
    <w:rsid w:val="0067684C"/>
    <w:rsid w:val="00677993"/>
    <w:rsid w:val="00680666"/>
    <w:rsid w:val="0068144E"/>
    <w:rsid w:val="00682BC6"/>
    <w:rsid w:val="00683784"/>
    <w:rsid w:val="0068535C"/>
    <w:rsid w:val="0068625E"/>
    <w:rsid w:val="00687525"/>
    <w:rsid w:val="0069073F"/>
    <w:rsid w:val="00690F97"/>
    <w:rsid w:val="00691002"/>
    <w:rsid w:val="006922D5"/>
    <w:rsid w:val="00692C93"/>
    <w:rsid w:val="006954CF"/>
    <w:rsid w:val="00695AE1"/>
    <w:rsid w:val="006966F4"/>
    <w:rsid w:val="00696D6A"/>
    <w:rsid w:val="006973B7"/>
    <w:rsid w:val="006A0297"/>
    <w:rsid w:val="006A18C4"/>
    <w:rsid w:val="006A1A9B"/>
    <w:rsid w:val="006A1EEC"/>
    <w:rsid w:val="006A227A"/>
    <w:rsid w:val="006A2632"/>
    <w:rsid w:val="006A2723"/>
    <w:rsid w:val="006A2A4B"/>
    <w:rsid w:val="006A3337"/>
    <w:rsid w:val="006A33BB"/>
    <w:rsid w:val="006A42C9"/>
    <w:rsid w:val="006A5422"/>
    <w:rsid w:val="006A6CFB"/>
    <w:rsid w:val="006A734C"/>
    <w:rsid w:val="006A76B0"/>
    <w:rsid w:val="006A7ED4"/>
    <w:rsid w:val="006B12DB"/>
    <w:rsid w:val="006B1416"/>
    <w:rsid w:val="006B1A9A"/>
    <w:rsid w:val="006B1E23"/>
    <w:rsid w:val="006B4AC1"/>
    <w:rsid w:val="006B5B56"/>
    <w:rsid w:val="006B61A8"/>
    <w:rsid w:val="006B6436"/>
    <w:rsid w:val="006B660C"/>
    <w:rsid w:val="006B7E19"/>
    <w:rsid w:val="006B7F0F"/>
    <w:rsid w:val="006C0098"/>
    <w:rsid w:val="006C0724"/>
    <w:rsid w:val="006C0747"/>
    <w:rsid w:val="006C086F"/>
    <w:rsid w:val="006C3855"/>
    <w:rsid w:val="006C38B0"/>
    <w:rsid w:val="006C3DF2"/>
    <w:rsid w:val="006C3F97"/>
    <w:rsid w:val="006C4413"/>
    <w:rsid w:val="006C5193"/>
    <w:rsid w:val="006C55AF"/>
    <w:rsid w:val="006C55EE"/>
    <w:rsid w:val="006C5E16"/>
    <w:rsid w:val="006C622D"/>
    <w:rsid w:val="006D04F7"/>
    <w:rsid w:val="006D0A16"/>
    <w:rsid w:val="006D2D44"/>
    <w:rsid w:val="006D3393"/>
    <w:rsid w:val="006D4352"/>
    <w:rsid w:val="006D4423"/>
    <w:rsid w:val="006D45EB"/>
    <w:rsid w:val="006D50C6"/>
    <w:rsid w:val="006D517B"/>
    <w:rsid w:val="006D5241"/>
    <w:rsid w:val="006D5384"/>
    <w:rsid w:val="006D5C86"/>
    <w:rsid w:val="006E324D"/>
    <w:rsid w:val="006E39CF"/>
    <w:rsid w:val="006E3A3C"/>
    <w:rsid w:val="006E3F03"/>
    <w:rsid w:val="006E5385"/>
    <w:rsid w:val="006E57F4"/>
    <w:rsid w:val="006E6C11"/>
    <w:rsid w:val="006F1469"/>
    <w:rsid w:val="006F3434"/>
    <w:rsid w:val="006F440C"/>
    <w:rsid w:val="006F4B82"/>
    <w:rsid w:val="006F69C3"/>
    <w:rsid w:val="006F7990"/>
    <w:rsid w:val="0070073B"/>
    <w:rsid w:val="00700EE4"/>
    <w:rsid w:val="00701F18"/>
    <w:rsid w:val="0070206C"/>
    <w:rsid w:val="00703217"/>
    <w:rsid w:val="0070522C"/>
    <w:rsid w:val="0070559D"/>
    <w:rsid w:val="007055A5"/>
    <w:rsid w:val="007065EF"/>
    <w:rsid w:val="00711331"/>
    <w:rsid w:val="00713054"/>
    <w:rsid w:val="007137F0"/>
    <w:rsid w:val="00714583"/>
    <w:rsid w:val="0071596A"/>
    <w:rsid w:val="00715C95"/>
    <w:rsid w:val="007166C6"/>
    <w:rsid w:val="00716705"/>
    <w:rsid w:val="00717D47"/>
    <w:rsid w:val="00720AE8"/>
    <w:rsid w:val="00721E7F"/>
    <w:rsid w:val="00722BEA"/>
    <w:rsid w:val="00722D11"/>
    <w:rsid w:val="00722DC0"/>
    <w:rsid w:val="007231E7"/>
    <w:rsid w:val="007232E7"/>
    <w:rsid w:val="0072344E"/>
    <w:rsid w:val="00724864"/>
    <w:rsid w:val="00724A20"/>
    <w:rsid w:val="00725E22"/>
    <w:rsid w:val="0072630F"/>
    <w:rsid w:val="007308CF"/>
    <w:rsid w:val="0073141D"/>
    <w:rsid w:val="0073275B"/>
    <w:rsid w:val="00732C4E"/>
    <w:rsid w:val="00733285"/>
    <w:rsid w:val="007340D2"/>
    <w:rsid w:val="00734BF3"/>
    <w:rsid w:val="00736A2B"/>
    <w:rsid w:val="00736BFC"/>
    <w:rsid w:val="00736E6A"/>
    <w:rsid w:val="00737998"/>
    <w:rsid w:val="0073799E"/>
    <w:rsid w:val="00740ED1"/>
    <w:rsid w:val="00741274"/>
    <w:rsid w:val="00742434"/>
    <w:rsid w:val="0074249F"/>
    <w:rsid w:val="00744341"/>
    <w:rsid w:val="00747F91"/>
    <w:rsid w:val="0075074F"/>
    <w:rsid w:val="0075161E"/>
    <w:rsid w:val="007549B3"/>
    <w:rsid w:val="0075766D"/>
    <w:rsid w:val="00761CC1"/>
    <w:rsid w:val="007637F5"/>
    <w:rsid w:val="00766D80"/>
    <w:rsid w:val="00767600"/>
    <w:rsid w:val="007676E8"/>
    <w:rsid w:val="00770327"/>
    <w:rsid w:val="00771C3A"/>
    <w:rsid w:val="007741FF"/>
    <w:rsid w:val="00775FAD"/>
    <w:rsid w:val="007767B5"/>
    <w:rsid w:val="0077724D"/>
    <w:rsid w:val="00777989"/>
    <w:rsid w:val="00777990"/>
    <w:rsid w:val="0078243F"/>
    <w:rsid w:val="007834EF"/>
    <w:rsid w:val="00783596"/>
    <w:rsid w:val="00783C12"/>
    <w:rsid w:val="00786921"/>
    <w:rsid w:val="00787D98"/>
    <w:rsid w:val="00790DEA"/>
    <w:rsid w:val="0079158B"/>
    <w:rsid w:val="00791FCC"/>
    <w:rsid w:val="007947DA"/>
    <w:rsid w:val="00794F58"/>
    <w:rsid w:val="007951C9"/>
    <w:rsid w:val="00796336"/>
    <w:rsid w:val="0079680B"/>
    <w:rsid w:val="00796887"/>
    <w:rsid w:val="00797887"/>
    <w:rsid w:val="00797BFE"/>
    <w:rsid w:val="007A01D7"/>
    <w:rsid w:val="007A2413"/>
    <w:rsid w:val="007A2B38"/>
    <w:rsid w:val="007A2EB2"/>
    <w:rsid w:val="007A3934"/>
    <w:rsid w:val="007A5C54"/>
    <w:rsid w:val="007A5F9F"/>
    <w:rsid w:val="007B0A69"/>
    <w:rsid w:val="007B13AF"/>
    <w:rsid w:val="007B34EC"/>
    <w:rsid w:val="007C0664"/>
    <w:rsid w:val="007C10B2"/>
    <w:rsid w:val="007C10BC"/>
    <w:rsid w:val="007C26B0"/>
    <w:rsid w:val="007C4C84"/>
    <w:rsid w:val="007C5399"/>
    <w:rsid w:val="007C66E7"/>
    <w:rsid w:val="007C7C77"/>
    <w:rsid w:val="007D1B5C"/>
    <w:rsid w:val="007D224A"/>
    <w:rsid w:val="007D33FA"/>
    <w:rsid w:val="007D398F"/>
    <w:rsid w:val="007D3DDF"/>
    <w:rsid w:val="007D5E50"/>
    <w:rsid w:val="007D6646"/>
    <w:rsid w:val="007D77AD"/>
    <w:rsid w:val="007E0D60"/>
    <w:rsid w:val="007E1E4C"/>
    <w:rsid w:val="007E4523"/>
    <w:rsid w:val="007E471C"/>
    <w:rsid w:val="007E52CC"/>
    <w:rsid w:val="007E56BB"/>
    <w:rsid w:val="007E5BC8"/>
    <w:rsid w:val="007E6133"/>
    <w:rsid w:val="007E6FAE"/>
    <w:rsid w:val="007E76CB"/>
    <w:rsid w:val="007F0431"/>
    <w:rsid w:val="007F06BD"/>
    <w:rsid w:val="007F0A15"/>
    <w:rsid w:val="007F1889"/>
    <w:rsid w:val="007F3245"/>
    <w:rsid w:val="007F3CD6"/>
    <w:rsid w:val="007F410A"/>
    <w:rsid w:val="007F4272"/>
    <w:rsid w:val="007F4541"/>
    <w:rsid w:val="007F483D"/>
    <w:rsid w:val="007F7A56"/>
    <w:rsid w:val="00800950"/>
    <w:rsid w:val="00800A39"/>
    <w:rsid w:val="00801105"/>
    <w:rsid w:val="008012C4"/>
    <w:rsid w:val="00802A06"/>
    <w:rsid w:val="00802A65"/>
    <w:rsid w:val="00802C88"/>
    <w:rsid w:val="00807B41"/>
    <w:rsid w:val="00810260"/>
    <w:rsid w:val="008116F8"/>
    <w:rsid w:val="00811FE7"/>
    <w:rsid w:val="008127CC"/>
    <w:rsid w:val="00812ADA"/>
    <w:rsid w:val="008146DB"/>
    <w:rsid w:val="00814C85"/>
    <w:rsid w:val="00816003"/>
    <w:rsid w:val="008205E9"/>
    <w:rsid w:val="0082064E"/>
    <w:rsid w:val="00820932"/>
    <w:rsid w:val="008219D4"/>
    <w:rsid w:val="00822C35"/>
    <w:rsid w:val="00822C89"/>
    <w:rsid w:val="0082663A"/>
    <w:rsid w:val="00827725"/>
    <w:rsid w:val="00827F6A"/>
    <w:rsid w:val="008315D5"/>
    <w:rsid w:val="00832640"/>
    <w:rsid w:val="00833D63"/>
    <w:rsid w:val="00833D88"/>
    <w:rsid w:val="00834D0F"/>
    <w:rsid w:val="00834D1F"/>
    <w:rsid w:val="008366C5"/>
    <w:rsid w:val="008367B1"/>
    <w:rsid w:val="00836D50"/>
    <w:rsid w:val="008373A2"/>
    <w:rsid w:val="00840933"/>
    <w:rsid w:val="00840BB7"/>
    <w:rsid w:val="00842C62"/>
    <w:rsid w:val="00842D08"/>
    <w:rsid w:val="00843E0E"/>
    <w:rsid w:val="00845768"/>
    <w:rsid w:val="00845BB0"/>
    <w:rsid w:val="00846169"/>
    <w:rsid w:val="008503CD"/>
    <w:rsid w:val="0085333E"/>
    <w:rsid w:val="008535D7"/>
    <w:rsid w:val="00854AAB"/>
    <w:rsid w:val="00855520"/>
    <w:rsid w:val="00856E5B"/>
    <w:rsid w:val="00856F11"/>
    <w:rsid w:val="008573F6"/>
    <w:rsid w:val="008605A3"/>
    <w:rsid w:val="00861105"/>
    <w:rsid w:val="00862044"/>
    <w:rsid w:val="0086388A"/>
    <w:rsid w:val="00864843"/>
    <w:rsid w:val="00866C79"/>
    <w:rsid w:val="00874FAA"/>
    <w:rsid w:val="008758CB"/>
    <w:rsid w:val="00875906"/>
    <w:rsid w:val="0087655B"/>
    <w:rsid w:val="0087734F"/>
    <w:rsid w:val="00877945"/>
    <w:rsid w:val="00884796"/>
    <w:rsid w:val="0088748E"/>
    <w:rsid w:val="00887E38"/>
    <w:rsid w:val="008919D9"/>
    <w:rsid w:val="00892EF1"/>
    <w:rsid w:val="00893AE4"/>
    <w:rsid w:val="0089474E"/>
    <w:rsid w:val="0089576D"/>
    <w:rsid w:val="00895CC4"/>
    <w:rsid w:val="0089751A"/>
    <w:rsid w:val="00897EF6"/>
    <w:rsid w:val="008A01DE"/>
    <w:rsid w:val="008A20B7"/>
    <w:rsid w:val="008A3020"/>
    <w:rsid w:val="008A3327"/>
    <w:rsid w:val="008A3498"/>
    <w:rsid w:val="008A4D68"/>
    <w:rsid w:val="008A5510"/>
    <w:rsid w:val="008A55B8"/>
    <w:rsid w:val="008A5778"/>
    <w:rsid w:val="008A5B87"/>
    <w:rsid w:val="008A746A"/>
    <w:rsid w:val="008A7F04"/>
    <w:rsid w:val="008B31AA"/>
    <w:rsid w:val="008B3A63"/>
    <w:rsid w:val="008B74D7"/>
    <w:rsid w:val="008C0B6C"/>
    <w:rsid w:val="008C2057"/>
    <w:rsid w:val="008C4C7D"/>
    <w:rsid w:val="008C5182"/>
    <w:rsid w:val="008C5E07"/>
    <w:rsid w:val="008C662A"/>
    <w:rsid w:val="008C70EA"/>
    <w:rsid w:val="008C74FF"/>
    <w:rsid w:val="008D2C67"/>
    <w:rsid w:val="008D2D34"/>
    <w:rsid w:val="008D3095"/>
    <w:rsid w:val="008D35B3"/>
    <w:rsid w:val="008D3CA9"/>
    <w:rsid w:val="008D4AB0"/>
    <w:rsid w:val="008D4E74"/>
    <w:rsid w:val="008D521A"/>
    <w:rsid w:val="008D57B1"/>
    <w:rsid w:val="008D623D"/>
    <w:rsid w:val="008E0D68"/>
    <w:rsid w:val="008E32A5"/>
    <w:rsid w:val="008E34F3"/>
    <w:rsid w:val="008E3E58"/>
    <w:rsid w:val="008E40A6"/>
    <w:rsid w:val="008E4609"/>
    <w:rsid w:val="008E55EB"/>
    <w:rsid w:val="008E5957"/>
    <w:rsid w:val="008E6A6D"/>
    <w:rsid w:val="008E7C64"/>
    <w:rsid w:val="008F01C5"/>
    <w:rsid w:val="008F2B79"/>
    <w:rsid w:val="008F323A"/>
    <w:rsid w:val="008F37AA"/>
    <w:rsid w:val="008F38C3"/>
    <w:rsid w:val="008F3E3B"/>
    <w:rsid w:val="008F557F"/>
    <w:rsid w:val="008F594D"/>
    <w:rsid w:val="008F6FF4"/>
    <w:rsid w:val="008F72A3"/>
    <w:rsid w:val="008F7751"/>
    <w:rsid w:val="008F77BF"/>
    <w:rsid w:val="008F78FA"/>
    <w:rsid w:val="00900B18"/>
    <w:rsid w:val="00900B3B"/>
    <w:rsid w:val="00901C63"/>
    <w:rsid w:val="0090207C"/>
    <w:rsid w:val="00902498"/>
    <w:rsid w:val="00902869"/>
    <w:rsid w:val="00903072"/>
    <w:rsid w:val="0090426E"/>
    <w:rsid w:val="00904D22"/>
    <w:rsid w:val="00905A7C"/>
    <w:rsid w:val="00905D22"/>
    <w:rsid w:val="00906275"/>
    <w:rsid w:val="009062B0"/>
    <w:rsid w:val="00906DAD"/>
    <w:rsid w:val="0090713E"/>
    <w:rsid w:val="009109B0"/>
    <w:rsid w:val="00910ED4"/>
    <w:rsid w:val="00912BC1"/>
    <w:rsid w:val="00913468"/>
    <w:rsid w:val="009141BB"/>
    <w:rsid w:val="00914C5C"/>
    <w:rsid w:val="009155A5"/>
    <w:rsid w:val="00921137"/>
    <w:rsid w:val="0092161C"/>
    <w:rsid w:val="0092183B"/>
    <w:rsid w:val="0092383D"/>
    <w:rsid w:val="00923A44"/>
    <w:rsid w:val="00923CDD"/>
    <w:rsid w:val="00925297"/>
    <w:rsid w:val="009256CE"/>
    <w:rsid w:val="00926D7E"/>
    <w:rsid w:val="00926DDB"/>
    <w:rsid w:val="00926EB2"/>
    <w:rsid w:val="00927759"/>
    <w:rsid w:val="00931660"/>
    <w:rsid w:val="00931D66"/>
    <w:rsid w:val="00933822"/>
    <w:rsid w:val="00933B34"/>
    <w:rsid w:val="00934A05"/>
    <w:rsid w:val="00934A33"/>
    <w:rsid w:val="009365BA"/>
    <w:rsid w:val="009378FB"/>
    <w:rsid w:val="009401B0"/>
    <w:rsid w:val="00942C98"/>
    <w:rsid w:val="00944093"/>
    <w:rsid w:val="00944D3D"/>
    <w:rsid w:val="009454BC"/>
    <w:rsid w:val="00945692"/>
    <w:rsid w:val="00945C87"/>
    <w:rsid w:val="00945F64"/>
    <w:rsid w:val="00946EE3"/>
    <w:rsid w:val="00947A81"/>
    <w:rsid w:val="0095081D"/>
    <w:rsid w:val="009522C3"/>
    <w:rsid w:val="009528DD"/>
    <w:rsid w:val="0095324E"/>
    <w:rsid w:val="0095352C"/>
    <w:rsid w:val="00953571"/>
    <w:rsid w:val="00953913"/>
    <w:rsid w:val="009553EA"/>
    <w:rsid w:val="00955C46"/>
    <w:rsid w:val="0095678A"/>
    <w:rsid w:val="009572D3"/>
    <w:rsid w:val="00960960"/>
    <w:rsid w:val="009618DE"/>
    <w:rsid w:val="009649E8"/>
    <w:rsid w:val="00964F04"/>
    <w:rsid w:val="00967965"/>
    <w:rsid w:val="00970EE1"/>
    <w:rsid w:val="00970F22"/>
    <w:rsid w:val="00972087"/>
    <w:rsid w:val="0097291A"/>
    <w:rsid w:val="00972C8D"/>
    <w:rsid w:val="00972CCC"/>
    <w:rsid w:val="00973135"/>
    <w:rsid w:val="009733D1"/>
    <w:rsid w:val="009733E5"/>
    <w:rsid w:val="00974313"/>
    <w:rsid w:val="00975A54"/>
    <w:rsid w:val="009779AA"/>
    <w:rsid w:val="009822AC"/>
    <w:rsid w:val="009823DD"/>
    <w:rsid w:val="0098355C"/>
    <w:rsid w:val="00990C8D"/>
    <w:rsid w:val="00991D1F"/>
    <w:rsid w:val="00992161"/>
    <w:rsid w:val="00992AB4"/>
    <w:rsid w:val="009935C1"/>
    <w:rsid w:val="00993D12"/>
    <w:rsid w:val="0099665F"/>
    <w:rsid w:val="00996F00"/>
    <w:rsid w:val="0099758D"/>
    <w:rsid w:val="009A0128"/>
    <w:rsid w:val="009A0E0E"/>
    <w:rsid w:val="009A2562"/>
    <w:rsid w:val="009A36CB"/>
    <w:rsid w:val="009A3F41"/>
    <w:rsid w:val="009A6C60"/>
    <w:rsid w:val="009A6F0A"/>
    <w:rsid w:val="009A7124"/>
    <w:rsid w:val="009A75F8"/>
    <w:rsid w:val="009A7A92"/>
    <w:rsid w:val="009A7EBB"/>
    <w:rsid w:val="009B2C78"/>
    <w:rsid w:val="009B3320"/>
    <w:rsid w:val="009B36F7"/>
    <w:rsid w:val="009B506A"/>
    <w:rsid w:val="009B69DF"/>
    <w:rsid w:val="009B70AF"/>
    <w:rsid w:val="009C10E1"/>
    <w:rsid w:val="009C126A"/>
    <w:rsid w:val="009C1E8B"/>
    <w:rsid w:val="009C2179"/>
    <w:rsid w:val="009C2CB3"/>
    <w:rsid w:val="009C4101"/>
    <w:rsid w:val="009C4D1E"/>
    <w:rsid w:val="009C54B5"/>
    <w:rsid w:val="009C57E5"/>
    <w:rsid w:val="009C761E"/>
    <w:rsid w:val="009D3DB3"/>
    <w:rsid w:val="009D5084"/>
    <w:rsid w:val="009D527B"/>
    <w:rsid w:val="009D6833"/>
    <w:rsid w:val="009D6B79"/>
    <w:rsid w:val="009D6DB8"/>
    <w:rsid w:val="009D7A50"/>
    <w:rsid w:val="009E0748"/>
    <w:rsid w:val="009E085F"/>
    <w:rsid w:val="009E0FD2"/>
    <w:rsid w:val="009E142C"/>
    <w:rsid w:val="009E2EC8"/>
    <w:rsid w:val="009E3411"/>
    <w:rsid w:val="009E4CD5"/>
    <w:rsid w:val="009E5FEF"/>
    <w:rsid w:val="009E72A9"/>
    <w:rsid w:val="009E7741"/>
    <w:rsid w:val="009F20BA"/>
    <w:rsid w:val="009F3BDE"/>
    <w:rsid w:val="009F4DE3"/>
    <w:rsid w:val="009F648F"/>
    <w:rsid w:val="009F7E62"/>
    <w:rsid w:val="00A02370"/>
    <w:rsid w:val="00A02A15"/>
    <w:rsid w:val="00A03D04"/>
    <w:rsid w:val="00A041A1"/>
    <w:rsid w:val="00A04664"/>
    <w:rsid w:val="00A054E1"/>
    <w:rsid w:val="00A12869"/>
    <w:rsid w:val="00A13BA9"/>
    <w:rsid w:val="00A14E6C"/>
    <w:rsid w:val="00A14F64"/>
    <w:rsid w:val="00A15312"/>
    <w:rsid w:val="00A15B4D"/>
    <w:rsid w:val="00A20476"/>
    <w:rsid w:val="00A20F26"/>
    <w:rsid w:val="00A22FE0"/>
    <w:rsid w:val="00A25B3B"/>
    <w:rsid w:val="00A26A90"/>
    <w:rsid w:val="00A26D09"/>
    <w:rsid w:val="00A2746E"/>
    <w:rsid w:val="00A31269"/>
    <w:rsid w:val="00A31D64"/>
    <w:rsid w:val="00A35ED0"/>
    <w:rsid w:val="00A379F0"/>
    <w:rsid w:val="00A37F1D"/>
    <w:rsid w:val="00A402D5"/>
    <w:rsid w:val="00A41202"/>
    <w:rsid w:val="00A43423"/>
    <w:rsid w:val="00A436A9"/>
    <w:rsid w:val="00A438BF"/>
    <w:rsid w:val="00A43B7F"/>
    <w:rsid w:val="00A45256"/>
    <w:rsid w:val="00A45CFE"/>
    <w:rsid w:val="00A46AFC"/>
    <w:rsid w:val="00A513D2"/>
    <w:rsid w:val="00A53426"/>
    <w:rsid w:val="00A53FDC"/>
    <w:rsid w:val="00A54D4C"/>
    <w:rsid w:val="00A55C33"/>
    <w:rsid w:val="00A55EFB"/>
    <w:rsid w:val="00A566F8"/>
    <w:rsid w:val="00A577BE"/>
    <w:rsid w:val="00A5796F"/>
    <w:rsid w:val="00A604D2"/>
    <w:rsid w:val="00A61CBB"/>
    <w:rsid w:val="00A63773"/>
    <w:rsid w:val="00A65611"/>
    <w:rsid w:val="00A65DCD"/>
    <w:rsid w:val="00A65F85"/>
    <w:rsid w:val="00A66E84"/>
    <w:rsid w:val="00A6701F"/>
    <w:rsid w:val="00A6776E"/>
    <w:rsid w:val="00A678D5"/>
    <w:rsid w:val="00A67F8C"/>
    <w:rsid w:val="00A7040E"/>
    <w:rsid w:val="00A71073"/>
    <w:rsid w:val="00A71884"/>
    <w:rsid w:val="00A7300A"/>
    <w:rsid w:val="00A7336D"/>
    <w:rsid w:val="00A7522B"/>
    <w:rsid w:val="00A754C7"/>
    <w:rsid w:val="00A75F75"/>
    <w:rsid w:val="00A765B2"/>
    <w:rsid w:val="00A76F60"/>
    <w:rsid w:val="00A7740B"/>
    <w:rsid w:val="00A778A4"/>
    <w:rsid w:val="00A80207"/>
    <w:rsid w:val="00A80D8F"/>
    <w:rsid w:val="00A829C7"/>
    <w:rsid w:val="00A83794"/>
    <w:rsid w:val="00A84168"/>
    <w:rsid w:val="00A841AF"/>
    <w:rsid w:val="00A869CA"/>
    <w:rsid w:val="00A9080A"/>
    <w:rsid w:val="00A90A8D"/>
    <w:rsid w:val="00A9109E"/>
    <w:rsid w:val="00A92496"/>
    <w:rsid w:val="00A92B99"/>
    <w:rsid w:val="00A9327F"/>
    <w:rsid w:val="00A93EFF"/>
    <w:rsid w:val="00A948FF"/>
    <w:rsid w:val="00A94A83"/>
    <w:rsid w:val="00A96627"/>
    <w:rsid w:val="00AA0592"/>
    <w:rsid w:val="00AA0E64"/>
    <w:rsid w:val="00AA123A"/>
    <w:rsid w:val="00AA1CE2"/>
    <w:rsid w:val="00AA2671"/>
    <w:rsid w:val="00AA2D4C"/>
    <w:rsid w:val="00AA59EE"/>
    <w:rsid w:val="00AA6800"/>
    <w:rsid w:val="00AA722F"/>
    <w:rsid w:val="00AA7EDA"/>
    <w:rsid w:val="00AB1F8E"/>
    <w:rsid w:val="00AB200D"/>
    <w:rsid w:val="00AB212A"/>
    <w:rsid w:val="00AB2510"/>
    <w:rsid w:val="00AB3618"/>
    <w:rsid w:val="00AB3AA6"/>
    <w:rsid w:val="00AB4808"/>
    <w:rsid w:val="00AB5930"/>
    <w:rsid w:val="00AB5E6D"/>
    <w:rsid w:val="00AB7645"/>
    <w:rsid w:val="00AB7BB3"/>
    <w:rsid w:val="00AC0CE3"/>
    <w:rsid w:val="00AC12A6"/>
    <w:rsid w:val="00AC46DB"/>
    <w:rsid w:val="00AC5563"/>
    <w:rsid w:val="00AC695D"/>
    <w:rsid w:val="00AC7330"/>
    <w:rsid w:val="00AD01FE"/>
    <w:rsid w:val="00AD0413"/>
    <w:rsid w:val="00AD06A2"/>
    <w:rsid w:val="00AD1A97"/>
    <w:rsid w:val="00AD20F1"/>
    <w:rsid w:val="00AD22BA"/>
    <w:rsid w:val="00AD2BF3"/>
    <w:rsid w:val="00AD39A2"/>
    <w:rsid w:val="00AD457D"/>
    <w:rsid w:val="00AD4A1B"/>
    <w:rsid w:val="00AD51BC"/>
    <w:rsid w:val="00AD5DC2"/>
    <w:rsid w:val="00AD6460"/>
    <w:rsid w:val="00AD6522"/>
    <w:rsid w:val="00AD7472"/>
    <w:rsid w:val="00AD76B4"/>
    <w:rsid w:val="00AE0B1D"/>
    <w:rsid w:val="00AE1A7B"/>
    <w:rsid w:val="00AE321E"/>
    <w:rsid w:val="00AE4A2F"/>
    <w:rsid w:val="00AE4BB0"/>
    <w:rsid w:val="00AE5E30"/>
    <w:rsid w:val="00AE5E59"/>
    <w:rsid w:val="00AE6A3B"/>
    <w:rsid w:val="00AF0299"/>
    <w:rsid w:val="00AF0EC7"/>
    <w:rsid w:val="00AF128C"/>
    <w:rsid w:val="00AF18C8"/>
    <w:rsid w:val="00AF2156"/>
    <w:rsid w:val="00AF270A"/>
    <w:rsid w:val="00AF4B53"/>
    <w:rsid w:val="00AF505D"/>
    <w:rsid w:val="00AF7715"/>
    <w:rsid w:val="00B004C4"/>
    <w:rsid w:val="00B02FE2"/>
    <w:rsid w:val="00B03D78"/>
    <w:rsid w:val="00B05272"/>
    <w:rsid w:val="00B05610"/>
    <w:rsid w:val="00B05A28"/>
    <w:rsid w:val="00B10744"/>
    <w:rsid w:val="00B10EFE"/>
    <w:rsid w:val="00B111A3"/>
    <w:rsid w:val="00B11D58"/>
    <w:rsid w:val="00B12A04"/>
    <w:rsid w:val="00B13E22"/>
    <w:rsid w:val="00B13ED5"/>
    <w:rsid w:val="00B14136"/>
    <w:rsid w:val="00B1415B"/>
    <w:rsid w:val="00B151D8"/>
    <w:rsid w:val="00B15385"/>
    <w:rsid w:val="00B15465"/>
    <w:rsid w:val="00B15E5E"/>
    <w:rsid w:val="00B17381"/>
    <w:rsid w:val="00B177F6"/>
    <w:rsid w:val="00B17A35"/>
    <w:rsid w:val="00B21273"/>
    <w:rsid w:val="00B21924"/>
    <w:rsid w:val="00B2235B"/>
    <w:rsid w:val="00B2426A"/>
    <w:rsid w:val="00B2433F"/>
    <w:rsid w:val="00B24DDC"/>
    <w:rsid w:val="00B25078"/>
    <w:rsid w:val="00B253EE"/>
    <w:rsid w:val="00B25E3F"/>
    <w:rsid w:val="00B27C67"/>
    <w:rsid w:val="00B30DC7"/>
    <w:rsid w:val="00B32990"/>
    <w:rsid w:val="00B32B90"/>
    <w:rsid w:val="00B3425A"/>
    <w:rsid w:val="00B34D90"/>
    <w:rsid w:val="00B34E2E"/>
    <w:rsid w:val="00B35F20"/>
    <w:rsid w:val="00B36609"/>
    <w:rsid w:val="00B36F17"/>
    <w:rsid w:val="00B370D9"/>
    <w:rsid w:val="00B40423"/>
    <w:rsid w:val="00B43049"/>
    <w:rsid w:val="00B45241"/>
    <w:rsid w:val="00B455A9"/>
    <w:rsid w:val="00B46602"/>
    <w:rsid w:val="00B47494"/>
    <w:rsid w:val="00B50912"/>
    <w:rsid w:val="00B5231B"/>
    <w:rsid w:val="00B523BF"/>
    <w:rsid w:val="00B52B85"/>
    <w:rsid w:val="00B5308E"/>
    <w:rsid w:val="00B55875"/>
    <w:rsid w:val="00B56F0E"/>
    <w:rsid w:val="00B57881"/>
    <w:rsid w:val="00B57D4D"/>
    <w:rsid w:val="00B60047"/>
    <w:rsid w:val="00B60A8B"/>
    <w:rsid w:val="00B62186"/>
    <w:rsid w:val="00B657D8"/>
    <w:rsid w:val="00B662E7"/>
    <w:rsid w:val="00B66540"/>
    <w:rsid w:val="00B665E6"/>
    <w:rsid w:val="00B669E3"/>
    <w:rsid w:val="00B67B9E"/>
    <w:rsid w:val="00B70651"/>
    <w:rsid w:val="00B71338"/>
    <w:rsid w:val="00B71444"/>
    <w:rsid w:val="00B7161C"/>
    <w:rsid w:val="00B72004"/>
    <w:rsid w:val="00B72774"/>
    <w:rsid w:val="00B72959"/>
    <w:rsid w:val="00B74893"/>
    <w:rsid w:val="00B749DB"/>
    <w:rsid w:val="00B752DC"/>
    <w:rsid w:val="00B75F1D"/>
    <w:rsid w:val="00B76096"/>
    <w:rsid w:val="00B80981"/>
    <w:rsid w:val="00B80E34"/>
    <w:rsid w:val="00B8191F"/>
    <w:rsid w:val="00B82477"/>
    <w:rsid w:val="00B82BB6"/>
    <w:rsid w:val="00B82FB1"/>
    <w:rsid w:val="00B83DF7"/>
    <w:rsid w:val="00B84EBC"/>
    <w:rsid w:val="00B85140"/>
    <w:rsid w:val="00B86CD6"/>
    <w:rsid w:val="00B87148"/>
    <w:rsid w:val="00B87D1C"/>
    <w:rsid w:val="00B908D7"/>
    <w:rsid w:val="00B90A14"/>
    <w:rsid w:val="00B91402"/>
    <w:rsid w:val="00B918F5"/>
    <w:rsid w:val="00B91FA1"/>
    <w:rsid w:val="00B9228A"/>
    <w:rsid w:val="00B92704"/>
    <w:rsid w:val="00B931FC"/>
    <w:rsid w:val="00B9424B"/>
    <w:rsid w:val="00B9668A"/>
    <w:rsid w:val="00B97805"/>
    <w:rsid w:val="00B979B7"/>
    <w:rsid w:val="00BA0B06"/>
    <w:rsid w:val="00BA0B53"/>
    <w:rsid w:val="00BA1272"/>
    <w:rsid w:val="00BA1E13"/>
    <w:rsid w:val="00BA3845"/>
    <w:rsid w:val="00BA6861"/>
    <w:rsid w:val="00BA69C2"/>
    <w:rsid w:val="00BA6EF8"/>
    <w:rsid w:val="00BA7C6F"/>
    <w:rsid w:val="00BB1523"/>
    <w:rsid w:val="00BB2EB4"/>
    <w:rsid w:val="00BB3D51"/>
    <w:rsid w:val="00BB4B1A"/>
    <w:rsid w:val="00BB507D"/>
    <w:rsid w:val="00BB5CDC"/>
    <w:rsid w:val="00BB6084"/>
    <w:rsid w:val="00BB69A7"/>
    <w:rsid w:val="00BC048C"/>
    <w:rsid w:val="00BC0860"/>
    <w:rsid w:val="00BC0995"/>
    <w:rsid w:val="00BC19B3"/>
    <w:rsid w:val="00BC26F4"/>
    <w:rsid w:val="00BC518A"/>
    <w:rsid w:val="00BC5656"/>
    <w:rsid w:val="00BC650E"/>
    <w:rsid w:val="00BC7B93"/>
    <w:rsid w:val="00BC7D41"/>
    <w:rsid w:val="00BD0099"/>
    <w:rsid w:val="00BD2C8C"/>
    <w:rsid w:val="00BD3198"/>
    <w:rsid w:val="00BD3B53"/>
    <w:rsid w:val="00BD42FC"/>
    <w:rsid w:val="00BD464B"/>
    <w:rsid w:val="00BD776C"/>
    <w:rsid w:val="00BD7C55"/>
    <w:rsid w:val="00BD7F84"/>
    <w:rsid w:val="00BE0828"/>
    <w:rsid w:val="00BE0F6C"/>
    <w:rsid w:val="00BE1813"/>
    <w:rsid w:val="00BE1A47"/>
    <w:rsid w:val="00BE2E08"/>
    <w:rsid w:val="00BE4B92"/>
    <w:rsid w:val="00BE4E79"/>
    <w:rsid w:val="00BE7E5F"/>
    <w:rsid w:val="00BF0C0B"/>
    <w:rsid w:val="00BF189F"/>
    <w:rsid w:val="00BF214D"/>
    <w:rsid w:val="00BF243C"/>
    <w:rsid w:val="00BF266B"/>
    <w:rsid w:val="00BF2D64"/>
    <w:rsid w:val="00BF3595"/>
    <w:rsid w:val="00BF3C2A"/>
    <w:rsid w:val="00BF41AD"/>
    <w:rsid w:val="00BF7EA7"/>
    <w:rsid w:val="00C0036C"/>
    <w:rsid w:val="00C0176B"/>
    <w:rsid w:val="00C01899"/>
    <w:rsid w:val="00C01E6E"/>
    <w:rsid w:val="00C02087"/>
    <w:rsid w:val="00C0244B"/>
    <w:rsid w:val="00C02618"/>
    <w:rsid w:val="00C02AD3"/>
    <w:rsid w:val="00C02B79"/>
    <w:rsid w:val="00C032D6"/>
    <w:rsid w:val="00C053E4"/>
    <w:rsid w:val="00C073B2"/>
    <w:rsid w:val="00C101F2"/>
    <w:rsid w:val="00C107F9"/>
    <w:rsid w:val="00C10BC3"/>
    <w:rsid w:val="00C10E12"/>
    <w:rsid w:val="00C118FB"/>
    <w:rsid w:val="00C12011"/>
    <w:rsid w:val="00C1300B"/>
    <w:rsid w:val="00C140C8"/>
    <w:rsid w:val="00C15D93"/>
    <w:rsid w:val="00C166A3"/>
    <w:rsid w:val="00C173B3"/>
    <w:rsid w:val="00C21161"/>
    <w:rsid w:val="00C23B86"/>
    <w:rsid w:val="00C26053"/>
    <w:rsid w:val="00C26390"/>
    <w:rsid w:val="00C27000"/>
    <w:rsid w:val="00C27414"/>
    <w:rsid w:val="00C279F3"/>
    <w:rsid w:val="00C27BA0"/>
    <w:rsid w:val="00C3311A"/>
    <w:rsid w:val="00C33AC1"/>
    <w:rsid w:val="00C34373"/>
    <w:rsid w:val="00C360C3"/>
    <w:rsid w:val="00C363B9"/>
    <w:rsid w:val="00C366B8"/>
    <w:rsid w:val="00C36D4E"/>
    <w:rsid w:val="00C36DE7"/>
    <w:rsid w:val="00C373AF"/>
    <w:rsid w:val="00C37B2E"/>
    <w:rsid w:val="00C40082"/>
    <w:rsid w:val="00C40BC5"/>
    <w:rsid w:val="00C426B3"/>
    <w:rsid w:val="00C427EB"/>
    <w:rsid w:val="00C42A28"/>
    <w:rsid w:val="00C42B2B"/>
    <w:rsid w:val="00C42FAF"/>
    <w:rsid w:val="00C4350C"/>
    <w:rsid w:val="00C43DAE"/>
    <w:rsid w:val="00C5257B"/>
    <w:rsid w:val="00C53AFC"/>
    <w:rsid w:val="00C54833"/>
    <w:rsid w:val="00C55558"/>
    <w:rsid w:val="00C55EA3"/>
    <w:rsid w:val="00C55F97"/>
    <w:rsid w:val="00C56521"/>
    <w:rsid w:val="00C568F0"/>
    <w:rsid w:val="00C5759C"/>
    <w:rsid w:val="00C6045C"/>
    <w:rsid w:val="00C610F8"/>
    <w:rsid w:val="00C61BD9"/>
    <w:rsid w:val="00C61D97"/>
    <w:rsid w:val="00C62732"/>
    <w:rsid w:val="00C62A40"/>
    <w:rsid w:val="00C63387"/>
    <w:rsid w:val="00C633F5"/>
    <w:rsid w:val="00C63FFB"/>
    <w:rsid w:val="00C646A9"/>
    <w:rsid w:val="00C65600"/>
    <w:rsid w:val="00C67B80"/>
    <w:rsid w:val="00C67BAA"/>
    <w:rsid w:val="00C71C7E"/>
    <w:rsid w:val="00C72003"/>
    <w:rsid w:val="00C722F7"/>
    <w:rsid w:val="00C73CB6"/>
    <w:rsid w:val="00C74572"/>
    <w:rsid w:val="00C74BFA"/>
    <w:rsid w:val="00C753BA"/>
    <w:rsid w:val="00C75460"/>
    <w:rsid w:val="00C7578C"/>
    <w:rsid w:val="00C75CF3"/>
    <w:rsid w:val="00C760ED"/>
    <w:rsid w:val="00C76385"/>
    <w:rsid w:val="00C76842"/>
    <w:rsid w:val="00C80345"/>
    <w:rsid w:val="00C804E2"/>
    <w:rsid w:val="00C841AB"/>
    <w:rsid w:val="00C84AE5"/>
    <w:rsid w:val="00C86B60"/>
    <w:rsid w:val="00C86F97"/>
    <w:rsid w:val="00C901BE"/>
    <w:rsid w:val="00C912FE"/>
    <w:rsid w:val="00C91C86"/>
    <w:rsid w:val="00C91DEF"/>
    <w:rsid w:val="00C93300"/>
    <w:rsid w:val="00C94D45"/>
    <w:rsid w:val="00C95D32"/>
    <w:rsid w:val="00C96E23"/>
    <w:rsid w:val="00CA34EB"/>
    <w:rsid w:val="00CA5559"/>
    <w:rsid w:val="00CB0A2A"/>
    <w:rsid w:val="00CB166D"/>
    <w:rsid w:val="00CB1A88"/>
    <w:rsid w:val="00CB2163"/>
    <w:rsid w:val="00CB2CF2"/>
    <w:rsid w:val="00CB32E8"/>
    <w:rsid w:val="00CB3458"/>
    <w:rsid w:val="00CB4D8C"/>
    <w:rsid w:val="00CB6B6A"/>
    <w:rsid w:val="00CC2A69"/>
    <w:rsid w:val="00CC3CFB"/>
    <w:rsid w:val="00CC3D78"/>
    <w:rsid w:val="00CC3E64"/>
    <w:rsid w:val="00CC4F6F"/>
    <w:rsid w:val="00CC5AB4"/>
    <w:rsid w:val="00CC5F99"/>
    <w:rsid w:val="00CC7A3B"/>
    <w:rsid w:val="00CD0811"/>
    <w:rsid w:val="00CD1040"/>
    <w:rsid w:val="00CD25A6"/>
    <w:rsid w:val="00CD2E27"/>
    <w:rsid w:val="00CD4108"/>
    <w:rsid w:val="00CD43F9"/>
    <w:rsid w:val="00CD55E7"/>
    <w:rsid w:val="00CD5870"/>
    <w:rsid w:val="00CD65AE"/>
    <w:rsid w:val="00CD7C05"/>
    <w:rsid w:val="00CE05BA"/>
    <w:rsid w:val="00CE07FF"/>
    <w:rsid w:val="00CE0AEB"/>
    <w:rsid w:val="00CE1E09"/>
    <w:rsid w:val="00CE1F98"/>
    <w:rsid w:val="00CE21E2"/>
    <w:rsid w:val="00CE5319"/>
    <w:rsid w:val="00CE7204"/>
    <w:rsid w:val="00CE76A4"/>
    <w:rsid w:val="00CF02EC"/>
    <w:rsid w:val="00CF17E0"/>
    <w:rsid w:val="00CF28AF"/>
    <w:rsid w:val="00CF3348"/>
    <w:rsid w:val="00CF3E91"/>
    <w:rsid w:val="00CF60A3"/>
    <w:rsid w:val="00D00100"/>
    <w:rsid w:val="00D0026A"/>
    <w:rsid w:val="00D0098C"/>
    <w:rsid w:val="00D00CA1"/>
    <w:rsid w:val="00D00CB4"/>
    <w:rsid w:val="00D00E6F"/>
    <w:rsid w:val="00D029ED"/>
    <w:rsid w:val="00D070BD"/>
    <w:rsid w:val="00D07949"/>
    <w:rsid w:val="00D10DC2"/>
    <w:rsid w:val="00D11FE0"/>
    <w:rsid w:val="00D138E1"/>
    <w:rsid w:val="00D14B75"/>
    <w:rsid w:val="00D14CDF"/>
    <w:rsid w:val="00D15246"/>
    <w:rsid w:val="00D15B14"/>
    <w:rsid w:val="00D16BBD"/>
    <w:rsid w:val="00D202EC"/>
    <w:rsid w:val="00D20662"/>
    <w:rsid w:val="00D208E7"/>
    <w:rsid w:val="00D20C2A"/>
    <w:rsid w:val="00D20F71"/>
    <w:rsid w:val="00D226BE"/>
    <w:rsid w:val="00D23B39"/>
    <w:rsid w:val="00D23F3C"/>
    <w:rsid w:val="00D26299"/>
    <w:rsid w:val="00D27ECB"/>
    <w:rsid w:val="00D30D51"/>
    <w:rsid w:val="00D3155C"/>
    <w:rsid w:val="00D31C28"/>
    <w:rsid w:val="00D31E41"/>
    <w:rsid w:val="00D32DB0"/>
    <w:rsid w:val="00D33DA3"/>
    <w:rsid w:val="00D34692"/>
    <w:rsid w:val="00D34D7F"/>
    <w:rsid w:val="00D360C6"/>
    <w:rsid w:val="00D36E96"/>
    <w:rsid w:val="00D36F5C"/>
    <w:rsid w:val="00D44629"/>
    <w:rsid w:val="00D44C1A"/>
    <w:rsid w:val="00D46677"/>
    <w:rsid w:val="00D50B67"/>
    <w:rsid w:val="00D51CBA"/>
    <w:rsid w:val="00D52325"/>
    <w:rsid w:val="00D52A39"/>
    <w:rsid w:val="00D53929"/>
    <w:rsid w:val="00D546E4"/>
    <w:rsid w:val="00D54732"/>
    <w:rsid w:val="00D54F51"/>
    <w:rsid w:val="00D55F6A"/>
    <w:rsid w:val="00D56B27"/>
    <w:rsid w:val="00D575FD"/>
    <w:rsid w:val="00D57E06"/>
    <w:rsid w:val="00D60246"/>
    <w:rsid w:val="00D605F8"/>
    <w:rsid w:val="00D61474"/>
    <w:rsid w:val="00D61C12"/>
    <w:rsid w:val="00D61E19"/>
    <w:rsid w:val="00D62040"/>
    <w:rsid w:val="00D624B5"/>
    <w:rsid w:val="00D629B6"/>
    <w:rsid w:val="00D62F2D"/>
    <w:rsid w:val="00D63B2F"/>
    <w:rsid w:val="00D650BF"/>
    <w:rsid w:val="00D662DB"/>
    <w:rsid w:val="00D66814"/>
    <w:rsid w:val="00D71C24"/>
    <w:rsid w:val="00D7207B"/>
    <w:rsid w:val="00D721A8"/>
    <w:rsid w:val="00D7470C"/>
    <w:rsid w:val="00D74D85"/>
    <w:rsid w:val="00D76CA2"/>
    <w:rsid w:val="00D7702D"/>
    <w:rsid w:val="00D7774E"/>
    <w:rsid w:val="00D80997"/>
    <w:rsid w:val="00D80BF2"/>
    <w:rsid w:val="00D8236C"/>
    <w:rsid w:val="00D83B11"/>
    <w:rsid w:val="00D8488F"/>
    <w:rsid w:val="00D84CAE"/>
    <w:rsid w:val="00D9024F"/>
    <w:rsid w:val="00D91CE0"/>
    <w:rsid w:val="00D91DE8"/>
    <w:rsid w:val="00D94417"/>
    <w:rsid w:val="00D94901"/>
    <w:rsid w:val="00D9559A"/>
    <w:rsid w:val="00D959E7"/>
    <w:rsid w:val="00D97C35"/>
    <w:rsid w:val="00DA045F"/>
    <w:rsid w:val="00DA436C"/>
    <w:rsid w:val="00DA4C2C"/>
    <w:rsid w:val="00DA51CB"/>
    <w:rsid w:val="00DA5F41"/>
    <w:rsid w:val="00DA6457"/>
    <w:rsid w:val="00DA6DCC"/>
    <w:rsid w:val="00DA6E4C"/>
    <w:rsid w:val="00DA7707"/>
    <w:rsid w:val="00DB241E"/>
    <w:rsid w:val="00DB28F3"/>
    <w:rsid w:val="00DB2F38"/>
    <w:rsid w:val="00DB30FC"/>
    <w:rsid w:val="00DB4EC9"/>
    <w:rsid w:val="00DB515E"/>
    <w:rsid w:val="00DB565B"/>
    <w:rsid w:val="00DB6F2A"/>
    <w:rsid w:val="00DB726A"/>
    <w:rsid w:val="00DC18D2"/>
    <w:rsid w:val="00DC1C0E"/>
    <w:rsid w:val="00DC2226"/>
    <w:rsid w:val="00DC23F6"/>
    <w:rsid w:val="00DC2B66"/>
    <w:rsid w:val="00DC2E7E"/>
    <w:rsid w:val="00DC49C8"/>
    <w:rsid w:val="00DC5208"/>
    <w:rsid w:val="00DC5AAD"/>
    <w:rsid w:val="00DC6804"/>
    <w:rsid w:val="00DC6C20"/>
    <w:rsid w:val="00DC7061"/>
    <w:rsid w:val="00DC729B"/>
    <w:rsid w:val="00DD1D01"/>
    <w:rsid w:val="00DD1E79"/>
    <w:rsid w:val="00DD52CC"/>
    <w:rsid w:val="00DD655A"/>
    <w:rsid w:val="00DD68B8"/>
    <w:rsid w:val="00DD746D"/>
    <w:rsid w:val="00DE1770"/>
    <w:rsid w:val="00DE1F75"/>
    <w:rsid w:val="00DE3B79"/>
    <w:rsid w:val="00DE41D7"/>
    <w:rsid w:val="00DE42A0"/>
    <w:rsid w:val="00DE6F41"/>
    <w:rsid w:val="00DF1619"/>
    <w:rsid w:val="00DF1630"/>
    <w:rsid w:val="00DF25E9"/>
    <w:rsid w:val="00DF267B"/>
    <w:rsid w:val="00DF2A29"/>
    <w:rsid w:val="00DF2C3A"/>
    <w:rsid w:val="00DF345B"/>
    <w:rsid w:val="00DF4203"/>
    <w:rsid w:val="00DF4951"/>
    <w:rsid w:val="00DF5040"/>
    <w:rsid w:val="00E00074"/>
    <w:rsid w:val="00E0011A"/>
    <w:rsid w:val="00E0145B"/>
    <w:rsid w:val="00E039BD"/>
    <w:rsid w:val="00E03C12"/>
    <w:rsid w:val="00E04047"/>
    <w:rsid w:val="00E04565"/>
    <w:rsid w:val="00E056BB"/>
    <w:rsid w:val="00E05D54"/>
    <w:rsid w:val="00E0626B"/>
    <w:rsid w:val="00E066C5"/>
    <w:rsid w:val="00E06FFE"/>
    <w:rsid w:val="00E07C01"/>
    <w:rsid w:val="00E07EE9"/>
    <w:rsid w:val="00E1043E"/>
    <w:rsid w:val="00E12675"/>
    <w:rsid w:val="00E1318E"/>
    <w:rsid w:val="00E133EC"/>
    <w:rsid w:val="00E13A51"/>
    <w:rsid w:val="00E145CC"/>
    <w:rsid w:val="00E17F18"/>
    <w:rsid w:val="00E17F2E"/>
    <w:rsid w:val="00E17FF0"/>
    <w:rsid w:val="00E21A19"/>
    <w:rsid w:val="00E23E48"/>
    <w:rsid w:val="00E253F7"/>
    <w:rsid w:val="00E27418"/>
    <w:rsid w:val="00E309F1"/>
    <w:rsid w:val="00E30A53"/>
    <w:rsid w:val="00E31464"/>
    <w:rsid w:val="00E35847"/>
    <w:rsid w:val="00E36AF6"/>
    <w:rsid w:val="00E376E4"/>
    <w:rsid w:val="00E401E1"/>
    <w:rsid w:val="00E42EE7"/>
    <w:rsid w:val="00E4390F"/>
    <w:rsid w:val="00E44894"/>
    <w:rsid w:val="00E47003"/>
    <w:rsid w:val="00E476C1"/>
    <w:rsid w:val="00E507D2"/>
    <w:rsid w:val="00E50A26"/>
    <w:rsid w:val="00E51813"/>
    <w:rsid w:val="00E5216C"/>
    <w:rsid w:val="00E5378D"/>
    <w:rsid w:val="00E55211"/>
    <w:rsid w:val="00E557A8"/>
    <w:rsid w:val="00E56EA6"/>
    <w:rsid w:val="00E57554"/>
    <w:rsid w:val="00E57A03"/>
    <w:rsid w:val="00E605DE"/>
    <w:rsid w:val="00E61A83"/>
    <w:rsid w:val="00E621A6"/>
    <w:rsid w:val="00E62D4A"/>
    <w:rsid w:val="00E63850"/>
    <w:rsid w:val="00E658E3"/>
    <w:rsid w:val="00E67132"/>
    <w:rsid w:val="00E70851"/>
    <w:rsid w:val="00E729DB"/>
    <w:rsid w:val="00E73543"/>
    <w:rsid w:val="00E73750"/>
    <w:rsid w:val="00E73B82"/>
    <w:rsid w:val="00E73FB3"/>
    <w:rsid w:val="00E747D5"/>
    <w:rsid w:val="00E74BE8"/>
    <w:rsid w:val="00E7639B"/>
    <w:rsid w:val="00E80061"/>
    <w:rsid w:val="00E80760"/>
    <w:rsid w:val="00E8186B"/>
    <w:rsid w:val="00E81D17"/>
    <w:rsid w:val="00E833E5"/>
    <w:rsid w:val="00E83781"/>
    <w:rsid w:val="00E84322"/>
    <w:rsid w:val="00E84495"/>
    <w:rsid w:val="00E8562C"/>
    <w:rsid w:val="00E85908"/>
    <w:rsid w:val="00E86326"/>
    <w:rsid w:val="00E869B5"/>
    <w:rsid w:val="00E86FE3"/>
    <w:rsid w:val="00E871BD"/>
    <w:rsid w:val="00E87768"/>
    <w:rsid w:val="00E9088A"/>
    <w:rsid w:val="00E91F9E"/>
    <w:rsid w:val="00E92508"/>
    <w:rsid w:val="00E92ED1"/>
    <w:rsid w:val="00E9353E"/>
    <w:rsid w:val="00E93DB8"/>
    <w:rsid w:val="00E93F7F"/>
    <w:rsid w:val="00E93FCC"/>
    <w:rsid w:val="00E95459"/>
    <w:rsid w:val="00E95B8A"/>
    <w:rsid w:val="00E95C9C"/>
    <w:rsid w:val="00E96086"/>
    <w:rsid w:val="00E964AE"/>
    <w:rsid w:val="00E966FB"/>
    <w:rsid w:val="00E96E25"/>
    <w:rsid w:val="00E97524"/>
    <w:rsid w:val="00E976CF"/>
    <w:rsid w:val="00EA00C9"/>
    <w:rsid w:val="00EA0686"/>
    <w:rsid w:val="00EA0CDB"/>
    <w:rsid w:val="00EA1932"/>
    <w:rsid w:val="00EA3560"/>
    <w:rsid w:val="00EA4CA5"/>
    <w:rsid w:val="00EA74E4"/>
    <w:rsid w:val="00EB00BC"/>
    <w:rsid w:val="00EB089C"/>
    <w:rsid w:val="00EB1C26"/>
    <w:rsid w:val="00EB1F70"/>
    <w:rsid w:val="00EB39DB"/>
    <w:rsid w:val="00EB4403"/>
    <w:rsid w:val="00EB5517"/>
    <w:rsid w:val="00EB59AC"/>
    <w:rsid w:val="00EB5D86"/>
    <w:rsid w:val="00EB6350"/>
    <w:rsid w:val="00EB63B1"/>
    <w:rsid w:val="00EB65ED"/>
    <w:rsid w:val="00EB6AD9"/>
    <w:rsid w:val="00EB7862"/>
    <w:rsid w:val="00EC15F1"/>
    <w:rsid w:val="00EC2477"/>
    <w:rsid w:val="00EC2D17"/>
    <w:rsid w:val="00EC2EA9"/>
    <w:rsid w:val="00EC37CE"/>
    <w:rsid w:val="00EC3D02"/>
    <w:rsid w:val="00EC4264"/>
    <w:rsid w:val="00EC4C48"/>
    <w:rsid w:val="00EC5142"/>
    <w:rsid w:val="00ED061C"/>
    <w:rsid w:val="00ED16A9"/>
    <w:rsid w:val="00ED1B27"/>
    <w:rsid w:val="00ED5480"/>
    <w:rsid w:val="00ED59BD"/>
    <w:rsid w:val="00ED5D93"/>
    <w:rsid w:val="00ED623D"/>
    <w:rsid w:val="00ED67F2"/>
    <w:rsid w:val="00ED6887"/>
    <w:rsid w:val="00ED7BBC"/>
    <w:rsid w:val="00EE20E7"/>
    <w:rsid w:val="00EE6A15"/>
    <w:rsid w:val="00EE6C83"/>
    <w:rsid w:val="00EF0189"/>
    <w:rsid w:val="00EF1A65"/>
    <w:rsid w:val="00EF249D"/>
    <w:rsid w:val="00EF2D0D"/>
    <w:rsid w:val="00EF2FD6"/>
    <w:rsid w:val="00EF49DF"/>
    <w:rsid w:val="00EF5F3B"/>
    <w:rsid w:val="00EF623E"/>
    <w:rsid w:val="00EF670B"/>
    <w:rsid w:val="00EF6BF9"/>
    <w:rsid w:val="00EF7823"/>
    <w:rsid w:val="00F02FC5"/>
    <w:rsid w:val="00F05A2D"/>
    <w:rsid w:val="00F05FB6"/>
    <w:rsid w:val="00F06C3C"/>
    <w:rsid w:val="00F10050"/>
    <w:rsid w:val="00F11258"/>
    <w:rsid w:val="00F120A7"/>
    <w:rsid w:val="00F143F8"/>
    <w:rsid w:val="00F155A9"/>
    <w:rsid w:val="00F1579E"/>
    <w:rsid w:val="00F16A91"/>
    <w:rsid w:val="00F17795"/>
    <w:rsid w:val="00F17E04"/>
    <w:rsid w:val="00F20B86"/>
    <w:rsid w:val="00F21D20"/>
    <w:rsid w:val="00F24340"/>
    <w:rsid w:val="00F24E2A"/>
    <w:rsid w:val="00F2677A"/>
    <w:rsid w:val="00F27A03"/>
    <w:rsid w:val="00F304FC"/>
    <w:rsid w:val="00F30577"/>
    <w:rsid w:val="00F30DC0"/>
    <w:rsid w:val="00F31CA4"/>
    <w:rsid w:val="00F32097"/>
    <w:rsid w:val="00F3254D"/>
    <w:rsid w:val="00F32978"/>
    <w:rsid w:val="00F32EAE"/>
    <w:rsid w:val="00F32F4B"/>
    <w:rsid w:val="00F33137"/>
    <w:rsid w:val="00F346DE"/>
    <w:rsid w:val="00F3483A"/>
    <w:rsid w:val="00F35186"/>
    <w:rsid w:val="00F3710F"/>
    <w:rsid w:val="00F4020A"/>
    <w:rsid w:val="00F41CF0"/>
    <w:rsid w:val="00F42879"/>
    <w:rsid w:val="00F430FA"/>
    <w:rsid w:val="00F44BDF"/>
    <w:rsid w:val="00F45D42"/>
    <w:rsid w:val="00F46721"/>
    <w:rsid w:val="00F4676B"/>
    <w:rsid w:val="00F46DA0"/>
    <w:rsid w:val="00F47F92"/>
    <w:rsid w:val="00F5287B"/>
    <w:rsid w:val="00F533DF"/>
    <w:rsid w:val="00F546AD"/>
    <w:rsid w:val="00F54B44"/>
    <w:rsid w:val="00F54FB5"/>
    <w:rsid w:val="00F56D18"/>
    <w:rsid w:val="00F56ECF"/>
    <w:rsid w:val="00F57B19"/>
    <w:rsid w:val="00F64A41"/>
    <w:rsid w:val="00F67AC8"/>
    <w:rsid w:val="00F71FD6"/>
    <w:rsid w:val="00F72118"/>
    <w:rsid w:val="00F7247E"/>
    <w:rsid w:val="00F73408"/>
    <w:rsid w:val="00F740BE"/>
    <w:rsid w:val="00F74F4E"/>
    <w:rsid w:val="00F75659"/>
    <w:rsid w:val="00F75DC7"/>
    <w:rsid w:val="00F7704E"/>
    <w:rsid w:val="00F77391"/>
    <w:rsid w:val="00F777D5"/>
    <w:rsid w:val="00F82FC3"/>
    <w:rsid w:val="00F835C5"/>
    <w:rsid w:val="00F86E82"/>
    <w:rsid w:val="00F911CA"/>
    <w:rsid w:val="00F91970"/>
    <w:rsid w:val="00F91D6E"/>
    <w:rsid w:val="00F9203C"/>
    <w:rsid w:val="00F93594"/>
    <w:rsid w:val="00F947DD"/>
    <w:rsid w:val="00F96B9E"/>
    <w:rsid w:val="00F96E2F"/>
    <w:rsid w:val="00F97CA2"/>
    <w:rsid w:val="00FA0F43"/>
    <w:rsid w:val="00FA1079"/>
    <w:rsid w:val="00FA10FC"/>
    <w:rsid w:val="00FA11CB"/>
    <w:rsid w:val="00FA1441"/>
    <w:rsid w:val="00FA160B"/>
    <w:rsid w:val="00FA2CCF"/>
    <w:rsid w:val="00FA4851"/>
    <w:rsid w:val="00FB0278"/>
    <w:rsid w:val="00FB1ED8"/>
    <w:rsid w:val="00FB3018"/>
    <w:rsid w:val="00FB304B"/>
    <w:rsid w:val="00FB43EE"/>
    <w:rsid w:val="00FB4C46"/>
    <w:rsid w:val="00FB5754"/>
    <w:rsid w:val="00FB576C"/>
    <w:rsid w:val="00FB5E55"/>
    <w:rsid w:val="00FB6063"/>
    <w:rsid w:val="00FB7360"/>
    <w:rsid w:val="00FB7720"/>
    <w:rsid w:val="00FB7C53"/>
    <w:rsid w:val="00FC02BF"/>
    <w:rsid w:val="00FC242C"/>
    <w:rsid w:val="00FC6F46"/>
    <w:rsid w:val="00FD1780"/>
    <w:rsid w:val="00FD3953"/>
    <w:rsid w:val="00FD5549"/>
    <w:rsid w:val="00FD58E7"/>
    <w:rsid w:val="00FD5E5D"/>
    <w:rsid w:val="00FD60DD"/>
    <w:rsid w:val="00FE01B8"/>
    <w:rsid w:val="00FE06FB"/>
    <w:rsid w:val="00FE1947"/>
    <w:rsid w:val="00FE1A3E"/>
    <w:rsid w:val="00FE3BDB"/>
    <w:rsid w:val="00FE404E"/>
    <w:rsid w:val="00FE43A7"/>
    <w:rsid w:val="00FE4764"/>
    <w:rsid w:val="00FE518B"/>
    <w:rsid w:val="00FE5E6C"/>
    <w:rsid w:val="00FE623E"/>
    <w:rsid w:val="00FE69BD"/>
    <w:rsid w:val="00FE7C7F"/>
    <w:rsid w:val="00FF00A5"/>
    <w:rsid w:val="00FF0AE3"/>
    <w:rsid w:val="00FF0D9B"/>
    <w:rsid w:val="00FF129A"/>
    <w:rsid w:val="00FF1581"/>
    <w:rsid w:val="00FF1747"/>
    <w:rsid w:val="00FF1FD9"/>
    <w:rsid w:val="00FF3325"/>
    <w:rsid w:val="00FF4EB8"/>
    <w:rsid w:val="00FF572E"/>
    <w:rsid w:val="00FF59D1"/>
    <w:rsid w:val="00FF63BA"/>
    <w:rsid w:val="00FF6F37"/>
    <w:rsid w:val="00FF7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a8d0,#008eb0,#1492e8,#1287d6,#117dc7,#c2e3fa"/>
    </o:shapedefaults>
    <o:shapelayout v:ext="edit">
      <o:idmap v:ext="edit" data="1"/>
    </o:shapelayout>
  </w:shapeDefaults>
  <w:decimalSymbol w:val="."/>
  <w:listSeparator w:val=","/>
  <w14:docId w14:val="78ABF4BD"/>
  <w15:docId w15:val="{1ED7872D-0095-4C67-838E-19BB9D9F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03B"/>
    <w:pPr>
      <w:spacing w:after="240"/>
    </w:pPr>
    <w:rPr>
      <w:sz w:val="22"/>
    </w:rPr>
  </w:style>
  <w:style w:type="paragraph" w:styleId="Heading1">
    <w:name w:val="heading 1"/>
    <w:basedOn w:val="Normal"/>
    <w:next w:val="BodyText"/>
    <w:link w:val="Heading1Char"/>
    <w:qFormat/>
    <w:rsid w:val="001F5D5A"/>
    <w:pPr>
      <w:keepNext/>
      <w:pageBreakBefore/>
      <w:numPr>
        <w:numId w:val="21"/>
      </w:numPr>
      <w:spacing w:after="720" w:line="280" w:lineRule="atLeast"/>
      <w:outlineLvl w:val="0"/>
    </w:pPr>
    <w:rPr>
      <w:rFonts w:ascii="Arial" w:hAnsi="Arial" w:cs="Arial"/>
      <w:b/>
      <w:kern w:val="28"/>
      <w:sz w:val="36"/>
      <w:szCs w:val="36"/>
    </w:rPr>
  </w:style>
  <w:style w:type="paragraph" w:styleId="Heading2">
    <w:name w:val="heading 2"/>
    <w:basedOn w:val="Normal"/>
    <w:next w:val="BodyText"/>
    <w:link w:val="Heading2Char"/>
    <w:uiPriority w:val="9"/>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uiPriority w:val="9"/>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uiPriority w:val="9"/>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uiPriority w:val="9"/>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iPriority w:val="9"/>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iPriority w:val="9"/>
    <w:unhideWhenUsed/>
    <w:qFormat/>
    <w:rsid w:val="00E70851"/>
    <w:pPr>
      <w:spacing w:before="720" w:after="0" w:line="300" w:lineRule="atLeast"/>
      <w:outlineLvl w:val="6"/>
    </w:pPr>
    <w:rPr>
      <w:rFonts w:ascii="Arial" w:hAnsi="Arial" w:cs="Arial"/>
      <w:b/>
      <w:sz w:val="28"/>
      <w:szCs w:val="28"/>
    </w:rPr>
  </w:style>
  <w:style w:type="paragraph" w:styleId="Heading8">
    <w:name w:val="heading 8"/>
    <w:basedOn w:val="Normal"/>
    <w:next w:val="Normal"/>
    <w:link w:val="Heading8Char"/>
    <w:uiPriority w:val="9"/>
    <w:semiHidden/>
    <w:unhideWhenUsed/>
    <w:qFormat/>
    <w:rsid w:val="00953571"/>
    <w:pPr>
      <w:keepNext/>
      <w:keepLines/>
      <w:overflowPunct w:val="0"/>
      <w:autoSpaceDE w:val="0"/>
      <w:autoSpaceDN w:val="0"/>
      <w:adjustRightInd w:val="0"/>
      <w:spacing w:before="40" w:after="0"/>
      <w:ind w:left="1440" w:hanging="1440"/>
      <w:textAlignment w:val="baseline"/>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953571"/>
    <w:pPr>
      <w:keepNext/>
      <w:keepLines/>
      <w:overflowPunct w:val="0"/>
      <w:autoSpaceDE w:val="0"/>
      <w:autoSpaceDN w:val="0"/>
      <w:adjustRightInd w:val="0"/>
      <w:spacing w:before="40" w:after="0"/>
      <w:ind w:left="1584" w:hanging="1584"/>
      <w:textAlignment w:val="baseline"/>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5"/>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uiPriority w:val="99"/>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2"/>
      </w:numPr>
      <w:tabs>
        <w:tab w:val="clear" w:pos="1418"/>
        <w:tab w:val="num" w:pos="2694"/>
      </w:tabs>
      <w:spacing w:before="100" w:after="0" w:line="300" w:lineRule="atLeast"/>
      <w:ind w:left="2693" w:hanging="425"/>
    </w:pPr>
    <w:rPr>
      <w:szCs w:val="22"/>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link w:val="tbltextChar"/>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7"/>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1"/>
      </w:numPr>
      <w:spacing w:before="60" w:after="0" w:line="240" w:lineRule="atLeast"/>
    </w:pPr>
    <w:rPr>
      <w:rFonts w:ascii="Arial" w:hAnsi="Arial" w:cs="Arial"/>
      <w:sz w:val="18"/>
      <w:szCs w:val="18"/>
    </w:rPr>
  </w:style>
  <w:style w:type="paragraph" w:styleId="FootnoteText">
    <w:name w:val="footnote text"/>
    <w:basedOn w:val="Normal"/>
    <w:link w:val="FootnoteTextChar"/>
    <w:uiPriority w:val="99"/>
    <w:semiHidden/>
    <w:rsid w:val="00B36F17"/>
    <w:pPr>
      <w:spacing w:after="0"/>
    </w:pPr>
    <w:rPr>
      <w:sz w:val="18"/>
    </w:rPr>
  </w:style>
  <w:style w:type="character" w:styleId="FootnoteReference">
    <w:name w:val="footnote reference"/>
    <w:basedOn w:val="DefaultParagraphFont"/>
    <w:uiPriority w:val="99"/>
    <w:semiHidden/>
    <w:rsid w:val="00B36F17"/>
    <w:rPr>
      <w:vertAlign w:val="superscript"/>
    </w:rPr>
  </w:style>
  <w:style w:type="paragraph" w:styleId="TOC1">
    <w:name w:val="toc 1"/>
    <w:basedOn w:val="Normal"/>
    <w:next w:val="Normal"/>
    <w:autoRedefine/>
    <w:uiPriority w:val="39"/>
    <w:rsid w:val="003A0F16"/>
    <w:pPr>
      <w:tabs>
        <w:tab w:val="left" w:pos="2694"/>
        <w:tab w:val="right" w:leader="dot" w:pos="9072"/>
      </w:tabs>
      <w:spacing w:before="80" w:after="0"/>
      <w:ind w:left="2693" w:right="284" w:hanging="425"/>
    </w:pPr>
    <w:rPr>
      <w:rFonts w:ascii="Arial" w:hAnsi="Arial" w:cs="Arial"/>
      <w:b/>
      <w:noProof/>
      <w:sz w:val="20"/>
    </w:rPr>
  </w:style>
  <w:style w:type="paragraph" w:styleId="TOC2">
    <w:name w:val="toc 2"/>
    <w:basedOn w:val="Normal"/>
    <w:next w:val="Normal"/>
    <w:autoRedefine/>
    <w:uiPriority w:val="39"/>
    <w:rsid w:val="00517DCC"/>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customStyle="1" w:styleId="tabledash">
    <w:name w:val="table dash"/>
    <w:basedOn w:val="tablebullet"/>
    <w:rsid w:val="00B36F17"/>
    <w:pPr>
      <w:numPr>
        <w:numId w:val="3"/>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5F20"/>
    <w:pPr>
      <w:keepNext w:val="0"/>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F5D5A"/>
    <w:pPr>
      <w:keepNext/>
      <w:pBdr>
        <w:top w:val="single" w:sz="6" w:space="1" w:color="0072CE"/>
        <w:left w:val="single" w:sz="6" w:space="4" w:color="0072CE"/>
        <w:bottom w:val="single" w:sz="6" w:space="3" w:color="0072CE"/>
        <w:right w:val="single" w:sz="6" w:space="4" w:color="0072CE"/>
      </w:pBdr>
      <w:shd w:val="clear" w:color="auto" w:fill="0072CE"/>
      <w:spacing w:before="24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4"/>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C279F3"/>
    <w:pPr>
      <w:pBdr>
        <w:left w:val="single" w:sz="6" w:space="2" w:color="0072CE"/>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AD20F1"/>
    <w:pPr>
      <w:keepNext w:val="0"/>
      <w:keepLines/>
      <w:numPr>
        <w:ilvl w:val="4"/>
        <w:numId w:val="21"/>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AD20F1"/>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220093"/>
    <w:pPr>
      <w:pBdr>
        <w:top w:val="single" w:sz="4" w:space="4" w:color="0072CE"/>
        <w:left w:val="single" w:sz="4" w:space="4" w:color="0072CE"/>
        <w:bottom w:val="single" w:sz="4" w:space="4" w:color="0072CE"/>
        <w:right w:val="single" w:sz="4" w:space="4" w:color="0072CE"/>
      </w:pBdr>
      <w:shd w:val="clear" w:color="auto" w:fill="0072CE"/>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7D398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6"/>
      </w:numPr>
      <w:spacing w:before="120"/>
    </w:pPr>
  </w:style>
  <w:style w:type="paragraph" w:customStyle="1" w:styleId="Frontheading">
    <w:name w:val="Front heading"/>
    <w:basedOn w:val="Heading3"/>
    <w:next w:val="Fronttext"/>
    <w:rsid w:val="00103568"/>
    <w:pPr>
      <w:outlineLvl w:val="0"/>
    </w:pPr>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DE6F41"/>
    <w:pPr>
      <w:keepNext/>
      <w:pBdr>
        <w:top w:val="single" w:sz="18" w:space="1" w:color="0072CE"/>
        <w:left w:val="single" w:sz="4" w:space="4" w:color="0072CE"/>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21"/>
      </w:numPr>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1"/>
    <w:rsid w:val="00B36F17"/>
    <w:rPr>
      <w:sz w:val="20"/>
    </w:rPr>
  </w:style>
  <w:style w:type="paragraph" w:styleId="BalloonText">
    <w:name w:val="Balloon Text"/>
    <w:basedOn w:val="Normal"/>
    <w:link w:val="BalloonTextChar"/>
    <w:semiHidden/>
    <w:rsid w:val="00B36F17"/>
    <w:rPr>
      <w:rFonts w:ascii="Tahoma" w:hAnsi="Tahoma" w:cs="Tahoma"/>
      <w:sz w:val="16"/>
      <w:szCs w:val="16"/>
    </w:rPr>
  </w:style>
  <w:style w:type="paragraph" w:customStyle="1" w:styleId="boxbullet">
    <w:name w:val="box bullet"/>
    <w:basedOn w:val="Frontbullet"/>
    <w:rsid w:val="004E61FB"/>
    <w:pPr>
      <w:numPr>
        <w:ilvl w:val="0"/>
        <w:numId w:val="8"/>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BE7E5F"/>
    <w:pPr>
      <w:ind w:left="170"/>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styleId="TOCHeading">
    <w:name w:val="TOC Heading"/>
    <w:basedOn w:val="Heading1"/>
    <w:next w:val="Normal"/>
    <w:uiPriority w:val="39"/>
    <w:qFormat/>
    <w:rsid w:val="00713054"/>
    <w:pPr>
      <w:numPr>
        <w:numId w:val="0"/>
      </w:numPr>
      <w:spacing w:before="200" w:line="240" w:lineRule="auto"/>
    </w:pPr>
    <w:rPr>
      <w:rFonts w:eastAsiaTheme="majorEastAsia"/>
      <w:kern w:val="0"/>
    </w:rPr>
  </w:style>
  <w:style w:type="paragraph" w:customStyle="1" w:styleId="Heading1nonumber">
    <w:name w:val="Heading 1 no number"/>
    <w:basedOn w:val="Heading1"/>
    <w:next w:val="Bodytextplain"/>
    <w:rsid w:val="007E6FAE"/>
    <w:pPr>
      <w:numPr>
        <w:numId w:val="0"/>
      </w:numPr>
    </w:pPr>
  </w:style>
  <w:style w:type="paragraph" w:customStyle="1" w:styleId="Heading2noToC">
    <w:name w:val="Heading 2 no ToC"/>
    <w:basedOn w:val="Bodytextplain"/>
    <w:next w:val="Bodytextplain"/>
    <w:rsid w:val="007E6FAE"/>
    <w:pPr>
      <w:keepNext/>
      <w:spacing w:before="720" w:line="280" w:lineRule="atLeast"/>
      <w:ind w:left="0"/>
      <w:outlineLvl w:val="1"/>
    </w:pPr>
    <w:rPr>
      <w:rFonts w:ascii="Arial" w:hAnsi="Arial" w:cs="Arial"/>
      <w:b/>
      <w:sz w:val="28"/>
      <w:szCs w:val="28"/>
    </w:rPr>
  </w:style>
  <w:style w:type="paragraph" w:customStyle="1" w:styleId="Heading2indented">
    <w:name w:val="Heading 2 indented"/>
    <w:basedOn w:val="Normal"/>
    <w:next w:val="Bodytextplain"/>
    <w:qFormat/>
    <w:rsid w:val="00635D6F"/>
    <w:pPr>
      <w:keepNext/>
      <w:spacing w:before="400" w:after="0" w:line="280" w:lineRule="atLeast"/>
      <w:ind w:left="2268"/>
      <w:outlineLvl w:val="1"/>
    </w:pPr>
    <w:rPr>
      <w:rFonts w:ascii="Arial" w:hAnsi="Arial" w:cs="Arial"/>
      <w:b/>
      <w:sz w:val="24"/>
      <w:szCs w:val="24"/>
    </w:rPr>
  </w:style>
  <w:style w:type="paragraph" w:customStyle="1" w:styleId="Frontmatternote">
    <w:name w:val="Front matter note"/>
    <w:basedOn w:val="tblnote"/>
    <w:qFormat/>
    <w:rsid w:val="00BE7E5F"/>
    <w:pPr>
      <w:spacing w:before="200"/>
      <w:ind w:left="2693"/>
    </w:pPr>
  </w:style>
  <w:style w:type="paragraph" w:customStyle="1" w:styleId="Responsehead">
    <w:name w:val="Response head"/>
    <w:basedOn w:val="Feedbackhead"/>
    <w:next w:val="Responsetext"/>
    <w:qFormat/>
    <w:rsid w:val="00BE0F6C"/>
    <w:pPr>
      <w:spacing w:before="400"/>
      <w:ind w:right="4309"/>
    </w:pPr>
  </w:style>
  <w:style w:type="paragraph" w:customStyle="1" w:styleId="Responsetext">
    <w:name w:val="Response text"/>
    <w:basedOn w:val="Responsehead"/>
    <w:qFormat/>
    <w:rsid w:val="00BE0F6C"/>
    <w:pPr>
      <w:keepNext w:val="0"/>
      <w:pBdr>
        <w:top w:val="none" w:sz="0" w:space="0" w:color="auto"/>
      </w:pBdr>
      <w:spacing w:before="100" w:line="260" w:lineRule="atLeast"/>
      <w:ind w:right="0"/>
    </w:pPr>
    <w:rPr>
      <w:i w:val="0"/>
    </w:rPr>
  </w:style>
  <w:style w:type="paragraph" w:customStyle="1" w:styleId="Responsebullet">
    <w:name w:val="Response bullet"/>
    <w:basedOn w:val="Responsetext"/>
    <w:qFormat/>
    <w:rsid w:val="001B3035"/>
    <w:pPr>
      <w:numPr>
        <w:numId w:val="9"/>
      </w:numPr>
      <w:ind w:left="3572" w:hanging="340"/>
    </w:pPr>
  </w:style>
  <w:style w:type="paragraph" w:customStyle="1" w:styleId="tabletext">
    <w:name w:val="table text"/>
    <w:basedOn w:val="tablehead"/>
    <w:rsid w:val="004D2B37"/>
    <w:pPr>
      <w:keepNext w:val="0"/>
    </w:pPr>
    <w:rPr>
      <w:b w:val="0"/>
    </w:rPr>
  </w:style>
  <w:style w:type="character" w:customStyle="1" w:styleId="HeaderChar">
    <w:name w:val="Header Char"/>
    <w:basedOn w:val="DefaultParagraphFont"/>
    <w:link w:val="Header"/>
    <w:rsid w:val="004D2B37"/>
    <w:rPr>
      <w:rFonts w:ascii="Arial" w:hAnsi="Arial" w:cs="Arial"/>
      <w:caps/>
      <w:color w:val="008291"/>
      <w:sz w:val="16"/>
      <w:szCs w:val="16"/>
    </w:rPr>
  </w:style>
  <w:style w:type="character" w:customStyle="1" w:styleId="Heading2Char">
    <w:name w:val="Heading 2 Char"/>
    <w:basedOn w:val="DefaultParagraphFont"/>
    <w:link w:val="Heading2"/>
    <w:uiPriority w:val="9"/>
    <w:rsid w:val="005D5967"/>
    <w:rPr>
      <w:rFonts w:ascii="Arial" w:hAnsi="Arial" w:cs="Arial"/>
      <w:b/>
      <w:sz w:val="28"/>
      <w:szCs w:val="28"/>
    </w:rPr>
  </w:style>
  <w:style w:type="character" w:customStyle="1" w:styleId="FootnoteTextChar">
    <w:name w:val="Footnote Text Char"/>
    <w:basedOn w:val="DefaultParagraphFont"/>
    <w:link w:val="FootnoteText"/>
    <w:uiPriority w:val="99"/>
    <w:semiHidden/>
    <w:rsid w:val="005D5967"/>
    <w:rPr>
      <w:sz w:val="18"/>
    </w:rPr>
  </w:style>
  <w:style w:type="character" w:customStyle="1" w:styleId="tbltextChar">
    <w:name w:val="tbl text Char"/>
    <w:basedOn w:val="DefaultParagraphFont"/>
    <w:link w:val="tbltext"/>
    <w:rsid w:val="005D5967"/>
    <w:rPr>
      <w:rFonts w:ascii="Arial" w:hAnsi="Arial" w:cs="Arial"/>
      <w:sz w:val="18"/>
      <w:szCs w:val="18"/>
    </w:rPr>
  </w:style>
  <w:style w:type="character" w:customStyle="1" w:styleId="Heading8Char">
    <w:name w:val="Heading 8 Char"/>
    <w:basedOn w:val="DefaultParagraphFont"/>
    <w:link w:val="Heading8"/>
    <w:uiPriority w:val="9"/>
    <w:semiHidden/>
    <w:rsid w:val="0095357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53571"/>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rsid w:val="00953571"/>
    <w:rPr>
      <w:sz w:val="22"/>
      <w:szCs w:val="22"/>
    </w:rPr>
  </w:style>
  <w:style w:type="paragraph" w:customStyle="1" w:styleId="figuretitle">
    <w:name w:val="figure title"/>
    <w:basedOn w:val="Normal"/>
    <w:next w:val="figuretext"/>
    <w:rsid w:val="00953571"/>
    <w:pPr>
      <w:keepNext/>
      <w:spacing w:before="360" w:after="60"/>
      <w:ind w:left="2268" w:hanging="1276"/>
    </w:pPr>
    <w:rPr>
      <w:rFonts w:ascii="Arial" w:hAnsi="Arial"/>
      <w:b/>
      <w:sz w:val="20"/>
    </w:rPr>
  </w:style>
  <w:style w:type="character" w:customStyle="1" w:styleId="CommentTextChar">
    <w:name w:val="Comment Text Char"/>
    <w:basedOn w:val="DefaultParagraphFont"/>
    <w:rsid w:val="00953571"/>
  </w:style>
  <w:style w:type="paragraph" w:customStyle="1" w:styleId="Listdash">
    <w:name w:val="List dash"/>
    <w:basedOn w:val="Normal"/>
    <w:rsid w:val="00953571"/>
    <w:pPr>
      <w:tabs>
        <w:tab w:val="num" w:pos="3119"/>
      </w:tabs>
      <w:spacing w:before="100" w:after="0" w:line="300" w:lineRule="atLeast"/>
      <w:ind w:left="3118" w:hanging="425"/>
    </w:pPr>
  </w:style>
  <w:style w:type="paragraph" w:styleId="ListParagraph">
    <w:name w:val="List Paragraph"/>
    <w:aliases w:val="Cell bullets,Noise heading,Issue Action POC,List Paragraph1,3,POCG Table Text,Dot pt,F5 List Paragraph,List Paragraph Char Char Char,Indicator Text,Colorful List - Accent 11,Numbered Para 1,Bullet 1,Bullet Points,List Paragraph2,RUS List"/>
    <w:basedOn w:val="Normal"/>
    <w:link w:val="ListParagraphChar"/>
    <w:uiPriority w:val="34"/>
    <w:qFormat/>
    <w:rsid w:val="00953571"/>
    <w:pPr>
      <w:spacing w:after="160" w:line="259" w:lineRule="auto"/>
      <w:ind w:left="720"/>
      <w:contextualSpacing/>
    </w:pPr>
    <w:rPr>
      <w:rFonts w:asciiTheme="minorHAnsi" w:eastAsiaTheme="minorHAnsi" w:hAnsiTheme="minorHAnsi" w:cstheme="minorBidi"/>
      <w:szCs w:val="22"/>
      <w:lang w:eastAsia="en-US"/>
    </w:rPr>
  </w:style>
  <w:style w:type="paragraph" w:styleId="CommentSubject">
    <w:name w:val="annotation subject"/>
    <w:basedOn w:val="CommentText"/>
    <w:next w:val="CommentText"/>
    <w:link w:val="CommentSubjectChar"/>
    <w:uiPriority w:val="99"/>
    <w:semiHidden/>
    <w:unhideWhenUsed/>
    <w:rsid w:val="00953571"/>
    <w:rPr>
      <w:b/>
      <w:bCs/>
    </w:rPr>
  </w:style>
  <w:style w:type="character" w:customStyle="1" w:styleId="CommentTextChar1">
    <w:name w:val="Comment Text Char1"/>
    <w:basedOn w:val="DefaultParagraphFont"/>
    <w:link w:val="CommentText"/>
    <w:uiPriority w:val="99"/>
    <w:rsid w:val="00953571"/>
  </w:style>
  <w:style w:type="character" w:customStyle="1" w:styleId="CommentSubjectChar">
    <w:name w:val="Comment Subject Char"/>
    <w:basedOn w:val="CommentTextChar1"/>
    <w:link w:val="CommentSubject"/>
    <w:uiPriority w:val="99"/>
    <w:semiHidden/>
    <w:rsid w:val="00953571"/>
    <w:rPr>
      <w:b/>
      <w:bCs/>
    </w:rPr>
  </w:style>
  <w:style w:type="character" w:customStyle="1" w:styleId="Heading3Char">
    <w:name w:val="Heading 3 Char"/>
    <w:basedOn w:val="DefaultParagraphFont"/>
    <w:link w:val="Heading3"/>
    <w:uiPriority w:val="9"/>
    <w:rsid w:val="00953571"/>
    <w:rPr>
      <w:rFonts w:ascii="Arial" w:hAnsi="Arial" w:cs="Arial"/>
      <w:b/>
      <w:sz w:val="24"/>
      <w:szCs w:val="24"/>
    </w:rPr>
  </w:style>
  <w:style w:type="character" w:customStyle="1" w:styleId="Heading1Char">
    <w:name w:val="Heading 1 Char"/>
    <w:basedOn w:val="DefaultParagraphFont"/>
    <w:link w:val="Heading1"/>
    <w:rsid w:val="00953571"/>
    <w:rPr>
      <w:rFonts w:ascii="Arial" w:hAnsi="Arial" w:cs="Arial"/>
      <w:b/>
      <w:kern w:val="28"/>
      <w:sz w:val="36"/>
      <w:szCs w:val="36"/>
    </w:rPr>
  </w:style>
  <w:style w:type="paragraph" w:customStyle="1" w:styleId="Default">
    <w:name w:val="Default"/>
    <w:rsid w:val="00953571"/>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953571"/>
    <w:rPr>
      <w:color w:val="800080" w:themeColor="followedHyperlink"/>
      <w:u w:val="single"/>
    </w:rPr>
  </w:style>
  <w:style w:type="table" w:styleId="TableGrid">
    <w:name w:val="Table Grid"/>
    <w:basedOn w:val="TableNormal"/>
    <w:uiPriority w:val="59"/>
    <w:rsid w:val="009535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535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35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535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35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3571"/>
    <w:rPr>
      <w:sz w:val="22"/>
    </w:rPr>
  </w:style>
  <w:style w:type="character" w:styleId="UnresolvedMention">
    <w:name w:val="Unresolved Mention"/>
    <w:basedOn w:val="DefaultParagraphFont"/>
    <w:uiPriority w:val="99"/>
    <w:semiHidden/>
    <w:unhideWhenUsed/>
    <w:rsid w:val="00953571"/>
    <w:rPr>
      <w:color w:val="605E5C"/>
      <w:shd w:val="clear" w:color="auto" w:fill="E1DFDD"/>
    </w:rPr>
  </w:style>
  <w:style w:type="paragraph" w:styleId="NoSpacing">
    <w:name w:val="No Spacing"/>
    <w:uiPriority w:val="1"/>
    <w:qFormat/>
    <w:rsid w:val="00953571"/>
    <w:rPr>
      <w:sz w:val="22"/>
    </w:rPr>
  </w:style>
  <w:style w:type="paragraph" w:customStyle="1" w:styleId="MIRSubpara">
    <w:name w:val="MIR Subpara"/>
    <w:basedOn w:val="subparaa"/>
    <w:link w:val="MIRSubparaChar"/>
    <w:qFormat/>
    <w:rsid w:val="00953571"/>
    <w:pPr>
      <w:numPr>
        <w:numId w:val="12"/>
      </w:numPr>
    </w:pPr>
  </w:style>
  <w:style w:type="paragraph" w:customStyle="1" w:styleId="MIRsubsubsubpara">
    <w:name w:val="MIR subsubsubpara"/>
    <w:basedOn w:val="subsubparai"/>
    <w:qFormat/>
    <w:rsid w:val="00953571"/>
    <w:pPr>
      <w:numPr>
        <w:ilvl w:val="3"/>
        <w:numId w:val="12"/>
      </w:numPr>
    </w:pPr>
  </w:style>
  <w:style w:type="character" w:customStyle="1" w:styleId="MIRSubparaChar">
    <w:name w:val="MIR Subpara Char"/>
    <w:basedOn w:val="DefaultParagraphFont"/>
    <w:link w:val="MIRSubpara"/>
    <w:rsid w:val="00953571"/>
    <w:rPr>
      <w:sz w:val="22"/>
      <w:szCs w:val="22"/>
    </w:rPr>
  </w:style>
  <w:style w:type="paragraph" w:customStyle="1" w:styleId="MIRBodyText">
    <w:name w:val="MIR Body Text"/>
    <w:basedOn w:val="Bodytextplain"/>
    <w:link w:val="MIRBodyTextChar"/>
    <w:qFormat/>
    <w:rsid w:val="00953571"/>
    <w:pPr>
      <w:numPr>
        <w:numId w:val="12"/>
      </w:numPr>
      <w:tabs>
        <w:tab w:val="left" w:pos="2205"/>
      </w:tabs>
    </w:pPr>
  </w:style>
  <w:style w:type="character" w:customStyle="1" w:styleId="MIRBodyTextChar">
    <w:name w:val="MIR Body Text Char"/>
    <w:basedOn w:val="DefaultParagraphFont"/>
    <w:link w:val="MIRBodyText"/>
    <w:rsid w:val="00953571"/>
    <w:rPr>
      <w:sz w:val="22"/>
      <w:szCs w:val="22"/>
    </w:rPr>
  </w:style>
  <w:style w:type="paragraph" w:customStyle="1" w:styleId="MIRSubsubpara">
    <w:name w:val="MIR Subsubpara"/>
    <w:basedOn w:val="subsubparai"/>
    <w:qFormat/>
    <w:rsid w:val="00953571"/>
    <w:pPr>
      <w:numPr>
        <w:numId w:val="12"/>
      </w:numPr>
    </w:pPr>
  </w:style>
  <w:style w:type="paragraph" w:customStyle="1" w:styleId="MIRHeading3Rule">
    <w:name w:val="MIR Heading 3 (Rule)"/>
    <w:basedOn w:val="Heading3"/>
    <w:next w:val="MIRBodyText"/>
    <w:link w:val="MIRHeading3RuleChar"/>
    <w:qFormat/>
    <w:rsid w:val="00953571"/>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953571"/>
    <w:rPr>
      <w:rFonts w:ascii="Arial" w:eastAsia="Calibri" w:hAnsi="Arial" w:cs="Arial"/>
      <w:b/>
      <w:sz w:val="24"/>
      <w:szCs w:val="22"/>
      <w:lang w:eastAsia="en-US"/>
    </w:rPr>
  </w:style>
  <w:style w:type="paragraph" w:customStyle="1" w:styleId="MIRHeading2Part">
    <w:name w:val="MIR Heading 2 (Part)"/>
    <w:basedOn w:val="Heading2"/>
    <w:next w:val="MIRHeading3Rule"/>
    <w:link w:val="MIRHeading2PartChar"/>
    <w:qFormat/>
    <w:rsid w:val="00953571"/>
    <w:pPr>
      <w:keepLines/>
      <w:spacing w:before="400" w:after="200"/>
    </w:pPr>
    <w:rPr>
      <w:kern w:val="28"/>
      <w:szCs w:val="26"/>
      <w:lang w:eastAsia="en-US"/>
    </w:rPr>
  </w:style>
  <w:style w:type="character" w:customStyle="1" w:styleId="MIRHeading2PartChar">
    <w:name w:val="MIR Heading 2 (Part) Char"/>
    <w:basedOn w:val="DefaultParagraphFont"/>
    <w:link w:val="MIRHeading2Part"/>
    <w:rsid w:val="00953571"/>
    <w:rPr>
      <w:rFonts w:ascii="Arial" w:hAnsi="Arial" w:cs="Arial"/>
      <w:b/>
      <w:kern w:val="28"/>
      <w:sz w:val="28"/>
      <w:szCs w:val="26"/>
      <w:lang w:eastAsia="en-US"/>
    </w:rPr>
  </w:style>
  <w:style w:type="paragraph" w:customStyle="1" w:styleId="Tiptext">
    <w:name w:val="Tip text"/>
    <w:basedOn w:val="Fronttext"/>
    <w:next w:val="BodyText"/>
    <w:rsid w:val="00953571"/>
    <w:rPr>
      <w:vanish/>
      <w:color w:val="800000"/>
    </w:rPr>
  </w:style>
  <w:style w:type="paragraph" w:styleId="NormalWeb">
    <w:name w:val="Normal (Web)"/>
    <w:basedOn w:val="Normal"/>
    <w:uiPriority w:val="99"/>
    <w:semiHidden/>
    <w:unhideWhenUsed/>
    <w:rsid w:val="00953571"/>
    <w:pPr>
      <w:spacing w:before="100" w:beforeAutospacing="1" w:after="100" w:afterAutospacing="1"/>
    </w:pPr>
    <w:rPr>
      <w:sz w:val="24"/>
      <w:szCs w:val="24"/>
    </w:rPr>
  </w:style>
  <w:style w:type="paragraph" w:customStyle="1" w:styleId="ParaHeading1">
    <w:name w:val="Para Heading 1"/>
    <w:qFormat/>
    <w:rsid w:val="00953571"/>
    <w:pPr>
      <w:numPr>
        <w:numId w:val="13"/>
      </w:numPr>
      <w:spacing w:after="160" w:line="259" w:lineRule="auto"/>
    </w:pPr>
    <w:rPr>
      <w:rFonts w:asciiTheme="minorHAnsi" w:hAnsiTheme="minorHAnsi"/>
      <w:b/>
      <w:sz w:val="24"/>
      <w:szCs w:val="24"/>
      <w:lang w:eastAsia="en-US"/>
    </w:rPr>
  </w:style>
  <w:style w:type="paragraph" w:customStyle="1" w:styleId="ParaHeading2">
    <w:name w:val="Para Heading 2"/>
    <w:next w:val="ParaLevel2"/>
    <w:qFormat/>
    <w:rsid w:val="00953571"/>
    <w:pPr>
      <w:numPr>
        <w:ilvl w:val="1"/>
        <w:numId w:val="13"/>
      </w:numPr>
      <w:spacing w:after="160" w:line="259" w:lineRule="auto"/>
    </w:pPr>
    <w:rPr>
      <w:rFonts w:asciiTheme="minorHAnsi" w:hAnsiTheme="minorHAnsi"/>
      <w:b/>
      <w:sz w:val="24"/>
      <w:szCs w:val="24"/>
      <w:lang w:eastAsia="en-US"/>
    </w:rPr>
  </w:style>
  <w:style w:type="paragraph" w:customStyle="1" w:styleId="ParaLevel2">
    <w:name w:val="Para Level 2"/>
    <w:qFormat/>
    <w:rsid w:val="00953571"/>
    <w:pPr>
      <w:numPr>
        <w:ilvl w:val="2"/>
        <w:numId w:val="13"/>
      </w:numPr>
      <w:spacing w:after="160" w:line="259" w:lineRule="auto"/>
    </w:pPr>
    <w:rPr>
      <w:rFonts w:asciiTheme="minorHAnsi" w:hAnsiTheme="minorHAnsi"/>
      <w:sz w:val="24"/>
      <w:szCs w:val="24"/>
      <w:lang w:eastAsia="en-US"/>
    </w:rPr>
  </w:style>
  <w:style w:type="paragraph" w:customStyle="1" w:styleId="ParaHeading3">
    <w:name w:val="Para Heading 3"/>
    <w:next w:val="ParaLevel3"/>
    <w:qFormat/>
    <w:rsid w:val="00953571"/>
    <w:pPr>
      <w:numPr>
        <w:ilvl w:val="3"/>
        <w:numId w:val="13"/>
      </w:numPr>
      <w:spacing w:after="160" w:line="259" w:lineRule="auto"/>
    </w:pPr>
    <w:rPr>
      <w:rFonts w:asciiTheme="minorHAnsi" w:hAnsiTheme="minorHAnsi"/>
      <w:b/>
      <w:sz w:val="24"/>
      <w:szCs w:val="24"/>
      <w:lang w:eastAsia="en-US"/>
    </w:rPr>
  </w:style>
  <w:style w:type="paragraph" w:customStyle="1" w:styleId="ParaLevel3">
    <w:name w:val="Para Level 3"/>
    <w:qFormat/>
    <w:rsid w:val="00953571"/>
    <w:pPr>
      <w:numPr>
        <w:ilvl w:val="4"/>
        <w:numId w:val="13"/>
      </w:numPr>
      <w:spacing w:after="160" w:line="259" w:lineRule="auto"/>
    </w:pPr>
    <w:rPr>
      <w:rFonts w:asciiTheme="minorHAnsi" w:hAnsiTheme="minorHAnsi"/>
      <w:sz w:val="24"/>
      <w:szCs w:val="24"/>
      <w:lang w:eastAsia="en-US"/>
    </w:rPr>
  </w:style>
  <w:style w:type="paragraph" w:customStyle="1" w:styleId="ParaHeading4">
    <w:name w:val="Para Heading 4"/>
    <w:next w:val="PraLevel4"/>
    <w:qFormat/>
    <w:rsid w:val="00953571"/>
    <w:pPr>
      <w:numPr>
        <w:ilvl w:val="5"/>
        <w:numId w:val="13"/>
      </w:numPr>
      <w:spacing w:after="160" w:line="259" w:lineRule="auto"/>
    </w:pPr>
    <w:rPr>
      <w:rFonts w:asciiTheme="minorHAnsi" w:hAnsiTheme="minorHAnsi"/>
      <w:b/>
      <w:sz w:val="24"/>
      <w:szCs w:val="24"/>
      <w:lang w:eastAsia="en-US"/>
    </w:rPr>
  </w:style>
  <w:style w:type="paragraph" w:customStyle="1" w:styleId="PraLevel4">
    <w:name w:val="Pra Level 4"/>
    <w:qFormat/>
    <w:rsid w:val="00953571"/>
    <w:pPr>
      <w:numPr>
        <w:ilvl w:val="6"/>
        <w:numId w:val="13"/>
      </w:numPr>
      <w:spacing w:after="160" w:line="259" w:lineRule="auto"/>
    </w:pPr>
    <w:rPr>
      <w:rFonts w:asciiTheme="minorHAnsi" w:hAnsiTheme="minorHAnsi"/>
      <w:sz w:val="24"/>
      <w:szCs w:val="24"/>
      <w:lang w:eastAsia="en-US"/>
    </w:rPr>
  </w:style>
  <w:style w:type="paragraph" w:customStyle="1" w:styleId="ListPara1">
    <w:name w:val="List Para 1"/>
    <w:basedOn w:val="Normal"/>
    <w:link w:val="ListPara1Char"/>
    <w:uiPriority w:val="4"/>
    <w:qFormat/>
    <w:rsid w:val="00953571"/>
    <w:pPr>
      <w:numPr>
        <w:numId w:val="14"/>
      </w:numPr>
      <w:spacing w:after="200" w:line="276" w:lineRule="auto"/>
    </w:pPr>
    <w:rPr>
      <w:rFonts w:ascii="Century Gothic" w:hAnsi="Century Gothic" w:cs="Arial"/>
      <w:lang w:val="en-US"/>
    </w:rPr>
  </w:style>
  <w:style w:type="character" w:customStyle="1" w:styleId="ListPara1Char">
    <w:name w:val="List Para 1 Char"/>
    <w:basedOn w:val="DefaultParagraphFont"/>
    <w:link w:val="ListPara1"/>
    <w:uiPriority w:val="4"/>
    <w:rsid w:val="00953571"/>
    <w:rPr>
      <w:rFonts w:ascii="Century Gothic" w:hAnsi="Century Gothic" w:cs="Arial"/>
      <w:sz w:val="22"/>
      <w:lang w:val="en-US"/>
    </w:rPr>
  </w:style>
  <w:style w:type="paragraph" w:customStyle="1" w:styleId="ListPara2">
    <w:name w:val="List Para 2"/>
    <w:basedOn w:val="Normal"/>
    <w:qFormat/>
    <w:rsid w:val="00953571"/>
    <w:pPr>
      <w:numPr>
        <w:ilvl w:val="1"/>
        <w:numId w:val="14"/>
      </w:numPr>
      <w:spacing w:after="160" w:line="259" w:lineRule="auto"/>
    </w:pPr>
    <w:rPr>
      <w:rFonts w:ascii="Century Gothic" w:eastAsiaTheme="minorHAnsi" w:hAnsi="Century Gothic" w:cstheme="minorBidi"/>
      <w:lang w:eastAsia="en-US"/>
    </w:rPr>
  </w:style>
  <w:style w:type="paragraph" w:customStyle="1" w:styleId="ParaHdg1">
    <w:name w:val="ParaHdg1"/>
    <w:basedOn w:val="Normal"/>
    <w:qFormat/>
    <w:rsid w:val="00953571"/>
    <w:pPr>
      <w:numPr>
        <w:numId w:val="15"/>
      </w:numPr>
      <w:spacing w:before="480" w:after="0" w:line="276" w:lineRule="auto"/>
    </w:pPr>
    <w:rPr>
      <w:rFonts w:ascii="Century Gothic" w:hAnsi="Century Gothic" w:cs="Arial"/>
      <w:b/>
      <w:lang w:val="en-US"/>
    </w:rPr>
  </w:style>
  <w:style w:type="paragraph" w:customStyle="1" w:styleId="ParaLvl2">
    <w:name w:val="ParaLvl2"/>
    <w:basedOn w:val="Normal"/>
    <w:uiPriority w:val="1"/>
    <w:qFormat/>
    <w:rsid w:val="00953571"/>
    <w:pPr>
      <w:numPr>
        <w:ilvl w:val="2"/>
        <w:numId w:val="15"/>
      </w:numPr>
      <w:spacing w:before="120" w:after="0" w:line="259" w:lineRule="auto"/>
    </w:pPr>
    <w:rPr>
      <w:rFonts w:ascii="Century Gothic" w:eastAsiaTheme="minorHAnsi" w:hAnsi="Century Gothic" w:cstheme="minorBidi"/>
      <w:szCs w:val="22"/>
      <w:lang w:eastAsia="en-US"/>
    </w:rPr>
  </w:style>
  <w:style w:type="paragraph" w:customStyle="1" w:styleId="ParaHdg2">
    <w:name w:val="ParaHdg2"/>
    <w:basedOn w:val="Normal"/>
    <w:next w:val="ParaLvl2"/>
    <w:uiPriority w:val="1"/>
    <w:qFormat/>
    <w:rsid w:val="00953571"/>
    <w:pPr>
      <w:numPr>
        <w:ilvl w:val="3"/>
        <w:numId w:val="15"/>
      </w:numPr>
      <w:spacing w:before="240" w:after="160" w:line="259" w:lineRule="auto"/>
    </w:pPr>
    <w:rPr>
      <w:rFonts w:ascii="Century Gothic" w:eastAsiaTheme="minorHAnsi" w:hAnsi="Century Gothic" w:cstheme="minorBidi"/>
      <w:b/>
      <w:lang w:eastAsia="en-US"/>
    </w:rPr>
  </w:style>
  <w:style w:type="paragraph" w:customStyle="1" w:styleId="ParaLvl3">
    <w:name w:val="ParaLvl3"/>
    <w:basedOn w:val="ParaLvl2"/>
    <w:uiPriority w:val="2"/>
    <w:qFormat/>
    <w:rsid w:val="00953571"/>
    <w:pPr>
      <w:numPr>
        <w:ilvl w:val="5"/>
      </w:numPr>
      <w:spacing w:before="200"/>
    </w:pPr>
  </w:style>
  <w:style w:type="paragraph" w:customStyle="1" w:styleId="ListPara3">
    <w:name w:val="List Para 3"/>
    <w:basedOn w:val="ParaLvl3"/>
    <w:uiPriority w:val="2"/>
    <w:rsid w:val="00953571"/>
    <w:pPr>
      <w:numPr>
        <w:ilvl w:val="6"/>
      </w:numPr>
    </w:pPr>
  </w:style>
  <w:style w:type="paragraph" w:customStyle="1" w:styleId="ParaLvl1">
    <w:name w:val="ParaLvl1"/>
    <w:basedOn w:val="ListPara1"/>
    <w:qFormat/>
    <w:rsid w:val="00953571"/>
    <w:pPr>
      <w:numPr>
        <w:ilvl w:val="1"/>
        <w:numId w:val="15"/>
      </w:numPr>
      <w:spacing w:before="160" w:after="0"/>
      <w:ind w:left="1440" w:hanging="360"/>
    </w:pPr>
  </w:style>
  <w:style w:type="character" w:styleId="PlaceholderText">
    <w:name w:val="Placeholder Text"/>
    <w:basedOn w:val="DefaultParagraphFont"/>
    <w:uiPriority w:val="99"/>
    <w:semiHidden/>
    <w:rsid w:val="00953571"/>
    <w:rPr>
      <w:color w:val="808080"/>
    </w:rPr>
  </w:style>
  <w:style w:type="paragraph" w:customStyle="1" w:styleId="Normal1">
    <w:name w:val="Normal1"/>
    <w:basedOn w:val="Normal"/>
    <w:qFormat/>
    <w:rsid w:val="00953571"/>
    <w:pPr>
      <w:spacing w:after="120" w:line="0" w:lineRule="atLeast"/>
    </w:pPr>
    <w:rPr>
      <w:rFonts w:ascii="Arial" w:eastAsia="PMingLiU" w:hAnsi="Arial"/>
      <w:kern w:val="2"/>
      <w:lang w:val="en-GB" w:eastAsia="zh-TW"/>
    </w:rPr>
  </w:style>
  <w:style w:type="character" w:customStyle="1" w:styleId="ListParagraphChar">
    <w:name w:val="List Paragraph Char"/>
    <w:aliases w:val="Cell bullets Char,Noise heading Char,Issue Action POC Char,List Paragraph1 Char,3 Char,POCG Table Text Char,Dot pt Char,F5 List Paragraph Char,List Paragraph Char Char Char Char,Indicator Text Char,Colorful List - Accent 11 Char"/>
    <w:basedOn w:val="DefaultParagraphFont"/>
    <w:link w:val="ListParagraph"/>
    <w:uiPriority w:val="34"/>
    <w:qFormat/>
    <w:locked/>
    <w:rsid w:val="00953571"/>
    <w:rPr>
      <w:rFonts w:asciiTheme="minorHAnsi" w:eastAsiaTheme="minorHAnsi" w:hAnsiTheme="minorHAnsi" w:cstheme="minorBidi"/>
      <w:sz w:val="22"/>
      <w:szCs w:val="22"/>
      <w:lang w:eastAsia="en-US"/>
    </w:rPr>
  </w:style>
  <w:style w:type="paragraph" w:styleId="Title">
    <w:name w:val="Title"/>
    <w:basedOn w:val="Normal"/>
    <w:next w:val="Normal"/>
    <w:link w:val="TitleChar"/>
    <w:uiPriority w:val="10"/>
    <w:qFormat/>
    <w:rsid w:val="009535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53571"/>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ocClassification">
    <w:name w:val="Doc Classification"/>
    <w:link w:val="DocClassificationChar"/>
    <w:qFormat/>
    <w:rsid w:val="00953571"/>
    <w:pPr>
      <w:tabs>
        <w:tab w:val="right" w:pos="9214"/>
      </w:tabs>
      <w:spacing w:before="200" w:after="200"/>
    </w:pPr>
    <w:rPr>
      <w:rFonts w:ascii="Calibri" w:eastAsia="Calibri" w:hAnsi="Calibri"/>
      <w:b/>
      <w:noProof/>
      <w:color w:val="D0453A"/>
      <w:sz w:val="24"/>
      <w:szCs w:val="22"/>
      <w:lang w:eastAsia="en-US"/>
    </w:rPr>
  </w:style>
  <w:style w:type="character" w:customStyle="1" w:styleId="DocClassificationChar">
    <w:name w:val="Doc Classification Char"/>
    <w:link w:val="DocClassification"/>
    <w:rsid w:val="00953571"/>
    <w:rPr>
      <w:rFonts w:ascii="Calibri" w:eastAsia="Calibri" w:hAnsi="Calibri"/>
      <w:b/>
      <w:noProof/>
      <w:color w:val="D0453A"/>
      <w:sz w:val="24"/>
      <w:szCs w:val="22"/>
      <w:lang w:eastAsia="en-US"/>
    </w:rPr>
  </w:style>
  <w:style w:type="character" w:customStyle="1" w:styleId="FooterChar">
    <w:name w:val="Footer Char"/>
    <w:basedOn w:val="DefaultParagraphFont"/>
    <w:link w:val="Footer"/>
    <w:uiPriority w:val="99"/>
    <w:rsid w:val="00953571"/>
    <w:rPr>
      <w:rFonts w:ascii="Arial" w:hAnsi="Arial"/>
      <w:sz w:val="16"/>
      <w:szCs w:val="16"/>
    </w:rPr>
  </w:style>
  <w:style w:type="character" w:customStyle="1" w:styleId="Heading4Char">
    <w:name w:val="Heading 4 Char"/>
    <w:basedOn w:val="DefaultParagraphFont"/>
    <w:link w:val="Heading4"/>
    <w:uiPriority w:val="9"/>
    <w:rsid w:val="00953571"/>
    <w:rPr>
      <w:rFonts w:ascii="Arial" w:hAnsi="Arial" w:cs="Arial"/>
      <w:b/>
      <w:szCs w:val="22"/>
    </w:rPr>
  </w:style>
  <w:style w:type="character" w:customStyle="1" w:styleId="Heading5Char">
    <w:name w:val="Heading 5 Char"/>
    <w:basedOn w:val="DefaultParagraphFont"/>
    <w:link w:val="Heading5"/>
    <w:uiPriority w:val="9"/>
    <w:rsid w:val="00953571"/>
    <w:rPr>
      <w:rFonts w:ascii="Arial" w:hAnsi="Arial" w:cs="Arial"/>
      <w:i/>
    </w:rPr>
  </w:style>
  <w:style w:type="character" w:customStyle="1" w:styleId="Heading6Char">
    <w:name w:val="Heading 6 Char"/>
    <w:basedOn w:val="DefaultParagraphFont"/>
    <w:link w:val="Heading6"/>
    <w:uiPriority w:val="9"/>
    <w:rsid w:val="00953571"/>
    <w:rPr>
      <w:rFonts w:ascii="Arial" w:hAnsi="Arial" w:cs="Arial"/>
      <w:b/>
      <w:kern w:val="28"/>
      <w:sz w:val="36"/>
      <w:szCs w:val="36"/>
    </w:rPr>
  </w:style>
  <w:style w:type="character" w:customStyle="1" w:styleId="Heading7Char">
    <w:name w:val="Heading 7 Char"/>
    <w:basedOn w:val="DefaultParagraphFont"/>
    <w:link w:val="Heading7"/>
    <w:uiPriority w:val="9"/>
    <w:rsid w:val="00953571"/>
    <w:rPr>
      <w:rFonts w:ascii="Arial" w:hAnsi="Arial" w:cs="Arial"/>
      <w:b/>
      <w:sz w:val="28"/>
      <w:szCs w:val="28"/>
    </w:rPr>
  </w:style>
  <w:style w:type="character" w:customStyle="1" w:styleId="BalloonTextChar">
    <w:name w:val="Balloon Text Char"/>
    <w:basedOn w:val="DefaultParagraphFont"/>
    <w:link w:val="BalloonText"/>
    <w:semiHidden/>
    <w:rsid w:val="00953571"/>
    <w:rPr>
      <w:rFonts w:ascii="Tahoma" w:hAnsi="Tahoma" w:cs="Tahoma"/>
      <w:sz w:val="16"/>
      <w:szCs w:val="16"/>
    </w:rPr>
  </w:style>
  <w:style w:type="character" w:customStyle="1" w:styleId="hklmref">
    <w:name w:val="hklm_ref"/>
    <w:basedOn w:val="DefaultParagraphFont"/>
    <w:rsid w:val="00953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5656">
      <w:bodyDiv w:val="1"/>
      <w:marLeft w:val="0"/>
      <w:marRight w:val="0"/>
      <w:marTop w:val="0"/>
      <w:marBottom w:val="0"/>
      <w:divBdr>
        <w:top w:val="none" w:sz="0" w:space="0" w:color="auto"/>
        <w:left w:val="none" w:sz="0" w:space="0" w:color="auto"/>
        <w:bottom w:val="none" w:sz="0" w:space="0" w:color="auto"/>
        <w:right w:val="none" w:sz="0" w:space="0" w:color="auto"/>
      </w:divBdr>
    </w:div>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832766475">
      <w:bodyDiv w:val="1"/>
      <w:marLeft w:val="0"/>
      <w:marRight w:val="0"/>
      <w:marTop w:val="0"/>
      <w:marBottom w:val="0"/>
      <w:divBdr>
        <w:top w:val="none" w:sz="0" w:space="0" w:color="auto"/>
        <w:left w:val="none" w:sz="0" w:space="0" w:color="auto"/>
        <w:bottom w:val="none" w:sz="0" w:space="0" w:color="auto"/>
        <w:right w:val="none" w:sz="0" w:space="0" w:color="auto"/>
      </w:divBdr>
      <w:divsChild>
        <w:div w:id="903416370">
          <w:marLeft w:val="0"/>
          <w:marRight w:val="0"/>
          <w:marTop w:val="0"/>
          <w:marBottom w:val="0"/>
          <w:divBdr>
            <w:top w:val="none" w:sz="0" w:space="0" w:color="auto"/>
            <w:left w:val="none" w:sz="0" w:space="0" w:color="auto"/>
            <w:bottom w:val="none" w:sz="0" w:space="0" w:color="auto"/>
            <w:right w:val="none" w:sz="0" w:space="0" w:color="auto"/>
          </w:divBdr>
          <w:divsChild>
            <w:div w:id="983780245">
              <w:marLeft w:val="0"/>
              <w:marRight w:val="0"/>
              <w:marTop w:val="0"/>
              <w:marBottom w:val="0"/>
              <w:divBdr>
                <w:top w:val="none" w:sz="0" w:space="0" w:color="auto"/>
                <w:left w:val="none" w:sz="0" w:space="0" w:color="auto"/>
                <w:bottom w:val="none" w:sz="0" w:space="0" w:color="auto"/>
                <w:right w:val="none" w:sz="0" w:space="0" w:color="auto"/>
              </w:divBdr>
              <w:divsChild>
                <w:div w:id="1322352180">
                  <w:marLeft w:val="0"/>
                  <w:marRight w:val="0"/>
                  <w:marTop w:val="100"/>
                  <w:marBottom w:val="100"/>
                  <w:divBdr>
                    <w:top w:val="none" w:sz="0" w:space="0" w:color="auto"/>
                    <w:left w:val="none" w:sz="0" w:space="0" w:color="auto"/>
                    <w:bottom w:val="none" w:sz="0" w:space="0" w:color="auto"/>
                    <w:right w:val="none" w:sz="0" w:space="0" w:color="auto"/>
                  </w:divBdr>
                  <w:divsChild>
                    <w:div w:id="128474120">
                      <w:marLeft w:val="1"/>
                      <w:marRight w:val="1"/>
                      <w:marTop w:val="240"/>
                      <w:marBottom w:val="0"/>
                      <w:divBdr>
                        <w:top w:val="none" w:sz="0" w:space="0" w:color="auto"/>
                        <w:left w:val="none" w:sz="0" w:space="0" w:color="auto"/>
                        <w:bottom w:val="none" w:sz="0" w:space="0" w:color="auto"/>
                        <w:right w:val="none" w:sz="0" w:space="0" w:color="auto"/>
                      </w:divBdr>
                      <w:divsChild>
                        <w:div w:id="1469471660">
                          <w:marLeft w:val="-1"/>
                          <w:marRight w:val="-1"/>
                          <w:marTop w:val="0"/>
                          <w:marBottom w:val="0"/>
                          <w:divBdr>
                            <w:top w:val="none" w:sz="0" w:space="0" w:color="auto"/>
                            <w:left w:val="none" w:sz="0" w:space="0" w:color="auto"/>
                            <w:bottom w:val="none" w:sz="0" w:space="0" w:color="auto"/>
                            <w:right w:val="none" w:sz="0" w:space="0" w:color="auto"/>
                          </w:divBdr>
                          <w:divsChild>
                            <w:div w:id="192853721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7278">
      <w:bodyDiv w:val="1"/>
      <w:marLeft w:val="0"/>
      <w:marRight w:val="0"/>
      <w:marTop w:val="0"/>
      <w:marBottom w:val="0"/>
      <w:divBdr>
        <w:top w:val="none" w:sz="0" w:space="0" w:color="auto"/>
        <w:left w:val="none" w:sz="0" w:space="0" w:color="auto"/>
        <w:bottom w:val="none" w:sz="0" w:space="0" w:color="auto"/>
        <w:right w:val="none" w:sz="0" w:space="0" w:color="auto"/>
      </w:divBdr>
      <w:divsChild>
        <w:div w:id="264263938">
          <w:marLeft w:val="0"/>
          <w:marRight w:val="0"/>
          <w:marTop w:val="2475"/>
          <w:marBottom w:val="0"/>
          <w:divBdr>
            <w:top w:val="none" w:sz="0" w:space="0" w:color="auto"/>
            <w:left w:val="none" w:sz="0" w:space="0" w:color="auto"/>
            <w:bottom w:val="none" w:sz="0" w:space="0" w:color="auto"/>
            <w:right w:val="none" w:sz="0" w:space="0" w:color="auto"/>
          </w:divBdr>
          <w:divsChild>
            <w:div w:id="1222328889">
              <w:marLeft w:val="0"/>
              <w:marRight w:val="0"/>
              <w:marTop w:val="0"/>
              <w:marBottom w:val="0"/>
              <w:divBdr>
                <w:top w:val="none" w:sz="0" w:space="0" w:color="auto"/>
                <w:left w:val="none" w:sz="0" w:space="0" w:color="auto"/>
                <w:bottom w:val="none" w:sz="0" w:space="0" w:color="auto"/>
                <w:right w:val="none" w:sz="0" w:space="0" w:color="auto"/>
              </w:divBdr>
              <w:divsChild>
                <w:div w:id="15854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8006">
      <w:bodyDiv w:val="1"/>
      <w:marLeft w:val="0"/>
      <w:marRight w:val="0"/>
      <w:marTop w:val="0"/>
      <w:marBottom w:val="0"/>
      <w:divBdr>
        <w:top w:val="none" w:sz="0" w:space="0" w:color="auto"/>
        <w:left w:val="none" w:sz="0" w:space="0" w:color="auto"/>
        <w:bottom w:val="none" w:sz="0" w:space="0" w:color="auto"/>
        <w:right w:val="none" w:sz="0" w:space="0" w:color="auto"/>
      </w:divBdr>
      <w:divsChild>
        <w:div w:id="213276510">
          <w:marLeft w:val="0"/>
          <w:marRight w:val="0"/>
          <w:marTop w:val="0"/>
          <w:marBottom w:val="0"/>
          <w:divBdr>
            <w:top w:val="none" w:sz="0" w:space="0" w:color="auto"/>
            <w:left w:val="none" w:sz="0" w:space="0" w:color="auto"/>
            <w:bottom w:val="none" w:sz="0" w:space="0" w:color="auto"/>
            <w:right w:val="none" w:sz="0" w:space="0" w:color="auto"/>
          </w:divBdr>
          <w:divsChild>
            <w:div w:id="1223829057">
              <w:marLeft w:val="0"/>
              <w:marRight w:val="0"/>
              <w:marTop w:val="0"/>
              <w:marBottom w:val="0"/>
              <w:divBdr>
                <w:top w:val="none" w:sz="0" w:space="0" w:color="auto"/>
                <w:left w:val="none" w:sz="0" w:space="0" w:color="auto"/>
                <w:bottom w:val="none" w:sz="0" w:space="0" w:color="auto"/>
                <w:right w:val="none" w:sz="0" w:space="0" w:color="auto"/>
              </w:divBdr>
              <w:divsChild>
                <w:div w:id="1026253746">
                  <w:marLeft w:val="0"/>
                  <w:marRight w:val="0"/>
                  <w:marTop w:val="100"/>
                  <w:marBottom w:val="100"/>
                  <w:divBdr>
                    <w:top w:val="none" w:sz="0" w:space="0" w:color="auto"/>
                    <w:left w:val="none" w:sz="0" w:space="0" w:color="auto"/>
                    <w:bottom w:val="none" w:sz="0" w:space="0" w:color="auto"/>
                    <w:right w:val="none" w:sz="0" w:space="0" w:color="auto"/>
                  </w:divBdr>
                  <w:divsChild>
                    <w:div w:id="1478492979">
                      <w:marLeft w:val="1"/>
                      <w:marRight w:val="1"/>
                      <w:marTop w:val="240"/>
                      <w:marBottom w:val="0"/>
                      <w:divBdr>
                        <w:top w:val="none" w:sz="0" w:space="0" w:color="auto"/>
                        <w:left w:val="none" w:sz="0" w:space="0" w:color="auto"/>
                        <w:bottom w:val="none" w:sz="0" w:space="0" w:color="auto"/>
                        <w:right w:val="none" w:sz="0" w:space="0" w:color="auto"/>
                      </w:divBdr>
                      <w:divsChild>
                        <w:div w:id="117143095">
                          <w:marLeft w:val="-1"/>
                          <w:marRight w:val="-1"/>
                          <w:marTop w:val="0"/>
                          <w:marBottom w:val="0"/>
                          <w:divBdr>
                            <w:top w:val="none" w:sz="0" w:space="0" w:color="auto"/>
                            <w:left w:val="none" w:sz="0" w:space="0" w:color="auto"/>
                            <w:bottom w:val="none" w:sz="0" w:space="0" w:color="auto"/>
                            <w:right w:val="none" w:sz="0" w:space="0" w:color="auto"/>
                          </w:divBdr>
                          <w:divsChild>
                            <w:div w:id="5090991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930108">
      <w:bodyDiv w:val="1"/>
      <w:marLeft w:val="0"/>
      <w:marRight w:val="0"/>
      <w:marTop w:val="0"/>
      <w:marBottom w:val="0"/>
      <w:divBdr>
        <w:top w:val="none" w:sz="0" w:space="0" w:color="auto"/>
        <w:left w:val="none" w:sz="0" w:space="0" w:color="auto"/>
        <w:bottom w:val="none" w:sz="0" w:space="0" w:color="auto"/>
        <w:right w:val="none" w:sz="0" w:space="0" w:color="auto"/>
      </w:divBdr>
    </w:div>
    <w:div w:id="1519153803">
      <w:bodyDiv w:val="1"/>
      <w:marLeft w:val="0"/>
      <w:marRight w:val="0"/>
      <w:marTop w:val="0"/>
      <w:marBottom w:val="0"/>
      <w:divBdr>
        <w:top w:val="none" w:sz="0" w:space="0" w:color="auto"/>
        <w:left w:val="none" w:sz="0" w:space="0" w:color="auto"/>
        <w:bottom w:val="none" w:sz="0" w:space="0" w:color="auto"/>
        <w:right w:val="none" w:sz="0" w:space="0" w:color="auto"/>
      </w:divBdr>
    </w:div>
    <w:div w:id="1599219749">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 w:id="1871721576">
      <w:bodyDiv w:val="1"/>
      <w:marLeft w:val="0"/>
      <w:marRight w:val="0"/>
      <w:marTop w:val="0"/>
      <w:marBottom w:val="0"/>
      <w:divBdr>
        <w:top w:val="none" w:sz="0" w:space="0" w:color="auto"/>
        <w:left w:val="none" w:sz="0" w:space="0" w:color="auto"/>
        <w:bottom w:val="none" w:sz="0" w:space="0" w:color="auto"/>
        <w:right w:val="none" w:sz="0" w:space="0" w:color="auto"/>
      </w:divBdr>
    </w:div>
    <w:div w:id="21001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yperlink" Target="https://www.legislation.gov.au/Details/F2020C00930" TargetMode="External"/><Relationship Id="rId39" Type="http://schemas.openxmlformats.org/officeDocument/2006/relationships/hyperlink" Target="https://download.asic.gov.au/media/4950776/asic-derivative-transaction-rules-reporting-2013-deternination-2018-1096.pdf" TargetMode="External"/><Relationship Id="rId21" Type="http://schemas.openxmlformats.org/officeDocument/2006/relationships/hyperlink" Target="https://www.legislation.gov.au/Details/F2015L00132" TargetMode="External"/><Relationship Id="rId34" Type="http://schemas.openxmlformats.org/officeDocument/2006/relationships/hyperlink" Target="https://www.legislation.gov.au/Details/F2020C00930" TargetMode="External"/><Relationship Id="rId42" Type="http://schemas.openxmlformats.org/officeDocument/2006/relationships/hyperlink" Target="https://www.iosco.org/library/pubdocs/pdf/IOSCOPD580.pdf"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iosco.org/library/pubdocs/pdf/IOSCOPD598.pdf" TargetMode="External"/><Relationship Id="rId11" Type="http://schemas.openxmlformats.org/officeDocument/2006/relationships/footnotes" Target="footnotes.xml"/><Relationship Id="rId24" Type="http://schemas.openxmlformats.org/officeDocument/2006/relationships/hyperlink" Target="https://www.legislation.gov.au/Details/F2015L00100" TargetMode="External"/><Relationship Id="rId32" Type="http://schemas.openxmlformats.org/officeDocument/2006/relationships/hyperlink" Target="https://www.legislation.gov.au/Details/F2020C00930" TargetMode="External"/><Relationship Id="rId37" Type="http://schemas.openxmlformats.org/officeDocument/2006/relationships/hyperlink" Target="https://www.legislation.gov.au/Details/F2020C00930" TargetMode="External"/><Relationship Id="rId40" Type="http://schemas.openxmlformats.org/officeDocument/2006/relationships/hyperlink" Target="https://www.iosco.org/library/pubdocs/pdf/IOSCOPD598.pdf" TargetMode="External"/><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wnload.asic.gov.au/media/4950776/asic-derivative-transaction-rules-reporting-2013-deternination-2018-1096.pdf" TargetMode="External"/><Relationship Id="rId28" Type="http://schemas.openxmlformats.org/officeDocument/2006/relationships/hyperlink" Target="https://www.iosco.org/library/pubdocs/pdf/IOSCOPD580.pdf" TargetMode="External"/><Relationship Id="rId36" Type="http://schemas.openxmlformats.org/officeDocument/2006/relationships/hyperlink" Target="https://www.legislation.gov.au/Details/F2020C00915"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asic.gov.au/privacy" TargetMode="External"/><Relationship Id="rId31" Type="http://schemas.openxmlformats.org/officeDocument/2006/relationships/hyperlink" Target="https://asic.gov.au/regulatory-resources/find-a-document/consultation-papers/cp-205-derivative-transaction-reporting/"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legislation.gov.au/Details/F2020C00915" TargetMode="External"/><Relationship Id="rId27" Type="http://schemas.openxmlformats.org/officeDocument/2006/relationships/hyperlink" Target="https://www.iosco.org/library/pubdocs/pdf/IOSCOPD557.pdf" TargetMode="External"/><Relationship Id="rId30" Type="http://schemas.openxmlformats.org/officeDocument/2006/relationships/hyperlink" Target="https://www.legislation.gov.au/Details/F2016C00229" TargetMode="External"/><Relationship Id="rId35" Type="http://schemas.openxmlformats.org/officeDocument/2006/relationships/hyperlink" Target="https://www.legislation.gov.au/Details/F2020C00930" TargetMode="External"/><Relationship Id="rId43" Type="http://schemas.openxmlformats.org/officeDocument/2006/relationships/hyperlink" Target="https://www.iosco.org/library/pubdocs/pdf/IOSCOPD557.pdf" TargetMode="External"/><Relationship Id="rId48" Type="http://schemas.openxmlformats.org/officeDocument/2006/relationships/header" Target="header6.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legislation.gov.au/Details/F2016L01280" TargetMode="External"/><Relationship Id="rId33" Type="http://schemas.openxmlformats.org/officeDocument/2006/relationships/hyperlink" Target="https://www.legislation.gov.au/Details/F2020C00930" TargetMode="External"/><Relationship Id="rId38" Type="http://schemas.openxmlformats.org/officeDocument/2006/relationships/hyperlink" Target="https://www.legislation.gov.au/Details/F2015L00100" TargetMode="External"/><Relationship Id="rId46" Type="http://schemas.openxmlformats.org/officeDocument/2006/relationships/footer" Target="footer3.xml"/><Relationship Id="rId20" Type="http://schemas.openxmlformats.org/officeDocument/2006/relationships/hyperlink" Target="mailto:otcd@asic.gov.au" TargetMode="External"/><Relationship Id="rId41" Type="http://schemas.openxmlformats.org/officeDocument/2006/relationships/hyperlink" Target="https://www.legislation.gov.au/Details/F2016C00229" TargetMode="Externa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a1.asic.gov.au\ds\appHome\Office%202016\ASIC%20Templates\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21884093534C14F97E78FECD91E4D5E" ma:contentTypeVersion="7" ma:contentTypeDescription="Create a new document." ma:contentTypeScope="" ma:versionID="0c3b04ecf3eef79b130090765d0a1108">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6866825ac798522bf9433a7dd65bd0f5"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ce34cc-bad1-49e6-aa59-6651be61fae6}"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fce34cc-bad1-49e6-aa59-6651be61fae6}"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6" nillable="true" ma:displayName="ECM SP13 Modified By" ma:internalName="ECMSP13ModifiedBy">
      <xsd:simpleType>
        <xsd:restriction base="dms:Text"/>
      </xsd:simpleType>
    </xsd:element>
    <xsd:element name="ECMSP13CreatedBy" ma:index="17" nillable="true" ma:displayName="ECM SP13 Created By" ma:internalName="ECMSP13CreatedBy">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DOCID-322795542-26338</_dlc_DocId>
    <_dlc_DocIdUrl xmlns="4195ad5f-cdf2-4c4a-8d9b-b7944a108e98">
      <Url>https://pmc01.sharepoint.com/sites/CRMOBPR/_layouts/15/DocIdRedir.aspx?ID=DOCID-322795542-26338</Url>
      <Description>DOCID-322795542-26338</Description>
    </_dlc_DocIdUrl>
    <lcf76f155ced4ddcb4097134ff3c332f xmlns="26285671-540d-468b-b7a1-f3e0438dd5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3D78-DF71-4F93-A2E2-1EC06F02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D4D68-6ABE-4279-A611-365D22EEB00D}"/>
</file>

<file path=customXml/itemProps3.xml><?xml version="1.0" encoding="utf-8"?>
<ds:datastoreItem xmlns:ds="http://schemas.openxmlformats.org/officeDocument/2006/customXml" ds:itemID="{D07DD0D8-F55D-4AF2-97E4-C9B5E802ACCC}">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4.xml><?xml version="1.0" encoding="utf-8"?>
<ds:datastoreItem xmlns:ds="http://schemas.openxmlformats.org/officeDocument/2006/customXml" ds:itemID="{732D7D4A-7396-4AB8-98DD-ADCA8E457032}">
  <ds:schemaRefs>
    <ds:schemaRef ds:uri="http://schemas.microsoft.com/sharepoint/v3/contenttype/forms"/>
  </ds:schemaRefs>
</ds:datastoreItem>
</file>

<file path=customXml/itemProps5.xml><?xml version="1.0" encoding="utf-8"?>
<ds:datastoreItem xmlns:ds="http://schemas.openxmlformats.org/officeDocument/2006/customXml" ds:itemID="{6784C2FD-C38B-462A-AF24-DEFA304DC84B}">
  <ds:schemaRefs>
    <ds:schemaRef ds:uri="http://schemas.microsoft.com/sharepoint/events"/>
  </ds:schemaRefs>
</ds:datastoreItem>
</file>

<file path=customXml/itemProps6.xml><?xml version="1.0" encoding="utf-8"?>
<ds:datastoreItem xmlns:ds="http://schemas.openxmlformats.org/officeDocument/2006/customXml" ds:itemID="{C241AB57-27FB-4CAB-8F3A-F413D7D0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Template>
  <TotalTime>19</TotalTime>
  <Pages>137</Pages>
  <Words>43347</Words>
  <Characters>247082</Characters>
  <Application>Microsoft Office Word</Application>
  <DocSecurity>0</DocSecurity>
  <Lines>2059</Lines>
  <Paragraphs>579</Paragraphs>
  <ScaleCrop>false</ScaleCrop>
  <HeadingPairs>
    <vt:vector size="2" baseType="variant">
      <vt:variant>
        <vt:lpstr>Title</vt:lpstr>
      </vt:variant>
      <vt:variant>
        <vt:i4>1</vt:i4>
      </vt:variant>
    </vt:vector>
  </HeadingPairs>
  <TitlesOfParts>
    <vt:vector size="1" baseType="lpstr">
      <vt:lpstr>Consultation Paper CP 334 Proposed changes to simplify the ASIC Derivative Transaction Rules (Reporting): First consultation</vt:lpstr>
    </vt:vector>
  </TitlesOfParts>
  <Company/>
  <LinksUpToDate>false</LinksUpToDate>
  <CharactersWithSpaces>289850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CP 334 Proposed changes to simplify the ASIC Derivative Transaction Rules (Reporting): First consultation</dc:title>
  <dc:subject>Consultation Paper CP 334 Proposed changes to simplify the ASIC Derivative Transaction Rules (Reporting): First consultation</dc:subject>
  <dc:creator>ASIC</dc:creator>
  <cp:keywords>Consultation Paper CP 334 Proposed changes to simplify the ASIC Derivative Transaction Rules (Reporting): First consultation</cp:keywords>
  <dc:description/>
  <cp:lastModifiedBy>Craig McBurnie</cp:lastModifiedBy>
  <cp:revision>4</cp:revision>
  <cp:lastPrinted>2020-11-16T23:09:00Z</cp:lastPrinted>
  <dcterms:created xsi:type="dcterms:W3CDTF">2020-12-14T04:03:00Z</dcterms:created>
  <dcterms:modified xsi:type="dcterms:W3CDTF">2022-08-31T13:11:00Z</dcterms:modified>
  <cp:category>consultation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CONSULTATION PAPER</vt:lpwstr>
  </property>
  <property fmtid="{D5CDD505-2E9C-101B-9397-08002B2CF9AE}" pid="3" name="Document title">
    <vt:lpwstr>Proposed changes to simplify the ASIC Derivative Transaction Rules (Reporting): First consultation</vt:lpwstr>
  </property>
  <property fmtid="{D5CDD505-2E9C-101B-9397-08002B2CF9AE}" pid="4" name="Document num">
    <vt:lpwstr>334</vt:lpwstr>
  </property>
  <property fmtid="{D5CDD505-2E9C-101B-9397-08002B2CF9AE}" pid="5" name="Issue date">
    <vt:lpwstr>November 2020</vt:lpwstr>
  </property>
  <property fmtid="{D5CDD505-2E9C-101B-9397-08002B2CF9AE}" pid="6" name="Source file type">
    <vt:lpwstr>CP</vt:lpwstr>
  </property>
  <property fmtid="{D5CDD505-2E9C-101B-9397-08002B2CF9AE}" pid="7" name="ContentTypeId">
    <vt:lpwstr>0x0101009CA239676470E04B809DDC4E24CF2322</vt:lpwstr>
  </property>
  <property fmtid="{D5CDD505-2E9C-101B-9397-08002B2CF9AE}" pid="8" name="SecurityClassification">
    <vt:lpwstr>1;#OFFICIAL - Sensitive|6eccc17f-024b-41b0-b6b1-faf98d2aff85</vt:lpwstr>
  </property>
  <property fmtid="{D5CDD505-2E9C-101B-9397-08002B2CF9AE}" pid="9" name="RecordPoint_WorkflowType">
    <vt:lpwstr>ActiveSubmitStub</vt:lpwstr>
  </property>
  <property fmtid="{D5CDD505-2E9C-101B-9397-08002B2CF9AE}" pid="10" name="RecordPoint_ActiveItemWebId">
    <vt:lpwstr>{beb4cffa-a87e-476d-882d-4d3866992d4f}</vt:lpwstr>
  </property>
  <property fmtid="{D5CDD505-2E9C-101B-9397-08002B2CF9AE}" pid="11" name="RecordPoint_ActiveItemSiteId">
    <vt:lpwstr>{17c60cf1-008c-4115-82e5-e12b1392a9ba}</vt:lpwstr>
  </property>
  <property fmtid="{D5CDD505-2E9C-101B-9397-08002B2CF9AE}" pid="12" name="RecordPoint_ActiveItemListId">
    <vt:lpwstr>{eff5351a-b648-4586-ad2b-124cbe458711}</vt:lpwstr>
  </property>
  <property fmtid="{D5CDD505-2E9C-101B-9397-08002B2CF9AE}" pid="13" name="RecordPoint_ActiveItemUniqueId">
    <vt:lpwstr>{c299d1bd-00c8-4626-91da-b348551d1507}</vt:lpwstr>
  </property>
  <property fmtid="{D5CDD505-2E9C-101B-9397-08002B2CF9AE}" pid="14" name="RecordPoint_RecordNumberSubmitted">
    <vt:lpwstr>R20200000734888</vt:lpwstr>
  </property>
  <property fmtid="{D5CDD505-2E9C-101B-9397-08002B2CF9AE}" pid="15" name="RecordPoint_SubmissionCompleted">
    <vt:lpwstr>2021-12-13T07:38:41.8303660+11:00</vt:lpwstr>
  </property>
  <property fmtid="{D5CDD505-2E9C-101B-9397-08002B2CF9AE}" pid="16" name="MailSubject">
    <vt:lpwstr/>
  </property>
  <property fmtid="{D5CDD505-2E9C-101B-9397-08002B2CF9AE}" pid="17" name="MailIn-Reply-To0">
    <vt:lpwstr/>
  </property>
  <property fmtid="{D5CDD505-2E9C-101B-9397-08002B2CF9AE}" pid="18" name="MailAttachments">
    <vt:bool>false</vt:bool>
  </property>
  <property fmtid="{D5CDD505-2E9C-101B-9397-08002B2CF9AE}" pid="19" name="bdf3bab5a81c426f8b5cbfa0265a271c">
    <vt:lpwstr/>
  </property>
  <property fmtid="{D5CDD505-2E9C-101B-9397-08002B2CF9AE}" pid="20" name="DocumentSetDescription">
    <vt:lpwstr/>
  </property>
  <property fmtid="{D5CDD505-2E9C-101B-9397-08002B2CF9AE}" pid="21" name="MailReferences">
    <vt:lpwstr/>
  </property>
  <property fmtid="{D5CDD505-2E9C-101B-9397-08002B2CF9AE}" pid="22" name="MailReply-To0">
    <vt:lpwstr/>
  </property>
  <property fmtid="{D5CDD505-2E9C-101B-9397-08002B2CF9AE}" pid="23" name="MailTo">
    <vt:lpwstr/>
  </property>
  <property fmtid="{D5CDD505-2E9C-101B-9397-08002B2CF9AE}" pid="24" name="PolicyWorkDocumentType">
    <vt:lpwstr/>
  </property>
  <property fmtid="{D5CDD505-2E9C-101B-9397-08002B2CF9AE}" pid="25" name="MailFrom">
    <vt:lpwstr/>
  </property>
  <property fmtid="{D5CDD505-2E9C-101B-9397-08002B2CF9AE}" pid="26" name="MailOriginalSubject">
    <vt:lpwstr/>
  </property>
  <property fmtid="{D5CDD505-2E9C-101B-9397-08002B2CF9AE}" pid="27" name="MailCc">
    <vt:lpwstr/>
  </property>
  <property fmtid="{D5CDD505-2E9C-101B-9397-08002B2CF9AE}" pid="28" name="URL">
    <vt:lpwstr/>
  </property>
  <property fmtid="{D5CDD505-2E9C-101B-9397-08002B2CF9AE}" pid="29" name="_dlc_DocIdItemGuid">
    <vt:lpwstr>107f078f-b4a0-430c-8a93-2922a9dd8a31</vt:lpwstr>
  </property>
  <property fmtid="{D5CDD505-2E9C-101B-9397-08002B2CF9AE}" pid="30" name="MediaServiceImageTags">
    <vt:lpwstr/>
  </property>
</Properties>
</file>