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9F00" w14:textId="316EB55F" w:rsidR="005F6F02" w:rsidRDefault="007F57E1">
      <w:pPr>
        <w:pStyle w:val="SinglePara"/>
        <w:jc w:val="right"/>
      </w:pPr>
      <w:r>
        <w:fldChar w:fldCharType="begin"/>
      </w:r>
      <w:r>
        <w:instrText xml:space="preserve"> SAVEDATE  \@ "d MMMM yyyy"  \* MERGEFORMAT </w:instrText>
      </w:r>
      <w:r>
        <w:fldChar w:fldCharType="separate"/>
      </w:r>
      <w:r w:rsidR="00AD096D">
        <w:rPr>
          <w:noProof/>
        </w:rPr>
        <w:t>5 July 2022</w:t>
      </w:r>
      <w:r>
        <w:fldChar w:fldCharType="end"/>
      </w:r>
    </w:p>
    <w:p w14:paraId="6168BB55" w14:textId="77777777" w:rsidR="005F6F02" w:rsidRDefault="005F6F02">
      <w:pPr>
        <w:spacing w:after="0"/>
        <w:jc w:val="right"/>
      </w:pPr>
      <w:r>
        <w:rPr>
          <w:b/>
        </w:rPr>
        <w:t>File:</w:t>
      </w:r>
      <w:r>
        <w:t xml:space="preserve">  </w:t>
      </w:r>
      <w:bookmarkStart w:id="0" w:name="File"/>
      <w:bookmarkEnd w:id="0"/>
    </w:p>
    <w:sdt>
      <w:sdtPr>
        <w:id w:val="-1200163859"/>
        <w:placeholder>
          <w:docPart w:val="CA256A6A6D5E453B87DC5AB38F732DD4"/>
        </w:placeholder>
      </w:sdtPr>
      <w:sdtEndPr/>
      <w:sdtContent>
        <w:p w14:paraId="69BF83A8" w14:textId="77777777" w:rsidR="00435BD2" w:rsidRDefault="00435BD2" w:rsidP="006B2510">
          <w:pPr>
            <w:pStyle w:val="Address"/>
          </w:pPr>
          <w:r>
            <w:t>Mr Jason Lange</w:t>
          </w:r>
        </w:p>
        <w:p w14:paraId="3250E5E4" w14:textId="77777777" w:rsidR="00435BD2" w:rsidRDefault="00435BD2" w:rsidP="006B2510">
          <w:pPr>
            <w:pStyle w:val="Address"/>
          </w:pPr>
          <w:r>
            <w:t>Executive Director</w:t>
          </w:r>
        </w:p>
        <w:p w14:paraId="062C590D" w14:textId="77777777" w:rsidR="00435BD2" w:rsidRDefault="00435BD2" w:rsidP="006B2510">
          <w:pPr>
            <w:pStyle w:val="Address"/>
          </w:pPr>
          <w:r>
            <w:t>Office of Best Practice Regulation</w:t>
          </w:r>
        </w:p>
        <w:p w14:paraId="6EB48E04" w14:textId="77777777" w:rsidR="00435BD2" w:rsidRDefault="00435BD2" w:rsidP="006B2510">
          <w:pPr>
            <w:pStyle w:val="Address"/>
          </w:pPr>
          <w:r>
            <w:t xml:space="preserve">1 National Circuit </w:t>
          </w:r>
        </w:p>
        <w:p w14:paraId="09E7A14C" w14:textId="01FF8DD8" w:rsidR="005F6F02" w:rsidRDefault="00435BD2" w:rsidP="006B2510">
          <w:pPr>
            <w:pStyle w:val="Address"/>
          </w:pPr>
          <w:r>
            <w:t>BARTON ACT 2600</w:t>
          </w:r>
        </w:p>
      </w:sdtContent>
    </w:sdt>
    <w:p w14:paraId="162385ED" w14:textId="77777777" w:rsidR="005F6F02" w:rsidRDefault="005F6F02"/>
    <w:p w14:paraId="6BD59A1B" w14:textId="59A40D48" w:rsidR="005F6F02" w:rsidRDefault="005F6F02">
      <w:r>
        <w:t xml:space="preserve">Dear </w:t>
      </w:r>
      <w:r w:rsidR="00957F4B">
        <w:t>Mr Lange</w:t>
      </w:r>
    </w:p>
    <w:p w14:paraId="7C85E2CF" w14:textId="640AEB12" w:rsidR="005F6F02" w:rsidRDefault="00B44867">
      <w:pPr>
        <w:rPr>
          <w:b/>
          <w:caps/>
        </w:rPr>
      </w:pPr>
      <w:r>
        <w:rPr>
          <w:b/>
          <w:caps/>
        </w:rPr>
        <w:t>CERTIFICATION OF INDEPENDENT REVIEWS – COMPETITION IN CLEARING AND SETTLEMENT REFORMS</w:t>
      </w:r>
    </w:p>
    <w:p w14:paraId="73199FED" w14:textId="05F3BCF8" w:rsidR="00957F4B" w:rsidRDefault="00D34DB9">
      <w:bookmarkStart w:id="1" w:name="Content"/>
      <w:bookmarkEnd w:id="1"/>
      <w:r>
        <w:t>I am writing to certify that the attached independent reviews</w:t>
      </w:r>
      <w:r w:rsidR="00957F4B">
        <w:t xml:space="preserve"> </w:t>
      </w:r>
      <w:r w:rsidR="00D51555">
        <w:t xml:space="preserve">have undertaken a process and analysis </w:t>
      </w:r>
      <w:r w:rsidR="00957F4B">
        <w:t>equivalent to RIS process</w:t>
      </w:r>
      <w:r w:rsidR="00B82BAF">
        <w:t>es</w:t>
      </w:r>
      <w:r w:rsidR="00957F4B">
        <w:t xml:space="preserve">. </w:t>
      </w:r>
    </w:p>
    <w:p w14:paraId="7376878D" w14:textId="48FD9884" w:rsidR="2DD592E6" w:rsidRDefault="2DD592E6" w:rsidP="2DD592E6">
      <w:r>
        <w:t>The primary independent reviews attached are as follows:</w:t>
      </w:r>
    </w:p>
    <w:p w14:paraId="50468747" w14:textId="55C1A439" w:rsidR="00C513F2" w:rsidRDefault="2DD592E6" w:rsidP="2DD592E6">
      <w:pPr>
        <w:pStyle w:val="ListParagraph"/>
        <w:numPr>
          <w:ilvl w:val="0"/>
          <w:numId w:val="2"/>
        </w:numPr>
      </w:pPr>
      <w:r w:rsidRPr="6AB1A24A">
        <w:rPr>
          <w:i/>
          <w:iCs/>
        </w:rPr>
        <w:t>Review of Competition in Clearing Australian Cash Equities: Conclusions</w:t>
      </w:r>
      <w:r>
        <w:t>, Report by the Council of Financial Regulators</w:t>
      </w:r>
      <w:r w:rsidR="00C52B0D">
        <w:t xml:space="preserve"> (CFR)</w:t>
      </w:r>
      <w:r>
        <w:t xml:space="preserve">, June </w:t>
      </w:r>
      <w:proofErr w:type="gramStart"/>
      <w:r>
        <w:t>2015;</w:t>
      </w:r>
      <w:proofErr w:type="gramEnd"/>
      <w:r>
        <w:t xml:space="preserve"> </w:t>
      </w:r>
    </w:p>
    <w:p w14:paraId="22D71D63" w14:textId="022D455C" w:rsidR="2DD592E6" w:rsidRDefault="00092074" w:rsidP="2DD592E6">
      <w:pPr>
        <w:pStyle w:val="ListParagraph"/>
        <w:numPr>
          <w:ilvl w:val="0"/>
          <w:numId w:val="2"/>
        </w:numPr>
      </w:pPr>
      <w:r w:rsidRPr="6AB1A24A">
        <w:rPr>
          <w:i/>
          <w:iCs/>
        </w:rPr>
        <w:t>Safe and Effective Competition in Cash Equity Settlement in Australia: Response to Consultation</w:t>
      </w:r>
      <w:r>
        <w:t xml:space="preserve">, </w:t>
      </w:r>
      <w:r w:rsidR="00FD61D3">
        <w:t>Report by the CFR, September 2017;</w:t>
      </w:r>
      <w:r w:rsidR="00C513F2">
        <w:t xml:space="preserve"> </w:t>
      </w:r>
      <w:r w:rsidR="2DD592E6">
        <w:t>and</w:t>
      </w:r>
    </w:p>
    <w:p w14:paraId="3E4641EE" w14:textId="3A20D866" w:rsidR="2DD592E6" w:rsidRDefault="2DD592E6" w:rsidP="2DD592E6">
      <w:pPr>
        <w:pStyle w:val="ListParagraph"/>
        <w:numPr>
          <w:ilvl w:val="0"/>
          <w:numId w:val="2"/>
        </w:numPr>
      </w:pPr>
      <w:r w:rsidRPr="6AB1A24A">
        <w:rPr>
          <w:i/>
          <w:iCs/>
        </w:rPr>
        <w:t xml:space="preserve">Competition in </w:t>
      </w:r>
      <w:r w:rsidR="00632A36" w:rsidRPr="6AB1A24A">
        <w:rPr>
          <w:i/>
          <w:iCs/>
        </w:rPr>
        <w:t xml:space="preserve">Clearing Australian Cash Equities: </w:t>
      </w:r>
      <w:r w:rsidR="008D2DD2" w:rsidRPr="6AB1A24A">
        <w:rPr>
          <w:i/>
          <w:iCs/>
        </w:rPr>
        <w:t>Conclusions</w:t>
      </w:r>
      <w:r w:rsidR="008D2DD2">
        <w:t>, Report</w:t>
      </w:r>
      <w:r>
        <w:t xml:space="preserve"> by the </w:t>
      </w:r>
      <w:r w:rsidR="008D2DD2">
        <w:t>CFR</w:t>
      </w:r>
      <w:r>
        <w:t xml:space="preserve">, </w:t>
      </w:r>
      <w:r w:rsidR="008D2DD2">
        <w:t xml:space="preserve">December </w:t>
      </w:r>
      <w:r>
        <w:t>2012.</w:t>
      </w:r>
    </w:p>
    <w:p w14:paraId="5E2C5E30" w14:textId="5058B89D" w:rsidR="42C51F90" w:rsidRDefault="5E5F382F" w:rsidP="42C51F90">
      <w:r>
        <w:t xml:space="preserve">These reviews led the CFR to </w:t>
      </w:r>
      <w:r w:rsidR="3A285467">
        <w:t xml:space="preserve">support </w:t>
      </w:r>
      <w:r>
        <w:t xml:space="preserve">a position of openness towards </w:t>
      </w:r>
      <w:proofErr w:type="gramStart"/>
      <w:r>
        <w:t>competition, and</w:t>
      </w:r>
      <w:proofErr w:type="gramEnd"/>
      <w:r>
        <w:t xml:space="preserve"> prompted the CFR to recommend that government legislate to give ASIC rule-making powers</w:t>
      </w:r>
      <w:r w:rsidR="3A285467">
        <w:t>, and the ACCC arbitration powers,</w:t>
      </w:r>
      <w:r>
        <w:t xml:space="preserve"> in respect of clearing and settlement</w:t>
      </w:r>
      <w:r w:rsidR="3A285467">
        <w:t>.</w:t>
      </w:r>
      <w:r>
        <w:t xml:space="preserve"> </w:t>
      </w:r>
    </w:p>
    <w:p w14:paraId="261C91FD" w14:textId="0FA4381F" w:rsidR="2DD592E6" w:rsidRDefault="2DD592E6">
      <w:r>
        <w:t xml:space="preserve">To guide the implementation of these powers, the CFR has also published the following policy </w:t>
      </w:r>
      <w:r w:rsidR="0068028F">
        <w:t>statement</w:t>
      </w:r>
      <w:r>
        <w:t>:</w:t>
      </w:r>
    </w:p>
    <w:p w14:paraId="4CCCF471" w14:textId="6E3BD94C" w:rsidR="09728A7E" w:rsidRDefault="09728A7E" w:rsidP="09728A7E">
      <w:pPr>
        <w:pStyle w:val="ListParagraph"/>
        <w:numPr>
          <w:ilvl w:val="0"/>
          <w:numId w:val="1"/>
        </w:numPr>
      </w:pPr>
      <w:r w:rsidRPr="6AB1A24A">
        <w:rPr>
          <w:i/>
          <w:iCs/>
        </w:rPr>
        <w:t>Regulatory Expectations for Conduct in Operating Cash Equity Clearing and Settlement Services in Australia</w:t>
      </w:r>
      <w:r>
        <w:t>, September 2017</w:t>
      </w:r>
      <w:r w:rsidR="0068028F">
        <w:t>, (the policy statement is publicly available</w:t>
      </w:r>
      <w:r w:rsidR="001F4C01">
        <w:t xml:space="preserve"> at </w:t>
      </w:r>
      <w:r w:rsidR="002C1891">
        <w:t>https://cfr.gov.au/publications/policy-statements-and-other-reports/2016/regulatory-expectations-policy-statement/pdf/policy-statement.pdf</w:t>
      </w:r>
      <w:r w:rsidR="002E1FFD">
        <w:t>)</w:t>
      </w:r>
    </w:p>
    <w:p w14:paraId="3D8346DF" w14:textId="1DED85F9" w:rsidR="09728A7E" w:rsidRDefault="09728A7E" w:rsidP="09728A7E">
      <w:pPr>
        <w:pStyle w:val="ListParagraph"/>
        <w:numPr>
          <w:ilvl w:val="0"/>
          <w:numId w:val="1"/>
        </w:numPr>
      </w:pPr>
      <w:r w:rsidRPr="6AB1A24A">
        <w:rPr>
          <w:i/>
          <w:iCs/>
        </w:rPr>
        <w:t>Minimum Conditions for Safe and Effective Competition in Cash Equity Clearing in Australia</w:t>
      </w:r>
      <w:r>
        <w:t>, September 2017</w:t>
      </w:r>
      <w:r w:rsidR="0034644D">
        <w:t xml:space="preserve">, (the policy statement is publicly available at </w:t>
      </w:r>
      <w:r w:rsidR="00116D35">
        <w:t>https://cfr.gov.au/publications/policy-statements-and-other-reports/2016/minimum-conditions-safe-effective-cash-equity/)</w:t>
      </w:r>
    </w:p>
    <w:p w14:paraId="101BEE98" w14:textId="141EC185" w:rsidR="09728A7E" w:rsidRDefault="385C83B4" w:rsidP="09728A7E">
      <w:pPr>
        <w:pStyle w:val="ListParagraph"/>
        <w:numPr>
          <w:ilvl w:val="0"/>
          <w:numId w:val="1"/>
        </w:numPr>
      </w:pPr>
      <w:r w:rsidRPr="678D9A3F">
        <w:rPr>
          <w:i/>
          <w:iCs/>
        </w:rPr>
        <w:lastRenderedPageBreak/>
        <w:t>Minimum Conditions for Safe and Effective Competition in Cash Equity Settlement in Australia</w:t>
      </w:r>
      <w:r>
        <w:t>, September 2017</w:t>
      </w:r>
      <w:r w:rsidR="4B05E8A8">
        <w:t>, (the policy statement is available at https://cfr.gov.au/publications/policy-statements-and-other-reports/2017/minimum-conditions-safe-effective-competition/)</w:t>
      </w:r>
    </w:p>
    <w:p w14:paraId="69528E3F" w14:textId="01229304" w:rsidR="00B44867" w:rsidRDefault="42D2E7C0">
      <w:r>
        <w:t xml:space="preserve">I certify that these documents adequately address all seven RIS </w:t>
      </w:r>
      <w:proofErr w:type="gramStart"/>
      <w:r>
        <w:t>questions, and</w:t>
      </w:r>
      <w:proofErr w:type="gramEnd"/>
      <w:r>
        <w:t xml:space="preserve"> </w:t>
      </w:r>
      <w:r w:rsidR="5E5638D6">
        <w:t>are</w:t>
      </w:r>
      <w:r>
        <w:t xml:space="preserve"> submitted to the Office of Best Practice Regulation for the purposes of satisfying the regulatory impact analysis requirements related to the competition in clearing and settlement reforms.</w:t>
      </w:r>
    </w:p>
    <w:p w14:paraId="784642A6" w14:textId="7AB43720" w:rsidR="2DD592E6" w:rsidRDefault="2EBB8591" w:rsidP="678D9A3F">
      <w:r>
        <w:t>I am satisfied that the scope of the problem and the recommendations in the certified reviews are substantially the same as the identified problem and recommendations in the policy proposal.</w:t>
      </w:r>
      <w:r w:rsidR="29B36D42">
        <w:t xml:space="preserve"> </w:t>
      </w:r>
      <w:r w:rsidR="5B104001">
        <w:t xml:space="preserve">Although several years have passed since these Reviews were conducted, Treasury considers the need for reforms remains unchanged. </w:t>
      </w:r>
      <w:r w:rsidR="29B36D42">
        <w:t xml:space="preserve">Attachment A outlines how the </w:t>
      </w:r>
      <w:r w:rsidR="2533F709">
        <w:t xml:space="preserve">issues </w:t>
      </w:r>
      <w:r w:rsidR="4AFD4540">
        <w:t>the CFR sought to address in its previous reviews remain</w:t>
      </w:r>
      <w:r w:rsidR="3C72DD00">
        <w:t xml:space="preserve"> the case today.</w:t>
      </w:r>
    </w:p>
    <w:p w14:paraId="6B46E0B1" w14:textId="72CE01E2" w:rsidR="0077195B" w:rsidRDefault="2EBB8591" w:rsidP="6AB1A24A">
      <w:r>
        <w:t xml:space="preserve">The regulatory burden to business, community organisations, or individuals has been estimated using the Australian Government’s </w:t>
      </w:r>
      <w:r w:rsidRPr="678D9A3F">
        <w:rPr>
          <w:i/>
          <w:iCs/>
        </w:rPr>
        <w:t xml:space="preserve">Regulatory Burden Measurement </w:t>
      </w:r>
      <w:r>
        <w:t xml:space="preserve">framework. </w:t>
      </w:r>
    </w:p>
    <w:p w14:paraId="21666C3E" w14:textId="45DE3089" w:rsidR="2DD592E6" w:rsidRDefault="2EBB8591" w:rsidP="2DD592E6">
      <w:r>
        <w:t xml:space="preserve">I note that the implementation of this proposal will increase the regulatory burden. The analysis contained in the certified reviews highlights the benefit to market participants and providers, as well as the broader Australian economy, of the proposed reforms. The reforms establish a robust framework to manage competition in the provision of clearing and settlement services, should it arise, and to seek competitive outcomes </w:t>
      </w:r>
      <w:proofErr w:type="gramStart"/>
      <w:r>
        <w:t>in the event that</w:t>
      </w:r>
      <w:proofErr w:type="gramEnd"/>
      <w:r>
        <w:t xml:space="preserve"> a monopoly continues to exist. </w:t>
      </w:r>
    </w:p>
    <w:p w14:paraId="4D90C811" w14:textId="0EA35E0E" w:rsidR="51CF8EDD" w:rsidRDefault="51CF8EDD" w:rsidP="51CF8EDD">
      <w:pPr>
        <w:rPr>
          <w:szCs w:val="22"/>
        </w:rPr>
      </w:pPr>
      <w:r w:rsidRPr="51CF8EDD">
        <w:rPr>
          <w:szCs w:val="22"/>
        </w:rPr>
        <w:t xml:space="preserve">A regulatory offset has not been identified. However, Treasury is seeking to pursue net reductions in compliance costs and will work with affected stakeholders and across government to identify regulatory burden reductions where appropriate. </w:t>
      </w:r>
    </w:p>
    <w:tbl>
      <w:tblPr>
        <w:tblStyle w:val="TableGrid"/>
        <w:tblW w:w="0" w:type="auto"/>
        <w:tblInd w:w="105" w:type="dxa"/>
        <w:tblLayout w:type="fixed"/>
        <w:tblLook w:val="04A0" w:firstRow="1" w:lastRow="0" w:firstColumn="1" w:lastColumn="0" w:noHBand="0" w:noVBand="1"/>
      </w:tblPr>
      <w:tblGrid>
        <w:gridCol w:w="1701"/>
        <w:gridCol w:w="1701"/>
        <w:gridCol w:w="1701"/>
        <w:gridCol w:w="1701"/>
        <w:gridCol w:w="1701"/>
      </w:tblGrid>
      <w:tr w:rsidR="6AB1A24A" w14:paraId="0A4C13AD" w14:textId="77777777" w:rsidTr="678D9A3F">
        <w:trPr>
          <w:trHeight w:val="300"/>
        </w:trPr>
        <w:tc>
          <w:tcPr>
            <w:tcW w:w="8505" w:type="dxa"/>
            <w:gridSpan w:val="5"/>
            <w:tcBorders>
              <w:top w:val="single" w:sz="8" w:space="0" w:color="C0504D"/>
              <w:left w:val="single" w:sz="8" w:space="0" w:color="C0504D"/>
              <w:bottom w:val="single" w:sz="8" w:space="0" w:color="C0504D"/>
              <w:right w:val="single" w:sz="8" w:space="0" w:color="C0504D"/>
            </w:tcBorders>
            <w:shd w:val="clear" w:color="auto" w:fill="CD0920"/>
          </w:tcPr>
          <w:p w14:paraId="7F20DECC" w14:textId="5DF2D145" w:rsidR="6AB1A24A" w:rsidRDefault="6AB1A24A" w:rsidP="6AB1A24A">
            <w:pPr>
              <w:rPr>
                <w:rFonts w:ascii="Arial" w:eastAsia="Arial" w:hAnsi="Arial" w:cs="Arial"/>
                <w:b/>
                <w:bCs/>
                <w:color w:val="000000" w:themeColor="text1"/>
                <w:szCs w:val="22"/>
                <w:u w:val="single"/>
              </w:rPr>
            </w:pPr>
            <w:r w:rsidRPr="6AB1A24A">
              <w:rPr>
                <w:rFonts w:ascii="Arial" w:eastAsia="Arial" w:hAnsi="Arial" w:cs="Arial"/>
                <w:b/>
                <w:bCs/>
                <w:color w:val="000000" w:themeColor="text1"/>
                <w:szCs w:val="22"/>
                <w:u w:val="single"/>
              </w:rPr>
              <w:t>Regulatory burden estimate table</w:t>
            </w:r>
          </w:p>
          <w:p w14:paraId="26D1C389" w14:textId="0A0391C8" w:rsidR="6AB1A24A" w:rsidRDefault="6AB1A24A">
            <w:r w:rsidRPr="6AB1A24A">
              <w:rPr>
                <w:rFonts w:ascii="Arial" w:eastAsia="Arial" w:hAnsi="Arial" w:cs="Arial"/>
                <w:b/>
                <w:bCs/>
                <w:color w:val="000000" w:themeColor="text1"/>
                <w:sz w:val="20"/>
              </w:rPr>
              <w:t>Average annual regulatory costs (from business as usual)</w:t>
            </w:r>
          </w:p>
        </w:tc>
      </w:tr>
      <w:tr w:rsidR="6AB1A24A" w14:paraId="410ED120" w14:textId="77777777" w:rsidTr="678D9A3F">
        <w:trPr>
          <w:trHeight w:val="300"/>
        </w:trPr>
        <w:tc>
          <w:tcPr>
            <w:tcW w:w="1701" w:type="dxa"/>
            <w:tcBorders>
              <w:top w:val="single" w:sz="8" w:space="0" w:color="C0504D"/>
              <w:left w:val="single" w:sz="8" w:space="0" w:color="C0504D"/>
              <w:bottom w:val="single" w:sz="8" w:space="0" w:color="C0504D"/>
              <w:right w:val="single" w:sz="8" w:space="0" w:color="C0504D"/>
            </w:tcBorders>
          </w:tcPr>
          <w:p w14:paraId="206703CD" w14:textId="7A734A19" w:rsidR="6AB1A24A" w:rsidRDefault="6AB1A24A">
            <w:r w:rsidRPr="6AB1A24A">
              <w:rPr>
                <w:rFonts w:ascii="Arial" w:eastAsia="Arial" w:hAnsi="Arial" w:cs="Arial"/>
                <w:sz w:val="20"/>
              </w:rPr>
              <w:t>Change in costs ($ million)</w:t>
            </w:r>
          </w:p>
        </w:tc>
        <w:tc>
          <w:tcPr>
            <w:tcW w:w="1701" w:type="dxa"/>
            <w:tcBorders>
              <w:top w:val="nil"/>
              <w:left w:val="single" w:sz="8" w:space="0" w:color="C0504D"/>
              <w:bottom w:val="single" w:sz="8" w:space="0" w:color="C0504D"/>
              <w:right w:val="single" w:sz="8" w:space="0" w:color="C0504D"/>
            </w:tcBorders>
          </w:tcPr>
          <w:p w14:paraId="74EFE5E0" w14:textId="3F804AD1" w:rsidR="6AB1A24A" w:rsidRDefault="6AB1A24A">
            <w:r w:rsidRPr="6AB1A24A">
              <w:rPr>
                <w:rFonts w:ascii="Arial" w:eastAsia="Arial" w:hAnsi="Arial" w:cs="Arial"/>
                <w:sz w:val="20"/>
              </w:rPr>
              <w:t>Business</w:t>
            </w:r>
          </w:p>
        </w:tc>
        <w:tc>
          <w:tcPr>
            <w:tcW w:w="1701" w:type="dxa"/>
            <w:tcBorders>
              <w:top w:val="nil"/>
              <w:left w:val="single" w:sz="8" w:space="0" w:color="C0504D"/>
              <w:bottom w:val="single" w:sz="8" w:space="0" w:color="C0504D"/>
              <w:right w:val="single" w:sz="8" w:space="0" w:color="C0504D"/>
            </w:tcBorders>
          </w:tcPr>
          <w:p w14:paraId="7853B91A" w14:textId="1CF5632D" w:rsidR="6AB1A24A" w:rsidRDefault="6AB1A24A">
            <w:r w:rsidRPr="6AB1A24A">
              <w:rPr>
                <w:rFonts w:ascii="Arial" w:eastAsia="Arial" w:hAnsi="Arial" w:cs="Arial"/>
                <w:sz w:val="20"/>
              </w:rPr>
              <w:t>Community organisations</w:t>
            </w:r>
          </w:p>
        </w:tc>
        <w:tc>
          <w:tcPr>
            <w:tcW w:w="1701" w:type="dxa"/>
            <w:tcBorders>
              <w:top w:val="nil"/>
              <w:left w:val="single" w:sz="8" w:space="0" w:color="C0504D"/>
              <w:bottom w:val="single" w:sz="8" w:space="0" w:color="C0504D"/>
              <w:right w:val="single" w:sz="8" w:space="0" w:color="C0504D"/>
            </w:tcBorders>
          </w:tcPr>
          <w:p w14:paraId="617CC749" w14:textId="0B17586C" w:rsidR="6AB1A24A" w:rsidRDefault="6AB1A24A">
            <w:r w:rsidRPr="6AB1A24A">
              <w:rPr>
                <w:rFonts w:ascii="Arial" w:eastAsia="Arial" w:hAnsi="Arial" w:cs="Arial"/>
                <w:sz w:val="20"/>
              </w:rPr>
              <w:t>Individuals</w:t>
            </w:r>
          </w:p>
        </w:tc>
        <w:tc>
          <w:tcPr>
            <w:tcW w:w="1701" w:type="dxa"/>
            <w:tcBorders>
              <w:top w:val="nil"/>
              <w:left w:val="single" w:sz="8" w:space="0" w:color="C0504D"/>
              <w:bottom w:val="single" w:sz="8" w:space="0" w:color="C0504D"/>
              <w:right w:val="single" w:sz="8" w:space="0" w:color="C0504D"/>
            </w:tcBorders>
          </w:tcPr>
          <w:p w14:paraId="10EE6276" w14:textId="0D272103" w:rsidR="6AB1A24A" w:rsidRDefault="6AB1A24A">
            <w:r w:rsidRPr="6AB1A24A">
              <w:rPr>
                <w:rFonts w:ascii="Arial" w:eastAsia="Arial" w:hAnsi="Arial" w:cs="Arial"/>
                <w:sz w:val="20"/>
              </w:rPr>
              <w:t>Total change in costs</w:t>
            </w:r>
          </w:p>
        </w:tc>
      </w:tr>
      <w:tr w:rsidR="6AB1A24A" w14:paraId="603FA757" w14:textId="77777777" w:rsidTr="678D9A3F">
        <w:trPr>
          <w:trHeight w:val="300"/>
        </w:trPr>
        <w:tc>
          <w:tcPr>
            <w:tcW w:w="1701" w:type="dxa"/>
            <w:tcBorders>
              <w:top w:val="single" w:sz="8" w:space="0" w:color="C0504D"/>
              <w:left w:val="single" w:sz="8" w:space="0" w:color="C0504D"/>
              <w:bottom w:val="single" w:sz="8" w:space="0" w:color="C0504D"/>
              <w:right w:val="single" w:sz="8" w:space="0" w:color="C0504D"/>
            </w:tcBorders>
          </w:tcPr>
          <w:p w14:paraId="6517E033" w14:textId="36DAAE12" w:rsidR="6AB1A24A" w:rsidRDefault="6AB1A24A">
            <w:r w:rsidRPr="6AB1A24A">
              <w:rPr>
                <w:rFonts w:ascii="Arial" w:eastAsia="Arial" w:hAnsi="Arial" w:cs="Arial"/>
                <w:sz w:val="20"/>
              </w:rPr>
              <w:t>Total, by sector</w:t>
            </w:r>
          </w:p>
        </w:tc>
        <w:tc>
          <w:tcPr>
            <w:tcW w:w="1701" w:type="dxa"/>
            <w:tcBorders>
              <w:top w:val="single" w:sz="8" w:space="0" w:color="C0504D"/>
              <w:left w:val="single" w:sz="8" w:space="0" w:color="C0504D"/>
              <w:bottom w:val="single" w:sz="8" w:space="0" w:color="C0504D"/>
              <w:right w:val="single" w:sz="8" w:space="0" w:color="C0504D"/>
            </w:tcBorders>
          </w:tcPr>
          <w:p w14:paraId="4AEC30F2" w14:textId="69C94F77" w:rsidR="6AB1A24A" w:rsidRDefault="6AB1A24A">
            <w:r w:rsidRPr="6AB1A24A">
              <w:rPr>
                <w:rFonts w:ascii="Arial" w:eastAsia="Arial" w:hAnsi="Arial" w:cs="Arial"/>
                <w:sz w:val="20"/>
              </w:rPr>
              <w:t>$0.27m</w:t>
            </w:r>
          </w:p>
        </w:tc>
        <w:tc>
          <w:tcPr>
            <w:tcW w:w="1701" w:type="dxa"/>
            <w:tcBorders>
              <w:top w:val="single" w:sz="8" w:space="0" w:color="C0504D"/>
              <w:left w:val="single" w:sz="8" w:space="0" w:color="C0504D"/>
              <w:bottom w:val="single" w:sz="8" w:space="0" w:color="C0504D"/>
              <w:right w:val="single" w:sz="8" w:space="0" w:color="C0504D"/>
            </w:tcBorders>
          </w:tcPr>
          <w:p w14:paraId="29930B49" w14:textId="1C42C796" w:rsidR="6AB1A24A" w:rsidRDefault="54ACD744">
            <w:r w:rsidRPr="678D9A3F">
              <w:rPr>
                <w:rFonts w:ascii="Arial" w:eastAsia="Arial" w:hAnsi="Arial" w:cs="Arial"/>
                <w:sz w:val="20"/>
              </w:rPr>
              <w:t>$0</w:t>
            </w:r>
          </w:p>
        </w:tc>
        <w:tc>
          <w:tcPr>
            <w:tcW w:w="1701" w:type="dxa"/>
            <w:tcBorders>
              <w:top w:val="single" w:sz="8" w:space="0" w:color="C0504D"/>
              <w:left w:val="single" w:sz="8" w:space="0" w:color="C0504D"/>
              <w:bottom w:val="single" w:sz="8" w:space="0" w:color="C0504D"/>
              <w:right w:val="single" w:sz="8" w:space="0" w:color="C0504D"/>
            </w:tcBorders>
          </w:tcPr>
          <w:p w14:paraId="310FCB05" w14:textId="13870591" w:rsidR="6AB1A24A" w:rsidRDefault="54ACD744">
            <w:r w:rsidRPr="678D9A3F">
              <w:rPr>
                <w:rFonts w:ascii="Arial" w:eastAsia="Arial" w:hAnsi="Arial" w:cs="Arial"/>
                <w:sz w:val="20"/>
              </w:rPr>
              <w:t>$0</w:t>
            </w:r>
          </w:p>
        </w:tc>
        <w:tc>
          <w:tcPr>
            <w:tcW w:w="1701" w:type="dxa"/>
            <w:tcBorders>
              <w:top w:val="single" w:sz="8" w:space="0" w:color="C0504D"/>
              <w:left w:val="single" w:sz="8" w:space="0" w:color="C0504D"/>
              <w:bottom w:val="single" w:sz="8" w:space="0" w:color="C0504D"/>
              <w:right w:val="single" w:sz="8" w:space="0" w:color="C0504D"/>
            </w:tcBorders>
          </w:tcPr>
          <w:p w14:paraId="4FEA2511" w14:textId="2A84A104" w:rsidR="6AB1A24A" w:rsidRDefault="6AB1A24A">
            <w:r w:rsidRPr="6AB1A24A">
              <w:rPr>
                <w:rFonts w:ascii="Arial" w:eastAsia="Arial" w:hAnsi="Arial" w:cs="Arial"/>
                <w:sz w:val="20"/>
              </w:rPr>
              <w:t>$0.27m</w:t>
            </w:r>
          </w:p>
        </w:tc>
      </w:tr>
    </w:tbl>
    <w:p w14:paraId="56916EAA" w14:textId="6C09D1E2" w:rsidR="6AB1A24A" w:rsidRDefault="6AB1A24A" w:rsidP="6AB1A24A">
      <w:pPr>
        <w:rPr>
          <w:szCs w:val="22"/>
        </w:rPr>
      </w:pPr>
    </w:p>
    <w:p w14:paraId="375B19B5" w14:textId="1A1585B2" w:rsidR="005F6F02" w:rsidRDefault="00957F4B">
      <w:r>
        <w:t xml:space="preserve">Accordingly, I am satisfied </w:t>
      </w:r>
      <w:r w:rsidR="00D51555">
        <w:t xml:space="preserve">that the attached report is consistent with the Australian Government Guide to Regulatory Impact Analysis. </w:t>
      </w:r>
    </w:p>
    <w:p w14:paraId="3CF60DFE" w14:textId="6AA5EE6A" w:rsidR="00010558" w:rsidRDefault="00A36607" w:rsidP="00441135">
      <w:r>
        <w:t>Regards</w:t>
      </w:r>
    </w:p>
    <w:p w14:paraId="30F53A77" w14:textId="7585EDFB" w:rsidR="00441135" w:rsidRDefault="00441135" w:rsidP="00441135">
      <w:r>
        <w:rPr>
          <w:noProof/>
        </w:rPr>
        <w:drawing>
          <wp:inline distT="0" distB="0" distL="0" distR="0" wp14:anchorId="2E07AB5F" wp14:editId="76B3649D">
            <wp:extent cx="609600" cy="463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790" cy="473705"/>
                    </a:xfrm>
                    <a:prstGeom prst="rect">
                      <a:avLst/>
                    </a:prstGeom>
                  </pic:spPr>
                </pic:pic>
              </a:graphicData>
            </a:graphic>
          </wp:inline>
        </w:drawing>
      </w:r>
    </w:p>
    <w:p w14:paraId="4683AFED" w14:textId="0E03A47B" w:rsidR="006B2510" w:rsidRDefault="0061653D" w:rsidP="006B2510">
      <w:pPr>
        <w:pStyle w:val="Address"/>
      </w:pPr>
      <w:bookmarkStart w:id="2" w:name="Area"/>
      <w:r>
        <w:t>James Kelly</w:t>
      </w:r>
    </w:p>
    <w:bookmarkEnd w:id="2"/>
    <w:p w14:paraId="4500EB18" w14:textId="468529EC" w:rsidR="00585D8B" w:rsidRDefault="0061653D" w:rsidP="006B2510">
      <w:pPr>
        <w:pStyle w:val="Address"/>
      </w:pPr>
      <w:r>
        <w:t xml:space="preserve">Acting </w:t>
      </w:r>
      <w:r w:rsidR="00D51555">
        <w:t>Deputy Secretary</w:t>
      </w:r>
    </w:p>
    <w:p w14:paraId="4F47C2F2" w14:textId="3076D651" w:rsidR="00A36607" w:rsidRDefault="00D51555" w:rsidP="006B2510">
      <w:pPr>
        <w:pStyle w:val="Address"/>
      </w:pPr>
      <w:r>
        <w:t>Markets Group</w:t>
      </w:r>
    </w:p>
    <w:p w14:paraId="5A08A59C" w14:textId="438ACBE0" w:rsidR="00D51555" w:rsidRDefault="00D51555" w:rsidP="006B2510">
      <w:pPr>
        <w:pStyle w:val="Address"/>
      </w:pPr>
      <w:r>
        <w:t>The Treasury</w:t>
      </w:r>
    </w:p>
    <w:p w14:paraId="0F0EA5D8" w14:textId="6425CC9C" w:rsidR="00CC484B" w:rsidRDefault="00CC484B">
      <w:pPr>
        <w:spacing w:after="0"/>
      </w:pPr>
      <w:r>
        <w:br w:type="page"/>
      </w:r>
    </w:p>
    <w:p w14:paraId="546C70A1" w14:textId="3B9FD945" w:rsidR="00FD1DFD" w:rsidRDefault="00D06596" w:rsidP="006B2510">
      <w:pPr>
        <w:pStyle w:val="Address"/>
      </w:pPr>
      <w:r>
        <w:rPr>
          <w:b/>
          <w:bCs/>
        </w:rPr>
        <w:lastRenderedPageBreak/>
        <w:t>Attachment A</w:t>
      </w:r>
      <w:r w:rsidR="00AC44EC">
        <w:rPr>
          <w:b/>
          <w:bCs/>
        </w:rPr>
        <w:t xml:space="preserve"> – Analysis of </w:t>
      </w:r>
      <w:r w:rsidR="00493F94">
        <w:rPr>
          <w:b/>
          <w:bCs/>
        </w:rPr>
        <w:t xml:space="preserve">continuing applicability of </w:t>
      </w:r>
      <w:r w:rsidR="00192417">
        <w:rPr>
          <w:b/>
          <w:bCs/>
        </w:rPr>
        <w:t>certified</w:t>
      </w:r>
      <w:r w:rsidR="005137FC">
        <w:rPr>
          <w:b/>
          <w:bCs/>
        </w:rPr>
        <w:t xml:space="preserve"> reviews</w:t>
      </w:r>
    </w:p>
    <w:p w14:paraId="4A38A2AD" w14:textId="77777777" w:rsidR="00D06596" w:rsidRDefault="00D06596" w:rsidP="006B2510">
      <w:pPr>
        <w:pStyle w:val="Address"/>
      </w:pPr>
    </w:p>
    <w:p w14:paraId="125EAB53" w14:textId="715962C8" w:rsidR="00DE78E2" w:rsidRDefault="721FFCEC" w:rsidP="00DE78E2">
      <w:r>
        <w:t>The CFR reviews were conducted in a context in which ASX was the monopoly provider of clearing and settlement for cash equities in Australia. In its 2015 Review, the CFR found that the threat of competition alone may not exert sufficient discipline on ASX. CFR therefore recommended that the relevant regulators be able to impose enforceable requirements on ASX where the Regulatory Expectations were either not being met or not delivering the intended outcomes. The CFR also found that ASX will have incentives to discriminate in favour of its own operations when providing monopoly CS services to its competitors in related markets, and recommended introduction of an arbitration regime administered by the ACCC.</w:t>
      </w:r>
    </w:p>
    <w:p w14:paraId="54DF4BD8" w14:textId="674BDB49" w:rsidR="00DE78E2" w:rsidRDefault="721FFCEC" w:rsidP="00DE78E2">
      <w:r>
        <w:t xml:space="preserve">The market structure that prompted </w:t>
      </w:r>
      <w:r w:rsidR="72A42F0E">
        <w:t>the CFR’s review and recommendations</w:t>
      </w:r>
      <w:r>
        <w:t xml:space="preserve"> remains the case today. ASX continues to operate a vertically integrated cash equities listing, secondary </w:t>
      </w:r>
      <w:proofErr w:type="gramStart"/>
      <w:r>
        <w:t>market</w:t>
      </w:r>
      <w:proofErr w:type="gramEnd"/>
      <w:r>
        <w:t xml:space="preserve"> and CS facilities,</w:t>
      </w:r>
      <w:r w:rsidR="1366281C">
        <w:t xml:space="preserve"> and</w:t>
      </w:r>
      <w:r>
        <w:t xml:space="preserve"> remains the monopoly provider of clearing and settlement for cash equities in Australia. ASX competes against other market operators in the trading of cash equities, who rely on the ASX for CS services. </w:t>
      </w:r>
      <w:r w:rsidR="2B8105F3">
        <w:t xml:space="preserve">While the CFR has published Regulatory Expectations </w:t>
      </w:r>
      <w:r w:rsidR="242493BC">
        <w:t xml:space="preserve">setting out expectations for ASX’s conduct in operating </w:t>
      </w:r>
      <w:r w:rsidR="66A78CFF">
        <w:t>cash equities clearing and settlement,</w:t>
      </w:r>
      <w:r w:rsidR="4FFE48AA">
        <w:t xml:space="preserve"> </w:t>
      </w:r>
      <w:r w:rsidR="208364EB">
        <w:t>r</w:t>
      </w:r>
      <w:r>
        <w:t xml:space="preserve">egulators </w:t>
      </w:r>
      <w:r w:rsidR="208364EB">
        <w:t xml:space="preserve">do not </w:t>
      </w:r>
      <w:r w:rsidR="26EE7865">
        <w:t>have</w:t>
      </w:r>
      <w:r w:rsidR="208364EB">
        <w:t xml:space="preserve"> powers to </w:t>
      </w:r>
      <w:r w:rsidR="018B3634">
        <w:t>impose them as enforceable requirements</w:t>
      </w:r>
      <w:r w:rsidR="7B9F4FCC">
        <w:t>, nor powers to arbitrate</w:t>
      </w:r>
      <w:r w:rsidR="6A3B359B">
        <w:t xml:space="preserve"> </w:t>
      </w:r>
      <w:r w:rsidR="6B74DEE7">
        <w:t>material disputes betwee</w:t>
      </w:r>
      <w:r w:rsidR="4A7E8A50">
        <w:t xml:space="preserve">n ASX and parties seeking to access its </w:t>
      </w:r>
      <w:r w:rsidR="2D9098C6">
        <w:t>facilities.</w:t>
      </w:r>
      <w:r w:rsidR="539C537D">
        <w:t xml:space="preserve"> </w:t>
      </w:r>
    </w:p>
    <w:p w14:paraId="156D7C42" w14:textId="578E80CE" w:rsidR="00DE78E2" w:rsidRPr="005A02EE" w:rsidRDefault="721FFCEC" w:rsidP="00DE78E2">
      <w:r>
        <w:t xml:space="preserve">In the 2015 Review, the CFR recommended the Government adopt a stance of openness to competition, consistent with the legislative settings in the </w:t>
      </w:r>
      <w:r w:rsidRPr="678D9A3F">
        <w:rPr>
          <w:i/>
          <w:iCs/>
        </w:rPr>
        <w:t>Corporations Act 2001</w:t>
      </w:r>
      <w:r>
        <w:t xml:space="preserve"> and the potential benefits competitive discipline</w:t>
      </w:r>
      <w:r w:rsidR="03CE5A11">
        <w:t xml:space="preserve"> could provide</w:t>
      </w:r>
      <w:r>
        <w:t xml:space="preserve">. The CFR also found there are </w:t>
      </w:r>
      <w:proofErr w:type="gramStart"/>
      <w:r w:rsidR="04F7110A">
        <w:t>a</w:t>
      </w:r>
      <w:r>
        <w:t xml:space="preserve"> number of</w:t>
      </w:r>
      <w:proofErr w:type="gramEnd"/>
      <w:r>
        <w:t xml:space="preserve"> potential costs and risks associated with there being multiple operators </w:t>
      </w:r>
      <w:r w:rsidR="00AD096D">
        <w:t xml:space="preserve">of </w:t>
      </w:r>
      <w:r>
        <w:t>clearing or settlement. CFR therefore recommended the regulators should have the power to make rules to facilitate safe and effective competition.</w:t>
      </w:r>
    </w:p>
    <w:p w14:paraId="24449AD6" w14:textId="719FBB35" w:rsidR="00DE78E2" w:rsidRDefault="721FFCEC" w:rsidP="00DE78E2">
      <w:r>
        <w:t>Regulators indicated they could not approve a licence application from another provider of cash equity CS services until this legislation is in place. The Regulators continue to hold this position. In the absence of this legislation, prospective competitors do not have the certainty required to make long-term investments in developing this infrastructure.</w:t>
      </w:r>
    </w:p>
    <w:p w14:paraId="2138EEF3" w14:textId="736153E3" w:rsidR="6AB1A24A" w:rsidRDefault="6AB1A24A" w:rsidP="6AB1A24A">
      <w:pPr>
        <w:rPr>
          <w:szCs w:val="22"/>
        </w:rPr>
      </w:pPr>
    </w:p>
    <w:p w14:paraId="23DBB786" w14:textId="328E037D" w:rsidR="6AB1A24A" w:rsidRDefault="6AB1A24A" w:rsidP="6AB1A24A">
      <w:pPr>
        <w:pStyle w:val="Address"/>
        <w:rPr>
          <w:szCs w:val="22"/>
        </w:rPr>
      </w:pPr>
    </w:p>
    <w:sectPr w:rsidR="6AB1A24A" w:rsidSect="00240E21">
      <w:headerReference w:type="even" r:id="rId13"/>
      <w:headerReference w:type="default" r:id="rId14"/>
      <w:footerReference w:type="even" r:id="rId15"/>
      <w:footerReference w:type="default" r:id="rId16"/>
      <w:headerReference w:type="first" r:id="rId17"/>
      <w:footerReference w:type="first" r:id="rId18"/>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3AD4" w14:textId="77777777" w:rsidR="00124B0F" w:rsidRDefault="00124B0F">
      <w:r>
        <w:separator/>
      </w:r>
    </w:p>
  </w:endnote>
  <w:endnote w:type="continuationSeparator" w:id="0">
    <w:p w14:paraId="7638A4C2" w14:textId="77777777" w:rsidR="00124B0F" w:rsidRDefault="00124B0F">
      <w:r>
        <w:continuationSeparator/>
      </w:r>
    </w:p>
  </w:endnote>
  <w:endnote w:type="continuationNotice" w:id="1">
    <w:p w14:paraId="3868CA5E" w14:textId="77777777" w:rsidR="00124B0F" w:rsidRDefault="00124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4794" w14:textId="77777777" w:rsidR="002B692A" w:rsidRDefault="002B692A" w:rsidP="002B692A">
    <w:pPr>
      <w:pStyle w:val="SecurityClassificationFooter"/>
    </w:pPr>
  </w:p>
  <w:p w14:paraId="15D6A62D" w14:textId="77777777" w:rsidR="002B692A" w:rsidRDefault="00C8731A" w:rsidP="002B692A">
    <w:pPr>
      <w:pStyle w:val="SecurityClassificationFooter"/>
    </w:pPr>
    <w:r>
      <w:fldChar w:fldCharType="begin"/>
    </w:r>
    <w:r>
      <w:instrText xml:space="preserve"> DOCPROPERTY WorkingDocStatus \* MERGEFORMAT </w:instrText>
    </w:r>
    <w:r>
      <w:fldChar w:fldCharType="end"/>
    </w:r>
    <w:r w:rsidR="00124B0F">
      <w:fldChar w:fldCharType="begin"/>
    </w:r>
    <w:r w:rsidR="00124B0F">
      <w:instrText>DOCPROPERTY SecurityClassification \* MERGEFORMAT</w:instrText>
    </w:r>
    <w:r w:rsidR="00124B0F">
      <w:fldChar w:fldCharType="separate"/>
    </w:r>
    <w:r w:rsidR="00435BD2">
      <w:t>For Official Use Only</w:t>
    </w:r>
    <w:r w:rsidR="00124B0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0E69" w14:textId="77777777" w:rsidR="002B692A" w:rsidRPr="004A5077" w:rsidRDefault="004A5077"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6DCA" w14:textId="77777777" w:rsidR="005F6F02" w:rsidRPr="00A23E22" w:rsidRDefault="005755DF" w:rsidP="00240E21">
    <w:pPr>
      <w:pStyle w:val="FooterAddress"/>
      <w:spacing w:before="840"/>
      <w:rPr>
        <w:sz w:val="2"/>
      </w:rPr>
    </w:pPr>
    <w:r>
      <w:rPr>
        <w:noProof/>
      </w:rPr>
      <w:drawing>
        <wp:anchor distT="0" distB="0" distL="114300" distR="114300" simplePos="0" relativeHeight="251658241" behindDoc="0" locked="0" layoutInCell="1" allowOverlap="1" wp14:anchorId="5690A91A" wp14:editId="06B43AEB">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30BDB9B9" w14:textId="77777777" w:rsidR="001F6841" w:rsidRPr="001F6841" w:rsidRDefault="001F6841" w:rsidP="00A36607">
    <w:pPr>
      <w:pStyle w:val="FooterAddress"/>
      <w:spacing w:before="60" w:after="120"/>
    </w:pPr>
    <w:r>
      <w:t>Langton Crescent</w:t>
    </w:r>
    <w:r>
      <w:br/>
      <w:t>Parkes ACT 2600</w:t>
    </w:r>
    <w:r w:rsidR="00B457FE">
      <w:br/>
      <w:t>Australia</w:t>
    </w:r>
  </w:p>
  <w:p w14:paraId="798AB1CA" w14:textId="77777777" w:rsidR="005F6F02" w:rsidRDefault="00021A7F" w:rsidP="008741F9">
    <w:pPr>
      <w:pStyle w:val="FooterAddress"/>
      <w:tabs>
        <w:tab w:val="clear" w:pos="4820"/>
        <w:tab w:val="center" w:pos="9639"/>
      </w:tabs>
    </w:pPr>
    <w:r>
      <w:t>P</w:t>
    </w:r>
    <w:r w:rsidR="00AD44A4">
      <w:t>:</w:t>
    </w:r>
    <w:r w:rsidR="005F6F02">
      <w:t xml:space="preserve">  </w:t>
    </w:r>
    <w:r w:rsidR="001F6841">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A44B" w14:textId="77777777" w:rsidR="00124B0F" w:rsidRDefault="00124B0F">
      <w:r>
        <w:separator/>
      </w:r>
    </w:p>
  </w:footnote>
  <w:footnote w:type="continuationSeparator" w:id="0">
    <w:p w14:paraId="3052AC93" w14:textId="77777777" w:rsidR="00124B0F" w:rsidRDefault="00124B0F">
      <w:r>
        <w:continuationSeparator/>
      </w:r>
    </w:p>
  </w:footnote>
  <w:footnote w:type="continuationNotice" w:id="1">
    <w:p w14:paraId="6D753A16" w14:textId="77777777" w:rsidR="00124B0F" w:rsidRDefault="00124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2F5D" w14:textId="77777777" w:rsidR="00B457FE" w:rsidRDefault="00B4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6C8" w14:textId="77777777" w:rsidR="00B457FE" w:rsidRDefault="00B4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BA6D" w14:textId="77777777" w:rsidR="005F6F02" w:rsidRPr="006A320D" w:rsidRDefault="00B87DE1" w:rsidP="00F36BED">
    <w:pPr>
      <w:spacing w:after="480"/>
      <w:rPr>
        <w:color w:val="000000" w:themeColor="text1"/>
      </w:rPr>
    </w:pPr>
    <w:r>
      <w:rPr>
        <w:noProof/>
        <w:color w:val="000000" w:themeColor="text1"/>
      </w:rPr>
      <w:drawing>
        <wp:anchor distT="0" distB="0" distL="114300" distR="114300" simplePos="0" relativeHeight="251658240" behindDoc="0" locked="0" layoutInCell="1" allowOverlap="1" wp14:anchorId="408A577C" wp14:editId="164B01CC">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6317"/>
    <w:multiLevelType w:val="hybridMultilevel"/>
    <w:tmpl w:val="3EC6AD0A"/>
    <w:lvl w:ilvl="0" w:tplc="CD9431D4">
      <w:start w:val="1"/>
      <w:numFmt w:val="bullet"/>
      <w:lvlText w:val=""/>
      <w:lvlJc w:val="left"/>
      <w:pPr>
        <w:ind w:left="720" w:hanging="360"/>
      </w:pPr>
      <w:rPr>
        <w:rFonts w:ascii="Symbol" w:hAnsi="Symbol" w:hint="default"/>
      </w:rPr>
    </w:lvl>
    <w:lvl w:ilvl="1" w:tplc="F1F0480E">
      <w:start w:val="1"/>
      <w:numFmt w:val="bullet"/>
      <w:lvlText w:val="o"/>
      <w:lvlJc w:val="left"/>
      <w:pPr>
        <w:ind w:left="1440" w:hanging="360"/>
      </w:pPr>
      <w:rPr>
        <w:rFonts w:ascii="Courier New" w:hAnsi="Courier New" w:hint="default"/>
      </w:rPr>
    </w:lvl>
    <w:lvl w:ilvl="2" w:tplc="AAA60BCA">
      <w:start w:val="1"/>
      <w:numFmt w:val="bullet"/>
      <w:lvlText w:val=""/>
      <w:lvlJc w:val="left"/>
      <w:pPr>
        <w:ind w:left="2160" w:hanging="360"/>
      </w:pPr>
      <w:rPr>
        <w:rFonts w:ascii="Wingdings" w:hAnsi="Wingdings" w:hint="default"/>
      </w:rPr>
    </w:lvl>
    <w:lvl w:ilvl="3" w:tplc="937A2322">
      <w:start w:val="1"/>
      <w:numFmt w:val="bullet"/>
      <w:lvlText w:val=""/>
      <w:lvlJc w:val="left"/>
      <w:pPr>
        <w:ind w:left="2880" w:hanging="360"/>
      </w:pPr>
      <w:rPr>
        <w:rFonts w:ascii="Symbol" w:hAnsi="Symbol" w:hint="default"/>
      </w:rPr>
    </w:lvl>
    <w:lvl w:ilvl="4" w:tplc="2D02FF30">
      <w:start w:val="1"/>
      <w:numFmt w:val="bullet"/>
      <w:lvlText w:val="o"/>
      <w:lvlJc w:val="left"/>
      <w:pPr>
        <w:ind w:left="3600" w:hanging="360"/>
      </w:pPr>
      <w:rPr>
        <w:rFonts w:ascii="Courier New" w:hAnsi="Courier New" w:hint="default"/>
      </w:rPr>
    </w:lvl>
    <w:lvl w:ilvl="5" w:tplc="8584A4B6">
      <w:start w:val="1"/>
      <w:numFmt w:val="bullet"/>
      <w:lvlText w:val=""/>
      <w:lvlJc w:val="left"/>
      <w:pPr>
        <w:ind w:left="4320" w:hanging="360"/>
      </w:pPr>
      <w:rPr>
        <w:rFonts w:ascii="Wingdings" w:hAnsi="Wingdings" w:hint="default"/>
      </w:rPr>
    </w:lvl>
    <w:lvl w:ilvl="6" w:tplc="604EFFDC">
      <w:start w:val="1"/>
      <w:numFmt w:val="bullet"/>
      <w:lvlText w:val=""/>
      <w:lvlJc w:val="left"/>
      <w:pPr>
        <w:ind w:left="5040" w:hanging="360"/>
      </w:pPr>
      <w:rPr>
        <w:rFonts w:ascii="Symbol" w:hAnsi="Symbol" w:hint="default"/>
      </w:rPr>
    </w:lvl>
    <w:lvl w:ilvl="7" w:tplc="457CFCEE">
      <w:start w:val="1"/>
      <w:numFmt w:val="bullet"/>
      <w:lvlText w:val="o"/>
      <w:lvlJc w:val="left"/>
      <w:pPr>
        <w:ind w:left="5760" w:hanging="360"/>
      </w:pPr>
      <w:rPr>
        <w:rFonts w:ascii="Courier New" w:hAnsi="Courier New" w:hint="default"/>
      </w:rPr>
    </w:lvl>
    <w:lvl w:ilvl="8" w:tplc="E6700722">
      <w:start w:val="1"/>
      <w:numFmt w:val="bullet"/>
      <w:lvlText w:val=""/>
      <w:lvlJc w:val="left"/>
      <w:pPr>
        <w:ind w:left="6480" w:hanging="360"/>
      </w:pPr>
      <w:rPr>
        <w:rFonts w:ascii="Wingdings" w:hAnsi="Wingdings" w:hint="default"/>
      </w:rPr>
    </w:lvl>
  </w:abstractNum>
  <w:abstractNum w:abstractNumId="1" w15:restartNumberingAfterBreak="0">
    <w:nsid w:val="76550711"/>
    <w:multiLevelType w:val="hybridMultilevel"/>
    <w:tmpl w:val="B58438B4"/>
    <w:lvl w:ilvl="0" w:tplc="E124E7DE">
      <w:start w:val="1"/>
      <w:numFmt w:val="bullet"/>
      <w:lvlText w:val=""/>
      <w:lvlJc w:val="left"/>
      <w:pPr>
        <w:ind w:left="720" w:hanging="360"/>
      </w:pPr>
      <w:rPr>
        <w:rFonts w:ascii="Symbol" w:hAnsi="Symbol" w:hint="default"/>
      </w:rPr>
    </w:lvl>
    <w:lvl w:ilvl="1" w:tplc="AF56F55C">
      <w:start w:val="1"/>
      <w:numFmt w:val="bullet"/>
      <w:lvlText w:val="o"/>
      <w:lvlJc w:val="left"/>
      <w:pPr>
        <w:ind w:left="1440" w:hanging="360"/>
      </w:pPr>
      <w:rPr>
        <w:rFonts w:ascii="Courier New" w:hAnsi="Courier New" w:hint="default"/>
      </w:rPr>
    </w:lvl>
    <w:lvl w:ilvl="2" w:tplc="8C32CF10">
      <w:start w:val="1"/>
      <w:numFmt w:val="bullet"/>
      <w:lvlText w:val=""/>
      <w:lvlJc w:val="left"/>
      <w:pPr>
        <w:ind w:left="2160" w:hanging="360"/>
      </w:pPr>
      <w:rPr>
        <w:rFonts w:ascii="Wingdings" w:hAnsi="Wingdings" w:hint="default"/>
      </w:rPr>
    </w:lvl>
    <w:lvl w:ilvl="3" w:tplc="1A36DBFE">
      <w:start w:val="1"/>
      <w:numFmt w:val="bullet"/>
      <w:lvlText w:val=""/>
      <w:lvlJc w:val="left"/>
      <w:pPr>
        <w:ind w:left="2880" w:hanging="360"/>
      </w:pPr>
      <w:rPr>
        <w:rFonts w:ascii="Symbol" w:hAnsi="Symbol" w:hint="default"/>
      </w:rPr>
    </w:lvl>
    <w:lvl w:ilvl="4" w:tplc="454CCE9C">
      <w:start w:val="1"/>
      <w:numFmt w:val="bullet"/>
      <w:lvlText w:val="o"/>
      <w:lvlJc w:val="left"/>
      <w:pPr>
        <w:ind w:left="3600" w:hanging="360"/>
      </w:pPr>
      <w:rPr>
        <w:rFonts w:ascii="Courier New" w:hAnsi="Courier New" w:hint="default"/>
      </w:rPr>
    </w:lvl>
    <w:lvl w:ilvl="5" w:tplc="E550D39C">
      <w:start w:val="1"/>
      <w:numFmt w:val="bullet"/>
      <w:lvlText w:val=""/>
      <w:lvlJc w:val="left"/>
      <w:pPr>
        <w:ind w:left="4320" w:hanging="360"/>
      </w:pPr>
      <w:rPr>
        <w:rFonts w:ascii="Wingdings" w:hAnsi="Wingdings" w:hint="default"/>
      </w:rPr>
    </w:lvl>
    <w:lvl w:ilvl="6" w:tplc="7EE812D4">
      <w:start w:val="1"/>
      <w:numFmt w:val="bullet"/>
      <w:lvlText w:val=""/>
      <w:lvlJc w:val="left"/>
      <w:pPr>
        <w:ind w:left="5040" w:hanging="360"/>
      </w:pPr>
      <w:rPr>
        <w:rFonts w:ascii="Symbol" w:hAnsi="Symbol" w:hint="default"/>
      </w:rPr>
    </w:lvl>
    <w:lvl w:ilvl="7" w:tplc="C906706C">
      <w:start w:val="1"/>
      <w:numFmt w:val="bullet"/>
      <w:lvlText w:val="o"/>
      <w:lvlJc w:val="left"/>
      <w:pPr>
        <w:ind w:left="5760" w:hanging="360"/>
      </w:pPr>
      <w:rPr>
        <w:rFonts w:ascii="Courier New" w:hAnsi="Courier New" w:hint="default"/>
      </w:rPr>
    </w:lvl>
    <w:lvl w:ilvl="8" w:tplc="609CAD6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435BD2"/>
    <w:rsid w:val="00006AC1"/>
    <w:rsid w:val="00010558"/>
    <w:rsid w:val="00013C16"/>
    <w:rsid w:val="00021A7F"/>
    <w:rsid w:val="00041147"/>
    <w:rsid w:val="00046A86"/>
    <w:rsid w:val="00047811"/>
    <w:rsid w:val="000519AA"/>
    <w:rsid w:val="00052EEA"/>
    <w:rsid w:val="00065082"/>
    <w:rsid w:val="000707E0"/>
    <w:rsid w:val="00070A45"/>
    <w:rsid w:val="00072653"/>
    <w:rsid w:val="000863CE"/>
    <w:rsid w:val="00086B93"/>
    <w:rsid w:val="00092074"/>
    <w:rsid w:val="0009452D"/>
    <w:rsid w:val="000A3A86"/>
    <w:rsid w:val="000B7AC9"/>
    <w:rsid w:val="000C3D77"/>
    <w:rsid w:val="000D2875"/>
    <w:rsid w:val="000D35EC"/>
    <w:rsid w:val="000E1835"/>
    <w:rsid w:val="000E70A5"/>
    <w:rsid w:val="00115851"/>
    <w:rsid w:val="00116D35"/>
    <w:rsid w:val="00124B0F"/>
    <w:rsid w:val="00126CCD"/>
    <w:rsid w:val="001351C1"/>
    <w:rsid w:val="001408DE"/>
    <w:rsid w:val="001543D1"/>
    <w:rsid w:val="00160DD2"/>
    <w:rsid w:val="00187181"/>
    <w:rsid w:val="00192417"/>
    <w:rsid w:val="0019384D"/>
    <w:rsid w:val="001A122E"/>
    <w:rsid w:val="001A3367"/>
    <w:rsid w:val="001C7DF7"/>
    <w:rsid w:val="001D0F0E"/>
    <w:rsid w:val="001D36A6"/>
    <w:rsid w:val="001F4A93"/>
    <w:rsid w:val="001F4C01"/>
    <w:rsid w:val="001F5439"/>
    <w:rsid w:val="001F6841"/>
    <w:rsid w:val="0021527C"/>
    <w:rsid w:val="0021767E"/>
    <w:rsid w:val="00223BC7"/>
    <w:rsid w:val="002326D4"/>
    <w:rsid w:val="00235B12"/>
    <w:rsid w:val="00240E21"/>
    <w:rsid w:val="00241704"/>
    <w:rsid w:val="002554F2"/>
    <w:rsid w:val="00270302"/>
    <w:rsid w:val="00282655"/>
    <w:rsid w:val="00282D60"/>
    <w:rsid w:val="00290019"/>
    <w:rsid w:val="0029172B"/>
    <w:rsid w:val="002B4ACE"/>
    <w:rsid w:val="002B692A"/>
    <w:rsid w:val="002C1891"/>
    <w:rsid w:val="002D4BDC"/>
    <w:rsid w:val="002D5250"/>
    <w:rsid w:val="002D712F"/>
    <w:rsid w:val="002E1FFD"/>
    <w:rsid w:val="002F1573"/>
    <w:rsid w:val="002F1D79"/>
    <w:rsid w:val="002F767C"/>
    <w:rsid w:val="003319F9"/>
    <w:rsid w:val="003324FB"/>
    <w:rsid w:val="00337317"/>
    <w:rsid w:val="0034644D"/>
    <w:rsid w:val="003644F3"/>
    <w:rsid w:val="003656D0"/>
    <w:rsid w:val="00375CB3"/>
    <w:rsid w:val="00376DEA"/>
    <w:rsid w:val="00385E9B"/>
    <w:rsid w:val="003862F9"/>
    <w:rsid w:val="00387A68"/>
    <w:rsid w:val="0039120F"/>
    <w:rsid w:val="00395C07"/>
    <w:rsid w:val="003B3B73"/>
    <w:rsid w:val="003B5CA8"/>
    <w:rsid w:val="004173E4"/>
    <w:rsid w:val="00435BD2"/>
    <w:rsid w:val="00436CCC"/>
    <w:rsid w:val="00437881"/>
    <w:rsid w:val="00440DD6"/>
    <w:rsid w:val="00441135"/>
    <w:rsid w:val="00444ADC"/>
    <w:rsid w:val="004745D9"/>
    <w:rsid w:val="004766C4"/>
    <w:rsid w:val="00485E79"/>
    <w:rsid w:val="00493F94"/>
    <w:rsid w:val="0049455C"/>
    <w:rsid w:val="004A5077"/>
    <w:rsid w:val="004B7FDE"/>
    <w:rsid w:val="004C351B"/>
    <w:rsid w:val="004D3F7D"/>
    <w:rsid w:val="004D59F6"/>
    <w:rsid w:val="004D6CA8"/>
    <w:rsid w:val="004F2327"/>
    <w:rsid w:val="00501A89"/>
    <w:rsid w:val="00505A4F"/>
    <w:rsid w:val="00506168"/>
    <w:rsid w:val="005137FC"/>
    <w:rsid w:val="0051702C"/>
    <w:rsid w:val="00521D21"/>
    <w:rsid w:val="00523E8B"/>
    <w:rsid w:val="00530776"/>
    <w:rsid w:val="005472BA"/>
    <w:rsid w:val="005605A7"/>
    <w:rsid w:val="00570A46"/>
    <w:rsid w:val="005734A5"/>
    <w:rsid w:val="005755DF"/>
    <w:rsid w:val="0058304F"/>
    <w:rsid w:val="0058454C"/>
    <w:rsid w:val="00585D8B"/>
    <w:rsid w:val="00586050"/>
    <w:rsid w:val="0059402C"/>
    <w:rsid w:val="0059571C"/>
    <w:rsid w:val="005A02EE"/>
    <w:rsid w:val="005A1A1E"/>
    <w:rsid w:val="005B7479"/>
    <w:rsid w:val="005C013C"/>
    <w:rsid w:val="005F01D5"/>
    <w:rsid w:val="005F38FC"/>
    <w:rsid w:val="005F6F02"/>
    <w:rsid w:val="006042D2"/>
    <w:rsid w:val="00605C44"/>
    <w:rsid w:val="006069E9"/>
    <w:rsid w:val="0061653D"/>
    <w:rsid w:val="00617B00"/>
    <w:rsid w:val="006261D8"/>
    <w:rsid w:val="00632A36"/>
    <w:rsid w:val="00640C15"/>
    <w:rsid w:val="006642CE"/>
    <w:rsid w:val="00664550"/>
    <w:rsid w:val="00675389"/>
    <w:rsid w:val="0068028F"/>
    <w:rsid w:val="006840B7"/>
    <w:rsid w:val="00690F0B"/>
    <w:rsid w:val="006A1A29"/>
    <w:rsid w:val="006A320D"/>
    <w:rsid w:val="006A446E"/>
    <w:rsid w:val="006A4E77"/>
    <w:rsid w:val="006A6414"/>
    <w:rsid w:val="006B2510"/>
    <w:rsid w:val="006C7BF2"/>
    <w:rsid w:val="006D590A"/>
    <w:rsid w:val="006E0DA5"/>
    <w:rsid w:val="006F1FA0"/>
    <w:rsid w:val="006F2190"/>
    <w:rsid w:val="00715141"/>
    <w:rsid w:val="007232C5"/>
    <w:rsid w:val="007411E1"/>
    <w:rsid w:val="0077195B"/>
    <w:rsid w:val="007930C9"/>
    <w:rsid w:val="007A7C59"/>
    <w:rsid w:val="007F57E1"/>
    <w:rsid w:val="00814864"/>
    <w:rsid w:val="00824DAE"/>
    <w:rsid w:val="0082742B"/>
    <w:rsid w:val="0083334A"/>
    <w:rsid w:val="00835605"/>
    <w:rsid w:val="00842B75"/>
    <w:rsid w:val="00853473"/>
    <w:rsid w:val="00857F46"/>
    <w:rsid w:val="00862555"/>
    <w:rsid w:val="008741F9"/>
    <w:rsid w:val="0088215B"/>
    <w:rsid w:val="0088544A"/>
    <w:rsid w:val="00885F19"/>
    <w:rsid w:val="008A2101"/>
    <w:rsid w:val="008A6A1D"/>
    <w:rsid w:val="008C1A75"/>
    <w:rsid w:val="008C70FA"/>
    <w:rsid w:val="008D2DD2"/>
    <w:rsid w:val="008E7FE4"/>
    <w:rsid w:val="008F7451"/>
    <w:rsid w:val="0090018B"/>
    <w:rsid w:val="009002F8"/>
    <w:rsid w:val="00904942"/>
    <w:rsid w:val="009106CA"/>
    <w:rsid w:val="00912940"/>
    <w:rsid w:val="00915363"/>
    <w:rsid w:val="0092186E"/>
    <w:rsid w:val="00922A33"/>
    <w:rsid w:val="00957F4B"/>
    <w:rsid w:val="009729A3"/>
    <w:rsid w:val="009733E1"/>
    <w:rsid w:val="0098490B"/>
    <w:rsid w:val="00986CCB"/>
    <w:rsid w:val="00992F4B"/>
    <w:rsid w:val="009A0E41"/>
    <w:rsid w:val="009A2A95"/>
    <w:rsid w:val="009A44CB"/>
    <w:rsid w:val="009A470F"/>
    <w:rsid w:val="009A63ED"/>
    <w:rsid w:val="009D2A26"/>
    <w:rsid w:val="009D79A6"/>
    <w:rsid w:val="009E3818"/>
    <w:rsid w:val="009E5CFC"/>
    <w:rsid w:val="009F55E9"/>
    <w:rsid w:val="009F7BDF"/>
    <w:rsid w:val="00A003B1"/>
    <w:rsid w:val="00A01313"/>
    <w:rsid w:val="00A22F42"/>
    <w:rsid w:val="00A23E22"/>
    <w:rsid w:val="00A24156"/>
    <w:rsid w:val="00A36607"/>
    <w:rsid w:val="00A47643"/>
    <w:rsid w:val="00A50007"/>
    <w:rsid w:val="00A52116"/>
    <w:rsid w:val="00A524AB"/>
    <w:rsid w:val="00A55758"/>
    <w:rsid w:val="00A5775D"/>
    <w:rsid w:val="00A600BC"/>
    <w:rsid w:val="00A64F82"/>
    <w:rsid w:val="00A67AA1"/>
    <w:rsid w:val="00A71905"/>
    <w:rsid w:val="00A7722E"/>
    <w:rsid w:val="00A854DB"/>
    <w:rsid w:val="00A91595"/>
    <w:rsid w:val="00AA4B7B"/>
    <w:rsid w:val="00AB03C1"/>
    <w:rsid w:val="00AB2C5C"/>
    <w:rsid w:val="00AC0BA3"/>
    <w:rsid w:val="00AC38F1"/>
    <w:rsid w:val="00AC44EC"/>
    <w:rsid w:val="00AD096D"/>
    <w:rsid w:val="00AD1DED"/>
    <w:rsid w:val="00AD2035"/>
    <w:rsid w:val="00AD44A4"/>
    <w:rsid w:val="00AE3DCB"/>
    <w:rsid w:val="00AE7D69"/>
    <w:rsid w:val="00AF5A9F"/>
    <w:rsid w:val="00B112A0"/>
    <w:rsid w:val="00B24110"/>
    <w:rsid w:val="00B25F9E"/>
    <w:rsid w:val="00B315A0"/>
    <w:rsid w:val="00B44867"/>
    <w:rsid w:val="00B457FE"/>
    <w:rsid w:val="00B8221F"/>
    <w:rsid w:val="00B8256A"/>
    <w:rsid w:val="00B82BAF"/>
    <w:rsid w:val="00B8300D"/>
    <w:rsid w:val="00B84E7B"/>
    <w:rsid w:val="00B87DE1"/>
    <w:rsid w:val="00B92A10"/>
    <w:rsid w:val="00BC1EAB"/>
    <w:rsid w:val="00C14686"/>
    <w:rsid w:val="00C42E2B"/>
    <w:rsid w:val="00C444D3"/>
    <w:rsid w:val="00C513F2"/>
    <w:rsid w:val="00C52073"/>
    <w:rsid w:val="00C52B0D"/>
    <w:rsid w:val="00C64878"/>
    <w:rsid w:val="00C76256"/>
    <w:rsid w:val="00C8731A"/>
    <w:rsid w:val="00CA030C"/>
    <w:rsid w:val="00CA41BF"/>
    <w:rsid w:val="00CA531E"/>
    <w:rsid w:val="00CA62A6"/>
    <w:rsid w:val="00CA7141"/>
    <w:rsid w:val="00CC484B"/>
    <w:rsid w:val="00CD591D"/>
    <w:rsid w:val="00CE45A4"/>
    <w:rsid w:val="00CEBABA"/>
    <w:rsid w:val="00D06596"/>
    <w:rsid w:val="00D15539"/>
    <w:rsid w:val="00D16A15"/>
    <w:rsid w:val="00D263E8"/>
    <w:rsid w:val="00D34DB9"/>
    <w:rsid w:val="00D35F80"/>
    <w:rsid w:val="00D43D3B"/>
    <w:rsid w:val="00D50371"/>
    <w:rsid w:val="00D51555"/>
    <w:rsid w:val="00D55813"/>
    <w:rsid w:val="00D83884"/>
    <w:rsid w:val="00D95526"/>
    <w:rsid w:val="00DA4B79"/>
    <w:rsid w:val="00DA54C5"/>
    <w:rsid w:val="00DB03E2"/>
    <w:rsid w:val="00DC76B2"/>
    <w:rsid w:val="00DD4A9F"/>
    <w:rsid w:val="00DE1BC2"/>
    <w:rsid w:val="00DE78E2"/>
    <w:rsid w:val="00DF7401"/>
    <w:rsid w:val="00E04445"/>
    <w:rsid w:val="00E07160"/>
    <w:rsid w:val="00E10DD8"/>
    <w:rsid w:val="00E15387"/>
    <w:rsid w:val="00E217CF"/>
    <w:rsid w:val="00E24AFF"/>
    <w:rsid w:val="00E3373A"/>
    <w:rsid w:val="00E37129"/>
    <w:rsid w:val="00E37D1F"/>
    <w:rsid w:val="00E51C9D"/>
    <w:rsid w:val="00E651AF"/>
    <w:rsid w:val="00E66BAA"/>
    <w:rsid w:val="00E72920"/>
    <w:rsid w:val="00E74D3D"/>
    <w:rsid w:val="00E757F3"/>
    <w:rsid w:val="00E8438B"/>
    <w:rsid w:val="00E8699A"/>
    <w:rsid w:val="00E90177"/>
    <w:rsid w:val="00EA23F1"/>
    <w:rsid w:val="00EC5544"/>
    <w:rsid w:val="00ED3DCD"/>
    <w:rsid w:val="00F04679"/>
    <w:rsid w:val="00F36BED"/>
    <w:rsid w:val="00F36FE7"/>
    <w:rsid w:val="00F438A6"/>
    <w:rsid w:val="00F5164B"/>
    <w:rsid w:val="00F609F3"/>
    <w:rsid w:val="00F60D90"/>
    <w:rsid w:val="00F64FBF"/>
    <w:rsid w:val="00F80B4D"/>
    <w:rsid w:val="00F82BC5"/>
    <w:rsid w:val="00F84573"/>
    <w:rsid w:val="00F93353"/>
    <w:rsid w:val="00FB1BE2"/>
    <w:rsid w:val="00FB38C5"/>
    <w:rsid w:val="00FB3949"/>
    <w:rsid w:val="00FB3EA6"/>
    <w:rsid w:val="00FB414C"/>
    <w:rsid w:val="00FB4286"/>
    <w:rsid w:val="00FB7537"/>
    <w:rsid w:val="00FC2A55"/>
    <w:rsid w:val="00FC7A86"/>
    <w:rsid w:val="00FD0795"/>
    <w:rsid w:val="00FD1DFD"/>
    <w:rsid w:val="00FD61D3"/>
    <w:rsid w:val="00FD7D77"/>
    <w:rsid w:val="00FF1335"/>
    <w:rsid w:val="00FF1BF2"/>
    <w:rsid w:val="00FF5376"/>
    <w:rsid w:val="00FF5821"/>
    <w:rsid w:val="01420EF8"/>
    <w:rsid w:val="018B3634"/>
    <w:rsid w:val="0318FDD9"/>
    <w:rsid w:val="03CE5A11"/>
    <w:rsid w:val="041AC914"/>
    <w:rsid w:val="04F7110A"/>
    <w:rsid w:val="052CA169"/>
    <w:rsid w:val="053DBF9A"/>
    <w:rsid w:val="05E84530"/>
    <w:rsid w:val="073FC048"/>
    <w:rsid w:val="07BDC5F6"/>
    <w:rsid w:val="09160E36"/>
    <w:rsid w:val="09728A7E"/>
    <w:rsid w:val="09F4A619"/>
    <w:rsid w:val="0A8B8D9D"/>
    <w:rsid w:val="0C22E9BE"/>
    <w:rsid w:val="0D0AC044"/>
    <w:rsid w:val="0D58C473"/>
    <w:rsid w:val="0E177685"/>
    <w:rsid w:val="0E34BA06"/>
    <w:rsid w:val="0ECE2EAA"/>
    <w:rsid w:val="0FA143BA"/>
    <w:rsid w:val="0FBA3946"/>
    <w:rsid w:val="10EF8C9D"/>
    <w:rsid w:val="115609A7"/>
    <w:rsid w:val="11B2876B"/>
    <w:rsid w:val="11C466B0"/>
    <w:rsid w:val="11DAFD63"/>
    <w:rsid w:val="120A4879"/>
    <w:rsid w:val="1214A330"/>
    <w:rsid w:val="1366281C"/>
    <w:rsid w:val="13887770"/>
    <w:rsid w:val="144EE59A"/>
    <w:rsid w:val="148320A1"/>
    <w:rsid w:val="14992FD8"/>
    <w:rsid w:val="153A8931"/>
    <w:rsid w:val="1541E93B"/>
    <w:rsid w:val="16C01832"/>
    <w:rsid w:val="16DCE669"/>
    <w:rsid w:val="176B307B"/>
    <w:rsid w:val="17858A9C"/>
    <w:rsid w:val="179C1B04"/>
    <w:rsid w:val="17CF61CC"/>
    <w:rsid w:val="17EF9DE6"/>
    <w:rsid w:val="18CF6EC3"/>
    <w:rsid w:val="1AE56479"/>
    <w:rsid w:val="1B07028E"/>
    <w:rsid w:val="1B70015D"/>
    <w:rsid w:val="1D1D6EB4"/>
    <w:rsid w:val="1DA87F23"/>
    <w:rsid w:val="1EE39521"/>
    <w:rsid w:val="1FB8D59C"/>
    <w:rsid w:val="20761858"/>
    <w:rsid w:val="208364EB"/>
    <w:rsid w:val="210CE44D"/>
    <w:rsid w:val="21D8A0F1"/>
    <w:rsid w:val="226A1038"/>
    <w:rsid w:val="242493BC"/>
    <w:rsid w:val="249C83DF"/>
    <w:rsid w:val="2533F709"/>
    <w:rsid w:val="2684531B"/>
    <w:rsid w:val="26D30266"/>
    <w:rsid w:val="26EE7865"/>
    <w:rsid w:val="2776B6EE"/>
    <w:rsid w:val="2912874F"/>
    <w:rsid w:val="29B36D42"/>
    <w:rsid w:val="29BC1229"/>
    <w:rsid w:val="2A437A69"/>
    <w:rsid w:val="2AE87754"/>
    <w:rsid w:val="2B20006D"/>
    <w:rsid w:val="2B77C465"/>
    <w:rsid w:val="2B8105F3"/>
    <w:rsid w:val="2B8900A1"/>
    <w:rsid w:val="2C8B8510"/>
    <w:rsid w:val="2C9421C6"/>
    <w:rsid w:val="2D9098C6"/>
    <w:rsid w:val="2DD592E6"/>
    <w:rsid w:val="2E40BE29"/>
    <w:rsid w:val="2EBB8591"/>
    <w:rsid w:val="3243C374"/>
    <w:rsid w:val="342027B0"/>
    <w:rsid w:val="34D36229"/>
    <w:rsid w:val="35122699"/>
    <w:rsid w:val="37144D49"/>
    <w:rsid w:val="3795E008"/>
    <w:rsid w:val="37A02656"/>
    <w:rsid w:val="385C83B4"/>
    <w:rsid w:val="390B6444"/>
    <w:rsid w:val="398AC579"/>
    <w:rsid w:val="39B92139"/>
    <w:rsid w:val="3A285467"/>
    <w:rsid w:val="3A2F93E8"/>
    <w:rsid w:val="3A9C27D4"/>
    <w:rsid w:val="3AEE310B"/>
    <w:rsid w:val="3BB83E6D"/>
    <w:rsid w:val="3BC7945E"/>
    <w:rsid w:val="3BE9DA0E"/>
    <w:rsid w:val="3C72DD00"/>
    <w:rsid w:val="3C85A66A"/>
    <w:rsid w:val="3CB8CC3B"/>
    <w:rsid w:val="3CC2663B"/>
    <w:rsid w:val="3DC51FD0"/>
    <w:rsid w:val="3E0A39A0"/>
    <w:rsid w:val="3E2BD475"/>
    <w:rsid w:val="3E2CC239"/>
    <w:rsid w:val="3E4087B0"/>
    <w:rsid w:val="3E93F3C4"/>
    <w:rsid w:val="3E972EC6"/>
    <w:rsid w:val="3ECD528E"/>
    <w:rsid w:val="3F5858E0"/>
    <w:rsid w:val="40814C9C"/>
    <w:rsid w:val="40FD4DCC"/>
    <w:rsid w:val="41D5BFF4"/>
    <w:rsid w:val="41EC25CA"/>
    <w:rsid w:val="42BBEB75"/>
    <w:rsid w:val="42C51F90"/>
    <w:rsid w:val="42D2E7C0"/>
    <w:rsid w:val="43F421AA"/>
    <w:rsid w:val="43FDA525"/>
    <w:rsid w:val="4429E1BD"/>
    <w:rsid w:val="46493B4B"/>
    <w:rsid w:val="46AF53FF"/>
    <w:rsid w:val="46CEC8DD"/>
    <w:rsid w:val="47C3921D"/>
    <w:rsid w:val="47ED20DA"/>
    <w:rsid w:val="4867D8AB"/>
    <w:rsid w:val="487D9918"/>
    <w:rsid w:val="48B2A80A"/>
    <w:rsid w:val="4A1DAF30"/>
    <w:rsid w:val="4A7E8A50"/>
    <w:rsid w:val="4AFD4540"/>
    <w:rsid w:val="4B05E8A8"/>
    <w:rsid w:val="4B9F796D"/>
    <w:rsid w:val="4BEA48CC"/>
    <w:rsid w:val="4C08B70A"/>
    <w:rsid w:val="4C458CA9"/>
    <w:rsid w:val="4D5F0263"/>
    <w:rsid w:val="4E97525C"/>
    <w:rsid w:val="4FFE48AA"/>
    <w:rsid w:val="51CF8EDD"/>
    <w:rsid w:val="529E016E"/>
    <w:rsid w:val="52D6BD5A"/>
    <w:rsid w:val="534C4687"/>
    <w:rsid w:val="539C537D"/>
    <w:rsid w:val="540E5B88"/>
    <w:rsid w:val="54ACD744"/>
    <w:rsid w:val="558B8F10"/>
    <w:rsid w:val="559811DC"/>
    <w:rsid w:val="55A08794"/>
    <w:rsid w:val="55AA2BE9"/>
    <w:rsid w:val="5829D1A2"/>
    <w:rsid w:val="58AFA377"/>
    <w:rsid w:val="592C6F33"/>
    <w:rsid w:val="5932FAF8"/>
    <w:rsid w:val="59FF1C43"/>
    <w:rsid w:val="5A377AC9"/>
    <w:rsid w:val="5A667351"/>
    <w:rsid w:val="5AB36000"/>
    <w:rsid w:val="5AFFB9B0"/>
    <w:rsid w:val="5B104001"/>
    <w:rsid w:val="5C19F15B"/>
    <w:rsid w:val="5C1D8070"/>
    <w:rsid w:val="5C50A02A"/>
    <w:rsid w:val="5CAB8882"/>
    <w:rsid w:val="5CEB9F51"/>
    <w:rsid w:val="5E5638D6"/>
    <w:rsid w:val="5E5F382F"/>
    <w:rsid w:val="5EB37158"/>
    <w:rsid w:val="5FC7D88F"/>
    <w:rsid w:val="60F9DA3D"/>
    <w:rsid w:val="611CEB99"/>
    <w:rsid w:val="61A0EC87"/>
    <w:rsid w:val="61F4AC1A"/>
    <w:rsid w:val="63D85A8E"/>
    <w:rsid w:val="6527D5FB"/>
    <w:rsid w:val="656177AB"/>
    <w:rsid w:val="66371A13"/>
    <w:rsid w:val="66A78CFF"/>
    <w:rsid w:val="678D9A3F"/>
    <w:rsid w:val="68815D32"/>
    <w:rsid w:val="6915D1E9"/>
    <w:rsid w:val="69BED015"/>
    <w:rsid w:val="6A3B359B"/>
    <w:rsid w:val="6A7E66B8"/>
    <w:rsid w:val="6AB1A24A"/>
    <w:rsid w:val="6B74DEE7"/>
    <w:rsid w:val="6B7DDF74"/>
    <w:rsid w:val="6BBD46BD"/>
    <w:rsid w:val="6CF3C0F2"/>
    <w:rsid w:val="6D21773D"/>
    <w:rsid w:val="6D54CE55"/>
    <w:rsid w:val="6E1E71DB"/>
    <w:rsid w:val="6E7BE2BF"/>
    <w:rsid w:val="6E989F44"/>
    <w:rsid w:val="6F497594"/>
    <w:rsid w:val="702FB282"/>
    <w:rsid w:val="70C51701"/>
    <w:rsid w:val="71D3F89B"/>
    <w:rsid w:val="721FFCEC"/>
    <w:rsid w:val="72A42F0E"/>
    <w:rsid w:val="72E1498B"/>
    <w:rsid w:val="740ACB6C"/>
    <w:rsid w:val="75093B13"/>
    <w:rsid w:val="75988824"/>
    <w:rsid w:val="76613947"/>
    <w:rsid w:val="76B2BDB6"/>
    <w:rsid w:val="76E2883E"/>
    <w:rsid w:val="78C0B5F3"/>
    <w:rsid w:val="79E6D1E8"/>
    <w:rsid w:val="7B9F4FCC"/>
    <w:rsid w:val="7BB5F961"/>
    <w:rsid w:val="7C384FC4"/>
    <w:rsid w:val="7DDA894C"/>
    <w:rsid w:val="7EED9A23"/>
    <w:rsid w:val="7F9C27F5"/>
    <w:rsid w:val="7FB64B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DA2C"/>
  <w15:docId w15:val="{AAB57CE0-0701-4A88-80B5-720E271D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A5077"/>
    <w:pPr>
      <w:jc w:val="right"/>
    </w:pPr>
    <w:rPr>
      <w:rFonts w:asciiTheme="minorHAnsi" w:hAnsiTheme="minorHAnsi"/>
      <w:b w:val="0"/>
      <w:color w:val="2C384A" w:themeColor="accent1"/>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uiPriority w:val="99"/>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A5077"/>
    <w:rPr>
      <w:rFonts w:asciiTheme="minorHAnsi" w:hAnsiTheme="minorHAnsi"/>
      <w:b w:val="0"/>
      <w:color w:val="2C384A" w:themeColor="accent1"/>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Address">
    <w:name w:val="Address"/>
    <w:basedOn w:val="Normal"/>
    <w:qFormat/>
    <w:rsid w:val="00A36607"/>
    <w:pPr>
      <w:spacing w:after="0"/>
    </w:pPr>
  </w:style>
  <w:style w:type="character" w:styleId="PlaceholderText">
    <w:name w:val="Placeholder Text"/>
    <w:basedOn w:val="DefaultParagraphFont"/>
    <w:uiPriority w:val="99"/>
    <w:semiHidden/>
    <w:rsid w:val="00A36607"/>
    <w:rPr>
      <w:color w:val="808080"/>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A0E41"/>
    <w:rPr>
      <w:b/>
      <w:bCs/>
    </w:rPr>
  </w:style>
  <w:style w:type="character" w:customStyle="1" w:styleId="CommentSubjectChar">
    <w:name w:val="Comment Subject Char"/>
    <w:basedOn w:val="CommentTextChar"/>
    <w:link w:val="CommentSubject"/>
    <w:semiHidden/>
    <w:rsid w:val="009A0E41"/>
    <w:rPr>
      <w:rFonts w:ascii="Calibri" w:hAnsi="Calibri"/>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Letter_CB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56A6A6D5E453B87DC5AB38F732DD4"/>
        <w:category>
          <w:name w:val="General"/>
          <w:gallery w:val="placeholder"/>
        </w:category>
        <w:types>
          <w:type w:val="bbPlcHdr"/>
        </w:types>
        <w:behaviors>
          <w:behavior w:val="content"/>
        </w:behaviors>
        <w:guid w:val="{4C0637DF-F044-4DE0-B708-4A85A2453FE5}"/>
      </w:docPartPr>
      <w:docPartBody>
        <w:p w:rsidR="008E6E89" w:rsidRDefault="001351C1">
          <w:pPr>
            <w:pStyle w:val="CA256A6A6D5E453B87DC5AB38F732DD4"/>
          </w:pPr>
          <w:r w:rsidRPr="00EB39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1"/>
    <w:rsid w:val="001351C1"/>
    <w:rsid w:val="002851C3"/>
    <w:rsid w:val="00394EEA"/>
    <w:rsid w:val="0057212B"/>
    <w:rsid w:val="007D5761"/>
    <w:rsid w:val="00884BC1"/>
    <w:rsid w:val="008E6E89"/>
    <w:rsid w:val="00921FF6"/>
    <w:rsid w:val="00A97E13"/>
    <w:rsid w:val="00AD2CEC"/>
    <w:rsid w:val="00B7172C"/>
    <w:rsid w:val="00B72541"/>
    <w:rsid w:val="00C2479F"/>
    <w:rsid w:val="00EC06A7"/>
    <w:rsid w:val="00F442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256A6A6D5E453B87DC5AB38F732DD4">
    <w:name w:val="CA256A6A6D5E453B87DC5AB38F732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DOCID-322795542-26564</_dlc_DocId>
    <_dlc_DocIdUrl xmlns="4195ad5f-cdf2-4c4a-8d9b-b7944a108e98">
      <Url>https://pmc01.sharepoint.com/sites/CRMOBPR/_layouts/15/DocIdRedir.aspx?ID=DOCID-322795542-26564</Url>
      <Description>DOCID-322795542-26564</Description>
    </_dlc_DocIdUrl>
    <lcf76f155ced4ddcb4097134ff3c332f xmlns="26285671-540d-468b-b7a1-f3e0438dd51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15DD-006D-4283-A7E2-07F1D9E73D30}">
  <ds:schemaRefs>
    <ds:schemaRef ds:uri="http://schemas.microsoft.com/sharepoint/events"/>
  </ds:schemaRefs>
</ds:datastoreItem>
</file>

<file path=customXml/itemProps2.xml><?xml version="1.0" encoding="utf-8"?>
<ds:datastoreItem xmlns:ds="http://schemas.openxmlformats.org/officeDocument/2006/customXml" ds:itemID="{ECBA77CB-B957-46EC-91E2-3EE52E722131}"/>
</file>

<file path=customXml/itemProps3.xml><?xml version="1.0" encoding="utf-8"?>
<ds:datastoreItem xmlns:ds="http://schemas.openxmlformats.org/officeDocument/2006/customXml" ds:itemID="{AEA08793-4F18-4A94-81E7-D76148F8B956}">
  <ds:schemaRefs>
    <ds:schemaRef ds:uri="http://schemas.microsoft.com/sharepoint/v3/contenttype/forms"/>
  </ds:schemaRefs>
</ds:datastoreItem>
</file>

<file path=customXml/itemProps4.xml><?xml version="1.0" encoding="utf-8"?>
<ds:datastoreItem xmlns:ds="http://schemas.openxmlformats.org/officeDocument/2006/customXml" ds:itemID="{A1D868A9-BDDB-4BEA-943C-19BD4C335C08}">
  <ds:schemaRefs>
    <ds:schemaRef ds:uri="http://schemas.microsoft.com/office/2006/metadata/properties"/>
    <ds:schemaRef ds:uri="http://schemas.microsoft.com/office/infopath/2007/PartnerControls"/>
    <ds:schemaRef ds:uri="9ea8d995-c4e9-4aeb-a89b-b2c5079b0768"/>
    <ds:schemaRef ds:uri="82f723c6-7bda-4165-9ed4-2a69c734d3cf"/>
  </ds:schemaRefs>
</ds:datastoreItem>
</file>

<file path=customXml/itemProps5.xml><?xml version="1.0" encoding="utf-8"?>
<ds:datastoreItem xmlns:ds="http://schemas.openxmlformats.org/officeDocument/2006/customXml" ds:itemID="{82930BD4-881B-4ADA-AEA0-71CA6A4D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TSY Letter_CBR.dotx</Template>
  <TotalTime>14</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220701 LTR - Tsy to OBPR - competition in clearing and settlement - self certification</vt:lpstr>
    </vt:vector>
  </TitlesOfParts>
  <Company>The Treasury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220701 LTR - Tsy to OBPR - competition in clearing and settlement - self certification</dc:title>
  <dc:subject/>
  <dc:creator>Bee, Darcy</dc:creator>
  <cp:keywords/>
  <cp:lastModifiedBy>Kelly, James</cp:lastModifiedBy>
  <cp:revision>4</cp:revision>
  <cp:lastPrinted>2006-03-26T13:20:00Z</cp:lastPrinted>
  <dcterms:created xsi:type="dcterms:W3CDTF">2022-07-05T06:58:00Z</dcterms:created>
  <dcterms:modified xsi:type="dcterms:W3CDTF">2022-07-05T07:00:00Z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For Official Use Only</vt:lpwstr>
  </property>
  <property fmtid="{D5CDD505-2E9C-101B-9397-08002B2CF9AE}" pid="3" name="Language">
    <vt:lpwstr>English</vt:lpwstr>
  </property>
  <property fmtid="{D5CDD505-2E9C-101B-9397-08002B2CF9AE}" pid="4" name="DLMSecurityClassification">
    <vt:lpwstr/>
  </property>
  <property fmtid="{D5CDD505-2E9C-101B-9397-08002B2CF9AE}" pid="5" name="WorkingDocStatus">
    <vt:lpwstr/>
  </property>
  <property fmtid="{D5CDD505-2E9C-101B-9397-08002B2CF9AE}" pid="6" name="ContentTypeId">
    <vt:lpwstr>0x0101009CA239676470E04B809DDC4E24CF2322</vt:lpwstr>
  </property>
  <property fmtid="{D5CDD505-2E9C-101B-9397-08002B2CF9AE}" pid="7" name="eTheme">
    <vt:lpwstr>1;#Financial System|047002ef-5ee0-47ee-8184-5f4aaddfe3b3</vt:lpwstr>
  </property>
  <property fmtid="{D5CDD505-2E9C-101B-9397-08002B2CF9AE}" pid="8" name="_dlc_DocIdItemGuid">
    <vt:lpwstr>48d0af22-8d50-422c-811e-b4752bbbf915</vt:lpwstr>
  </property>
  <property fmtid="{D5CDD505-2E9C-101B-9397-08002B2CF9AE}" pid="9" name="eDocumentType">
    <vt:lpwstr>58;#Regulation Impact Statement|3aebfa41-609f-4053-89bf-d50c80b1e781</vt:lpwstr>
  </property>
  <property fmtid="{D5CDD505-2E9C-101B-9397-08002B2CF9AE}" pid="10" name="eTopic">
    <vt:lpwstr>63;#Clearing and settlement|8c34b893-9c9c-40c9-afcc-4be76d248902</vt:lpwstr>
  </property>
  <property fmtid="{D5CDD505-2E9C-101B-9397-08002B2CF9AE}" pid="11" name="eActivity">
    <vt:lpwstr>27;#Legislation Development|ab0c3441-40ca-4824-9397-d270df68f121</vt:lpwstr>
  </property>
  <property fmtid="{D5CDD505-2E9C-101B-9397-08002B2CF9AE}" pid="12" name="MediaServiceImageTags">
    <vt:lpwstr/>
  </property>
</Properties>
</file>