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670"/>
        <w:gridCol w:w="3969"/>
      </w:tblGrid>
      <w:tr w:rsidR="003345EC" w:rsidRPr="004F608F" w14:paraId="345FC9B6" w14:textId="77777777" w:rsidTr="002D381C">
        <w:trPr>
          <w:trHeight w:val="1414"/>
        </w:trPr>
        <w:tc>
          <w:tcPr>
            <w:tcW w:w="5670" w:type="dxa"/>
          </w:tcPr>
          <w:sdt>
            <w:sdtPr>
              <w:id w:val="-786043055"/>
              <w:placeholder>
                <w:docPart w:val="AD7ED904F7814A5CB85D1ADADA30EFBD"/>
              </w:placeholder>
            </w:sdtPr>
            <w:sdtEndPr/>
            <w:sdtContent>
              <w:p w14:paraId="15DA95DA" w14:textId="11A8B4CF" w:rsidR="006468FD" w:rsidRPr="004F608F" w:rsidRDefault="006468FD" w:rsidP="006468FD">
                <w:pPr>
                  <w:tabs>
                    <w:tab w:val="right" w:pos="4253"/>
                  </w:tabs>
                  <w:rPr>
                    <w:sz w:val="22"/>
                  </w:rPr>
                </w:pPr>
                <w:r w:rsidRPr="004F608F">
                  <w:rPr>
                    <w:sz w:val="22"/>
                  </w:rPr>
                  <w:t xml:space="preserve">Mr </w:t>
                </w:r>
                <w:r w:rsidR="00B21171">
                  <w:rPr>
                    <w:sz w:val="22"/>
                  </w:rPr>
                  <w:t>Robert Sugden</w:t>
                </w:r>
              </w:p>
              <w:p w14:paraId="7DB392A0" w14:textId="281745AE" w:rsidR="006468FD" w:rsidRPr="004F608F" w:rsidRDefault="00B21171" w:rsidP="006468FD">
                <w:pPr>
                  <w:tabs>
                    <w:tab w:val="right" w:pos="4253"/>
                  </w:tabs>
                  <w:rPr>
                    <w:sz w:val="22"/>
                  </w:rPr>
                </w:pPr>
                <w:r>
                  <w:rPr>
                    <w:sz w:val="22"/>
                  </w:rPr>
                  <w:t>Analyst</w:t>
                </w:r>
              </w:p>
              <w:p w14:paraId="6D0CFA6F" w14:textId="77777777" w:rsidR="006468FD" w:rsidRPr="004F608F" w:rsidRDefault="006468FD" w:rsidP="006468FD">
                <w:pPr>
                  <w:tabs>
                    <w:tab w:val="right" w:pos="4253"/>
                  </w:tabs>
                  <w:rPr>
                    <w:sz w:val="22"/>
                  </w:rPr>
                </w:pPr>
                <w:r w:rsidRPr="004F608F">
                  <w:rPr>
                    <w:sz w:val="22"/>
                  </w:rPr>
                  <w:t>Office of Best Practice Regulation</w:t>
                </w:r>
              </w:p>
              <w:p w14:paraId="25F06D56" w14:textId="77777777" w:rsidR="006468FD" w:rsidRPr="004F608F" w:rsidRDefault="006468FD" w:rsidP="006468FD">
                <w:pPr>
                  <w:tabs>
                    <w:tab w:val="right" w:pos="4253"/>
                  </w:tabs>
                  <w:rPr>
                    <w:sz w:val="22"/>
                  </w:rPr>
                </w:pPr>
                <w:r w:rsidRPr="004F608F">
                  <w:rPr>
                    <w:sz w:val="22"/>
                  </w:rPr>
                  <w:t>Department of the Prime Minister and Cabinet</w:t>
                </w:r>
              </w:p>
              <w:p w14:paraId="139F3D35" w14:textId="77777777" w:rsidR="006468FD" w:rsidRPr="004F608F" w:rsidRDefault="006468FD" w:rsidP="006468FD">
                <w:pPr>
                  <w:tabs>
                    <w:tab w:val="right" w:pos="4253"/>
                  </w:tabs>
                  <w:rPr>
                    <w:sz w:val="22"/>
                  </w:rPr>
                </w:pPr>
                <w:r w:rsidRPr="004F608F">
                  <w:rPr>
                    <w:sz w:val="22"/>
                  </w:rPr>
                  <w:t>1 National Circuit</w:t>
                </w:r>
              </w:p>
              <w:p w14:paraId="52040DBE" w14:textId="5EFBE03C" w:rsidR="003345EC" w:rsidRPr="004F608F" w:rsidRDefault="006468FD" w:rsidP="006468FD">
                <w:pPr>
                  <w:tabs>
                    <w:tab w:val="right" w:pos="4253"/>
                  </w:tabs>
                  <w:rPr>
                    <w:sz w:val="20"/>
                  </w:rPr>
                </w:pPr>
                <w:r w:rsidRPr="004F608F">
                  <w:rPr>
                    <w:sz w:val="22"/>
                  </w:rPr>
                  <w:t>BARTON ACT 2600</w:t>
                </w:r>
              </w:p>
            </w:sdtContent>
          </w:sdt>
        </w:tc>
        <w:tc>
          <w:tcPr>
            <w:tcW w:w="3969" w:type="dxa"/>
          </w:tcPr>
          <w:p w14:paraId="00902172" w14:textId="77777777" w:rsidR="003345EC" w:rsidRPr="004F608F" w:rsidRDefault="003345EC" w:rsidP="002D381C">
            <w:pPr>
              <w:tabs>
                <w:tab w:val="left" w:pos="1890"/>
              </w:tabs>
              <w:rPr>
                <w:sz w:val="20"/>
              </w:rPr>
            </w:pPr>
          </w:p>
        </w:tc>
      </w:tr>
      <w:tr w:rsidR="003345EC" w:rsidRPr="004F608F" w14:paraId="03CFCF7F" w14:textId="77777777" w:rsidTr="002D381C">
        <w:tc>
          <w:tcPr>
            <w:tcW w:w="5670" w:type="dxa"/>
          </w:tcPr>
          <w:p w14:paraId="59CA26E7" w14:textId="34AF38F0" w:rsidR="003345EC" w:rsidRPr="004F608F" w:rsidRDefault="006468FD" w:rsidP="002D381C">
            <w:pPr>
              <w:tabs>
                <w:tab w:val="right" w:pos="4253"/>
              </w:tabs>
              <w:rPr>
                <w:sz w:val="20"/>
              </w:rPr>
            </w:pPr>
            <w:r w:rsidRPr="004F608F">
              <w:rPr>
                <w:sz w:val="20"/>
              </w:rPr>
              <w:t>By email to: helpdesk-obpr@pmc.gov.au</w:t>
            </w:r>
          </w:p>
        </w:tc>
        <w:tc>
          <w:tcPr>
            <w:tcW w:w="3969" w:type="dxa"/>
          </w:tcPr>
          <w:p w14:paraId="6AE58FF0" w14:textId="77777777" w:rsidR="003345EC" w:rsidRPr="004F608F" w:rsidRDefault="003345EC" w:rsidP="004E200C">
            <w:pPr>
              <w:tabs>
                <w:tab w:val="left" w:pos="1890"/>
              </w:tabs>
              <w:rPr>
                <w:sz w:val="20"/>
              </w:rPr>
            </w:pPr>
          </w:p>
        </w:tc>
      </w:tr>
    </w:tbl>
    <w:p w14:paraId="5657DE6D" w14:textId="77777777" w:rsidR="003345EC" w:rsidRPr="004F608F" w:rsidRDefault="003345EC" w:rsidP="003345EC">
      <w:pPr>
        <w:rPr>
          <w:sz w:val="20"/>
        </w:rPr>
      </w:pPr>
    </w:p>
    <w:p w14:paraId="03FCEAA5" w14:textId="77777777" w:rsidR="003345EC" w:rsidRPr="004F608F" w:rsidRDefault="003345EC" w:rsidP="003345EC">
      <w:pPr>
        <w:rPr>
          <w:sz w:val="20"/>
        </w:rPr>
      </w:pPr>
    </w:p>
    <w:sdt>
      <w:sdtPr>
        <w:rPr>
          <w:sz w:val="20"/>
        </w:rPr>
        <w:id w:val="-515231889"/>
        <w:placeholder>
          <w:docPart w:val="BF58A6B1BAAA4F93BA2BBCFD1B78463F"/>
        </w:placeholder>
        <w:date w:fullDate="2022-09-19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18C276C3" w14:textId="68ECF503" w:rsidR="003345EC" w:rsidRPr="004F608F" w:rsidRDefault="00B51D33" w:rsidP="003345EC">
          <w:pPr>
            <w:rPr>
              <w:sz w:val="20"/>
            </w:rPr>
          </w:pPr>
          <w:r>
            <w:rPr>
              <w:sz w:val="20"/>
            </w:rPr>
            <w:t>1</w:t>
          </w:r>
          <w:r w:rsidR="00E53AA4">
            <w:rPr>
              <w:sz w:val="20"/>
            </w:rPr>
            <w:t>9</w:t>
          </w:r>
          <w:r>
            <w:rPr>
              <w:sz w:val="20"/>
            </w:rPr>
            <w:t xml:space="preserve"> September 2022</w:t>
          </w:r>
        </w:p>
      </w:sdtContent>
    </w:sdt>
    <w:p w14:paraId="7752E0DE" w14:textId="77777777" w:rsidR="003345EC" w:rsidRPr="004F608F" w:rsidRDefault="003345EC" w:rsidP="003345EC">
      <w:pPr>
        <w:rPr>
          <w:sz w:val="20"/>
        </w:rPr>
      </w:pPr>
    </w:p>
    <w:p w14:paraId="4189902C" w14:textId="77777777" w:rsidR="003345EC" w:rsidRPr="004F608F" w:rsidRDefault="003345EC" w:rsidP="003345EC">
      <w:pPr>
        <w:jc w:val="center"/>
        <w:rPr>
          <w:sz w:val="20"/>
        </w:rPr>
      </w:pPr>
    </w:p>
    <w:p w14:paraId="556CB4A3" w14:textId="35F98873" w:rsidR="003345EC" w:rsidRPr="004F608F" w:rsidRDefault="003345EC" w:rsidP="003345EC">
      <w:pPr>
        <w:rPr>
          <w:sz w:val="20"/>
        </w:rPr>
      </w:pPr>
      <w:r w:rsidRPr="004F608F">
        <w:rPr>
          <w:sz w:val="20"/>
        </w:rPr>
        <w:t xml:space="preserve">Dear </w:t>
      </w:r>
      <w:sdt>
        <w:sdtPr>
          <w:rPr>
            <w:sz w:val="20"/>
          </w:rPr>
          <w:id w:val="-1792897319"/>
          <w:placeholder>
            <w:docPart w:val="AD2ADBBCA25F478C82B0F92F11099780"/>
          </w:placeholder>
        </w:sdtPr>
        <w:sdtEndPr/>
        <w:sdtContent>
          <w:r w:rsidR="00FB76C1" w:rsidRPr="004F608F">
            <w:rPr>
              <w:sz w:val="20"/>
            </w:rPr>
            <w:t xml:space="preserve">Mr </w:t>
          </w:r>
          <w:r w:rsidR="00CF090A">
            <w:rPr>
              <w:sz w:val="20"/>
            </w:rPr>
            <w:t>Sugden</w:t>
          </w:r>
          <w:r w:rsidR="00440F4E">
            <w:rPr>
              <w:sz w:val="20"/>
            </w:rPr>
            <w:t>,</w:t>
          </w:r>
        </w:sdtContent>
      </w:sdt>
    </w:p>
    <w:p w14:paraId="70CACED2" w14:textId="77777777" w:rsidR="003345EC" w:rsidRPr="004F608F" w:rsidRDefault="003345EC" w:rsidP="003345EC">
      <w:pPr>
        <w:rPr>
          <w:sz w:val="20"/>
        </w:rPr>
      </w:pPr>
    </w:p>
    <w:p w14:paraId="1E55B5CA" w14:textId="2022C420" w:rsidR="00FB76C1" w:rsidRPr="004F608F" w:rsidRDefault="00FB76C1" w:rsidP="003345EC">
      <w:pPr>
        <w:rPr>
          <w:sz w:val="20"/>
        </w:rPr>
        <w:sectPr w:rsidR="00FB76C1" w:rsidRPr="004F608F" w:rsidSect="002D38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3261" w:right="1797" w:bottom="1440" w:left="1797" w:header="839" w:footer="720" w:gutter="0"/>
          <w:paperSrc w:first="15" w:other="15"/>
          <w:cols w:space="720"/>
          <w:titlePg/>
        </w:sectPr>
      </w:pPr>
    </w:p>
    <w:p w14:paraId="53B7DD1F" w14:textId="1C0D4EA8" w:rsidR="00FC0BA5" w:rsidRPr="004F608F" w:rsidRDefault="00FC0BA5" w:rsidP="00FB76C1">
      <w:pPr>
        <w:tabs>
          <w:tab w:val="left" w:pos="2955"/>
        </w:tabs>
        <w:rPr>
          <w:b/>
          <w:bCs/>
          <w:sz w:val="20"/>
        </w:rPr>
      </w:pPr>
      <w:r w:rsidRPr="004F608F">
        <w:rPr>
          <w:b/>
          <w:bCs/>
          <w:sz w:val="20"/>
        </w:rPr>
        <w:t>Certification of ASIC’s Review</w:t>
      </w:r>
      <w:r w:rsidR="00FB76C1" w:rsidRPr="004F608F">
        <w:rPr>
          <w:b/>
          <w:bCs/>
          <w:sz w:val="20"/>
        </w:rPr>
        <w:t xml:space="preserve">: </w:t>
      </w:r>
      <w:r w:rsidR="00971DE6">
        <w:rPr>
          <w:b/>
          <w:bCs/>
          <w:sz w:val="20"/>
        </w:rPr>
        <w:t>proposed changes to simpl</w:t>
      </w:r>
      <w:r w:rsidR="005B69F0">
        <w:rPr>
          <w:b/>
          <w:bCs/>
          <w:sz w:val="20"/>
        </w:rPr>
        <w:t>if</w:t>
      </w:r>
      <w:r w:rsidR="00971DE6">
        <w:rPr>
          <w:b/>
          <w:bCs/>
          <w:sz w:val="20"/>
        </w:rPr>
        <w:t>y the ASIC Derivative Transaction Rules (Reporting)</w:t>
      </w:r>
    </w:p>
    <w:p w14:paraId="2DC926A4" w14:textId="64E22BD1" w:rsidR="00FB76C1" w:rsidRPr="004F608F" w:rsidRDefault="00FB76C1" w:rsidP="00FB76C1">
      <w:pPr>
        <w:tabs>
          <w:tab w:val="left" w:pos="2955"/>
        </w:tabs>
        <w:rPr>
          <w:b/>
          <w:bCs/>
          <w:sz w:val="20"/>
        </w:rPr>
      </w:pPr>
      <w:r w:rsidRPr="004F608F">
        <w:rPr>
          <w:b/>
          <w:bCs/>
          <w:sz w:val="20"/>
        </w:rPr>
        <w:t xml:space="preserve"> </w:t>
      </w:r>
    </w:p>
    <w:p w14:paraId="18DC1A4D" w14:textId="6BF71549" w:rsidR="00FB76C1" w:rsidRDefault="00FB76C1" w:rsidP="00E343F4">
      <w:pPr>
        <w:tabs>
          <w:tab w:val="left" w:pos="2955"/>
        </w:tabs>
        <w:rPr>
          <w:sz w:val="20"/>
        </w:rPr>
      </w:pPr>
      <w:r w:rsidRPr="004F608F">
        <w:rPr>
          <w:sz w:val="20"/>
        </w:rPr>
        <w:t xml:space="preserve">I am writing to certify that </w:t>
      </w:r>
      <w:r w:rsidR="00440F4E">
        <w:rPr>
          <w:sz w:val="20"/>
        </w:rPr>
        <w:t>the Australian Securities and Investments Commission (ASIC) has undertaken a process and analysis equivalent to a Regulatory Impact Statement (</w:t>
      </w:r>
      <w:r w:rsidR="00440F4E" w:rsidRPr="00293074">
        <w:rPr>
          <w:b/>
          <w:bCs/>
          <w:sz w:val="20"/>
        </w:rPr>
        <w:t>RIS</w:t>
      </w:r>
      <w:r w:rsidR="00440F4E">
        <w:rPr>
          <w:sz w:val="20"/>
        </w:rPr>
        <w:t xml:space="preserve">) in deciding whether to make </w:t>
      </w:r>
      <w:r w:rsidR="0052667A">
        <w:rPr>
          <w:sz w:val="20"/>
        </w:rPr>
        <w:t xml:space="preserve">proposed changes to the </w:t>
      </w:r>
      <w:r w:rsidR="0052667A" w:rsidRPr="0052667A">
        <w:rPr>
          <w:i/>
          <w:iCs/>
          <w:sz w:val="20"/>
        </w:rPr>
        <w:t>ASIC Derivative Transaction Rules (Reporting) 2013</w:t>
      </w:r>
      <w:r w:rsidR="003557BF" w:rsidRPr="004F608F">
        <w:rPr>
          <w:sz w:val="20"/>
        </w:rPr>
        <w:t xml:space="preserve"> </w:t>
      </w:r>
      <w:r w:rsidR="00440F4E">
        <w:rPr>
          <w:sz w:val="20"/>
        </w:rPr>
        <w:t>(</w:t>
      </w:r>
      <w:r w:rsidR="00AF1AFB">
        <w:rPr>
          <w:b/>
          <w:bCs/>
          <w:sz w:val="20"/>
        </w:rPr>
        <w:t>c</w:t>
      </w:r>
      <w:r w:rsidR="00B61752" w:rsidRPr="00E823C3">
        <w:rPr>
          <w:b/>
          <w:bCs/>
          <w:sz w:val="20"/>
        </w:rPr>
        <w:t xml:space="preserve">urrent </w:t>
      </w:r>
      <w:r w:rsidR="00440F4E" w:rsidRPr="00E823C3">
        <w:rPr>
          <w:b/>
          <w:bCs/>
          <w:sz w:val="20"/>
        </w:rPr>
        <w:t>ASIC Rules</w:t>
      </w:r>
      <w:r w:rsidR="00440F4E">
        <w:rPr>
          <w:sz w:val="20"/>
        </w:rPr>
        <w:t>)</w:t>
      </w:r>
      <w:r w:rsidR="002657BD">
        <w:rPr>
          <w:sz w:val="20"/>
        </w:rPr>
        <w:t>.</w:t>
      </w:r>
    </w:p>
    <w:p w14:paraId="12260659" w14:textId="77777777" w:rsidR="0075048E" w:rsidRDefault="0075048E" w:rsidP="00E343F4">
      <w:pPr>
        <w:tabs>
          <w:tab w:val="left" w:pos="2955"/>
        </w:tabs>
        <w:rPr>
          <w:sz w:val="20"/>
        </w:rPr>
      </w:pPr>
    </w:p>
    <w:p w14:paraId="66A14B91" w14:textId="31C73734" w:rsidR="00307D8F" w:rsidRDefault="0075048E" w:rsidP="0075048E">
      <w:pPr>
        <w:tabs>
          <w:tab w:val="left" w:pos="2955"/>
        </w:tabs>
        <w:rPr>
          <w:sz w:val="20"/>
        </w:rPr>
      </w:pPr>
      <w:r w:rsidRPr="004F608F">
        <w:rPr>
          <w:sz w:val="20"/>
        </w:rPr>
        <w:t>I certify that the review has adequately addressed all seven RIS questions. Th</w:t>
      </w:r>
      <w:r>
        <w:rPr>
          <w:sz w:val="20"/>
        </w:rPr>
        <w:t>is letter and its attachments are submitted to the Office of Best Practice Regulation in anticipation of a final policy decision.</w:t>
      </w:r>
    </w:p>
    <w:p w14:paraId="36993FD5" w14:textId="77777777" w:rsidR="00307D8F" w:rsidRDefault="00307D8F" w:rsidP="0075048E">
      <w:pPr>
        <w:tabs>
          <w:tab w:val="left" w:pos="2955"/>
        </w:tabs>
        <w:rPr>
          <w:sz w:val="20"/>
        </w:rPr>
      </w:pPr>
    </w:p>
    <w:p w14:paraId="596FD00C" w14:textId="31412599" w:rsidR="00307D8F" w:rsidRDefault="00307D8F" w:rsidP="0075048E">
      <w:pPr>
        <w:tabs>
          <w:tab w:val="left" w:pos="2955"/>
        </w:tabs>
        <w:rPr>
          <w:sz w:val="20"/>
        </w:rPr>
      </w:pPr>
      <w:r>
        <w:rPr>
          <w:sz w:val="20"/>
        </w:rPr>
        <w:t xml:space="preserve">The background to this matter is outlined </w:t>
      </w:r>
      <w:r w:rsidR="00E516E4">
        <w:rPr>
          <w:sz w:val="20"/>
        </w:rPr>
        <w:t xml:space="preserve">in </w:t>
      </w:r>
      <w:r w:rsidR="00E516E4" w:rsidRPr="00774AE6">
        <w:rPr>
          <w:b/>
          <w:bCs/>
          <w:sz w:val="20"/>
        </w:rPr>
        <w:t>Attachment A</w:t>
      </w:r>
      <w:r w:rsidR="00E516E4">
        <w:rPr>
          <w:sz w:val="20"/>
        </w:rPr>
        <w:t xml:space="preserve"> to this letter. </w:t>
      </w:r>
    </w:p>
    <w:p w14:paraId="1B8C0F02" w14:textId="6ADB517D" w:rsidR="00751F28" w:rsidRDefault="00751F28" w:rsidP="00751F28">
      <w:pPr>
        <w:tabs>
          <w:tab w:val="left" w:pos="2955"/>
        </w:tabs>
        <w:rPr>
          <w:sz w:val="20"/>
        </w:rPr>
      </w:pPr>
    </w:p>
    <w:p w14:paraId="763B2318" w14:textId="77A42E82" w:rsidR="00E516E4" w:rsidRDefault="002657BD" w:rsidP="38EF862C">
      <w:pPr>
        <w:tabs>
          <w:tab w:val="left" w:pos="2955"/>
        </w:tabs>
        <w:rPr>
          <w:sz w:val="20"/>
        </w:rPr>
      </w:pPr>
      <w:r w:rsidRPr="38EF862C">
        <w:rPr>
          <w:sz w:val="20"/>
        </w:rPr>
        <w:t>We are proposing</w:t>
      </w:r>
      <w:r w:rsidR="00E516E4">
        <w:rPr>
          <w:sz w:val="20"/>
        </w:rPr>
        <w:t>:</w:t>
      </w:r>
    </w:p>
    <w:p w14:paraId="2AD8797C" w14:textId="0BECFCCA" w:rsidR="00E516E4" w:rsidRPr="00774AE6" w:rsidRDefault="002657BD" w:rsidP="00774AE6">
      <w:pPr>
        <w:pStyle w:val="ListParagraph"/>
        <w:numPr>
          <w:ilvl w:val="0"/>
          <w:numId w:val="8"/>
        </w:numPr>
        <w:tabs>
          <w:tab w:val="left" w:pos="2955"/>
        </w:tabs>
        <w:rPr>
          <w:sz w:val="20"/>
        </w:rPr>
      </w:pPr>
      <w:r w:rsidRPr="00774AE6">
        <w:rPr>
          <w:sz w:val="20"/>
        </w:rPr>
        <w:t xml:space="preserve">to update the </w:t>
      </w:r>
      <w:r w:rsidR="00AF1AFB" w:rsidRPr="00774AE6">
        <w:rPr>
          <w:sz w:val="20"/>
        </w:rPr>
        <w:t>c</w:t>
      </w:r>
      <w:r w:rsidRPr="00774AE6">
        <w:rPr>
          <w:sz w:val="20"/>
        </w:rPr>
        <w:t>urrent ASIC Rules so that they are harmonised to international standards</w:t>
      </w:r>
      <w:r w:rsidR="00E516E4" w:rsidRPr="00774AE6">
        <w:rPr>
          <w:sz w:val="20"/>
        </w:rPr>
        <w:t>,</w:t>
      </w:r>
      <w:r w:rsidRPr="00774AE6">
        <w:rPr>
          <w:sz w:val="20"/>
        </w:rPr>
        <w:t xml:space="preserve"> resulting in reduced </w:t>
      </w:r>
      <w:r w:rsidR="002975EA" w:rsidRPr="00774AE6">
        <w:rPr>
          <w:sz w:val="20"/>
        </w:rPr>
        <w:t xml:space="preserve">ongoing </w:t>
      </w:r>
      <w:r w:rsidRPr="00774AE6">
        <w:rPr>
          <w:sz w:val="20"/>
        </w:rPr>
        <w:t>cost and complexity for industry, improved data quality for the Australian regulators more comprehensive and fit-for-purpose trade details and improved inter-jurisdictional data handling and aggregation.</w:t>
      </w:r>
    </w:p>
    <w:p w14:paraId="097E99BC" w14:textId="5B8E92A4" w:rsidR="00E516E4" w:rsidRPr="00774AE6" w:rsidRDefault="002657BD" w:rsidP="00774AE6">
      <w:pPr>
        <w:pStyle w:val="ListParagraph"/>
        <w:numPr>
          <w:ilvl w:val="0"/>
          <w:numId w:val="8"/>
        </w:numPr>
        <w:tabs>
          <w:tab w:val="left" w:pos="2955"/>
        </w:tabs>
        <w:rPr>
          <w:sz w:val="20"/>
        </w:rPr>
      </w:pPr>
      <w:r w:rsidRPr="00774AE6">
        <w:rPr>
          <w:sz w:val="20"/>
        </w:rPr>
        <w:t xml:space="preserve">to simplify the </w:t>
      </w:r>
      <w:r w:rsidR="00AF1AFB" w:rsidRPr="00774AE6">
        <w:rPr>
          <w:sz w:val="20"/>
        </w:rPr>
        <w:t>c</w:t>
      </w:r>
      <w:r w:rsidRPr="00774AE6">
        <w:rPr>
          <w:sz w:val="20"/>
        </w:rPr>
        <w:t>urrent ASIC Rules by removing outdated transitional provisions and by consolidating a number of associated exemptions within the rules.</w:t>
      </w:r>
    </w:p>
    <w:p w14:paraId="13445C22" w14:textId="3749E2C7" w:rsidR="002657BD" w:rsidRPr="00E516E4" w:rsidRDefault="002657BD" w:rsidP="00774AE6">
      <w:pPr>
        <w:pStyle w:val="ListParagraph"/>
        <w:numPr>
          <w:ilvl w:val="0"/>
          <w:numId w:val="8"/>
        </w:numPr>
        <w:tabs>
          <w:tab w:val="left" w:pos="2955"/>
        </w:tabs>
        <w:rPr>
          <w:sz w:val="20"/>
        </w:rPr>
      </w:pPr>
      <w:r w:rsidRPr="00E516E4">
        <w:rPr>
          <w:sz w:val="20"/>
        </w:rPr>
        <w:t>changes to ensure that the rules are fit-for-purpose as to the scope of entities, derivative products and types of transactions that are subject to the rules</w:t>
      </w:r>
      <w:r w:rsidR="008B45A1" w:rsidRPr="00E516E4">
        <w:rPr>
          <w:sz w:val="20"/>
        </w:rPr>
        <w:t xml:space="preserve">. The changes will also </w:t>
      </w:r>
      <w:r w:rsidR="009D0CDF" w:rsidRPr="00E516E4">
        <w:rPr>
          <w:sz w:val="20"/>
        </w:rPr>
        <w:t>clarify</w:t>
      </w:r>
      <w:r w:rsidRPr="00E516E4">
        <w:rPr>
          <w:sz w:val="20"/>
        </w:rPr>
        <w:t xml:space="preserve"> the roles and responsibilities of entities submitting derivative transaction reports.</w:t>
      </w:r>
    </w:p>
    <w:p w14:paraId="408F3F9F" w14:textId="77777777" w:rsidR="002657BD" w:rsidRDefault="002657BD" w:rsidP="002657BD">
      <w:pPr>
        <w:tabs>
          <w:tab w:val="left" w:pos="2955"/>
        </w:tabs>
        <w:rPr>
          <w:sz w:val="20"/>
        </w:rPr>
      </w:pPr>
    </w:p>
    <w:p w14:paraId="10846B86" w14:textId="7A066598" w:rsidR="00E516E4" w:rsidRDefault="00E516E4" w:rsidP="00E516E4">
      <w:pPr>
        <w:tabs>
          <w:tab w:val="left" w:pos="2955"/>
        </w:tabs>
        <w:rPr>
          <w:sz w:val="20"/>
        </w:rPr>
      </w:pPr>
      <w:r>
        <w:rPr>
          <w:sz w:val="20"/>
        </w:rPr>
        <w:t>T</w:t>
      </w:r>
      <w:r w:rsidRPr="38EF862C">
        <w:rPr>
          <w:sz w:val="20"/>
        </w:rPr>
        <w:t xml:space="preserve">he key proposed changes to be implemented in the ASIC Rules 2024 </w:t>
      </w:r>
      <w:r>
        <w:rPr>
          <w:sz w:val="20"/>
        </w:rPr>
        <w:t>are summarised in Table 1</w:t>
      </w:r>
      <w:r w:rsidR="005542CF">
        <w:rPr>
          <w:sz w:val="20"/>
        </w:rPr>
        <w:t xml:space="preserve"> of </w:t>
      </w:r>
      <w:r w:rsidR="005542CF" w:rsidRPr="00774AE6">
        <w:rPr>
          <w:b/>
          <w:bCs/>
          <w:sz w:val="20"/>
        </w:rPr>
        <w:t>Attachment A</w:t>
      </w:r>
      <w:r w:rsidR="005542CF">
        <w:rPr>
          <w:sz w:val="20"/>
        </w:rPr>
        <w:t xml:space="preserve">. </w:t>
      </w:r>
    </w:p>
    <w:p w14:paraId="2EAC748A" w14:textId="77777777" w:rsidR="00E516E4" w:rsidRDefault="00E516E4" w:rsidP="002657BD">
      <w:pPr>
        <w:tabs>
          <w:tab w:val="left" w:pos="2955"/>
        </w:tabs>
        <w:rPr>
          <w:sz w:val="20"/>
        </w:rPr>
      </w:pPr>
    </w:p>
    <w:p w14:paraId="5288843D" w14:textId="5FF16F4D" w:rsidR="002657BD" w:rsidRDefault="002657BD" w:rsidP="002657BD">
      <w:pPr>
        <w:tabs>
          <w:tab w:val="left" w:pos="2955"/>
        </w:tabs>
        <w:rPr>
          <w:b/>
          <w:bCs/>
          <w:sz w:val="20"/>
        </w:rPr>
      </w:pPr>
      <w:r>
        <w:rPr>
          <w:sz w:val="20"/>
        </w:rPr>
        <w:t xml:space="preserve">We </w:t>
      </w:r>
      <w:r w:rsidR="00E516E4">
        <w:rPr>
          <w:sz w:val="20"/>
        </w:rPr>
        <w:t xml:space="preserve">intend </w:t>
      </w:r>
      <w:r>
        <w:rPr>
          <w:sz w:val="20"/>
        </w:rPr>
        <w:t xml:space="preserve">to seek the Minister’s consent to make the changes to the </w:t>
      </w:r>
      <w:r w:rsidR="0000416D">
        <w:rPr>
          <w:sz w:val="20"/>
        </w:rPr>
        <w:t>c</w:t>
      </w:r>
      <w:r>
        <w:rPr>
          <w:sz w:val="20"/>
        </w:rPr>
        <w:t xml:space="preserve">urrent ASIC Rules in December 2022, with a deferred commencement on 1 October 2024 to provide businesses with at least 18 months to implement systems and process </w:t>
      </w:r>
      <w:r>
        <w:rPr>
          <w:sz w:val="20"/>
        </w:rPr>
        <w:lastRenderedPageBreak/>
        <w:t xml:space="preserve">changes – these rules would be made as the </w:t>
      </w:r>
      <w:r>
        <w:rPr>
          <w:i/>
          <w:iCs/>
          <w:sz w:val="20"/>
        </w:rPr>
        <w:t xml:space="preserve">ASIC Derivative </w:t>
      </w:r>
      <w:r w:rsidRPr="00E823C3">
        <w:rPr>
          <w:i/>
          <w:iCs/>
          <w:sz w:val="20"/>
        </w:rPr>
        <w:t xml:space="preserve">Transaction Rules (Reporting) 2024 </w:t>
      </w:r>
      <w:r w:rsidRPr="00E823C3">
        <w:rPr>
          <w:sz w:val="20"/>
        </w:rPr>
        <w:t>(</w:t>
      </w:r>
      <w:r w:rsidRPr="00E823C3">
        <w:rPr>
          <w:b/>
          <w:bCs/>
          <w:sz w:val="20"/>
        </w:rPr>
        <w:t>ASIC Rules 2024</w:t>
      </w:r>
      <w:r w:rsidRPr="00774AE6">
        <w:rPr>
          <w:sz w:val="20"/>
        </w:rPr>
        <w:t>).</w:t>
      </w:r>
    </w:p>
    <w:p w14:paraId="5A45EAF4" w14:textId="77777777" w:rsidR="002657BD" w:rsidRDefault="002657BD" w:rsidP="002657BD">
      <w:pPr>
        <w:tabs>
          <w:tab w:val="left" w:pos="2955"/>
        </w:tabs>
        <w:rPr>
          <w:b/>
          <w:bCs/>
          <w:sz w:val="20"/>
        </w:rPr>
      </w:pPr>
    </w:p>
    <w:p w14:paraId="5E9FF84A" w14:textId="153DCC5C" w:rsidR="002A3F26" w:rsidRDefault="00170FEB" w:rsidP="002657BD">
      <w:pPr>
        <w:tabs>
          <w:tab w:val="left" w:pos="2955"/>
        </w:tabs>
        <w:rPr>
          <w:sz w:val="20"/>
          <w:szCs w:val="18"/>
        </w:rPr>
      </w:pPr>
      <w:r>
        <w:rPr>
          <w:sz w:val="20"/>
        </w:rPr>
        <w:t>T</w:t>
      </w:r>
      <w:r w:rsidR="002657BD" w:rsidRPr="38EF862C">
        <w:rPr>
          <w:sz w:val="20"/>
        </w:rPr>
        <w:t xml:space="preserve">he </w:t>
      </w:r>
      <w:r w:rsidR="002F1A40" w:rsidRPr="38EF862C">
        <w:rPr>
          <w:sz w:val="20"/>
        </w:rPr>
        <w:t>c</w:t>
      </w:r>
      <w:r w:rsidR="002657BD" w:rsidRPr="38EF862C">
        <w:rPr>
          <w:sz w:val="20"/>
        </w:rPr>
        <w:t>urrent ASIC Rules are scheduled to sunset on 1 October 2023</w:t>
      </w:r>
      <w:r>
        <w:rPr>
          <w:sz w:val="20"/>
        </w:rPr>
        <w:t>. T</w:t>
      </w:r>
      <w:r w:rsidR="002657BD" w:rsidRPr="38EF862C">
        <w:rPr>
          <w:sz w:val="20"/>
        </w:rPr>
        <w:t xml:space="preserve">o bridge the gap between 1 October 2023 and 1 October 2024, we </w:t>
      </w:r>
      <w:r>
        <w:rPr>
          <w:sz w:val="20"/>
        </w:rPr>
        <w:t>are</w:t>
      </w:r>
      <w:r w:rsidRPr="38EF862C">
        <w:rPr>
          <w:sz w:val="20"/>
        </w:rPr>
        <w:t xml:space="preserve"> </w:t>
      </w:r>
      <w:r w:rsidR="002657BD" w:rsidRPr="38EF862C">
        <w:rPr>
          <w:sz w:val="20"/>
        </w:rPr>
        <w:t xml:space="preserve">proposing to seek the Minister’s consent to repeal the Current ASIC Rules and remake them </w:t>
      </w:r>
      <w:r w:rsidR="00811800">
        <w:rPr>
          <w:sz w:val="20"/>
        </w:rPr>
        <w:t>without any change</w:t>
      </w:r>
      <w:r w:rsidR="00B57B47">
        <w:rPr>
          <w:sz w:val="20"/>
        </w:rPr>
        <w:t>s</w:t>
      </w:r>
      <w:r w:rsidR="002657BD" w:rsidRPr="38EF862C">
        <w:rPr>
          <w:sz w:val="20"/>
        </w:rPr>
        <w:t xml:space="preserve"> </w:t>
      </w:r>
      <w:r w:rsidR="00B57B47">
        <w:rPr>
          <w:sz w:val="20"/>
        </w:rPr>
        <w:t>to</w:t>
      </w:r>
      <w:r w:rsidR="00811800">
        <w:rPr>
          <w:sz w:val="20"/>
        </w:rPr>
        <w:t xml:space="preserve"> the </w:t>
      </w:r>
      <w:r w:rsidR="00811800">
        <w:rPr>
          <w:i/>
          <w:iCs/>
          <w:sz w:val="20"/>
        </w:rPr>
        <w:t xml:space="preserve">ASIC Derivative Transaction Rules (Reporting) 2022 </w:t>
      </w:r>
      <w:r w:rsidR="00811800">
        <w:rPr>
          <w:sz w:val="20"/>
        </w:rPr>
        <w:t>(</w:t>
      </w:r>
      <w:r w:rsidR="00811800">
        <w:rPr>
          <w:b/>
          <w:bCs/>
          <w:sz w:val="20"/>
        </w:rPr>
        <w:t>ASIC Rules 2022</w:t>
      </w:r>
      <w:r w:rsidR="00811800">
        <w:rPr>
          <w:sz w:val="20"/>
        </w:rPr>
        <w:t xml:space="preserve">) </w:t>
      </w:r>
      <w:r w:rsidR="002657BD" w:rsidRPr="38EF862C">
        <w:rPr>
          <w:sz w:val="20"/>
        </w:rPr>
        <w:t>to allow the current reporting regime to continue as-is</w:t>
      </w:r>
      <w:r w:rsidR="00811800">
        <w:rPr>
          <w:sz w:val="20"/>
        </w:rPr>
        <w:t xml:space="preserve"> </w:t>
      </w:r>
      <w:r w:rsidR="002657BD" w:rsidRPr="38EF862C">
        <w:rPr>
          <w:sz w:val="20"/>
        </w:rPr>
        <w:t>until the intended implementation date of 1</w:t>
      </w:r>
      <w:r w:rsidR="00C87D4F">
        <w:rPr>
          <w:sz w:val="20"/>
        </w:rPr>
        <w:t> </w:t>
      </w:r>
      <w:r w:rsidR="002657BD" w:rsidRPr="38EF862C">
        <w:rPr>
          <w:sz w:val="20"/>
        </w:rPr>
        <w:t>October 2024.</w:t>
      </w:r>
    </w:p>
    <w:p w14:paraId="603C0589" w14:textId="79AD31C9" w:rsidR="00C6264D" w:rsidRDefault="00C6264D" w:rsidP="00FB76C1">
      <w:pPr>
        <w:tabs>
          <w:tab w:val="left" w:pos="2955"/>
        </w:tabs>
        <w:rPr>
          <w:sz w:val="20"/>
        </w:rPr>
      </w:pPr>
    </w:p>
    <w:p w14:paraId="717C0DC2" w14:textId="0DDA878E" w:rsidR="00C6264D" w:rsidRDefault="00C6264D" w:rsidP="00FB76C1">
      <w:pPr>
        <w:tabs>
          <w:tab w:val="left" w:pos="2955"/>
        </w:tabs>
        <w:rPr>
          <w:sz w:val="20"/>
        </w:rPr>
      </w:pPr>
      <w:r>
        <w:rPr>
          <w:sz w:val="20"/>
        </w:rPr>
        <w:t>This assessment has been informed by:</w:t>
      </w:r>
    </w:p>
    <w:p w14:paraId="045BD4C6" w14:textId="3D962256" w:rsidR="00C6264D" w:rsidRPr="004F3EDC" w:rsidRDefault="00C6264D" w:rsidP="00C6264D">
      <w:pPr>
        <w:pStyle w:val="ListParagraph"/>
        <w:numPr>
          <w:ilvl w:val="0"/>
          <w:numId w:val="4"/>
        </w:numPr>
        <w:tabs>
          <w:tab w:val="left" w:pos="2955"/>
        </w:tabs>
        <w:rPr>
          <w:sz w:val="20"/>
        </w:rPr>
      </w:pPr>
      <w:r>
        <w:rPr>
          <w:sz w:val="20"/>
        </w:rPr>
        <w:t xml:space="preserve">a </w:t>
      </w:r>
      <w:r w:rsidRPr="00C6264D">
        <w:rPr>
          <w:sz w:val="20"/>
        </w:rPr>
        <w:t>consultation process during the period from 27 November 2020 to 15 March 2021</w:t>
      </w:r>
      <w:r>
        <w:rPr>
          <w:sz w:val="20"/>
        </w:rPr>
        <w:t xml:space="preserve">, during which ASIC consulted publicly through </w:t>
      </w:r>
      <w:hyperlink r:id="rId19" w:history="1">
        <w:r w:rsidRPr="00C6264D">
          <w:rPr>
            <w:rStyle w:val="Hyperlink"/>
            <w:sz w:val="20"/>
          </w:rPr>
          <w:t>Consultation Paper 334</w:t>
        </w:r>
      </w:hyperlink>
      <w:r>
        <w:rPr>
          <w:sz w:val="20"/>
        </w:rPr>
        <w:t xml:space="preserve"> </w:t>
      </w:r>
      <w:r w:rsidRPr="00C6264D">
        <w:rPr>
          <w:i/>
          <w:iCs/>
          <w:sz w:val="20"/>
        </w:rPr>
        <w:t>Proposed changes to simplify the ASIC Derivative Transaction Rules (Reporting): First consultation</w:t>
      </w:r>
      <w:r w:rsidR="00824B9E">
        <w:rPr>
          <w:sz w:val="20"/>
        </w:rPr>
        <w:t xml:space="preserve">. In this consultation ASIC received 40 submissions from various stakeholders including </w:t>
      </w:r>
      <w:r w:rsidR="00824B9E" w:rsidRPr="00824B9E">
        <w:rPr>
          <w:sz w:val="20"/>
        </w:rPr>
        <w:t xml:space="preserve">reporting entities, global </w:t>
      </w:r>
      <w:r w:rsidR="00430866">
        <w:rPr>
          <w:sz w:val="20"/>
        </w:rPr>
        <w:t>legal entity identifier (</w:t>
      </w:r>
      <w:r w:rsidR="00824B9E" w:rsidRPr="00824B9E">
        <w:rPr>
          <w:sz w:val="20"/>
        </w:rPr>
        <w:t>LEI</w:t>
      </w:r>
      <w:r w:rsidR="00430866">
        <w:rPr>
          <w:sz w:val="20"/>
        </w:rPr>
        <w:t>)</w:t>
      </w:r>
      <w:r w:rsidR="00824B9E" w:rsidRPr="00824B9E">
        <w:rPr>
          <w:sz w:val="20"/>
        </w:rPr>
        <w:t xml:space="preserve"> system entities, industry bodies and associations, derivative trade repository, central clearing counterparty, and service providers</w:t>
      </w:r>
      <w:r w:rsidR="00C13682">
        <w:rPr>
          <w:sz w:val="20"/>
        </w:rPr>
        <w:t>;</w:t>
      </w:r>
    </w:p>
    <w:p w14:paraId="1E6BB3DD" w14:textId="0D7FBC5F" w:rsidR="004F3EDC" w:rsidRDefault="004F3EDC" w:rsidP="00C6264D">
      <w:pPr>
        <w:pStyle w:val="ListParagraph"/>
        <w:numPr>
          <w:ilvl w:val="0"/>
          <w:numId w:val="4"/>
        </w:numPr>
        <w:tabs>
          <w:tab w:val="left" w:pos="2955"/>
        </w:tabs>
        <w:rPr>
          <w:sz w:val="20"/>
        </w:rPr>
      </w:pPr>
      <w:r>
        <w:rPr>
          <w:sz w:val="20"/>
        </w:rPr>
        <w:t xml:space="preserve">a consultation process during the period from 16 May 2022 to 8 July 2022, during which ASIC consulted publicly through </w:t>
      </w:r>
      <w:hyperlink r:id="rId20" w:history="1">
        <w:r w:rsidRPr="004F3EDC">
          <w:rPr>
            <w:rStyle w:val="Hyperlink"/>
            <w:sz w:val="20"/>
          </w:rPr>
          <w:t>Consultation Paper 361</w:t>
        </w:r>
      </w:hyperlink>
      <w:r>
        <w:rPr>
          <w:sz w:val="20"/>
        </w:rPr>
        <w:t xml:space="preserve"> </w:t>
      </w:r>
      <w:r w:rsidRPr="004F3EDC">
        <w:rPr>
          <w:i/>
          <w:iCs/>
          <w:sz w:val="20"/>
        </w:rPr>
        <w:t>Proposed changes to simplify the ASIC Derivative Transaction Rules (Reporting): Second consultation</w:t>
      </w:r>
      <w:r w:rsidR="002A7510">
        <w:rPr>
          <w:sz w:val="20"/>
        </w:rPr>
        <w:t>. In this consultation, ASIC received 11 submissions from various stakeholders including reporting entities, industry bodies and associations, derivative trade repository, and central clearing counterparty</w:t>
      </w:r>
      <w:r w:rsidR="00C13682">
        <w:rPr>
          <w:sz w:val="20"/>
        </w:rPr>
        <w:t>;</w:t>
      </w:r>
      <w:r w:rsidR="005D31D9">
        <w:rPr>
          <w:sz w:val="20"/>
        </w:rPr>
        <w:t xml:space="preserve"> and</w:t>
      </w:r>
    </w:p>
    <w:p w14:paraId="6E792C05" w14:textId="77777777" w:rsidR="00C81AFE" w:rsidRDefault="00C81AFE" w:rsidP="00C81AFE">
      <w:pPr>
        <w:pStyle w:val="ListParagraph"/>
        <w:numPr>
          <w:ilvl w:val="0"/>
          <w:numId w:val="4"/>
        </w:numPr>
        <w:tabs>
          <w:tab w:val="left" w:pos="2955"/>
        </w:tabs>
        <w:rPr>
          <w:sz w:val="20"/>
        </w:rPr>
      </w:pPr>
      <w:r>
        <w:rPr>
          <w:sz w:val="20"/>
        </w:rPr>
        <w:t xml:space="preserve">additional </w:t>
      </w:r>
      <w:r w:rsidRPr="00E740E5">
        <w:rPr>
          <w:sz w:val="20"/>
        </w:rPr>
        <w:t>bilateral consultation</w:t>
      </w:r>
      <w:r>
        <w:rPr>
          <w:sz w:val="20"/>
        </w:rPr>
        <w:t>s</w:t>
      </w:r>
      <w:r w:rsidRPr="00E740E5">
        <w:rPr>
          <w:sz w:val="20"/>
        </w:rPr>
        <w:t xml:space="preserve"> with industry associations, reporting entities and </w:t>
      </w:r>
      <w:r>
        <w:rPr>
          <w:sz w:val="20"/>
        </w:rPr>
        <w:t xml:space="preserve">the sole ASIC-licensed </w:t>
      </w:r>
      <w:r w:rsidRPr="00E740E5">
        <w:rPr>
          <w:sz w:val="20"/>
        </w:rPr>
        <w:t>derivative trade repository</w:t>
      </w:r>
      <w:r>
        <w:rPr>
          <w:sz w:val="20"/>
        </w:rPr>
        <w:t>.</w:t>
      </w:r>
    </w:p>
    <w:p w14:paraId="5EF9F17E" w14:textId="77777777" w:rsidR="00E740E5" w:rsidRPr="00E740E5" w:rsidRDefault="00E740E5" w:rsidP="00EB5B56">
      <w:pPr>
        <w:pStyle w:val="ListParagraph"/>
        <w:tabs>
          <w:tab w:val="left" w:pos="2955"/>
        </w:tabs>
        <w:rPr>
          <w:sz w:val="20"/>
        </w:rPr>
      </w:pPr>
    </w:p>
    <w:p w14:paraId="19646F42" w14:textId="6AC7DF08" w:rsidR="00E80532" w:rsidRDefault="00E80532" w:rsidP="00E80532">
      <w:pPr>
        <w:tabs>
          <w:tab w:val="left" w:pos="2955"/>
        </w:tabs>
        <w:rPr>
          <w:sz w:val="20"/>
        </w:rPr>
      </w:pPr>
      <w:r>
        <w:rPr>
          <w:sz w:val="20"/>
        </w:rPr>
        <w:t xml:space="preserve">I enclose a copy of CP 334 and CP 361 for your </w:t>
      </w:r>
      <w:r w:rsidR="00C81AFE">
        <w:rPr>
          <w:sz w:val="20"/>
        </w:rPr>
        <w:t>information</w:t>
      </w:r>
      <w:r>
        <w:rPr>
          <w:sz w:val="20"/>
        </w:rPr>
        <w:t>.</w:t>
      </w:r>
      <w:r w:rsidR="00C4557F">
        <w:rPr>
          <w:sz w:val="20"/>
        </w:rPr>
        <w:t xml:space="preserve"> </w:t>
      </w:r>
      <w:r w:rsidR="00C4557F" w:rsidRPr="00C4557F">
        <w:rPr>
          <w:sz w:val="20"/>
        </w:rPr>
        <w:t>CP 361 is a combined feedback report in relation to feedback received in CP 334 and consultation paper.</w:t>
      </w:r>
    </w:p>
    <w:p w14:paraId="6F0DACA2" w14:textId="7AA4A9E0" w:rsidR="00E225B2" w:rsidRDefault="00E225B2" w:rsidP="00E80532">
      <w:pPr>
        <w:tabs>
          <w:tab w:val="left" w:pos="2955"/>
        </w:tabs>
        <w:rPr>
          <w:sz w:val="20"/>
        </w:rPr>
      </w:pPr>
    </w:p>
    <w:p w14:paraId="7317E72B" w14:textId="766E058E" w:rsidR="00293074" w:rsidRDefault="00E225B2" w:rsidP="3BBF10FA">
      <w:pPr>
        <w:tabs>
          <w:tab w:val="left" w:pos="2955"/>
        </w:tabs>
        <w:rPr>
          <w:sz w:val="20"/>
        </w:rPr>
      </w:pPr>
      <w:r>
        <w:rPr>
          <w:sz w:val="20"/>
        </w:rPr>
        <w:t xml:space="preserve">The feedback from industry stakeholders has been broadly supportive of our proposals to implement the proposed changes in Table 1 </w:t>
      </w:r>
      <w:r w:rsidR="00722850">
        <w:rPr>
          <w:sz w:val="20"/>
        </w:rPr>
        <w:t>of Attachment A</w:t>
      </w:r>
      <w:r>
        <w:rPr>
          <w:sz w:val="20"/>
        </w:rPr>
        <w:t xml:space="preserve">. </w:t>
      </w:r>
      <w:r w:rsidR="00293074" w:rsidRPr="3BBF10FA">
        <w:rPr>
          <w:sz w:val="20"/>
        </w:rPr>
        <w:t xml:space="preserve">However, the feedback widely </w:t>
      </w:r>
      <w:r w:rsidR="00830FCF" w:rsidRPr="3BBF10FA">
        <w:rPr>
          <w:sz w:val="20"/>
        </w:rPr>
        <w:t>supported a single-stage implementation instead of the proposed two stages of rule changes in CP 361</w:t>
      </w:r>
      <w:r w:rsidR="00293074" w:rsidRPr="3BBF10FA">
        <w:rPr>
          <w:sz w:val="20"/>
        </w:rPr>
        <w:t>, whereby:</w:t>
      </w:r>
    </w:p>
    <w:p w14:paraId="770C5E8B" w14:textId="7E1670E2" w:rsidR="00293074" w:rsidRDefault="00F40DCF" w:rsidP="00293074">
      <w:pPr>
        <w:pStyle w:val="ListParagraph"/>
        <w:numPr>
          <w:ilvl w:val="0"/>
          <w:numId w:val="5"/>
        </w:numPr>
        <w:tabs>
          <w:tab w:val="left" w:pos="2955"/>
        </w:tabs>
        <w:rPr>
          <w:sz w:val="20"/>
        </w:rPr>
      </w:pPr>
      <w:r>
        <w:rPr>
          <w:sz w:val="20"/>
        </w:rPr>
        <w:t>u</w:t>
      </w:r>
      <w:r w:rsidR="00293074">
        <w:rPr>
          <w:sz w:val="20"/>
        </w:rPr>
        <w:t xml:space="preserve">pon the sunsetting of the Current ASIC Rules on 1 October 2023, the provisions for LEI, </w:t>
      </w:r>
      <w:r w:rsidR="002B0E26">
        <w:rPr>
          <w:sz w:val="20"/>
        </w:rPr>
        <w:t>unique transaction identifiers</w:t>
      </w:r>
      <w:r w:rsidR="00293074">
        <w:rPr>
          <w:sz w:val="20"/>
        </w:rPr>
        <w:t xml:space="preserve">, extended reporting of intra-day trades and some partial implementation of the </w:t>
      </w:r>
      <w:r w:rsidR="003C1D5D">
        <w:rPr>
          <w:sz w:val="20"/>
        </w:rPr>
        <w:t>critical data elements</w:t>
      </w:r>
      <w:r w:rsidR="00293074">
        <w:rPr>
          <w:sz w:val="20"/>
        </w:rPr>
        <w:t xml:space="preserve"> would commence; and</w:t>
      </w:r>
    </w:p>
    <w:p w14:paraId="3093F980" w14:textId="567CAA2A" w:rsidR="00293074" w:rsidRDefault="00F40DCF" w:rsidP="3BBF10FA">
      <w:pPr>
        <w:pStyle w:val="ListParagraph"/>
        <w:numPr>
          <w:ilvl w:val="0"/>
          <w:numId w:val="5"/>
        </w:numPr>
        <w:tabs>
          <w:tab w:val="left" w:pos="2955"/>
        </w:tabs>
        <w:rPr>
          <w:sz w:val="20"/>
        </w:rPr>
      </w:pPr>
      <w:r>
        <w:rPr>
          <w:sz w:val="20"/>
        </w:rPr>
        <w:t>f</w:t>
      </w:r>
      <w:r w:rsidR="00293074" w:rsidRPr="3BBF10FA">
        <w:rPr>
          <w:sz w:val="20"/>
        </w:rPr>
        <w:t>ollowed 6 months later on 1 April 2024 by the implementation of the balance of the proposed</w:t>
      </w:r>
      <w:r w:rsidR="00696517">
        <w:rPr>
          <w:sz w:val="20"/>
        </w:rPr>
        <w:t xml:space="preserve"> </w:t>
      </w:r>
      <w:r w:rsidR="00293074" w:rsidRPr="3BBF10FA">
        <w:rPr>
          <w:sz w:val="20"/>
        </w:rPr>
        <w:t>changes.</w:t>
      </w:r>
    </w:p>
    <w:p w14:paraId="37D778D8" w14:textId="77777777" w:rsidR="00293074" w:rsidRPr="00D60EDC" w:rsidRDefault="00293074" w:rsidP="00293074">
      <w:pPr>
        <w:tabs>
          <w:tab w:val="left" w:pos="2955"/>
        </w:tabs>
      </w:pPr>
    </w:p>
    <w:p w14:paraId="6043CC09" w14:textId="77777777" w:rsidR="00293074" w:rsidRDefault="00293074" w:rsidP="00293074">
      <w:pPr>
        <w:tabs>
          <w:tab w:val="left" w:pos="2955"/>
        </w:tabs>
        <w:rPr>
          <w:sz w:val="20"/>
        </w:rPr>
      </w:pPr>
      <w:r w:rsidRPr="3BBF10FA">
        <w:rPr>
          <w:sz w:val="20"/>
        </w:rPr>
        <w:t>We have responded to this feedback by deciding to seek the Minister’s consent to make rules that reflect:</w:t>
      </w:r>
    </w:p>
    <w:p w14:paraId="23F75FBF" w14:textId="77777777" w:rsidR="00293074" w:rsidRDefault="00293074" w:rsidP="00293074">
      <w:pPr>
        <w:pStyle w:val="ListParagraph"/>
        <w:numPr>
          <w:ilvl w:val="0"/>
          <w:numId w:val="6"/>
        </w:numPr>
        <w:tabs>
          <w:tab w:val="left" w:pos="2955"/>
        </w:tabs>
        <w:rPr>
          <w:sz w:val="20"/>
        </w:rPr>
      </w:pPr>
      <w:r>
        <w:rPr>
          <w:sz w:val="20"/>
        </w:rPr>
        <w:t>deferring all changes to the later stage only; and</w:t>
      </w:r>
    </w:p>
    <w:p w14:paraId="356B5E92" w14:textId="636A0356" w:rsidR="00293074" w:rsidRPr="00293074" w:rsidRDefault="00293074" w:rsidP="00E80532">
      <w:pPr>
        <w:pStyle w:val="ListParagraph"/>
        <w:numPr>
          <w:ilvl w:val="0"/>
          <w:numId w:val="6"/>
        </w:numPr>
        <w:tabs>
          <w:tab w:val="left" w:pos="2955"/>
        </w:tabs>
        <w:rPr>
          <w:sz w:val="20"/>
        </w:rPr>
      </w:pPr>
      <w:r w:rsidRPr="3BBF10FA">
        <w:rPr>
          <w:sz w:val="20"/>
        </w:rPr>
        <w:t>deferring this later stage a further 6 months to 1 October 2024</w:t>
      </w:r>
      <w:r w:rsidR="00B60E2C">
        <w:rPr>
          <w:sz w:val="20"/>
        </w:rPr>
        <w:t>.</w:t>
      </w:r>
    </w:p>
    <w:p w14:paraId="44B14FD3" w14:textId="02AE23EC" w:rsidR="009C0DF7" w:rsidRDefault="009C0DF7" w:rsidP="00FB76C1">
      <w:pPr>
        <w:tabs>
          <w:tab w:val="left" w:pos="2955"/>
        </w:tabs>
        <w:rPr>
          <w:sz w:val="20"/>
        </w:rPr>
      </w:pPr>
    </w:p>
    <w:p w14:paraId="6DA4D2C6" w14:textId="0798F6B0" w:rsidR="009C0DF7" w:rsidRDefault="009C0DF7" w:rsidP="00FB76C1">
      <w:pPr>
        <w:tabs>
          <w:tab w:val="left" w:pos="2955"/>
        </w:tabs>
        <w:rPr>
          <w:sz w:val="20"/>
        </w:rPr>
      </w:pPr>
      <w:r>
        <w:rPr>
          <w:sz w:val="20"/>
        </w:rPr>
        <w:t xml:space="preserve">For each of the policy options considered in our analysis, the regulatory burden to business, community organisation or individuals </w:t>
      </w:r>
      <w:r w:rsidR="000679E3">
        <w:rPr>
          <w:sz w:val="20"/>
        </w:rPr>
        <w:t xml:space="preserve">has </w:t>
      </w:r>
      <w:r>
        <w:rPr>
          <w:sz w:val="20"/>
        </w:rPr>
        <w:t>been quantified using the Australian Government’s Regulatory Burden Measurement framework. These have been self-assessed by ASIC and a summary is set out in the attached estimate of regulatory compliance burden.</w:t>
      </w:r>
    </w:p>
    <w:p w14:paraId="41B3F5A2" w14:textId="1A0359EC" w:rsidR="009C0DF7" w:rsidRDefault="009C0DF7" w:rsidP="00FB76C1">
      <w:pPr>
        <w:tabs>
          <w:tab w:val="left" w:pos="2955"/>
        </w:tabs>
        <w:rPr>
          <w:sz w:val="20"/>
        </w:rPr>
      </w:pPr>
    </w:p>
    <w:p w14:paraId="0D9D81CA" w14:textId="406B9A28" w:rsidR="009C0DF7" w:rsidRPr="004F608F" w:rsidRDefault="009C0DF7" w:rsidP="00FB76C1">
      <w:pPr>
        <w:tabs>
          <w:tab w:val="left" w:pos="2955"/>
        </w:tabs>
        <w:rPr>
          <w:sz w:val="20"/>
        </w:rPr>
      </w:pPr>
      <w:r>
        <w:rPr>
          <w:sz w:val="20"/>
        </w:rPr>
        <w:t xml:space="preserve">A regulatory offset has been identified for the policy options and is </w:t>
      </w:r>
      <w:r w:rsidR="00736700">
        <w:rPr>
          <w:sz w:val="20"/>
        </w:rPr>
        <w:t xml:space="preserve">also </w:t>
      </w:r>
      <w:r>
        <w:rPr>
          <w:sz w:val="20"/>
        </w:rPr>
        <w:t>set out in the attached estimate of regulatory compliance burden.</w:t>
      </w:r>
    </w:p>
    <w:p w14:paraId="393BB7DA" w14:textId="77777777" w:rsidR="00552A1B" w:rsidRPr="004F608F" w:rsidRDefault="00552A1B" w:rsidP="00FB76C1">
      <w:pPr>
        <w:tabs>
          <w:tab w:val="left" w:pos="2955"/>
        </w:tabs>
        <w:rPr>
          <w:sz w:val="20"/>
        </w:rPr>
      </w:pPr>
    </w:p>
    <w:p w14:paraId="7CBE56D0" w14:textId="2536FD4F" w:rsidR="00FB76C1" w:rsidRPr="004F608F" w:rsidRDefault="00FB76C1" w:rsidP="00FB76C1">
      <w:pPr>
        <w:tabs>
          <w:tab w:val="left" w:pos="2955"/>
        </w:tabs>
        <w:rPr>
          <w:sz w:val="20"/>
        </w:rPr>
      </w:pPr>
      <w:r w:rsidRPr="004F608F">
        <w:rPr>
          <w:sz w:val="20"/>
        </w:rPr>
        <w:lastRenderedPageBreak/>
        <w:t xml:space="preserve">Accordingly, I am satisfied that the </w:t>
      </w:r>
      <w:r w:rsidR="00B74780">
        <w:rPr>
          <w:sz w:val="20"/>
        </w:rPr>
        <w:t>attached documents evidence that ASIC</w:t>
      </w:r>
      <w:r w:rsidR="00B65696">
        <w:rPr>
          <w:sz w:val="20"/>
        </w:rPr>
        <w:t>’</w:t>
      </w:r>
      <w:r w:rsidR="00B74780">
        <w:rPr>
          <w:sz w:val="20"/>
        </w:rPr>
        <w:t>s process and analysis meet best practice consistent with the Australian Government Guide to Regulation.</w:t>
      </w:r>
    </w:p>
    <w:p w14:paraId="013E8347" w14:textId="77777777" w:rsidR="004627E9" w:rsidRPr="004F608F" w:rsidRDefault="004627E9" w:rsidP="00FB76C1">
      <w:pPr>
        <w:tabs>
          <w:tab w:val="left" w:pos="2955"/>
        </w:tabs>
        <w:rPr>
          <w:sz w:val="20"/>
        </w:rPr>
      </w:pPr>
    </w:p>
    <w:p w14:paraId="27E66F9F" w14:textId="6E59B9A6" w:rsidR="00623906" w:rsidRPr="004F608F" w:rsidRDefault="00FB76C1" w:rsidP="00FB76C1">
      <w:pPr>
        <w:tabs>
          <w:tab w:val="left" w:pos="2955"/>
        </w:tabs>
        <w:rPr>
          <w:sz w:val="20"/>
        </w:rPr>
      </w:pPr>
      <w:r w:rsidRPr="004F608F">
        <w:rPr>
          <w:sz w:val="20"/>
        </w:rPr>
        <w:t>Yours sincerely</w:t>
      </w:r>
    </w:p>
    <w:p w14:paraId="27680E78" w14:textId="0A1AAD41" w:rsidR="00FB76C1" w:rsidRDefault="00FB76C1" w:rsidP="00FB76C1">
      <w:pPr>
        <w:tabs>
          <w:tab w:val="left" w:pos="2955"/>
        </w:tabs>
        <w:rPr>
          <w:sz w:val="20"/>
        </w:rPr>
      </w:pPr>
    </w:p>
    <w:p w14:paraId="3C754046" w14:textId="32CC4718" w:rsidR="00E80C6B" w:rsidRDefault="00B51D33" w:rsidP="00FB76C1">
      <w:pPr>
        <w:tabs>
          <w:tab w:val="left" w:pos="2955"/>
        </w:tabs>
        <w:rPr>
          <w:sz w:val="20"/>
        </w:rPr>
      </w:pPr>
      <w:r>
        <w:rPr>
          <w:noProof/>
        </w:rPr>
        <w:drawing>
          <wp:inline distT="0" distB="0" distL="0" distR="0" wp14:anchorId="5E7062C4" wp14:editId="055413BA">
            <wp:extent cx="1066800" cy="75813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26" cy="7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BA80" w14:textId="77777777" w:rsidR="001A56A7" w:rsidRDefault="001A56A7" w:rsidP="00FB76C1">
      <w:pPr>
        <w:tabs>
          <w:tab w:val="left" w:pos="2955"/>
        </w:tabs>
        <w:rPr>
          <w:sz w:val="20"/>
        </w:rPr>
      </w:pPr>
    </w:p>
    <w:p w14:paraId="3BFB09E3" w14:textId="18D662D1" w:rsidR="00FB76C1" w:rsidRDefault="00AB3179" w:rsidP="00FB76C1">
      <w:pPr>
        <w:tabs>
          <w:tab w:val="left" w:pos="2955"/>
        </w:tabs>
        <w:rPr>
          <w:sz w:val="20"/>
        </w:rPr>
      </w:pPr>
      <w:r>
        <w:rPr>
          <w:sz w:val="20"/>
        </w:rPr>
        <w:t>Calissa Aldridge</w:t>
      </w:r>
    </w:p>
    <w:p w14:paraId="19BE408A" w14:textId="7C69A25D" w:rsidR="00EC51E5" w:rsidRPr="004F608F" w:rsidRDefault="00EC51E5" w:rsidP="00FB76C1">
      <w:pPr>
        <w:tabs>
          <w:tab w:val="left" w:pos="2955"/>
        </w:tabs>
        <w:rPr>
          <w:sz w:val="20"/>
        </w:rPr>
      </w:pPr>
      <w:r>
        <w:rPr>
          <w:sz w:val="20"/>
        </w:rPr>
        <w:t>Senior Executive Leader</w:t>
      </w:r>
    </w:p>
    <w:p w14:paraId="28B72361" w14:textId="6831804C" w:rsidR="00FB76C1" w:rsidRPr="004F608F" w:rsidRDefault="00FB76C1" w:rsidP="00FB76C1">
      <w:pPr>
        <w:tabs>
          <w:tab w:val="left" w:pos="2955"/>
        </w:tabs>
        <w:rPr>
          <w:sz w:val="20"/>
        </w:rPr>
      </w:pPr>
      <w:r w:rsidRPr="004F608F">
        <w:rPr>
          <w:sz w:val="20"/>
        </w:rPr>
        <w:t xml:space="preserve">Australian </w:t>
      </w:r>
      <w:r w:rsidR="00552A1B" w:rsidRPr="004F608F">
        <w:rPr>
          <w:sz w:val="20"/>
        </w:rPr>
        <w:t>Securities and Investments Commission</w:t>
      </w:r>
    </w:p>
    <w:p w14:paraId="14D518E2" w14:textId="77777777" w:rsidR="00FB76C1" w:rsidRPr="004F608F" w:rsidRDefault="00FB76C1" w:rsidP="00FB76C1">
      <w:pPr>
        <w:tabs>
          <w:tab w:val="left" w:pos="2955"/>
        </w:tabs>
        <w:rPr>
          <w:sz w:val="20"/>
        </w:rPr>
      </w:pPr>
    </w:p>
    <w:p w14:paraId="4E284502" w14:textId="11032B6D" w:rsidR="00FB76C1" w:rsidRPr="004F608F" w:rsidRDefault="00FB76C1" w:rsidP="3BBF10FA">
      <w:pPr>
        <w:tabs>
          <w:tab w:val="left" w:pos="2955"/>
        </w:tabs>
        <w:rPr>
          <w:b/>
          <w:bCs/>
          <w:sz w:val="20"/>
        </w:rPr>
      </w:pPr>
      <w:r w:rsidRPr="3BBF10FA">
        <w:rPr>
          <w:b/>
          <w:bCs/>
          <w:sz w:val="20"/>
        </w:rPr>
        <w:t>Attachment</w:t>
      </w:r>
      <w:r w:rsidR="1FC4C404" w:rsidRPr="3BBF10FA">
        <w:rPr>
          <w:b/>
          <w:bCs/>
          <w:sz w:val="20"/>
        </w:rPr>
        <w:t>s</w:t>
      </w:r>
    </w:p>
    <w:p w14:paraId="7C02F641" w14:textId="77777777" w:rsidR="00CF1DD1" w:rsidRPr="004F608F" w:rsidRDefault="00CF1DD1" w:rsidP="00FB76C1">
      <w:pPr>
        <w:tabs>
          <w:tab w:val="left" w:pos="2955"/>
        </w:tabs>
        <w:rPr>
          <w:b/>
          <w:bCs/>
          <w:sz w:val="20"/>
        </w:rPr>
      </w:pPr>
    </w:p>
    <w:p w14:paraId="2AE11E99" w14:textId="29C678BA" w:rsidR="00E516E4" w:rsidRPr="00774AE6" w:rsidRDefault="00E516E4" w:rsidP="00774AE6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textAlignment w:val="auto"/>
        <w:rPr>
          <w:sz w:val="20"/>
          <w:szCs w:val="18"/>
          <w:lang w:val="en-GB"/>
        </w:rPr>
      </w:pPr>
      <w:r w:rsidRPr="00774AE6">
        <w:rPr>
          <w:sz w:val="20"/>
          <w:szCs w:val="18"/>
          <w:lang w:val="en-GB"/>
        </w:rPr>
        <w:t>Estimate of the regulatory compliance burden of changes to the ASIC Derivative Transaction Rules (Reporting)</w:t>
      </w:r>
    </w:p>
    <w:p w14:paraId="5B7E59CF" w14:textId="294F398D" w:rsidR="0008778A" w:rsidRPr="00774AE6" w:rsidRDefault="0034608B" w:rsidP="00774AE6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textAlignment w:val="auto"/>
        <w:rPr>
          <w:sz w:val="20"/>
          <w:lang w:val="en-GB"/>
        </w:rPr>
      </w:pPr>
      <w:r w:rsidRPr="00774AE6">
        <w:rPr>
          <w:sz w:val="20"/>
        </w:rPr>
        <w:t xml:space="preserve">Consultation Paper 334 </w:t>
      </w:r>
      <w:r w:rsidRPr="00774AE6">
        <w:rPr>
          <w:i/>
          <w:sz w:val="20"/>
          <w:lang w:val="en-GB"/>
        </w:rPr>
        <w:t xml:space="preserve">Proposed changes to simplify the ASIC Derivative Transaction Rules (Reporting): First consultation </w:t>
      </w:r>
      <w:r w:rsidRPr="00774AE6">
        <w:rPr>
          <w:sz w:val="20"/>
          <w:lang w:val="en-GB"/>
        </w:rPr>
        <w:t>(CP 334)</w:t>
      </w:r>
    </w:p>
    <w:p w14:paraId="5F5F96CF" w14:textId="26DE61C8" w:rsidR="0034608B" w:rsidRPr="00774AE6" w:rsidRDefault="0034608B" w:rsidP="00774AE6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textAlignment w:val="auto"/>
        <w:rPr>
          <w:sz w:val="20"/>
          <w:szCs w:val="18"/>
          <w:lang w:val="en-GB"/>
        </w:rPr>
      </w:pPr>
      <w:r w:rsidRPr="00774AE6">
        <w:rPr>
          <w:sz w:val="20"/>
          <w:szCs w:val="18"/>
          <w:lang w:val="en-GB"/>
        </w:rPr>
        <w:t xml:space="preserve">Consultation Paper 361 </w:t>
      </w:r>
      <w:r w:rsidRPr="00774AE6">
        <w:rPr>
          <w:i/>
          <w:iCs/>
          <w:sz w:val="20"/>
          <w:szCs w:val="18"/>
          <w:lang w:val="en-GB"/>
        </w:rPr>
        <w:t>Proposed changes to simplify the ASIC Derivative Transaction Rules (Reporting): Second consultation</w:t>
      </w:r>
      <w:r w:rsidR="001371EE" w:rsidRPr="00774AE6">
        <w:rPr>
          <w:sz w:val="20"/>
          <w:szCs w:val="18"/>
          <w:lang w:val="en-GB"/>
        </w:rPr>
        <w:t xml:space="preserve"> (CP 361)</w:t>
      </w:r>
    </w:p>
    <w:p w14:paraId="11A43CE8" w14:textId="0FAD90AA" w:rsidR="0034608B" w:rsidRPr="0034608B" w:rsidRDefault="0034608B" w:rsidP="3BBF10FA">
      <w:pPr>
        <w:overflowPunct/>
        <w:autoSpaceDE/>
        <w:autoSpaceDN/>
        <w:adjustRightInd/>
        <w:spacing w:after="160" w:line="259" w:lineRule="auto"/>
        <w:textAlignment w:val="auto"/>
        <w:rPr>
          <w:i/>
          <w:iCs/>
        </w:rPr>
      </w:pPr>
    </w:p>
    <w:sectPr w:rsidR="0034608B" w:rsidRPr="0034608B" w:rsidSect="001D16B0">
      <w:type w:val="continuous"/>
      <w:pgSz w:w="11907" w:h="16840" w:code="9"/>
      <w:pgMar w:top="1418" w:right="1797" w:bottom="1440" w:left="1797" w:header="839" w:footer="720" w:gutter="0"/>
      <w:paperSrc w:first="15" w:other="15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284B" w14:textId="77777777" w:rsidR="00237363" w:rsidRDefault="00237363">
      <w:r>
        <w:separator/>
      </w:r>
    </w:p>
  </w:endnote>
  <w:endnote w:type="continuationSeparator" w:id="0">
    <w:p w14:paraId="4AFDB605" w14:textId="77777777" w:rsidR="00237363" w:rsidRDefault="00237363">
      <w:r>
        <w:continuationSeparator/>
      </w:r>
    </w:p>
  </w:endnote>
  <w:endnote w:type="continuationNotice" w:id="1">
    <w:p w14:paraId="6F6F8D6A" w14:textId="77777777" w:rsidR="00237363" w:rsidRDefault="00237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6A98" w14:textId="77777777" w:rsidR="002D381C" w:rsidRDefault="002D3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F7D3" w14:textId="77777777" w:rsidR="002D381C" w:rsidRDefault="002D3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481D" w14:textId="77777777" w:rsidR="002D381C" w:rsidRDefault="002D3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86AE" w14:textId="77777777" w:rsidR="00237363" w:rsidRDefault="00237363">
      <w:r>
        <w:separator/>
      </w:r>
    </w:p>
  </w:footnote>
  <w:footnote w:type="continuationSeparator" w:id="0">
    <w:p w14:paraId="19622A46" w14:textId="77777777" w:rsidR="00237363" w:rsidRDefault="00237363">
      <w:r>
        <w:continuationSeparator/>
      </w:r>
    </w:p>
  </w:footnote>
  <w:footnote w:type="continuationNotice" w:id="1">
    <w:p w14:paraId="1FD40B56" w14:textId="77777777" w:rsidR="00237363" w:rsidRDefault="00237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D140" w14:textId="77777777" w:rsidR="002D381C" w:rsidRDefault="002D3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B2C0" w14:textId="77777777" w:rsidR="002D381C" w:rsidRDefault="003345E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1C83" w14:textId="77777777" w:rsidR="002D381C" w:rsidRPr="00C0750D" w:rsidRDefault="003345EC" w:rsidP="002D381C">
    <w:pPr>
      <w:pStyle w:val="Header"/>
      <w:tabs>
        <w:tab w:val="clear" w:pos="4819"/>
        <w:tab w:val="clear" w:pos="9071"/>
      </w:tabs>
      <w:rPr>
        <w:vanish/>
      </w:rPr>
    </w:pPr>
    <w:r w:rsidRPr="00C075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36DCC" wp14:editId="5BB7EA7F">
              <wp:simplePos x="0" y="0"/>
              <wp:positionH relativeFrom="page">
                <wp:posOffset>5572125</wp:posOffset>
              </wp:positionH>
              <wp:positionV relativeFrom="page">
                <wp:posOffset>571500</wp:posOffset>
              </wp:positionV>
              <wp:extent cx="1828800" cy="22288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2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194C5" w14:textId="77777777" w:rsidR="002D381C" w:rsidRPr="000F5B45" w:rsidRDefault="003345EC" w:rsidP="002D381C">
                          <w:pPr>
                            <w:spacing w:after="120" w:line="288" w:lineRule="auto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t>Australian Securities</w:t>
                          </w:r>
                          <w:r w:rsidRPr="000F5B45">
                            <w:rPr>
                              <w:b/>
                              <w:sz w:val="15"/>
                              <w:szCs w:val="15"/>
                            </w:rPr>
                            <w:br/>
                            <w:t>and Investments Commission</w:t>
                          </w:r>
                        </w:p>
                        <w:p w14:paraId="47A524D4" w14:textId="77777777" w:rsidR="002D381C" w:rsidRDefault="003345EC" w:rsidP="002D381C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Office address (inc courier deliveries):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Level 5, 100 Market Street,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Sydney NSW 2000</w:t>
                          </w:r>
                        </w:p>
                        <w:p w14:paraId="2582BBFF" w14:textId="77777777" w:rsidR="002D381C" w:rsidRPr="000F5B45" w:rsidRDefault="003345EC" w:rsidP="002D381C">
                          <w:pPr>
                            <w:spacing w:after="120" w:line="288" w:lineRule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Mail address for Sydney office: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GPO Box 9827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,</w:t>
                          </w:r>
                          <w:r>
                            <w:rPr>
                              <w:sz w:val="15"/>
                              <w:szCs w:val="15"/>
                            </w:rPr>
                            <w:br/>
                            <w:t>Brisbane QLD 400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1</w:t>
                          </w:r>
                        </w:p>
                        <w:p w14:paraId="2372FD74" w14:textId="77777777" w:rsidR="002D381C" w:rsidRPr="000F5B45" w:rsidRDefault="003345EC" w:rsidP="002D381C">
                          <w:pPr>
                            <w:spacing w:line="242" w:lineRule="atLeast"/>
                            <w:rPr>
                              <w:sz w:val="15"/>
                              <w:szCs w:val="15"/>
                            </w:rPr>
                          </w:pPr>
                          <w:r w:rsidRPr="009755BF">
                            <w:rPr>
                              <w:sz w:val="15"/>
                              <w:szCs w:val="15"/>
                            </w:rPr>
                            <w:t>Tel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+</w:t>
                          </w:r>
                          <w:r>
                            <w:rPr>
                              <w:sz w:val="15"/>
                              <w:szCs w:val="15"/>
                            </w:rPr>
                            <w:t>61 1300 935 075</w:t>
                          </w:r>
                          <w:r w:rsidRPr="00C0750D"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>Fa</w:t>
                          </w:r>
                          <w:r>
                            <w:rPr>
                              <w:sz w:val="15"/>
                              <w:szCs w:val="15"/>
                            </w:rPr>
                            <w:t>x</w:t>
                          </w:r>
                          <w:r w:rsidRPr="000F5B45">
                            <w:rPr>
                              <w:sz w:val="15"/>
                              <w:szCs w:val="15"/>
                            </w:rPr>
                            <w:t xml:space="preserve">: +61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1300 729 000 </w:t>
                          </w:r>
                        </w:p>
                        <w:p w14:paraId="0D72207D" w14:textId="77777777" w:rsidR="002D381C" w:rsidRPr="000F5B45" w:rsidRDefault="00E53AA4" w:rsidP="002D381C">
                          <w:pPr>
                            <w:spacing w:before="40" w:line="242" w:lineRule="atLeast"/>
                            <w:rPr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3345EC" w:rsidRPr="00C0750D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www.asic.gov.au</w:t>
                            </w:r>
                          </w:hyperlink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36D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8.75pt;margin-top:45pt;width:2in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" stroked="f">
              <v:textbox inset="1mm,1mm,1mm,1mm">
                <w:txbxContent>
                  <w:p w14:paraId="50B194C5" w14:textId="77777777" w:rsidR="002D381C" w:rsidRPr="000F5B45" w:rsidRDefault="003345EC" w:rsidP="002D381C">
                    <w:pPr>
                      <w:spacing w:after="120" w:line="288" w:lineRule="auto"/>
                      <w:rPr>
                        <w:b/>
                        <w:sz w:val="15"/>
                        <w:szCs w:val="15"/>
                      </w:rPr>
                    </w:pPr>
                    <w:r w:rsidRPr="000F5B45">
                      <w:rPr>
                        <w:b/>
                        <w:sz w:val="15"/>
                        <w:szCs w:val="15"/>
                      </w:rPr>
                      <w:t>Australian Securities</w:t>
                    </w:r>
                    <w:r w:rsidRPr="000F5B45">
                      <w:rPr>
                        <w:b/>
                        <w:sz w:val="15"/>
                        <w:szCs w:val="15"/>
                      </w:rPr>
                      <w:br/>
                      <w:t>and Investments Commission</w:t>
                    </w:r>
                  </w:p>
                  <w:p w14:paraId="47A524D4" w14:textId="77777777" w:rsidR="002D381C" w:rsidRDefault="003345EC" w:rsidP="002D381C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Office address (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inc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courier deliveries):</w:t>
                    </w:r>
                    <w:r>
                      <w:rPr>
                        <w:sz w:val="15"/>
                        <w:szCs w:val="15"/>
                      </w:rPr>
                      <w:br/>
                      <w:t>Level 5, 100 Market Street,</w:t>
                    </w:r>
                    <w:r>
                      <w:rPr>
                        <w:sz w:val="15"/>
                        <w:szCs w:val="15"/>
                      </w:rPr>
                      <w:br/>
                      <w:t>Sydney NSW 2000</w:t>
                    </w:r>
                  </w:p>
                  <w:p w14:paraId="2582BBFF" w14:textId="77777777" w:rsidR="002D381C" w:rsidRPr="000F5B45" w:rsidRDefault="003345EC" w:rsidP="002D381C">
                    <w:pPr>
                      <w:spacing w:after="120" w:line="288" w:lineRule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Mail address for Sydney office:</w:t>
                    </w:r>
                    <w:r>
                      <w:rPr>
                        <w:sz w:val="15"/>
                        <w:szCs w:val="15"/>
                      </w:rPr>
                      <w:br/>
                      <w:t>GPO Box 9827</w:t>
                    </w:r>
                    <w:r w:rsidRPr="000F5B45">
                      <w:rPr>
                        <w:sz w:val="15"/>
                        <w:szCs w:val="15"/>
                      </w:rPr>
                      <w:t>,</w:t>
                    </w:r>
                    <w:r>
                      <w:rPr>
                        <w:sz w:val="15"/>
                        <w:szCs w:val="15"/>
                      </w:rPr>
                      <w:br/>
                      <w:t>Brisbane QLD 400</w:t>
                    </w:r>
                    <w:r w:rsidRPr="000F5B45">
                      <w:rPr>
                        <w:sz w:val="15"/>
                        <w:szCs w:val="15"/>
                      </w:rPr>
                      <w:t>1</w:t>
                    </w:r>
                  </w:p>
                  <w:p w14:paraId="2372FD74" w14:textId="77777777" w:rsidR="002D381C" w:rsidRPr="000F5B45" w:rsidRDefault="003345EC" w:rsidP="002D381C">
                    <w:pPr>
                      <w:spacing w:line="242" w:lineRule="atLeast"/>
                      <w:rPr>
                        <w:sz w:val="15"/>
                        <w:szCs w:val="15"/>
                      </w:rPr>
                    </w:pPr>
                    <w:r w:rsidRPr="009755BF">
                      <w:rPr>
                        <w:sz w:val="15"/>
                        <w:szCs w:val="15"/>
                      </w:rPr>
                      <w:t>Tel</w:t>
                    </w:r>
                    <w:r>
                      <w:rPr>
                        <w:sz w:val="15"/>
                        <w:szCs w:val="15"/>
                      </w:rPr>
                      <w:t xml:space="preserve">: </w:t>
                    </w:r>
                    <w:r w:rsidRPr="000F5B45">
                      <w:rPr>
                        <w:sz w:val="15"/>
                        <w:szCs w:val="15"/>
                      </w:rPr>
                      <w:t>+</w:t>
                    </w:r>
                    <w:r>
                      <w:rPr>
                        <w:sz w:val="15"/>
                        <w:szCs w:val="15"/>
                      </w:rPr>
                      <w:t>61 1300 935 075</w:t>
                    </w:r>
                    <w:r w:rsidRPr="00C0750D">
                      <w:rPr>
                        <w:sz w:val="15"/>
                        <w:szCs w:val="15"/>
                      </w:rPr>
                      <w:br/>
                    </w:r>
                    <w:r w:rsidRPr="000F5B45">
                      <w:rPr>
                        <w:sz w:val="15"/>
                        <w:szCs w:val="15"/>
                      </w:rPr>
                      <w:t>Fa</w:t>
                    </w:r>
                    <w:r>
                      <w:rPr>
                        <w:sz w:val="15"/>
                        <w:szCs w:val="15"/>
                      </w:rPr>
                      <w:t>x</w:t>
                    </w:r>
                    <w:r w:rsidRPr="000F5B45">
                      <w:rPr>
                        <w:sz w:val="15"/>
                        <w:szCs w:val="15"/>
                      </w:rPr>
                      <w:t xml:space="preserve">: +61 </w:t>
                    </w:r>
                    <w:r>
                      <w:rPr>
                        <w:sz w:val="15"/>
                        <w:szCs w:val="15"/>
                      </w:rPr>
                      <w:t xml:space="preserve">1300 729 000 </w:t>
                    </w:r>
                  </w:p>
                  <w:p w14:paraId="0D72207D" w14:textId="77777777" w:rsidR="002D381C" w:rsidRPr="000F5B45" w:rsidRDefault="00165CF2" w:rsidP="002D381C">
                    <w:pPr>
                      <w:spacing w:before="40" w:line="242" w:lineRule="atLeast"/>
                      <w:rPr>
                        <w:sz w:val="15"/>
                        <w:szCs w:val="15"/>
                      </w:rPr>
                    </w:pPr>
                    <w:hyperlink r:id="rId2" w:history="1">
                      <w:r w:rsidR="003345EC" w:rsidRPr="00C0750D">
                        <w:rPr>
                          <w:rStyle w:val="Hyperlink"/>
                          <w:sz w:val="15"/>
                          <w:szCs w:val="15"/>
                        </w:rPr>
                        <w:t>www.asic.gov.au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C0750D">
      <w:rPr>
        <w:noProof/>
      </w:rPr>
      <w:drawing>
        <wp:anchor distT="0" distB="0" distL="114300" distR="114300" simplePos="0" relativeHeight="251658241" behindDoc="0" locked="0" layoutInCell="1" allowOverlap="1" wp14:anchorId="39ABFD9A" wp14:editId="162CD344">
          <wp:simplePos x="0" y="0"/>
          <wp:positionH relativeFrom="page">
            <wp:posOffset>629920</wp:posOffset>
          </wp:positionH>
          <wp:positionV relativeFrom="page">
            <wp:posOffset>696036</wp:posOffset>
          </wp:positionV>
          <wp:extent cx="2491920" cy="528480"/>
          <wp:effectExtent l="0" t="0" r="381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C Logo EXT 1 (Master logo for external use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5D74E" w14:textId="77777777" w:rsidR="002D381C" w:rsidRPr="00C0750D" w:rsidRDefault="002D381C" w:rsidP="002D381C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854"/>
    <w:multiLevelType w:val="hybridMultilevel"/>
    <w:tmpl w:val="043A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28D6"/>
    <w:multiLevelType w:val="hybridMultilevel"/>
    <w:tmpl w:val="86A0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D6887"/>
    <w:multiLevelType w:val="hybridMultilevel"/>
    <w:tmpl w:val="AEA8DB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997970"/>
    <w:multiLevelType w:val="hybridMultilevel"/>
    <w:tmpl w:val="25DCE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01A2"/>
    <w:multiLevelType w:val="hybridMultilevel"/>
    <w:tmpl w:val="994C75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DA2E55"/>
    <w:multiLevelType w:val="hybridMultilevel"/>
    <w:tmpl w:val="A358D31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C"/>
    <w:rsid w:val="0000416D"/>
    <w:rsid w:val="00006C47"/>
    <w:rsid w:val="00015274"/>
    <w:rsid w:val="000255B3"/>
    <w:rsid w:val="00062DD1"/>
    <w:rsid w:val="000679E3"/>
    <w:rsid w:val="0008778A"/>
    <w:rsid w:val="00090536"/>
    <w:rsid w:val="000929E5"/>
    <w:rsid w:val="000A1DB7"/>
    <w:rsid w:val="000A6F2F"/>
    <w:rsid w:val="000C0FD4"/>
    <w:rsid w:val="000C7F9E"/>
    <w:rsid w:val="000D2E08"/>
    <w:rsid w:val="0010245F"/>
    <w:rsid w:val="001075E5"/>
    <w:rsid w:val="0013711C"/>
    <w:rsid w:val="001371EE"/>
    <w:rsid w:val="00162B8C"/>
    <w:rsid w:val="00164D18"/>
    <w:rsid w:val="00165CF2"/>
    <w:rsid w:val="00170FEB"/>
    <w:rsid w:val="00193D63"/>
    <w:rsid w:val="001958BD"/>
    <w:rsid w:val="001A49F0"/>
    <w:rsid w:val="001A56A7"/>
    <w:rsid w:val="001C3C52"/>
    <w:rsid w:val="001D16B0"/>
    <w:rsid w:val="001F6C97"/>
    <w:rsid w:val="00205113"/>
    <w:rsid w:val="002300FD"/>
    <w:rsid w:val="00237363"/>
    <w:rsid w:val="00254450"/>
    <w:rsid w:val="00256666"/>
    <w:rsid w:val="002657BD"/>
    <w:rsid w:val="00270C0C"/>
    <w:rsid w:val="00273477"/>
    <w:rsid w:val="00293074"/>
    <w:rsid w:val="00294907"/>
    <w:rsid w:val="002975EA"/>
    <w:rsid w:val="00297811"/>
    <w:rsid w:val="002A1A19"/>
    <w:rsid w:val="002A3F26"/>
    <w:rsid w:val="002A7510"/>
    <w:rsid w:val="002B0E26"/>
    <w:rsid w:val="002C0908"/>
    <w:rsid w:val="002C2F4D"/>
    <w:rsid w:val="002D381C"/>
    <w:rsid w:val="002E622C"/>
    <w:rsid w:val="002F1A40"/>
    <w:rsid w:val="003010BC"/>
    <w:rsid w:val="00307D8F"/>
    <w:rsid w:val="00315600"/>
    <w:rsid w:val="00320829"/>
    <w:rsid w:val="003345EC"/>
    <w:rsid w:val="0034608B"/>
    <w:rsid w:val="003476CF"/>
    <w:rsid w:val="003557BF"/>
    <w:rsid w:val="00363C5A"/>
    <w:rsid w:val="00365380"/>
    <w:rsid w:val="003755C6"/>
    <w:rsid w:val="003808D5"/>
    <w:rsid w:val="003810B5"/>
    <w:rsid w:val="00382336"/>
    <w:rsid w:val="00396F1D"/>
    <w:rsid w:val="003B4090"/>
    <w:rsid w:val="003C1D5D"/>
    <w:rsid w:val="003D3210"/>
    <w:rsid w:val="003D3817"/>
    <w:rsid w:val="003D6BEB"/>
    <w:rsid w:val="00403BC7"/>
    <w:rsid w:val="00413478"/>
    <w:rsid w:val="00430866"/>
    <w:rsid w:val="00432A21"/>
    <w:rsid w:val="004337D4"/>
    <w:rsid w:val="00440F4E"/>
    <w:rsid w:val="0044669E"/>
    <w:rsid w:val="00450F48"/>
    <w:rsid w:val="0045280C"/>
    <w:rsid w:val="0045287E"/>
    <w:rsid w:val="004627E9"/>
    <w:rsid w:val="00465B2C"/>
    <w:rsid w:val="004B2500"/>
    <w:rsid w:val="004C273B"/>
    <w:rsid w:val="004C2D78"/>
    <w:rsid w:val="004D7392"/>
    <w:rsid w:val="004E200C"/>
    <w:rsid w:val="004F3EDC"/>
    <w:rsid w:val="004F4111"/>
    <w:rsid w:val="004F608F"/>
    <w:rsid w:val="00512897"/>
    <w:rsid w:val="005257EF"/>
    <w:rsid w:val="0052667A"/>
    <w:rsid w:val="0053519C"/>
    <w:rsid w:val="00541F54"/>
    <w:rsid w:val="00552969"/>
    <w:rsid w:val="00552A1B"/>
    <w:rsid w:val="005542CF"/>
    <w:rsid w:val="00555430"/>
    <w:rsid w:val="005768B6"/>
    <w:rsid w:val="005A0814"/>
    <w:rsid w:val="005A41B2"/>
    <w:rsid w:val="005A5049"/>
    <w:rsid w:val="005B69F0"/>
    <w:rsid w:val="005C247D"/>
    <w:rsid w:val="005D31D9"/>
    <w:rsid w:val="005D4CC2"/>
    <w:rsid w:val="005D73E2"/>
    <w:rsid w:val="00616217"/>
    <w:rsid w:val="00622E26"/>
    <w:rsid w:val="00623906"/>
    <w:rsid w:val="0062628E"/>
    <w:rsid w:val="00626B32"/>
    <w:rsid w:val="00632A8F"/>
    <w:rsid w:val="006468FD"/>
    <w:rsid w:val="0065662B"/>
    <w:rsid w:val="00696517"/>
    <w:rsid w:val="006D6696"/>
    <w:rsid w:val="006F7474"/>
    <w:rsid w:val="00722850"/>
    <w:rsid w:val="00736700"/>
    <w:rsid w:val="0075048E"/>
    <w:rsid w:val="00751F28"/>
    <w:rsid w:val="00752C4F"/>
    <w:rsid w:val="0076625C"/>
    <w:rsid w:val="007725DF"/>
    <w:rsid w:val="00774AE6"/>
    <w:rsid w:val="00780A64"/>
    <w:rsid w:val="00782683"/>
    <w:rsid w:val="00784375"/>
    <w:rsid w:val="00794811"/>
    <w:rsid w:val="007C02FA"/>
    <w:rsid w:val="007D6C3B"/>
    <w:rsid w:val="007E21E8"/>
    <w:rsid w:val="007E7B3A"/>
    <w:rsid w:val="00811800"/>
    <w:rsid w:val="00824B9E"/>
    <w:rsid w:val="00830FCF"/>
    <w:rsid w:val="00840F0C"/>
    <w:rsid w:val="008644DD"/>
    <w:rsid w:val="008742B2"/>
    <w:rsid w:val="008855C8"/>
    <w:rsid w:val="008A01A3"/>
    <w:rsid w:val="008B45A1"/>
    <w:rsid w:val="008F117D"/>
    <w:rsid w:val="009045C6"/>
    <w:rsid w:val="009304CA"/>
    <w:rsid w:val="00966D7B"/>
    <w:rsid w:val="00971DE6"/>
    <w:rsid w:val="00977291"/>
    <w:rsid w:val="00977CCD"/>
    <w:rsid w:val="0098488C"/>
    <w:rsid w:val="009B01D5"/>
    <w:rsid w:val="009C0DF7"/>
    <w:rsid w:val="009C551B"/>
    <w:rsid w:val="009D0CDF"/>
    <w:rsid w:val="009E447E"/>
    <w:rsid w:val="00A02954"/>
    <w:rsid w:val="00A30D9D"/>
    <w:rsid w:val="00A41BAC"/>
    <w:rsid w:val="00A501D7"/>
    <w:rsid w:val="00A544B3"/>
    <w:rsid w:val="00A60FD5"/>
    <w:rsid w:val="00A672F9"/>
    <w:rsid w:val="00A749D1"/>
    <w:rsid w:val="00AA2239"/>
    <w:rsid w:val="00AB3179"/>
    <w:rsid w:val="00AB3E67"/>
    <w:rsid w:val="00AC03B4"/>
    <w:rsid w:val="00AC0866"/>
    <w:rsid w:val="00AC4137"/>
    <w:rsid w:val="00AD1E13"/>
    <w:rsid w:val="00AE256C"/>
    <w:rsid w:val="00AF1AFB"/>
    <w:rsid w:val="00B068D9"/>
    <w:rsid w:val="00B13F81"/>
    <w:rsid w:val="00B16D03"/>
    <w:rsid w:val="00B21171"/>
    <w:rsid w:val="00B23CAF"/>
    <w:rsid w:val="00B353C1"/>
    <w:rsid w:val="00B369D9"/>
    <w:rsid w:val="00B40D3D"/>
    <w:rsid w:val="00B51D33"/>
    <w:rsid w:val="00B57B47"/>
    <w:rsid w:val="00B60E2C"/>
    <w:rsid w:val="00B615E5"/>
    <w:rsid w:val="00B61752"/>
    <w:rsid w:val="00B63092"/>
    <w:rsid w:val="00B65696"/>
    <w:rsid w:val="00B74780"/>
    <w:rsid w:val="00B8226D"/>
    <w:rsid w:val="00B82715"/>
    <w:rsid w:val="00B949AC"/>
    <w:rsid w:val="00BB42DA"/>
    <w:rsid w:val="00BC4E0B"/>
    <w:rsid w:val="00BC5718"/>
    <w:rsid w:val="00BE66F9"/>
    <w:rsid w:val="00C000FA"/>
    <w:rsid w:val="00C0637E"/>
    <w:rsid w:val="00C13682"/>
    <w:rsid w:val="00C143D9"/>
    <w:rsid w:val="00C358B8"/>
    <w:rsid w:val="00C4557F"/>
    <w:rsid w:val="00C47762"/>
    <w:rsid w:val="00C61727"/>
    <w:rsid w:val="00C6264D"/>
    <w:rsid w:val="00C81AFE"/>
    <w:rsid w:val="00C87D4F"/>
    <w:rsid w:val="00C902BC"/>
    <w:rsid w:val="00C910B9"/>
    <w:rsid w:val="00CD4869"/>
    <w:rsid w:val="00CD705E"/>
    <w:rsid w:val="00CE33B3"/>
    <w:rsid w:val="00CF090A"/>
    <w:rsid w:val="00CF1DD1"/>
    <w:rsid w:val="00D52086"/>
    <w:rsid w:val="00D72D35"/>
    <w:rsid w:val="00D7631B"/>
    <w:rsid w:val="00D807AC"/>
    <w:rsid w:val="00D86812"/>
    <w:rsid w:val="00D90888"/>
    <w:rsid w:val="00DA193B"/>
    <w:rsid w:val="00DD36DC"/>
    <w:rsid w:val="00DD4B52"/>
    <w:rsid w:val="00DD5B59"/>
    <w:rsid w:val="00DF3527"/>
    <w:rsid w:val="00E05F5A"/>
    <w:rsid w:val="00E06B04"/>
    <w:rsid w:val="00E11495"/>
    <w:rsid w:val="00E1286A"/>
    <w:rsid w:val="00E225B2"/>
    <w:rsid w:val="00E3353D"/>
    <w:rsid w:val="00E343F4"/>
    <w:rsid w:val="00E516E4"/>
    <w:rsid w:val="00E53AA4"/>
    <w:rsid w:val="00E558E6"/>
    <w:rsid w:val="00E60D80"/>
    <w:rsid w:val="00E64F9A"/>
    <w:rsid w:val="00E740E5"/>
    <w:rsid w:val="00E80532"/>
    <w:rsid w:val="00E80C6B"/>
    <w:rsid w:val="00E823C3"/>
    <w:rsid w:val="00E97CDF"/>
    <w:rsid w:val="00EA2895"/>
    <w:rsid w:val="00EB5B56"/>
    <w:rsid w:val="00EC51E5"/>
    <w:rsid w:val="00ED1A5D"/>
    <w:rsid w:val="00ED336F"/>
    <w:rsid w:val="00F05C54"/>
    <w:rsid w:val="00F12610"/>
    <w:rsid w:val="00F12D06"/>
    <w:rsid w:val="00F314F1"/>
    <w:rsid w:val="00F40DCF"/>
    <w:rsid w:val="00F4127E"/>
    <w:rsid w:val="00F624B5"/>
    <w:rsid w:val="00F7021D"/>
    <w:rsid w:val="00F76E4C"/>
    <w:rsid w:val="00F9256A"/>
    <w:rsid w:val="00F94621"/>
    <w:rsid w:val="00FA423C"/>
    <w:rsid w:val="00FA5B67"/>
    <w:rsid w:val="00FB146A"/>
    <w:rsid w:val="00FB76C1"/>
    <w:rsid w:val="00FC0BA5"/>
    <w:rsid w:val="00FD6366"/>
    <w:rsid w:val="00FE33FA"/>
    <w:rsid w:val="00FF6956"/>
    <w:rsid w:val="020F1329"/>
    <w:rsid w:val="03B3366F"/>
    <w:rsid w:val="0408D0BD"/>
    <w:rsid w:val="04880E8E"/>
    <w:rsid w:val="05659563"/>
    <w:rsid w:val="063ADC3D"/>
    <w:rsid w:val="09CA51F3"/>
    <w:rsid w:val="0B16E0FA"/>
    <w:rsid w:val="0F46BF86"/>
    <w:rsid w:val="16083FDA"/>
    <w:rsid w:val="166B2483"/>
    <w:rsid w:val="16909459"/>
    <w:rsid w:val="1C0C1A31"/>
    <w:rsid w:val="1D95D304"/>
    <w:rsid w:val="1FC4C404"/>
    <w:rsid w:val="1FC587F6"/>
    <w:rsid w:val="1FE70615"/>
    <w:rsid w:val="248F55BD"/>
    <w:rsid w:val="26356ECC"/>
    <w:rsid w:val="2D1498E1"/>
    <w:rsid w:val="36FDE72D"/>
    <w:rsid w:val="38EF862C"/>
    <w:rsid w:val="3BBF10FA"/>
    <w:rsid w:val="45F70A23"/>
    <w:rsid w:val="47BCB312"/>
    <w:rsid w:val="4BB8FA98"/>
    <w:rsid w:val="4CAEE39B"/>
    <w:rsid w:val="4DCAD49F"/>
    <w:rsid w:val="4EC1FAAA"/>
    <w:rsid w:val="50013F56"/>
    <w:rsid w:val="56116F62"/>
    <w:rsid w:val="584A6755"/>
    <w:rsid w:val="5963EBA7"/>
    <w:rsid w:val="5E155512"/>
    <w:rsid w:val="600D19B0"/>
    <w:rsid w:val="60476092"/>
    <w:rsid w:val="61A4CAC8"/>
    <w:rsid w:val="6C7FF310"/>
    <w:rsid w:val="740E22C8"/>
    <w:rsid w:val="780B726A"/>
    <w:rsid w:val="7CD75D4E"/>
    <w:rsid w:val="7D18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E259"/>
  <w15:chartTrackingRefBased/>
  <w15:docId w15:val="{92390FD4-3E1B-4B86-B1C6-6DEC02E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345E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3345EC"/>
    <w:rPr>
      <w:rFonts w:ascii="Century Gothic" w:eastAsia="Times New Roman" w:hAnsi="Century Gothic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EC"/>
    <w:rPr>
      <w:rFonts w:ascii="Century Gothic" w:eastAsia="Times New Roman" w:hAnsi="Century Gothic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3345EC"/>
    <w:rPr>
      <w:color w:val="0071CE" w:themeColor="hyperlink"/>
      <w:u w:val="single"/>
    </w:rPr>
  </w:style>
  <w:style w:type="table" w:styleId="TableGrid">
    <w:name w:val="Table Grid"/>
    <w:basedOn w:val="TableNormal"/>
    <w:uiPriority w:val="59"/>
    <w:rsid w:val="003345E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notefullwidth">
    <w:name w:val="source note full width"/>
    <w:rsid w:val="00840F0C"/>
    <w:pPr>
      <w:spacing w:before="120" w:after="0" w:line="240" w:lineRule="auto"/>
    </w:pPr>
    <w:rPr>
      <w:rFonts w:ascii="Arial" w:eastAsia="Times New Roman" w:hAnsi="Arial" w:cs="Times New Roman"/>
      <w:sz w:val="16"/>
      <w:lang w:eastAsia="en-AU"/>
    </w:rPr>
  </w:style>
  <w:style w:type="paragraph" w:customStyle="1" w:styleId="tabletitlefullwidth">
    <w:name w:val="table title full width"/>
    <w:basedOn w:val="Normal"/>
    <w:rsid w:val="00840F0C"/>
    <w:pPr>
      <w:keepNext/>
      <w:overflowPunct/>
      <w:autoSpaceDE/>
      <w:autoSpaceDN/>
      <w:adjustRightInd/>
      <w:spacing w:before="360" w:after="120" w:line="240" w:lineRule="atLeast"/>
      <w:ind w:left="992" w:hanging="992"/>
      <w:textAlignment w:val="auto"/>
    </w:pPr>
    <w:rPr>
      <w:rFonts w:ascii="Arial" w:hAnsi="Arial" w:cs="Arial"/>
      <w:b/>
      <w:sz w:val="20"/>
      <w:lang w:eastAsia="en-AU"/>
    </w:rPr>
  </w:style>
  <w:style w:type="paragraph" w:customStyle="1" w:styleId="tbltext">
    <w:name w:val="tbl text"/>
    <w:basedOn w:val="Normal"/>
    <w:link w:val="tbltextChar"/>
    <w:rsid w:val="00840F0C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rFonts w:ascii="Arial" w:hAnsi="Arial" w:cs="Arial"/>
      <w:sz w:val="18"/>
      <w:szCs w:val="18"/>
      <w:lang w:eastAsia="en-AU"/>
    </w:rPr>
  </w:style>
  <w:style w:type="paragraph" w:customStyle="1" w:styleId="tablehead">
    <w:name w:val="table head"/>
    <w:basedOn w:val="Normal"/>
    <w:rsid w:val="00840F0C"/>
    <w:pPr>
      <w:keepNext/>
      <w:overflowPunct/>
      <w:autoSpaceDE/>
      <w:autoSpaceDN/>
      <w:adjustRightInd/>
      <w:spacing w:before="120" w:line="240" w:lineRule="atLeast"/>
      <w:textAlignment w:val="auto"/>
    </w:pPr>
    <w:rPr>
      <w:rFonts w:ascii="Arial" w:hAnsi="Arial" w:cs="Arial"/>
      <w:b/>
      <w:sz w:val="18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840F0C"/>
    <w:rPr>
      <w:rFonts w:ascii="Arial" w:eastAsia="Times New Roman" w:hAnsi="Arial" w:cs="Arial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B617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90536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90536"/>
    <w:pPr>
      <w:keepNext/>
      <w:tabs>
        <w:tab w:val="left" w:pos="1418"/>
      </w:tabs>
      <w:spacing w:before="240" w:after="120"/>
      <w:ind w:left="567"/>
      <w:textAlignment w:val="auto"/>
    </w:pPr>
    <w:rPr>
      <w:b/>
      <w:bCs/>
      <w:sz w:val="18"/>
      <w:szCs w:val="18"/>
    </w:rPr>
  </w:style>
  <w:style w:type="paragraph" w:customStyle="1" w:styleId="tablebullet">
    <w:name w:val="table bullet"/>
    <w:basedOn w:val="Normal"/>
    <w:rsid w:val="00090536"/>
    <w:pPr>
      <w:widowControl w:val="0"/>
      <w:numPr>
        <w:numId w:val="2"/>
      </w:numPr>
      <w:overflowPunct/>
      <w:autoSpaceDE/>
      <w:autoSpaceDN/>
      <w:adjustRightInd/>
      <w:spacing w:before="60" w:line="240" w:lineRule="atLeast"/>
      <w:textAlignment w:val="auto"/>
    </w:pPr>
    <w:rPr>
      <w:rFonts w:ascii="Arial" w:hAnsi="Arial" w:cs="Arial"/>
      <w:sz w:val="18"/>
      <w:szCs w:val="18"/>
      <w:lang w:eastAsia="en-AU"/>
    </w:rPr>
  </w:style>
  <w:style w:type="paragraph" w:customStyle="1" w:styleId="tabledash">
    <w:name w:val="table dash"/>
    <w:basedOn w:val="tablebullet"/>
    <w:rsid w:val="00090536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626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8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8B8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B8"/>
    <w:rPr>
      <w:rFonts w:ascii="Century Gothic" w:eastAsia="Times New Roman" w:hAnsi="Century Gothic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171"/>
    <w:rPr>
      <w:color w:val="0071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asic.gov.au/regulatory-resources/find-a-document/consultation-papers/cp-361-proposed-changes-to-simplify-the-asic-derivative-transaction-rules-reporting-second-consultation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https://asic.gov.au/regulatory-resources/find-a-document/consultation-papers/cp-334-proposed-changes-to-simplify-the-asic-derivative-transaction-rules-reporting-first-consultation/" TargetMode="External"/><Relationship Id="rId22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../www.asic.gov.au" TargetMode="External"/><Relationship Id="rId1" Type="http://schemas.openxmlformats.org/officeDocument/2006/relationships/hyperlink" Target="../www.asic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7ED904F7814A5CB85D1ADADA30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49A8-6831-43F5-A7F4-A77713B01E2E}"/>
      </w:docPartPr>
      <w:docPartBody>
        <w:p w:rsidR="00AE6A28" w:rsidRDefault="00616217" w:rsidP="00616217">
          <w:pPr>
            <w:pStyle w:val="AD7ED904F7814A5CB85D1ADADA30EFBD"/>
          </w:pPr>
          <w:r w:rsidRPr="00866A64">
            <w:t xml:space="preserve">Click to enter </w:t>
          </w:r>
          <w:r>
            <w:t>address details</w:t>
          </w:r>
        </w:p>
      </w:docPartBody>
    </w:docPart>
    <w:docPart>
      <w:docPartPr>
        <w:name w:val="BF58A6B1BAAA4F93BA2BBCFD1B784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DC7A-B157-4151-B165-966AF5CCF4B1}"/>
      </w:docPartPr>
      <w:docPartBody>
        <w:p w:rsidR="00AE6A28" w:rsidRDefault="00616217" w:rsidP="00616217">
          <w:pPr>
            <w:pStyle w:val="BF58A6B1BAAA4F93BA2BBCFD1B78463F"/>
          </w:pPr>
          <w:r w:rsidRPr="00866A64">
            <w:t>Click to enter a date</w:t>
          </w:r>
        </w:p>
      </w:docPartBody>
    </w:docPart>
    <w:docPart>
      <w:docPartPr>
        <w:name w:val="AD2ADBBCA25F478C82B0F92F1109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88835-D608-4902-BD08-85C96D4BD489}"/>
      </w:docPartPr>
      <w:docPartBody>
        <w:p w:rsidR="00AE6A28" w:rsidRDefault="00616217" w:rsidP="00616217">
          <w:pPr>
            <w:pStyle w:val="AD2ADBBCA25F478C82B0F92F11099780"/>
          </w:pPr>
          <w:r w:rsidRPr="00866A64"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17"/>
    <w:rsid w:val="00014EB5"/>
    <w:rsid w:val="00616217"/>
    <w:rsid w:val="007C0D74"/>
    <w:rsid w:val="009A1D33"/>
    <w:rsid w:val="00A163EF"/>
    <w:rsid w:val="00AE6A28"/>
    <w:rsid w:val="00BE32D2"/>
    <w:rsid w:val="00C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7ED904F7814A5CB85D1ADADA30EFBD">
    <w:name w:val="AD7ED904F7814A5CB85D1ADADA30EFBD"/>
    <w:rsid w:val="00616217"/>
  </w:style>
  <w:style w:type="paragraph" w:customStyle="1" w:styleId="BF58A6B1BAAA4F93BA2BBCFD1B78463F">
    <w:name w:val="BF58A6B1BAAA4F93BA2BBCFD1B78463F"/>
    <w:rsid w:val="00616217"/>
  </w:style>
  <w:style w:type="paragraph" w:customStyle="1" w:styleId="AD2ADBBCA25F478C82B0F92F11099780">
    <w:name w:val="AD2ADBBCA25F478C82B0F92F11099780"/>
    <w:rsid w:val="00616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ASIC corporate palette">
  <a:themeElements>
    <a:clrScheme name="Custom 1 ASIC">
      <a:dk1>
        <a:srgbClr val="243645"/>
      </a:dk1>
      <a:lt1>
        <a:srgbClr val="FFFFFF"/>
      </a:lt1>
      <a:dk2>
        <a:srgbClr val="243645"/>
      </a:dk2>
      <a:lt2>
        <a:srgbClr val="D0CCBD"/>
      </a:lt2>
      <a:accent1>
        <a:srgbClr val="243645"/>
      </a:accent1>
      <a:accent2>
        <a:srgbClr val="0070CE"/>
      </a:accent2>
      <a:accent3>
        <a:srgbClr val="3AB2E5"/>
      </a:accent3>
      <a:accent4>
        <a:srgbClr val="83DADE"/>
      </a:accent4>
      <a:accent5>
        <a:srgbClr val="CFCCBD"/>
      </a:accent5>
      <a:accent6>
        <a:srgbClr val="1D242B"/>
      </a:accent6>
      <a:hlink>
        <a:srgbClr val="0071CE"/>
      </a:hlink>
      <a:folHlink>
        <a:srgbClr val="0071C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DOCID-322795542-26339</_dlc_DocId>
    <_dlc_DocIdUrl xmlns="4195ad5f-cdf2-4c4a-8d9b-b7944a108e98">
      <Url>https://pmc01.sharepoint.com/sites/CRMOBPR/_layouts/15/DocIdRedir.aspx?ID=DOCID-322795542-26339</Url>
      <Description>DOCID-322795542-26339</Description>
    </_dlc_DocIdUrl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Email" ma:contentTypeID="0x010100B5F685A1365F544391EF8C813B164F3A0A0075E551A59F52FB4BA449D282E478FF6800A4984D7EF74FF741B7C05FDEE876B011" ma:contentTypeVersion="7" ma:contentTypeDescription="Create a new document." ma:contentTypeScope="" ma:versionID="d2a57e8573edbb115aef7affa0ff9efc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0630a022b4f2607d0824ada975c40b14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2:MailReply-To" minOccurs="0"/>
                <xsd:element ref="ns2:MailSubject" minOccurs="0"/>
                <xsd:element ref="ns2:MailTo" minOccurs="0"/>
                <xsd:element ref="ns2:MailCc" minOccurs="0"/>
                <xsd:element ref="ns2:MailFrom" minOccurs="0"/>
                <xsd:element ref="ns2:MailIn-Reply-To" minOccurs="0"/>
                <xsd:element ref="ns2:MailReferences" minOccurs="0"/>
                <xsd:element ref="ns3:ECMSP13CreatedBy" minOccurs="0"/>
                <xsd:element ref="ns3:ECMSP13ModifiedBy" minOccurs="0"/>
                <xsd:element ref="ns3:ECMSP13DocumentID" minOccurs="0"/>
                <xsd:element ref="ns2:MailDate" minOccurs="0"/>
                <xsd:element ref="ns2:MailOriginalSubjec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MailReply-To" ma:index="14" nillable="true" ma:displayName="Reply-To" ma:internalName="MailReply_x002d_To0">
      <xsd:simpleType>
        <xsd:restriction base="dms:Text"/>
      </xsd:simpleType>
    </xsd:element>
    <xsd:element name="MailSubject" ma:index="15" nillable="true" ma:displayName="Subject" ma:description="A summary of the message." ma:internalName="MailSubject" ma:readOnly="false">
      <xsd:simpleType>
        <xsd:restriction base="dms:Text">
          <xsd:maxLength value="255"/>
        </xsd:restriction>
      </xsd:simpleType>
    </xsd:element>
    <xsd:element name="MailTo" ma:index="16" nillable="true" ma:displayName="To" ma:description="The identity of the primary recipients of the message." ma:internalName="MailTo" ma:readOnly="false">
      <xsd:simpleType>
        <xsd:restriction base="dms:Note">
          <xsd:maxLength value="255"/>
        </xsd:restriction>
      </xsd:simpleType>
    </xsd:element>
    <xsd:element name="MailCc" ma:index="17" nillable="true" ma:displayName="Cc" ma:description="The identity of the secondary recipients of the message." ma:internalName="MailCc" ma:readOnly="false">
      <xsd:simpleType>
        <xsd:restriction base="dms:Note">
          <xsd:maxLength value="255"/>
        </xsd:restriction>
      </xsd:simpleType>
    </xsd:element>
    <xsd:element name="MailFrom" ma:index="18" nillable="true" ma:displayName="From" ma:description="The identity of the person who sent the message." ma:internalName="MailFrom" ma:readOnly="false">
      <xsd:simpleType>
        <xsd:restriction base="dms:Text">
          <xsd:maxLength value="255"/>
        </xsd:restriction>
      </xsd:simpleType>
    </xsd:element>
    <xsd:element name="MailIn-Reply-To" ma:index="19" nillable="true" ma:displayName="In-Reply-To" ma:internalName="MailIn_x002d_Reply_x002d_To0">
      <xsd:simpleType>
        <xsd:restriction base="dms:Text"/>
      </xsd:simpleType>
    </xsd:element>
    <xsd:element name="MailReferences" ma:index="20" nillable="true" ma:displayName="References" ma:description="The contents of this field identify other correspondence that this message answers." ma:internalName="MailReferences" ma:readOnly="false">
      <xsd:simpleType>
        <xsd:restriction base="dms:Text">
          <xsd:maxLength value="255"/>
        </xsd:restriction>
      </xsd:simpleType>
    </xsd:element>
    <xsd:element name="MailDate" ma:index="24" nillable="true" ma:displayName="Date" ma:description="The date and time when the message was sent." ma:format="DateTime" ma:internalName="MailDate" ma:readOnly="false">
      <xsd:simpleType>
        <xsd:restriction base="dms:DateTime"/>
      </xsd:simpleType>
    </xsd:element>
    <xsd:element name="MailOriginalSubject" ma:index="25" nillable="true" ma:displayName="OriginalSubject" ma:description="A summary of the message." ma:internalName="MailOriginalSub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21" nillable="true" ma:displayName="ECM SP13 Created By" ma:internalName="ECMSP13CreatedBy">
      <xsd:simpleType>
        <xsd:restriction base="dms:Text"/>
      </xsd:simpleType>
    </xsd:element>
    <xsd:element name="ECMSP13ModifiedBy" ma:index="22" nillable="true" ma:displayName="ECM SP13 Modified By" ma:internalName="ECMSP13ModifiedBy">
      <xsd:simpleType>
        <xsd:restriction base="dms:Text"/>
      </xsd:simpleType>
    </xsd:element>
    <xsd:element name="ECMSP13DocumentID" ma:index="23" nillable="true" ma:displayName="ECM SP13 Document ID" ma:internalName="ECMSP13DocumentID">
      <xsd:simpleType>
        <xsd:restriction base="dms:Text"/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D89DE-264D-4E90-A534-A2F5EA503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A3FCE-A82B-44F7-9755-80B7943624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334357-D979-4F60-A095-232DD7627F15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4.xml><?xml version="1.0" encoding="utf-8"?>
<ds:datastoreItem xmlns:ds="http://schemas.openxmlformats.org/officeDocument/2006/customXml" ds:itemID="{2BD1BF18-B27D-46BE-9D28-AFB4904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2C296F-B07C-47B4-B8B8-EBCCEEC412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F268C4-098B-4B43-9AAA-DACFAED9B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Links>
    <vt:vector size="18" baseType="variant">
      <vt:variant>
        <vt:i4>1310788</vt:i4>
      </vt:variant>
      <vt:variant>
        <vt:i4>3</vt:i4>
      </vt:variant>
      <vt:variant>
        <vt:i4>0</vt:i4>
      </vt:variant>
      <vt:variant>
        <vt:i4>5</vt:i4>
      </vt:variant>
      <vt:variant>
        <vt:lpwstr>https://asic.gov.au/regulatory-resources/find-a-document/consultation-papers/cp-361-proposed-changes-to-simplify-the-asic-derivative-transaction-rules-reporting-second-consultation/</vt:lpwstr>
      </vt:variant>
      <vt:variant>
        <vt:lpwstr/>
      </vt:variant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https://asic.gov.au/regulatory-resources/find-a-document/consultation-papers/cp-334-proposed-changes-to-simplify-the-asic-derivative-transaction-rules-reporting-first-consultation/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www.asic.gov.au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Chen</dc:creator>
  <cp:keywords/>
  <dc:description/>
  <cp:lastModifiedBy>Liang Chen</cp:lastModifiedBy>
  <cp:revision>175</cp:revision>
  <dcterms:created xsi:type="dcterms:W3CDTF">2022-08-08T18:34:00Z</dcterms:created>
  <dcterms:modified xsi:type="dcterms:W3CDTF">2022-09-18T23:20:00Z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{31bb92b0-60f2-45e6-b795-81e6708db5a0}</vt:lpwstr>
  </property>
  <property fmtid="{D5CDD505-2E9C-101B-9397-08002B2CF9AE}" pid="6" name="RecordPoint_ActiveItemListId">
    <vt:lpwstr>{3bb08942-eac8-47b9-a912-bf2c734f490d}</vt:lpwstr>
  </property>
  <property fmtid="{D5CDD505-2E9C-101B-9397-08002B2CF9AE}" pid="7" name="RecordPoint_ActiveItemUniqueId">
    <vt:lpwstr>{468fc71b-3256-4391-a423-83bdafc0bf80}</vt:lpwstr>
  </property>
  <property fmtid="{D5CDD505-2E9C-101B-9397-08002B2CF9AE}" pid="8" name="RecordPoint_ActiveItemWebId">
    <vt:lpwstr>{d9c5d00e-68a4-450a-b525-a7f17b080184}</vt:lpwstr>
  </property>
  <property fmtid="{D5CDD505-2E9C-101B-9397-08002B2CF9AE}" pid="9" name="RecordPoint_RecordNumberSubmitted">
    <vt:lpwstr>R20210000413105</vt:lpwstr>
  </property>
  <property fmtid="{D5CDD505-2E9C-101B-9397-08002B2CF9AE}" pid="10" name="RecordPoint_SubmissionCompleted">
    <vt:lpwstr>2021-06-08T15:08:53.9815779+10:00</vt:lpwstr>
  </property>
  <property fmtid="{D5CDD505-2E9C-101B-9397-08002B2CF9AE}" pid="11" name="MailAttachments">
    <vt:bool>false</vt:bool>
  </property>
  <property fmtid="{D5CDD505-2E9C-101B-9397-08002B2CF9AE}" pid="12" name="bdf3bab5a81c426f8b5cbfa0265a271c">
    <vt:lpwstr/>
  </property>
  <property fmtid="{D5CDD505-2E9C-101B-9397-08002B2CF9AE}" pid="13" name="DocumentSetDescription">
    <vt:lpwstr/>
  </property>
  <property fmtid="{D5CDD505-2E9C-101B-9397-08002B2CF9AE}" pid="14" name="ECMSP13DocumentID">
    <vt:lpwstr>R20210000413105</vt:lpwstr>
  </property>
  <property fmtid="{D5CDD505-2E9C-101B-9397-08002B2CF9AE}" pid="15" name="PolicyWorkDocumentType">
    <vt:lpwstr/>
  </property>
  <property fmtid="{D5CDD505-2E9C-101B-9397-08002B2CF9AE}" pid="16" name="ECMSP13CreatedBy">
    <vt:lpwstr>Liang Chen</vt:lpwstr>
  </property>
  <property fmtid="{D5CDD505-2E9C-101B-9397-08002B2CF9AE}" pid="17" name="ECMSP13ModifiedBy">
    <vt:lpwstr>Liang Chen</vt:lpwstr>
  </property>
  <property fmtid="{D5CDD505-2E9C-101B-9397-08002B2CF9AE}" pid="18" name="ECMSP13SecurityClassification">
    <vt:lpwstr/>
  </property>
  <property fmtid="{D5CDD505-2E9C-101B-9397-08002B2CF9AE}" pid="19" name="URL">
    <vt:lpwstr/>
  </property>
  <property fmtid="{D5CDD505-2E9C-101B-9397-08002B2CF9AE}" pid="20" name="_dlc_DocIdItemGuid">
    <vt:lpwstr>2abb01fc-563a-4e10-ac21-370760e6f6d1</vt:lpwstr>
  </property>
  <property fmtid="{D5CDD505-2E9C-101B-9397-08002B2CF9AE}" pid="21" name="MSIP_Label_a6aead41-07f8-4767-ac8e-ef1c9c793766_Enabled">
    <vt:lpwstr>true</vt:lpwstr>
  </property>
  <property fmtid="{D5CDD505-2E9C-101B-9397-08002B2CF9AE}" pid="22" name="MSIP_Label_a6aead41-07f8-4767-ac8e-ef1c9c793766_SetDate">
    <vt:lpwstr>2022-08-08T01:34:18Z</vt:lpwstr>
  </property>
  <property fmtid="{D5CDD505-2E9C-101B-9397-08002B2CF9AE}" pid="23" name="MSIP_Label_a6aead41-07f8-4767-ac8e-ef1c9c793766_Method">
    <vt:lpwstr>Standard</vt:lpwstr>
  </property>
  <property fmtid="{D5CDD505-2E9C-101B-9397-08002B2CF9AE}" pid="24" name="MSIP_Label_a6aead41-07f8-4767-ac8e-ef1c9c793766_Name">
    <vt:lpwstr>OFFICIAL</vt:lpwstr>
  </property>
  <property fmtid="{D5CDD505-2E9C-101B-9397-08002B2CF9AE}" pid="25" name="MSIP_Label_a6aead41-07f8-4767-ac8e-ef1c9c793766_SiteId">
    <vt:lpwstr>5f1de7c6-55cd-4bb2-902d-514c78cf10f4</vt:lpwstr>
  </property>
  <property fmtid="{D5CDD505-2E9C-101B-9397-08002B2CF9AE}" pid="26" name="MSIP_Label_a6aead41-07f8-4767-ac8e-ef1c9c793766_ActionId">
    <vt:lpwstr>ab34f3e2-f37f-4db5-a4fe-81d96e1e1814</vt:lpwstr>
  </property>
  <property fmtid="{D5CDD505-2E9C-101B-9397-08002B2CF9AE}" pid="27" name="MSIP_Label_a6aead41-07f8-4767-ac8e-ef1c9c793766_ContentBits">
    <vt:lpwstr>0</vt:lpwstr>
  </property>
  <property fmtid="{D5CDD505-2E9C-101B-9397-08002B2CF9AE}" pid="28" name="MediaServiceImageTags">
    <vt:lpwstr/>
  </property>
</Properties>
</file>