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674A" w14:textId="2146E400" w:rsidR="00751A23" w:rsidRDefault="007E2300" w:rsidP="00192EC0">
      <w:pPr>
        <w:pStyle w:val="Title"/>
        <w:spacing w:before="1560"/>
      </w:pPr>
      <w:bookmarkStart w:id="0" w:name="_GoBack"/>
      <w:bookmarkEnd w:id="0"/>
      <w:r>
        <w:rPr>
          <w:noProof/>
          <w:lang w:eastAsia="en-AU"/>
        </w:rPr>
        <w:drawing>
          <wp:anchor distT="0" distB="0" distL="114300" distR="114300" simplePos="0" relativeHeight="251659264" behindDoc="0" locked="0" layoutInCell="1" allowOverlap="1" wp14:anchorId="718B1A0C" wp14:editId="4F37B269">
            <wp:simplePos x="0" y="0"/>
            <wp:positionH relativeFrom="column">
              <wp:posOffset>-624205</wp:posOffset>
            </wp:positionH>
            <wp:positionV relativeFrom="paragraph">
              <wp:posOffset>-727710</wp:posOffset>
            </wp:positionV>
            <wp:extent cx="2409825" cy="723900"/>
            <wp:effectExtent l="0" t="0" r="9525" b="0"/>
            <wp:wrapNone/>
            <wp:docPr id="2" name="Picture 10"/>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EC0">
        <w:t xml:space="preserve">Reforms </w:t>
      </w:r>
      <w:bookmarkStart w:id="1" w:name="_Hlk92456862"/>
      <w:r w:rsidR="00192EC0">
        <w:t xml:space="preserve">to Strengthening Aged Care Approved Provider Governance </w:t>
      </w:r>
      <w:bookmarkEnd w:id="1"/>
    </w:p>
    <w:p w14:paraId="067D7ECB" w14:textId="1B5CBCFB" w:rsidR="00751A23" w:rsidRDefault="00192EC0" w:rsidP="00751A23">
      <w:pPr>
        <w:pStyle w:val="Subtitle"/>
        <w:rPr>
          <w:b/>
          <w:iCs w:val="0"/>
          <w:spacing w:val="0"/>
          <w:kern w:val="28"/>
          <w:sz w:val="44"/>
          <w:szCs w:val="44"/>
        </w:rPr>
      </w:pPr>
      <w:r w:rsidRPr="00192EC0">
        <w:rPr>
          <w:b/>
          <w:iCs w:val="0"/>
          <w:spacing w:val="0"/>
          <w:kern w:val="28"/>
          <w:sz w:val="44"/>
          <w:szCs w:val="44"/>
        </w:rPr>
        <w:t>Supplementary Regulatory Impact Analysis</w:t>
      </w:r>
    </w:p>
    <w:p w14:paraId="1775DD5B" w14:textId="00874E41" w:rsidR="00192EC0" w:rsidRPr="00192EC0" w:rsidRDefault="005F4CB0" w:rsidP="00192EC0">
      <w:pPr>
        <w:rPr>
          <w:rFonts w:eastAsiaTheme="majorEastAsia" w:cstheme="majorBidi"/>
          <w:b/>
          <w:color w:val="3F4A75"/>
          <w:kern w:val="28"/>
          <w:sz w:val="32"/>
          <w:szCs w:val="32"/>
        </w:rPr>
      </w:pPr>
      <w:r>
        <w:rPr>
          <w:rFonts w:eastAsiaTheme="majorEastAsia" w:cstheme="majorBidi"/>
          <w:b/>
          <w:color w:val="3F4A75"/>
          <w:kern w:val="28"/>
          <w:sz w:val="32"/>
          <w:szCs w:val="32"/>
        </w:rPr>
        <w:t>November</w:t>
      </w:r>
      <w:r w:rsidRPr="00192EC0">
        <w:rPr>
          <w:rFonts w:eastAsiaTheme="majorEastAsia" w:cstheme="majorBidi"/>
          <w:b/>
          <w:color w:val="3F4A75"/>
          <w:kern w:val="28"/>
          <w:sz w:val="32"/>
          <w:szCs w:val="32"/>
        </w:rPr>
        <w:t xml:space="preserve"> </w:t>
      </w:r>
      <w:r w:rsidR="00192EC0" w:rsidRPr="00192EC0">
        <w:rPr>
          <w:rFonts w:eastAsiaTheme="majorEastAsia" w:cstheme="majorBidi"/>
          <w:b/>
          <w:color w:val="3F4A75"/>
          <w:kern w:val="28"/>
          <w:sz w:val="32"/>
          <w:szCs w:val="32"/>
        </w:rPr>
        <w:t>2022</w:t>
      </w:r>
    </w:p>
    <w:p w14:paraId="1FB9BAF6" w14:textId="76F409E6" w:rsidR="00192EC0" w:rsidRPr="00192EC0" w:rsidRDefault="00192EC0" w:rsidP="00192EC0"/>
    <w:p w14:paraId="33462D1C" w14:textId="77777777" w:rsidR="00192EC0" w:rsidRDefault="00192EC0" w:rsidP="00192EC0">
      <w:pPr>
        <w:rPr>
          <w:rFonts w:eastAsiaTheme="majorEastAsia" w:cstheme="majorBidi"/>
          <w:b/>
          <w:color w:val="3F4A75"/>
          <w:kern w:val="28"/>
          <w:sz w:val="48"/>
          <w:szCs w:val="52"/>
        </w:rPr>
      </w:pPr>
    </w:p>
    <w:p w14:paraId="263D586D" w14:textId="77777777" w:rsidR="00192EC0" w:rsidRPr="00192EC0" w:rsidRDefault="00192EC0" w:rsidP="00192EC0">
      <w:pPr>
        <w:sectPr w:rsidR="00192EC0" w:rsidRPr="00192EC0" w:rsidSect="00D45D94">
          <w:headerReference w:type="first" r:id="rId9"/>
          <w:type w:val="continuous"/>
          <w:pgSz w:w="11906" w:h="16838"/>
          <w:pgMar w:top="1701" w:right="1418" w:bottom="1418" w:left="1418" w:header="850" w:footer="709" w:gutter="0"/>
          <w:cols w:space="708"/>
          <w:titlePg/>
          <w:docGrid w:linePitch="360"/>
        </w:sectPr>
      </w:pPr>
    </w:p>
    <w:p w14:paraId="1A760B7E" w14:textId="77777777" w:rsidR="005A1795" w:rsidRDefault="00CD090B" w:rsidP="005A1795">
      <w:pPr>
        <w:pStyle w:val="Heading1"/>
      </w:pPr>
      <w:r>
        <w:lastRenderedPageBreak/>
        <w:t xml:space="preserve">Purpose of this </w:t>
      </w:r>
      <w:r w:rsidR="005B5F2F">
        <w:t>document</w:t>
      </w:r>
      <w:r>
        <w:t xml:space="preserve"> </w:t>
      </w:r>
    </w:p>
    <w:p w14:paraId="3DA39599" w14:textId="6B19BB92" w:rsidR="005A1795" w:rsidRDefault="005A1795" w:rsidP="0074628F">
      <w:pPr>
        <w:pStyle w:val="Paragraphtext"/>
      </w:pPr>
      <w:r w:rsidRPr="005A1795">
        <w:t xml:space="preserve">This </w:t>
      </w:r>
      <w:r>
        <w:t xml:space="preserve">Supplementary </w:t>
      </w:r>
      <w:r w:rsidRPr="005A1795">
        <w:t xml:space="preserve">Regulatory Impact </w:t>
      </w:r>
      <w:r>
        <w:t>Analysis</w:t>
      </w:r>
      <w:r w:rsidRPr="005A1795">
        <w:t xml:space="preserve"> has been prepared by the Department of Health </w:t>
      </w:r>
      <w:r w:rsidR="00BC1D56">
        <w:t xml:space="preserve">and Aged Care </w:t>
      </w:r>
      <w:r w:rsidRPr="005A1795">
        <w:t xml:space="preserve">(the Department) to inform Australian Government decision-making on </w:t>
      </w:r>
      <w:r w:rsidR="005F2F8D">
        <w:t xml:space="preserve">subordinate legislative </w:t>
      </w:r>
      <w:r>
        <w:t>reforms to strengthen aged care approved provider governance.</w:t>
      </w:r>
      <w:r w:rsidRPr="005A1795">
        <w:t xml:space="preserve"> </w:t>
      </w:r>
    </w:p>
    <w:p w14:paraId="47AEEA98" w14:textId="5474E89B" w:rsidR="0074628F" w:rsidRDefault="005A1795" w:rsidP="0074628F">
      <w:pPr>
        <w:pStyle w:val="Paragraphtext"/>
      </w:pPr>
      <w:r w:rsidRPr="005A1795">
        <w:t xml:space="preserve">This </w:t>
      </w:r>
      <w:r w:rsidR="005B5F2F">
        <w:t>supplementary</w:t>
      </w:r>
      <w:r>
        <w:t xml:space="preserve"> analysis complements the </w:t>
      </w:r>
      <w:r w:rsidR="007B1C3F">
        <w:t xml:space="preserve">certification by the </w:t>
      </w:r>
      <w:r>
        <w:t xml:space="preserve">Department that </w:t>
      </w:r>
      <w:r w:rsidR="0074628F" w:rsidRPr="005A1795">
        <w:t xml:space="preserve"> independent reviews undertook a process and analysis equivalent to a R</w:t>
      </w:r>
      <w:r w:rsidR="0074628F">
        <w:t>egulatory Impact Statement</w:t>
      </w:r>
      <w:r w:rsidR="00B14EF2">
        <w:t xml:space="preserve"> (RIS) </w:t>
      </w:r>
      <w:r w:rsidR="0074628F">
        <w:t xml:space="preserve">for </w:t>
      </w:r>
      <w:r w:rsidR="007B1C3F">
        <w:t xml:space="preserve">certain </w:t>
      </w:r>
      <w:r w:rsidR="0074628F">
        <w:t xml:space="preserve">aged care quality measures </w:t>
      </w:r>
      <w:r w:rsidR="005B53F5">
        <w:t xml:space="preserve">(included the </w:t>
      </w:r>
      <w:r w:rsidR="005B53F5" w:rsidRPr="0074628F">
        <w:t>Strengthening Aged Care Approved Provider Governance</w:t>
      </w:r>
      <w:r w:rsidR="005B53F5" w:rsidRPr="005F2F8D">
        <w:t xml:space="preserve"> </w:t>
      </w:r>
      <w:r w:rsidR="005B53F5">
        <w:t xml:space="preserve">reforms) </w:t>
      </w:r>
      <w:r w:rsidR="007B1C3F">
        <w:t xml:space="preserve">contained in the </w:t>
      </w:r>
      <w:hyperlink r:id="rId10" w:history="1">
        <w:r w:rsidR="005F2F8D" w:rsidRPr="00B14EF2">
          <w:rPr>
            <w:rStyle w:val="Hyperlink"/>
            <w:i/>
            <w:iCs/>
          </w:rPr>
          <w:t xml:space="preserve">Aged Care </w:t>
        </w:r>
        <w:r w:rsidR="007B1C3F" w:rsidRPr="00B14EF2">
          <w:rPr>
            <w:rStyle w:val="Hyperlink"/>
            <w:i/>
            <w:iCs/>
          </w:rPr>
          <w:t>a</w:t>
        </w:r>
        <w:r w:rsidR="005F2F8D" w:rsidRPr="00B14EF2">
          <w:rPr>
            <w:rStyle w:val="Hyperlink"/>
            <w:i/>
            <w:iCs/>
          </w:rPr>
          <w:t xml:space="preserve">nd Other Legislation Amendment (Royal Commission Response) </w:t>
        </w:r>
        <w:r w:rsidR="005F4CB0">
          <w:rPr>
            <w:rStyle w:val="Hyperlink"/>
            <w:i/>
            <w:iCs/>
          </w:rPr>
          <w:t>Act</w:t>
        </w:r>
        <w:r w:rsidR="005F2F8D" w:rsidRPr="00B14EF2">
          <w:rPr>
            <w:rStyle w:val="Hyperlink"/>
            <w:i/>
            <w:iCs/>
          </w:rPr>
          <w:t xml:space="preserve"> 202</w:t>
        </w:r>
        <w:r w:rsidR="00BC1D56">
          <w:rPr>
            <w:rStyle w:val="Hyperlink"/>
            <w:i/>
            <w:iCs/>
          </w:rPr>
          <w:t>2</w:t>
        </w:r>
        <w:r w:rsidR="005F2F8D" w:rsidRPr="007F2135">
          <w:rPr>
            <w:rStyle w:val="Hyperlink"/>
          </w:rPr>
          <w:t xml:space="preserve"> </w:t>
        </w:r>
        <w:r w:rsidR="007B1C3F" w:rsidRPr="007F2135">
          <w:rPr>
            <w:rStyle w:val="Hyperlink"/>
          </w:rPr>
          <w:t xml:space="preserve">(the </w:t>
        </w:r>
        <w:r w:rsidR="005F4CB0">
          <w:rPr>
            <w:rStyle w:val="Hyperlink"/>
          </w:rPr>
          <w:t>Act</w:t>
        </w:r>
        <w:r w:rsidR="007B1C3F" w:rsidRPr="007F2135">
          <w:rPr>
            <w:rStyle w:val="Hyperlink"/>
          </w:rPr>
          <w:t>)</w:t>
        </w:r>
        <w:r w:rsidR="0074628F" w:rsidRPr="007F2135">
          <w:rPr>
            <w:rStyle w:val="Hyperlink"/>
          </w:rPr>
          <w:t>.</w:t>
        </w:r>
      </w:hyperlink>
      <w:r w:rsidR="007B1C3F">
        <w:t xml:space="preserve"> </w:t>
      </w:r>
      <w:r w:rsidR="00B14EF2">
        <w:t>The Office of Best Practice Regulation (</w:t>
      </w:r>
      <w:r w:rsidR="005B53F5">
        <w:t>OPBR</w:t>
      </w:r>
      <w:r w:rsidR="00B14EF2">
        <w:t>)</w:t>
      </w:r>
      <w:r w:rsidR="005B53F5">
        <w:t xml:space="preserve"> found the </w:t>
      </w:r>
      <w:r w:rsidR="0074628F">
        <w:t>scope o</w:t>
      </w:r>
      <w:r w:rsidR="007B1C3F">
        <w:t>f</w:t>
      </w:r>
      <w:r w:rsidR="0074628F">
        <w:t xml:space="preserve"> the </w:t>
      </w:r>
      <w:r w:rsidR="005B5F2F">
        <w:t>certified</w:t>
      </w:r>
      <w:r w:rsidR="0074628F">
        <w:t xml:space="preserve"> review covered the policy proposals </w:t>
      </w:r>
      <w:r w:rsidR="005B5F2F">
        <w:t>except for</w:t>
      </w:r>
      <w:r w:rsidR="0074628F">
        <w:t xml:space="preserve"> </w:t>
      </w:r>
      <w:bookmarkStart w:id="2" w:name="_Hlk92458167"/>
      <w:r w:rsidR="0074628F">
        <w:t xml:space="preserve">implementation and evaluation </w:t>
      </w:r>
      <w:r w:rsidR="00B14EF2">
        <w:t xml:space="preserve">of </w:t>
      </w:r>
      <w:r w:rsidR="0074628F">
        <w:t>measures</w:t>
      </w:r>
      <w:r w:rsidR="007B1C3F" w:rsidRPr="007B1C3F">
        <w:rPr>
          <w:b/>
          <w:bCs/>
        </w:rPr>
        <w:t xml:space="preserve"> </w:t>
      </w:r>
      <w:r w:rsidR="007F2135">
        <w:rPr>
          <w:b/>
          <w:bCs/>
        </w:rPr>
        <w:t xml:space="preserve">(refer </w:t>
      </w:r>
      <w:r w:rsidR="007B1C3F" w:rsidRPr="0074628F">
        <w:rPr>
          <w:b/>
          <w:bCs/>
        </w:rPr>
        <w:t>Attachment A</w:t>
      </w:r>
      <w:r w:rsidR="007B1C3F">
        <w:t>)</w:t>
      </w:r>
      <w:r w:rsidR="0074628F">
        <w:t>.</w:t>
      </w:r>
      <w:bookmarkEnd w:id="2"/>
    </w:p>
    <w:p w14:paraId="1C6AA529" w14:textId="240C69F0" w:rsidR="007B1C3F" w:rsidRPr="00ED2042" w:rsidRDefault="007B1C3F" w:rsidP="0074628F">
      <w:pPr>
        <w:pStyle w:val="Paragraphtext"/>
        <w:rPr>
          <w:i/>
          <w:iCs/>
        </w:rPr>
      </w:pPr>
      <w:r>
        <w:t xml:space="preserve">As subordinate legislation is now being prepared to support the </w:t>
      </w:r>
      <w:r w:rsidR="008B6936">
        <w:t>Act</w:t>
      </w:r>
      <w:r>
        <w:t xml:space="preserve">’s </w:t>
      </w:r>
      <w:r w:rsidRPr="007B1C3F">
        <w:t>provider governance</w:t>
      </w:r>
      <w:r>
        <w:t xml:space="preserve"> reforms, </w:t>
      </w:r>
      <w:r w:rsidR="005B53F5">
        <w:t xml:space="preserve">a </w:t>
      </w:r>
      <w:r w:rsidR="005C4422">
        <w:t xml:space="preserve">supplementary </w:t>
      </w:r>
      <w:r w:rsidR="005B53F5">
        <w:t xml:space="preserve">RIS </w:t>
      </w:r>
      <w:r>
        <w:t xml:space="preserve">analysis is required </w:t>
      </w:r>
      <w:r w:rsidR="005B53F5">
        <w:t xml:space="preserve">for </w:t>
      </w:r>
      <w:r>
        <w:t xml:space="preserve">the </w:t>
      </w:r>
      <w:r w:rsidRPr="007B1C3F">
        <w:t xml:space="preserve">implementation and evaluation </w:t>
      </w:r>
      <w:r>
        <w:t xml:space="preserve">of this measure. The implementation and evaluation measures address RIS </w:t>
      </w:r>
      <w:r w:rsidRPr="00ED2042">
        <w:rPr>
          <w:i/>
          <w:iCs/>
        </w:rPr>
        <w:t xml:space="preserve">Question 7 - How Will </w:t>
      </w:r>
      <w:r w:rsidR="005B5F2F" w:rsidRPr="00ED2042">
        <w:rPr>
          <w:i/>
          <w:iCs/>
        </w:rPr>
        <w:t>You Implement</w:t>
      </w:r>
      <w:r w:rsidRPr="00ED2042">
        <w:rPr>
          <w:i/>
          <w:iCs/>
        </w:rPr>
        <w:t xml:space="preserve"> </w:t>
      </w:r>
      <w:r w:rsidR="005B5F2F" w:rsidRPr="00ED2042">
        <w:rPr>
          <w:i/>
          <w:iCs/>
        </w:rPr>
        <w:t>and Evaluate</w:t>
      </w:r>
      <w:r w:rsidRPr="00ED2042">
        <w:rPr>
          <w:i/>
          <w:iCs/>
        </w:rPr>
        <w:t xml:space="preserve"> </w:t>
      </w:r>
      <w:r w:rsidR="005B5F2F" w:rsidRPr="00ED2042">
        <w:rPr>
          <w:i/>
          <w:iCs/>
        </w:rPr>
        <w:t>Your Chosen</w:t>
      </w:r>
      <w:r w:rsidRPr="00ED2042">
        <w:rPr>
          <w:i/>
          <w:iCs/>
        </w:rPr>
        <w:t xml:space="preserve"> </w:t>
      </w:r>
      <w:r w:rsidR="005B5F2F" w:rsidRPr="00ED2042">
        <w:rPr>
          <w:i/>
          <w:iCs/>
        </w:rPr>
        <w:t>Option?</w:t>
      </w:r>
    </w:p>
    <w:p w14:paraId="424EC480" w14:textId="77777777" w:rsidR="00192EC0" w:rsidRPr="00192EC0" w:rsidRDefault="00CD090B" w:rsidP="00CD090B">
      <w:pPr>
        <w:pStyle w:val="Heading1"/>
      </w:pPr>
      <w:r>
        <w:t>Background</w:t>
      </w:r>
    </w:p>
    <w:p w14:paraId="45F60547" w14:textId="19C14816" w:rsidR="007F2135" w:rsidRDefault="005F4CB0" w:rsidP="005A1795">
      <w:pPr>
        <w:pStyle w:val="Paragraphtext"/>
      </w:pPr>
      <w:r>
        <w:t xml:space="preserve">On </w:t>
      </w:r>
      <w:r w:rsidR="00BD4FDC">
        <w:t>2 August 2022</w:t>
      </w:r>
      <w:r w:rsidR="00BC1D56">
        <w:t>,</w:t>
      </w:r>
      <w:r w:rsidR="00BD4FDC">
        <w:t xml:space="preserve"> t</w:t>
      </w:r>
      <w:r w:rsidR="00ED2042">
        <w:t xml:space="preserve">he Government </w:t>
      </w:r>
      <w:r w:rsidR="00BD4FDC">
        <w:t xml:space="preserve">passed </w:t>
      </w:r>
      <w:r w:rsidR="00ED2042">
        <w:t xml:space="preserve">the </w:t>
      </w:r>
      <w:r w:rsidR="00BD4FDC">
        <w:t xml:space="preserve">Act </w:t>
      </w:r>
      <w:r w:rsidR="007F2135">
        <w:t xml:space="preserve">which contains </w:t>
      </w:r>
      <w:r w:rsidR="00BD4FDC">
        <w:t>nine</w:t>
      </w:r>
      <w:r w:rsidR="00BD4FDC" w:rsidRPr="007F2135">
        <w:t xml:space="preserve"> </w:t>
      </w:r>
      <w:r w:rsidR="007F2135" w:rsidRPr="007F2135">
        <w:t>measures in response to recommendations of the</w:t>
      </w:r>
      <w:r w:rsidR="00BC1D56">
        <w:t xml:space="preserve"> </w:t>
      </w:r>
      <w:r w:rsidR="00BC1D56" w:rsidRPr="00ED2042">
        <w:t xml:space="preserve">Aged Care Quality and Safety </w:t>
      </w:r>
      <w:r w:rsidR="00BC1D56">
        <w:t>(</w:t>
      </w:r>
      <w:r w:rsidR="007F2135" w:rsidRPr="007F2135">
        <w:t>Royal Commission</w:t>
      </w:r>
      <w:r w:rsidR="00BC1D56">
        <w:t>)</w:t>
      </w:r>
      <w:r w:rsidR="007F2135">
        <w:t>.</w:t>
      </w:r>
      <w:r w:rsidR="00ED2042">
        <w:t xml:space="preserve"> </w:t>
      </w:r>
    </w:p>
    <w:p w14:paraId="0A353F46" w14:textId="40B8753C" w:rsidR="007F2135" w:rsidRDefault="007F2135" w:rsidP="007F2135">
      <w:pPr>
        <w:pStyle w:val="Paragraphtext"/>
      </w:pPr>
      <w:r>
        <w:t xml:space="preserve">Schedule 5 of the </w:t>
      </w:r>
      <w:r w:rsidR="00BD4FDC">
        <w:t xml:space="preserve">Act </w:t>
      </w:r>
      <w:r>
        <w:t xml:space="preserve">amends the </w:t>
      </w:r>
      <w:r w:rsidRPr="005B53F5">
        <w:rPr>
          <w:i/>
          <w:iCs/>
        </w:rPr>
        <w:t xml:space="preserve">Aged Care Act </w:t>
      </w:r>
      <w:r w:rsidR="005B53F5" w:rsidRPr="005B53F5">
        <w:rPr>
          <w:i/>
          <w:iCs/>
        </w:rPr>
        <w:t>1997</w:t>
      </w:r>
      <w:r w:rsidR="005B53F5">
        <w:t xml:space="preserve"> </w:t>
      </w:r>
      <w:r>
        <w:t xml:space="preserve">and the </w:t>
      </w:r>
      <w:r w:rsidR="0030646F" w:rsidRPr="0030646F">
        <w:rPr>
          <w:i/>
          <w:iCs/>
        </w:rPr>
        <w:t>Aged Car</w:t>
      </w:r>
      <w:r w:rsidR="0030646F">
        <w:t xml:space="preserve">e </w:t>
      </w:r>
      <w:r w:rsidRPr="005B53F5">
        <w:rPr>
          <w:i/>
          <w:iCs/>
        </w:rPr>
        <w:t xml:space="preserve">Quality and Safety Commission Act </w:t>
      </w:r>
      <w:r w:rsidR="005B53F5" w:rsidRPr="005B53F5">
        <w:rPr>
          <w:i/>
          <w:iCs/>
        </w:rPr>
        <w:t>20</w:t>
      </w:r>
      <w:r w:rsidR="005B53F5">
        <w:rPr>
          <w:i/>
          <w:iCs/>
        </w:rPr>
        <w:t>18</w:t>
      </w:r>
      <w:r w:rsidR="005B53F5" w:rsidRPr="005B53F5">
        <w:rPr>
          <w:i/>
          <w:iCs/>
        </w:rPr>
        <w:t xml:space="preserve"> </w:t>
      </w:r>
      <w:r>
        <w:t>to improve the governance of approved providers of Commonwealth-funded aged care. From 1 </w:t>
      </w:r>
      <w:r w:rsidR="00BD4FDC">
        <w:t xml:space="preserve">December </w:t>
      </w:r>
      <w:r>
        <w:t xml:space="preserve">2022, new governance responsibilities </w:t>
      </w:r>
      <w:r w:rsidR="00BD4FDC">
        <w:t xml:space="preserve">will commence </w:t>
      </w:r>
      <w:r>
        <w:t xml:space="preserve">for approved providers in relation to the membership of their governing bodies and the establishment of new advisory bodies, as well as measures to improve leadership and culture. Schedule 5 also introduces new reporting responsibilities for approved providers, which will help </w:t>
      </w:r>
      <w:r w:rsidR="00EE726A">
        <w:t xml:space="preserve">care </w:t>
      </w:r>
      <w:r w:rsidR="00EC3C0B">
        <w:t>recipie</w:t>
      </w:r>
      <w:r w:rsidR="00EC3C0B" w:rsidRPr="00EE726A">
        <w:t>nts and</w:t>
      </w:r>
      <w:r>
        <w:t xml:space="preserve"> their families to understand the operations of providers.</w:t>
      </w:r>
    </w:p>
    <w:p w14:paraId="37C92909" w14:textId="77777777" w:rsidR="007F2135" w:rsidRDefault="007F2135" w:rsidP="007F2135">
      <w:pPr>
        <w:pStyle w:val="Paragraphtext"/>
      </w:pPr>
      <w:r>
        <w:t xml:space="preserve">These measures are aimed at improving transparency and accountability and ensuring the focus of approved providers, from the top down, is on the best interests of care recipients. </w:t>
      </w:r>
    </w:p>
    <w:p w14:paraId="3B38187C" w14:textId="7A72740A" w:rsidR="005A1795" w:rsidRDefault="007F2135" w:rsidP="007F2135">
      <w:pPr>
        <w:pStyle w:val="Paragraphtext"/>
      </w:pPr>
      <w:r>
        <w:t xml:space="preserve">Schedule 5 of the </w:t>
      </w:r>
      <w:r w:rsidR="00FB479D">
        <w:t xml:space="preserve">Act </w:t>
      </w:r>
      <w:r>
        <w:t xml:space="preserve">aligns with Recommendations 88 to 90 of the Royal Commission, which noted the importance of good provider governance arrangements to the provision of </w:t>
      </w:r>
      <w:r w:rsidR="005B5F2F">
        <w:t>high-quality</w:t>
      </w:r>
      <w:r>
        <w:t xml:space="preserve"> care for </w:t>
      </w:r>
      <w:r w:rsidR="00EE726A">
        <w:t>care recipients</w:t>
      </w:r>
      <w:r>
        <w:t>.</w:t>
      </w:r>
    </w:p>
    <w:p w14:paraId="3D187F9D" w14:textId="13DA9574" w:rsidR="00382A6A" w:rsidRDefault="007F2135" w:rsidP="007F2135">
      <w:pPr>
        <w:pStyle w:val="Paragraphtext"/>
      </w:pPr>
      <w:r>
        <w:t xml:space="preserve">The </w:t>
      </w:r>
      <w:r w:rsidR="00FB479D">
        <w:t xml:space="preserve">Act </w:t>
      </w:r>
      <w:r>
        <w:t xml:space="preserve">allows for extra details about </w:t>
      </w:r>
      <w:r w:rsidR="00D3509A">
        <w:t xml:space="preserve">how </w:t>
      </w:r>
      <w:r>
        <w:t xml:space="preserve">these governance arrangements </w:t>
      </w:r>
      <w:r w:rsidR="00D3509A">
        <w:t xml:space="preserve">are </w:t>
      </w:r>
      <w:r>
        <w:t xml:space="preserve">to be </w:t>
      </w:r>
      <w:r w:rsidR="00D3509A">
        <w:t xml:space="preserve">implemented. These legislative rules will be </w:t>
      </w:r>
      <w:r>
        <w:t>set out in</w:t>
      </w:r>
      <w:r w:rsidR="00D3509A">
        <w:t xml:space="preserve"> subordinate </w:t>
      </w:r>
      <w:r w:rsidR="00392D96">
        <w:t>legislation</w:t>
      </w:r>
      <w:r>
        <w:t xml:space="preserve">. </w:t>
      </w:r>
    </w:p>
    <w:p w14:paraId="6EF0384F" w14:textId="77777777" w:rsidR="00192EC0" w:rsidRDefault="00192EC0" w:rsidP="00192EC0">
      <w:pPr>
        <w:pStyle w:val="Heading2"/>
      </w:pPr>
      <w:r>
        <w:t xml:space="preserve">The importance of provider governance </w:t>
      </w:r>
    </w:p>
    <w:p w14:paraId="10AD2550" w14:textId="0FDDE1BE" w:rsidR="00192EC0" w:rsidRDefault="00192EC0" w:rsidP="00192EC0">
      <w:pPr>
        <w:pStyle w:val="Paragraphtext"/>
      </w:pPr>
      <w:r>
        <w:t xml:space="preserve">The governing body (for example, a Board) of a provider is responsible for the safe and quality care and services delivered to </w:t>
      </w:r>
      <w:r w:rsidR="00EE726A" w:rsidRPr="00EE726A">
        <w:t xml:space="preserve">care </w:t>
      </w:r>
      <w:r w:rsidR="00EC3C0B" w:rsidRPr="00EE726A">
        <w:t>recipients</w:t>
      </w:r>
      <w:r w:rsidRPr="00EE726A">
        <w:t>.</w:t>
      </w:r>
    </w:p>
    <w:p w14:paraId="5D7D3638" w14:textId="604F0D65" w:rsidR="00192EC0" w:rsidRDefault="00192EC0" w:rsidP="00192EC0">
      <w:pPr>
        <w:pStyle w:val="Paragraphtext"/>
      </w:pPr>
      <w:r>
        <w:t xml:space="preserve">The governing body sets the strategic priorities for the provider’s organisation. It plays a critical role in setting the provider’s culture and whether this is focused on safety, quality and the best interests of </w:t>
      </w:r>
      <w:r w:rsidR="00EE726A" w:rsidRPr="00EE726A">
        <w:t xml:space="preserve">care </w:t>
      </w:r>
      <w:r w:rsidR="00EC3C0B" w:rsidRPr="00EE726A">
        <w:t>recipients</w:t>
      </w:r>
      <w:r>
        <w:t>.</w:t>
      </w:r>
    </w:p>
    <w:p w14:paraId="2795D91D" w14:textId="1AC047B9" w:rsidR="00192EC0" w:rsidRDefault="00192EC0" w:rsidP="00192EC0">
      <w:pPr>
        <w:pStyle w:val="Paragraphtext"/>
      </w:pPr>
      <w:r>
        <w:t>The Royal Commission noted the need for aged care providers to have strong governance arrangements. Provider governance and management impact</w:t>
      </w:r>
      <w:r w:rsidR="00EE726A">
        <w:t>s</w:t>
      </w:r>
      <w:r>
        <w:t xml:space="preserve"> all aspects of aged care. </w:t>
      </w:r>
    </w:p>
    <w:p w14:paraId="3AB6EE0D" w14:textId="65DE3990" w:rsidR="00217C8D" w:rsidRDefault="00217C8D" w:rsidP="00217C8D">
      <w:pPr>
        <w:pStyle w:val="Paragraphtext"/>
      </w:pPr>
      <w:r>
        <w:t xml:space="preserve">The Royal Commission recommended introducing new legislation by 1 January 2022 to strengthen provider </w:t>
      </w:r>
      <w:r w:rsidR="00EC3C0B">
        <w:t>governance. The</w:t>
      </w:r>
      <w:r w:rsidR="00DB6BBD">
        <w:t xml:space="preserve"> Act</w:t>
      </w:r>
      <w:r>
        <w:t xml:space="preserve"> will place new requirements on providers from 1 </w:t>
      </w:r>
      <w:r w:rsidR="00DB6BBD">
        <w:t xml:space="preserve">December </w:t>
      </w:r>
      <w:r>
        <w:t>2022 in relation to</w:t>
      </w:r>
      <w:r w:rsidR="00D3509A">
        <w:t>:</w:t>
      </w:r>
      <w:r>
        <w:t xml:space="preserve"> </w:t>
      </w:r>
    </w:p>
    <w:p w14:paraId="16D72B43" w14:textId="77777777" w:rsidR="00217C8D" w:rsidRDefault="00217C8D" w:rsidP="00B14EF2">
      <w:pPr>
        <w:pStyle w:val="Paragraphtext"/>
        <w:numPr>
          <w:ilvl w:val="0"/>
          <w:numId w:val="20"/>
        </w:numPr>
      </w:pPr>
      <w:r>
        <w:t>the membership of governing bodies</w:t>
      </w:r>
    </w:p>
    <w:p w14:paraId="57A36834" w14:textId="77777777" w:rsidR="00217C8D" w:rsidRDefault="00217C8D" w:rsidP="00B14EF2">
      <w:pPr>
        <w:pStyle w:val="Paragraphtext"/>
        <w:numPr>
          <w:ilvl w:val="0"/>
          <w:numId w:val="20"/>
        </w:numPr>
      </w:pPr>
      <w:r>
        <w:lastRenderedPageBreak/>
        <w:t>the provider’s constitution</w:t>
      </w:r>
    </w:p>
    <w:p w14:paraId="32E17BF1" w14:textId="77777777" w:rsidR="00217C8D" w:rsidRDefault="00217C8D" w:rsidP="00B14EF2">
      <w:pPr>
        <w:pStyle w:val="Paragraphtext"/>
        <w:numPr>
          <w:ilvl w:val="0"/>
          <w:numId w:val="20"/>
        </w:numPr>
      </w:pPr>
      <w:r>
        <w:t>advisory bodies</w:t>
      </w:r>
    </w:p>
    <w:p w14:paraId="0F5C995B" w14:textId="77777777" w:rsidR="00217C8D" w:rsidRDefault="00217C8D" w:rsidP="00B14EF2">
      <w:pPr>
        <w:pStyle w:val="Paragraphtext"/>
        <w:numPr>
          <w:ilvl w:val="0"/>
          <w:numId w:val="20"/>
        </w:numPr>
      </w:pPr>
      <w:r>
        <w:t>staff qualifications, skills and experience</w:t>
      </w:r>
    </w:p>
    <w:p w14:paraId="6E73F280" w14:textId="77777777" w:rsidR="00217C8D" w:rsidRDefault="00217C8D" w:rsidP="00B14EF2">
      <w:pPr>
        <w:pStyle w:val="Paragraphtext"/>
        <w:numPr>
          <w:ilvl w:val="0"/>
          <w:numId w:val="20"/>
        </w:numPr>
      </w:pPr>
      <w:r>
        <w:t>the suitability of key personnel in the provider’s organisation</w:t>
      </w:r>
    </w:p>
    <w:p w14:paraId="0766099D" w14:textId="4AF75C80" w:rsidR="00BD6CBB" w:rsidRPr="00BD6CBB" w:rsidRDefault="00EE726A" w:rsidP="00BD6CBB">
      <w:pPr>
        <w:pStyle w:val="Paragraphtext"/>
        <w:numPr>
          <w:ilvl w:val="0"/>
          <w:numId w:val="20"/>
        </w:numPr>
      </w:pPr>
      <w:r w:rsidRPr="00BD6CBB">
        <w:t>giv</w:t>
      </w:r>
      <w:r w:rsidRPr="00240F75">
        <w:t>ing</w:t>
      </w:r>
      <w:r w:rsidRPr="008669B6">
        <w:t xml:space="preserve"> annual information </w:t>
      </w:r>
      <w:r w:rsidRPr="00674DEC">
        <w:t xml:space="preserve">to the Secretary of the </w:t>
      </w:r>
      <w:r w:rsidR="00EC3C0B" w:rsidRPr="00674DEC">
        <w:t>Department</w:t>
      </w:r>
      <w:r w:rsidRPr="00E17478">
        <w:t>.</w:t>
      </w:r>
    </w:p>
    <w:p w14:paraId="1B881859" w14:textId="77777777" w:rsidR="00CD090B" w:rsidRDefault="00CD090B" w:rsidP="00CD090B">
      <w:pPr>
        <w:pStyle w:val="Heading3"/>
      </w:pPr>
      <w:r w:rsidRPr="00EE726A">
        <w:t>Membership of governing bodies</w:t>
      </w:r>
    </w:p>
    <w:p w14:paraId="4F1AE014" w14:textId="0EA48A4C" w:rsidR="00CD090B" w:rsidRDefault="00CD090B" w:rsidP="00CD090B">
      <w:pPr>
        <w:pStyle w:val="Paragraphtext"/>
      </w:pPr>
      <w:r>
        <w:t xml:space="preserve">The reforms in the </w:t>
      </w:r>
      <w:r w:rsidR="008B6936">
        <w:t>Act</w:t>
      </w:r>
      <w:r>
        <w:t xml:space="preserve"> will introduce new responsibilities for the membership of governing bodies that will mean certain approved providers must have:</w:t>
      </w:r>
    </w:p>
    <w:p w14:paraId="55133F9F" w14:textId="07EEC81D" w:rsidR="00CD090B" w:rsidRDefault="00CD090B" w:rsidP="00CD090B">
      <w:pPr>
        <w:pStyle w:val="Paragraphtext"/>
        <w:numPr>
          <w:ilvl w:val="0"/>
          <w:numId w:val="20"/>
        </w:numPr>
      </w:pPr>
      <w:r>
        <w:t>a majority of the members on their governing body be independent non-executive members</w:t>
      </w:r>
    </w:p>
    <w:p w14:paraId="5E7CA73A" w14:textId="77777777" w:rsidR="00CD090B" w:rsidRDefault="00CD090B" w:rsidP="00CD090B">
      <w:pPr>
        <w:pStyle w:val="Paragraphtext"/>
        <w:numPr>
          <w:ilvl w:val="0"/>
          <w:numId w:val="20"/>
        </w:numPr>
      </w:pPr>
      <w:r>
        <w:t>at least one member on their governing body who has clinical care experience.</w:t>
      </w:r>
    </w:p>
    <w:p w14:paraId="6F284E8F" w14:textId="77777777" w:rsidR="00CD090B" w:rsidRDefault="00CD090B" w:rsidP="00EE726A">
      <w:pPr>
        <w:pStyle w:val="Paragraphtext"/>
      </w:pPr>
      <w:r>
        <w:t>These responsibilities will not apply to approved providers, if:</w:t>
      </w:r>
    </w:p>
    <w:p w14:paraId="785AB2C4" w14:textId="77777777" w:rsidR="00CD090B" w:rsidRDefault="00CD090B" w:rsidP="00AD7E84">
      <w:pPr>
        <w:pStyle w:val="Paragraphtext"/>
        <w:numPr>
          <w:ilvl w:val="0"/>
          <w:numId w:val="20"/>
        </w:numPr>
      </w:pPr>
      <w:r>
        <w:t>the governing body has fewer than five members; and</w:t>
      </w:r>
    </w:p>
    <w:p w14:paraId="4A88FBEB" w14:textId="595A3962" w:rsidR="00CD090B" w:rsidRDefault="00CD090B" w:rsidP="00AD7E84">
      <w:pPr>
        <w:pStyle w:val="Paragraphtext"/>
        <w:numPr>
          <w:ilvl w:val="0"/>
          <w:numId w:val="20"/>
        </w:numPr>
      </w:pPr>
      <w:r>
        <w:t>the approved provider provides care to fewer than 40 care recipients across their services</w:t>
      </w:r>
      <w:r w:rsidR="00DB6BBD">
        <w:t>; and</w:t>
      </w:r>
    </w:p>
    <w:p w14:paraId="52DFB82C" w14:textId="18D1250D" w:rsidR="00DB6BBD" w:rsidRDefault="00DB6BBD" w:rsidP="00AD7E84">
      <w:pPr>
        <w:pStyle w:val="Paragraphtext"/>
        <w:numPr>
          <w:ilvl w:val="0"/>
          <w:numId w:val="20"/>
        </w:numPr>
      </w:pPr>
      <w:r>
        <w:t>the approved provider  is a kind of body that is known as an Aboriginal Community Controlled Organisation.</w:t>
      </w:r>
    </w:p>
    <w:p w14:paraId="043543D0" w14:textId="77777777" w:rsidR="00CD090B" w:rsidRDefault="00CD090B" w:rsidP="00CD090B">
      <w:pPr>
        <w:pStyle w:val="Paragraphtext"/>
      </w:pPr>
      <w:r>
        <w:t>This responsibility also does not apply to approved providers that are a State or Territory, a State or Territory authority, or a local government authority.</w:t>
      </w:r>
    </w:p>
    <w:p w14:paraId="0A772316" w14:textId="585444B5" w:rsidR="00CD090B" w:rsidRDefault="00CD090B" w:rsidP="00CD090B">
      <w:pPr>
        <w:pStyle w:val="Paragraphtext"/>
      </w:pPr>
      <w:r>
        <w:t xml:space="preserve">Under the arrangements in the </w:t>
      </w:r>
      <w:r w:rsidR="008B6936">
        <w:t>Act</w:t>
      </w:r>
      <w:r>
        <w:t>, an approved provider may apply to the Aged Care Quality and Safety Commissioner (Commissioner) for a determination that either or both of the above responsibilities do not apply for a period of time.</w:t>
      </w:r>
    </w:p>
    <w:p w14:paraId="1789B007" w14:textId="77777777" w:rsidR="00CD090B" w:rsidRDefault="00CD090B" w:rsidP="00CD090B">
      <w:pPr>
        <w:pStyle w:val="Paragraphtext"/>
      </w:pPr>
      <w:r>
        <w:t>When deciding that these responsibilities do not apply, the Commissioner may consider several matters such as:</w:t>
      </w:r>
    </w:p>
    <w:p w14:paraId="1832B664" w14:textId="77777777" w:rsidR="00CD090B" w:rsidRDefault="00CD090B" w:rsidP="00B14EF2">
      <w:pPr>
        <w:pStyle w:val="Paragraphtext"/>
        <w:numPr>
          <w:ilvl w:val="0"/>
          <w:numId w:val="20"/>
        </w:numPr>
      </w:pPr>
      <w:r>
        <w:t>the number of care recipients,</w:t>
      </w:r>
    </w:p>
    <w:p w14:paraId="6C8BD67E" w14:textId="77777777" w:rsidR="00CD090B" w:rsidRDefault="00CD090B" w:rsidP="00B14EF2">
      <w:pPr>
        <w:pStyle w:val="Paragraphtext"/>
        <w:numPr>
          <w:ilvl w:val="0"/>
          <w:numId w:val="20"/>
        </w:numPr>
      </w:pPr>
      <w:r>
        <w:t>the location of the provider’s services, and</w:t>
      </w:r>
    </w:p>
    <w:p w14:paraId="4BB09A81" w14:textId="77777777" w:rsidR="00CD090B" w:rsidRDefault="00CD090B" w:rsidP="00B14EF2">
      <w:pPr>
        <w:pStyle w:val="Paragraphtext"/>
        <w:numPr>
          <w:ilvl w:val="0"/>
          <w:numId w:val="20"/>
        </w:numPr>
      </w:pPr>
      <w:r>
        <w:t>any arrangements the provider has made to support members of the governing body in their decision making (such as seeking advice from a person with clinical care experience).</w:t>
      </w:r>
    </w:p>
    <w:p w14:paraId="51243515" w14:textId="1607367A" w:rsidR="00CD090B" w:rsidRPr="00CD090B" w:rsidRDefault="00DB6BBD" w:rsidP="00CD090B">
      <w:pPr>
        <w:pStyle w:val="Paragraphtext"/>
      </w:pPr>
      <w:r>
        <w:rPr>
          <w:b/>
          <w:bCs/>
        </w:rPr>
        <w:t>S</w:t>
      </w:r>
      <w:r w:rsidR="00CD090B" w:rsidRPr="008E4450">
        <w:rPr>
          <w:b/>
          <w:bCs/>
        </w:rPr>
        <w:t>tart date</w:t>
      </w:r>
      <w:r w:rsidR="008E4450">
        <w:rPr>
          <w:b/>
          <w:bCs/>
        </w:rPr>
        <w:t xml:space="preserve">: </w:t>
      </w:r>
      <w:r w:rsidR="00CD090B" w:rsidRPr="00CD090B">
        <w:t xml:space="preserve">1 </w:t>
      </w:r>
      <w:r>
        <w:t>December</w:t>
      </w:r>
      <w:r w:rsidRPr="00CD090B">
        <w:t xml:space="preserve"> </w:t>
      </w:r>
      <w:r w:rsidR="00CD090B" w:rsidRPr="00CD090B">
        <w:t>2022. However, providers who are approved before 1</w:t>
      </w:r>
      <w:r w:rsidR="00B14EF2">
        <w:t> </w:t>
      </w:r>
      <w:r>
        <w:t>December</w:t>
      </w:r>
      <w:r w:rsidR="00CD090B" w:rsidRPr="00CD090B">
        <w:t xml:space="preserve">2022, will have until 1 </w:t>
      </w:r>
      <w:r>
        <w:t>December</w:t>
      </w:r>
      <w:r w:rsidRPr="00CD090B">
        <w:t xml:space="preserve"> </w:t>
      </w:r>
      <w:r w:rsidR="00CD090B" w:rsidRPr="00CD090B">
        <w:t>2023 to meet these new responsibilities.</w:t>
      </w:r>
    </w:p>
    <w:p w14:paraId="751547E2" w14:textId="77777777" w:rsidR="00CD090B" w:rsidRDefault="00CD090B" w:rsidP="00CD090B">
      <w:pPr>
        <w:pStyle w:val="Heading3"/>
      </w:pPr>
      <w:r>
        <w:t>Provider’s constitution</w:t>
      </w:r>
    </w:p>
    <w:p w14:paraId="4C73A076" w14:textId="2DC1A7E2" w:rsidR="00CD090B" w:rsidRDefault="00CD090B" w:rsidP="00CD090B">
      <w:pPr>
        <w:pStyle w:val="Paragraphtext"/>
      </w:pPr>
      <w:r>
        <w:t xml:space="preserve">The reforms in the </w:t>
      </w:r>
      <w:r w:rsidR="008B6936">
        <w:t xml:space="preserve">Act </w:t>
      </w:r>
      <w:r>
        <w:t>will mean certain organisations need to ensure their constitution does not allow a director to act other than in the best interests of the approved provider. This responsibility will apply to certain approved providers who are:</w:t>
      </w:r>
    </w:p>
    <w:p w14:paraId="0ADFB659" w14:textId="77777777" w:rsidR="00CD090B" w:rsidRDefault="00CD090B" w:rsidP="00174FEB">
      <w:pPr>
        <w:pStyle w:val="Paragraphtext"/>
        <w:keepNext/>
        <w:keepLines/>
        <w:numPr>
          <w:ilvl w:val="0"/>
          <w:numId w:val="20"/>
        </w:numPr>
        <w:ind w:left="714" w:hanging="357"/>
      </w:pPr>
      <w:r>
        <w:t xml:space="preserve">incorporated or taken to be incorporated under the </w:t>
      </w:r>
      <w:r w:rsidRPr="00174FEB">
        <w:rPr>
          <w:i/>
          <w:iCs/>
        </w:rPr>
        <w:t>Corporations Act 2001</w:t>
      </w:r>
      <w:r>
        <w:t>; or</w:t>
      </w:r>
    </w:p>
    <w:p w14:paraId="436321E3" w14:textId="77777777" w:rsidR="00CD090B" w:rsidRDefault="00CD090B" w:rsidP="00174FEB">
      <w:pPr>
        <w:pStyle w:val="Paragraphtext"/>
        <w:keepNext/>
        <w:keepLines/>
        <w:numPr>
          <w:ilvl w:val="0"/>
          <w:numId w:val="20"/>
        </w:numPr>
        <w:ind w:left="714" w:hanging="357"/>
      </w:pPr>
      <w:r>
        <w:t xml:space="preserve">an Aboriginal and Torres Strait Islander corporation within the meaning of the </w:t>
      </w:r>
      <w:r w:rsidRPr="00B14EF2">
        <w:rPr>
          <w:i/>
          <w:iCs/>
        </w:rPr>
        <w:t>Corporations (Aboriginal and Torres Strait Islander) Act 2006</w:t>
      </w:r>
      <w:r>
        <w:t>.</w:t>
      </w:r>
    </w:p>
    <w:p w14:paraId="4D17EC16" w14:textId="55620C82" w:rsidR="00CD090B" w:rsidRDefault="00DB6BBD" w:rsidP="00CD090B">
      <w:pPr>
        <w:pStyle w:val="Paragraphtext"/>
      </w:pPr>
      <w:r>
        <w:rPr>
          <w:b/>
          <w:bCs/>
        </w:rPr>
        <w:t>S</w:t>
      </w:r>
      <w:r w:rsidR="00CD090B" w:rsidRPr="008E4450">
        <w:rPr>
          <w:b/>
          <w:bCs/>
        </w:rPr>
        <w:t>tart date:</w:t>
      </w:r>
      <w:r w:rsidR="00CD090B">
        <w:t xml:space="preserve"> 1 </w:t>
      </w:r>
      <w:r>
        <w:t>December</w:t>
      </w:r>
      <w:r w:rsidRPr="00CD090B">
        <w:t xml:space="preserve"> </w:t>
      </w:r>
      <w:r w:rsidR="00CD090B">
        <w:t>2022. However, providers who are approved before 1</w:t>
      </w:r>
      <w:r w:rsidR="0030646F">
        <w:t> </w:t>
      </w:r>
      <w:r>
        <w:t>December</w:t>
      </w:r>
      <w:r w:rsidR="00CD090B">
        <w:t xml:space="preserve">2022, will have until 1 </w:t>
      </w:r>
      <w:r>
        <w:t>December</w:t>
      </w:r>
      <w:r w:rsidRPr="00CD090B">
        <w:t xml:space="preserve"> </w:t>
      </w:r>
      <w:r w:rsidR="00CD090B">
        <w:t>2023 to meet these new responsibilities.</w:t>
      </w:r>
    </w:p>
    <w:p w14:paraId="29C8F40A" w14:textId="77777777" w:rsidR="00CD090B" w:rsidRDefault="00CD090B" w:rsidP="008E4450">
      <w:pPr>
        <w:pStyle w:val="Heading3"/>
      </w:pPr>
      <w:r>
        <w:lastRenderedPageBreak/>
        <w:t>Advisory bodies</w:t>
      </w:r>
    </w:p>
    <w:p w14:paraId="1D46FAA1" w14:textId="77777777" w:rsidR="00CD090B" w:rsidRDefault="00CD090B" w:rsidP="008E4450">
      <w:pPr>
        <w:pStyle w:val="Heading4"/>
      </w:pPr>
      <w:r>
        <w:t>Quality care advisory body</w:t>
      </w:r>
    </w:p>
    <w:p w14:paraId="4709A18B" w14:textId="2D86C705" w:rsidR="00CD090B" w:rsidRDefault="00CD090B" w:rsidP="00CD090B">
      <w:pPr>
        <w:pStyle w:val="Paragraphtext"/>
      </w:pPr>
      <w:r>
        <w:t xml:space="preserve">The reforms in the </w:t>
      </w:r>
      <w:r w:rsidR="008B6936">
        <w:t xml:space="preserve">Act </w:t>
      </w:r>
      <w:r>
        <w:t>will mean approved providers have to create, and maintain, a quality care advisory body. This body is to help keep the governing body informed about the quality of care delivered by the provider’s service/s.</w:t>
      </w:r>
    </w:p>
    <w:p w14:paraId="57872E08" w14:textId="77777777" w:rsidR="00CD090B" w:rsidRDefault="00CD090B" w:rsidP="00CD090B">
      <w:pPr>
        <w:pStyle w:val="Paragraphtext"/>
      </w:pPr>
      <w:r>
        <w:t xml:space="preserve">The reforms will mean the quality care advisory body has to give the provider’s governing body a written report on the quality of the aged care provided for each aged care service at least once every six months. The quality care advisory body can also give feedback to the provider’s governing body about the quality of care of a service. </w:t>
      </w:r>
    </w:p>
    <w:p w14:paraId="77FDCF41" w14:textId="77777777" w:rsidR="00CD090B" w:rsidRDefault="00CD090B" w:rsidP="00CD090B">
      <w:pPr>
        <w:pStyle w:val="Paragraphtext"/>
      </w:pPr>
      <w:r>
        <w:t>Under the reforms, the governing body will have to consider the report and any other feedback from the quality care advisory body when making decisions about the quality of care and tell the quality care advisory body in writing of how the feedback was considered.</w:t>
      </w:r>
    </w:p>
    <w:p w14:paraId="5F04F576" w14:textId="77777777" w:rsidR="00CD090B" w:rsidRPr="008E4450" w:rsidRDefault="00CD090B" w:rsidP="008E4450">
      <w:pPr>
        <w:pStyle w:val="Heading4"/>
      </w:pPr>
      <w:r w:rsidRPr="008E4450">
        <w:t>Consumer advisory body</w:t>
      </w:r>
    </w:p>
    <w:p w14:paraId="5C498BA7" w14:textId="2C955230" w:rsidR="00CD090B" w:rsidRDefault="00CD090B" w:rsidP="00CD090B">
      <w:pPr>
        <w:pStyle w:val="Paragraphtext"/>
      </w:pPr>
      <w:r>
        <w:t xml:space="preserve">The reforms in the </w:t>
      </w:r>
      <w:r w:rsidR="008B6936">
        <w:t xml:space="preserve">Act </w:t>
      </w:r>
      <w:r>
        <w:t>will mean that, at least once every 12 months, approved providers have to offer care recipients and their representatives the opportunity to create a consumer advisory body. Its purpose is to give the provider’s governing body feedback about the quality of care delivered at a provider’s service/s.</w:t>
      </w:r>
    </w:p>
    <w:p w14:paraId="0C7F7311" w14:textId="77777777" w:rsidR="00CD090B" w:rsidRDefault="00CD090B" w:rsidP="00CD090B">
      <w:pPr>
        <w:pStyle w:val="Paragraphtext"/>
      </w:pPr>
      <w:r>
        <w:t>If the consumer advisory body is created, the governing body must consider its feedback when making decisions about the quality of care and tell the consumer advisory body in writing of how the feedback was considered.</w:t>
      </w:r>
    </w:p>
    <w:p w14:paraId="106E0E26" w14:textId="7AA09CEC" w:rsidR="00CD090B" w:rsidRDefault="00DB6BBD" w:rsidP="00CD090B">
      <w:pPr>
        <w:pStyle w:val="Paragraphtext"/>
      </w:pPr>
      <w:r>
        <w:rPr>
          <w:b/>
          <w:bCs/>
        </w:rPr>
        <w:t>S</w:t>
      </w:r>
      <w:r w:rsidR="00CD090B" w:rsidRPr="008E4450">
        <w:rPr>
          <w:b/>
          <w:bCs/>
        </w:rPr>
        <w:t>tart date:</w:t>
      </w:r>
      <w:r w:rsidR="00CD090B">
        <w:t xml:space="preserve"> 1 </w:t>
      </w:r>
      <w:r>
        <w:t>December</w:t>
      </w:r>
      <w:r w:rsidRPr="00CD090B">
        <w:t xml:space="preserve"> </w:t>
      </w:r>
      <w:r w:rsidR="00CD090B">
        <w:t>2022. However, providers who are approved before 1</w:t>
      </w:r>
      <w:r w:rsidR="0030646F">
        <w:t> </w:t>
      </w:r>
      <w:r>
        <w:t xml:space="preserve">December </w:t>
      </w:r>
      <w:r w:rsidR="00CD090B">
        <w:t xml:space="preserve">2022, will have until 1 </w:t>
      </w:r>
      <w:r>
        <w:t>December</w:t>
      </w:r>
      <w:r w:rsidRPr="00CD090B">
        <w:t xml:space="preserve"> </w:t>
      </w:r>
      <w:r w:rsidR="00CD090B">
        <w:t>2023 to meet these new responsibilities.</w:t>
      </w:r>
    </w:p>
    <w:p w14:paraId="69217968" w14:textId="77777777" w:rsidR="00CD090B" w:rsidRDefault="00CD090B" w:rsidP="008E4450">
      <w:pPr>
        <w:pStyle w:val="Heading3"/>
      </w:pPr>
      <w:r>
        <w:t xml:space="preserve">Staff qualifications, skills and experience </w:t>
      </w:r>
    </w:p>
    <w:p w14:paraId="443B6E10" w14:textId="77777777" w:rsidR="00CD090B" w:rsidRDefault="00CD090B" w:rsidP="00CD090B">
      <w:pPr>
        <w:pStyle w:val="Paragraphtext"/>
      </w:pPr>
      <w:r>
        <w:t>The new legislation will mean the governing body must ensure the approved provider’s staff members:</w:t>
      </w:r>
    </w:p>
    <w:p w14:paraId="36FA2924" w14:textId="77777777" w:rsidR="00CD090B" w:rsidRDefault="00CD090B" w:rsidP="00174FEB">
      <w:pPr>
        <w:pStyle w:val="Paragraphtext"/>
        <w:numPr>
          <w:ilvl w:val="0"/>
          <w:numId w:val="20"/>
        </w:numPr>
      </w:pPr>
      <w:r>
        <w:t>have appropriate qualifications, skills or experience to provide the care or other services to care recipients through an aged care service; and</w:t>
      </w:r>
    </w:p>
    <w:p w14:paraId="36090EF0" w14:textId="77777777" w:rsidR="00CD090B" w:rsidRDefault="00CD090B" w:rsidP="00174FEB">
      <w:pPr>
        <w:pStyle w:val="Paragraphtext"/>
        <w:numPr>
          <w:ilvl w:val="0"/>
          <w:numId w:val="20"/>
        </w:numPr>
      </w:pPr>
      <w:r>
        <w:t>have opportunities to develop their capability to provide that care or those other services.</w:t>
      </w:r>
    </w:p>
    <w:p w14:paraId="148EE442" w14:textId="12747EB0" w:rsidR="00CD090B" w:rsidRPr="008E4450" w:rsidRDefault="00DB6BBD" w:rsidP="00CD090B">
      <w:pPr>
        <w:pStyle w:val="Paragraphtext"/>
        <w:rPr>
          <w:b/>
          <w:bCs/>
        </w:rPr>
      </w:pPr>
      <w:r>
        <w:rPr>
          <w:b/>
          <w:bCs/>
        </w:rPr>
        <w:t>S</w:t>
      </w:r>
      <w:r w:rsidR="00174FEB">
        <w:rPr>
          <w:b/>
          <w:bCs/>
        </w:rPr>
        <w:t>tart</w:t>
      </w:r>
      <w:r w:rsidR="00CD090B" w:rsidRPr="008E4450">
        <w:rPr>
          <w:b/>
          <w:bCs/>
        </w:rPr>
        <w:t xml:space="preserve"> date:</w:t>
      </w:r>
      <w:r w:rsidR="00CD090B" w:rsidRPr="008E4450">
        <w:t xml:space="preserve">1 </w:t>
      </w:r>
      <w:r>
        <w:t>December</w:t>
      </w:r>
      <w:r w:rsidRPr="00CD090B">
        <w:t xml:space="preserve"> </w:t>
      </w:r>
      <w:r w:rsidR="00CD090B" w:rsidRPr="008E4450">
        <w:t>2022. However, providers who are approved prior to 1</w:t>
      </w:r>
      <w:r w:rsidR="00FC714E">
        <w:t> </w:t>
      </w:r>
      <w:r>
        <w:t>December</w:t>
      </w:r>
      <w:r w:rsidR="00CD090B" w:rsidRPr="008E4450">
        <w:t xml:space="preserve">2022, will have until 1 </w:t>
      </w:r>
      <w:r>
        <w:t>December</w:t>
      </w:r>
      <w:r w:rsidRPr="00CD090B">
        <w:t xml:space="preserve"> </w:t>
      </w:r>
      <w:r w:rsidR="00CD090B" w:rsidRPr="008E4450">
        <w:t>2023 to meet these new responsibilities.</w:t>
      </w:r>
    </w:p>
    <w:p w14:paraId="48D76E00" w14:textId="77777777" w:rsidR="00CD090B" w:rsidRPr="008E4450" w:rsidRDefault="00CD090B" w:rsidP="008E4450">
      <w:pPr>
        <w:pStyle w:val="Heading3"/>
      </w:pPr>
      <w:r w:rsidRPr="008E4450">
        <w:t>Suitability of key personnel</w:t>
      </w:r>
    </w:p>
    <w:p w14:paraId="0BA3CE6B" w14:textId="77777777" w:rsidR="00CD090B" w:rsidRPr="008E4450" w:rsidRDefault="00CD090B" w:rsidP="00CD090B">
      <w:pPr>
        <w:pStyle w:val="Paragraphtext"/>
      </w:pPr>
      <w:r w:rsidRPr="008E4450">
        <w:t xml:space="preserve">Under current aged care </w:t>
      </w:r>
      <w:r w:rsidR="005B5F2F" w:rsidRPr="008E4450">
        <w:t>legislation,</w:t>
      </w:r>
      <w:r w:rsidRPr="008E4450">
        <w:t xml:space="preserve"> the key personnel of an approved provider include:</w:t>
      </w:r>
    </w:p>
    <w:p w14:paraId="26329F3D" w14:textId="77777777" w:rsidR="00CD090B" w:rsidRDefault="00CD090B" w:rsidP="00174FEB">
      <w:pPr>
        <w:pStyle w:val="Paragraphtext"/>
        <w:numPr>
          <w:ilvl w:val="0"/>
          <w:numId w:val="20"/>
        </w:numPr>
      </w:pPr>
      <w:r>
        <w:t xml:space="preserve">people responsible for the nursing services who hold a recognised qualification in nursing, and </w:t>
      </w:r>
    </w:p>
    <w:p w14:paraId="7F139BC2" w14:textId="1A2CF0CB" w:rsidR="00CD090B" w:rsidRDefault="00CD090B" w:rsidP="00174FEB">
      <w:pPr>
        <w:pStyle w:val="Paragraphtext"/>
        <w:numPr>
          <w:ilvl w:val="0"/>
          <w:numId w:val="20"/>
        </w:numPr>
      </w:pPr>
      <w:r>
        <w:t xml:space="preserve">any person who is responsible for the </w:t>
      </w:r>
      <w:r w:rsidR="00EC3C0B">
        <w:t>day-to-day</w:t>
      </w:r>
      <w:r>
        <w:t xml:space="preserve"> operations of an aged care service.</w:t>
      </w:r>
    </w:p>
    <w:p w14:paraId="2E4B4EF3" w14:textId="77777777" w:rsidR="00CD090B" w:rsidRDefault="00CD090B" w:rsidP="00D149B1">
      <w:pPr>
        <w:pStyle w:val="Paragraphtext"/>
        <w:keepNext/>
      </w:pPr>
      <w:r>
        <w:t>For providers who are not a State or Territory it also includes:</w:t>
      </w:r>
    </w:p>
    <w:p w14:paraId="1A20824B" w14:textId="77777777" w:rsidR="00CD090B" w:rsidRDefault="00CD090B" w:rsidP="00323E8B">
      <w:pPr>
        <w:pStyle w:val="Paragraphtext"/>
        <w:keepNext/>
        <w:keepLines/>
        <w:numPr>
          <w:ilvl w:val="0"/>
          <w:numId w:val="20"/>
        </w:numPr>
        <w:ind w:left="714" w:hanging="357"/>
      </w:pPr>
      <w:r>
        <w:t>a member of the group responsible for executive decisions, and</w:t>
      </w:r>
    </w:p>
    <w:p w14:paraId="6C332BB2" w14:textId="77777777" w:rsidR="00CD090B" w:rsidRDefault="00CD090B" w:rsidP="00323E8B">
      <w:pPr>
        <w:pStyle w:val="Paragraphtext"/>
        <w:keepNext/>
        <w:keepLines/>
        <w:numPr>
          <w:ilvl w:val="0"/>
          <w:numId w:val="20"/>
        </w:numPr>
        <w:ind w:left="714" w:hanging="357"/>
      </w:pPr>
      <w:r>
        <w:t>a person who has authority/responsibility for, or significant influence over, the planning, direction or control of the provider’s activities.</w:t>
      </w:r>
    </w:p>
    <w:p w14:paraId="02202B34" w14:textId="491E60D4" w:rsidR="00CD090B" w:rsidRDefault="00CD090B" w:rsidP="00CD090B">
      <w:pPr>
        <w:pStyle w:val="Paragraphtext"/>
      </w:pPr>
      <w:r>
        <w:t xml:space="preserve">The reforms in the </w:t>
      </w:r>
      <w:r w:rsidR="008B6936">
        <w:t xml:space="preserve">Act </w:t>
      </w:r>
      <w:r>
        <w:t>will mean that, at least once every 12 months, approved providers must consider the suitability of their key personnel and be satisfied that their key personnel are suitable to be involved in providing aged care. Providers must keep a record of this.</w:t>
      </w:r>
    </w:p>
    <w:p w14:paraId="27260DC8" w14:textId="77777777" w:rsidR="00CD090B" w:rsidRDefault="00CD090B" w:rsidP="00CD090B">
      <w:pPr>
        <w:pStyle w:val="Paragraphtext"/>
      </w:pPr>
      <w:r>
        <w:lastRenderedPageBreak/>
        <w:t>Key personnel must tell the provider of changes in their circumstances that may affect their suitability to provide aged care.</w:t>
      </w:r>
    </w:p>
    <w:p w14:paraId="79EB8BB8" w14:textId="77777777" w:rsidR="00CD090B" w:rsidRDefault="00CD090B" w:rsidP="00CD090B">
      <w:pPr>
        <w:pStyle w:val="Paragraphtext"/>
      </w:pPr>
      <w:r>
        <w:t>In addition, approved providers must tell the Aged Care Quality and Safety Commission (Commission) of any changes to key personnel within 14 days of the change. This includes a change of circumstances that is about the suitability of their key personnel involved in providing aged care.</w:t>
      </w:r>
    </w:p>
    <w:p w14:paraId="5C5C0F6C" w14:textId="77777777" w:rsidR="00CD090B" w:rsidRDefault="00CD090B" w:rsidP="00CD090B">
      <w:pPr>
        <w:pStyle w:val="Paragraphtext"/>
      </w:pPr>
      <w:r>
        <w:t>The Commission will have the power to ask the approved provider for information relevant to the suitability of key personnel at any time.</w:t>
      </w:r>
    </w:p>
    <w:p w14:paraId="52C88C8F" w14:textId="7802209F" w:rsidR="00CD090B" w:rsidRDefault="00CD090B" w:rsidP="00CD090B">
      <w:pPr>
        <w:pStyle w:val="Paragraphtext"/>
      </w:pPr>
      <w:r>
        <w:t>The Commissioner may decide that an individual who is a key personnel</w:t>
      </w:r>
      <w:r w:rsidR="00091759">
        <w:t xml:space="preserve"> of an approved pr</w:t>
      </w:r>
      <w:r w:rsidR="00323E8B">
        <w:t>o</w:t>
      </w:r>
      <w:r w:rsidR="00091759">
        <w:t>v</w:t>
      </w:r>
      <w:r w:rsidR="00323E8B">
        <w:t>i</w:t>
      </w:r>
      <w:r w:rsidR="00091759">
        <w:t xml:space="preserve">der </w:t>
      </w:r>
      <w:r>
        <w:t xml:space="preserve"> is not suitable to provide aged care</w:t>
      </w:r>
      <w:r w:rsidR="00323E8B">
        <w:t xml:space="preserve"> and</w:t>
      </w:r>
      <w:r>
        <w:t xml:space="preserve"> that a provider must take action to stop the individual being one of their key personnel.</w:t>
      </w:r>
    </w:p>
    <w:p w14:paraId="72C51A1F" w14:textId="124809F0" w:rsidR="00CD090B" w:rsidRDefault="00DB6BBD" w:rsidP="00CD090B">
      <w:pPr>
        <w:pStyle w:val="Paragraphtext"/>
      </w:pPr>
      <w:r>
        <w:rPr>
          <w:b/>
          <w:bCs/>
        </w:rPr>
        <w:t>S</w:t>
      </w:r>
      <w:r w:rsidR="00CD090B" w:rsidRPr="008E4450">
        <w:rPr>
          <w:b/>
          <w:bCs/>
        </w:rPr>
        <w:t>tart date</w:t>
      </w:r>
      <w:r w:rsidR="00CD090B">
        <w:t xml:space="preserve">: 1 </w:t>
      </w:r>
      <w:r>
        <w:t>December</w:t>
      </w:r>
      <w:r w:rsidRPr="00CD090B">
        <w:t xml:space="preserve"> </w:t>
      </w:r>
      <w:r w:rsidR="00CD090B">
        <w:t>2022 for all approved providers.</w:t>
      </w:r>
    </w:p>
    <w:p w14:paraId="0E87FEBE" w14:textId="00D638EE" w:rsidR="00CD090B" w:rsidRDefault="00DB6BBD" w:rsidP="00DB6BBD">
      <w:pPr>
        <w:pStyle w:val="Heading3"/>
      </w:pPr>
      <w:r>
        <w:t>Responsibility to give</w:t>
      </w:r>
      <w:r w:rsidR="00BD6CBB">
        <w:t xml:space="preserve"> </w:t>
      </w:r>
      <w:r>
        <w:t xml:space="preserve">information </w:t>
      </w:r>
      <w:r w:rsidR="003176CD">
        <w:t xml:space="preserve">and statements to the Secretary </w:t>
      </w:r>
    </w:p>
    <w:p w14:paraId="12446CA8" w14:textId="0EBCCCBE" w:rsidR="00CD090B" w:rsidRDefault="00CD090B" w:rsidP="00CD090B">
      <w:pPr>
        <w:pStyle w:val="Paragraphtext"/>
      </w:pPr>
      <w:r>
        <w:t xml:space="preserve">The reforms in the </w:t>
      </w:r>
      <w:r w:rsidR="008B6936">
        <w:t>Act</w:t>
      </w:r>
      <w:r>
        <w:t xml:space="preserve"> mean approved providers will need to give</w:t>
      </w:r>
      <w:r w:rsidR="003176CD">
        <w:t xml:space="preserve"> the Secretary of the </w:t>
      </w:r>
      <w:r w:rsidR="00EC3C0B">
        <w:t>Department</w:t>
      </w:r>
      <w:r w:rsidR="003176CD">
        <w:t xml:space="preserve"> specified information</w:t>
      </w:r>
      <w:r w:rsidR="00DB6BBD">
        <w:t xml:space="preserve"> </w:t>
      </w:r>
      <w:r w:rsidR="003176CD">
        <w:t>and statement</w:t>
      </w:r>
      <w:r w:rsidR="00BD6CBB">
        <w:t>s in relation to an annual reporting period</w:t>
      </w:r>
      <w:r w:rsidR="000A1F55">
        <w:t xml:space="preserve">. This information is </w:t>
      </w:r>
      <w:r w:rsidR="00EC3C0B">
        <w:t>intended</w:t>
      </w:r>
      <w:r>
        <w:t xml:space="preserve"> to be published on My Aged Care</w:t>
      </w:r>
      <w:r w:rsidR="00BD6CBB">
        <w:t xml:space="preserve"> </w:t>
      </w:r>
      <w:r>
        <w:t>to help care recipients and their families to better understand the provider’s operations.</w:t>
      </w:r>
    </w:p>
    <w:p w14:paraId="66093442" w14:textId="4E7B639B" w:rsidR="00CD090B" w:rsidRDefault="00CD090B" w:rsidP="00CD090B">
      <w:pPr>
        <w:pStyle w:val="Paragraphtext"/>
      </w:pPr>
      <w:r w:rsidRPr="008E4450">
        <w:rPr>
          <w:b/>
          <w:bCs/>
        </w:rPr>
        <w:t>Proposed start date:</w:t>
      </w:r>
      <w:r>
        <w:t xml:space="preserve"> </w:t>
      </w:r>
      <w:r w:rsidR="00240F75">
        <w:t>A</w:t>
      </w:r>
      <w:r>
        <w:t>pproved providers</w:t>
      </w:r>
      <w:r w:rsidR="00577F8B">
        <w:t xml:space="preserve"> will</w:t>
      </w:r>
      <w:r>
        <w:t xml:space="preserve"> need to </w:t>
      </w:r>
      <w:r w:rsidR="00240F75">
        <w:t xml:space="preserve">submit </w:t>
      </w:r>
      <w:r>
        <w:t>information for the 2022-23 financial year</w:t>
      </w:r>
      <w:r w:rsidR="00240F75">
        <w:t xml:space="preserve"> </w:t>
      </w:r>
      <w:r>
        <w:t>to the Department by 31</w:t>
      </w:r>
      <w:r w:rsidR="00BD6CBB">
        <w:t> </w:t>
      </w:r>
      <w:r>
        <w:t>October 2023.</w:t>
      </w:r>
    </w:p>
    <w:p w14:paraId="0A26AFE8" w14:textId="77777777" w:rsidR="00192EC0" w:rsidRDefault="008E4450" w:rsidP="008E4450">
      <w:pPr>
        <w:pStyle w:val="Heading2"/>
      </w:pPr>
      <w:r w:rsidRPr="00BD6CBB">
        <w:t xml:space="preserve">Further </w:t>
      </w:r>
      <w:r w:rsidR="0030646F" w:rsidRPr="00BD6CBB">
        <w:t>i</w:t>
      </w:r>
      <w:r w:rsidRPr="00BD6CBB">
        <w:t>ssues to be address</w:t>
      </w:r>
      <w:r w:rsidR="0030646F" w:rsidRPr="00240F75">
        <w:t>ed</w:t>
      </w:r>
      <w:r w:rsidRPr="008669B6">
        <w:t xml:space="preserve"> by subordinate legislation</w:t>
      </w:r>
      <w:r>
        <w:t xml:space="preserve"> </w:t>
      </w:r>
    </w:p>
    <w:p w14:paraId="0937084A" w14:textId="25E00B06" w:rsidR="008E4450" w:rsidRDefault="008E4450" w:rsidP="00CD090B">
      <w:pPr>
        <w:pStyle w:val="Paragraphtext"/>
      </w:pPr>
      <w:r>
        <w:t xml:space="preserve">Rules </w:t>
      </w:r>
      <w:r w:rsidR="0030646F">
        <w:t xml:space="preserve">are </w:t>
      </w:r>
      <w:r>
        <w:t xml:space="preserve">also being prepared to </w:t>
      </w:r>
      <w:r w:rsidR="00472890">
        <w:t xml:space="preserve">support the application of </w:t>
      </w:r>
      <w:r>
        <w:t>the above requirements.</w:t>
      </w:r>
      <w:r w:rsidR="00472890">
        <w:t xml:space="preserve"> These rules</w:t>
      </w:r>
      <w:r w:rsidR="00EA0191">
        <w:t>, to be contained in subordinate legislation</w:t>
      </w:r>
      <w:r w:rsidR="001F1592">
        <w:t>,</w:t>
      </w:r>
      <w:r w:rsidR="00EA0191">
        <w:t xml:space="preserve"> </w:t>
      </w:r>
      <w:r w:rsidR="00472890">
        <w:t>are to address the following issues:</w:t>
      </w:r>
      <w:r>
        <w:t xml:space="preserve"> </w:t>
      </w:r>
    </w:p>
    <w:p w14:paraId="1F45AA6B" w14:textId="77777777" w:rsidR="00472890" w:rsidRDefault="00472890" w:rsidP="00323E8B">
      <w:pPr>
        <w:pStyle w:val="Paragraphtext"/>
        <w:keepNext/>
        <w:keepLines/>
        <w:numPr>
          <w:ilvl w:val="0"/>
          <w:numId w:val="20"/>
        </w:numPr>
        <w:ind w:left="714" w:hanging="357"/>
      </w:pPr>
      <w:r>
        <w:t xml:space="preserve">Membership of the </w:t>
      </w:r>
      <w:r w:rsidRPr="006D0A93">
        <w:t>quality care advisory body</w:t>
      </w:r>
    </w:p>
    <w:p w14:paraId="4EA792CD" w14:textId="7E47422A" w:rsidR="00472890" w:rsidRDefault="00472890" w:rsidP="00323E8B">
      <w:pPr>
        <w:pStyle w:val="Paragraphtext"/>
        <w:keepNext/>
        <w:keepLines/>
        <w:numPr>
          <w:ilvl w:val="0"/>
          <w:numId w:val="20"/>
        </w:numPr>
        <w:ind w:left="714" w:hanging="357"/>
      </w:pPr>
      <w:r>
        <w:t>Q</w:t>
      </w:r>
      <w:r w:rsidRPr="006D0A93">
        <w:t>uality care advisory body</w:t>
      </w:r>
      <w:r>
        <w:t xml:space="preserve"> report</w:t>
      </w:r>
      <w:r w:rsidR="001F1592">
        <w:t>s</w:t>
      </w:r>
      <w:r>
        <w:t xml:space="preserve"> to the governing body</w:t>
      </w:r>
    </w:p>
    <w:p w14:paraId="762CD475" w14:textId="232E46CD" w:rsidR="00BD6CBB" w:rsidRPr="00472890" w:rsidRDefault="000A1F55" w:rsidP="00323E8B">
      <w:pPr>
        <w:pStyle w:val="Paragraphtext"/>
        <w:keepNext/>
        <w:keepLines/>
        <w:numPr>
          <w:ilvl w:val="0"/>
          <w:numId w:val="20"/>
        </w:numPr>
        <w:ind w:left="714" w:hanging="357"/>
      </w:pPr>
      <w:r w:rsidRPr="000A1F55">
        <w:t>Responsibilities relating to the giving of information relating to reporting periods</w:t>
      </w:r>
    </w:p>
    <w:p w14:paraId="5A1C61E7" w14:textId="5DF04795" w:rsidR="00472890" w:rsidRDefault="00472890" w:rsidP="00323E8B">
      <w:pPr>
        <w:pStyle w:val="Paragraphtext"/>
        <w:keepNext/>
        <w:keepLines/>
        <w:numPr>
          <w:ilvl w:val="0"/>
          <w:numId w:val="20"/>
        </w:numPr>
        <w:ind w:left="714" w:hanging="357"/>
      </w:pPr>
      <w:r w:rsidRPr="0029529A">
        <w:t>Records to be kept by approved providers</w:t>
      </w:r>
      <w:r w:rsidR="000A1F55">
        <w:t>, including</w:t>
      </w:r>
      <w:r w:rsidR="000A1F55" w:rsidRPr="000A1F55">
        <w:t xml:space="preserve"> record</w:t>
      </w:r>
      <w:r w:rsidR="000A1F55">
        <w:t xml:space="preserve">s about </w:t>
      </w:r>
      <w:r w:rsidR="000A1F55" w:rsidRPr="000A1F55">
        <w:t>the suitability matters considered by an approved provide</w:t>
      </w:r>
      <w:r w:rsidR="000A1F55">
        <w:t>r.</w:t>
      </w:r>
    </w:p>
    <w:p w14:paraId="0DE4C2B2" w14:textId="77777777" w:rsidR="00472890" w:rsidRPr="00C513C2" w:rsidRDefault="00472890" w:rsidP="00472890">
      <w:pPr>
        <w:pStyle w:val="Heading4"/>
      </w:pPr>
      <w:r w:rsidRPr="00C513C2">
        <w:t>Membership of the quality care advisory body</w:t>
      </w:r>
    </w:p>
    <w:p w14:paraId="1C0DF019" w14:textId="77777777" w:rsidR="00C513C2" w:rsidRPr="00C513C2" w:rsidRDefault="00C513C2" w:rsidP="003D21D6">
      <w:pPr>
        <w:pStyle w:val="Paragraphtext"/>
      </w:pPr>
      <w:r w:rsidRPr="00C513C2">
        <w:t>The subordinate legislation will set out the membership requirements of the quality care advisory body.</w:t>
      </w:r>
      <w:r>
        <w:t xml:space="preserve"> </w:t>
      </w:r>
      <w:r w:rsidR="003D21D6">
        <w:t xml:space="preserve">It is </w:t>
      </w:r>
      <w:r>
        <w:t>propose</w:t>
      </w:r>
      <w:r w:rsidR="003D21D6">
        <w:t>d</w:t>
      </w:r>
      <w:r>
        <w:t xml:space="preserve"> that the legislation set out minimum requirements that </w:t>
      </w:r>
      <w:r w:rsidR="00EA0191">
        <w:t xml:space="preserve">apply to all approved providers and </w:t>
      </w:r>
      <w:r>
        <w:t>would allow providers to include extra members on their quality care advisory body if they wished.</w:t>
      </w:r>
    </w:p>
    <w:p w14:paraId="5DC0A2DB" w14:textId="77777777" w:rsidR="00472890" w:rsidRPr="00C513C2" w:rsidRDefault="00472890" w:rsidP="00472890">
      <w:pPr>
        <w:pStyle w:val="Heading4"/>
      </w:pPr>
      <w:r w:rsidRPr="00C513C2">
        <w:t>Quality care advisory body’s report to the governing body</w:t>
      </w:r>
    </w:p>
    <w:p w14:paraId="4234991B" w14:textId="652F96E4" w:rsidR="00C513C2" w:rsidRPr="003D21D6" w:rsidRDefault="00C513C2" w:rsidP="003D21D6">
      <w:pPr>
        <w:pStyle w:val="Paragraphtext"/>
      </w:pPr>
      <w:r w:rsidRPr="003D21D6">
        <w:t>The subordinate legislation will set out the matters that the quality care advisory body report must consider</w:t>
      </w:r>
      <w:r w:rsidR="00EA0191" w:rsidRPr="003D21D6">
        <w:t xml:space="preserve"> as part of its </w:t>
      </w:r>
      <w:r w:rsidR="000A1F55" w:rsidRPr="000A1F55">
        <w:t>written report given to the governing body of an approved provider about the quality of aged care that the approved provider provides</w:t>
      </w:r>
      <w:r w:rsidR="00FD1172">
        <w:t xml:space="preserve"> through an aged care service</w:t>
      </w:r>
      <w:r w:rsidR="000A1F55" w:rsidRPr="000A1F55">
        <w:t xml:space="preserve"> </w:t>
      </w:r>
      <w:r w:rsidR="00FD1172">
        <w:t>The report is to include</w:t>
      </w:r>
      <w:r w:rsidR="00FD1172" w:rsidRPr="00FD1172">
        <w:t xml:space="preserve"> any concerns that the quality care advisory body has about the quality of aged care provided by the approved provider</w:t>
      </w:r>
      <w:r w:rsidR="00FD1172">
        <w:t>.</w:t>
      </w:r>
      <w:r w:rsidR="00FD1172" w:rsidRPr="003D21D6">
        <w:t xml:space="preserve"> </w:t>
      </w:r>
      <w:r w:rsidR="003D21D6" w:rsidRPr="003D21D6">
        <w:t>concerns about care .</w:t>
      </w:r>
    </w:p>
    <w:p w14:paraId="78180B13" w14:textId="7F29B57E" w:rsidR="00577F8B" w:rsidRDefault="00BD6CBB" w:rsidP="00EA0191">
      <w:pPr>
        <w:pStyle w:val="Paragraphtext"/>
        <w:spacing w:after="0"/>
        <w:ind w:right="247"/>
      </w:pPr>
      <w:r w:rsidRPr="00BD6CBB">
        <w:rPr>
          <w:b/>
          <w:bCs/>
          <w:i/>
          <w:color w:val="414141"/>
          <w:sz w:val="24"/>
          <w:szCs w:val="28"/>
        </w:rPr>
        <w:t>Responsibility to give information and statements to the Secretary</w:t>
      </w:r>
      <w:r w:rsidRPr="00BD6CBB">
        <w:t xml:space="preserve"> </w:t>
      </w:r>
    </w:p>
    <w:p w14:paraId="66FE6134" w14:textId="77776903" w:rsidR="00EA0191" w:rsidRPr="003D21D6" w:rsidRDefault="00EA0191" w:rsidP="00EA0191">
      <w:pPr>
        <w:pStyle w:val="Paragraphtext"/>
        <w:spacing w:after="0"/>
        <w:ind w:right="247"/>
      </w:pPr>
      <w:r w:rsidRPr="003D21D6">
        <w:t xml:space="preserve">The subordinate legislation will set out the information </w:t>
      </w:r>
      <w:r w:rsidR="00FD1172">
        <w:t xml:space="preserve">the provider must give to the Secretary in relation to </w:t>
      </w:r>
      <w:r w:rsidR="00EC3C0B">
        <w:t>reporting</w:t>
      </w:r>
      <w:r w:rsidR="00FD1172">
        <w:t xml:space="preserve"> periods </w:t>
      </w:r>
      <w:r w:rsidRPr="003D21D6">
        <w:t>.</w:t>
      </w:r>
      <w:r w:rsidR="003D21D6" w:rsidRPr="003D21D6">
        <w:t xml:space="preserve"> An </w:t>
      </w:r>
      <w:r w:rsidR="003D21D6" w:rsidRPr="00C96F24">
        <w:t>information and communication technology (ICT) c</w:t>
      </w:r>
      <w:r w:rsidR="003D21D6">
        <w:t xml:space="preserve">apability is to be developed </w:t>
      </w:r>
      <w:r w:rsidR="003D21D6" w:rsidRPr="003D21D6">
        <w:t>to reduce duplication of reporting for providers where information has already been collected by the Department.</w:t>
      </w:r>
    </w:p>
    <w:p w14:paraId="47E3EBEB" w14:textId="77777777" w:rsidR="00472890" w:rsidRDefault="00472890" w:rsidP="00472890">
      <w:pPr>
        <w:pStyle w:val="Heading4"/>
      </w:pPr>
      <w:r>
        <w:lastRenderedPageBreak/>
        <w:t>Proposed records to be kept by approved providers:</w:t>
      </w:r>
    </w:p>
    <w:p w14:paraId="0DDE8305" w14:textId="77777777" w:rsidR="00472890" w:rsidRPr="003D21D6" w:rsidRDefault="00EA0191" w:rsidP="00472890">
      <w:pPr>
        <w:pStyle w:val="Paragraphtext"/>
        <w:spacing w:after="0"/>
        <w:ind w:right="247"/>
      </w:pPr>
      <w:r w:rsidRPr="003D21D6">
        <w:t>The subordinate legislation will set out the records a provider will need to keep as evidence they comply with the above proposed governance obligations.</w:t>
      </w:r>
      <w:r w:rsidR="003D21D6" w:rsidRPr="003D21D6">
        <w:t xml:space="preserve"> </w:t>
      </w:r>
      <w:r w:rsidR="00472890" w:rsidRPr="003D21D6">
        <w:t xml:space="preserve">It is proposed that approved aged care providers be required to keep records </w:t>
      </w:r>
      <w:r w:rsidR="005B5F2F" w:rsidRPr="003D21D6">
        <w:t>regarding</w:t>
      </w:r>
      <w:r w:rsidR="003D21D6" w:rsidRPr="003D21D6">
        <w:t>:</w:t>
      </w:r>
    </w:p>
    <w:p w14:paraId="2C5518D4" w14:textId="27194F38" w:rsidR="00472890" w:rsidRPr="003D21D6" w:rsidRDefault="00472890" w:rsidP="00323E8B">
      <w:pPr>
        <w:pStyle w:val="Paragraphtext"/>
        <w:keepNext/>
        <w:keepLines/>
        <w:numPr>
          <w:ilvl w:val="0"/>
          <w:numId w:val="20"/>
        </w:numPr>
        <w:ind w:left="714" w:hanging="357"/>
      </w:pPr>
      <w:r w:rsidRPr="003D21D6">
        <w:t>Membership of the governing body</w:t>
      </w:r>
    </w:p>
    <w:p w14:paraId="57A657D4" w14:textId="359CE919" w:rsidR="00472890" w:rsidRPr="003D21D6" w:rsidRDefault="00472890" w:rsidP="00323E8B">
      <w:pPr>
        <w:pStyle w:val="Paragraphtext"/>
        <w:keepNext/>
        <w:keepLines/>
        <w:numPr>
          <w:ilvl w:val="0"/>
          <w:numId w:val="20"/>
        </w:numPr>
        <w:ind w:left="714" w:hanging="357"/>
      </w:pPr>
      <w:r w:rsidRPr="003D21D6">
        <w:t>Quality care advisory body</w:t>
      </w:r>
    </w:p>
    <w:p w14:paraId="23843F8D" w14:textId="1CCDC79B" w:rsidR="00472890" w:rsidRPr="003D21D6" w:rsidRDefault="00472890" w:rsidP="00323E8B">
      <w:pPr>
        <w:pStyle w:val="Paragraphtext"/>
        <w:keepNext/>
        <w:keepLines/>
        <w:numPr>
          <w:ilvl w:val="0"/>
          <w:numId w:val="20"/>
        </w:numPr>
        <w:ind w:left="714" w:hanging="357"/>
      </w:pPr>
      <w:r w:rsidRPr="003D21D6">
        <w:t>Consumer advisory body</w:t>
      </w:r>
    </w:p>
    <w:p w14:paraId="2386CE67" w14:textId="462ABB0C" w:rsidR="00472890" w:rsidRPr="003D21D6" w:rsidRDefault="00472890" w:rsidP="00323E8B">
      <w:pPr>
        <w:pStyle w:val="Paragraphtext"/>
        <w:keepNext/>
        <w:keepLines/>
        <w:numPr>
          <w:ilvl w:val="0"/>
          <w:numId w:val="20"/>
        </w:numPr>
        <w:ind w:left="714" w:hanging="357"/>
      </w:pPr>
      <w:r w:rsidRPr="003D21D6">
        <w:t>Governing body responsibility for staff members</w:t>
      </w:r>
    </w:p>
    <w:p w14:paraId="05A91884" w14:textId="77777777" w:rsidR="00472890" w:rsidRPr="003D21D6" w:rsidRDefault="00472890" w:rsidP="00323E8B">
      <w:pPr>
        <w:pStyle w:val="Paragraphtext"/>
        <w:keepNext/>
        <w:keepLines/>
        <w:numPr>
          <w:ilvl w:val="0"/>
          <w:numId w:val="20"/>
        </w:numPr>
        <w:ind w:left="714" w:hanging="357"/>
      </w:pPr>
      <w:r w:rsidRPr="003D21D6">
        <w:t>Suitability of key personnel</w:t>
      </w:r>
    </w:p>
    <w:p w14:paraId="431E444A" w14:textId="77777777" w:rsidR="00D3509A" w:rsidRDefault="00D3509A">
      <w:pPr>
        <w:rPr>
          <w:rFonts w:cs="Arial"/>
          <w:bCs/>
          <w:color w:val="3F4A75"/>
          <w:kern w:val="28"/>
          <w:sz w:val="36"/>
          <w:szCs w:val="36"/>
        </w:rPr>
      </w:pPr>
    </w:p>
    <w:p w14:paraId="7B2E9788" w14:textId="77777777" w:rsidR="00D3509A" w:rsidRDefault="00D3509A">
      <w:pPr>
        <w:rPr>
          <w:rFonts w:cs="Arial"/>
          <w:bCs/>
          <w:color w:val="3F4A75"/>
          <w:kern w:val="28"/>
          <w:sz w:val="36"/>
          <w:szCs w:val="36"/>
        </w:rPr>
      </w:pPr>
      <w:r>
        <w:rPr>
          <w:rFonts w:cs="Arial"/>
          <w:bCs/>
          <w:color w:val="3F4A75"/>
          <w:kern w:val="28"/>
          <w:sz w:val="36"/>
          <w:szCs w:val="36"/>
        </w:rPr>
        <w:t xml:space="preserve">Public </w:t>
      </w:r>
      <w:r w:rsidR="00392D96">
        <w:rPr>
          <w:rFonts w:cs="Arial"/>
          <w:bCs/>
          <w:color w:val="3F4A75"/>
          <w:kern w:val="28"/>
          <w:sz w:val="36"/>
          <w:szCs w:val="36"/>
        </w:rPr>
        <w:t>consultation</w:t>
      </w:r>
      <w:r>
        <w:rPr>
          <w:rFonts w:cs="Arial"/>
          <w:bCs/>
          <w:color w:val="3F4A75"/>
          <w:kern w:val="28"/>
          <w:sz w:val="36"/>
          <w:szCs w:val="36"/>
        </w:rPr>
        <w:t xml:space="preserve"> on subordinate legislation</w:t>
      </w:r>
    </w:p>
    <w:p w14:paraId="457835A4" w14:textId="04542680" w:rsidR="001C0EE8" w:rsidRDefault="00D3509A" w:rsidP="00D3509A">
      <w:pPr>
        <w:pStyle w:val="Paragraphtext"/>
        <w:spacing w:after="0"/>
        <w:ind w:right="247"/>
      </w:pPr>
      <w:r w:rsidRPr="003D21D6">
        <w:t xml:space="preserve">Public consultation on the proposed subordinate legislation changes </w:t>
      </w:r>
      <w:r w:rsidR="00573A8E" w:rsidRPr="003D21D6">
        <w:t>occurred during the period 21 December 202</w:t>
      </w:r>
      <w:r w:rsidR="00091759">
        <w:t>1</w:t>
      </w:r>
      <w:r w:rsidR="00573A8E" w:rsidRPr="003D21D6">
        <w:t xml:space="preserve"> and 18 January 2022</w:t>
      </w:r>
      <w:r w:rsidRPr="003D21D6">
        <w:t xml:space="preserve">. </w:t>
      </w:r>
      <w:r w:rsidR="00573A8E" w:rsidRPr="003D21D6">
        <w:t xml:space="preserve">Information on the public </w:t>
      </w:r>
      <w:r w:rsidR="00392D96" w:rsidRPr="003D21D6">
        <w:t>consultation</w:t>
      </w:r>
      <w:r w:rsidR="00573A8E" w:rsidRPr="003D21D6">
        <w:t xml:space="preserve"> is available at:</w:t>
      </w:r>
      <w:r w:rsidR="001C0EE8" w:rsidRPr="001C0EE8">
        <w:t xml:space="preserve"> </w:t>
      </w:r>
      <w:hyperlink r:id="rId11" w:history="1">
        <w:r w:rsidR="00FD1172" w:rsidRPr="00260F03">
          <w:rPr>
            <w:rStyle w:val="Hyperlink"/>
          </w:rPr>
          <w:t>https://consultations.health.gov.au/aged-care-reform-compliance-division/strengthening-aged-care-provider-governance-consul/</w:t>
        </w:r>
      </w:hyperlink>
      <w:r w:rsidR="001C0EE8" w:rsidRPr="003D21D6">
        <w:t xml:space="preserve"> </w:t>
      </w:r>
    </w:p>
    <w:p w14:paraId="4E94C988" w14:textId="77777777" w:rsidR="00BD6CBB" w:rsidRDefault="00BD6CBB" w:rsidP="00FD1172"/>
    <w:p w14:paraId="31361AD6" w14:textId="169789F9" w:rsidR="00FD1172" w:rsidRDefault="00FD1172" w:rsidP="00FD1172">
      <w:pPr>
        <w:rPr>
          <w:rFonts w:ascii="Times New Roman" w:hAnsi="Times New Roman"/>
          <w:sz w:val="24"/>
          <w:lang w:eastAsia="en-AU"/>
        </w:rPr>
      </w:pPr>
      <w:r w:rsidRPr="00FD1172">
        <w:t>The Department undertook targeted consultation on provider governance initiatives with aged care stakeholder and consumer reference groups during the period of December 2021 to September 2022</w:t>
      </w:r>
      <w:r>
        <w:t xml:space="preserve">. </w:t>
      </w:r>
    </w:p>
    <w:p w14:paraId="03B04BE7" w14:textId="77777777" w:rsidR="00FD1172" w:rsidRDefault="00FD1172" w:rsidP="00FD1172"/>
    <w:p w14:paraId="261F2BAD" w14:textId="7076F52C" w:rsidR="00FD1172" w:rsidRPr="003D21D6" w:rsidRDefault="00FD1172" w:rsidP="00043711">
      <w:pPr>
        <w:pStyle w:val="Paragraphtext"/>
        <w:spacing w:before="0" w:after="0"/>
        <w:ind w:right="247"/>
      </w:pPr>
      <w:r>
        <w:t>The Department published the draft</w:t>
      </w:r>
      <w:r w:rsidR="00BD6CBB">
        <w:t xml:space="preserve"> </w:t>
      </w:r>
      <w:r w:rsidR="00240F75" w:rsidRPr="003D21D6">
        <w:t>subordinate legislation</w:t>
      </w:r>
      <w:r>
        <w:t xml:space="preserve"> and the accompanying Explanatory Statement on the Department’s website on 31 October 2022 and provided a 14-day period for comment.</w:t>
      </w:r>
    </w:p>
    <w:p w14:paraId="2FAEAA86" w14:textId="77777777" w:rsidR="00217C8D" w:rsidRPr="003D21D6" w:rsidRDefault="00217C8D" w:rsidP="00D3509A">
      <w:pPr>
        <w:pStyle w:val="Paragraphtext"/>
        <w:spacing w:after="0"/>
        <w:ind w:right="247"/>
      </w:pPr>
      <w:r w:rsidRPr="003D21D6">
        <w:br w:type="page"/>
      </w:r>
    </w:p>
    <w:p w14:paraId="5AD09744" w14:textId="7D991C18" w:rsidR="00613FA2" w:rsidRDefault="00613FA2" w:rsidP="00613FA2">
      <w:pPr>
        <w:pStyle w:val="Heading1"/>
      </w:pPr>
      <w:r>
        <w:lastRenderedPageBreak/>
        <w:t xml:space="preserve">Supplementary Assessment RIS </w:t>
      </w:r>
      <w:r w:rsidR="005B5F2F">
        <w:t>Question</w:t>
      </w:r>
      <w:r>
        <w:t xml:space="preserve"> 7 - How </w:t>
      </w:r>
      <w:r w:rsidR="001F1592">
        <w:t>W</w:t>
      </w:r>
      <w:r>
        <w:t xml:space="preserve">ill </w:t>
      </w:r>
      <w:r w:rsidR="001F1592">
        <w:t>Y</w:t>
      </w:r>
      <w:r>
        <w:t xml:space="preserve">ou Implement </w:t>
      </w:r>
      <w:r w:rsidR="00217C8D">
        <w:t>a</w:t>
      </w:r>
      <w:r>
        <w:t xml:space="preserve">nd Evaluate </w:t>
      </w:r>
      <w:r w:rsidR="001F1592">
        <w:t>Y</w:t>
      </w:r>
      <w:r>
        <w:t>our Chosen Option?</w:t>
      </w:r>
    </w:p>
    <w:p w14:paraId="0F47FB93" w14:textId="77777777" w:rsidR="0074628F" w:rsidRDefault="00F24416" w:rsidP="0062646F">
      <w:pPr>
        <w:pStyle w:val="Heading3"/>
      </w:pPr>
      <w:r>
        <w:t xml:space="preserve">Implementation </w:t>
      </w:r>
    </w:p>
    <w:p w14:paraId="578AF125" w14:textId="263F0F51" w:rsidR="0076007D" w:rsidRPr="002C0198" w:rsidRDefault="00C54F40" w:rsidP="002C0198">
      <w:pPr>
        <w:rPr>
          <w:color w:val="000000" w:themeColor="text1"/>
          <w:sz w:val="21"/>
        </w:rPr>
      </w:pPr>
      <w:r w:rsidRPr="002C0198">
        <w:rPr>
          <w:color w:val="000000" w:themeColor="text1"/>
          <w:sz w:val="21"/>
        </w:rPr>
        <w:t xml:space="preserve">The </w:t>
      </w:r>
      <w:r w:rsidR="008B6936">
        <w:rPr>
          <w:color w:val="000000" w:themeColor="text1"/>
          <w:sz w:val="21"/>
        </w:rPr>
        <w:t xml:space="preserve">Act </w:t>
      </w:r>
      <w:r w:rsidRPr="002C0198">
        <w:rPr>
          <w:color w:val="000000" w:themeColor="text1"/>
          <w:sz w:val="21"/>
        </w:rPr>
        <w:t>includes details of the timeframes for i</w:t>
      </w:r>
      <w:r w:rsidR="005B5F2F" w:rsidRPr="002C0198">
        <w:rPr>
          <w:color w:val="000000" w:themeColor="text1"/>
          <w:sz w:val="21"/>
        </w:rPr>
        <w:t>mplementation</w:t>
      </w:r>
      <w:r w:rsidR="00F24416" w:rsidRPr="002C0198">
        <w:rPr>
          <w:color w:val="000000" w:themeColor="text1"/>
          <w:sz w:val="21"/>
        </w:rPr>
        <w:t xml:space="preserve"> of the approved provider governance reforms</w:t>
      </w:r>
      <w:r w:rsidRPr="002C0198">
        <w:rPr>
          <w:color w:val="000000" w:themeColor="text1"/>
          <w:sz w:val="21"/>
        </w:rPr>
        <w:t xml:space="preserve">. </w:t>
      </w:r>
      <w:r w:rsidR="0076007D" w:rsidRPr="002C0198">
        <w:rPr>
          <w:color w:val="000000" w:themeColor="text1"/>
          <w:sz w:val="21"/>
        </w:rPr>
        <w:t>In summary</w:t>
      </w:r>
      <w:r w:rsidR="000D3DF9" w:rsidRPr="002C0198">
        <w:rPr>
          <w:color w:val="000000" w:themeColor="text1"/>
          <w:sz w:val="21"/>
        </w:rPr>
        <w:t>, the implementation timeframes for the new approved provider reforms are</w:t>
      </w:r>
      <w:r w:rsidR="0076007D" w:rsidRPr="002C0198">
        <w:rPr>
          <w:color w:val="000000" w:themeColor="text1"/>
          <w:sz w:val="21"/>
        </w:rPr>
        <w:t>:</w:t>
      </w:r>
    </w:p>
    <w:p w14:paraId="085201DF" w14:textId="5C3B6759" w:rsidR="0076007D" w:rsidRPr="001C0EE8" w:rsidRDefault="001C0EE8" w:rsidP="001C0EE8">
      <w:pPr>
        <w:pStyle w:val="ListParagraph"/>
        <w:numPr>
          <w:ilvl w:val="0"/>
          <w:numId w:val="42"/>
        </w:numPr>
        <w:rPr>
          <w:color w:val="000000" w:themeColor="text1"/>
          <w:sz w:val="21"/>
        </w:rPr>
      </w:pPr>
      <w:r>
        <w:rPr>
          <w:color w:val="000000" w:themeColor="text1"/>
          <w:sz w:val="21"/>
        </w:rPr>
        <w:t>O</w:t>
      </w:r>
      <w:r w:rsidRPr="001C0EE8">
        <w:rPr>
          <w:color w:val="000000" w:themeColor="text1"/>
          <w:sz w:val="21"/>
        </w:rPr>
        <w:t>n 1 </w:t>
      </w:r>
      <w:r w:rsidR="008B6936">
        <w:rPr>
          <w:color w:val="000000" w:themeColor="text1"/>
          <w:sz w:val="21"/>
        </w:rPr>
        <w:t>December</w:t>
      </w:r>
      <w:r w:rsidR="008B6936" w:rsidRPr="001C0EE8">
        <w:rPr>
          <w:color w:val="000000" w:themeColor="text1"/>
          <w:sz w:val="21"/>
        </w:rPr>
        <w:t xml:space="preserve"> </w:t>
      </w:r>
      <w:r w:rsidRPr="001C0EE8">
        <w:rPr>
          <w:color w:val="000000" w:themeColor="text1"/>
          <w:sz w:val="21"/>
        </w:rPr>
        <w:t>2022</w:t>
      </w:r>
      <w:r>
        <w:rPr>
          <w:color w:val="000000" w:themeColor="text1"/>
          <w:sz w:val="21"/>
        </w:rPr>
        <w:t>,</w:t>
      </w:r>
      <w:r w:rsidRPr="001C0EE8">
        <w:rPr>
          <w:color w:val="000000" w:themeColor="text1"/>
          <w:sz w:val="21"/>
        </w:rPr>
        <w:t xml:space="preserve"> </w:t>
      </w:r>
      <w:r>
        <w:rPr>
          <w:color w:val="000000" w:themeColor="text1"/>
          <w:sz w:val="21"/>
        </w:rPr>
        <w:t xml:space="preserve">proposed new </w:t>
      </w:r>
      <w:r w:rsidR="0076007D" w:rsidRPr="001C0EE8">
        <w:rPr>
          <w:color w:val="000000" w:themeColor="text1"/>
          <w:sz w:val="21"/>
        </w:rPr>
        <w:t xml:space="preserve">responsibilities regarding the suitability of key personnel will commence for all </w:t>
      </w:r>
      <w:r>
        <w:rPr>
          <w:color w:val="000000" w:themeColor="text1"/>
          <w:sz w:val="21"/>
        </w:rPr>
        <w:t xml:space="preserve">approved </w:t>
      </w:r>
      <w:r w:rsidR="0076007D" w:rsidRPr="001C0EE8">
        <w:rPr>
          <w:color w:val="000000" w:themeColor="text1"/>
          <w:sz w:val="21"/>
        </w:rPr>
        <w:t>providers</w:t>
      </w:r>
      <w:r>
        <w:rPr>
          <w:color w:val="000000" w:themeColor="text1"/>
          <w:sz w:val="21"/>
        </w:rPr>
        <w:t>.</w:t>
      </w:r>
    </w:p>
    <w:p w14:paraId="5C7FE6C7" w14:textId="6CBC2ED5" w:rsidR="00240F75" w:rsidRDefault="00240F75" w:rsidP="00240F75">
      <w:pPr>
        <w:pStyle w:val="Paragraphtext"/>
        <w:numPr>
          <w:ilvl w:val="0"/>
          <w:numId w:val="39"/>
        </w:numPr>
      </w:pPr>
      <w:r>
        <w:t>A</w:t>
      </w:r>
      <w:r w:rsidR="0076007D" w:rsidRPr="002C0198">
        <w:t xml:space="preserve">pproved providers need to </w:t>
      </w:r>
      <w:r>
        <w:t xml:space="preserve">submit </w:t>
      </w:r>
      <w:r w:rsidR="0076007D" w:rsidRPr="002C0198">
        <w:t>information for the 2022-23 financial year</w:t>
      </w:r>
      <w:r w:rsidR="00577F8B">
        <w:t xml:space="preserve"> </w:t>
      </w:r>
      <w:r w:rsidR="0076007D" w:rsidRPr="002C0198">
        <w:t xml:space="preserve">to the </w:t>
      </w:r>
      <w:r w:rsidR="00577F8B">
        <w:t xml:space="preserve">Secretary </w:t>
      </w:r>
      <w:r w:rsidR="0076007D" w:rsidRPr="002C0198">
        <w:t>by 31 October 2023</w:t>
      </w:r>
      <w:r w:rsidR="0030646F">
        <w:t>.</w:t>
      </w:r>
    </w:p>
    <w:p w14:paraId="22F8F8AA" w14:textId="619C1526" w:rsidR="00F24416" w:rsidRPr="002C0198" w:rsidRDefault="001C0EE8" w:rsidP="002C0198">
      <w:pPr>
        <w:pStyle w:val="ListParagraph"/>
        <w:numPr>
          <w:ilvl w:val="0"/>
          <w:numId w:val="39"/>
        </w:numPr>
        <w:rPr>
          <w:color w:val="000000" w:themeColor="text1"/>
          <w:sz w:val="21"/>
        </w:rPr>
      </w:pPr>
      <w:r>
        <w:rPr>
          <w:color w:val="000000" w:themeColor="text1"/>
          <w:sz w:val="21"/>
        </w:rPr>
        <w:t>O</w:t>
      </w:r>
      <w:r w:rsidR="008640FB" w:rsidRPr="002C0198">
        <w:rPr>
          <w:color w:val="000000" w:themeColor="text1"/>
          <w:sz w:val="21"/>
        </w:rPr>
        <w:t xml:space="preserve">n </w:t>
      </w:r>
      <w:r w:rsidR="0076007D" w:rsidRPr="002C0198">
        <w:rPr>
          <w:color w:val="000000" w:themeColor="text1"/>
          <w:sz w:val="21"/>
        </w:rPr>
        <w:t xml:space="preserve">1 </w:t>
      </w:r>
      <w:r w:rsidR="008B6936">
        <w:rPr>
          <w:color w:val="000000" w:themeColor="text1"/>
          <w:sz w:val="21"/>
        </w:rPr>
        <w:t xml:space="preserve">December </w:t>
      </w:r>
      <w:r w:rsidR="0076007D" w:rsidRPr="002C0198">
        <w:rPr>
          <w:color w:val="000000" w:themeColor="text1"/>
          <w:sz w:val="21"/>
        </w:rPr>
        <w:t>2022</w:t>
      </w:r>
      <w:r>
        <w:rPr>
          <w:color w:val="000000" w:themeColor="text1"/>
          <w:sz w:val="21"/>
        </w:rPr>
        <w:t xml:space="preserve"> the following reforms commence for new approved providers</w:t>
      </w:r>
      <w:r w:rsidR="0062646F" w:rsidRPr="002C0198">
        <w:rPr>
          <w:color w:val="000000" w:themeColor="text1"/>
          <w:sz w:val="21"/>
        </w:rPr>
        <w:t>;</w:t>
      </w:r>
      <w:r w:rsidR="000D3DF9" w:rsidRPr="002C0198">
        <w:rPr>
          <w:color w:val="000000" w:themeColor="text1"/>
          <w:sz w:val="21"/>
        </w:rPr>
        <w:t xml:space="preserve"> </w:t>
      </w:r>
      <w:r w:rsidR="0062646F" w:rsidRPr="002C0198">
        <w:rPr>
          <w:color w:val="000000" w:themeColor="text1"/>
          <w:sz w:val="21"/>
        </w:rPr>
        <w:t>h</w:t>
      </w:r>
      <w:r w:rsidR="000D3DF9" w:rsidRPr="002C0198">
        <w:rPr>
          <w:color w:val="000000" w:themeColor="text1"/>
          <w:sz w:val="21"/>
        </w:rPr>
        <w:t xml:space="preserve">owever, providers who are approved before 1 </w:t>
      </w:r>
      <w:r w:rsidR="00343030">
        <w:rPr>
          <w:color w:val="000000" w:themeColor="text1"/>
          <w:sz w:val="21"/>
        </w:rPr>
        <w:t>December</w:t>
      </w:r>
      <w:r w:rsidR="000D3DF9" w:rsidRPr="002C0198">
        <w:rPr>
          <w:color w:val="000000" w:themeColor="text1"/>
          <w:sz w:val="21"/>
        </w:rPr>
        <w:t>2022, will have until 1</w:t>
      </w:r>
      <w:r w:rsidR="00577F8B">
        <w:rPr>
          <w:color w:val="000000" w:themeColor="text1"/>
          <w:sz w:val="21"/>
        </w:rPr>
        <w:t> </w:t>
      </w:r>
      <w:r w:rsidR="00343030">
        <w:rPr>
          <w:color w:val="000000" w:themeColor="text1"/>
          <w:sz w:val="21"/>
        </w:rPr>
        <w:t xml:space="preserve">December </w:t>
      </w:r>
      <w:r w:rsidR="000D3DF9" w:rsidRPr="002C0198">
        <w:rPr>
          <w:color w:val="000000" w:themeColor="text1"/>
          <w:sz w:val="21"/>
        </w:rPr>
        <w:t>2023 to meet these new responsibilities</w:t>
      </w:r>
      <w:r w:rsidR="0062646F" w:rsidRPr="002C0198">
        <w:rPr>
          <w:color w:val="000000" w:themeColor="text1"/>
          <w:sz w:val="21"/>
        </w:rPr>
        <w:t>:</w:t>
      </w:r>
    </w:p>
    <w:p w14:paraId="4468612F" w14:textId="77777777" w:rsidR="0076007D" w:rsidRPr="002C0198" w:rsidRDefault="0076007D" w:rsidP="00AD7E84">
      <w:pPr>
        <w:pStyle w:val="ListParagraph"/>
        <w:numPr>
          <w:ilvl w:val="1"/>
          <w:numId w:val="39"/>
        </w:numPr>
        <w:spacing w:before="120"/>
        <w:ind w:left="1434" w:hanging="357"/>
        <w:contextualSpacing w:val="0"/>
        <w:rPr>
          <w:color w:val="000000" w:themeColor="text1"/>
          <w:sz w:val="21"/>
        </w:rPr>
      </w:pPr>
      <w:r w:rsidRPr="002C0198">
        <w:rPr>
          <w:color w:val="000000" w:themeColor="text1"/>
          <w:sz w:val="21"/>
        </w:rPr>
        <w:t xml:space="preserve">new responsibilities for the membership of governing bodies </w:t>
      </w:r>
    </w:p>
    <w:p w14:paraId="7365103A" w14:textId="77777777" w:rsidR="0076007D" w:rsidRPr="002C0198" w:rsidRDefault="0076007D" w:rsidP="00AD7E84">
      <w:pPr>
        <w:pStyle w:val="ListParagraph"/>
        <w:numPr>
          <w:ilvl w:val="1"/>
          <w:numId w:val="39"/>
        </w:numPr>
        <w:spacing w:before="120"/>
        <w:ind w:left="1434" w:hanging="357"/>
        <w:contextualSpacing w:val="0"/>
        <w:rPr>
          <w:color w:val="000000" w:themeColor="text1"/>
          <w:sz w:val="21"/>
        </w:rPr>
      </w:pPr>
      <w:r w:rsidRPr="002C0198">
        <w:rPr>
          <w:color w:val="000000" w:themeColor="text1"/>
          <w:sz w:val="21"/>
        </w:rPr>
        <w:t>reforms regarding provider’s constitution</w:t>
      </w:r>
    </w:p>
    <w:p w14:paraId="072C7E34" w14:textId="77777777" w:rsidR="0076007D" w:rsidRPr="002C0198" w:rsidRDefault="0076007D" w:rsidP="00AD7E84">
      <w:pPr>
        <w:pStyle w:val="ListParagraph"/>
        <w:numPr>
          <w:ilvl w:val="1"/>
          <w:numId w:val="39"/>
        </w:numPr>
        <w:spacing w:before="120"/>
        <w:ind w:left="1434" w:hanging="357"/>
        <w:contextualSpacing w:val="0"/>
        <w:rPr>
          <w:color w:val="000000" w:themeColor="text1"/>
          <w:sz w:val="21"/>
        </w:rPr>
      </w:pPr>
      <w:r w:rsidRPr="002C0198">
        <w:rPr>
          <w:color w:val="000000" w:themeColor="text1"/>
          <w:sz w:val="21"/>
        </w:rPr>
        <w:t>reforms regarding a quality care advisory body and consumer advisory body</w:t>
      </w:r>
    </w:p>
    <w:p w14:paraId="50F2518E" w14:textId="77777777" w:rsidR="00224F6B" w:rsidRDefault="0076007D" w:rsidP="00AD7E84">
      <w:pPr>
        <w:pStyle w:val="ListParagraph"/>
        <w:numPr>
          <w:ilvl w:val="1"/>
          <w:numId w:val="39"/>
        </w:numPr>
        <w:spacing w:before="120"/>
        <w:ind w:left="1434" w:hanging="357"/>
        <w:contextualSpacing w:val="0"/>
        <w:rPr>
          <w:color w:val="000000" w:themeColor="text1"/>
          <w:sz w:val="21"/>
        </w:rPr>
      </w:pPr>
      <w:r w:rsidRPr="002C0198">
        <w:rPr>
          <w:color w:val="000000" w:themeColor="text1"/>
          <w:sz w:val="21"/>
        </w:rPr>
        <w:t>governing body responsibilities regarding staff qualifications, skills and experience</w:t>
      </w:r>
      <w:r w:rsidR="0062646F" w:rsidRPr="002C0198">
        <w:rPr>
          <w:color w:val="000000" w:themeColor="text1"/>
          <w:sz w:val="21"/>
        </w:rPr>
        <w:t>.</w:t>
      </w:r>
    </w:p>
    <w:p w14:paraId="7B2F850E" w14:textId="77777777" w:rsidR="00224F6B" w:rsidRDefault="00224F6B" w:rsidP="00224F6B">
      <w:pPr>
        <w:pStyle w:val="ListParagraph"/>
        <w:ind w:left="1440"/>
        <w:rPr>
          <w:color w:val="000000" w:themeColor="text1"/>
          <w:sz w:val="21"/>
        </w:rPr>
      </w:pPr>
    </w:p>
    <w:p w14:paraId="69106D6F" w14:textId="6E6E88B9" w:rsidR="00224F6B" w:rsidRDefault="00224F6B" w:rsidP="00224F6B">
      <w:pPr>
        <w:rPr>
          <w:color w:val="000000" w:themeColor="text1"/>
          <w:sz w:val="21"/>
        </w:rPr>
      </w:pPr>
      <w:r w:rsidRPr="00224F6B">
        <w:rPr>
          <w:color w:val="000000" w:themeColor="text1"/>
          <w:sz w:val="21"/>
        </w:rPr>
        <w:t>A key challenge for implementation of the approved provider measures includes service providers not being prepared or unable to meet the new regulatory requirements. This may arise from the need for priority to be placed on respond</w:t>
      </w:r>
      <w:r w:rsidR="0030646F">
        <w:rPr>
          <w:color w:val="000000" w:themeColor="text1"/>
          <w:sz w:val="21"/>
        </w:rPr>
        <w:t>ing</w:t>
      </w:r>
      <w:r w:rsidRPr="00224F6B">
        <w:rPr>
          <w:color w:val="000000" w:themeColor="text1"/>
          <w:sz w:val="21"/>
        </w:rPr>
        <w:t xml:space="preserve"> to COVID-19, as well as the brea</w:t>
      </w:r>
      <w:r w:rsidR="001F1592">
        <w:rPr>
          <w:color w:val="000000" w:themeColor="text1"/>
          <w:sz w:val="21"/>
        </w:rPr>
        <w:t>d</w:t>
      </w:r>
      <w:r w:rsidRPr="00224F6B">
        <w:rPr>
          <w:color w:val="000000" w:themeColor="text1"/>
          <w:sz w:val="21"/>
        </w:rPr>
        <w:t xml:space="preserve">th of aged care reforms arising from the Royal Commission. </w:t>
      </w:r>
    </w:p>
    <w:p w14:paraId="36432533" w14:textId="77777777" w:rsidR="00224F6B" w:rsidRDefault="00224F6B" w:rsidP="00224F6B">
      <w:pPr>
        <w:rPr>
          <w:color w:val="000000" w:themeColor="text1"/>
          <w:sz w:val="21"/>
        </w:rPr>
      </w:pPr>
    </w:p>
    <w:p w14:paraId="48F6E241" w14:textId="3BE43F4D" w:rsidR="00224F6B" w:rsidRPr="00224F6B" w:rsidRDefault="00224F6B" w:rsidP="00224F6B">
      <w:pPr>
        <w:rPr>
          <w:color w:val="000000" w:themeColor="text1"/>
          <w:sz w:val="21"/>
        </w:rPr>
      </w:pPr>
      <w:r w:rsidRPr="00224F6B">
        <w:rPr>
          <w:color w:val="000000" w:themeColor="text1"/>
          <w:sz w:val="21"/>
        </w:rPr>
        <w:t xml:space="preserve">To help mitigate this risk, </w:t>
      </w:r>
      <w:r>
        <w:rPr>
          <w:color w:val="000000" w:themeColor="text1"/>
          <w:sz w:val="21"/>
        </w:rPr>
        <w:t>t</w:t>
      </w:r>
      <w:r w:rsidRPr="00224F6B">
        <w:rPr>
          <w:color w:val="000000" w:themeColor="text1"/>
          <w:sz w:val="21"/>
        </w:rPr>
        <w:t xml:space="preserve">he timeframes commencing from 1 </w:t>
      </w:r>
      <w:r w:rsidR="008B6936">
        <w:rPr>
          <w:color w:val="000000" w:themeColor="text1"/>
          <w:sz w:val="21"/>
        </w:rPr>
        <w:t xml:space="preserve">December </w:t>
      </w:r>
      <w:r w:rsidR="008B6936" w:rsidRPr="00224F6B">
        <w:rPr>
          <w:color w:val="000000" w:themeColor="text1"/>
          <w:sz w:val="21"/>
        </w:rPr>
        <w:t xml:space="preserve"> </w:t>
      </w:r>
      <w:r w:rsidRPr="00224F6B">
        <w:rPr>
          <w:color w:val="000000" w:themeColor="text1"/>
          <w:sz w:val="21"/>
        </w:rPr>
        <w:t xml:space="preserve">2022, are staggered. </w:t>
      </w:r>
      <w:r>
        <w:rPr>
          <w:color w:val="000000" w:themeColor="text1"/>
          <w:sz w:val="21"/>
        </w:rPr>
        <w:t>As indicated above, e</w:t>
      </w:r>
      <w:r w:rsidRPr="00224F6B">
        <w:rPr>
          <w:color w:val="000000" w:themeColor="text1"/>
          <w:sz w:val="21"/>
        </w:rPr>
        <w:t xml:space="preserve">xisting providers will have grace periods on some new responsibilities to acknowledge the time it may take for governing </w:t>
      </w:r>
      <w:r w:rsidR="00392D96" w:rsidRPr="00224F6B">
        <w:rPr>
          <w:color w:val="000000" w:themeColor="text1"/>
          <w:sz w:val="21"/>
        </w:rPr>
        <w:t>bodies</w:t>
      </w:r>
      <w:r w:rsidRPr="00224F6B">
        <w:rPr>
          <w:color w:val="000000" w:themeColor="text1"/>
          <w:sz w:val="21"/>
        </w:rPr>
        <w:t xml:space="preserve"> to approve changes.</w:t>
      </w:r>
      <w:r w:rsidR="00E95587">
        <w:rPr>
          <w:color w:val="000000" w:themeColor="text1"/>
          <w:sz w:val="21"/>
        </w:rPr>
        <w:t xml:space="preserve"> </w:t>
      </w:r>
      <w:r w:rsidR="00091759">
        <w:rPr>
          <w:color w:val="000000" w:themeColor="text1"/>
          <w:sz w:val="21"/>
        </w:rPr>
        <w:t>I</w:t>
      </w:r>
      <w:r w:rsidR="00E95587">
        <w:rPr>
          <w:color w:val="000000" w:themeColor="text1"/>
          <w:sz w:val="21"/>
        </w:rPr>
        <w:t xml:space="preserve">mplementation </w:t>
      </w:r>
      <w:r w:rsidR="00091759">
        <w:rPr>
          <w:color w:val="000000" w:themeColor="text1"/>
          <w:sz w:val="21"/>
        </w:rPr>
        <w:t xml:space="preserve">will also </w:t>
      </w:r>
      <w:r w:rsidR="00E95587">
        <w:rPr>
          <w:color w:val="000000" w:themeColor="text1"/>
          <w:sz w:val="21"/>
        </w:rPr>
        <w:t xml:space="preserve">include information and training for providers to </w:t>
      </w:r>
      <w:r w:rsidR="00091759">
        <w:rPr>
          <w:color w:val="000000" w:themeColor="text1"/>
          <w:sz w:val="21"/>
        </w:rPr>
        <w:t xml:space="preserve">support them to make </w:t>
      </w:r>
      <w:r w:rsidR="00E95587">
        <w:rPr>
          <w:color w:val="000000" w:themeColor="text1"/>
          <w:sz w:val="21"/>
        </w:rPr>
        <w:t>the proposed changes.</w:t>
      </w:r>
    </w:p>
    <w:p w14:paraId="4252B174" w14:textId="77777777" w:rsidR="00E95587" w:rsidRDefault="00E95587" w:rsidP="002C0198">
      <w:pPr>
        <w:rPr>
          <w:rFonts w:ascii="Helvetica" w:hAnsi="Helvetica"/>
          <w:sz w:val="21"/>
          <w:szCs w:val="21"/>
        </w:rPr>
      </w:pPr>
    </w:p>
    <w:p w14:paraId="796E80CF" w14:textId="4E4971D2" w:rsidR="002C0198" w:rsidRPr="00A6224D" w:rsidRDefault="00343030" w:rsidP="002C0198">
      <w:pPr>
        <w:rPr>
          <w:rFonts w:ascii="Helvetica" w:hAnsi="Helvetica"/>
          <w:sz w:val="21"/>
          <w:szCs w:val="21"/>
        </w:rPr>
      </w:pPr>
      <w:r>
        <w:rPr>
          <w:rFonts w:ascii="Helvetica" w:hAnsi="Helvetica"/>
          <w:sz w:val="21"/>
          <w:szCs w:val="21"/>
        </w:rPr>
        <w:t>I</w:t>
      </w:r>
      <w:r w:rsidR="002C0198" w:rsidRPr="00A6224D">
        <w:rPr>
          <w:rFonts w:ascii="Helvetica" w:hAnsi="Helvetica"/>
          <w:sz w:val="21"/>
          <w:szCs w:val="21"/>
        </w:rPr>
        <w:t xml:space="preserve">nitial information about the proposed reforms has been provided to the sector through </w:t>
      </w:r>
      <w:r w:rsidR="00363D0D" w:rsidRPr="00A6224D">
        <w:rPr>
          <w:rFonts w:ascii="Helvetica" w:hAnsi="Helvetica"/>
          <w:sz w:val="21"/>
          <w:szCs w:val="21"/>
        </w:rPr>
        <w:t xml:space="preserve">stakeholder and </w:t>
      </w:r>
      <w:r w:rsidR="00B964D7" w:rsidRPr="00A6224D">
        <w:rPr>
          <w:rFonts w:ascii="Helvetica" w:hAnsi="Helvetica"/>
          <w:sz w:val="21"/>
          <w:szCs w:val="21"/>
        </w:rPr>
        <w:t>consumer reference</w:t>
      </w:r>
      <w:r w:rsidR="00363D0D" w:rsidRPr="00A6224D">
        <w:rPr>
          <w:rFonts w:ascii="Helvetica" w:hAnsi="Helvetica"/>
          <w:sz w:val="21"/>
          <w:szCs w:val="21"/>
        </w:rPr>
        <w:t xml:space="preserve"> groups.</w:t>
      </w:r>
      <w:r w:rsidR="00A6224D">
        <w:rPr>
          <w:rFonts w:ascii="Helvetica" w:hAnsi="Helvetica"/>
          <w:sz w:val="21"/>
          <w:szCs w:val="21"/>
        </w:rPr>
        <w:t xml:space="preserve"> </w:t>
      </w:r>
      <w:r w:rsidR="001C0EE8">
        <w:rPr>
          <w:rFonts w:ascii="Helvetica" w:hAnsi="Helvetica"/>
          <w:sz w:val="21"/>
          <w:szCs w:val="21"/>
        </w:rPr>
        <w:t>B</w:t>
      </w:r>
      <w:r w:rsidR="002C0198" w:rsidRPr="00A6224D">
        <w:rPr>
          <w:rFonts w:ascii="Helvetica" w:hAnsi="Helvetica"/>
          <w:sz w:val="21"/>
          <w:szCs w:val="21"/>
        </w:rPr>
        <w:t xml:space="preserve">road </w:t>
      </w:r>
      <w:r w:rsidR="00B964D7" w:rsidRPr="00A6224D">
        <w:rPr>
          <w:rFonts w:ascii="Helvetica" w:hAnsi="Helvetica"/>
          <w:sz w:val="21"/>
          <w:szCs w:val="21"/>
        </w:rPr>
        <w:t>consultation</w:t>
      </w:r>
      <w:r w:rsidR="002C0198" w:rsidRPr="00A6224D">
        <w:rPr>
          <w:rFonts w:ascii="Helvetica" w:hAnsi="Helvetica"/>
          <w:sz w:val="21"/>
          <w:szCs w:val="21"/>
        </w:rPr>
        <w:t xml:space="preserve"> on the subordinate legislation changes </w:t>
      </w:r>
      <w:r w:rsidR="001C0EE8">
        <w:rPr>
          <w:rFonts w:ascii="Helvetica" w:hAnsi="Helvetica"/>
          <w:sz w:val="21"/>
          <w:szCs w:val="21"/>
        </w:rPr>
        <w:t>(undertaken between 21</w:t>
      </w:r>
      <w:r w:rsidR="00240F75">
        <w:rPr>
          <w:rFonts w:ascii="Helvetica" w:hAnsi="Helvetica"/>
          <w:sz w:val="21"/>
          <w:szCs w:val="21"/>
        </w:rPr>
        <w:t> </w:t>
      </w:r>
      <w:r w:rsidR="001C0EE8">
        <w:rPr>
          <w:rFonts w:ascii="Helvetica" w:hAnsi="Helvetica"/>
          <w:sz w:val="21"/>
          <w:szCs w:val="21"/>
        </w:rPr>
        <w:t xml:space="preserve">December </w:t>
      </w:r>
      <w:r w:rsidR="00091759">
        <w:rPr>
          <w:rFonts w:ascii="Helvetica" w:hAnsi="Helvetica"/>
          <w:sz w:val="21"/>
          <w:szCs w:val="21"/>
        </w:rPr>
        <w:t xml:space="preserve">2021 </w:t>
      </w:r>
      <w:r w:rsidR="001C0EE8">
        <w:rPr>
          <w:rFonts w:ascii="Helvetica" w:hAnsi="Helvetica"/>
          <w:sz w:val="21"/>
          <w:szCs w:val="21"/>
        </w:rPr>
        <w:t xml:space="preserve">and 18 January 2022) </w:t>
      </w:r>
      <w:r w:rsidR="002C0198" w:rsidRPr="00A6224D">
        <w:rPr>
          <w:rFonts w:ascii="Helvetica" w:hAnsi="Helvetica"/>
          <w:sz w:val="21"/>
          <w:szCs w:val="21"/>
        </w:rPr>
        <w:t xml:space="preserve">has also been used to </w:t>
      </w:r>
      <w:r w:rsidR="001C0EE8">
        <w:rPr>
          <w:rFonts w:ascii="Helvetica" w:hAnsi="Helvetica"/>
          <w:sz w:val="21"/>
          <w:szCs w:val="21"/>
        </w:rPr>
        <w:t xml:space="preserve">inform </w:t>
      </w:r>
      <w:r w:rsidR="0008609C">
        <w:rPr>
          <w:rFonts w:ascii="Helvetica" w:hAnsi="Helvetica"/>
          <w:sz w:val="21"/>
          <w:szCs w:val="21"/>
        </w:rPr>
        <w:t>the sector o</w:t>
      </w:r>
      <w:r w:rsidR="001C0EE8">
        <w:rPr>
          <w:rFonts w:ascii="Helvetica" w:hAnsi="Helvetica"/>
          <w:sz w:val="21"/>
          <w:szCs w:val="21"/>
        </w:rPr>
        <w:t xml:space="preserve">f the </w:t>
      </w:r>
      <w:r w:rsidR="0008609C">
        <w:rPr>
          <w:rFonts w:ascii="Helvetica" w:hAnsi="Helvetica"/>
          <w:sz w:val="21"/>
          <w:szCs w:val="21"/>
        </w:rPr>
        <w:t xml:space="preserve">proposed </w:t>
      </w:r>
      <w:r w:rsidR="00B964D7" w:rsidRPr="00A6224D">
        <w:rPr>
          <w:rFonts w:ascii="Helvetica" w:hAnsi="Helvetica"/>
          <w:sz w:val="21"/>
          <w:szCs w:val="21"/>
        </w:rPr>
        <w:t>approved</w:t>
      </w:r>
      <w:r w:rsidR="002C0198" w:rsidRPr="00A6224D">
        <w:rPr>
          <w:rFonts w:ascii="Helvetica" w:hAnsi="Helvetica"/>
          <w:sz w:val="21"/>
          <w:szCs w:val="21"/>
        </w:rPr>
        <w:t xml:space="preserve"> provider governance measures</w:t>
      </w:r>
      <w:r w:rsidR="001C0EE8">
        <w:rPr>
          <w:rFonts w:ascii="Helvetica" w:hAnsi="Helvetica"/>
          <w:sz w:val="21"/>
          <w:szCs w:val="21"/>
        </w:rPr>
        <w:t xml:space="preserve"> </w:t>
      </w:r>
      <w:r w:rsidR="0008609C">
        <w:rPr>
          <w:rFonts w:ascii="Helvetica" w:hAnsi="Helvetica"/>
          <w:sz w:val="21"/>
          <w:szCs w:val="21"/>
        </w:rPr>
        <w:t xml:space="preserve">being considered by </w:t>
      </w:r>
      <w:r w:rsidR="001C0EE8">
        <w:rPr>
          <w:rFonts w:ascii="Helvetica" w:hAnsi="Helvetica"/>
          <w:sz w:val="21"/>
          <w:szCs w:val="21"/>
        </w:rPr>
        <w:t>Parliament</w:t>
      </w:r>
      <w:r w:rsidR="00B1185B">
        <w:rPr>
          <w:rFonts w:ascii="Helvetica" w:hAnsi="Helvetica"/>
          <w:sz w:val="21"/>
          <w:szCs w:val="21"/>
        </w:rPr>
        <w:t xml:space="preserve"> and seek feedback on the areas to be covered in the proposed</w:t>
      </w:r>
      <w:r w:rsidR="001C0EE8">
        <w:rPr>
          <w:rFonts w:ascii="Helvetica" w:hAnsi="Helvetica"/>
          <w:sz w:val="21"/>
          <w:szCs w:val="21"/>
        </w:rPr>
        <w:t xml:space="preserve"> </w:t>
      </w:r>
      <w:r w:rsidR="00B1185B">
        <w:rPr>
          <w:rFonts w:ascii="Helvetica" w:hAnsi="Helvetica"/>
          <w:sz w:val="21"/>
          <w:szCs w:val="21"/>
        </w:rPr>
        <w:t xml:space="preserve">amended </w:t>
      </w:r>
      <w:r w:rsidR="001C0EE8">
        <w:rPr>
          <w:rFonts w:ascii="Helvetica" w:hAnsi="Helvetica"/>
          <w:sz w:val="21"/>
          <w:szCs w:val="21"/>
        </w:rPr>
        <w:t>subordinate legislation.</w:t>
      </w:r>
      <w:r w:rsidR="00240F75" w:rsidRPr="00240F75">
        <w:rPr>
          <w:rFonts w:ascii="Helvetica" w:hAnsi="Helvetica"/>
          <w:sz w:val="21"/>
          <w:szCs w:val="21"/>
        </w:rPr>
        <w:t xml:space="preserve"> </w:t>
      </w:r>
      <w:r w:rsidR="00240F75">
        <w:rPr>
          <w:rFonts w:ascii="Helvetica" w:hAnsi="Helvetica"/>
          <w:sz w:val="21"/>
          <w:szCs w:val="21"/>
        </w:rPr>
        <w:t>Information about the provider governance reforms is available on both the Department and Commission’s websites</w:t>
      </w:r>
      <w:r w:rsidR="00577F8B">
        <w:rPr>
          <w:rFonts w:ascii="Helvetica" w:hAnsi="Helvetica"/>
          <w:sz w:val="21"/>
          <w:szCs w:val="21"/>
        </w:rPr>
        <w:t>.</w:t>
      </w:r>
      <w:r w:rsidR="001C0EE8">
        <w:rPr>
          <w:rFonts w:ascii="Helvetica" w:hAnsi="Helvetica"/>
          <w:sz w:val="21"/>
          <w:szCs w:val="21"/>
        </w:rPr>
        <w:t xml:space="preserve"> </w:t>
      </w:r>
      <w:r>
        <w:rPr>
          <w:rFonts w:ascii="Helvetica" w:hAnsi="Helvetica"/>
          <w:sz w:val="21"/>
          <w:szCs w:val="21"/>
        </w:rPr>
        <w:t xml:space="preserve">On 7 November 2022, the Commission </w:t>
      </w:r>
      <w:r w:rsidRPr="00343030">
        <w:rPr>
          <w:rFonts w:ascii="Helvetica" w:hAnsi="Helvetica"/>
          <w:sz w:val="21"/>
          <w:szCs w:val="21"/>
        </w:rPr>
        <w:t xml:space="preserve">hosted a webinar for providers to discuss the new </w:t>
      </w:r>
      <w:r>
        <w:rPr>
          <w:rFonts w:ascii="Helvetica" w:hAnsi="Helvetica"/>
          <w:sz w:val="21"/>
          <w:szCs w:val="21"/>
        </w:rPr>
        <w:t xml:space="preserve">provider governance </w:t>
      </w:r>
      <w:r w:rsidRPr="00343030">
        <w:rPr>
          <w:rFonts w:ascii="Helvetica" w:hAnsi="Helvetica"/>
          <w:sz w:val="21"/>
          <w:szCs w:val="21"/>
        </w:rPr>
        <w:t>requirements. A recording of the webinar and a copy of the presentation slides are available on the Commission’s website</w:t>
      </w:r>
      <w:r w:rsidR="00240F75">
        <w:rPr>
          <w:rFonts w:ascii="Helvetica" w:hAnsi="Helvetica"/>
          <w:sz w:val="21"/>
          <w:szCs w:val="21"/>
        </w:rPr>
        <w:t>.</w:t>
      </w:r>
    </w:p>
    <w:p w14:paraId="1F5084F4" w14:textId="77777777" w:rsidR="002C0198" w:rsidRPr="00A6224D" w:rsidRDefault="002C0198" w:rsidP="0062646F">
      <w:pPr>
        <w:rPr>
          <w:rFonts w:ascii="Helvetica" w:hAnsi="Helvetica"/>
          <w:sz w:val="21"/>
          <w:szCs w:val="21"/>
        </w:rPr>
      </w:pPr>
    </w:p>
    <w:p w14:paraId="6F0952F0" w14:textId="0F5F904A" w:rsidR="0062646F" w:rsidRPr="00A6224D" w:rsidRDefault="0008609C" w:rsidP="0062646F">
      <w:pPr>
        <w:rPr>
          <w:rFonts w:ascii="Helvetica" w:hAnsi="Helvetica"/>
          <w:sz w:val="21"/>
          <w:szCs w:val="21"/>
        </w:rPr>
      </w:pPr>
      <w:r>
        <w:rPr>
          <w:rFonts w:ascii="Helvetica" w:hAnsi="Helvetica"/>
          <w:sz w:val="21"/>
          <w:szCs w:val="21"/>
        </w:rPr>
        <w:t xml:space="preserve">Following </w:t>
      </w:r>
      <w:r w:rsidR="00A6224D">
        <w:rPr>
          <w:rFonts w:ascii="Helvetica" w:hAnsi="Helvetica"/>
          <w:sz w:val="21"/>
          <w:szCs w:val="21"/>
        </w:rPr>
        <w:t xml:space="preserve">the </w:t>
      </w:r>
      <w:r w:rsidR="001C0EE8">
        <w:rPr>
          <w:rFonts w:ascii="Helvetica" w:hAnsi="Helvetica"/>
          <w:sz w:val="21"/>
          <w:szCs w:val="21"/>
        </w:rPr>
        <w:t xml:space="preserve">proposed </w:t>
      </w:r>
      <w:r w:rsidR="00363D0D" w:rsidRPr="00A6224D">
        <w:rPr>
          <w:rFonts w:ascii="Helvetica" w:hAnsi="Helvetica"/>
          <w:sz w:val="21"/>
          <w:szCs w:val="21"/>
        </w:rPr>
        <w:t>legislati</w:t>
      </w:r>
      <w:r w:rsidR="001C0EE8">
        <w:rPr>
          <w:rFonts w:ascii="Helvetica" w:hAnsi="Helvetica"/>
          <w:sz w:val="21"/>
          <w:szCs w:val="21"/>
        </w:rPr>
        <w:t xml:space="preserve">ve </w:t>
      </w:r>
      <w:r w:rsidR="00392D96">
        <w:rPr>
          <w:rFonts w:ascii="Helvetica" w:hAnsi="Helvetica"/>
          <w:sz w:val="21"/>
          <w:szCs w:val="21"/>
        </w:rPr>
        <w:t>amendments</w:t>
      </w:r>
      <w:r w:rsidR="001C0EE8">
        <w:rPr>
          <w:rFonts w:ascii="Helvetica" w:hAnsi="Helvetica"/>
          <w:sz w:val="21"/>
          <w:szCs w:val="21"/>
        </w:rPr>
        <w:t xml:space="preserve"> </w:t>
      </w:r>
      <w:r>
        <w:rPr>
          <w:rFonts w:ascii="Helvetica" w:hAnsi="Helvetica"/>
          <w:sz w:val="21"/>
          <w:szCs w:val="21"/>
        </w:rPr>
        <w:t xml:space="preserve">being </w:t>
      </w:r>
      <w:r w:rsidR="001C0EE8">
        <w:rPr>
          <w:rFonts w:ascii="Helvetica" w:hAnsi="Helvetica"/>
          <w:sz w:val="21"/>
          <w:szCs w:val="21"/>
        </w:rPr>
        <w:t>made law</w:t>
      </w:r>
      <w:r w:rsidR="00363D0D" w:rsidRPr="00A6224D">
        <w:rPr>
          <w:rFonts w:ascii="Helvetica" w:hAnsi="Helvetica"/>
          <w:sz w:val="21"/>
          <w:szCs w:val="21"/>
        </w:rPr>
        <w:t xml:space="preserve">, </w:t>
      </w:r>
      <w:r w:rsidR="0062646F" w:rsidRPr="00A6224D">
        <w:rPr>
          <w:rFonts w:ascii="Helvetica" w:hAnsi="Helvetica"/>
          <w:sz w:val="21"/>
          <w:szCs w:val="21"/>
        </w:rPr>
        <w:t xml:space="preserve">implementation of the new arrangements will be </w:t>
      </w:r>
      <w:r w:rsidR="00363D0D" w:rsidRPr="00A6224D">
        <w:rPr>
          <w:rFonts w:ascii="Helvetica" w:hAnsi="Helvetica"/>
          <w:sz w:val="21"/>
          <w:szCs w:val="21"/>
        </w:rPr>
        <w:t xml:space="preserve">further </w:t>
      </w:r>
      <w:r w:rsidR="0062646F" w:rsidRPr="00A6224D">
        <w:rPr>
          <w:rFonts w:ascii="Helvetica" w:hAnsi="Helvetica"/>
          <w:sz w:val="21"/>
          <w:szCs w:val="21"/>
        </w:rPr>
        <w:t xml:space="preserve">supported through </w:t>
      </w:r>
      <w:r w:rsidR="00E734BC" w:rsidRPr="00A6224D">
        <w:rPr>
          <w:rFonts w:ascii="Helvetica" w:hAnsi="Helvetica"/>
          <w:sz w:val="21"/>
          <w:szCs w:val="21"/>
        </w:rPr>
        <w:t>broadcasts to providers through Depart</w:t>
      </w:r>
      <w:r w:rsidR="00363D0D" w:rsidRPr="00A6224D">
        <w:rPr>
          <w:rFonts w:ascii="Helvetica" w:hAnsi="Helvetica"/>
          <w:sz w:val="21"/>
          <w:szCs w:val="21"/>
        </w:rPr>
        <w:t>m</w:t>
      </w:r>
      <w:r w:rsidR="00E734BC" w:rsidRPr="00A6224D">
        <w:rPr>
          <w:rFonts w:ascii="Helvetica" w:hAnsi="Helvetica"/>
          <w:sz w:val="21"/>
          <w:szCs w:val="21"/>
        </w:rPr>
        <w:t>ent and Commission newsletters</w:t>
      </w:r>
      <w:r w:rsidR="002C0198" w:rsidRPr="00A6224D">
        <w:rPr>
          <w:rFonts w:ascii="Helvetica" w:hAnsi="Helvetica"/>
          <w:sz w:val="21"/>
          <w:szCs w:val="21"/>
        </w:rPr>
        <w:t xml:space="preserve"> and websites, including </w:t>
      </w:r>
      <w:r w:rsidR="00343030">
        <w:rPr>
          <w:rFonts w:ascii="Helvetica" w:hAnsi="Helvetica"/>
          <w:sz w:val="21"/>
          <w:szCs w:val="21"/>
        </w:rPr>
        <w:t xml:space="preserve">guidance </w:t>
      </w:r>
      <w:r w:rsidR="0062646F" w:rsidRPr="00A6224D">
        <w:rPr>
          <w:rFonts w:ascii="Helvetica" w:hAnsi="Helvetica"/>
          <w:sz w:val="21"/>
          <w:szCs w:val="21"/>
        </w:rPr>
        <w:t xml:space="preserve">material. </w:t>
      </w:r>
    </w:p>
    <w:p w14:paraId="53BFBA45" w14:textId="77777777" w:rsidR="0062646F" w:rsidRPr="00A6224D" w:rsidRDefault="0062646F" w:rsidP="0062646F">
      <w:pPr>
        <w:rPr>
          <w:rFonts w:ascii="Helvetica" w:hAnsi="Helvetica"/>
          <w:sz w:val="21"/>
          <w:szCs w:val="21"/>
        </w:rPr>
      </w:pPr>
    </w:p>
    <w:p w14:paraId="7D59D748" w14:textId="77777777" w:rsidR="001C0EE8" w:rsidRPr="00A6224D" w:rsidRDefault="00363D0D" w:rsidP="001C0EE8">
      <w:r w:rsidRPr="00A6224D">
        <w:rPr>
          <w:rFonts w:ascii="Helvetica" w:hAnsi="Helvetica"/>
          <w:sz w:val="21"/>
          <w:szCs w:val="21"/>
        </w:rPr>
        <w:t xml:space="preserve">In </w:t>
      </w:r>
      <w:r w:rsidR="00B964D7" w:rsidRPr="00A6224D">
        <w:rPr>
          <w:rFonts w:ascii="Helvetica" w:hAnsi="Helvetica"/>
          <w:sz w:val="21"/>
          <w:szCs w:val="21"/>
        </w:rPr>
        <w:t>addition,</w:t>
      </w:r>
      <w:r w:rsidRPr="00A6224D">
        <w:rPr>
          <w:rFonts w:ascii="Helvetica" w:hAnsi="Helvetica"/>
          <w:sz w:val="21"/>
          <w:szCs w:val="21"/>
        </w:rPr>
        <w:t xml:space="preserve"> </w:t>
      </w:r>
      <w:r w:rsidR="000D3DF9" w:rsidRPr="00A6224D">
        <w:rPr>
          <w:rFonts w:ascii="Helvetica" w:hAnsi="Helvetica"/>
          <w:sz w:val="21"/>
          <w:szCs w:val="21"/>
        </w:rPr>
        <w:t>a 'Governing for Reform in Aged Care' education program, led by the Commission has been launched to help aged care providers strengthen organisational governance and leadership</w:t>
      </w:r>
      <w:r w:rsidRPr="00A6224D">
        <w:rPr>
          <w:rFonts w:ascii="Helvetica" w:hAnsi="Helvetica"/>
          <w:sz w:val="21"/>
          <w:szCs w:val="21"/>
        </w:rPr>
        <w:t xml:space="preserve">. </w:t>
      </w:r>
      <w:r w:rsidR="001C0EE8" w:rsidRPr="00A6224D">
        <w:rPr>
          <w:rFonts w:ascii="Helvetica" w:hAnsi="Helvetica"/>
          <w:sz w:val="21"/>
          <w:szCs w:val="21"/>
        </w:rPr>
        <w:t>The program is designed to strengthen organisational and clinical</w:t>
      </w:r>
      <w:r w:rsidR="001C0EE8">
        <w:rPr>
          <w:rFonts w:ascii="Helvetica" w:hAnsi="Helvetica"/>
          <w:sz w:val="21"/>
          <w:szCs w:val="21"/>
        </w:rPr>
        <w:t xml:space="preserve"> </w:t>
      </w:r>
      <w:r w:rsidR="001C0EE8" w:rsidRPr="00A6224D">
        <w:rPr>
          <w:rFonts w:ascii="Helvetica" w:hAnsi="Helvetica"/>
          <w:sz w:val="21"/>
          <w:szCs w:val="21"/>
        </w:rPr>
        <w:t>governance capability across the aged care sector to ensure that all providers are well placed</w:t>
      </w:r>
      <w:r w:rsidR="001C0EE8">
        <w:rPr>
          <w:rFonts w:ascii="Helvetica" w:hAnsi="Helvetica"/>
          <w:sz w:val="21"/>
          <w:szCs w:val="21"/>
        </w:rPr>
        <w:t xml:space="preserve"> </w:t>
      </w:r>
      <w:r w:rsidR="001C0EE8" w:rsidRPr="00A6224D">
        <w:rPr>
          <w:rFonts w:ascii="Helvetica" w:hAnsi="Helvetica"/>
          <w:sz w:val="21"/>
          <w:szCs w:val="21"/>
        </w:rPr>
        <w:t>to participate in and progress the urgent calls for change in the aged care sector.</w:t>
      </w:r>
      <w:r w:rsidR="001C0EE8">
        <w:rPr>
          <w:rFonts w:ascii="Helvetica" w:hAnsi="Helvetica"/>
          <w:sz w:val="21"/>
          <w:szCs w:val="21"/>
        </w:rPr>
        <w:t xml:space="preserve"> </w:t>
      </w:r>
    </w:p>
    <w:p w14:paraId="7AA4ECC6" w14:textId="77777777" w:rsidR="001C0EE8" w:rsidRDefault="001C0EE8" w:rsidP="00A6224D">
      <w:pPr>
        <w:rPr>
          <w:rFonts w:ascii="Helvetica" w:hAnsi="Helvetica"/>
          <w:sz w:val="21"/>
          <w:szCs w:val="21"/>
        </w:rPr>
      </w:pPr>
    </w:p>
    <w:p w14:paraId="241C5F71" w14:textId="10790DCE" w:rsidR="00A6224D" w:rsidRDefault="00363D0D" w:rsidP="00A6224D">
      <w:pPr>
        <w:rPr>
          <w:rFonts w:ascii="Helvetica" w:hAnsi="Helvetica"/>
          <w:sz w:val="21"/>
          <w:szCs w:val="21"/>
        </w:rPr>
      </w:pPr>
      <w:r w:rsidRPr="00A6224D">
        <w:rPr>
          <w:rFonts w:ascii="Helvetica" w:hAnsi="Helvetica"/>
          <w:sz w:val="21"/>
          <w:szCs w:val="21"/>
        </w:rPr>
        <w:lastRenderedPageBreak/>
        <w:t>T</w:t>
      </w:r>
      <w:r w:rsidR="00A6224D" w:rsidRPr="00A6224D">
        <w:rPr>
          <w:rFonts w:ascii="Helvetica" w:hAnsi="Helvetica"/>
          <w:sz w:val="21"/>
          <w:szCs w:val="21"/>
        </w:rPr>
        <w:t>he program will specifically target leaders and members of governing bodies of approved aged care, aiming for approximately 3</w:t>
      </w:r>
      <w:r w:rsidR="0008609C">
        <w:rPr>
          <w:rFonts w:ascii="Helvetica" w:hAnsi="Helvetica"/>
          <w:sz w:val="21"/>
          <w:szCs w:val="21"/>
        </w:rPr>
        <w:t>,</w:t>
      </w:r>
      <w:r w:rsidR="00A6224D" w:rsidRPr="00A6224D">
        <w:rPr>
          <w:rFonts w:ascii="Helvetica" w:hAnsi="Helvetica"/>
          <w:sz w:val="21"/>
          <w:szCs w:val="21"/>
        </w:rPr>
        <w:t>700 participants.</w:t>
      </w:r>
      <w:r w:rsidR="00224F6B">
        <w:rPr>
          <w:rFonts w:ascii="Helvetica" w:hAnsi="Helvetica"/>
          <w:sz w:val="21"/>
          <w:szCs w:val="21"/>
        </w:rPr>
        <w:t xml:space="preserve"> </w:t>
      </w:r>
      <w:r w:rsidR="00A6224D" w:rsidRPr="00A6224D">
        <w:rPr>
          <w:rFonts w:ascii="Helvetica" w:hAnsi="Helvetica"/>
          <w:sz w:val="21"/>
          <w:szCs w:val="21"/>
        </w:rPr>
        <w:t xml:space="preserve">This </w:t>
      </w:r>
      <w:r w:rsidR="001C0EE8">
        <w:rPr>
          <w:rFonts w:ascii="Helvetica" w:hAnsi="Helvetica"/>
          <w:sz w:val="21"/>
          <w:szCs w:val="21"/>
        </w:rPr>
        <w:t xml:space="preserve">program </w:t>
      </w:r>
      <w:r w:rsidR="00A6224D" w:rsidRPr="00A6224D">
        <w:rPr>
          <w:rFonts w:ascii="Helvetica" w:hAnsi="Helvetica"/>
          <w:sz w:val="21"/>
          <w:szCs w:val="21"/>
        </w:rPr>
        <w:t xml:space="preserve">is available to </w:t>
      </w:r>
      <w:r w:rsidR="00A6224D">
        <w:rPr>
          <w:rFonts w:ascii="Helvetica" w:hAnsi="Helvetica"/>
          <w:sz w:val="21"/>
          <w:szCs w:val="21"/>
        </w:rPr>
        <w:t xml:space="preserve">providers </w:t>
      </w:r>
      <w:r w:rsidR="00A6224D" w:rsidRPr="00A6224D">
        <w:rPr>
          <w:rFonts w:ascii="Helvetica" w:hAnsi="Helvetica"/>
          <w:sz w:val="21"/>
          <w:szCs w:val="21"/>
        </w:rPr>
        <w:t>irrespective of the</w:t>
      </w:r>
      <w:r w:rsidR="00A6224D">
        <w:rPr>
          <w:rFonts w:ascii="Helvetica" w:hAnsi="Helvetica"/>
          <w:sz w:val="21"/>
          <w:szCs w:val="21"/>
        </w:rPr>
        <w:t>ir</w:t>
      </w:r>
      <w:r w:rsidR="00A6224D" w:rsidRPr="00A6224D">
        <w:rPr>
          <w:rFonts w:ascii="Helvetica" w:hAnsi="Helvetica"/>
          <w:sz w:val="21"/>
          <w:szCs w:val="21"/>
        </w:rPr>
        <w:t xml:space="preserve"> corporate status,</w:t>
      </w:r>
      <w:r w:rsidR="00A6224D">
        <w:rPr>
          <w:rFonts w:ascii="Helvetica" w:hAnsi="Helvetica"/>
          <w:sz w:val="21"/>
          <w:szCs w:val="21"/>
        </w:rPr>
        <w:t xml:space="preserve"> </w:t>
      </w:r>
      <w:r w:rsidR="00A6224D" w:rsidRPr="00A6224D">
        <w:rPr>
          <w:rFonts w:ascii="Helvetica" w:hAnsi="Helvetica"/>
          <w:sz w:val="21"/>
          <w:szCs w:val="21"/>
        </w:rPr>
        <w:t xml:space="preserve">size or location of </w:t>
      </w:r>
      <w:r w:rsidR="00B964D7">
        <w:rPr>
          <w:rFonts w:ascii="Helvetica" w:hAnsi="Helvetica"/>
          <w:sz w:val="21"/>
          <w:szCs w:val="21"/>
        </w:rPr>
        <w:t>their</w:t>
      </w:r>
      <w:r w:rsidR="00A6224D">
        <w:rPr>
          <w:rFonts w:ascii="Helvetica" w:hAnsi="Helvetica"/>
          <w:sz w:val="21"/>
          <w:szCs w:val="21"/>
        </w:rPr>
        <w:t xml:space="preserve"> </w:t>
      </w:r>
      <w:r w:rsidR="00A6224D" w:rsidRPr="00A6224D">
        <w:rPr>
          <w:rFonts w:ascii="Helvetica" w:hAnsi="Helvetica"/>
          <w:sz w:val="21"/>
          <w:szCs w:val="21"/>
        </w:rPr>
        <w:t>service(s</w:t>
      </w:r>
      <w:r w:rsidR="00B964D7" w:rsidRPr="00A6224D">
        <w:rPr>
          <w:rFonts w:ascii="Helvetica" w:hAnsi="Helvetica"/>
          <w:sz w:val="21"/>
          <w:szCs w:val="21"/>
        </w:rPr>
        <w:t>). Enrolment</w:t>
      </w:r>
      <w:r w:rsidR="00A6224D" w:rsidRPr="00A6224D">
        <w:rPr>
          <w:rFonts w:ascii="Helvetica" w:hAnsi="Helvetica"/>
          <w:sz w:val="21"/>
          <w:szCs w:val="21"/>
        </w:rPr>
        <w:t xml:space="preserve"> in the program is free and will continue </w:t>
      </w:r>
      <w:r w:rsidR="00091759">
        <w:rPr>
          <w:rFonts w:ascii="Helvetica" w:hAnsi="Helvetica"/>
          <w:sz w:val="21"/>
          <w:szCs w:val="21"/>
        </w:rPr>
        <w:t xml:space="preserve">until </w:t>
      </w:r>
      <w:r w:rsidR="00A6224D" w:rsidRPr="00A6224D">
        <w:rPr>
          <w:rFonts w:ascii="Helvetica" w:hAnsi="Helvetica"/>
          <w:sz w:val="21"/>
          <w:szCs w:val="21"/>
        </w:rPr>
        <w:t>June 2023.</w:t>
      </w:r>
      <w:r w:rsidRPr="00A6224D">
        <w:rPr>
          <w:rFonts w:ascii="Helvetica" w:hAnsi="Helvetica"/>
          <w:sz w:val="21"/>
          <w:szCs w:val="21"/>
        </w:rPr>
        <w:t xml:space="preserve"> </w:t>
      </w:r>
    </w:p>
    <w:p w14:paraId="6F864119" w14:textId="77777777" w:rsidR="00091759" w:rsidRDefault="00091759" w:rsidP="00A6224D">
      <w:pPr>
        <w:rPr>
          <w:rFonts w:ascii="Helvetica" w:hAnsi="Helvetica"/>
          <w:sz w:val="21"/>
          <w:szCs w:val="21"/>
        </w:rPr>
      </w:pPr>
    </w:p>
    <w:p w14:paraId="0C7C4E20" w14:textId="602F29F1" w:rsidR="00A6224D" w:rsidRPr="00224F6B" w:rsidRDefault="00A6224D" w:rsidP="00A6224D">
      <w:pPr>
        <w:rPr>
          <w:rStyle w:val="Hyperlink"/>
        </w:rPr>
      </w:pPr>
      <w:r w:rsidRPr="00A6224D">
        <w:rPr>
          <w:rFonts w:ascii="Helvetica" w:hAnsi="Helvetica"/>
          <w:sz w:val="21"/>
          <w:szCs w:val="21"/>
        </w:rPr>
        <w:t>The program was announced on 20 December 202</w:t>
      </w:r>
      <w:r w:rsidR="00091759">
        <w:rPr>
          <w:rFonts w:ascii="Helvetica" w:hAnsi="Helvetica"/>
          <w:sz w:val="21"/>
          <w:szCs w:val="21"/>
        </w:rPr>
        <w:t>1</w:t>
      </w:r>
      <w:r w:rsidRPr="00A6224D">
        <w:rPr>
          <w:rFonts w:ascii="Helvetica" w:hAnsi="Helvetica"/>
          <w:sz w:val="21"/>
          <w:szCs w:val="21"/>
        </w:rPr>
        <w:t xml:space="preserve"> and by a letter from the Commissioner to each approved provider. Information o</w:t>
      </w:r>
      <w:r w:rsidR="000807F4">
        <w:rPr>
          <w:rFonts w:ascii="Helvetica" w:hAnsi="Helvetica"/>
          <w:sz w:val="21"/>
          <w:szCs w:val="21"/>
        </w:rPr>
        <w:t>n</w:t>
      </w:r>
      <w:r w:rsidRPr="00A6224D">
        <w:rPr>
          <w:rFonts w:ascii="Helvetica" w:hAnsi="Helvetica"/>
          <w:sz w:val="21"/>
          <w:szCs w:val="21"/>
        </w:rPr>
        <w:t xml:space="preserve"> the program is available on the Commission’s website:</w:t>
      </w:r>
      <w:r w:rsidR="00224F6B">
        <w:rPr>
          <w:rFonts w:ascii="Helvetica" w:hAnsi="Helvetica"/>
          <w:sz w:val="21"/>
          <w:szCs w:val="21"/>
        </w:rPr>
        <w:t xml:space="preserve"> </w:t>
      </w:r>
      <w:hyperlink r:id="rId12" w:history="1">
        <w:r w:rsidRPr="00224F6B">
          <w:rPr>
            <w:rStyle w:val="Hyperlink"/>
          </w:rPr>
          <w:t>https://www.agedcarequality.gov.au/providers/provider-governance</w:t>
        </w:r>
      </w:hyperlink>
    </w:p>
    <w:p w14:paraId="17CDE6C9" w14:textId="6247BEAE" w:rsidR="00224F6B" w:rsidRPr="00C96F24" w:rsidRDefault="00224F6B" w:rsidP="00224F6B">
      <w:pPr>
        <w:pStyle w:val="Paragraphtext"/>
      </w:pPr>
      <w:r>
        <w:t>Whil</w:t>
      </w:r>
      <w:r w:rsidR="000807F4">
        <w:t>e</w:t>
      </w:r>
      <w:r>
        <w:t xml:space="preserve"> the legislation allows for non-compliance actions to be utilised when a provider breaches </w:t>
      </w:r>
      <w:r w:rsidRPr="00C96F24">
        <w:t>its provider governance responsibilities, the initial focus of implementation will be to support providers to understand and implement the new provisions.</w:t>
      </w:r>
    </w:p>
    <w:p w14:paraId="511B7998" w14:textId="3B85C993" w:rsidR="0072005C" w:rsidRDefault="0072005C" w:rsidP="00251AB6">
      <w:pPr>
        <w:pStyle w:val="Paragraphtext"/>
      </w:pPr>
      <w:r w:rsidRPr="0072005C">
        <w:t xml:space="preserve">Regarding implementation of the annual </w:t>
      </w:r>
      <w:r w:rsidR="003D0907">
        <w:t xml:space="preserve">reporting on providers’ </w:t>
      </w:r>
      <w:r w:rsidRPr="0072005C">
        <w:t>operations, an information and communication technology (ICT) capability is being developed. This capability will enable the extraction of existing information held by the department</w:t>
      </w:r>
      <w:r w:rsidR="000807F4">
        <w:t>,</w:t>
      </w:r>
      <w:r w:rsidRPr="0072005C">
        <w:t xml:space="preserve"> additional information to be submitted by providers</w:t>
      </w:r>
      <w:r w:rsidR="000807F4">
        <w:t>,</w:t>
      </w:r>
      <w:r w:rsidRPr="0072005C">
        <w:t xml:space="preserve"> and for the </w:t>
      </w:r>
      <w:r w:rsidR="003D0907">
        <w:t xml:space="preserve">information </w:t>
      </w:r>
      <w:r w:rsidRPr="0072005C">
        <w:t xml:space="preserve">to be made publicly available on the My Aged Care portal. Stakeholders will be consulted during the development of the ICT solution to help enhance the user experience for providers in submitting data and for those accessing the annual statements on My Aged Care. </w:t>
      </w:r>
    </w:p>
    <w:p w14:paraId="2614AE7C" w14:textId="77777777" w:rsidR="00D14A36" w:rsidRPr="00C96F24" w:rsidRDefault="00BF1C47" w:rsidP="00251AB6">
      <w:pPr>
        <w:pStyle w:val="Paragraphtext"/>
      </w:pPr>
      <w:r w:rsidRPr="00C96F24">
        <w:t xml:space="preserve">Aged care stakeholders </w:t>
      </w:r>
      <w:r w:rsidR="00B964D7" w:rsidRPr="00C96F24">
        <w:t xml:space="preserve">will be supported to </w:t>
      </w:r>
      <w:r w:rsidR="00251AB6" w:rsidRPr="00C96F24">
        <w:t>implement t</w:t>
      </w:r>
      <w:r w:rsidR="00D14A36" w:rsidRPr="00C96F24">
        <w:t>he ICT solution</w:t>
      </w:r>
      <w:r w:rsidR="00251AB6" w:rsidRPr="00C96F24">
        <w:t xml:space="preserve"> </w:t>
      </w:r>
      <w:r w:rsidR="00D14A36" w:rsidRPr="00C96F24">
        <w:t xml:space="preserve">by: </w:t>
      </w:r>
    </w:p>
    <w:p w14:paraId="0276A4F7" w14:textId="77777777" w:rsidR="007F1300" w:rsidRPr="00C96F24" w:rsidRDefault="00BF1C47" w:rsidP="00251AB6">
      <w:pPr>
        <w:pStyle w:val="Paragraphtext"/>
        <w:numPr>
          <w:ilvl w:val="0"/>
          <w:numId w:val="41"/>
        </w:numPr>
      </w:pPr>
      <w:r w:rsidRPr="00C96F24">
        <w:t xml:space="preserve">involvement in </w:t>
      </w:r>
      <w:r w:rsidR="007F1300" w:rsidRPr="00C96F24">
        <w:t>user testing</w:t>
      </w:r>
    </w:p>
    <w:p w14:paraId="1CA34A03" w14:textId="77777777" w:rsidR="00D14A36" w:rsidRPr="00C96F24" w:rsidRDefault="007F1300" w:rsidP="00251AB6">
      <w:pPr>
        <w:pStyle w:val="Paragraphtext"/>
        <w:numPr>
          <w:ilvl w:val="0"/>
          <w:numId w:val="41"/>
        </w:numPr>
      </w:pPr>
      <w:r w:rsidRPr="00C96F24">
        <w:t xml:space="preserve">online </w:t>
      </w:r>
      <w:r w:rsidR="00D14A36" w:rsidRPr="00C96F24">
        <w:t>training for approved providers</w:t>
      </w:r>
    </w:p>
    <w:p w14:paraId="3F5B03FF" w14:textId="77777777" w:rsidR="00D14A36" w:rsidRPr="00C96F24" w:rsidRDefault="00251AB6" w:rsidP="00251AB6">
      <w:pPr>
        <w:pStyle w:val="Paragraphtext"/>
        <w:numPr>
          <w:ilvl w:val="0"/>
          <w:numId w:val="41"/>
        </w:numPr>
      </w:pPr>
      <w:r w:rsidRPr="00C96F24">
        <w:t xml:space="preserve">online </w:t>
      </w:r>
      <w:r w:rsidR="00D14A36" w:rsidRPr="00C96F24">
        <w:t xml:space="preserve">support tools </w:t>
      </w:r>
    </w:p>
    <w:p w14:paraId="3F7B90B0" w14:textId="6396C8A3" w:rsidR="00035E72" w:rsidRPr="00C96F24" w:rsidRDefault="0008609C" w:rsidP="00251AB6">
      <w:pPr>
        <w:pStyle w:val="Paragraphtext"/>
        <w:numPr>
          <w:ilvl w:val="0"/>
          <w:numId w:val="41"/>
        </w:numPr>
      </w:pPr>
      <w:r w:rsidRPr="00C96F24">
        <w:t xml:space="preserve">a </w:t>
      </w:r>
      <w:r w:rsidR="007F1300" w:rsidRPr="00C96F24">
        <w:t>Department</w:t>
      </w:r>
      <w:r w:rsidR="00035E72" w:rsidRPr="00C96F24">
        <w:t xml:space="preserve"> staff member </w:t>
      </w:r>
      <w:r w:rsidRPr="00C96F24">
        <w:t xml:space="preserve">being available </w:t>
      </w:r>
      <w:r w:rsidR="00D14A36" w:rsidRPr="00C96F24">
        <w:t xml:space="preserve">to respond to sector enquires regarding the annual </w:t>
      </w:r>
      <w:r w:rsidR="00577F8B">
        <w:t xml:space="preserve">reporting to the Secretary </w:t>
      </w:r>
      <w:r w:rsidR="00D14A36" w:rsidRPr="00C96F24">
        <w:t xml:space="preserve">and review data quality. </w:t>
      </w:r>
    </w:p>
    <w:p w14:paraId="026A8E80" w14:textId="70DEDB77" w:rsidR="0072005C" w:rsidRDefault="0072005C" w:rsidP="00251AB6">
      <w:pPr>
        <w:pStyle w:val="Paragraphtext"/>
      </w:pPr>
      <w:r w:rsidRPr="0072005C">
        <w:t>A key challenge to the ICT capability is the development of an elegant solution to extract data that is currently held by the Department in multiple database</w:t>
      </w:r>
      <w:r w:rsidR="0030646F">
        <w:t>s</w:t>
      </w:r>
      <w:r w:rsidRPr="0072005C">
        <w:t xml:space="preserve"> to minimise the need for providers to resubmit this data. The ICT solution will be developed in close consultation with owners of each source database to respond to this challenge. </w:t>
      </w:r>
    </w:p>
    <w:p w14:paraId="34FFB43C" w14:textId="77777777" w:rsidR="005B5F2F" w:rsidRPr="00C96F24" w:rsidRDefault="005B5F2F" w:rsidP="0062646F">
      <w:pPr>
        <w:pStyle w:val="Heading3"/>
      </w:pPr>
      <w:r w:rsidRPr="00C96F24">
        <w:t xml:space="preserve">Evaluation </w:t>
      </w:r>
    </w:p>
    <w:p w14:paraId="50B23843" w14:textId="1BF70EE4" w:rsidR="005B5F2F" w:rsidRPr="00C96F24" w:rsidRDefault="005B5F2F" w:rsidP="005B5F2F">
      <w:pPr>
        <w:rPr>
          <w:color w:val="000000" w:themeColor="text1"/>
          <w:sz w:val="21"/>
        </w:rPr>
      </w:pPr>
      <w:r w:rsidRPr="00C96F24">
        <w:rPr>
          <w:color w:val="000000" w:themeColor="text1"/>
          <w:sz w:val="21"/>
        </w:rPr>
        <w:t xml:space="preserve">The evaluation of this measure will be undertaken as part of the Department’s overall approach to measuring key outcomes of aged care reforms that address the Royal Commission recommendations and improve aged care service delivery to </w:t>
      </w:r>
      <w:r w:rsidR="00EE726A">
        <w:rPr>
          <w:color w:val="000000" w:themeColor="text1"/>
          <w:sz w:val="21"/>
        </w:rPr>
        <w:t>care recipients</w:t>
      </w:r>
      <w:r w:rsidRPr="00C96F24">
        <w:rPr>
          <w:color w:val="000000" w:themeColor="text1"/>
          <w:sz w:val="21"/>
        </w:rPr>
        <w:t xml:space="preserve">. </w:t>
      </w:r>
    </w:p>
    <w:p w14:paraId="602553B4" w14:textId="77777777" w:rsidR="005B5F2F" w:rsidRPr="00C96F24" w:rsidRDefault="005B5F2F" w:rsidP="005B5F2F">
      <w:pPr>
        <w:rPr>
          <w:color w:val="000000" w:themeColor="text1"/>
          <w:sz w:val="21"/>
        </w:rPr>
      </w:pPr>
    </w:p>
    <w:p w14:paraId="130919C7" w14:textId="77777777" w:rsidR="005B5F2F" w:rsidRPr="00C96F24" w:rsidRDefault="005B5F2F" w:rsidP="005B5F2F">
      <w:pPr>
        <w:rPr>
          <w:color w:val="000000" w:themeColor="text1"/>
          <w:sz w:val="21"/>
        </w:rPr>
      </w:pPr>
      <w:r w:rsidRPr="00C96F24">
        <w:rPr>
          <w:color w:val="000000" w:themeColor="text1"/>
          <w:sz w:val="21"/>
        </w:rPr>
        <w:t>The evaluative approach will us</w:t>
      </w:r>
      <w:r w:rsidR="00C96F24">
        <w:rPr>
          <w:color w:val="000000" w:themeColor="text1"/>
          <w:sz w:val="21"/>
        </w:rPr>
        <w:t>e</w:t>
      </w:r>
      <w:r w:rsidRPr="00C96F24">
        <w:rPr>
          <w:color w:val="000000" w:themeColor="text1"/>
          <w:sz w:val="21"/>
        </w:rPr>
        <w:t xml:space="preserve"> qualitative and quantitative </w:t>
      </w:r>
      <w:r w:rsidR="00C96F24">
        <w:rPr>
          <w:color w:val="000000" w:themeColor="text1"/>
          <w:sz w:val="21"/>
        </w:rPr>
        <w:t xml:space="preserve">metrics </w:t>
      </w:r>
      <w:r w:rsidRPr="00C96F24">
        <w:rPr>
          <w:color w:val="000000" w:themeColor="text1"/>
          <w:sz w:val="21"/>
        </w:rPr>
        <w:t xml:space="preserve">to measure success </w:t>
      </w:r>
      <w:r w:rsidR="00C96F24" w:rsidRPr="00C96F24">
        <w:rPr>
          <w:color w:val="000000" w:themeColor="text1"/>
          <w:sz w:val="21"/>
        </w:rPr>
        <w:t xml:space="preserve">against the objectives of the provider governance reforms in support of broader </w:t>
      </w:r>
      <w:r w:rsidR="0030646F">
        <w:rPr>
          <w:color w:val="000000" w:themeColor="text1"/>
          <w:sz w:val="21"/>
        </w:rPr>
        <w:t>a</w:t>
      </w:r>
      <w:r w:rsidR="00C96F24" w:rsidRPr="00C96F24">
        <w:rPr>
          <w:color w:val="000000" w:themeColor="text1"/>
          <w:sz w:val="21"/>
        </w:rPr>
        <w:t xml:space="preserve">ged </w:t>
      </w:r>
      <w:r w:rsidR="0030646F">
        <w:rPr>
          <w:color w:val="000000" w:themeColor="text1"/>
          <w:sz w:val="21"/>
        </w:rPr>
        <w:t>c</w:t>
      </w:r>
      <w:r w:rsidR="00C96F24" w:rsidRPr="00C96F24">
        <w:rPr>
          <w:color w:val="000000" w:themeColor="text1"/>
          <w:sz w:val="21"/>
        </w:rPr>
        <w:t xml:space="preserve">are </w:t>
      </w:r>
      <w:r w:rsidR="0030646F">
        <w:rPr>
          <w:color w:val="000000" w:themeColor="text1"/>
          <w:sz w:val="21"/>
        </w:rPr>
        <w:t>r</w:t>
      </w:r>
      <w:r w:rsidR="00C96F24" w:rsidRPr="00C96F24">
        <w:rPr>
          <w:color w:val="000000" w:themeColor="text1"/>
          <w:sz w:val="21"/>
        </w:rPr>
        <w:t xml:space="preserve">eform for </w:t>
      </w:r>
      <w:r w:rsidR="0030646F">
        <w:rPr>
          <w:color w:val="000000" w:themeColor="text1"/>
          <w:sz w:val="21"/>
        </w:rPr>
        <w:t>s</w:t>
      </w:r>
      <w:r w:rsidR="00C96F24" w:rsidRPr="00C96F24">
        <w:rPr>
          <w:color w:val="000000" w:themeColor="text1"/>
          <w:sz w:val="21"/>
        </w:rPr>
        <w:t>enior Australians. This approach will also enable identification of whether additional reforms are required to deliver sustainable quality and safety in Australia’s home and residential aged care services.</w:t>
      </w:r>
      <w:r w:rsidR="00392D96" w:rsidRPr="00C96F24">
        <w:rPr>
          <w:color w:val="000000" w:themeColor="text1"/>
          <w:sz w:val="21"/>
        </w:rPr>
        <w:t xml:space="preserve"> </w:t>
      </w:r>
      <w:r w:rsidRPr="00C96F24">
        <w:rPr>
          <w:color w:val="000000" w:themeColor="text1"/>
          <w:sz w:val="21"/>
        </w:rPr>
        <w:t>Th</w:t>
      </w:r>
      <w:r w:rsidR="00C96F24">
        <w:rPr>
          <w:color w:val="000000" w:themeColor="text1"/>
          <w:sz w:val="21"/>
        </w:rPr>
        <w:t>e</w:t>
      </w:r>
      <w:r w:rsidRPr="00C96F24">
        <w:rPr>
          <w:color w:val="000000" w:themeColor="text1"/>
          <w:sz w:val="21"/>
        </w:rPr>
        <w:t xml:space="preserve"> approach will feed into Ministerial reporting and public reporting.</w:t>
      </w:r>
    </w:p>
    <w:p w14:paraId="5F2EA4A8" w14:textId="77777777" w:rsidR="005B5F2F" w:rsidRPr="00C96F24" w:rsidRDefault="005B5F2F" w:rsidP="005B5F2F">
      <w:pPr>
        <w:rPr>
          <w:color w:val="000000" w:themeColor="text1"/>
          <w:sz w:val="21"/>
        </w:rPr>
      </w:pPr>
    </w:p>
    <w:p w14:paraId="1B6FB82B" w14:textId="77777777" w:rsidR="005B5F2F" w:rsidRPr="00C96F24" w:rsidRDefault="005B5F2F" w:rsidP="005B5F2F">
      <w:pPr>
        <w:rPr>
          <w:color w:val="000000" w:themeColor="text1"/>
          <w:sz w:val="21"/>
        </w:rPr>
      </w:pPr>
      <w:r w:rsidRPr="00C96F24">
        <w:rPr>
          <w:color w:val="000000" w:themeColor="text1"/>
          <w:sz w:val="21"/>
        </w:rPr>
        <w:t xml:space="preserve">Specific components of the approved provider governance reforms will also be monitored using a mixed methods approach, drawing on quantitative and qualitative data sources. Monitoring activities will help keep track of sector performance against the new responsibilities and help to inform any decision to modify aspects of the approved provider responsibilities. </w:t>
      </w:r>
    </w:p>
    <w:p w14:paraId="27F91C1E" w14:textId="77777777" w:rsidR="005B5F2F" w:rsidRPr="00C96F24" w:rsidRDefault="005B5F2F" w:rsidP="005B5F2F">
      <w:pPr>
        <w:rPr>
          <w:color w:val="000000" w:themeColor="text1"/>
          <w:sz w:val="21"/>
        </w:rPr>
      </w:pPr>
    </w:p>
    <w:p w14:paraId="1AB88437" w14:textId="18AE9B1A" w:rsidR="00F02DF6" w:rsidRPr="00C96F24" w:rsidRDefault="00FC75E8">
      <w:pPr>
        <w:rPr>
          <w:color w:val="000000" w:themeColor="text1"/>
          <w:sz w:val="21"/>
        </w:rPr>
      </w:pPr>
      <w:r w:rsidRPr="00C96F24">
        <w:rPr>
          <w:color w:val="000000" w:themeColor="text1"/>
          <w:sz w:val="21"/>
        </w:rPr>
        <w:t xml:space="preserve">Where practicable the evaluation will utilise existing data. </w:t>
      </w:r>
      <w:r w:rsidR="00F02DF6" w:rsidRPr="00C96F24">
        <w:rPr>
          <w:color w:val="000000" w:themeColor="text1"/>
          <w:sz w:val="21"/>
        </w:rPr>
        <w:t>Where new systems are being developed (</w:t>
      </w:r>
      <w:r w:rsidR="005B5F2F" w:rsidRPr="00C96F24">
        <w:rPr>
          <w:color w:val="000000" w:themeColor="text1"/>
          <w:sz w:val="21"/>
        </w:rPr>
        <w:t>e.g.</w:t>
      </w:r>
      <w:r w:rsidR="00F02DF6" w:rsidRPr="00C96F24">
        <w:rPr>
          <w:color w:val="000000" w:themeColor="text1"/>
          <w:sz w:val="21"/>
        </w:rPr>
        <w:t xml:space="preserve"> for submission of </w:t>
      </w:r>
      <w:r w:rsidR="00577F8B">
        <w:rPr>
          <w:color w:val="000000" w:themeColor="text1"/>
          <w:sz w:val="21"/>
        </w:rPr>
        <w:t xml:space="preserve">information about the providers’ </w:t>
      </w:r>
      <w:r w:rsidR="00F02DF6" w:rsidRPr="00C96F24">
        <w:rPr>
          <w:color w:val="000000" w:themeColor="text1"/>
          <w:sz w:val="21"/>
        </w:rPr>
        <w:t xml:space="preserve">operations) </w:t>
      </w:r>
      <w:r w:rsidR="00BF4687" w:rsidRPr="00C96F24">
        <w:rPr>
          <w:color w:val="000000" w:themeColor="text1"/>
          <w:sz w:val="21"/>
        </w:rPr>
        <w:t xml:space="preserve">technical </w:t>
      </w:r>
      <w:r w:rsidR="00F02DF6" w:rsidRPr="00C96F24">
        <w:rPr>
          <w:color w:val="000000" w:themeColor="text1"/>
          <w:sz w:val="21"/>
        </w:rPr>
        <w:t>reporting mechanisms will be incorporated to allow monitoring</w:t>
      </w:r>
      <w:r w:rsidR="00BF4687" w:rsidRPr="00C96F24">
        <w:rPr>
          <w:color w:val="000000" w:themeColor="text1"/>
          <w:sz w:val="21"/>
        </w:rPr>
        <w:t xml:space="preserve"> and notifications</w:t>
      </w:r>
      <w:r w:rsidR="005B5F2F" w:rsidRPr="00C96F24">
        <w:rPr>
          <w:color w:val="000000" w:themeColor="text1"/>
          <w:sz w:val="21"/>
        </w:rPr>
        <w:t>.</w:t>
      </w:r>
    </w:p>
    <w:p w14:paraId="33B4F93D" w14:textId="77777777" w:rsidR="00F02DF6" w:rsidRPr="00C96F24" w:rsidRDefault="00F02DF6">
      <w:pPr>
        <w:rPr>
          <w:color w:val="000000" w:themeColor="text1"/>
          <w:sz w:val="21"/>
        </w:rPr>
      </w:pPr>
    </w:p>
    <w:p w14:paraId="40CA6909" w14:textId="77777777" w:rsidR="00CC1549" w:rsidRPr="00C96F24" w:rsidRDefault="00392D96">
      <w:pPr>
        <w:rPr>
          <w:color w:val="000000" w:themeColor="text1"/>
          <w:sz w:val="21"/>
        </w:rPr>
      </w:pPr>
      <w:r w:rsidRPr="00C96F24">
        <w:rPr>
          <w:color w:val="000000" w:themeColor="text1"/>
          <w:sz w:val="21"/>
        </w:rPr>
        <w:t>E</w:t>
      </w:r>
      <w:r w:rsidR="0030699B" w:rsidRPr="00C96F24">
        <w:rPr>
          <w:color w:val="000000" w:themeColor="text1"/>
          <w:sz w:val="21"/>
        </w:rPr>
        <w:t>xamples</w:t>
      </w:r>
      <w:r w:rsidR="00F02DF6" w:rsidRPr="00C96F24">
        <w:rPr>
          <w:color w:val="000000" w:themeColor="text1"/>
          <w:sz w:val="21"/>
        </w:rPr>
        <w:t xml:space="preserve"> of data that </w:t>
      </w:r>
      <w:r w:rsidRPr="00C96F24">
        <w:rPr>
          <w:color w:val="000000" w:themeColor="text1"/>
          <w:sz w:val="21"/>
        </w:rPr>
        <w:t xml:space="preserve">may </w:t>
      </w:r>
      <w:r w:rsidR="00F02DF6" w:rsidRPr="00C96F24">
        <w:rPr>
          <w:color w:val="000000" w:themeColor="text1"/>
          <w:sz w:val="21"/>
        </w:rPr>
        <w:t>be tracked</w:t>
      </w:r>
      <w:r w:rsidRPr="00C96F24">
        <w:rPr>
          <w:color w:val="000000" w:themeColor="text1"/>
          <w:sz w:val="21"/>
        </w:rPr>
        <w:t xml:space="preserve"> include</w:t>
      </w:r>
      <w:r w:rsidR="00F02DF6" w:rsidRPr="00C96F24">
        <w:rPr>
          <w:color w:val="000000" w:themeColor="text1"/>
          <w:sz w:val="21"/>
        </w:rPr>
        <w:t xml:space="preserve">: </w:t>
      </w:r>
    </w:p>
    <w:p w14:paraId="302C49E0" w14:textId="77777777" w:rsidR="00CC1549" w:rsidRPr="00C96F24" w:rsidRDefault="00D149B1" w:rsidP="00CC1549">
      <w:pPr>
        <w:pStyle w:val="ListParagraph"/>
        <w:numPr>
          <w:ilvl w:val="0"/>
          <w:numId w:val="35"/>
        </w:numPr>
        <w:rPr>
          <w:color w:val="000000" w:themeColor="text1"/>
          <w:sz w:val="21"/>
        </w:rPr>
      </w:pPr>
      <w:r w:rsidRPr="00C96F24">
        <w:rPr>
          <w:color w:val="000000" w:themeColor="text1"/>
          <w:sz w:val="21"/>
        </w:rPr>
        <w:t xml:space="preserve">formal and informal </w:t>
      </w:r>
      <w:r w:rsidR="00CC1549" w:rsidRPr="00C96F24">
        <w:rPr>
          <w:color w:val="000000" w:themeColor="text1"/>
          <w:sz w:val="21"/>
        </w:rPr>
        <w:t>feedback and consultation with the aged care sector</w:t>
      </w:r>
      <w:r w:rsidR="0030699B" w:rsidRPr="00C96F24">
        <w:rPr>
          <w:color w:val="000000" w:themeColor="text1"/>
          <w:sz w:val="21"/>
        </w:rPr>
        <w:t xml:space="preserve"> </w:t>
      </w:r>
      <w:r w:rsidR="00392D96" w:rsidRPr="00C96F24">
        <w:rPr>
          <w:color w:val="000000" w:themeColor="text1"/>
          <w:sz w:val="21"/>
        </w:rPr>
        <w:t>on the impact of the reforms</w:t>
      </w:r>
    </w:p>
    <w:p w14:paraId="1DA511A0" w14:textId="77777777" w:rsidR="00577F8B" w:rsidRDefault="00D149B1" w:rsidP="00982AE2">
      <w:pPr>
        <w:pStyle w:val="ListParagraph"/>
        <w:numPr>
          <w:ilvl w:val="0"/>
          <w:numId w:val="35"/>
        </w:numPr>
        <w:rPr>
          <w:color w:val="000000" w:themeColor="text1"/>
          <w:sz w:val="21"/>
        </w:rPr>
      </w:pPr>
      <w:r w:rsidRPr="00C96F24">
        <w:rPr>
          <w:color w:val="000000" w:themeColor="text1"/>
          <w:sz w:val="21"/>
        </w:rPr>
        <w:lastRenderedPageBreak/>
        <w:t>m</w:t>
      </w:r>
      <w:r w:rsidR="00982AE2" w:rsidRPr="00C96F24">
        <w:rPr>
          <w:color w:val="000000" w:themeColor="text1"/>
          <w:sz w:val="21"/>
        </w:rPr>
        <w:t>onitoring</w:t>
      </w:r>
      <w:r w:rsidRPr="00C96F24">
        <w:rPr>
          <w:color w:val="000000" w:themeColor="text1"/>
          <w:sz w:val="21"/>
        </w:rPr>
        <w:t xml:space="preserve"> provider compliance</w:t>
      </w:r>
      <w:r w:rsidR="00982AE2" w:rsidRPr="00C96F24">
        <w:rPr>
          <w:color w:val="000000" w:themeColor="text1"/>
          <w:sz w:val="21"/>
        </w:rPr>
        <w:t>, including provi</w:t>
      </w:r>
      <w:r w:rsidRPr="00C96F24">
        <w:rPr>
          <w:color w:val="000000" w:themeColor="text1"/>
          <w:sz w:val="21"/>
        </w:rPr>
        <w:t>d</w:t>
      </w:r>
      <w:r w:rsidR="00982AE2" w:rsidRPr="00C96F24">
        <w:rPr>
          <w:color w:val="000000" w:themeColor="text1"/>
          <w:sz w:val="21"/>
        </w:rPr>
        <w:t xml:space="preserve">er performance </w:t>
      </w:r>
      <w:r w:rsidR="005B5F2F" w:rsidRPr="00C96F24">
        <w:rPr>
          <w:color w:val="000000" w:themeColor="text1"/>
          <w:sz w:val="21"/>
        </w:rPr>
        <w:t>against</w:t>
      </w:r>
      <w:r w:rsidR="00982AE2" w:rsidRPr="00C96F24">
        <w:rPr>
          <w:color w:val="000000" w:themeColor="text1"/>
          <w:sz w:val="21"/>
        </w:rPr>
        <w:t xml:space="preserve"> Aged Care Quality Standard 8 - Organisational </w:t>
      </w:r>
      <w:r w:rsidR="005B5F2F" w:rsidRPr="00C96F24">
        <w:rPr>
          <w:color w:val="000000" w:themeColor="text1"/>
          <w:sz w:val="21"/>
        </w:rPr>
        <w:t>Governance</w:t>
      </w:r>
      <w:r w:rsidR="00392D96" w:rsidRPr="00C96F24">
        <w:rPr>
          <w:color w:val="000000" w:themeColor="text1"/>
          <w:sz w:val="21"/>
        </w:rPr>
        <w:t xml:space="preserve"> and Standard</w:t>
      </w:r>
      <w:r w:rsidR="00091759">
        <w:rPr>
          <w:color w:val="000000" w:themeColor="text1"/>
          <w:sz w:val="21"/>
        </w:rPr>
        <w:t xml:space="preserve"> </w:t>
      </w:r>
      <w:r w:rsidR="00392D96" w:rsidRPr="00C96F24">
        <w:rPr>
          <w:color w:val="000000" w:themeColor="text1"/>
          <w:sz w:val="21"/>
        </w:rPr>
        <w:t xml:space="preserve">7 </w:t>
      </w:r>
      <w:r w:rsidR="00091759" w:rsidRPr="00C96F24">
        <w:rPr>
          <w:color w:val="000000" w:themeColor="text1"/>
          <w:sz w:val="21"/>
        </w:rPr>
        <w:t xml:space="preserve">- </w:t>
      </w:r>
      <w:r w:rsidR="00392D96" w:rsidRPr="00C96F24">
        <w:rPr>
          <w:color w:val="000000" w:themeColor="text1"/>
          <w:sz w:val="21"/>
        </w:rPr>
        <w:t>Human Resources</w:t>
      </w:r>
      <w:r w:rsidRPr="00C96F24">
        <w:rPr>
          <w:color w:val="000000" w:themeColor="text1"/>
          <w:sz w:val="21"/>
        </w:rPr>
        <w:t>;</w:t>
      </w:r>
    </w:p>
    <w:p w14:paraId="2E1AD46B" w14:textId="7D80E3A6" w:rsidR="00982AE2" w:rsidRPr="00C96F24" w:rsidRDefault="00D149B1" w:rsidP="00982AE2">
      <w:pPr>
        <w:pStyle w:val="ListParagraph"/>
        <w:numPr>
          <w:ilvl w:val="0"/>
          <w:numId w:val="35"/>
        </w:numPr>
        <w:rPr>
          <w:color w:val="000000" w:themeColor="text1"/>
          <w:sz w:val="21"/>
        </w:rPr>
      </w:pPr>
      <w:r w:rsidRPr="00C96F24">
        <w:rPr>
          <w:color w:val="000000" w:themeColor="text1"/>
          <w:sz w:val="21"/>
        </w:rPr>
        <w:t xml:space="preserve">timely </w:t>
      </w:r>
      <w:r w:rsidR="00982AE2" w:rsidRPr="00C96F24">
        <w:rPr>
          <w:color w:val="000000" w:themeColor="text1"/>
          <w:sz w:val="21"/>
        </w:rPr>
        <w:t>submission of annual statements</w:t>
      </w:r>
      <w:r w:rsidRPr="00C96F24">
        <w:rPr>
          <w:color w:val="000000" w:themeColor="text1"/>
          <w:sz w:val="21"/>
        </w:rPr>
        <w:t xml:space="preserve"> of operations</w:t>
      </w:r>
      <w:r w:rsidR="00966569">
        <w:rPr>
          <w:color w:val="000000" w:themeColor="text1"/>
          <w:sz w:val="21"/>
        </w:rPr>
        <w:t xml:space="preserve"> and</w:t>
      </w:r>
      <w:r w:rsidRPr="00C96F24">
        <w:rPr>
          <w:color w:val="000000" w:themeColor="text1"/>
          <w:sz w:val="21"/>
        </w:rPr>
        <w:t xml:space="preserve"> </w:t>
      </w:r>
      <w:r w:rsidR="00FC75E8" w:rsidRPr="00C96F24">
        <w:rPr>
          <w:color w:val="000000" w:themeColor="text1"/>
          <w:sz w:val="21"/>
        </w:rPr>
        <w:t>updating of key personnel data</w:t>
      </w:r>
      <w:r w:rsidRPr="00C96F24">
        <w:rPr>
          <w:color w:val="000000" w:themeColor="text1"/>
          <w:sz w:val="21"/>
        </w:rPr>
        <w:t xml:space="preserve"> </w:t>
      </w:r>
      <w:r w:rsidR="00982AE2" w:rsidRPr="00C96F24">
        <w:rPr>
          <w:color w:val="000000" w:themeColor="text1"/>
          <w:sz w:val="21"/>
        </w:rPr>
        <w:t xml:space="preserve"> </w:t>
      </w:r>
    </w:p>
    <w:p w14:paraId="5653CFA2" w14:textId="77777777" w:rsidR="00CC1549" w:rsidRPr="00C96F24" w:rsidRDefault="00CC1549" w:rsidP="00CC1549">
      <w:pPr>
        <w:pStyle w:val="ListParagraph"/>
        <w:numPr>
          <w:ilvl w:val="0"/>
          <w:numId w:val="35"/>
        </w:numPr>
        <w:rPr>
          <w:color w:val="000000" w:themeColor="text1"/>
          <w:sz w:val="21"/>
        </w:rPr>
      </w:pPr>
      <w:r w:rsidRPr="00C96F24">
        <w:rPr>
          <w:color w:val="000000" w:themeColor="text1"/>
          <w:sz w:val="21"/>
        </w:rPr>
        <w:t xml:space="preserve">user experience feedback </w:t>
      </w:r>
      <w:r w:rsidR="005B5F2F" w:rsidRPr="00C96F24">
        <w:rPr>
          <w:color w:val="000000" w:themeColor="text1"/>
          <w:sz w:val="21"/>
        </w:rPr>
        <w:t>regarding</w:t>
      </w:r>
      <w:r w:rsidR="00982AE2" w:rsidRPr="00C96F24">
        <w:rPr>
          <w:color w:val="000000" w:themeColor="text1"/>
          <w:sz w:val="21"/>
        </w:rPr>
        <w:t xml:space="preserve"> use of IT tools supporting submission of annual statements </w:t>
      </w:r>
      <w:r w:rsidR="00D149B1" w:rsidRPr="00C96F24">
        <w:rPr>
          <w:color w:val="000000" w:themeColor="text1"/>
          <w:sz w:val="21"/>
        </w:rPr>
        <w:t>of operations</w:t>
      </w:r>
    </w:p>
    <w:p w14:paraId="68514D9F" w14:textId="77777777" w:rsidR="00982AE2" w:rsidRPr="00C96F24" w:rsidRDefault="00CC1549" w:rsidP="00CC1549">
      <w:pPr>
        <w:pStyle w:val="ListParagraph"/>
        <w:numPr>
          <w:ilvl w:val="0"/>
          <w:numId w:val="35"/>
        </w:numPr>
        <w:rPr>
          <w:color w:val="000000" w:themeColor="text1"/>
          <w:sz w:val="21"/>
        </w:rPr>
      </w:pPr>
      <w:r w:rsidRPr="00C96F24">
        <w:rPr>
          <w:color w:val="000000" w:themeColor="text1"/>
          <w:sz w:val="21"/>
        </w:rPr>
        <w:t>analysis of complaints data</w:t>
      </w:r>
      <w:r w:rsidR="00D149B1" w:rsidRPr="00C96F24">
        <w:rPr>
          <w:color w:val="000000" w:themeColor="text1"/>
          <w:sz w:val="21"/>
        </w:rPr>
        <w:t xml:space="preserve"> </w:t>
      </w:r>
      <w:r w:rsidR="00392D96" w:rsidRPr="00C96F24">
        <w:rPr>
          <w:color w:val="000000" w:themeColor="text1"/>
          <w:sz w:val="21"/>
        </w:rPr>
        <w:t>for matters relating to organisational governance</w:t>
      </w:r>
    </w:p>
    <w:p w14:paraId="121BA973" w14:textId="2F4713D1" w:rsidR="00CC1549" w:rsidRPr="00577F8B" w:rsidRDefault="00D149B1" w:rsidP="00577F8B">
      <w:pPr>
        <w:pStyle w:val="ListParagraph"/>
        <w:numPr>
          <w:ilvl w:val="0"/>
          <w:numId w:val="35"/>
        </w:numPr>
        <w:rPr>
          <w:color w:val="000000" w:themeColor="text1"/>
          <w:sz w:val="21"/>
        </w:rPr>
      </w:pPr>
      <w:r w:rsidRPr="00C96F24">
        <w:rPr>
          <w:color w:val="000000" w:themeColor="text1"/>
          <w:sz w:val="21"/>
        </w:rPr>
        <w:t xml:space="preserve">number of </w:t>
      </w:r>
      <w:r w:rsidR="00982AE2" w:rsidRPr="00C96F24">
        <w:rPr>
          <w:color w:val="000000" w:themeColor="text1"/>
          <w:sz w:val="21"/>
        </w:rPr>
        <w:t xml:space="preserve">applications </w:t>
      </w:r>
      <w:r w:rsidRPr="00C96F24">
        <w:rPr>
          <w:color w:val="000000" w:themeColor="text1"/>
          <w:sz w:val="21"/>
        </w:rPr>
        <w:t xml:space="preserve">for </w:t>
      </w:r>
      <w:r w:rsidR="00982AE2" w:rsidRPr="00C96F24">
        <w:rPr>
          <w:color w:val="000000" w:themeColor="text1"/>
          <w:sz w:val="21"/>
        </w:rPr>
        <w:t xml:space="preserve">determinations </w:t>
      </w:r>
      <w:r w:rsidR="005B5F2F" w:rsidRPr="00C96F24">
        <w:rPr>
          <w:color w:val="000000" w:themeColor="text1"/>
          <w:sz w:val="21"/>
        </w:rPr>
        <w:t>regarding</w:t>
      </w:r>
      <w:r w:rsidRPr="00C96F24">
        <w:rPr>
          <w:color w:val="000000" w:themeColor="text1"/>
          <w:sz w:val="21"/>
        </w:rPr>
        <w:t xml:space="preserve"> provider membership of governing bodies</w:t>
      </w:r>
      <w:r w:rsidR="00577F8B">
        <w:rPr>
          <w:color w:val="000000" w:themeColor="text1"/>
          <w:sz w:val="21"/>
        </w:rPr>
        <w:t>.</w:t>
      </w:r>
    </w:p>
    <w:p w14:paraId="4A406EB4" w14:textId="77777777" w:rsidR="00FC75E8" w:rsidRPr="002407FC" w:rsidRDefault="00FC75E8" w:rsidP="00FC75E8">
      <w:pPr>
        <w:rPr>
          <w:color w:val="000000" w:themeColor="text1"/>
          <w:sz w:val="21"/>
        </w:rPr>
      </w:pPr>
    </w:p>
    <w:p w14:paraId="24E3C5A3" w14:textId="77777777" w:rsidR="00091759" w:rsidRDefault="00091759" w:rsidP="00091759">
      <w:pPr>
        <w:pStyle w:val="Heading3"/>
        <w:rPr>
          <w:color w:val="3F4A75"/>
          <w:kern w:val="28"/>
          <w:sz w:val="36"/>
          <w:szCs w:val="36"/>
        </w:rPr>
      </w:pPr>
      <w:r w:rsidRPr="00091759">
        <w:rPr>
          <w:color w:val="3F4A75"/>
          <w:kern w:val="28"/>
          <w:sz w:val="36"/>
          <w:szCs w:val="36"/>
        </w:rPr>
        <w:t>Estimate of Regulatory Burden</w:t>
      </w:r>
    </w:p>
    <w:p w14:paraId="5121B450" w14:textId="3B459EBF" w:rsidR="00091759" w:rsidRDefault="00091759" w:rsidP="00091759">
      <w:pPr>
        <w:pStyle w:val="BodyText"/>
      </w:pPr>
      <w:r>
        <w:t>The regulatory burden to business, community or indivi</w:t>
      </w:r>
      <w:r w:rsidR="000F6FE6">
        <w:t>d</w:t>
      </w:r>
      <w:r>
        <w:t>uals is quantified using the Australian Government’s Regulatory Burden Measurement Framework and is provided below.</w:t>
      </w:r>
    </w:p>
    <w:p w14:paraId="150F4073" w14:textId="77777777" w:rsidR="005F2AF1" w:rsidRDefault="005F2AF1" w:rsidP="005F2AF1">
      <w:pPr>
        <w:pBdr>
          <w:top w:val="nil"/>
          <w:left w:val="nil"/>
          <w:bottom w:val="nil"/>
          <w:right w:val="nil"/>
          <w:between w:val="nil"/>
          <w:bar w:val="nil"/>
        </w:pBdr>
        <w:tabs>
          <w:tab w:val="left" w:pos="660"/>
        </w:tabs>
        <w:suppressAutoHyphens/>
        <w:spacing w:after="120"/>
        <w:rPr>
          <w:rFonts w:eastAsiaTheme="minorHAnsi" w:cstheme="minorBidi"/>
          <w:szCs w:val="22"/>
        </w:rPr>
      </w:pPr>
    </w:p>
    <w:p w14:paraId="05283806" w14:textId="53118AB9" w:rsidR="005F2AF1" w:rsidRPr="005F2AF1" w:rsidRDefault="005F2AF1" w:rsidP="005F2AF1">
      <w:pPr>
        <w:pBdr>
          <w:top w:val="nil"/>
          <w:left w:val="nil"/>
          <w:bottom w:val="nil"/>
          <w:right w:val="nil"/>
          <w:between w:val="nil"/>
          <w:bar w:val="nil"/>
        </w:pBdr>
        <w:tabs>
          <w:tab w:val="left" w:pos="660"/>
        </w:tabs>
        <w:suppressAutoHyphens/>
        <w:spacing w:after="120"/>
        <w:rPr>
          <w:rFonts w:eastAsiaTheme="minorHAnsi" w:cstheme="minorBidi"/>
          <w:szCs w:val="22"/>
        </w:rPr>
      </w:pPr>
      <w:r w:rsidRPr="005F2AF1">
        <w:rPr>
          <w:rFonts w:eastAsiaTheme="minorHAnsi" w:cstheme="minorBidi"/>
          <w:szCs w:val="22"/>
        </w:rPr>
        <w:t xml:space="preserve">The net effect of this regulatory change </w:t>
      </w:r>
      <w:bookmarkStart w:id="3" w:name="_Hlk84429512"/>
      <w:r>
        <w:rPr>
          <w:rFonts w:eastAsiaTheme="minorHAnsi" w:cstheme="minorBidi"/>
          <w:szCs w:val="22"/>
        </w:rPr>
        <w:t xml:space="preserve">is estimated as </w:t>
      </w:r>
      <w:bookmarkEnd w:id="3"/>
      <w:r w:rsidR="002A239A" w:rsidRPr="002A239A">
        <w:rPr>
          <w:rFonts w:eastAsiaTheme="minorHAnsi" w:cstheme="minorBidi"/>
          <w:szCs w:val="22"/>
        </w:rPr>
        <w:t>$ 8</w:t>
      </w:r>
      <w:r w:rsidR="00A63CA6">
        <w:rPr>
          <w:rFonts w:eastAsiaTheme="minorHAnsi" w:cstheme="minorBidi"/>
          <w:szCs w:val="22"/>
        </w:rPr>
        <w:t>.</w:t>
      </w:r>
      <w:r w:rsidR="002A239A" w:rsidRPr="002A239A">
        <w:rPr>
          <w:rFonts w:eastAsiaTheme="minorHAnsi" w:cstheme="minorBidi"/>
          <w:szCs w:val="22"/>
        </w:rPr>
        <w:t>91</w:t>
      </w:r>
      <w:r w:rsidR="00A63CA6">
        <w:rPr>
          <w:rFonts w:eastAsiaTheme="minorHAnsi" w:cstheme="minorBidi"/>
          <w:szCs w:val="22"/>
        </w:rPr>
        <w:t xml:space="preserve"> million</w:t>
      </w:r>
      <w:r w:rsidR="002A239A">
        <w:rPr>
          <w:rFonts w:eastAsiaTheme="minorHAnsi" w:cstheme="minorBidi"/>
          <w:szCs w:val="22"/>
        </w:rPr>
        <w:t xml:space="preserve"> </w:t>
      </w:r>
      <w:r>
        <w:rPr>
          <w:rFonts w:eastAsiaTheme="minorHAnsi" w:cstheme="minorBidi"/>
          <w:szCs w:val="22"/>
        </w:rPr>
        <w:t xml:space="preserve">per </w:t>
      </w:r>
      <w:r w:rsidRPr="005F2AF1">
        <w:rPr>
          <w:rFonts w:eastAsiaTheme="minorHAnsi" w:cstheme="minorBidi"/>
          <w:szCs w:val="22"/>
        </w:rPr>
        <w:t xml:space="preserve">annum, based on estimated costs across a 10-year timeframe. </w:t>
      </w:r>
      <w:r>
        <w:rPr>
          <w:rFonts w:eastAsiaTheme="minorHAnsi" w:cstheme="minorBidi"/>
          <w:szCs w:val="22"/>
        </w:rPr>
        <w:t>This is a refinement of costs for the approved provider governance matte</w:t>
      </w:r>
      <w:r w:rsidR="008A48CF">
        <w:rPr>
          <w:rFonts w:eastAsiaTheme="minorHAnsi" w:cstheme="minorBidi"/>
          <w:szCs w:val="22"/>
        </w:rPr>
        <w:t>r</w:t>
      </w:r>
      <w:r>
        <w:rPr>
          <w:rFonts w:eastAsiaTheme="minorHAnsi" w:cstheme="minorBidi"/>
          <w:szCs w:val="22"/>
        </w:rPr>
        <w:t xml:space="preserve">s addressed by the subordinate legislation. The </w:t>
      </w:r>
      <w:r w:rsidRPr="005F2AF1">
        <w:rPr>
          <w:rFonts w:eastAsiaTheme="minorHAnsi" w:cstheme="minorBidi"/>
          <w:szCs w:val="22"/>
        </w:rPr>
        <w:t xml:space="preserve">certification letter </w:t>
      </w:r>
      <w:r w:rsidR="00D43021">
        <w:rPr>
          <w:rFonts w:eastAsiaTheme="minorHAnsi" w:cstheme="minorBidi"/>
          <w:szCs w:val="22"/>
        </w:rPr>
        <w:t xml:space="preserve">(refer Attachment A) </w:t>
      </w:r>
      <w:r>
        <w:rPr>
          <w:rFonts w:eastAsiaTheme="minorHAnsi" w:cstheme="minorBidi"/>
          <w:szCs w:val="22"/>
        </w:rPr>
        <w:t xml:space="preserve">included an </w:t>
      </w:r>
      <w:r w:rsidRPr="00AD7E84">
        <w:rPr>
          <w:rFonts w:eastAsiaTheme="minorHAnsi" w:cstheme="minorBidi"/>
          <w:i/>
          <w:iCs/>
          <w:szCs w:val="22"/>
        </w:rPr>
        <w:t>in globo</w:t>
      </w:r>
      <w:r w:rsidRPr="005F2AF1">
        <w:rPr>
          <w:rFonts w:eastAsiaTheme="minorHAnsi" w:cstheme="minorBidi"/>
          <w:szCs w:val="22"/>
        </w:rPr>
        <w:t xml:space="preserve"> </w:t>
      </w:r>
      <w:r>
        <w:rPr>
          <w:rFonts w:eastAsiaTheme="minorHAnsi" w:cstheme="minorBidi"/>
          <w:szCs w:val="22"/>
        </w:rPr>
        <w:t>estimate of these costs.</w:t>
      </w:r>
    </w:p>
    <w:tbl>
      <w:tblPr>
        <w:tblStyle w:val="LightGrid-Accent2"/>
        <w:tblW w:w="9356" w:type="dxa"/>
        <w:tblInd w:w="108" w:type="dxa"/>
        <w:tblBorders>
          <w:top w:val="single" w:sz="4" w:space="0" w:color="3F4A75" w:themeColor="accent1"/>
          <w:left w:val="single" w:sz="4" w:space="0" w:color="3F4A75" w:themeColor="accent1"/>
          <w:bottom w:val="single" w:sz="4" w:space="0" w:color="3F4A75" w:themeColor="accent1"/>
          <w:right w:val="single" w:sz="4" w:space="0" w:color="3F4A75" w:themeColor="accent1"/>
          <w:insideH w:val="single" w:sz="4" w:space="0" w:color="3F4A75" w:themeColor="accent1"/>
          <w:insideV w:val="single" w:sz="4" w:space="0" w:color="3F4A75" w:themeColor="accent1"/>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2A239A" w:rsidRPr="002A239A" w14:paraId="01CF133A" w14:textId="77777777" w:rsidTr="002A239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3F4A75"/>
            <w:noWrap/>
          </w:tcPr>
          <w:p w14:paraId="0486A7E4" w14:textId="77777777" w:rsidR="002A239A" w:rsidRPr="002A239A" w:rsidRDefault="002A239A" w:rsidP="003C3F77">
            <w:pPr>
              <w:spacing w:before="120" w:after="120"/>
              <w:rPr>
                <w:rFonts w:cs="Arial"/>
                <w:color w:val="FFFFFF" w:themeColor="background1"/>
                <w:sz w:val="20"/>
                <w:u w:val="single"/>
              </w:rPr>
            </w:pPr>
            <w:r w:rsidRPr="002A239A">
              <w:rPr>
                <w:rFonts w:cs="Arial"/>
                <w:color w:val="FFFFFF" w:themeColor="background1"/>
                <w:u w:val="single"/>
              </w:rPr>
              <w:t>Regulatory burden estimate table</w:t>
            </w:r>
          </w:p>
          <w:p w14:paraId="3CE394C5" w14:textId="77777777" w:rsidR="002A239A" w:rsidRPr="002A239A" w:rsidRDefault="002A239A" w:rsidP="003C3F77">
            <w:pPr>
              <w:spacing w:before="120" w:after="120"/>
              <w:rPr>
                <w:rFonts w:cs="Arial"/>
                <w:color w:val="FFFFFF" w:themeColor="background1"/>
                <w:sz w:val="20"/>
              </w:rPr>
            </w:pPr>
            <w:r w:rsidRPr="002A239A">
              <w:rPr>
                <w:rFonts w:cs="Arial"/>
                <w:color w:val="FFFFFF" w:themeColor="background1"/>
                <w:sz w:val="20"/>
              </w:rPr>
              <w:t>Average annual regulatory costs (from business as usual)</w:t>
            </w:r>
          </w:p>
        </w:tc>
      </w:tr>
      <w:tr w:rsidR="002A239A" w:rsidRPr="003435C6" w14:paraId="7F5B5FDD" w14:textId="77777777" w:rsidTr="002A239A">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0213A64" w14:textId="77777777" w:rsidR="002A239A" w:rsidRPr="003435C6" w:rsidRDefault="002A239A" w:rsidP="003C3F77">
            <w:pPr>
              <w:pStyle w:val="TableText"/>
              <w:rPr>
                <w:b w:val="0"/>
              </w:rPr>
            </w:pPr>
            <w:r w:rsidRPr="003435C6">
              <w:rPr>
                <w:b w:val="0"/>
              </w:rPr>
              <w:t>Change in costs ($</w:t>
            </w:r>
            <w:r>
              <w:rPr>
                <w:b w:val="0"/>
              </w:rPr>
              <w:t> </w:t>
            </w:r>
            <w:r w:rsidRPr="003435C6">
              <w:rPr>
                <w:b w:val="0"/>
              </w:rPr>
              <w:t>million)</w:t>
            </w:r>
          </w:p>
        </w:tc>
        <w:tc>
          <w:tcPr>
            <w:tcW w:w="1871" w:type="dxa"/>
            <w:noWrap/>
          </w:tcPr>
          <w:p w14:paraId="15C9C927" w14:textId="77777777" w:rsidR="002A239A" w:rsidRPr="003435C6" w:rsidRDefault="002A239A" w:rsidP="003C3F77">
            <w:pPr>
              <w:pStyle w:val="TableText"/>
              <w:cnfStyle w:val="000000000000" w:firstRow="0" w:lastRow="0" w:firstColumn="0" w:lastColumn="0" w:oddVBand="0" w:evenVBand="0" w:oddHBand="0" w:evenHBand="0" w:firstRowFirstColumn="0" w:firstRowLastColumn="0" w:lastRowFirstColumn="0" w:lastRowLastColumn="0"/>
            </w:pPr>
            <w:r w:rsidRPr="003435C6">
              <w:t>Business</w:t>
            </w:r>
          </w:p>
        </w:tc>
        <w:tc>
          <w:tcPr>
            <w:tcW w:w="1871" w:type="dxa"/>
            <w:noWrap/>
          </w:tcPr>
          <w:p w14:paraId="793697D4" w14:textId="77777777" w:rsidR="002A239A" w:rsidRPr="003435C6" w:rsidRDefault="002A239A" w:rsidP="003C3F7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Community o</w:t>
            </w:r>
            <w:r w:rsidRPr="003435C6">
              <w:rPr>
                <w:rFonts w:cs="Arial"/>
                <w:sz w:val="20"/>
              </w:rPr>
              <w:t>rganisations</w:t>
            </w:r>
          </w:p>
        </w:tc>
        <w:tc>
          <w:tcPr>
            <w:tcW w:w="1871" w:type="dxa"/>
            <w:noWrap/>
          </w:tcPr>
          <w:p w14:paraId="3E6B9893" w14:textId="77777777" w:rsidR="002A239A" w:rsidRPr="003435C6" w:rsidRDefault="002A239A" w:rsidP="003C3F7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435C6">
              <w:rPr>
                <w:rFonts w:cs="Arial"/>
                <w:sz w:val="20"/>
              </w:rPr>
              <w:t>Individuals</w:t>
            </w:r>
          </w:p>
        </w:tc>
        <w:tc>
          <w:tcPr>
            <w:tcW w:w="1872" w:type="dxa"/>
            <w:noWrap/>
          </w:tcPr>
          <w:p w14:paraId="40C92348" w14:textId="77777777" w:rsidR="002A239A" w:rsidRPr="003435C6" w:rsidRDefault="002A239A" w:rsidP="003C3F7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435C6">
              <w:rPr>
                <w:rFonts w:cs="Arial"/>
                <w:sz w:val="20"/>
              </w:rPr>
              <w:t>Total change in cost</w:t>
            </w:r>
            <w:r>
              <w:rPr>
                <w:rFonts w:cs="Arial"/>
                <w:sz w:val="20"/>
              </w:rPr>
              <w:t>s</w:t>
            </w:r>
          </w:p>
        </w:tc>
      </w:tr>
      <w:tr w:rsidR="002A239A" w:rsidRPr="003435C6" w14:paraId="1A60CC81" w14:textId="77777777" w:rsidTr="002A239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none" w:sz="0" w:space="0" w:color="auto"/>
              <w:left w:val="none" w:sz="0" w:space="0" w:color="auto"/>
              <w:bottom w:val="none" w:sz="0" w:space="0" w:color="auto"/>
              <w:right w:val="none" w:sz="0" w:space="0" w:color="auto"/>
            </w:tcBorders>
            <w:noWrap/>
          </w:tcPr>
          <w:p w14:paraId="6F7991E6" w14:textId="77777777" w:rsidR="002A239A" w:rsidRPr="00FC0ED2" w:rsidRDefault="002A239A" w:rsidP="003C3F77">
            <w:pPr>
              <w:spacing w:before="120" w:after="120"/>
              <w:rPr>
                <w:rFonts w:cs="Arial"/>
                <w:b w:val="0"/>
                <w:sz w:val="20"/>
              </w:rPr>
            </w:pPr>
            <w:r w:rsidRPr="00FC0ED2">
              <w:rPr>
                <w:rFonts w:cs="Arial"/>
                <w:b w:val="0"/>
                <w:sz w:val="20"/>
              </w:rPr>
              <w:t>Total, by sector</w:t>
            </w:r>
          </w:p>
        </w:tc>
        <w:tc>
          <w:tcPr>
            <w:tcW w:w="1871" w:type="dxa"/>
            <w:tcBorders>
              <w:top w:val="none" w:sz="0" w:space="0" w:color="auto"/>
              <w:left w:val="none" w:sz="0" w:space="0" w:color="auto"/>
              <w:bottom w:val="none" w:sz="0" w:space="0" w:color="auto"/>
              <w:right w:val="none" w:sz="0" w:space="0" w:color="auto"/>
            </w:tcBorders>
            <w:noWrap/>
          </w:tcPr>
          <w:p w14:paraId="25DF250F" w14:textId="6303BBA3" w:rsidR="002A239A" w:rsidRPr="00FC0ED2" w:rsidRDefault="002A239A" w:rsidP="003C3F77">
            <w:pPr>
              <w:spacing w:before="120" w:after="120"/>
              <w:jc w:val="right"/>
              <w:cnfStyle w:val="000000010000" w:firstRow="0" w:lastRow="0" w:firstColumn="0" w:lastColumn="0" w:oddVBand="0" w:evenVBand="0" w:oddHBand="0" w:evenHBand="1" w:firstRowFirstColumn="0" w:firstRowLastColumn="0" w:lastRowFirstColumn="0" w:lastRowLastColumn="0"/>
              <w:rPr>
                <w:rFonts w:cs="Arial"/>
                <w:sz w:val="20"/>
              </w:rPr>
            </w:pPr>
            <w:r w:rsidRPr="00FC0ED2">
              <w:rPr>
                <w:rFonts w:cs="Arial"/>
                <w:sz w:val="20"/>
              </w:rPr>
              <w:t>$ 2</w:t>
            </w:r>
            <w:r w:rsidR="00A63CA6">
              <w:rPr>
                <w:rFonts w:cs="Arial"/>
                <w:sz w:val="20"/>
              </w:rPr>
              <w:t>.</w:t>
            </w:r>
            <w:r w:rsidRPr="00FC0ED2">
              <w:rPr>
                <w:rFonts w:cs="Arial"/>
                <w:sz w:val="20"/>
              </w:rPr>
              <w:t>6</w:t>
            </w:r>
            <w:r w:rsidR="00A63CA6">
              <w:rPr>
                <w:rFonts w:cs="Arial"/>
                <w:sz w:val="20"/>
              </w:rPr>
              <w:t>4</w:t>
            </w:r>
          </w:p>
        </w:tc>
        <w:tc>
          <w:tcPr>
            <w:tcW w:w="1871" w:type="dxa"/>
            <w:tcBorders>
              <w:top w:val="none" w:sz="0" w:space="0" w:color="auto"/>
              <w:left w:val="none" w:sz="0" w:space="0" w:color="auto"/>
              <w:bottom w:val="none" w:sz="0" w:space="0" w:color="auto"/>
              <w:right w:val="none" w:sz="0" w:space="0" w:color="auto"/>
            </w:tcBorders>
            <w:noWrap/>
          </w:tcPr>
          <w:p w14:paraId="7C9D77B4" w14:textId="214253A7" w:rsidR="002A239A" w:rsidRPr="00FC0ED2" w:rsidRDefault="002A239A" w:rsidP="003C3F77">
            <w:pPr>
              <w:spacing w:before="120" w:after="120"/>
              <w:jc w:val="right"/>
              <w:cnfStyle w:val="000000010000" w:firstRow="0" w:lastRow="0" w:firstColumn="0" w:lastColumn="0" w:oddVBand="0" w:evenVBand="0" w:oddHBand="0" w:evenHBand="1" w:firstRowFirstColumn="0" w:firstRowLastColumn="0" w:lastRowFirstColumn="0" w:lastRowLastColumn="0"/>
              <w:rPr>
                <w:rFonts w:cs="Arial"/>
                <w:sz w:val="20"/>
              </w:rPr>
            </w:pPr>
            <w:r w:rsidRPr="00FC0ED2">
              <w:rPr>
                <w:rFonts w:cs="Arial"/>
                <w:sz w:val="20"/>
              </w:rPr>
              <w:t>$ 6</w:t>
            </w:r>
            <w:r w:rsidR="00A63CA6">
              <w:rPr>
                <w:rFonts w:cs="Arial"/>
                <w:sz w:val="20"/>
              </w:rPr>
              <w:t>.</w:t>
            </w:r>
            <w:r w:rsidRPr="00FC0ED2">
              <w:rPr>
                <w:rFonts w:cs="Arial"/>
                <w:sz w:val="20"/>
              </w:rPr>
              <w:t>27</w:t>
            </w:r>
          </w:p>
        </w:tc>
        <w:tc>
          <w:tcPr>
            <w:tcW w:w="1871" w:type="dxa"/>
            <w:tcBorders>
              <w:top w:val="none" w:sz="0" w:space="0" w:color="auto"/>
              <w:left w:val="none" w:sz="0" w:space="0" w:color="auto"/>
              <w:bottom w:val="none" w:sz="0" w:space="0" w:color="auto"/>
              <w:right w:val="none" w:sz="0" w:space="0" w:color="auto"/>
            </w:tcBorders>
            <w:noWrap/>
          </w:tcPr>
          <w:p w14:paraId="40062AA1" w14:textId="77777777" w:rsidR="002A239A" w:rsidRPr="00FC0ED2" w:rsidRDefault="002A239A" w:rsidP="003C3F77">
            <w:pPr>
              <w:spacing w:before="120" w:after="120"/>
              <w:jc w:val="right"/>
              <w:cnfStyle w:val="000000010000" w:firstRow="0" w:lastRow="0" w:firstColumn="0" w:lastColumn="0" w:oddVBand="0" w:evenVBand="0" w:oddHBand="0" w:evenHBand="1" w:firstRowFirstColumn="0" w:firstRowLastColumn="0" w:lastRowFirstColumn="0" w:lastRowLastColumn="0"/>
              <w:rPr>
                <w:rFonts w:cs="Arial"/>
                <w:sz w:val="20"/>
              </w:rPr>
            </w:pPr>
            <w:r w:rsidRPr="00FC0ED2">
              <w:rPr>
                <w:rFonts w:cs="Arial"/>
                <w:sz w:val="20"/>
              </w:rPr>
              <w:t>$</w:t>
            </w:r>
            <w:r>
              <w:rPr>
                <w:rFonts w:cs="Arial"/>
                <w:sz w:val="20"/>
              </w:rPr>
              <w:t xml:space="preserve">   </w:t>
            </w:r>
            <w:r w:rsidRPr="00FC0ED2">
              <w:rPr>
                <w:rFonts w:cs="Arial"/>
                <w:sz w:val="20"/>
              </w:rPr>
              <w:t>-</w:t>
            </w:r>
          </w:p>
        </w:tc>
        <w:tc>
          <w:tcPr>
            <w:tcW w:w="1872" w:type="dxa"/>
            <w:tcBorders>
              <w:top w:val="none" w:sz="0" w:space="0" w:color="auto"/>
              <w:left w:val="none" w:sz="0" w:space="0" w:color="auto"/>
              <w:bottom w:val="none" w:sz="0" w:space="0" w:color="auto"/>
              <w:right w:val="none" w:sz="0" w:space="0" w:color="auto"/>
            </w:tcBorders>
            <w:noWrap/>
          </w:tcPr>
          <w:p w14:paraId="479E2E3E" w14:textId="088FF5AE" w:rsidR="002A239A" w:rsidRPr="003435C6" w:rsidRDefault="002A239A" w:rsidP="003C3F77">
            <w:pPr>
              <w:spacing w:before="120" w:after="120"/>
              <w:jc w:val="right"/>
              <w:cnfStyle w:val="000000010000" w:firstRow="0" w:lastRow="0" w:firstColumn="0" w:lastColumn="0" w:oddVBand="0" w:evenVBand="0" w:oddHBand="0" w:evenHBand="1" w:firstRowFirstColumn="0" w:firstRowLastColumn="0" w:lastRowFirstColumn="0" w:lastRowLastColumn="0"/>
              <w:rPr>
                <w:rFonts w:cs="Arial"/>
                <w:sz w:val="20"/>
              </w:rPr>
            </w:pPr>
            <w:r w:rsidRPr="00FC0ED2">
              <w:rPr>
                <w:rFonts w:cs="Arial"/>
                <w:sz w:val="20"/>
              </w:rPr>
              <w:t>$ 8</w:t>
            </w:r>
            <w:r w:rsidR="00A63CA6">
              <w:rPr>
                <w:rFonts w:cs="Arial"/>
                <w:sz w:val="20"/>
              </w:rPr>
              <w:t>.</w:t>
            </w:r>
            <w:r w:rsidRPr="00FC0ED2">
              <w:rPr>
                <w:rFonts w:cs="Arial"/>
                <w:sz w:val="20"/>
              </w:rPr>
              <w:t>91</w:t>
            </w:r>
          </w:p>
        </w:tc>
      </w:tr>
    </w:tbl>
    <w:p w14:paraId="29AEB76C" w14:textId="77777777" w:rsidR="002A239A" w:rsidRDefault="002A239A" w:rsidP="00091759">
      <w:pPr>
        <w:pStyle w:val="BodyText"/>
      </w:pPr>
    </w:p>
    <w:p w14:paraId="01CDBA83" w14:textId="43EA5D21" w:rsidR="002A239A" w:rsidRDefault="002A239A" w:rsidP="00091759">
      <w:pPr>
        <w:pStyle w:val="BodyText"/>
      </w:pPr>
      <w:r>
        <w:t>T</w:t>
      </w:r>
      <w:r w:rsidRPr="002A239A">
        <w:t>he arrangements for approved governance reforms addressed by subordinate legislation will increase the regulatory burden on business and community organisations. However, the Royal Commission into Aged Care Quality and Safety made strong links between the criticality of sound organisational governance and the quality and safety of services and many of the changes are regular consumer-centred practice with information and procedure able to be adapted from current business practice.</w:t>
      </w:r>
    </w:p>
    <w:p w14:paraId="5D988C10" w14:textId="54D00F9E" w:rsidR="00F02DF6" w:rsidRDefault="005F2AF1" w:rsidP="00091759">
      <w:pPr>
        <w:pStyle w:val="BodyText"/>
      </w:pPr>
      <w:r>
        <w:t xml:space="preserve">No offsets were identified to offset this regulatory burden, </w:t>
      </w:r>
      <w:r w:rsidR="00F43692">
        <w:t>t</w:t>
      </w:r>
      <w:r>
        <w:t xml:space="preserve">he </w:t>
      </w:r>
      <w:r w:rsidR="008669B6">
        <w:t>D</w:t>
      </w:r>
      <w:r>
        <w:t>epartment remains alert to reduce the regulatory burden for affected stakeholders.</w:t>
      </w:r>
    </w:p>
    <w:p w14:paraId="4042241E" w14:textId="77777777" w:rsidR="00091759" w:rsidRPr="00091759" w:rsidRDefault="00091759" w:rsidP="00091759"/>
    <w:p w14:paraId="447078BA" w14:textId="77777777" w:rsidR="00091759" w:rsidRPr="00091759" w:rsidRDefault="00091759" w:rsidP="00091759"/>
    <w:p w14:paraId="29D44BA4" w14:textId="77777777" w:rsidR="00613FA2" w:rsidRDefault="0074628F" w:rsidP="00D43021">
      <w:pPr>
        <w:pStyle w:val="Heading1"/>
        <w:ind w:left="6480"/>
      </w:pPr>
      <w:r>
        <w:lastRenderedPageBreak/>
        <w:t>Attachment A</w:t>
      </w:r>
    </w:p>
    <w:p w14:paraId="5066A4C6" w14:textId="4CF4004E" w:rsidR="00D43021" w:rsidRPr="00D43021" w:rsidRDefault="00D43021" w:rsidP="00D43021">
      <w:pPr>
        <w:pStyle w:val="Heading1"/>
      </w:pPr>
      <w:r>
        <w:t>Ce</w:t>
      </w:r>
      <w:r w:rsidR="00EC3C0B">
        <w:t>r</w:t>
      </w:r>
      <w:r>
        <w:t xml:space="preserve">tification of independent reviews: response to the Royal </w:t>
      </w:r>
      <w:r w:rsidR="00EC3C0B">
        <w:t>Commission</w:t>
      </w:r>
      <w:r>
        <w:t xml:space="preserve"> into Aged care Quality and Safety </w:t>
      </w:r>
    </w:p>
    <w:p w14:paraId="0CCC23BD" w14:textId="77777777" w:rsidR="0074628F" w:rsidRDefault="0074628F" w:rsidP="00CD090B">
      <w:pPr>
        <w:pStyle w:val="Paragraphtext"/>
        <w:rPr>
          <w:b/>
          <w:bCs/>
        </w:rPr>
      </w:pPr>
      <w:r>
        <w:rPr>
          <w:noProof/>
          <w:lang w:eastAsia="en-AU"/>
        </w:rPr>
        <w:drawing>
          <wp:inline distT="0" distB="0" distL="0" distR="0" wp14:anchorId="2323BA60" wp14:editId="2CB1AECC">
            <wp:extent cx="5278755" cy="7392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755" cy="7392035"/>
                    </a:xfrm>
                    <a:prstGeom prst="rect">
                      <a:avLst/>
                    </a:prstGeom>
                  </pic:spPr>
                </pic:pic>
              </a:graphicData>
            </a:graphic>
          </wp:inline>
        </w:drawing>
      </w:r>
    </w:p>
    <w:p w14:paraId="0E83BB0B" w14:textId="77777777" w:rsidR="0074628F" w:rsidRDefault="0074628F" w:rsidP="00CD090B">
      <w:pPr>
        <w:pStyle w:val="Paragraphtext"/>
        <w:rPr>
          <w:b/>
          <w:bCs/>
        </w:rPr>
      </w:pPr>
      <w:r w:rsidRPr="00E16C19">
        <w:rPr>
          <w:noProof/>
          <w:lang w:eastAsia="en-AU"/>
        </w:rPr>
        <w:lastRenderedPageBreak/>
        <w:drawing>
          <wp:inline distT="0" distB="0" distL="0" distR="0" wp14:anchorId="378B8B3F" wp14:editId="7F69C022">
            <wp:extent cx="5278755" cy="7585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755" cy="7585710"/>
                    </a:xfrm>
                    <a:prstGeom prst="rect">
                      <a:avLst/>
                    </a:prstGeom>
                  </pic:spPr>
                </pic:pic>
              </a:graphicData>
            </a:graphic>
          </wp:inline>
        </w:drawing>
      </w:r>
    </w:p>
    <w:p w14:paraId="6EAB3D01" w14:textId="77777777" w:rsidR="0074628F" w:rsidRDefault="0074628F">
      <w:pPr>
        <w:rPr>
          <w:b/>
          <w:sz w:val="21"/>
        </w:rPr>
      </w:pPr>
      <w:r>
        <w:rPr>
          <w:b/>
          <w:sz w:val="21"/>
        </w:rPr>
        <w:br w:type="page"/>
      </w:r>
    </w:p>
    <w:p w14:paraId="3A504F6B" w14:textId="77777777" w:rsidR="0074628F" w:rsidRPr="00E16C19" w:rsidRDefault="0074628F" w:rsidP="0074628F">
      <w:pPr>
        <w:spacing w:before="54"/>
        <w:ind w:left="720"/>
        <w:jc w:val="right"/>
        <w:rPr>
          <w:rFonts w:eastAsia="Arial" w:cs="Arial"/>
          <w:sz w:val="21"/>
          <w:szCs w:val="21"/>
        </w:rPr>
      </w:pPr>
      <w:r w:rsidRPr="00E16C19">
        <w:rPr>
          <w:b/>
          <w:sz w:val="21"/>
        </w:rPr>
        <w:lastRenderedPageBreak/>
        <w:t>Att</w:t>
      </w:r>
      <w:r>
        <w:rPr>
          <w:b/>
          <w:sz w:val="21"/>
        </w:rPr>
        <w:t>a</w:t>
      </w:r>
      <w:r w:rsidRPr="00E16C19">
        <w:rPr>
          <w:b/>
          <w:sz w:val="21"/>
        </w:rPr>
        <w:t>chment</w:t>
      </w:r>
      <w:r w:rsidRPr="00E16C19">
        <w:rPr>
          <w:b/>
          <w:spacing w:val="17"/>
          <w:sz w:val="21"/>
        </w:rPr>
        <w:t xml:space="preserve"> </w:t>
      </w:r>
      <w:r w:rsidRPr="00E16C19">
        <w:rPr>
          <w:b/>
          <w:sz w:val="21"/>
        </w:rPr>
        <w:t>A</w:t>
      </w:r>
    </w:p>
    <w:p w14:paraId="36037FAF" w14:textId="77777777" w:rsidR="0074628F" w:rsidRPr="00E16C19" w:rsidRDefault="0074628F" w:rsidP="0074628F">
      <w:pPr>
        <w:spacing w:before="4"/>
        <w:rPr>
          <w:rFonts w:eastAsia="Arial" w:cs="Arial"/>
          <w:b/>
          <w:bCs/>
          <w:sz w:val="23"/>
          <w:szCs w:val="23"/>
        </w:rPr>
      </w:pPr>
    </w:p>
    <w:p w14:paraId="3F461ED0" w14:textId="77777777" w:rsidR="0074628F" w:rsidRPr="00E16C19" w:rsidRDefault="0074628F" w:rsidP="0074628F">
      <w:pPr>
        <w:spacing w:line="258" w:lineRule="auto"/>
        <w:ind w:left="2705" w:hanging="2386"/>
        <w:rPr>
          <w:rFonts w:eastAsia="Arial" w:cs="Arial"/>
        </w:rPr>
      </w:pPr>
      <w:r w:rsidRPr="00E16C19">
        <w:rPr>
          <w:b/>
        </w:rPr>
        <w:t>Independent</w:t>
      </w:r>
      <w:r w:rsidRPr="00E16C19">
        <w:rPr>
          <w:b/>
          <w:spacing w:val="29"/>
        </w:rPr>
        <w:t xml:space="preserve"> </w:t>
      </w:r>
      <w:r w:rsidRPr="00E16C19">
        <w:rPr>
          <w:b/>
        </w:rPr>
        <w:t>reviews</w:t>
      </w:r>
      <w:r w:rsidRPr="00E16C19">
        <w:rPr>
          <w:b/>
          <w:spacing w:val="-6"/>
        </w:rPr>
        <w:t xml:space="preserve"> </w:t>
      </w:r>
      <w:r w:rsidRPr="00E16C19">
        <w:rPr>
          <w:b/>
        </w:rPr>
        <w:t>for</w:t>
      </w:r>
      <w:r w:rsidRPr="00E16C19">
        <w:rPr>
          <w:b/>
          <w:spacing w:val="9"/>
        </w:rPr>
        <w:t xml:space="preserve"> </w:t>
      </w:r>
      <w:r w:rsidRPr="00E16C19">
        <w:rPr>
          <w:b/>
          <w:spacing w:val="-1"/>
        </w:rPr>
        <w:t xml:space="preserve">certification </w:t>
      </w:r>
      <w:r w:rsidRPr="00E16C19">
        <w:rPr>
          <w:b/>
        </w:rPr>
        <w:t>of</w:t>
      </w:r>
      <w:r w:rsidRPr="00E16C19">
        <w:rPr>
          <w:b/>
          <w:spacing w:val="1"/>
        </w:rPr>
        <w:t xml:space="preserve"> </w:t>
      </w:r>
      <w:r w:rsidRPr="00E16C19">
        <w:rPr>
          <w:b/>
        </w:rPr>
        <w:t>response</w:t>
      </w:r>
      <w:r w:rsidRPr="00E16C19">
        <w:rPr>
          <w:b/>
          <w:spacing w:val="1"/>
        </w:rPr>
        <w:t xml:space="preserve"> </w:t>
      </w:r>
      <w:r w:rsidRPr="00E16C19">
        <w:rPr>
          <w:b/>
        </w:rPr>
        <w:t>to</w:t>
      </w:r>
      <w:r w:rsidRPr="00E16C19">
        <w:rPr>
          <w:b/>
          <w:spacing w:val="-5"/>
        </w:rPr>
        <w:t xml:space="preserve"> </w:t>
      </w:r>
      <w:r w:rsidRPr="00E16C19">
        <w:rPr>
          <w:b/>
        </w:rPr>
        <w:t>the</w:t>
      </w:r>
      <w:r w:rsidRPr="00E16C19">
        <w:rPr>
          <w:b/>
          <w:spacing w:val="18"/>
        </w:rPr>
        <w:t xml:space="preserve"> </w:t>
      </w:r>
      <w:r w:rsidRPr="00E16C19">
        <w:rPr>
          <w:b/>
        </w:rPr>
        <w:t>Royal</w:t>
      </w:r>
      <w:r w:rsidRPr="00E16C19">
        <w:rPr>
          <w:b/>
          <w:spacing w:val="-4"/>
        </w:rPr>
        <w:t xml:space="preserve"> </w:t>
      </w:r>
      <w:r w:rsidRPr="00E16C19">
        <w:rPr>
          <w:b/>
        </w:rPr>
        <w:t>Commission</w:t>
      </w:r>
      <w:r w:rsidRPr="00E16C19">
        <w:rPr>
          <w:b/>
          <w:spacing w:val="28"/>
          <w:w w:val="97"/>
        </w:rPr>
        <w:t xml:space="preserve"> </w:t>
      </w:r>
      <w:r w:rsidRPr="00E16C19">
        <w:rPr>
          <w:b/>
        </w:rPr>
        <w:t>into</w:t>
      </w:r>
      <w:r w:rsidRPr="00E16C19">
        <w:rPr>
          <w:b/>
          <w:spacing w:val="-22"/>
        </w:rPr>
        <w:t xml:space="preserve"> </w:t>
      </w:r>
      <w:r w:rsidRPr="00E16C19">
        <w:rPr>
          <w:b/>
        </w:rPr>
        <w:t>Aged</w:t>
      </w:r>
      <w:r w:rsidRPr="00E16C19">
        <w:rPr>
          <w:b/>
          <w:spacing w:val="14"/>
        </w:rPr>
        <w:t xml:space="preserve"> </w:t>
      </w:r>
      <w:r w:rsidRPr="00E16C19">
        <w:rPr>
          <w:b/>
        </w:rPr>
        <w:t>Care</w:t>
      </w:r>
      <w:r w:rsidRPr="00E16C19">
        <w:rPr>
          <w:b/>
          <w:spacing w:val="7"/>
        </w:rPr>
        <w:t xml:space="preserve"> </w:t>
      </w:r>
      <w:r w:rsidRPr="00E16C19">
        <w:rPr>
          <w:b/>
        </w:rPr>
        <w:t>Quality and</w:t>
      </w:r>
      <w:r w:rsidRPr="00E16C19">
        <w:rPr>
          <w:b/>
          <w:spacing w:val="8"/>
        </w:rPr>
        <w:t xml:space="preserve"> </w:t>
      </w:r>
      <w:r w:rsidRPr="00E16C19">
        <w:rPr>
          <w:b/>
        </w:rPr>
        <w:t>Safety</w:t>
      </w:r>
    </w:p>
    <w:p w14:paraId="0018DAEC" w14:textId="77777777" w:rsidR="0074628F" w:rsidRPr="00E16C19" w:rsidRDefault="0074628F" w:rsidP="0074628F">
      <w:pPr>
        <w:rPr>
          <w:rFonts w:eastAsia="Arial" w:cs="Arial"/>
          <w:b/>
          <w:bCs/>
        </w:rPr>
      </w:pPr>
    </w:p>
    <w:p w14:paraId="54933C8A" w14:textId="77777777" w:rsidR="0074628F" w:rsidRPr="00E16C19" w:rsidRDefault="0074628F" w:rsidP="0074628F">
      <w:pPr>
        <w:spacing w:before="2"/>
        <w:rPr>
          <w:rFonts w:eastAsia="Arial" w:cs="Arial"/>
          <w:b/>
          <w:bCs/>
          <w:sz w:val="21"/>
          <w:szCs w:val="21"/>
        </w:rPr>
      </w:pPr>
    </w:p>
    <w:p w14:paraId="6E6FE73F" w14:textId="49FEF90C" w:rsidR="00AD7E84" w:rsidRDefault="0074628F" w:rsidP="0074628F">
      <w:pPr>
        <w:pStyle w:val="BodyText"/>
        <w:widowControl w:val="0"/>
        <w:numPr>
          <w:ilvl w:val="0"/>
          <w:numId w:val="29"/>
        </w:numPr>
        <w:spacing w:before="0" w:line="517" w:lineRule="auto"/>
        <w:ind w:right="489"/>
        <w:rPr>
          <w:w w:val="105"/>
        </w:rPr>
      </w:pPr>
      <w:r w:rsidRPr="00E16C19">
        <w:rPr>
          <w:w w:val="105"/>
        </w:rPr>
        <w:t>Royal</w:t>
      </w:r>
      <w:r w:rsidRPr="00AD7E84">
        <w:rPr>
          <w:w w:val="105"/>
        </w:rPr>
        <w:t xml:space="preserve"> </w:t>
      </w:r>
      <w:r w:rsidRPr="00E16C19">
        <w:rPr>
          <w:w w:val="105"/>
        </w:rPr>
        <w:t>Commission</w:t>
      </w:r>
      <w:r w:rsidRPr="00AD7E84">
        <w:rPr>
          <w:w w:val="105"/>
        </w:rPr>
        <w:t xml:space="preserve"> </w:t>
      </w:r>
      <w:r w:rsidRPr="00E16C19">
        <w:rPr>
          <w:w w:val="105"/>
        </w:rPr>
        <w:t>into</w:t>
      </w:r>
      <w:r w:rsidRPr="00AD7E84">
        <w:rPr>
          <w:w w:val="105"/>
        </w:rPr>
        <w:t xml:space="preserve"> </w:t>
      </w:r>
      <w:r w:rsidRPr="00E16C19">
        <w:rPr>
          <w:w w:val="105"/>
        </w:rPr>
        <w:t>Aged Care</w:t>
      </w:r>
      <w:r w:rsidRPr="00AD7E84">
        <w:rPr>
          <w:w w:val="105"/>
        </w:rPr>
        <w:t xml:space="preserve"> </w:t>
      </w:r>
      <w:r w:rsidRPr="00E16C19">
        <w:rPr>
          <w:w w:val="105"/>
        </w:rPr>
        <w:t>Quality</w:t>
      </w:r>
      <w:r w:rsidRPr="00AD7E84">
        <w:rPr>
          <w:w w:val="105"/>
        </w:rPr>
        <w:t xml:space="preserve"> </w:t>
      </w:r>
      <w:r w:rsidRPr="00E16C19">
        <w:rPr>
          <w:w w:val="105"/>
        </w:rPr>
        <w:t>and</w:t>
      </w:r>
      <w:r w:rsidRPr="00AD7E84">
        <w:rPr>
          <w:w w:val="105"/>
        </w:rPr>
        <w:t xml:space="preserve"> </w:t>
      </w:r>
      <w:r w:rsidRPr="00E16C19">
        <w:rPr>
          <w:w w:val="105"/>
        </w:rPr>
        <w:t>Safety,</w:t>
      </w:r>
      <w:r w:rsidRPr="00AD7E84">
        <w:rPr>
          <w:w w:val="105"/>
        </w:rPr>
        <w:t xml:space="preserve"> </w:t>
      </w:r>
      <w:r w:rsidRPr="00C339FC">
        <w:rPr>
          <w:i/>
          <w:iCs/>
          <w:w w:val="105"/>
        </w:rPr>
        <w:t>Final Report</w:t>
      </w:r>
      <w:r w:rsidRPr="00AD7E84">
        <w:rPr>
          <w:w w:val="105"/>
        </w:rPr>
        <w:t xml:space="preserve">, </w:t>
      </w:r>
      <w:r w:rsidRPr="00E16C19">
        <w:rPr>
          <w:w w:val="105"/>
        </w:rPr>
        <w:t>26</w:t>
      </w:r>
      <w:r w:rsidR="00AD7E84">
        <w:rPr>
          <w:w w:val="105"/>
        </w:rPr>
        <w:t> </w:t>
      </w:r>
      <w:r w:rsidRPr="00E16C19">
        <w:rPr>
          <w:w w:val="105"/>
        </w:rPr>
        <w:t>February</w:t>
      </w:r>
      <w:r w:rsidRPr="00AD7E84">
        <w:rPr>
          <w:w w:val="105"/>
        </w:rPr>
        <w:t xml:space="preserve"> </w:t>
      </w:r>
      <w:r w:rsidRPr="00E16C19">
        <w:rPr>
          <w:w w:val="105"/>
        </w:rPr>
        <w:t>2021</w:t>
      </w:r>
      <w:r w:rsidRPr="00AD7E84">
        <w:rPr>
          <w:w w:val="105"/>
        </w:rPr>
        <w:t xml:space="preserve"> </w:t>
      </w:r>
    </w:p>
    <w:p w14:paraId="2F866BCD" w14:textId="7D034601" w:rsidR="0074628F" w:rsidRPr="00AD7E84" w:rsidRDefault="0074628F" w:rsidP="00AD7E84">
      <w:pPr>
        <w:pStyle w:val="BodyText"/>
        <w:widowControl w:val="0"/>
        <w:spacing w:before="0" w:line="517" w:lineRule="auto"/>
        <w:ind w:left="483" w:right="489"/>
        <w:rPr>
          <w:w w:val="105"/>
        </w:rPr>
      </w:pPr>
      <w:r w:rsidRPr="00E16C19">
        <w:rPr>
          <w:w w:val="105"/>
        </w:rPr>
        <w:t>Available</w:t>
      </w:r>
      <w:r w:rsidRPr="00AD7E84">
        <w:rPr>
          <w:w w:val="105"/>
        </w:rPr>
        <w:t xml:space="preserve"> </w:t>
      </w:r>
      <w:r w:rsidRPr="00E16C19">
        <w:rPr>
          <w:w w:val="105"/>
        </w:rPr>
        <w:t>at:</w:t>
      </w:r>
      <w:r w:rsidRPr="00AD7E84">
        <w:rPr>
          <w:w w:val="105"/>
        </w:rPr>
        <w:t xml:space="preserve"> </w:t>
      </w:r>
      <w:hyperlink r:id="rId15" w:history="1">
        <w:r w:rsidR="00C339FC" w:rsidRPr="000A2657">
          <w:rPr>
            <w:rStyle w:val="Hyperlink"/>
            <w:rFonts w:ascii="Arial" w:hAnsi="Arial"/>
            <w:sz w:val="22"/>
          </w:rPr>
          <w:t>https://agedcare.royalcommission.gov.au/publications/final-report</w:t>
        </w:r>
      </w:hyperlink>
    </w:p>
    <w:p w14:paraId="52E26DA4"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Royal Commission into Aged Care Quality and Safety, </w:t>
      </w:r>
      <w:r w:rsidRPr="00C339FC">
        <w:rPr>
          <w:i/>
          <w:iCs/>
          <w:w w:val="105"/>
        </w:rPr>
        <w:t xml:space="preserve">Counsel Assisting's Proposed </w:t>
      </w:r>
      <w:r w:rsidR="005B5F2F" w:rsidRPr="00C339FC">
        <w:rPr>
          <w:i/>
          <w:iCs/>
          <w:w w:val="105"/>
        </w:rPr>
        <w:t>Recommendations at</w:t>
      </w:r>
      <w:r w:rsidRPr="00C339FC">
        <w:rPr>
          <w:i/>
          <w:iCs/>
          <w:w w:val="105"/>
        </w:rPr>
        <w:t xml:space="preserve"> Final Hearing</w:t>
      </w:r>
      <w:r w:rsidRPr="00AD7E84">
        <w:rPr>
          <w:w w:val="105"/>
        </w:rPr>
        <w:t>, 22 October 2020</w:t>
      </w:r>
    </w:p>
    <w:p w14:paraId="53950212" w14:textId="0EE1E04D" w:rsidR="0074628F" w:rsidRPr="00AD7E84" w:rsidRDefault="0074628F" w:rsidP="00AD7E84">
      <w:pPr>
        <w:pStyle w:val="BodyText"/>
        <w:widowControl w:val="0"/>
        <w:spacing w:before="0" w:line="517" w:lineRule="auto"/>
        <w:ind w:left="483" w:right="489"/>
        <w:rPr>
          <w:w w:val="105"/>
        </w:rPr>
      </w:pPr>
      <w:r w:rsidRPr="00E16C19">
        <w:rPr>
          <w:w w:val="105"/>
        </w:rPr>
        <w:t>Available</w:t>
      </w:r>
      <w:r w:rsidRPr="00AD7E84">
        <w:rPr>
          <w:w w:val="105"/>
        </w:rPr>
        <w:t xml:space="preserve"> </w:t>
      </w:r>
      <w:r w:rsidRPr="00E16C19">
        <w:rPr>
          <w:w w:val="105"/>
        </w:rPr>
        <w:t>at:</w:t>
      </w:r>
      <w:r w:rsidRPr="00AD7E84">
        <w:rPr>
          <w:w w:val="105"/>
        </w:rPr>
        <w:t xml:space="preserve"> </w:t>
      </w:r>
      <w:hyperlink r:id="rId16" w:history="1">
        <w:r w:rsidR="00C339FC" w:rsidRPr="000A2657">
          <w:rPr>
            <w:rStyle w:val="Hyperlink"/>
            <w:rFonts w:ascii="Arial" w:hAnsi="Arial"/>
            <w:w w:val="105"/>
            <w:sz w:val="22"/>
          </w:rPr>
          <w:t>https://agedcare.royalcommission.gov.au/media/29098</w:t>
        </w:r>
      </w:hyperlink>
    </w:p>
    <w:p w14:paraId="6074983A" w14:textId="77777777" w:rsidR="0074628F" w:rsidRPr="00AD7E84" w:rsidRDefault="0074628F" w:rsidP="00AD7E84">
      <w:pPr>
        <w:pStyle w:val="BodyText"/>
        <w:widowControl w:val="0"/>
        <w:numPr>
          <w:ilvl w:val="0"/>
          <w:numId w:val="29"/>
        </w:numPr>
        <w:spacing w:before="0" w:line="517" w:lineRule="auto"/>
        <w:ind w:right="489"/>
        <w:rPr>
          <w:w w:val="105"/>
        </w:rPr>
      </w:pPr>
      <w:r w:rsidRPr="00E16C19">
        <w:rPr>
          <w:w w:val="105"/>
        </w:rPr>
        <w:t>Royal</w:t>
      </w:r>
      <w:r w:rsidRPr="00AD7E84">
        <w:rPr>
          <w:w w:val="105"/>
        </w:rPr>
        <w:t xml:space="preserve"> </w:t>
      </w:r>
      <w:r w:rsidRPr="00E16C19">
        <w:rPr>
          <w:w w:val="105"/>
        </w:rPr>
        <w:t>Commission</w:t>
      </w:r>
      <w:r w:rsidRPr="00AD7E84">
        <w:rPr>
          <w:w w:val="105"/>
        </w:rPr>
        <w:t xml:space="preserve"> </w:t>
      </w:r>
      <w:r w:rsidRPr="00E16C19">
        <w:rPr>
          <w:w w:val="105"/>
        </w:rPr>
        <w:t>Aged</w:t>
      </w:r>
      <w:r w:rsidRPr="00AD7E84">
        <w:rPr>
          <w:w w:val="105"/>
        </w:rPr>
        <w:t xml:space="preserve"> </w:t>
      </w:r>
      <w:r w:rsidRPr="00E16C19">
        <w:rPr>
          <w:w w:val="105"/>
        </w:rPr>
        <w:t>Care</w:t>
      </w:r>
      <w:r w:rsidRPr="00AD7E84">
        <w:rPr>
          <w:w w:val="105"/>
        </w:rPr>
        <w:t xml:space="preserve"> Quality </w:t>
      </w:r>
      <w:r w:rsidRPr="00E16C19">
        <w:rPr>
          <w:w w:val="105"/>
        </w:rPr>
        <w:t>and</w:t>
      </w:r>
      <w:r w:rsidRPr="00AD7E84">
        <w:rPr>
          <w:w w:val="105"/>
        </w:rPr>
        <w:t xml:space="preserve"> </w:t>
      </w:r>
      <w:r w:rsidRPr="00E16C19">
        <w:rPr>
          <w:w w:val="105"/>
        </w:rPr>
        <w:t>Safety</w:t>
      </w:r>
      <w:r w:rsidRPr="00AD7E84">
        <w:rPr>
          <w:w w:val="105"/>
        </w:rPr>
        <w:t xml:space="preserve"> Hearing, </w:t>
      </w:r>
      <w:r w:rsidRPr="00C339FC">
        <w:rPr>
          <w:i/>
          <w:iCs/>
          <w:w w:val="105"/>
        </w:rPr>
        <w:t>Interim Report</w:t>
      </w:r>
      <w:r w:rsidRPr="00AD7E84">
        <w:rPr>
          <w:w w:val="105"/>
        </w:rPr>
        <w:t xml:space="preserve">, </w:t>
      </w:r>
      <w:r w:rsidRPr="00E16C19">
        <w:rPr>
          <w:w w:val="105"/>
        </w:rPr>
        <w:t>31</w:t>
      </w:r>
      <w:r w:rsidRPr="00AD7E84">
        <w:rPr>
          <w:w w:val="105"/>
        </w:rPr>
        <w:t xml:space="preserve"> </w:t>
      </w:r>
      <w:r w:rsidRPr="00E16C19">
        <w:rPr>
          <w:w w:val="105"/>
        </w:rPr>
        <w:t>October</w:t>
      </w:r>
      <w:r w:rsidRPr="00AD7E84">
        <w:rPr>
          <w:w w:val="105"/>
        </w:rPr>
        <w:t xml:space="preserve"> 2019</w:t>
      </w:r>
    </w:p>
    <w:p w14:paraId="7400C7ED" w14:textId="751AB96B" w:rsidR="0074628F" w:rsidRPr="00AD7E84" w:rsidRDefault="0074628F" w:rsidP="00AD7E84">
      <w:pPr>
        <w:pStyle w:val="BodyText"/>
        <w:widowControl w:val="0"/>
        <w:spacing w:before="0" w:line="517" w:lineRule="auto"/>
        <w:ind w:left="483" w:right="489"/>
        <w:rPr>
          <w:w w:val="105"/>
        </w:rPr>
      </w:pPr>
      <w:r w:rsidRPr="00E16C19">
        <w:rPr>
          <w:w w:val="105"/>
        </w:rPr>
        <w:t>Available</w:t>
      </w:r>
      <w:r w:rsidRPr="00AD7E84">
        <w:rPr>
          <w:w w:val="105"/>
        </w:rPr>
        <w:t xml:space="preserve"> </w:t>
      </w:r>
      <w:r w:rsidRPr="00E16C19">
        <w:rPr>
          <w:w w:val="105"/>
        </w:rPr>
        <w:t>at:</w:t>
      </w:r>
      <w:r w:rsidRPr="00AD7E84">
        <w:rPr>
          <w:w w:val="105"/>
        </w:rPr>
        <w:t xml:space="preserve"> </w:t>
      </w:r>
      <w:hyperlink r:id="rId17" w:history="1">
        <w:r w:rsidR="00C339FC" w:rsidRPr="000A2657">
          <w:rPr>
            <w:rStyle w:val="Hyperlink"/>
            <w:rFonts w:ascii="Arial" w:hAnsi="Arial"/>
            <w:w w:val="105"/>
            <w:sz w:val="22"/>
          </w:rPr>
          <w:t>https://agedcare.royalcommission.gov.au/publications/interim-report</w:t>
        </w:r>
      </w:hyperlink>
      <w:r w:rsidRPr="00E16C19">
        <w:rPr>
          <w:w w:val="105"/>
        </w:rPr>
        <w:t xml:space="preserve"> </w:t>
      </w:r>
    </w:p>
    <w:p w14:paraId="4F985190"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Human Rights Watch, "</w:t>
      </w:r>
      <w:r w:rsidRPr="00C339FC">
        <w:rPr>
          <w:i/>
          <w:iCs/>
          <w:w w:val="105"/>
        </w:rPr>
        <w:t>Fading Away" How Aged Care Facilities in Australia Chemically Restrain Older People with Dementia</w:t>
      </w:r>
      <w:r w:rsidRPr="00AD7E84">
        <w:rPr>
          <w:w w:val="105"/>
        </w:rPr>
        <w:t>, October 15, 2019</w:t>
      </w:r>
    </w:p>
    <w:p w14:paraId="217DEF9C" w14:textId="108E8B36" w:rsidR="0074628F" w:rsidRPr="00AD7E84" w:rsidRDefault="0074628F" w:rsidP="00AD7E84">
      <w:pPr>
        <w:pStyle w:val="BodyText"/>
        <w:widowControl w:val="0"/>
        <w:spacing w:before="0" w:line="517" w:lineRule="auto"/>
        <w:ind w:left="483" w:right="489"/>
        <w:rPr>
          <w:w w:val="105"/>
        </w:rPr>
      </w:pPr>
      <w:r w:rsidRPr="00AD7E84">
        <w:rPr>
          <w:w w:val="105"/>
        </w:rPr>
        <w:t xml:space="preserve">Available at: </w:t>
      </w:r>
      <w:hyperlink r:id="rId18" w:history="1">
        <w:r w:rsidR="00C339FC" w:rsidRPr="000A2657">
          <w:rPr>
            <w:rStyle w:val="Hyperlink"/>
            <w:rFonts w:ascii="Arial" w:hAnsi="Arial"/>
            <w:w w:val="105"/>
            <w:sz w:val="22"/>
          </w:rPr>
          <w:t>https://www.hrw.org/report/2019/10/15/fading-away/how-aged-care­ facilities-australia-chemically-restrain-older-people</w:t>
        </w:r>
      </w:hyperlink>
    </w:p>
    <w:p w14:paraId="6AA155A5"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Senate Community Affairs References Committee, </w:t>
      </w:r>
      <w:r w:rsidRPr="00C339FC">
        <w:rPr>
          <w:i/>
          <w:iCs/>
          <w:w w:val="105"/>
        </w:rPr>
        <w:t>Effectiveness of the Aged Care Quality Assessment and accreditation framework for protecting residents from abuse and poor practices, and ensuring proper clinical and medical care standards are maintained and practised - Final Report</w:t>
      </w:r>
      <w:r w:rsidRPr="00AD7E84">
        <w:rPr>
          <w:w w:val="105"/>
        </w:rPr>
        <w:t xml:space="preserve"> (April 2019)</w:t>
      </w:r>
    </w:p>
    <w:p w14:paraId="4A5F82DE" w14:textId="4E42CC74" w:rsidR="0074628F" w:rsidRPr="00AD7E84" w:rsidRDefault="0074628F" w:rsidP="00AD7E84">
      <w:pPr>
        <w:pStyle w:val="BodyText"/>
        <w:widowControl w:val="0"/>
        <w:spacing w:before="0" w:line="517" w:lineRule="auto"/>
        <w:ind w:left="483" w:right="489"/>
        <w:rPr>
          <w:w w:val="105"/>
        </w:rPr>
      </w:pPr>
      <w:r w:rsidRPr="00E16C19">
        <w:rPr>
          <w:w w:val="105"/>
        </w:rPr>
        <w:t>Available</w:t>
      </w:r>
      <w:r w:rsidRPr="00AD7E84">
        <w:rPr>
          <w:w w:val="105"/>
        </w:rPr>
        <w:t xml:space="preserve"> </w:t>
      </w:r>
      <w:r w:rsidRPr="00E16C19">
        <w:rPr>
          <w:w w:val="105"/>
        </w:rPr>
        <w:t>at:</w:t>
      </w:r>
      <w:r w:rsidRPr="00AD7E84">
        <w:rPr>
          <w:w w:val="105"/>
        </w:rPr>
        <w:t xml:space="preserve"> </w:t>
      </w:r>
      <w:hyperlink r:id="rId19" w:history="1">
        <w:r w:rsidR="00C339FC" w:rsidRPr="000A2657">
          <w:rPr>
            <w:rStyle w:val="Hyperlink"/>
            <w:rFonts w:ascii="Arial" w:hAnsi="Arial"/>
            <w:sz w:val="22"/>
          </w:rPr>
          <w:t>https://www.aph.gov.au/Parliamentary_Business/Committees/Senate/Community_Affa</w:t>
        </w:r>
        <w:r w:rsidR="00C339FC" w:rsidRPr="000A2657">
          <w:rPr>
            <w:rStyle w:val="Hyperlink"/>
            <w:rFonts w:ascii="Arial" w:hAnsi="Arial"/>
            <w:w w:val="105"/>
            <w:sz w:val="22"/>
          </w:rPr>
          <w:t xml:space="preserve"> irs/AgedCareQuality</w:t>
        </w:r>
      </w:hyperlink>
    </w:p>
    <w:p w14:paraId="38ECA95A" w14:textId="77777777" w:rsidR="0074628F" w:rsidRPr="00AD7E84" w:rsidRDefault="0074628F" w:rsidP="00AD7E84">
      <w:pPr>
        <w:pStyle w:val="BodyText"/>
        <w:widowControl w:val="0"/>
        <w:numPr>
          <w:ilvl w:val="0"/>
          <w:numId w:val="29"/>
        </w:numPr>
        <w:spacing w:before="0" w:line="517" w:lineRule="auto"/>
        <w:ind w:right="489"/>
        <w:rPr>
          <w:w w:val="105"/>
        </w:rPr>
      </w:pPr>
      <w:r w:rsidRPr="00C339FC">
        <w:rPr>
          <w:i/>
          <w:iCs/>
          <w:w w:val="105"/>
        </w:rPr>
        <w:t>Review of National Aged Care Quality Regulatory Processes Report</w:t>
      </w:r>
      <w:r w:rsidRPr="00AD7E84">
        <w:rPr>
          <w:w w:val="105"/>
        </w:rPr>
        <w:t xml:space="preserve">, Carnell, </w:t>
      </w:r>
      <w:r w:rsidRPr="00AD7E84">
        <w:rPr>
          <w:w w:val="105"/>
        </w:rPr>
        <w:lastRenderedPageBreak/>
        <w:t>K and Paterson, R, October 2017</w:t>
      </w:r>
    </w:p>
    <w:p w14:paraId="6A29A9A0" w14:textId="4AE76216" w:rsidR="0074628F" w:rsidRPr="00AD7E84" w:rsidRDefault="0074628F" w:rsidP="00AD7E84">
      <w:pPr>
        <w:pStyle w:val="BodyText"/>
        <w:widowControl w:val="0"/>
        <w:spacing w:before="0" w:line="517" w:lineRule="auto"/>
        <w:ind w:left="483" w:right="489"/>
        <w:rPr>
          <w:w w:val="105"/>
        </w:rPr>
      </w:pPr>
      <w:r w:rsidRPr="00E16C19">
        <w:rPr>
          <w:w w:val="105"/>
        </w:rPr>
        <w:t xml:space="preserve">Available at: </w:t>
      </w:r>
      <w:hyperlink r:id="rId20" w:history="1">
        <w:r w:rsidR="00C339FC" w:rsidRPr="000A2657">
          <w:rPr>
            <w:rStyle w:val="Hyperlink"/>
            <w:rFonts w:ascii="Arial" w:hAnsi="Arial"/>
            <w:sz w:val="22"/>
          </w:rPr>
          <w:t>https://www.health.gov.au/resources/publications/review-of-national­</w:t>
        </w:r>
        <w:r w:rsidR="00C339FC" w:rsidRPr="000A2657">
          <w:rPr>
            <w:rStyle w:val="Hyperlink"/>
            <w:rFonts w:ascii="Arial" w:hAnsi="Arial"/>
            <w:w w:val="105"/>
            <w:sz w:val="22"/>
          </w:rPr>
          <w:t xml:space="preserve"> aged-care-quality-regulatory-processes-report</w:t>
        </w:r>
      </w:hyperlink>
    </w:p>
    <w:p w14:paraId="24871493"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Australian Law Reform Commission, </w:t>
      </w:r>
      <w:r w:rsidRPr="00C339FC">
        <w:rPr>
          <w:i/>
          <w:iCs/>
          <w:w w:val="105"/>
        </w:rPr>
        <w:t>Elder Abuse-A National Legal Response</w:t>
      </w:r>
      <w:r w:rsidRPr="00AD7E84">
        <w:rPr>
          <w:w w:val="105"/>
        </w:rPr>
        <w:t xml:space="preserve"> {ALRC Report 131) June 2017</w:t>
      </w:r>
    </w:p>
    <w:p w14:paraId="6D2D0CD0" w14:textId="216B20C0" w:rsidR="0074628F" w:rsidRPr="00AD7E84" w:rsidRDefault="0074628F" w:rsidP="00AD7E84">
      <w:pPr>
        <w:pStyle w:val="BodyText"/>
        <w:widowControl w:val="0"/>
        <w:spacing w:before="0" w:line="517" w:lineRule="auto"/>
        <w:ind w:left="483" w:right="489"/>
        <w:rPr>
          <w:w w:val="105"/>
        </w:rPr>
      </w:pPr>
      <w:r w:rsidRPr="00E16C19">
        <w:rPr>
          <w:w w:val="105"/>
        </w:rPr>
        <w:t>Available</w:t>
      </w:r>
      <w:r w:rsidRPr="00AD7E84">
        <w:rPr>
          <w:w w:val="105"/>
        </w:rPr>
        <w:t xml:space="preserve"> </w:t>
      </w:r>
      <w:r w:rsidRPr="00E16C19">
        <w:rPr>
          <w:w w:val="105"/>
        </w:rPr>
        <w:t>at:</w:t>
      </w:r>
      <w:r w:rsidRPr="00AD7E84">
        <w:rPr>
          <w:w w:val="105"/>
        </w:rPr>
        <w:t xml:space="preserve"> </w:t>
      </w:r>
      <w:hyperlink r:id="rId21" w:history="1">
        <w:r w:rsidR="00C339FC" w:rsidRPr="000A2657">
          <w:rPr>
            <w:rStyle w:val="Hyperlink"/>
            <w:rFonts w:ascii="Arial" w:hAnsi="Arial"/>
            <w:sz w:val="22"/>
          </w:rPr>
          <w:t>https://www.alrc.gov.au/publication/elder-abuse-a-national-legal­</w:t>
        </w:r>
        <w:r w:rsidR="00C339FC" w:rsidRPr="000A2657">
          <w:rPr>
            <w:rStyle w:val="Hyperlink"/>
            <w:rFonts w:ascii="Arial" w:hAnsi="Arial"/>
            <w:w w:val="105"/>
            <w:sz w:val="22"/>
          </w:rPr>
          <w:t xml:space="preserve"> </w:t>
        </w:r>
        <w:r w:rsidR="00C339FC" w:rsidRPr="000A2657">
          <w:rPr>
            <w:rStyle w:val="Hyperlink"/>
            <w:rFonts w:ascii="Arial" w:hAnsi="Arial"/>
            <w:sz w:val="22"/>
          </w:rPr>
          <w:t>response-a Irc-report-131/</w:t>
        </w:r>
      </w:hyperlink>
    </w:p>
    <w:p w14:paraId="7451775A" w14:textId="77777777" w:rsidR="0074628F" w:rsidRPr="00AD7E84" w:rsidRDefault="0074628F" w:rsidP="00AD7E84">
      <w:pPr>
        <w:pStyle w:val="BodyText"/>
        <w:widowControl w:val="0"/>
        <w:numPr>
          <w:ilvl w:val="0"/>
          <w:numId w:val="29"/>
        </w:numPr>
        <w:spacing w:before="0" w:line="517" w:lineRule="auto"/>
        <w:ind w:right="489"/>
        <w:rPr>
          <w:w w:val="105"/>
        </w:rPr>
      </w:pPr>
      <w:r w:rsidRPr="00C339FC">
        <w:rPr>
          <w:i/>
          <w:iCs/>
          <w:w w:val="105"/>
        </w:rPr>
        <w:t>Legislated Review of Aged Care</w:t>
      </w:r>
      <w:r w:rsidRPr="00AD7E84">
        <w:rPr>
          <w:w w:val="105"/>
        </w:rPr>
        <w:t>, Final Report 2017</w:t>
      </w:r>
    </w:p>
    <w:p w14:paraId="745CB832" w14:textId="60A02C80" w:rsidR="0074628F" w:rsidRPr="00AD7E84" w:rsidRDefault="0074628F" w:rsidP="00AD7E84">
      <w:pPr>
        <w:pStyle w:val="BodyText"/>
        <w:widowControl w:val="0"/>
        <w:spacing w:before="0" w:line="517" w:lineRule="auto"/>
        <w:ind w:left="483" w:right="489"/>
      </w:pPr>
      <w:r w:rsidRPr="00E16C19">
        <w:rPr>
          <w:w w:val="105"/>
        </w:rPr>
        <w:t>Available at:</w:t>
      </w:r>
      <w:r w:rsidRPr="00AD7E84">
        <w:rPr>
          <w:w w:val="105"/>
        </w:rPr>
        <w:t xml:space="preserve"> </w:t>
      </w:r>
      <w:hyperlink r:id="rId22" w:history="1">
        <w:r w:rsidR="00C339FC" w:rsidRPr="000A2657">
          <w:rPr>
            <w:rStyle w:val="Hyperlink"/>
            <w:rFonts w:ascii="Arial" w:hAnsi="Arial"/>
            <w:sz w:val="22"/>
          </w:rPr>
          <w:t>https://www.health.gov.au/resources/publications/legislated-review-of­</w:t>
        </w:r>
        <w:r w:rsidR="00C339FC" w:rsidRPr="000A2657">
          <w:rPr>
            <w:rStyle w:val="Hyperlink"/>
            <w:rFonts w:ascii="Arial" w:hAnsi="Arial"/>
            <w:w w:val="105"/>
            <w:sz w:val="22"/>
          </w:rPr>
          <w:t xml:space="preserve"> </w:t>
        </w:r>
        <w:r w:rsidR="00C339FC" w:rsidRPr="000A2657">
          <w:rPr>
            <w:rStyle w:val="Hyperlink"/>
            <w:rFonts w:ascii="Arial" w:hAnsi="Arial"/>
            <w:sz w:val="22"/>
          </w:rPr>
          <w:t>aged-care-2017-report</w:t>
        </w:r>
      </w:hyperlink>
    </w:p>
    <w:p w14:paraId="241343C9"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Senate Community Affairs Reference Committee, </w:t>
      </w:r>
      <w:r w:rsidRPr="00C339FC">
        <w:rPr>
          <w:i/>
          <w:iCs/>
          <w:w w:val="105"/>
        </w:rPr>
        <w:t xml:space="preserve">Care and management of </w:t>
      </w:r>
      <w:r w:rsidR="005B5F2F" w:rsidRPr="00C339FC">
        <w:rPr>
          <w:i/>
          <w:iCs/>
          <w:w w:val="105"/>
        </w:rPr>
        <w:t>younger and</w:t>
      </w:r>
      <w:r w:rsidRPr="00C339FC">
        <w:rPr>
          <w:i/>
          <w:iCs/>
          <w:w w:val="105"/>
        </w:rPr>
        <w:t xml:space="preserve"> older Australians living with dementia and behavioural and psychiatric symptom of dementia - Final Report</w:t>
      </w:r>
      <w:r w:rsidRPr="00AD7E84">
        <w:rPr>
          <w:w w:val="105"/>
        </w:rPr>
        <w:t>, 2014</w:t>
      </w:r>
    </w:p>
    <w:p w14:paraId="121C45F9" w14:textId="38CF40FA" w:rsidR="0074628F" w:rsidRPr="00AD7E84" w:rsidRDefault="0074628F" w:rsidP="00AD7E84">
      <w:pPr>
        <w:pStyle w:val="BodyText"/>
        <w:widowControl w:val="0"/>
        <w:spacing w:before="0" w:line="517" w:lineRule="auto"/>
        <w:ind w:left="483" w:right="489"/>
        <w:rPr>
          <w:w w:val="105"/>
        </w:rPr>
      </w:pPr>
      <w:r w:rsidRPr="00E16C19">
        <w:rPr>
          <w:w w:val="105"/>
        </w:rPr>
        <w:t>Available</w:t>
      </w:r>
      <w:r w:rsidRPr="00AD7E84">
        <w:rPr>
          <w:w w:val="105"/>
        </w:rPr>
        <w:t xml:space="preserve"> </w:t>
      </w:r>
      <w:r w:rsidRPr="00E16C19">
        <w:rPr>
          <w:w w:val="105"/>
        </w:rPr>
        <w:t>at:</w:t>
      </w:r>
      <w:r w:rsidRPr="00AD7E84">
        <w:rPr>
          <w:w w:val="105"/>
        </w:rPr>
        <w:t xml:space="preserve"> </w:t>
      </w:r>
      <w:hyperlink r:id="rId23" w:history="1">
        <w:r w:rsidR="00C339FC" w:rsidRPr="000A2657">
          <w:rPr>
            <w:rStyle w:val="Hyperlink"/>
            <w:rFonts w:ascii="Arial" w:hAnsi="Arial"/>
            <w:sz w:val="22"/>
          </w:rPr>
          <w:t>https://www.aph.gov.au/Parliamentary_Business/Committees/Senate/Community_Affairs/Dementia/Report/index</w:t>
        </w:r>
      </w:hyperlink>
    </w:p>
    <w:p w14:paraId="79DA130A"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House of Representatives Standing Committee on Health and Ageing, </w:t>
      </w:r>
      <w:r w:rsidRPr="00C339FC">
        <w:rPr>
          <w:i/>
          <w:iCs/>
          <w:w w:val="105"/>
        </w:rPr>
        <w:t>Thinking Ahead, Report on the inquiry into dementia: early diagnosis and intervention</w:t>
      </w:r>
      <w:r w:rsidRPr="00AD7E84">
        <w:rPr>
          <w:w w:val="105"/>
        </w:rPr>
        <w:t>, 2013</w:t>
      </w:r>
    </w:p>
    <w:p w14:paraId="3E195022" w14:textId="40374A22" w:rsidR="0074628F" w:rsidRPr="00AD7E84" w:rsidRDefault="0074628F" w:rsidP="00AD7E84">
      <w:pPr>
        <w:pStyle w:val="BodyText"/>
        <w:widowControl w:val="0"/>
        <w:spacing w:before="0" w:line="517" w:lineRule="auto"/>
        <w:ind w:left="483" w:right="489"/>
        <w:rPr>
          <w:w w:val="105"/>
        </w:rPr>
      </w:pPr>
      <w:r w:rsidRPr="00E16C19">
        <w:rPr>
          <w:w w:val="105"/>
        </w:rPr>
        <w:t>Available at:</w:t>
      </w:r>
      <w:r w:rsidRPr="00AD7E84">
        <w:rPr>
          <w:w w:val="105"/>
        </w:rPr>
        <w:t xml:space="preserve"> </w:t>
      </w:r>
      <w:hyperlink r:id="rId24" w:history="1">
        <w:r w:rsidR="00C339FC" w:rsidRPr="000A2657">
          <w:rPr>
            <w:rStyle w:val="Hyperlink"/>
            <w:rFonts w:ascii="Arial" w:hAnsi="Arial"/>
            <w:sz w:val="22"/>
          </w:rPr>
          <w:t>https://www.health.gov.au/resources/publications/thinking-ahead-report­on-the-inquiry-into-dementia-early-diagnosis-and-intervention</w:t>
        </w:r>
      </w:hyperlink>
    </w:p>
    <w:p w14:paraId="3B04F407" w14:textId="77777777" w:rsidR="0074628F" w:rsidRPr="00AD7E84" w:rsidRDefault="0074628F" w:rsidP="00AD7E84">
      <w:pPr>
        <w:pStyle w:val="BodyText"/>
        <w:widowControl w:val="0"/>
        <w:numPr>
          <w:ilvl w:val="0"/>
          <w:numId w:val="29"/>
        </w:numPr>
        <w:spacing w:before="0" w:line="517" w:lineRule="auto"/>
        <w:ind w:right="489"/>
        <w:rPr>
          <w:w w:val="105"/>
        </w:rPr>
      </w:pPr>
      <w:r w:rsidRPr="00E16C19">
        <w:rPr>
          <w:w w:val="105"/>
        </w:rPr>
        <w:t>Department</w:t>
      </w:r>
      <w:r w:rsidRPr="00AD7E84">
        <w:rPr>
          <w:w w:val="105"/>
        </w:rPr>
        <w:t xml:space="preserve"> </w:t>
      </w:r>
      <w:r w:rsidRPr="00E16C19">
        <w:rPr>
          <w:w w:val="105"/>
        </w:rPr>
        <w:t>of</w:t>
      </w:r>
      <w:r w:rsidRPr="00AD7E84">
        <w:rPr>
          <w:w w:val="105"/>
        </w:rPr>
        <w:t xml:space="preserve"> </w:t>
      </w:r>
      <w:r w:rsidRPr="00E16C19">
        <w:rPr>
          <w:w w:val="105"/>
        </w:rPr>
        <w:t>Health,</w:t>
      </w:r>
      <w:r w:rsidRPr="00AD7E84">
        <w:rPr>
          <w:w w:val="105"/>
        </w:rPr>
        <w:t xml:space="preserve"> </w:t>
      </w:r>
      <w:r w:rsidRPr="00C339FC">
        <w:rPr>
          <w:i/>
          <w:iCs/>
          <w:w w:val="105"/>
        </w:rPr>
        <w:t>Inquiry into Events at Earle Haven</w:t>
      </w:r>
      <w:r w:rsidRPr="00E16C19">
        <w:rPr>
          <w:w w:val="105"/>
        </w:rPr>
        <w:t>,</w:t>
      </w:r>
      <w:r w:rsidRPr="00AD7E84">
        <w:rPr>
          <w:w w:val="105"/>
        </w:rPr>
        <w:t xml:space="preserve"> 2019</w:t>
      </w:r>
    </w:p>
    <w:p w14:paraId="4812807E" w14:textId="277702CC" w:rsidR="0074628F" w:rsidRPr="00AD7E84" w:rsidRDefault="0074628F" w:rsidP="00AD7E84">
      <w:pPr>
        <w:pStyle w:val="BodyText"/>
        <w:widowControl w:val="0"/>
        <w:spacing w:before="0" w:line="517" w:lineRule="auto"/>
        <w:ind w:left="483" w:right="489"/>
        <w:rPr>
          <w:w w:val="105"/>
        </w:rPr>
      </w:pPr>
      <w:r w:rsidRPr="00AD7E84">
        <w:rPr>
          <w:w w:val="105"/>
        </w:rPr>
        <w:t>Available</w:t>
      </w:r>
      <w:r w:rsidRPr="00E16C19">
        <w:rPr>
          <w:w w:val="105"/>
        </w:rPr>
        <w:t xml:space="preserve"> at:</w:t>
      </w:r>
      <w:r w:rsidRPr="00AD7E84">
        <w:rPr>
          <w:w w:val="105"/>
        </w:rPr>
        <w:t xml:space="preserve"> </w:t>
      </w:r>
      <w:hyperlink r:id="rId25" w:history="1">
        <w:r w:rsidR="00C339FC" w:rsidRPr="000A2657">
          <w:rPr>
            <w:rStyle w:val="Hyperlink"/>
            <w:rFonts w:ascii="Arial" w:hAnsi="Arial"/>
            <w:sz w:val="22"/>
          </w:rPr>
          <w:t>https://www.health.gov.au/resources/publications/inquiry-into-events-at­earle-haven</w:t>
        </w:r>
      </w:hyperlink>
      <w:r w:rsidR="00C339FC">
        <w:t xml:space="preserve"> </w:t>
      </w:r>
    </w:p>
    <w:p w14:paraId="695CF440" w14:textId="77777777"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Productivity Commission, </w:t>
      </w:r>
      <w:r w:rsidRPr="00C339FC">
        <w:rPr>
          <w:i/>
          <w:iCs/>
          <w:w w:val="105"/>
        </w:rPr>
        <w:t>Caring for  Older Australians</w:t>
      </w:r>
      <w:r w:rsidRPr="00AD7E84">
        <w:rPr>
          <w:w w:val="105"/>
        </w:rPr>
        <w:t>, 2011</w:t>
      </w:r>
    </w:p>
    <w:p w14:paraId="7EE6E765" w14:textId="77777777" w:rsidR="00C339FC" w:rsidRPr="00C339FC" w:rsidRDefault="0074628F" w:rsidP="00AD7E84">
      <w:pPr>
        <w:pStyle w:val="BodyText"/>
        <w:widowControl w:val="0"/>
        <w:spacing w:before="0" w:line="517" w:lineRule="auto"/>
        <w:ind w:left="483" w:right="489"/>
        <w:rPr>
          <w:w w:val="105"/>
        </w:rPr>
      </w:pPr>
      <w:r w:rsidRPr="00E16C19">
        <w:rPr>
          <w:w w:val="105"/>
        </w:rPr>
        <w:lastRenderedPageBreak/>
        <w:t xml:space="preserve">Available at: </w:t>
      </w:r>
      <w:r w:rsidR="00C339FC">
        <w:fldChar w:fldCharType="begin"/>
      </w:r>
      <w:r w:rsidR="00C339FC">
        <w:instrText xml:space="preserve"> HYPERLINK "</w:instrText>
      </w:r>
      <w:r w:rsidR="00C339FC" w:rsidRPr="00C339FC">
        <w:instrText xml:space="preserve">https://www.pc.gov.au/inquiries/completed/aged-care/report </w:instrText>
      </w:r>
    </w:p>
    <w:p w14:paraId="7B480C9E" w14:textId="77777777" w:rsidR="00C339FC" w:rsidRPr="000A2657" w:rsidRDefault="00C339FC" w:rsidP="00AD7E84">
      <w:pPr>
        <w:pStyle w:val="BodyText"/>
        <w:widowControl w:val="0"/>
        <w:spacing w:before="0" w:line="517" w:lineRule="auto"/>
        <w:ind w:left="483" w:right="489"/>
        <w:rPr>
          <w:rStyle w:val="Hyperlink"/>
          <w:rFonts w:ascii="Arial" w:hAnsi="Arial"/>
          <w:w w:val="105"/>
          <w:sz w:val="22"/>
        </w:rPr>
      </w:pPr>
      <w:r>
        <w:instrText xml:space="preserve">" </w:instrText>
      </w:r>
      <w:r>
        <w:fldChar w:fldCharType="separate"/>
      </w:r>
      <w:r w:rsidRPr="000A2657">
        <w:rPr>
          <w:rStyle w:val="Hyperlink"/>
          <w:rFonts w:ascii="Arial" w:hAnsi="Arial"/>
          <w:sz w:val="22"/>
        </w:rPr>
        <w:t xml:space="preserve">https://www.pc.gov.au/inquiries/completed/aged-care/report </w:t>
      </w:r>
    </w:p>
    <w:p w14:paraId="2B149B99" w14:textId="1618FE37" w:rsidR="0074628F" w:rsidRPr="00AD7E84" w:rsidRDefault="00C339FC" w:rsidP="00AB01C0">
      <w:pPr>
        <w:pStyle w:val="BodyText"/>
        <w:widowControl w:val="0"/>
        <w:numPr>
          <w:ilvl w:val="0"/>
          <w:numId w:val="29"/>
        </w:numPr>
        <w:spacing w:before="0" w:line="517" w:lineRule="auto"/>
        <w:ind w:right="489"/>
        <w:rPr>
          <w:w w:val="105"/>
        </w:rPr>
      </w:pPr>
      <w:r>
        <w:fldChar w:fldCharType="end"/>
      </w:r>
      <w:r w:rsidR="0074628F" w:rsidRPr="00AD7E84">
        <w:rPr>
          <w:w w:val="105"/>
        </w:rPr>
        <w:t xml:space="preserve">Australian Skills Quality Authority, </w:t>
      </w:r>
      <w:r w:rsidR="0074628F" w:rsidRPr="00C339FC">
        <w:rPr>
          <w:i/>
          <w:iCs/>
          <w:w w:val="105"/>
        </w:rPr>
        <w:t xml:space="preserve">Training for Aged and Community Care in Australia, A national strategic review of </w:t>
      </w:r>
      <w:r w:rsidR="005B5F2F" w:rsidRPr="00C339FC">
        <w:rPr>
          <w:i/>
          <w:iCs/>
          <w:w w:val="105"/>
        </w:rPr>
        <w:t>registered training</w:t>
      </w:r>
      <w:r w:rsidR="0074628F" w:rsidRPr="00C339FC">
        <w:rPr>
          <w:i/>
          <w:iCs/>
          <w:w w:val="105"/>
        </w:rPr>
        <w:t xml:space="preserve"> organisations offering aged and community care sector training</w:t>
      </w:r>
      <w:r w:rsidR="0074628F" w:rsidRPr="00AD7E84">
        <w:rPr>
          <w:w w:val="105"/>
        </w:rPr>
        <w:t>, 2013</w:t>
      </w:r>
    </w:p>
    <w:p w14:paraId="71B6A7C5" w14:textId="77777777" w:rsidR="0074628F" w:rsidRPr="00AD7E84" w:rsidRDefault="0074628F" w:rsidP="00C339FC">
      <w:pPr>
        <w:pStyle w:val="BodyText"/>
        <w:widowControl w:val="0"/>
        <w:spacing w:before="0" w:line="517" w:lineRule="auto"/>
        <w:ind w:left="483" w:right="489"/>
        <w:rPr>
          <w:w w:val="105"/>
        </w:rPr>
      </w:pPr>
      <w:r w:rsidRPr="00AD7E84">
        <w:rPr>
          <w:w w:val="105"/>
        </w:rPr>
        <w:t>Available at:</w:t>
      </w:r>
    </w:p>
    <w:p w14:paraId="074F2E3A" w14:textId="5C32CE4C" w:rsidR="0074628F" w:rsidRPr="00AD7E84" w:rsidRDefault="00A01A53" w:rsidP="00C339FC">
      <w:pPr>
        <w:pStyle w:val="BodyText"/>
        <w:widowControl w:val="0"/>
        <w:spacing w:before="0" w:line="517" w:lineRule="auto"/>
        <w:ind w:left="483" w:right="489"/>
        <w:rPr>
          <w:w w:val="105"/>
        </w:rPr>
      </w:pPr>
      <w:hyperlink r:id="rId26" w:history="1">
        <w:r w:rsidR="00C339FC" w:rsidRPr="000A2657">
          <w:rPr>
            <w:rStyle w:val="Hyperlink"/>
            <w:rFonts w:ascii="Arial" w:hAnsi="Arial"/>
            <w:w w:val="105"/>
            <w:sz w:val="22"/>
          </w:rPr>
          <w:t>https://www.asqa.gov.au/sites/default/files/Strategic_Reviews_2013_Aged_Care_Repo</w:t>
        </w:r>
        <w:r w:rsidR="00C339FC" w:rsidRPr="000A2657">
          <w:rPr>
            <w:rStyle w:val="Hyperlink"/>
            <w:rFonts w:ascii="Arial" w:hAnsi="Arial"/>
            <w:sz w:val="22"/>
          </w:rPr>
          <w:t>rt.pdf?v=1508135481</w:t>
        </w:r>
      </w:hyperlink>
    </w:p>
    <w:p w14:paraId="20A71824" w14:textId="23D8C648" w:rsidR="0074628F" w:rsidRPr="00AD7E84" w:rsidRDefault="0074628F" w:rsidP="00AD7E84">
      <w:pPr>
        <w:pStyle w:val="BodyText"/>
        <w:widowControl w:val="0"/>
        <w:numPr>
          <w:ilvl w:val="0"/>
          <w:numId w:val="29"/>
        </w:numPr>
        <w:spacing w:before="0" w:line="517" w:lineRule="auto"/>
        <w:ind w:right="489"/>
        <w:rPr>
          <w:w w:val="105"/>
        </w:rPr>
      </w:pPr>
      <w:r w:rsidRPr="00AD7E84">
        <w:rPr>
          <w:w w:val="105"/>
        </w:rPr>
        <w:t xml:space="preserve">Aged Care Strategy Taskforce, </w:t>
      </w:r>
      <w:r w:rsidRPr="00C339FC">
        <w:rPr>
          <w:i/>
          <w:iCs/>
          <w:w w:val="105"/>
        </w:rPr>
        <w:t>A matter of care, Australia's aged care Workforce Strategy</w:t>
      </w:r>
      <w:r w:rsidRPr="00AD7E84">
        <w:rPr>
          <w:w w:val="105"/>
        </w:rPr>
        <w:t>, 2018</w:t>
      </w:r>
    </w:p>
    <w:p w14:paraId="09AA1831" w14:textId="77777777" w:rsidR="0074628F" w:rsidRPr="00AD7E84" w:rsidRDefault="0074628F" w:rsidP="00C339FC">
      <w:pPr>
        <w:pStyle w:val="BodyText"/>
        <w:widowControl w:val="0"/>
        <w:spacing w:before="0" w:line="517" w:lineRule="auto"/>
        <w:ind w:left="483" w:right="489"/>
        <w:rPr>
          <w:w w:val="105"/>
        </w:rPr>
      </w:pPr>
      <w:r w:rsidRPr="00AD7E84">
        <w:rPr>
          <w:w w:val="105"/>
        </w:rPr>
        <w:t xml:space="preserve">Available at: </w:t>
      </w:r>
    </w:p>
    <w:p w14:paraId="3634D031" w14:textId="704106B6" w:rsidR="0074628F" w:rsidRPr="00C339FC" w:rsidRDefault="00A01A53" w:rsidP="00C339FC">
      <w:pPr>
        <w:pStyle w:val="BodyText"/>
        <w:widowControl w:val="0"/>
        <w:spacing w:before="0" w:line="517" w:lineRule="auto"/>
        <w:ind w:left="483" w:right="489"/>
        <w:rPr>
          <w:w w:val="105"/>
        </w:rPr>
      </w:pPr>
      <w:hyperlink r:id="rId27" w:history="1">
        <w:r w:rsidR="00C339FC" w:rsidRPr="000A2657">
          <w:rPr>
            <w:rStyle w:val="Hyperlink"/>
            <w:rFonts w:ascii="Arial" w:hAnsi="Arial"/>
            <w:w w:val="105"/>
            <w:sz w:val="22"/>
          </w:rPr>
          <w:t>https://www.health.gov.au/resources/publications/a-matter-of-care-australias-aged-care-workforce-strategy</w:t>
        </w:r>
      </w:hyperlink>
      <w:r w:rsidR="00C339FC">
        <w:rPr>
          <w:w w:val="105"/>
        </w:rPr>
        <w:t xml:space="preserve"> </w:t>
      </w:r>
    </w:p>
    <w:sectPr w:rsidR="0074628F" w:rsidRPr="00C339FC" w:rsidSect="00A74345">
      <w:headerReference w:type="default" r:id="rId28"/>
      <w:footerReference w:type="default" r:id="rId2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B672" w14:textId="77777777" w:rsidR="00A01A53" w:rsidRDefault="00A01A53" w:rsidP="006B56BB">
      <w:r>
        <w:separator/>
      </w:r>
    </w:p>
    <w:p w14:paraId="4E64236E" w14:textId="77777777" w:rsidR="00A01A53" w:rsidRDefault="00A01A53"/>
  </w:endnote>
  <w:endnote w:type="continuationSeparator" w:id="0">
    <w:p w14:paraId="6A18416A" w14:textId="77777777" w:rsidR="00A01A53" w:rsidRDefault="00A01A53" w:rsidP="006B56BB">
      <w:r>
        <w:continuationSeparator/>
      </w:r>
    </w:p>
    <w:p w14:paraId="3F926BEE" w14:textId="77777777" w:rsidR="00A01A53" w:rsidRDefault="00A01A53"/>
  </w:endnote>
  <w:endnote w:type="continuationNotice" w:id="1">
    <w:p w14:paraId="0650FDA4" w14:textId="77777777" w:rsidR="00A01A53" w:rsidRDefault="00A01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1D83" w14:textId="1A44719D" w:rsidR="002C0198" w:rsidRPr="00751A23" w:rsidRDefault="00A01A53" w:rsidP="00751A23">
    <w:pPr>
      <w:pStyle w:val="Footer"/>
      <w:tabs>
        <w:tab w:val="clear" w:pos="4513"/>
        <w:tab w:val="center" w:pos="0"/>
      </w:tabs>
      <w:jc w:val="right"/>
      <w:rPr>
        <w:szCs w:val="20"/>
      </w:rPr>
    </w:pPr>
    <w:sdt>
      <w:sdtPr>
        <w:rPr>
          <w:szCs w:val="20"/>
        </w:rPr>
        <w:id w:val="-443848716"/>
        <w:docPartObj>
          <w:docPartGallery w:val="Page Numbers (Bottom of Page)"/>
          <w:docPartUnique/>
        </w:docPartObj>
      </w:sdtPr>
      <w:sdtEndPr>
        <w:rPr>
          <w:noProof/>
        </w:rPr>
      </w:sdtEndPr>
      <w:sdtContent>
        <w:r w:rsidR="002C0198">
          <w:rPr>
            <w:szCs w:val="20"/>
          </w:rPr>
          <w:t xml:space="preserve">Supplementary Regulatory Impact Analysis </w:t>
        </w:r>
        <w:r w:rsidR="002C0198">
          <w:rPr>
            <w:szCs w:val="20"/>
          </w:rPr>
          <w:tab/>
        </w:r>
        <w:r w:rsidR="002C0198" w:rsidRPr="006043C7">
          <w:rPr>
            <w:szCs w:val="20"/>
          </w:rPr>
          <w:fldChar w:fldCharType="begin"/>
        </w:r>
        <w:r w:rsidR="002C0198" w:rsidRPr="006043C7">
          <w:rPr>
            <w:szCs w:val="20"/>
          </w:rPr>
          <w:instrText xml:space="preserve"> PAGE   \* MERGEFORMAT </w:instrText>
        </w:r>
        <w:r w:rsidR="002C0198" w:rsidRPr="006043C7">
          <w:rPr>
            <w:szCs w:val="20"/>
          </w:rPr>
          <w:fldChar w:fldCharType="separate"/>
        </w:r>
        <w:r w:rsidR="00724148">
          <w:rPr>
            <w:noProof/>
            <w:szCs w:val="20"/>
          </w:rPr>
          <w:t>2</w:t>
        </w:r>
        <w:r w:rsidR="002C0198"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6989" w14:textId="77777777" w:rsidR="00A01A53" w:rsidRDefault="00A01A53" w:rsidP="006B56BB">
      <w:r>
        <w:separator/>
      </w:r>
    </w:p>
    <w:p w14:paraId="06B37348" w14:textId="77777777" w:rsidR="00A01A53" w:rsidRDefault="00A01A53"/>
  </w:footnote>
  <w:footnote w:type="continuationSeparator" w:id="0">
    <w:p w14:paraId="7A97B190" w14:textId="77777777" w:rsidR="00A01A53" w:rsidRDefault="00A01A53" w:rsidP="006B56BB">
      <w:r>
        <w:continuationSeparator/>
      </w:r>
    </w:p>
    <w:p w14:paraId="2883E856" w14:textId="77777777" w:rsidR="00A01A53" w:rsidRDefault="00A01A53"/>
  </w:footnote>
  <w:footnote w:type="continuationNotice" w:id="1">
    <w:p w14:paraId="0B68754F" w14:textId="77777777" w:rsidR="00A01A53" w:rsidRDefault="00A01A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D040" w14:textId="11B8FB8A" w:rsidR="002C0198" w:rsidRDefault="002C0198" w:rsidP="00E902D3">
    <w:pPr>
      <w:pStyle w:val="Header"/>
    </w:pPr>
    <w:r>
      <w:rPr>
        <w:noProof/>
        <w:lang w:eastAsia="en-AU"/>
      </w:rPr>
      <w:drawing>
        <wp:anchor distT="0" distB="0" distL="114300" distR="114300" simplePos="0" relativeHeight="251658240" behindDoc="1" locked="0" layoutInCell="1" allowOverlap="1" wp14:anchorId="2E5E2AAD" wp14:editId="10D2FDDC">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r w:rsidR="00E902D3">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DE2F" w14:textId="77777777" w:rsidR="002C0198" w:rsidRDefault="002C0198"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65583C"/>
    <w:multiLevelType w:val="hybridMultilevel"/>
    <w:tmpl w:val="86BE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946D14"/>
    <w:multiLevelType w:val="hybridMultilevel"/>
    <w:tmpl w:val="C6AE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02252"/>
    <w:multiLevelType w:val="hybridMultilevel"/>
    <w:tmpl w:val="DD7C9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81FC0"/>
    <w:multiLevelType w:val="hybridMultilevel"/>
    <w:tmpl w:val="83B66C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8B0F34"/>
    <w:multiLevelType w:val="hybridMultilevel"/>
    <w:tmpl w:val="C8F0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0D7138"/>
    <w:multiLevelType w:val="hybridMultilevel"/>
    <w:tmpl w:val="E24C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F970B7"/>
    <w:multiLevelType w:val="hybridMultilevel"/>
    <w:tmpl w:val="BFEC3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4649F"/>
    <w:multiLevelType w:val="hybridMultilevel"/>
    <w:tmpl w:val="D2BAD270"/>
    <w:lvl w:ilvl="0" w:tplc="0C090019">
      <w:start w:val="1"/>
      <w:numFmt w:val="lowerLetter"/>
      <w:lvlText w:val="%1."/>
      <w:lvlJc w:val="left"/>
      <w:pPr>
        <w:ind w:left="437" w:hanging="360"/>
      </w:pPr>
    </w:lvl>
    <w:lvl w:ilvl="1" w:tplc="0C090019" w:tentative="1">
      <w:start w:val="1"/>
      <w:numFmt w:val="lowerLetter"/>
      <w:lvlText w:val="%2."/>
      <w:lvlJc w:val="left"/>
      <w:pPr>
        <w:ind w:left="1157" w:hanging="360"/>
      </w:pPr>
    </w:lvl>
    <w:lvl w:ilvl="2" w:tplc="0C09001B" w:tentative="1">
      <w:start w:val="1"/>
      <w:numFmt w:val="lowerRoman"/>
      <w:lvlText w:val="%3."/>
      <w:lvlJc w:val="right"/>
      <w:pPr>
        <w:ind w:left="1877" w:hanging="180"/>
      </w:p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20" w15:restartNumberingAfterBreak="0">
    <w:nsid w:val="212C4956"/>
    <w:multiLevelType w:val="hybridMultilevel"/>
    <w:tmpl w:val="7D349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AD2D01"/>
    <w:multiLevelType w:val="hybridMultilevel"/>
    <w:tmpl w:val="FCFC0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805042"/>
    <w:multiLevelType w:val="hybridMultilevel"/>
    <w:tmpl w:val="5DA27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DC51FC"/>
    <w:multiLevelType w:val="hybridMultilevel"/>
    <w:tmpl w:val="056A0C1C"/>
    <w:lvl w:ilvl="0" w:tplc="0C090001">
      <w:start w:val="1"/>
      <w:numFmt w:val="bullet"/>
      <w:lvlText w:val=""/>
      <w:lvlJc w:val="left"/>
      <w:pPr>
        <w:ind w:left="720" w:hanging="360"/>
      </w:pPr>
      <w:rPr>
        <w:rFonts w:ascii="Symbol" w:hAnsi="Symbol" w:hint="default"/>
      </w:rPr>
    </w:lvl>
    <w:lvl w:ilvl="1" w:tplc="C0EA587A">
      <w:start w:val="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3C6F97"/>
    <w:multiLevelType w:val="hybridMultilevel"/>
    <w:tmpl w:val="1F3E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65D1B60"/>
    <w:multiLevelType w:val="hybridMultilevel"/>
    <w:tmpl w:val="E9EEF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B856E3"/>
    <w:multiLevelType w:val="hybridMultilevel"/>
    <w:tmpl w:val="BD5AC136"/>
    <w:lvl w:ilvl="0" w:tplc="2C0C3634">
      <w:start w:val="1"/>
      <w:numFmt w:val="decimal"/>
      <w:lvlText w:val="%1."/>
      <w:lvlJc w:val="left"/>
      <w:pPr>
        <w:ind w:left="483" w:hanging="360"/>
      </w:pPr>
      <w:rPr>
        <w:rFonts w:ascii="Arial" w:eastAsia="Arial" w:hAnsi="Arial" w:hint="default"/>
        <w:color w:val="4F4F4F"/>
        <w:w w:val="99"/>
        <w:sz w:val="21"/>
        <w:szCs w:val="21"/>
      </w:rPr>
    </w:lvl>
    <w:lvl w:ilvl="1" w:tplc="CEB0B404">
      <w:start w:val="1"/>
      <w:numFmt w:val="bullet"/>
      <w:lvlText w:val="•"/>
      <w:lvlJc w:val="left"/>
      <w:pPr>
        <w:ind w:left="1365" w:hanging="360"/>
      </w:pPr>
      <w:rPr>
        <w:rFonts w:hint="default"/>
      </w:rPr>
    </w:lvl>
    <w:lvl w:ilvl="2" w:tplc="96B05A12">
      <w:start w:val="1"/>
      <w:numFmt w:val="bullet"/>
      <w:lvlText w:val="•"/>
      <w:lvlJc w:val="left"/>
      <w:pPr>
        <w:ind w:left="2247" w:hanging="360"/>
      </w:pPr>
      <w:rPr>
        <w:rFonts w:hint="default"/>
      </w:rPr>
    </w:lvl>
    <w:lvl w:ilvl="3" w:tplc="F18AF47C">
      <w:start w:val="1"/>
      <w:numFmt w:val="bullet"/>
      <w:lvlText w:val="•"/>
      <w:lvlJc w:val="left"/>
      <w:pPr>
        <w:ind w:left="3129" w:hanging="360"/>
      </w:pPr>
      <w:rPr>
        <w:rFonts w:hint="default"/>
      </w:rPr>
    </w:lvl>
    <w:lvl w:ilvl="4" w:tplc="DBA6F7F8">
      <w:start w:val="1"/>
      <w:numFmt w:val="bullet"/>
      <w:lvlText w:val="•"/>
      <w:lvlJc w:val="left"/>
      <w:pPr>
        <w:ind w:left="4011" w:hanging="360"/>
      </w:pPr>
      <w:rPr>
        <w:rFonts w:hint="default"/>
      </w:rPr>
    </w:lvl>
    <w:lvl w:ilvl="5" w:tplc="9874418A">
      <w:start w:val="1"/>
      <w:numFmt w:val="bullet"/>
      <w:lvlText w:val="•"/>
      <w:lvlJc w:val="left"/>
      <w:pPr>
        <w:ind w:left="4893" w:hanging="360"/>
      </w:pPr>
      <w:rPr>
        <w:rFonts w:hint="default"/>
      </w:rPr>
    </w:lvl>
    <w:lvl w:ilvl="6" w:tplc="B5840FCE">
      <w:start w:val="1"/>
      <w:numFmt w:val="bullet"/>
      <w:lvlText w:val="•"/>
      <w:lvlJc w:val="left"/>
      <w:pPr>
        <w:ind w:left="5775" w:hanging="360"/>
      </w:pPr>
      <w:rPr>
        <w:rFonts w:hint="default"/>
      </w:rPr>
    </w:lvl>
    <w:lvl w:ilvl="7" w:tplc="D94CECE6">
      <w:start w:val="1"/>
      <w:numFmt w:val="bullet"/>
      <w:lvlText w:val="•"/>
      <w:lvlJc w:val="left"/>
      <w:pPr>
        <w:ind w:left="6657" w:hanging="360"/>
      </w:pPr>
      <w:rPr>
        <w:rFonts w:hint="default"/>
      </w:rPr>
    </w:lvl>
    <w:lvl w:ilvl="8" w:tplc="E7006F20">
      <w:start w:val="1"/>
      <w:numFmt w:val="bullet"/>
      <w:lvlText w:val="•"/>
      <w:lvlJc w:val="left"/>
      <w:pPr>
        <w:ind w:left="7539" w:hanging="360"/>
      </w:pPr>
      <w:rPr>
        <w:rFonts w:hint="default"/>
      </w:rPr>
    </w:lvl>
  </w:abstractNum>
  <w:abstractNum w:abstractNumId="29" w15:restartNumberingAfterBreak="0">
    <w:nsid w:val="48246323"/>
    <w:multiLevelType w:val="hybridMultilevel"/>
    <w:tmpl w:val="08A6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D643F1"/>
    <w:multiLevelType w:val="hybridMultilevel"/>
    <w:tmpl w:val="9206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644400"/>
    <w:multiLevelType w:val="hybridMultilevel"/>
    <w:tmpl w:val="EBA00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65C4C"/>
    <w:multiLevelType w:val="hybridMultilevel"/>
    <w:tmpl w:val="82DCA7C2"/>
    <w:lvl w:ilvl="0" w:tplc="362206FE">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55D5CA3"/>
    <w:multiLevelType w:val="hybridMultilevel"/>
    <w:tmpl w:val="DA30E73C"/>
    <w:lvl w:ilvl="0" w:tplc="2C0C3634">
      <w:start w:val="1"/>
      <w:numFmt w:val="decimal"/>
      <w:lvlText w:val="%1."/>
      <w:lvlJc w:val="left"/>
      <w:pPr>
        <w:ind w:left="483" w:hanging="360"/>
      </w:pPr>
      <w:rPr>
        <w:rFonts w:ascii="Arial" w:eastAsia="Arial" w:hAnsi="Arial" w:hint="default"/>
        <w:color w:val="4F4F4F"/>
        <w:w w:val="99"/>
        <w:sz w:val="21"/>
        <w:szCs w:val="21"/>
      </w:rPr>
    </w:lvl>
    <w:lvl w:ilvl="1" w:tplc="CEB0B404">
      <w:start w:val="1"/>
      <w:numFmt w:val="bullet"/>
      <w:lvlText w:val="•"/>
      <w:lvlJc w:val="left"/>
      <w:pPr>
        <w:ind w:left="1365" w:hanging="360"/>
      </w:pPr>
      <w:rPr>
        <w:rFonts w:hint="default"/>
      </w:rPr>
    </w:lvl>
    <w:lvl w:ilvl="2" w:tplc="96B05A12">
      <w:start w:val="1"/>
      <w:numFmt w:val="bullet"/>
      <w:lvlText w:val="•"/>
      <w:lvlJc w:val="left"/>
      <w:pPr>
        <w:ind w:left="2247" w:hanging="360"/>
      </w:pPr>
      <w:rPr>
        <w:rFonts w:hint="default"/>
      </w:rPr>
    </w:lvl>
    <w:lvl w:ilvl="3" w:tplc="F18AF47C">
      <w:start w:val="1"/>
      <w:numFmt w:val="bullet"/>
      <w:lvlText w:val="•"/>
      <w:lvlJc w:val="left"/>
      <w:pPr>
        <w:ind w:left="3129" w:hanging="360"/>
      </w:pPr>
      <w:rPr>
        <w:rFonts w:hint="default"/>
      </w:rPr>
    </w:lvl>
    <w:lvl w:ilvl="4" w:tplc="DBA6F7F8">
      <w:start w:val="1"/>
      <w:numFmt w:val="bullet"/>
      <w:lvlText w:val="•"/>
      <w:lvlJc w:val="left"/>
      <w:pPr>
        <w:ind w:left="4011" w:hanging="360"/>
      </w:pPr>
      <w:rPr>
        <w:rFonts w:hint="default"/>
      </w:rPr>
    </w:lvl>
    <w:lvl w:ilvl="5" w:tplc="9874418A">
      <w:start w:val="1"/>
      <w:numFmt w:val="bullet"/>
      <w:lvlText w:val="•"/>
      <w:lvlJc w:val="left"/>
      <w:pPr>
        <w:ind w:left="4893" w:hanging="360"/>
      </w:pPr>
      <w:rPr>
        <w:rFonts w:hint="default"/>
      </w:rPr>
    </w:lvl>
    <w:lvl w:ilvl="6" w:tplc="B5840FCE">
      <w:start w:val="1"/>
      <w:numFmt w:val="bullet"/>
      <w:lvlText w:val="•"/>
      <w:lvlJc w:val="left"/>
      <w:pPr>
        <w:ind w:left="5775" w:hanging="360"/>
      </w:pPr>
      <w:rPr>
        <w:rFonts w:hint="default"/>
      </w:rPr>
    </w:lvl>
    <w:lvl w:ilvl="7" w:tplc="D94CECE6">
      <w:start w:val="1"/>
      <w:numFmt w:val="bullet"/>
      <w:lvlText w:val="•"/>
      <w:lvlJc w:val="left"/>
      <w:pPr>
        <w:ind w:left="6657" w:hanging="360"/>
      </w:pPr>
      <w:rPr>
        <w:rFonts w:hint="default"/>
      </w:rPr>
    </w:lvl>
    <w:lvl w:ilvl="8" w:tplc="E7006F20">
      <w:start w:val="1"/>
      <w:numFmt w:val="bullet"/>
      <w:lvlText w:val="•"/>
      <w:lvlJc w:val="left"/>
      <w:pPr>
        <w:ind w:left="7539" w:hanging="360"/>
      </w:pPr>
      <w:rPr>
        <w:rFonts w:hint="default"/>
      </w:rPr>
    </w:lvl>
  </w:abstractNum>
  <w:abstractNum w:abstractNumId="35" w15:restartNumberingAfterBreak="0">
    <w:nsid w:val="687C241D"/>
    <w:multiLevelType w:val="hybridMultilevel"/>
    <w:tmpl w:val="7034DA66"/>
    <w:lvl w:ilvl="0" w:tplc="C0EA587A">
      <w:start w:val="2"/>
      <w:numFmt w:val="bullet"/>
      <w:lvlText w:val="•"/>
      <w:lvlJc w:val="left"/>
      <w:pPr>
        <w:ind w:left="180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7A1C81"/>
    <w:multiLevelType w:val="hybridMultilevel"/>
    <w:tmpl w:val="92A446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23385F"/>
    <w:multiLevelType w:val="hybridMultilevel"/>
    <w:tmpl w:val="035E807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EC54E94"/>
    <w:multiLevelType w:val="hybridMultilevel"/>
    <w:tmpl w:val="5F78F486"/>
    <w:lvl w:ilvl="0" w:tplc="F6FCE4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3F4565"/>
    <w:multiLevelType w:val="hybridMultilevel"/>
    <w:tmpl w:val="EEE8C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1"/>
  </w:num>
  <w:num w:numId="3">
    <w:abstractNumId w:val="38"/>
  </w:num>
  <w:num w:numId="4">
    <w:abstractNumId w:val="9"/>
  </w:num>
  <w:num w:numId="5">
    <w:abstractNumId w:val="9"/>
    <w:lvlOverride w:ilvl="0">
      <w:startOverride w:val="1"/>
    </w:lvlOverride>
  </w:num>
  <w:num w:numId="6">
    <w:abstractNumId w:val="12"/>
  </w:num>
  <w:num w:numId="7">
    <w:abstractNumId w:val="26"/>
  </w:num>
  <w:num w:numId="8">
    <w:abstractNumId w:val="3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2"/>
  </w:num>
  <w:num w:numId="17">
    <w:abstractNumId w:val="16"/>
  </w:num>
  <w:num w:numId="18">
    <w:abstractNumId w:val="18"/>
  </w:num>
  <w:num w:numId="19">
    <w:abstractNumId w:val="21"/>
  </w:num>
  <w:num w:numId="20">
    <w:abstractNumId w:val="24"/>
  </w:num>
  <w:num w:numId="21">
    <w:abstractNumId w:val="40"/>
  </w:num>
  <w:num w:numId="22">
    <w:abstractNumId w:val="13"/>
  </w:num>
  <w:num w:numId="23">
    <w:abstractNumId w:val="32"/>
  </w:num>
  <w:num w:numId="24">
    <w:abstractNumId w:val="20"/>
  </w:num>
  <w:num w:numId="25">
    <w:abstractNumId w:val="41"/>
  </w:num>
  <w:num w:numId="26">
    <w:abstractNumId w:val="19"/>
  </w:num>
  <w:num w:numId="27">
    <w:abstractNumId w:val="15"/>
  </w:num>
  <w:num w:numId="28">
    <w:abstractNumId w:val="22"/>
  </w:num>
  <w:num w:numId="29">
    <w:abstractNumId w:val="28"/>
  </w:num>
  <w:num w:numId="30">
    <w:abstractNumId w:val="3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9"/>
  </w:num>
  <w:num w:numId="34">
    <w:abstractNumId w:val="23"/>
  </w:num>
  <w:num w:numId="35">
    <w:abstractNumId w:val="10"/>
  </w:num>
  <w:num w:numId="36">
    <w:abstractNumId w:val="37"/>
  </w:num>
  <w:num w:numId="37">
    <w:abstractNumId w:val="29"/>
  </w:num>
  <w:num w:numId="38">
    <w:abstractNumId w:val="25"/>
  </w:num>
  <w:num w:numId="39">
    <w:abstractNumId w:val="11"/>
  </w:num>
  <w:num w:numId="40">
    <w:abstractNumId w:val="8"/>
  </w:num>
  <w:num w:numId="41">
    <w:abstractNumId w:val="14"/>
  </w:num>
  <w:num w:numId="42">
    <w:abstractNumId w:val="17"/>
  </w:num>
  <w:num w:numId="43">
    <w:abstractNumId w:val="30"/>
  </w:num>
  <w:num w:numId="44">
    <w:abstractNumId w:val="3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8B"/>
    <w:rsid w:val="00003743"/>
    <w:rsid w:val="000047B4"/>
    <w:rsid w:val="00005712"/>
    <w:rsid w:val="00007FD8"/>
    <w:rsid w:val="000117F8"/>
    <w:rsid w:val="00026139"/>
    <w:rsid w:val="00027071"/>
    <w:rsid w:val="00027601"/>
    <w:rsid w:val="00033321"/>
    <w:rsid w:val="000338E5"/>
    <w:rsid w:val="00033ECC"/>
    <w:rsid w:val="0003422F"/>
    <w:rsid w:val="00035E72"/>
    <w:rsid w:val="00043711"/>
    <w:rsid w:val="00046FF0"/>
    <w:rsid w:val="00047864"/>
    <w:rsid w:val="00050176"/>
    <w:rsid w:val="00062B65"/>
    <w:rsid w:val="00067456"/>
    <w:rsid w:val="00071506"/>
    <w:rsid w:val="0007154F"/>
    <w:rsid w:val="000807F4"/>
    <w:rsid w:val="00081AB1"/>
    <w:rsid w:val="0008609C"/>
    <w:rsid w:val="00090316"/>
    <w:rsid w:val="00091759"/>
    <w:rsid w:val="00093981"/>
    <w:rsid w:val="00093CD9"/>
    <w:rsid w:val="000A1F55"/>
    <w:rsid w:val="000A6FD9"/>
    <w:rsid w:val="000B067A"/>
    <w:rsid w:val="000B1540"/>
    <w:rsid w:val="000B33FD"/>
    <w:rsid w:val="000B4ABA"/>
    <w:rsid w:val="000C4B16"/>
    <w:rsid w:val="000C50C3"/>
    <w:rsid w:val="000C6098"/>
    <w:rsid w:val="000D21F6"/>
    <w:rsid w:val="000D3DF9"/>
    <w:rsid w:val="000D42C3"/>
    <w:rsid w:val="000D4500"/>
    <w:rsid w:val="000D7AEA"/>
    <w:rsid w:val="000E01A9"/>
    <w:rsid w:val="000E2C66"/>
    <w:rsid w:val="000E6843"/>
    <w:rsid w:val="000E6E7D"/>
    <w:rsid w:val="000F123C"/>
    <w:rsid w:val="000F26BF"/>
    <w:rsid w:val="000F2FED"/>
    <w:rsid w:val="000F6FE6"/>
    <w:rsid w:val="0010616D"/>
    <w:rsid w:val="00110478"/>
    <w:rsid w:val="00113409"/>
    <w:rsid w:val="0011711B"/>
    <w:rsid w:val="00117F8A"/>
    <w:rsid w:val="00121B9B"/>
    <w:rsid w:val="00122ADC"/>
    <w:rsid w:val="00130F59"/>
    <w:rsid w:val="00133EC0"/>
    <w:rsid w:val="00141CE5"/>
    <w:rsid w:val="00144908"/>
    <w:rsid w:val="001571C7"/>
    <w:rsid w:val="00161094"/>
    <w:rsid w:val="00172A55"/>
    <w:rsid w:val="00173990"/>
    <w:rsid w:val="00174FEB"/>
    <w:rsid w:val="001758CD"/>
    <w:rsid w:val="0017665C"/>
    <w:rsid w:val="00177AD2"/>
    <w:rsid w:val="001815A8"/>
    <w:rsid w:val="001840FA"/>
    <w:rsid w:val="00190079"/>
    <w:rsid w:val="00192EC0"/>
    <w:rsid w:val="0019622E"/>
    <w:rsid w:val="001966A7"/>
    <w:rsid w:val="001A4627"/>
    <w:rsid w:val="001A4979"/>
    <w:rsid w:val="001B15D3"/>
    <w:rsid w:val="001B3443"/>
    <w:rsid w:val="001C0326"/>
    <w:rsid w:val="001C0EE8"/>
    <w:rsid w:val="001C192F"/>
    <w:rsid w:val="001C3C42"/>
    <w:rsid w:val="001D7869"/>
    <w:rsid w:val="001E333C"/>
    <w:rsid w:val="001F1592"/>
    <w:rsid w:val="001F2C23"/>
    <w:rsid w:val="001F2F78"/>
    <w:rsid w:val="002026CD"/>
    <w:rsid w:val="002033FC"/>
    <w:rsid w:val="002044BB"/>
    <w:rsid w:val="00210B09"/>
    <w:rsid w:val="00210C9E"/>
    <w:rsid w:val="00211840"/>
    <w:rsid w:val="00217C8D"/>
    <w:rsid w:val="00220E5F"/>
    <w:rsid w:val="002212B5"/>
    <w:rsid w:val="00224F6B"/>
    <w:rsid w:val="00226668"/>
    <w:rsid w:val="00231017"/>
    <w:rsid w:val="00233809"/>
    <w:rsid w:val="00240046"/>
    <w:rsid w:val="002407FC"/>
    <w:rsid w:val="00240F75"/>
    <w:rsid w:val="0024401E"/>
    <w:rsid w:val="0024797F"/>
    <w:rsid w:val="0025119E"/>
    <w:rsid w:val="00251269"/>
    <w:rsid w:val="00251AB6"/>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239A"/>
    <w:rsid w:val="002B20E6"/>
    <w:rsid w:val="002B42A3"/>
    <w:rsid w:val="002C0198"/>
    <w:rsid w:val="002C0CDD"/>
    <w:rsid w:val="002E1A1D"/>
    <w:rsid w:val="002E4081"/>
    <w:rsid w:val="002E5B78"/>
    <w:rsid w:val="002F3AE3"/>
    <w:rsid w:val="0030464B"/>
    <w:rsid w:val="0030646F"/>
    <w:rsid w:val="0030699B"/>
    <w:rsid w:val="0030786C"/>
    <w:rsid w:val="003176CD"/>
    <w:rsid w:val="003233DE"/>
    <w:rsid w:val="00323E8B"/>
    <w:rsid w:val="0032466B"/>
    <w:rsid w:val="00327B44"/>
    <w:rsid w:val="003330EB"/>
    <w:rsid w:val="003339CE"/>
    <w:rsid w:val="00336605"/>
    <w:rsid w:val="003415FD"/>
    <w:rsid w:val="003429F0"/>
    <w:rsid w:val="00343030"/>
    <w:rsid w:val="0035097A"/>
    <w:rsid w:val="0035158B"/>
    <w:rsid w:val="003540A4"/>
    <w:rsid w:val="00360E4E"/>
    <w:rsid w:val="00363D0D"/>
    <w:rsid w:val="00370AAA"/>
    <w:rsid w:val="00375F77"/>
    <w:rsid w:val="00377A78"/>
    <w:rsid w:val="00381BBE"/>
    <w:rsid w:val="00382903"/>
    <w:rsid w:val="00382A6A"/>
    <w:rsid w:val="003846FF"/>
    <w:rsid w:val="00385AD4"/>
    <w:rsid w:val="00387924"/>
    <w:rsid w:val="00392D96"/>
    <w:rsid w:val="0039384D"/>
    <w:rsid w:val="00395C23"/>
    <w:rsid w:val="003A2E4F"/>
    <w:rsid w:val="003A4438"/>
    <w:rsid w:val="003A5013"/>
    <w:rsid w:val="003A5078"/>
    <w:rsid w:val="003A62DD"/>
    <w:rsid w:val="003A775A"/>
    <w:rsid w:val="003B0DAB"/>
    <w:rsid w:val="003B213A"/>
    <w:rsid w:val="003B43AD"/>
    <w:rsid w:val="003B6623"/>
    <w:rsid w:val="003C0FEC"/>
    <w:rsid w:val="003C15B8"/>
    <w:rsid w:val="003C2AC8"/>
    <w:rsid w:val="003D0907"/>
    <w:rsid w:val="003D17F9"/>
    <w:rsid w:val="003D21D6"/>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72890"/>
    <w:rsid w:val="004867E2"/>
    <w:rsid w:val="004929A9"/>
    <w:rsid w:val="004C2FEC"/>
    <w:rsid w:val="004C6BCF"/>
    <w:rsid w:val="004D58BF"/>
    <w:rsid w:val="004E4335"/>
    <w:rsid w:val="004E5ACF"/>
    <w:rsid w:val="004F13EE"/>
    <w:rsid w:val="004F2022"/>
    <w:rsid w:val="004F7C05"/>
    <w:rsid w:val="00501C94"/>
    <w:rsid w:val="00506432"/>
    <w:rsid w:val="00512336"/>
    <w:rsid w:val="0051242B"/>
    <w:rsid w:val="0052051D"/>
    <w:rsid w:val="00522C31"/>
    <w:rsid w:val="00545EE6"/>
    <w:rsid w:val="005550E7"/>
    <w:rsid w:val="005564FB"/>
    <w:rsid w:val="005572C7"/>
    <w:rsid w:val="005650ED"/>
    <w:rsid w:val="00573A8E"/>
    <w:rsid w:val="00575754"/>
    <w:rsid w:val="00577F8B"/>
    <w:rsid w:val="00591E20"/>
    <w:rsid w:val="00595408"/>
    <w:rsid w:val="00595E84"/>
    <w:rsid w:val="005A0C59"/>
    <w:rsid w:val="005A1795"/>
    <w:rsid w:val="005A48EB"/>
    <w:rsid w:val="005A6CFB"/>
    <w:rsid w:val="005B53F5"/>
    <w:rsid w:val="005B5F2F"/>
    <w:rsid w:val="005C0A41"/>
    <w:rsid w:val="005C4422"/>
    <w:rsid w:val="005C5AEB"/>
    <w:rsid w:val="005E0A3F"/>
    <w:rsid w:val="005E6883"/>
    <w:rsid w:val="005E772F"/>
    <w:rsid w:val="005F2AF1"/>
    <w:rsid w:val="005F2F8D"/>
    <w:rsid w:val="005F4CB0"/>
    <w:rsid w:val="005F4ECA"/>
    <w:rsid w:val="006041BE"/>
    <w:rsid w:val="006043C7"/>
    <w:rsid w:val="00612931"/>
    <w:rsid w:val="00613FA2"/>
    <w:rsid w:val="00624B52"/>
    <w:rsid w:val="0062646F"/>
    <w:rsid w:val="00631DF4"/>
    <w:rsid w:val="00634175"/>
    <w:rsid w:val="006408AC"/>
    <w:rsid w:val="006511B6"/>
    <w:rsid w:val="00652742"/>
    <w:rsid w:val="00657FF8"/>
    <w:rsid w:val="00670D99"/>
    <w:rsid w:val="00670E2B"/>
    <w:rsid w:val="006734BB"/>
    <w:rsid w:val="00674DEC"/>
    <w:rsid w:val="00675C33"/>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05C"/>
    <w:rsid w:val="00720D08"/>
    <w:rsid w:val="00724148"/>
    <w:rsid w:val="007263B9"/>
    <w:rsid w:val="00726AFF"/>
    <w:rsid w:val="007334F8"/>
    <w:rsid w:val="007339CD"/>
    <w:rsid w:val="007359D8"/>
    <w:rsid w:val="007362D4"/>
    <w:rsid w:val="0074628F"/>
    <w:rsid w:val="00751A23"/>
    <w:rsid w:val="0076007D"/>
    <w:rsid w:val="0076672A"/>
    <w:rsid w:val="00775D96"/>
    <w:rsid w:val="00775E45"/>
    <w:rsid w:val="00776E74"/>
    <w:rsid w:val="00785169"/>
    <w:rsid w:val="007954AB"/>
    <w:rsid w:val="007A00FE"/>
    <w:rsid w:val="007A14C5"/>
    <w:rsid w:val="007A3E38"/>
    <w:rsid w:val="007A4A10"/>
    <w:rsid w:val="007B1760"/>
    <w:rsid w:val="007B1C3F"/>
    <w:rsid w:val="007C6D9C"/>
    <w:rsid w:val="007C7DDB"/>
    <w:rsid w:val="007D2CC7"/>
    <w:rsid w:val="007D673D"/>
    <w:rsid w:val="007E2300"/>
    <w:rsid w:val="007F1300"/>
    <w:rsid w:val="007F2135"/>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0FB"/>
    <w:rsid w:val="008644AD"/>
    <w:rsid w:val="00865735"/>
    <w:rsid w:val="00865DDB"/>
    <w:rsid w:val="008669B6"/>
    <w:rsid w:val="00867538"/>
    <w:rsid w:val="00873D90"/>
    <w:rsid w:val="00873FC8"/>
    <w:rsid w:val="00884C63"/>
    <w:rsid w:val="00885908"/>
    <w:rsid w:val="008864B7"/>
    <w:rsid w:val="0089677E"/>
    <w:rsid w:val="00896E8C"/>
    <w:rsid w:val="008A4484"/>
    <w:rsid w:val="008A48CF"/>
    <w:rsid w:val="008A7438"/>
    <w:rsid w:val="008B1334"/>
    <w:rsid w:val="008B6936"/>
    <w:rsid w:val="008C0278"/>
    <w:rsid w:val="008C126E"/>
    <w:rsid w:val="008C24E9"/>
    <w:rsid w:val="008D0533"/>
    <w:rsid w:val="008D42CB"/>
    <w:rsid w:val="008D48C9"/>
    <w:rsid w:val="008D5B79"/>
    <w:rsid w:val="008D6381"/>
    <w:rsid w:val="008E0C77"/>
    <w:rsid w:val="008E4450"/>
    <w:rsid w:val="008E625F"/>
    <w:rsid w:val="008F264D"/>
    <w:rsid w:val="009074E1"/>
    <w:rsid w:val="009112F7"/>
    <w:rsid w:val="009122AF"/>
    <w:rsid w:val="009127BC"/>
    <w:rsid w:val="00912D54"/>
    <w:rsid w:val="0091389F"/>
    <w:rsid w:val="009208F7"/>
    <w:rsid w:val="00922517"/>
    <w:rsid w:val="00922722"/>
    <w:rsid w:val="009261E6"/>
    <w:rsid w:val="009268E1"/>
    <w:rsid w:val="00931E13"/>
    <w:rsid w:val="00945E7F"/>
    <w:rsid w:val="009557C1"/>
    <w:rsid w:val="00955A4F"/>
    <w:rsid w:val="00960D6E"/>
    <w:rsid w:val="00966569"/>
    <w:rsid w:val="00972BC1"/>
    <w:rsid w:val="00974B59"/>
    <w:rsid w:val="00980D3F"/>
    <w:rsid w:val="00982AE2"/>
    <w:rsid w:val="0098340B"/>
    <w:rsid w:val="00986830"/>
    <w:rsid w:val="009924C3"/>
    <w:rsid w:val="00993102"/>
    <w:rsid w:val="009C4A39"/>
    <w:rsid w:val="009C6F10"/>
    <w:rsid w:val="009D148F"/>
    <w:rsid w:val="009D3D70"/>
    <w:rsid w:val="009E6F7E"/>
    <w:rsid w:val="009E7A57"/>
    <w:rsid w:val="009F4F6A"/>
    <w:rsid w:val="00A01A53"/>
    <w:rsid w:val="00A04084"/>
    <w:rsid w:val="00A16E36"/>
    <w:rsid w:val="00A24961"/>
    <w:rsid w:val="00A24B10"/>
    <w:rsid w:val="00A30E9B"/>
    <w:rsid w:val="00A4512D"/>
    <w:rsid w:val="00A50244"/>
    <w:rsid w:val="00A56F17"/>
    <w:rsid w:val="00A6224D"/>
    <w:rsid w:val="00A627D7"/>
    <w:rsid w:val="00A63CA6"/>
    <w:rsid w:val="00A656C7"/>
    <w:rsid w:val="00A705AF"/>
    <w:rsid w:val="00A72454"/>
    <w:rsid w:val="00A74345"/>
    <w:rsid w:val="00A77696"/>
    <w:rsid w:val="00A80557"/>
    <w:rsid w:val="00A81D33"/>
    <w:rsid w:val="00A930AE"/>
    <w:rsid w:val="00A9766F"/>
    <w:rsid w:val="00AA1A95"/>
    <w:rsid w:val="00AA260F"/>
    <w:rsid w:val="00AB1EE7"/>
    <w:rsid w:val="00AB4B37"/>
    <w:rsid w:val="00AB5762"/>
    <w:rsid w:val="00AC2679"/>
    <w:rsid w:val="00AC4BE4"/>
    <w:rsid w:val="00AC6BF9"/>
    <w:rsid w:val="00AD05E6"/>
    <w:rsid w:val="00AD0D3F"/>
    <w:rsid w:val="00AD7E84"/>
    <w:rsid w:val="00AE1D7D"/>
    <w:rsid w:val="00AE2A8B"/>
    <w:rsid w:val="00AE3F64"/>
    <w:rsid w:val="00AF7386"/>
    <w:rsid w:val="00AF7934"/>
    <w:rsid w:val="00B00B81"/>
    <w:rsid w:val="00B034A9"/>
    <w:rsid w:val="00B04580"/>
    <w:rsid w:val="00B04B09"/>
    <w:rsid w:val="00B1185B"/>
    <w:rsid w:val="00B14EF2"/>
    <w:rsid w:val="00B16A51"/>
    <w:rsid w:val="00B25440"/>
    <w:rsid w:val="00B32222"/>
    <w:rsid w:val="00B3618D"/>
    <w:rsid w:val="00B36233"/>
    <w:rsid w:val="00B36BDC"/>
    <w:rsid w:val="00B42851"/>
    <w:rsid w:val="00B45AC7"/>
    <w:rsid w:val="00B5372F"/>
    <w:rsid w:val="00B56A80"/>
    <w:rsid w:val="00B60896"/>
    <w:rsid w:val="00B61129"/>
    <w:rsid w:val="00B67E7F"/>
    <w:rsid w:val="00B75A04"/>
    <w:rsid w:val="00B839B2"/>
    <w:rsid w:val="00B94252"/>
    <w:rsid w:val="00B964D7"/>
    <w:rsid w:val="00B9715A"/>
    <w:rsid w:val="00BA14BE"/>
    <w:rsid w:val="00BA2732"/>
    <w:rsid w:val="00BA293D"/>
    <w:rsid w:val="00BA49BC"/>
    <w:rsid w:val="00BA56B7"/>
    <w:rsid w:val="00BA7A1E"/>
    <w:rsid w:val="00BA7CA9"/>
    <w:rsid w:val="00BB2F6C"/>
    <w:rsid w:val="00BB3875"/>
    <w:rsid w:val="00BB5860"/>
    <w:rsid w:val="00BB6AAD"/>
    <w:rsid w:val="00BC1D56"/>
    <w:rsid w:val="00BC4A19"/>
    <w:rsid w:val="00BC4E6D"/>
    <w:rsid w:val="00BD0617"/>
    <w:rsid w:val="00BD2E9B"/>
    <w:rsid w:val="00BD4FDC"/>
    <w:rsid w:val="00BD6CBB"/>
    <w:rsid w:val="00BE7DE0"/>
    <w:rsid w:val="00BF1C47"/>
    <w:rsid w:val="00BF4687"/>
    <w:rsid w:val="00C00930"/>
    <w:rsid w:val="00C060AD"/>
    <w:rsid w:val="00C0670D"/>
    <w:rsid w:val="00C100EA"/>
    <w:rsid w:val="00C113BF"/>
    <w:rsid w:val="00C2176E"/>
    <w:rsid w:val="00C23430"/>
    <w:rsid w:val="00C27D67"/>
    <w:rsid w:val="00C339FC"/>
    <w:rsid w:val="00C4631F"/>
    <w:rsid w:val="00C50E16"/>
    <w:rsid w:val="00C513C2"/>
    <w:rsid w:val="00C542E4"/>
    <w:rsid w:val="00C5455F"/>
    <w:rsid w:val="00C54F40"/>
    <w:rsid w:val="00C55258"/>
    <w:rsid w:val="00C64AA8"/>
    <w:rsid w:val="00C82EEB"/>
    <w:rsid w:val="00C96F24"/>
    <w:rsid w:val="00C971DC"/>
    <w:rsid w:val="00CA16B7"/>
    <w:rsid w:val="00CA4BE3"/>
    <w:rsid w:val="00CA62AE"/>
    <w:rsid w:val="00CB00DE"/>
    <w:rsid w:val="00CB5B1A"/>
    <w:rsid w:val="00CC1549"/>
    <w:rsid w:val="00CC220B"/>
    <w:rsid w:val="00CC5C43"/>
    <w:rsid w:val="00CD02AE"/>
    <w:rsid w:val="00CD090B"/>
    <w:rsid w:val="00CD2A4F"/>
    <w:rsid w:val="00CE03CA"/>
    <w:rsid w:val="00CE22F1"/>
    <w:rsid w:val="00CE50F2"/>
    <w:rsid w:val="00CE6502"/>
    <w:rsid w:val="00CF4694"/>
    <w:rsid w:val="00CF4E69"/>
    <w:rsid w:val="00CF7D3C"/>
    <w:rsid w:val="00D147EB"/>
    <w:rsid w:val="00D149B1"/>
    <w:rsid w:val="00D14A36"/>
    <w:rsid w:val="00D34667"/>
    <w:rsid w:val="00D3509A"/>
    <w:rsid w:val="00D401E1"/>
    <w:rsid w:val="00D408B4"/>
    <w:rsid w:val="00D43021"/>
    <w:rsid w:val="00D45D94"/>
    <w:rsid w:val="00D524C8"/>
    <w:rsid w:val="00D60E25"/>
    <w:rsid w:val="00D70E24"/>
    <w:rsid w:val="00D72B61"/>
    <w:rsid w:val="00D77968"/>
    <w:rsid w:val="00DA3D1D"/>
    <w:rsid w:val="00DB0138"/>
    <w:rsid w:val="00DB6286"/>
    <w:rsid w:val="00DB645F"/>
    <w:rsid w:val="00DB6BBD"/>
    <w:rsid w:val="00DB76E9"/>
    <w:rsid w:val="00DC0A67"/>
    <w:rsid w:val="00DC1D5E"/>
    <w:rsid w:val="00DC2313"/>
    <w:rsid w:val="00DC5220"/>
    <w:rsid w:val="00DC7910"/>
    <w:rsid w:val="00DD2061"/>
    <w:rsid w:val="00DD7DAB"/>
    <w:rsid w:val="00DE3355"/>
    <w:rsid w:val="00DF486F"/>
    <w:rsid w:val="00DF4BE5"/>
    <w:rsid w:val="00DF5B5B"/>
    <w:rsid w:val="00DF7619"/>
    <w:rsid w:val="00E042D8"/>
    <w:rsid w:val="00E07EE7"/>
    <w:rsid w:val="00E1103B"/>
    <w:rsid w:val="00E17478"/>
    <w:rsid w:val="00E17B44"/>
    <w:rsid w:val="00E27FEA"/>
    <w:rsid w:val="00E3562F"/>
    <w:rsid w:val="00E4086F"/>
    <w:rsid w:val="00E43B3C"/>
    <w:rsid w:val="00E47A0B"/>
    <w:rsid w:val="00E50188"/>
    <w:rsid w:val="00E515CB"/>
    <w:rsid w:val="00E52260"/>
    <w:rsid w:val="00E57675"/>
    <w:rsid w:val="00E639B6"/>
    <w:rsid w:val="00E6434B"/>
    <w:rsid w:val="00E6463D"/>
    <w:rsid w:val="00E72E9B"/>
    <w:rsid w:val="00E734BC"/>
    <w:rsid w:val="00E849DA"/>
    <w:rsid w:val="00E902D3"/>
    <w:rsid w:val="00E9462E"/>
    <w:rsid w:val="00E95587"/>
    <w:rsid w:val="00EA0191"/>
    <w:rsid w:val="00EA470E"/>
    <w:rsid w:val="00EA47A7"/>
    <w:rsid w:val="00EA57EB"/>
    <w:rsid w:val="00EB3226"/>
    <w:rsid w:val="00EC213A"/>
    <w:rsid w:val="00EC3C0B"/>
    <w:rsid w:val="00EC6603"/>
    <w:rsid w:val="00EC7744"/>
    <w:rsid w:val="00ED0DAD"/>
    <w:rsid w:val="00ED0F46"/>
    <w:rsid w:val="00ED2042"/>
    <w:rsid w:val="00ED2373"/>
    <w:rsid w:val="00EE3E8A"/>
    <w:rsid w:val="00EE726A"/>
    <w:rsid w:val="00EF1B26"/>
    <w:rsid w:val="00EF6ECA"/>
    <w:rsid w:val="00F024E1"/>
    <w:rsid w:val="00F02DF6"/>
    <w:rsid w:val="00F06C10"/>
    <w:rsid w:val="00F1096F"/>
    <w:rsid w:val="00F12589"/>
    <w:rsid w:val="00F12595"/>
    <w:rsid w:val="00F134D9"/>
    <w:rsid w:val="00F1403D"/>
    <w:rsid w:val="00F1463F"/>
    <w:rsid w:val="00F21302"/>
    <w:rsid w:val="00F24416"/>
    <w:rsid w:val="00F30A5A"/>
    <w:rsid w:val="00F321DE"/>
    <w:rsid w:val="00F33777"/>
    <w:rsid w:val="00F40648"/>
    <w:rsid w:val="00F43692"/>
    <w:rsid w:val="00F47DA2"/>
    <w:rsid w:val="00F519FC"/>
    <w:rsid w:val="00F6239D"/>
    <w:rsid w:val="00F715D2"/>
    <w:rsid w:val="00F7274F"/>
    <w:rsid w:val="00F76FA8"/>
    <w:rsid w:val="00F93F08"/>
    <w:rsid w:val="00F94CED"/>
    <w:rsid w:val="00FA2CEE"/>
    <w:rsid w:val="00FA318C"/>
    <w:rsid w:val="00FA4840"/>
    <w:rsid w:val="00FB479D"/>
    <w:rsid w:val="00FB6F92"/>
    <w:rsid w:val="00FC026E"/>
    <w:rsid w:val="00FC5124"/>
    <w:rsid w:val="00FC714E"/>
    <w:rsid w:val="00FC75E8"/>
    <w:rsid w:val="00FD1172"/>
    <w:rsid w:val="00FD4731"/>
    <w:rsid w:val="00FD5E11"/>
    <w:rsid w:val="00FE18FD"/>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A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aliases w:val="Hyperlink Cab"/>
    <w:basedOn w:val="DefaultParagraphFont"/>
    <w:uiPriority w:val="99"/>
    <w:qFormat/>
    <w:rsid w:val="00224F6B"/>
    <w:rPr>
      <w:rFonts w:ascii="Helvetica" w:hAnsi="Helvetica"/>
      <w:color w:val="0000FF" w:themeColor="hyperlink"/>
      <w:sz w:val="21"/>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BodyText">
    <w:name w:val="Body Text"/>
    <w:aliases w:val="CAB Body Text"/>
    <w:link w:val="BodyTextChar"/>
    <w:qFormat/>
    <w:rsid w:val="0074628F"/>
    <w:pPr>
      <w:spacing w:before="120"/>
    </w:pPr>
    <w:rPr>
      <w:rFonts w:ascii="Arial" w:eastAsiaTheme="minorHAnsi" w:hAnsi="Arial" w:cstheme="minorBidi"/>
      <w:sz w:val="22"/>
      <w:szCs w:val="22"/>
      <w:lang w:eastAsia="en-US"/>
    </w:rPr>
  </w:style>
  <w:style w:type="character" w:customStyle="1" w:styleId="BodyTextChar">
    <w:name w:val="Body Text Char"/>
    <w:aliases w:val="CAB Body Text Char"/>
    <w:basedOn w:val="DefaultParagraphFont"/>
    <w:link w:val="BodyText"/>
    <w:rsid w:val="0074628F"/>
    <w:rPr>
      <w:rFonts w:ascii="Arial" w:eastAsiaTheme="minorHAnsi" w:hAnsi="Arial" w:cstheme="minorBidi"/>
      <w:sz w:val="22"/>
      <w:szCs w:val="22"/>
      <w:lang w:eastAsia="en-US"/>
    </w:rPr>
  </w:style>
  <w:style w:type="character" w:customStyle="1" w:styleId="UnresolvedMention">
    <w:name w:val="Unresolved Mention"/>
    <w:basedOn w:val="DefaultParagraphFont"/>
    <w:uiPriority w:val="99"/>
    <w:semiHidden/>
    <w:unhideWhenUsed/>
    <w:rsid w:val="007F2135"/>
    <w:rPr>
      <w:color w:val="605E5C"/>
      <w:shd w:val="clear" w:color="auto" w:fill="E1DFDD"/>
    </w:rPr>
  </w:style>
  <w:style w:type="paragraph" w:customStyle="1" w:styleId="TableText">
    <w:name w:val="TableText"/>
    <w:basedOn w:val="Normal"/>
    <w:qFormat/>
    <w:rsid w:val="00F24416"/>
    <w:pPr>
      <w:spacing w:before="120" w:after="120"/>
    </w:pPr>
    <w:rPr>
      <w:rFonts w:ascii="Century Gothic" w:eastAsiaTheme="minorHAnsi" w:hAnsi="Century Gothic" w:cs="Calibri"/>
      <w:sz w:val="20"/>
      <w:szCs w:val="20"/>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locked/>
    <w:rsid w:val="005F2AF1"/>
    <w:rPr>
      <w:rFonts w:ascii="Arial" w:hAnsi="Arial"/>
      <w:sz w:val="22"/>
      <w:szCs w:val="24"/>
      <w:lang w:eastAsia="en-US"/>
    </w:rPr>
  </w:style>
  <w:style w:type="character" w:styleId="CommentReference">
    <w:name w:val="annotation reference"/>
    <w:basedOn w:val="DefaultParagraphFont"/>
    <w:semiHidden/>
    <w:unhideWhenUsed/>
    <w:rsid w:val="00B1185B"/>
    <w:rPr>
      <w:sz w:val="16"/>
      <w:szCs w:val="16"/>
    </w:rPr>
  </w:style>
  <w:style w:type="paragraph" w:styleId="CommentText">
    <w:name w:val="annotation text"/>
    <w:basedOn w:val="Normal"/>
    <w:link w:val="CommentTextChar"/>
    <w:semiHidden/>
    <w:unhideWhenUsed/>
    <w:rsid w:val="00B1185B"/>
    <w:rPr>
      <w:sz w:val="20"/>
      <w:szCs w:val="20"/>
    </w:rPr>
  </w:style>
  <w:style w:type="character" w:customStyle="1" w:styleId="CommentTextChar">
    <w:name w:val="Comment Text Char"/>
    <w:basedOn w:val="DefaultParagraphFont"/>
    <w:link w:val="CommentText"/>
    <w:semiHidden/>
    <w:rsid w:val="00B1185B"/>
    <w:rPr>
      <w:rFonts w:ascii="Arial" w:hAnsi="Arial"/>
      <w:lang w:eastAsia="en-US"/>
    </w:rPr>
  </w:style>
  <w:style w:type="paragraph" w:styleId="CommentSubject">
    <w:name w:val="annotation subject"/>
    <w:basedOn w:val="CommentText"/>
    <w:next w:val="CommentText"/>
    <w:link w:val="CommentSubjectChar"/>
    <w:semiHidden/>
    <w:unhideWhenUsed/>
    <w:rsid w:val="00B1185B"/>
    <w:rPr>
      <w:b/>
      <w:bCs/>
    </w:rPr>
  </w:style>
  <w:style w:type="character" w:customStyle="1" w:styleId="CommentSubjectChar">
    <w:name w:val="Comment Subject Char"/>
    <w:basedOn w:val="CommentTextChar"/>
    <w:link w:val="CommentSubject"/>
    <w:semiHidden/>
    <w:rsid w:val="00B1185B"/>
    <w:rPr>
      <w:rFonts w:ascii="Arial" w:hAnsi="Arial"/>
      <w:b/>
      <w:bCs/>
      <w:lang w:eastAsia="en-US"/>
    </w:rPr>
  </w:style>
  <w:style w:type="table" w:styleId="LightGrid-Accent2">
    <w:name w:val="Light Grid Accent 2"/>
    <w:basedOn w:val="TableNormal"/>
    <w:uiPriority w:val="62"/>
    <w:locked/>
    <w:rsid w:val="002A239A"/>
    <w:rPr>
      <w:rFonts w:asciiTheme="minorHAnsi" w:eastAsiaTheme="minorEastAsia" w:hAnsiTheme="minorHAnsi" w:cstheme="minorBidi"/>
      <w:sz w:val="24"/>
      <w:szCs w:val="24"/>
      <w:lang w:eastAsia="en-US"/>
    </w:rPr>
    <w:tblPr>
      <w:tblStyleRowBandSize w:val="1"/>
      <w:tblStyleColBandSize w:val="1"/>
      <w:tblBorders>
        <w:top w:val="single" w:sz="8" w:space="0" w:color="358189" w:themeColor="accent2"/>
        <w:left w:val="single" w:sz="8" w:space="0" w:color="358189" w:themeColor="accent2"/>
        <w:bottom w:val="single" w:sz="8" w:space="0" w:color="358189" w:themeColor="accent2"/>
        <w:right w:val="single" w:sz="8" w:space="0" w:color="358189" w:themeColor="accent2"/>
        <w:insideH w:val="single" w:sz="8" w:space="0" w:color="358189" w:themeColor="accent2"/>
        <w:insideV w:val="single" w:sz="8" w:space="0" w:color="358189"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189" w:themeColor="accent2"/>
          <w:left w:val="single" w:sz="8" w:space="0" w:color="358189" w:themeColor="accent2"/>
          <w:bottom w:val="single" w:sz="8" w:space="0" w:color="358189" w:themeColor="accent2"/>
          <w:right w:val="single" w:sz="8" w:space="0" w:color="358189" w:themeColor="accent2"/>
          <w:insideH w:val="nil"/>
          <w:insideV w:val="single" w:sz="8" w:space="0" w:color="35818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189" w:themeColor="accent2"/>
          <w:left w:val="single" w:sz="8" w:space="0" w:color="358189" w:themeColor="accent2"/>
          <w:bottom w:val="single" w:sz="8" w:space="0" w:color="358189" w:themeColor="accent2"/>
          <w:right w:val="single" w:sz="8" w:space="0" w:color="358189" w:themeColor="accent2"/>
        </w:tcBorders>
      </w:tcPr>
    </w:tblStylePr>
    <w:tblStylePr w:type="band2Horz">
      <w:tblPr/>
      <w:tcPr>
        <w:tcBorders>
          <w:top w:val="single" w:sz="8" w:space="0" w:color="358189" w:themeColor="accent2"/>
          <w:left w:val="single" w:sz="8" w:space="0" w:color="358189" w:themeColor="accent2"/>
          <w:bottom w:val="single" w:sz="8" w:space="0" w:color="358189" w:themeColor="accent2"/>
          <w:right w:val="single" w:sz="8" w:space="0" w:color="358189" w:themeColor="accent2"/>
          <w:insideV w:val="single" w:sz="8" w:space="0" w:color="358189" w:themeColor="accent2"/>
        </w:tcBorders>
      </w:tcPr>
    </w:tblStylePr>
  </w:style>
  <w:style w:type="paragraph" w:styleId="Revision">
    <w:name w:val="Revision"/>
    <w:hidden/>
    <w:uiPriority w:val="99"/>
    <w:semiHidden/>
    <w:rsid w:val="00EC3C0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444924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078620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rw.org/report/2019/10/15/fading-away/how-aged-care&#173;%20facilities-australia-chemically-restrain-older-people" TargetMode="External"/><Relationship Id="rId26" Type="http://schemas.openxmlformats.org/officeDocument/2006/relationships/hyperlink" Target="https://www.asqa.gov.au/sites/default/files/Strategic_Reviews_2013_Aged_Care_Report.pdf?v=1508135481" TargetMode="External"/><Relationship Id="rId3" Type="http://schemas.openxmlformats.org/officeDocument/2006/relationships/styles" Target="styles.xml"/><Relationship Id="rId21" Type="http://schemas.openxmlformats.org/officeDocument/2006/relationships/hyperlink" Target="https://www.alrc.gov.au/publication/elder-abuse-a-national-legal&#173;%20response-a%20Irc-report-131/"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gedcarequality.gov.au/providers/provider-governance" TargetMode="External"/><Relationship Id="rId17" Type="http://schemas.openxmlformats.org/officeDocument/2006/relationships/hyperlink" Target="https://agedcare.royalcommission.gov.au/publications/interim-report" TargetMode="External"/><Relationship Id="rId25" Type="http://schemas.openxmlformats.org/officeDocument/2006/relationships/hyperlink" Target="https://www.health.gov.au/resources/publications/inquiry-into-events-at&#173;earle-haven"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agedcare.royalcommission.gov.au/media/29098" TargetMode="External"/><Relationship Id="rId20" Type="http://schemas.openxmlformats.org/officeDocument/2006/relationships/hyperlink" Target="https://www.health.gov.au/resources/publications/review-of-national&#173;%20aged-care-quality-regulatory-processes-re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s.health.gov.au/aged-care-reform-compliance-division/strengthening-aged-care-provider-governance-consul/" TargetMode="External"/><Relationship Id="rId24" Type="http://schemas.openxmlformats.org/officeDocument/2006/relationships/hyperlink" Target="https://www.health.gov.au/resources/publications/thinking-ahead-report&#173;on-the-inquiry-into-dementia-early-diagnosis-and-intervention"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agedcare.royalcommission.gov.au/publications/final-report" TargetMode="External"/><Relationship Id="rId23" Type="http://schemas.openxmlformats.org/officeDocument/2006/relationships/hyperlink" Target="https://www.aph.gov.au/Parliamentary_Business/Committees/Senate/Community_Affairs/Dementia/Report/index" TargetMode="External"/><Relationship Id="rId28" Type="http://schemas.openxmlformats.org/officeDocument/2006/relationships/header" Target="header2.xml"/><Relationship Id="rId10" Type="http://schemas.openxmlformats.org/officeDocument/2006/relationships/hyperlink" Target="https://www.legislation.gov.au/Details/C2022A00034" TargetMode="External"/><Relationship Id="rId19" Type="http://schemas.openxmlformats.org/officeDocument/2006/relationships/hyperlink" Target="https://www.aph.gov.au/Parliamentary_Business/Committees/Senate/Community_Affa%20irs/AgedCareQual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www.health.gov.au/resources/publications/legislated-review-of&#173;%20aged-care-2017-report" TargetMode="External"/><Relationship Id="rId27" Type="http://schemas.openxmlformats.org/officeDocument/2006/relationships/hyperlink" Target="https://www.health.gov.au/resources/publications/a-matter-of-care-australias-aged-care-workforce-strategy"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DOCID-322795542-24890</_dlc_DocId>
    <_dlc_DocIdUrl xmlns="4195ad5f-cdf2-4c4a-8d9b-b7944a108e98">
      <Url>https://pmc01.sharepoint.com/sites/CRMOBPR/_layouts/15/DocIdRedir.aspx?ID=DOCID-322795542-24890</Url>
      <Description>DOCID-322795542-24890</Description>
    </_dlc_DocIdUrl>
  </documentManagement>
</p:properties>
</file>

<file path=customXml/itemProps1.xml><?xml version="1.0" encoding="utf-8"?>
<ds:datastoreItem xmlns:ds="http://schemas.openxmlformats.org/officeDocument/2006/customXml" ds:itemID="{4998DD47-D23D-4974-90FC-3A7166B10C36}">
  <ds:schemaRefs>
    <ds:schemaRef ds:uri="http://schemas.openxmlformats.org/officeDocument/2006/bibliography"/>
  </ds:schemaRefs>
</ds:datastoreItem>
</file>

<file path=customXml/itemProps2.xml><?xml version="1.0" encoding="utf-8"?>
<ds:datastoreItem xmlns:ds="http://schemas.openxmlformats.org/officeDocument/2006/customXml" ds:itemID="{DBA501B3-A770-431B-92E0-318C45EC5459}"/>
</file>

<file path=customXml/itemProps3.xml><?xml version="1.0" encoding="utf-8"?>
<ds:datastoreItem xmlns:ds="http://schemas.openxmlformats.org/officeDocument/2006/customXml" ds:itemID="{705DE567-8D92-45DB-91FC-214161DFA6D8}"/>
</file>

<file path=customXml/itemProps4.xml><?xml version="1.0" encoding="utf-8"?>
<ds:datastoreItem xmlns:ds="http://schemas.openxmlformats.org/officeDocument/2006/customXml" ds:itemID="{BE49ADE9-4D11-49B3-A313-35EFE3550598}"/>
</file>

<file path=customXml/itemProps5.xml><?xml version="1.0" encoding="utf-8"?>
<ds:datastoreItem xmlns:ds="http://schemas.openxmlformats.org/officeDocument/2006/customXml" ds:itemID="{088FB016-DCE6-4CD3-8530-7602C2F6073E}"/>
</file>

<file path=docProps/app.xml><?xml version="1.0" encoding="utf-8"?>
<Properties xmlns="http://schemas.openxmlformats.org/officeDocument/2006/extended-properties" xmlns:vt="http://schemas.openxmlformats.org/officeDocument/2006/docPropsVTypes">
  <Template>Normal</Template>
  <TotalTime>0</TotalTime>
  <Pages>14</Pages>
  <Words>3891</Words>
  <Characters>23502</Characters>
  <Application>Microsoft Office Word</Application>
  <DocSecurity>0</DocSecurity>
  <Lines>451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2022-12-07T02:35:00Z</dcterms:created>
  <dcterms:modified xsi:type="dcterms:W3CDTF">2022-12-07T02:35:00Z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d9185094-bea2-47c3-a114-024fce67265d</vt:lpwstr>
  </property>
</Properties>
</file>