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092C" w14:textId="135CFE5C" w:rsidR="00A93069" w:rsidRDefault="00A93069" w:rsidP="007B7138">
      <w:bookmarkStart w:id="0" w:name="_Hlk33631059"/>
    </w:p>
    <w:p w14:paraId="5CA560ED" w14:textId="77777777" w:rsidR="00891431" w:rsidRDefault="00891431" w:rsidP="00891431">
      <w:pPr>
        <w:spacing w:before="480" w:after="240"/>
        <w:contextualSpacing/>
        <w:jc w:val="center"/>
        <w:rPr>
          <w:rFonts w:eastAsiaTheme="majorEastAsia" w:cstheme="majorBidi"/>
          <w:b/>
          <w:caps/>
          <w:color w:val="006283"/>
          <w:kern w:val="28"/>
          <w:szCs w:val="52"/>
        </w:rPr>
      </w:pPr>
      <w:bookmarkStart w:id="1" w:name="_Hlk16090429"/>
      <w:r w:rsidRPr="0093315C">
        <w:rPr>
          <w:rFonts w:eastAsiaTheme="majorEastAsia" w:cstheme="majorBidi"/>
          <w:b/>
          <w:caps/>
          <w:color w:val="006283"/>
          <w:kern w:val="28"/>
          <w:szCs w:val="52"/>
        </w:rPr>
        <w:t>joint initiative on services domestic regulation</w:t>
      </w:r>
      <w:bookmarkEnd w:id="1"/>
    </w:p>
    <w:p w14:paraId="4F843FBC" w14:textId="154AA07F" w:rsidR="00891431" w:rsidRDefault="00891431" w:rsidP="00891431">
      <w:pPr>
        <w:spacing w:before="240" w:after="240"/>
        <w:contextualSpacing/>
        <w:jc w:val="center"/>
        <w:rPr>
          <w:rFonts w:eastAsiaTheme="majorEastAsia" w:cstheme="majorBidi"/>
          <w:b/>
          <w:caps/>
          <w:color w:val="006283"/>
          <w:kern w:val="28"/>
          <w:szCs w:val="52"/>
        </w:rPr>
      </w:pPr>
    </w:p>
    <w:p w14:paraId="6AFBD1F2" w14:textId="77777777" w:rsidR="00891431" w:rsidRDefault="00891431" w:rsidP="00891431">
      <w:pPr>
        <w:spacing w:before="240" w:after="240"/>
        <w:contextualSpacing/>
        <w:jc w:val="center"/>
        <w:rPr>
          <w:rFonts w:eastAsiaTheme="majorEastAsia" w:cstheme="majorBidi"/>
          <w:b/>
          <w:caps/>
          <w:color w:val="006283"/>
          <w:kern w:val="28"/>
          <w:szCs w:val="52"/>
        </w:rPr>
      </w:pPr>
    </w:p>
    <w:p w14:paraId="1F8DEEC2" w14:textId="77777777" w:rsidR="00891431" w:rsidRDefault="00891431" w:rsidP="00684241">
      <w:pPr>
        <w:pStyle w:val="Title2"/>
      </w:pPr>
      <w:r w:rsidRPr="00391B11">
        <w:t>REFERENCE PAPER ON SERVICES DOMESTIC REGULATION</w:t>
      </w:r>
    </w:p>
    <w:p w14:paraId="4F4A96F2" w14:textId="77777777" w:rsidR="00391B11" w:rsidRPr="00391B11" w:rsidRDefault="00391B11" w:rsidP="00391B11">
      <w:pPr>
        <w:rPr>
          <w:lang w:eastAsia="en-GB"/>
        </w:rPr>
      </w:pPr>
    </w:p>
    <w:p w14:paraId="77D48147" w14:textId="3B688883" w:rsidR="00A93069" w:rsidRPr="00605CD6" w:rsidRDefault="00A93069" w:rsidP="00A93069">
      <w:pPr>
        <w:jc w:val="center"/>
        <w:rPr>
          <w:bCs/>
          <w:lang w:eastAsia="en-GB"/>
        </w:rPr>
      </w:pPr>
      <w:r w:rsidRPr="00605CD6">
        <w:rPr>
          <w:bCs/>
          <w:lang w:eastAsia="en-GB"/>
        </w:rPr>
        <w:t>_______________</w:t>
      </w:r>
    </w:p>
    <w:p w14:paraId="2E70680C" w14:textId="77777777" w:rsidR="00A93069" w:rsidRDefault="00A93069" w:rsidP="00A93069">
      <w:pPr>
        <w:rPr>
          <w:lang w:eastAsia="en-GB"/>
        </w:rPr>
      </w:pPr>
    </w:p>
    <w:p w14:paraId="19A53337" w14:textId="1BD06705" w:rsidR="000C653E" w:rsidRDefault="000C653E">
      <w:pPr>
        <w:spacing w:after="200" w:line="276" w:lineRule="auto"/>
        <w:jc w:val="left"/>
        <w:rPr>
          <w:lang w:eastAsia="en-GB"/>
        </w:rPr>
      </w:pPr>
    </w:p>
    <w:p w14:paraId="29545387" w14:textId="0CA61BBA" w:rsidR="002114E1" w:rsidRDefault="002114E1">
      <w:pPr>
        <w:spacing w:after="200" w:line="276" w:lineRule="auto"/>
        <w:jc w:val="left"/>
        <w:rPr>
          <w:lang w:eastAsia="en-GB"/>
        </w:rPr>
      </w:pPr>
      <w:r>
        <w:rPr>
          <w:lang w:eastAsia="en-GB"/>
        </w:rPr>
        <w:br w:type="page"/>
      </w:r>
    </w:p>
    <w:p w14:paraId="0F0E90B1" w14:textId="62B9748B" w:rsidR="000D2CD0" w:rsidRPr="002A2854" w:rsidRDefault="002A2854" w:rsidP="0060622D">
      <w:pPr>
        <w:spacing w:after="240"/>
        <w:jc w:val="center"/>
        <w:rPr>
          <w:b/>
          <w:bCs/>
          <w:lang w:eastAsia="en-GB"/>
        </w:rPr>
      </w:pPr>
      <w:r w:rsidRPr="002A2854">
        <w:rPr>
          <w:b/>
          <w:bCs/>
          <w:lang w:eastAsia="en-GB"/>
        </w:rPr>
        <w:lastRenderedPageBreak/>
        <w:t>REFERENCE PAPER ON SERVICES DOMESTIC REGULATION</w:t>
      </w:r>
    </w:p>
    <w:p w14:paraId="3CD4B269" w14:textId="212EF1F6" w:rsidR="00A93069" w:rsidRPr="0093315C" w:rsidRDefault="00A93069" w:rsidP="0060622D">
      <w:pPr>
        <w:spacing w:after="240"/>
        <w:jc w:val="center"/>
        <w:rPr>
          <w:lang w:eastAsia="en-GB"/>
        </w:rPr>
      </w:pPr>
      <w:r w:rsidRPr="0093315C">
        <w:rPr>
          <w:lang w:eastAsia="en-GB"/>
        </w:rPr>
        <w:t>SECTION I</w:t>
      </w:r>
    </w:p>
    <w:p w14:paraId="0A3F043E" w14:textId="7C941307" w:rsidR="00A93069" w:rsidRPr="002F5AB1" w:rsidRDefault="00A93069" w:rsidP="0059390E">
      <w:pPr>
        <w:numPr>
          <w:ilvl w:val="0"/>
          <w:numId w:val="17"/>
        </w:numPr>
        <w:spacing w:after="240"/>
        <w:ind w:left="426" w:hanging="426"/>
        <w:rPr>
          <w:rFonts w:eastAsia="Times New Roman" w:cs="Times New Roman"/>
          <w:szCs w:val="18"/>
          <w:lang w:val="en-US"/>
        </w:rPr>
      </w:pPr>
      <w:r w:rsidRPr="0093315C">
        <w:rPr>
          <w:rFonts w:eastAsia="Times New Roman" w:cs="Times New Roman"/>
          <w:szCs w:val="18"/>
          <w:lang w:val="en-US"/>
        </w:rPr>
        <w:t xml:space="preserve">Members have agreed to the disciplines on Services Domestic Regulation </w:t>
      </w:r>
      <w:r w:rsidR="001659C1">
        <w:rPr>
          <w:rFonts w:eastAsia="Times New Roman" w:cs="Times New Roman"/>
          <w:szCs w:val="18"/>
          <w:lang w:val="en-US"/>
        </w:rPr>
        <w:t xml:space="preserve">in this Reference Paper </w:t>
      </w:r>
      <w:r w:rsidR="002F5AB1" w:rsidRPr="00A87912">
        <w:rPr>
          <w:rFonts w:eastAsia="Times New Roman" w:cs="Times New Roman"/>
          <w:szCs w:val="18"/>
          <w:lang w:val="en-US"/>
        </w:rPr>
        <w:t xml:space="preserve">("disciplines") </w:t>
      </w:r>
      <w:r w:rsidRPr="00A87912">
        <w:rPr>
          <w:rFonts w:eastAsia="Times New Roman" w:cs="Times New Roman"/>
          <w:szCs w:val="18"/>
          <w:lang w:val="en-US"/>
        </w:rPr>
        <w:t>with the objective of elaborating upon the provisions of the General Agreement on Trade in Services ("Agreement"),</w:t>
      </w:r>
      <w:r w:rsidRPr="002F5AB1">
        <w:rPr>
          <w:rFonts w:eastAsia="Times New Roman" w:cs="Times New Roman"/>
          <w:szCs w:val="18"/>
          <w:lang w:val="en-US"/>
        </w:rPr>
        <w:t xml:space="preserve"> pursuant to paragraph 4 of Article VI of the Agreement.</w:t>
      </w:r>
      <w:r w:rsidRPr="002F5AB1">
        <w:rPr>
          <w:rFonts w:eastAsia="Times New Roman" w:cs="Times New Roman"/>
          <w:szCs w:val="18"/>
          <w:vertAlign w:val="superscript"/>
          <w:lang w:val="en-US"/>
        </w:rPr>
        <w:footnoteReference w:id="1"/>
      </w:r>
    </w:p>
    <w:p w14:paraId="02C6A6E6" w14:textId="77777777" w:rsidR="0059390E" w:rsidRDefault="00A93069" w:rsidP="0059390E">
      <w:pPr>
        <w:numPr>
          <w:ilvl w:val="0"/>
          <w:numId w:val="17"/>
        </w:numPr>
        <w:spacing w:after="240"/>
        <w:ind w:left="426" w:hanging="426"/>
        <w:rPr>
          <w:rFonts w:eastAsia="Times New Roman" w:cs="Times New Roman"/>
          <w:color w:val="212121"/>
          <w:szCs w:val="18"/>
          <w:shd w:val="clear" w:color="auto" w:fill="FFFFFF"/>
          <w:lang w:val="en-US"/>
        </w:rPr>
      </w:pPr>
      <w:r w:rsidRPr="002F5AB1">
        <w:rPr>
          <w:rFonts w:eastAsia="Times New Roman" w:cs="Times New Roman"/>
          <w:color w:val="212121"/>
          <w:szCs w:val="18"/>
          <w:shd w:val="clear" w:color="auto" w:fill="FFFFFF"/>
          <w:lang w:val="en-US"/>
        </w:rPr>
        <w:t>Members recognize the difficulties which may be faced by service suppliers, particularly those of developing country Members, in complying with measures relating to licensing requirements and procedures, qualification requirements and procedures, and technical standards of other Members and in particular, the specific difficulties which may be faced by service suppliers from least-developed country Members.</w:t>
      </w:r>
    </w:p>
    <w:p w14:paraId="5943A2B7" w14:textId="77777777" w:rsidR="0059390E" w:rsidRDefault="00A93069" w:rsidP="0059390E">
      <w:pPr>
        <w:numPr>
          <w:ilvl w:val="0"/>
          <w:numId w:val="17"/>
        </w:numPr>
        <w:spacing w:after="240"/>
        <w:ind w:left="426" w:hanging="426"/>
        <w:rPr>
          <w:rFonts w:eastAsia="Times New Roman" w:cs="Times New Roman"/>
          <w:color w:val="212121"/>
          <w:szCs w:val="18"/>
          <w:shd w:val="clear" w:color="auto" w:fill="FFFFFF"/>
          <w:lang w:val="en-US"/>
        </w:rPr>
      </w:pPr>
      <w:r w:rsidRPr="0059390E">
        <w:rPr>
          <w:rFonts w:eastAsia="Times New Roman" w:cs="Times New Roman"/>
          <w:color w:val="212121"/>
          <w:szCs w:val="18"/>
          <w:shd w:val="clear" w:color="auto" w:fill="FFFFFF"/>
          <w:lang w:val="en-US"/>
        </w:rPr>
        <w:t xml:space="preserve">Members recognize the right to regulate, and to introduce new regulations, on the supply of services within their territories in order to meet </w:t>
      </w:r>
      <w:r w:rsidRPr="0059390E">
        <w:rPr>
          <w:rFonts w:eastAsia="Times New Roman" w:cs="Times New Roman"/>
          <w:szCs w:val="18"/>
          <w:shd w:val="clear" w:color="auto" w:fill="FFFFFF"/>
          <w:lang w:val="en-US"/>
        </w:rPr>
        <w:t xml:space="preserve">their </w:t>
      </w:r>
      <w:r w:rsidRPr="0059390E">
        <w:rPr>
          <w:rFonts w:eastAsia="Times New Roman" w:cs="Times New Roman"/>
          <w:color w:val="212121"/>
          <w:szCs w:val="18"/>
          <w:shd w:val="clear" w:color="auto" w:fill="FFFFFF"/>
          <w:lang w:val="en-US"/>
        </w:rPr>
        <w:t>policy objectives.</w:t>
      </w:r>
    </w:p>
    <w:p w14:paraId="2351971B" w14:textId="77777777" w:rsidR="0059390E" w:rsidRDefault="00A93069" w:rsidP="0059390E">
      <w:pPr>
        <w:numPr>
          <w:ilvl w:val="0"/>
          <w:numId w:val="17"/>
        </w:numPr>
        <w:spacing w:after="240"/>
        <w:ind w:left="426" w:hanging="426"/>
        <w:rPr>
          <w:rFonts w:eastAsia="Times New Roman" w:cs="Times New Roman"/>
          <w:color w:val="212121"/>
          <w:szCs w:val="18"/>
          <w:shd w:val="clear" w:color="auto" w:fill="FFFFFF"/>
          <w:lang w:val="en-US"/>
        </w:rPr>
      </w:pPr>
      <w:r w:rsidRPr="0059390E">
        <w:rPr>
          <w:rFonts w:eastAsia="Times New Roman" w:cs="Times New Roman"/>
          <w:color w:val="212121"/>
          <w:szCs w:val="18"/>
          <w:shd w:val="clear" w:color="auto" w:fill="FFFFFF"/>
          <w:lang w:val="en-US"/>
        </w:rPr>
        <w:t>Members further recognize the existence of asymmetries with respect to the degree of development of services regulations in different countries, especially in the case of developing and least-developed country Members.</w:t>
      </w:r>
    </w:p>
    <w:p w14:paraId="1F744B75" w14:textId="77777777" w:rsidR="0059390E" w:rsidRDefault="00A93069" w:rsidP="0059390E">
      <w:pPr>
        <w:numPr>
          <w:ilvl w:val="0"/>
          <w:numId w:val="17"/>
        </w:numPr>
        <w:spacing w:after="240"/>
        <w:ind w:left="426" w:hanging="426"/>
        <w:rPr>
          <w:rFonts w:eastAsia="Times New Roman" w:cs="Times New Roman"/>
          <w:color w:val="212121"/>
          <w:szCs w:val="18"/>
          <w:shd w:val="clear" w:color="auto" w:fill="FFFFFF"/>
          <w:lang w:val="en-US"/>
        </w:rPr>
      </w:pPr>
      <w:r w:rsidRPr="0059390E">
        <w:rPr>
          <w:rFonts w:eastAsia="Times New Roman" w:cs="Times New Roman"/>
          <w:color w:val="212121"/>
          <w:szCs w:val="18"/>
          <w:shd w:val="clear" w:color="auto" w:fill="FFFFFF"/>
          <w:lang w:val="en-US"/>
        </w:rPr>
        <w:t>The disciplines shall not be construed to prescribe or impose any particular regulatory provisions regarding their implementation.</w:t>
      </w:r>
    </w:p>
    <w:p w14:paraId="107B6027" w14:textId="38473977" w:rsidR="00411722" w:rsidRPr="0059390E" w:rsidRDefault="007A6814" w:rsidP="0059390E">
      <w:pPr>
        <w:numPr>
          <w:ilvl w:val="0"/>
          <w:numId w:val="17"/>
        </w:numPr>
        <w:spacing w:after="240"/>
        <w:ind w:left="426" w:hanging="426"/>
        <w:rPr>
          <w:rFonts w:eastAsia="Times New Roman" w:cs="Times New Roman"/>
          <w:color w:val="212121"/>
          <w:szCs w:val="18"/>
          <w:shd w:val="clear" w:color="auto" w:fill="FFFFFF"/>
          <w:lang w:val="en-US"/>
        </w:rPr>
      </w:pPr>
      <w:r w:rsidRPr="0059390E">
        <w:rPr>
          <w:rFonts w:eastAsia="Times New Roman" w:cs="Times New Roman"/>
          <w:szCs w:val="18"/>
          <w:shd w:val="clear" w:color="auto" w:fill="FFFFFF"/>
          <w:lang w:val="en-US"/>
        </w:rPr>
        <w:t>The disciplines shall not be construed as diminishing any obligations of Members under the Agreement.</w:t>
      </w:r>
    </w:p>
    <w:p w14:paraId="5C465E2D" w14:textId="7887C9E6" w:rsidR="00A93069" w:rsidRDefault="00C92544" w:rsidP="00F6131C">
      <w:pPr>
        <w:spacing w:after="80"/>
        <w:contextualSpacing/>
        <w:rPr>
          <w:rFonts w:eastAsia="Times New Roman" w:cs="Times New Roman"/>
          <w:b/>
          <w:color w:val="212121"/>
          <w:szCs w:val="18"/>
          <w:shd w:val="clear" w:color="auto" w:fill="FFFFFF"/>
          <w:lang w:val="en-US"/>
        </w:rPr>
      </w:pPr>
      <w:r>
        <w:rPr>
          <w:rFonts w:eastAsia="Times New Roman" w:cs="Times New Roman"/>
          <w:b/>
          <w:color w:val="212121"/>
          <w:szCs w:val="18"/>
          <w:shd w:val="clear" w:color="auto" w:fill="FFFFFF"/>
          <w:lang w:val="en-US"/>
        </w:rPr>
        <w:t xml:space="preserve">Sectoral </w:t>
      </w:r>
      <w:r w:rsidR="00A93069" w:rsidRPr="0093315C">
        <w:rPr>
          <w:rFonts w:eastAsia="Times New Roman" w:cs="Times New Roman"/>
          <w:b/>
          <w:color w:val="212121"/>
          <w:szCs w:val="18"/>
          <w:shd w:val="clear" w:color="auto" w:fill="FFFFFF"/>
          <w:lang w:val="en-US"/>
        </w:rPr>
        <w:t>Coverage</w:t>
      </w:r>
      <w:r w:rsidR="00A93069">
        <w:rPr>
          <w:rFonts w:eastAsia="Times New Roman" w:cs="Times New Roman"/>
          <w:b/>
          <w:color w:val="212121"/>
          <w:szCs w:val="18"/>
          <w:shd w:val="clear" w:color="auto" w:fill="FFFFFF"/>
          <w:lang w:val="en-US"/>
        </w:rPr>
        <w:t xml:space="preserve"> </w:t>
      </w:r>
      <w:r>
        <w:rPr>
          <w:rFonts w:eastAsia="Times New Roman" w:cs="Times New Roman"/>
          <w:b/>
          <w:color w:val="212121"/>
          <w:szCs w:val="18"/>
          <w:shd w:val="clear" w:color="auto" w:fill="FFFFFF"/>
          <w:lang w:val="en-US"/>
        </w:rPr>
        <w:t xml:space="preserve">and Scheduling Modalities </w:t>
      </w:r>
    </w:p>
    <w:p w14:paraId="0C59786A" w14:textId="77777777" w:rsidR="00F6131C" w:rsidRPr="00F6131C" w:rsidRDefault="00F6131C" w:rsidP="00F6131C">
      <w:pPr>
        <w:spacing w:after="80"/>
        <w:contextualSpacing/>
        <w:rPr>
          <w:rFonts w:eastAsia="Times New Roman" w:cs="Times New Roman"/>
          <w:b/>
          <w:color w:val="212121"/>
          <w:szCs w:val="18"/>
          <w:shd w:val="clear" w:color="auto" w:fill="FFFFFF"/>
          <w:lang w:val="en-US"/>
        </w:rPr>
      </w:pPr>
    </w:p>
    <w:p w14:paraId="119ABEFC" w14:textId="789D8869" w:rsidR="0059390E" w:rsidRDefault="007F3684" w:rsidP="0059390E">
      <w:pPr>
        <w:pStyle w:val="ListParagraph"/>
        <w:numPr>
          <w:ilvl w:val="0"/>
          <w:numId w:val="17"/>
        </w:numPr>
        <w:ind w:left="426" w:hanging="426"/>
      </w:pPr>
      <w:r w:rsidRPr="007F3684">
        <w:t>Members shall inscribe the disciplines in Section II in their Schedules as additional commitments under Article XVIII of the Agreement. Members may choose to inscribe the alternative disciplines in Section III for their commitments in financial services.</w:t>
      </w:r>
    </w:p>
    <w:p w14:paraId="4E870D32" w14:textId="77777777" w:rsidR="0059390E" w:rsidRDefault="0059390E" w:rsidP="0059390E">
      <w:pPr>
        <w:pStyle w:val="ListParagraph"/>
        <w:ind w:left="426"/>
      </w:pPr>
    </w:p>
    <w:p w14:paraId="385B065B" w14:textId="5F030319" w:rsidR="007F3684" w:rsidRPr="007F3684" w:rsidRDefault="007F3684" w:rsidP="0059390E">
      <w:pPr>
        <w:pStyle w:val="ListParagraph"/>
        <w:numPr>
          <w:ilvl w:val="0"/>
          <w:numId w:val="17"/>
        </w:numPr>
        <w:ind w:left="426" w:hanging="426"/>
      </w:pPr>
      <w:r w:rsidRPr="0059390E">
        <w:rPr>
          <w:rFonts w:eastAsia="Calibri" w:cstheme="majorBidi"/>
          <w:szCs w:val="18"/>
        </w:rPr>
        <w:t xml:space="preserve">The disciplines inscribed pursuant to paragraph </w:t>
      </w:r>
      <w:r w:rsidR="007E46C7" w:rsidRPr="0059390E">
        <w:rPr>
          <w:rFonts w:eastAsia="Calibri" w:cstheme="majorBidi"/>
          <w:szCs w:val="18"/>
        </w:rPr>
        <w:t>7</w:t>
      </w:r>
      <w:r w:rsidRPr="0059390E">
        <w:rPr>
          <w:rFonts w:eastAsia="Calibri" w:cstheme="majorBidi"/>
          <w:szCs w:val="18"/>
        </w:rPr>
        <w:t xml:space="preserve"> of this Section apply where specific commitments are undertaken.</w:t>
      </w:r>
      <w:r w:rsidRPr="002F5AB1">
        <w:t xml:space="preserve"> In addition, Members are encouraged to </w:t>
      </w:r>
      <w:r w:rsidR="001659C1">
        <w:t xml:space="preserve">inscribe in their Schedules additional sectors </w:t>
      </w:r>
      <w:r w:rsidRPr="002F5AB1">
        <w:t>to which the disciplines apply.</w:t>
      </w:r>
    </w:p>
    <w:p w14:paraId="625C65F1" w14:textId="77777777" w:rsidR="00267F21" w:rsidRPr="00267F21" w:rsidRDefault="00267F21" w:rsidP="003168B6"/>
    <w:p w14:paraId="31EFAC4B" w14:textId="551D8D5A" w:rsidR="00A93069" w:rsidRPr="002F5AB1" w:rsidRDefault="00A93069" w:rsidP="0059390E">
      <w:pPr>
        <w:keepNext/>
        <w:keepLines/>
        <w:numPr>
          <w:ilvl w:val="0"/>
          <w:numId w:val="17"/>
        </w:numPr>
        <w:spacing w:after="240"/>
        <w:ind w:left="426" w:hanging="426"/>
      </w:pPr>
      <w:r w:rsidRPr="002F5AB1">
        <w:t xml:space="preserve">Members may exclude the discipline set out in paragraph 22 (d) of Section II </w:t>
      </w:r>
      <w:r w:rsidR="00B36D2B" w:rsidRPr="002F5AB1">
        <w:t>and paragraph</w:t>
      </w:r>
      <w:r w:rsidR="00F43165">
        <w:t> </w:t>
      </w:r>
      <w:r w:rsidR="00B36D2B" w:rsidRPr="002F5AB1">
        <w:t>19</w:t>
      </w:r>
      <w:r w:rsidR="00D564AC" w:rsidRPr="002F5AB1">
        <w:t> </w:t>
      </w:r>
      <w:r w:rsidR="00B36D2B" w:rsidRPr="002F5AB1">
        <w:t xml:space="preserve">(d) of Section III </w:t>
      </w:r>
      <w:r w:rsidRPr="002F5AB1">
        <w:t xml:space="preserve">from the additional commitments scheduled under paragraph </w:t>
      </w:r>
      <w:r w:rsidR="007E46C7">
        <w:t>7</w:t>
      </w:r>
      <w:r w:rsidRPr="002F5AB1">
        <w:t xml:space="preserve"> of this Section.</w:t>
      </w:r>
    </w:p>
    <w:p w14:paraId="52B1934F" w14:textId="77777777" w:rsidR="00A93069" w:rsidRPr="002F5AB1" w:rsidRDefault="00A93069" w:rsidP="00A93069">
      <w:pPr>
        <w:keepNext/>
        <w:keepLines/>
        <w:spacing w:after="240"/>
        <w:rPr>
          <w:b/>
          <w:bCs/>
        </w:rPr>
      </w:pPr>
      <w:r w:rsidRPr="002F5AB1">
        <w:rPr>
          <w:b/>
          <w:bCs/>
        </w:rPr>
        <w:t>Development</w:t>
      </w:r>
    </w:p>
    <w:p w14:paraId="016D2448" w14:textId="77777777" w:rsidR="00A93069" w:rsidRPr="002F5AB1" w:rsidRDefault="00A93069" w:rsidP="00A93069">
      <w:pPr>
        <w:spacing w:after="240"/>
        <w:rPr>
          <w:bCs/>
          <w:i/>
          <w:iCs/>
          <w:u w:val="single"/>
        </w:rPr>
      </w:pPr>
      <w:r w:rsidRPr="002F5AB1">
        <w:rPr>
          <w:bCs/>
          <w:i/>
          <w:iCs/>
          <w:u w:val="single"/>
        </w:rPr>
        <w:t>Transitional Periods for Developing Country Members</w:t>
      </w:r>
    </w:p>
    <w:p w14:paraId="531584D2" w14:textId="397DA99E" w:rsidR="00A93069" w:rsidRDefault="00A93069" w:rsidP="0059390E">
      <w:pPr>
        <w:numPr>
          <w:ilvl w:val="0"/>
          <w:numId w:val="17"/>
        </w:numPr>
        <w:spacing w:after="240"/>
        <w:ind w:left="426" w:hanging="426"/>
      </w:pPr>
      <w:r w:rsidRPr="002F5AB1">
        <w:t>A developing country Member may designate specific disciplines for implementation on a date after a transitional period of no longer than 7 years following the entry into force of these disciplines.</w:t>
      </w:r>
      <w:r w:rsidR="00FC3098">
        <w:t xml:space="preserve"> </w:t>
      </w:r>
      <w:r w:rsidRPr="002F5AB1">
        <w:t>The scope of the designation may be limited to individual</w:t>
      </w:r>
      <w:r w:rsidRPr="0093315C">
        <w:t xml:space="preserve"> services sectors or subsectors. </w:t>
      </w:r>
      <w:r w:rsidRPr="008D3007">
        <w:t xml:space="preserve">The transitional periods shall be inscribed in the respective Schedules of specific commitments. </w:t>
      </w:r>
      <w:r w:rsidRPr="0093315C">
        <w:t>A developing country Member requiring an extended transitional period for implementation shall submit a request in accordance with relevant procedures.</w:t>
      </w:r>
      <w:r w:rsidRPr="0093315C">
        <w:rPr>
          <w:vertAlign w:val="superscript"/>
        </w:rPr>
        <w:footnoteReference w:id="2"/>
      </w:r>
      <w:r w:rsidRPr="0093315C">
        <w:t xml:space="preserve"> Members shall give sympathetic consideration to granting such requests, taking into account the specific circumstances of the Member submitting the request.</w:t>
      </w:r>
    </w:p>
    <w:p w14:paraId="2B4466A5" w14:textId="77777777" w:rsidR="000D2CD0" w:rsidRDefault="000D2CD0" w:rsidP="00A93069">
      <w:pPr>
        <w:spacing w:after="240"/>
        <w:rPr>
          <w:i/>
          <w:iCs/>
          <w:u w:val="single"/>
        </w:rPr>
      </w:pPr>
    </w:p>
    <w:p w14:paraId="7B953BA3" w14:textId="5D734C56" w:rsidR="00A93069" w:rsidRPr="00127961" w:rsidRDefault="00A93069" w:rsidP="00A93069">
      <w:pPr>
        <w:spacing w:after="240"/>
        <w:rPr>
          <w:i/>
          <w:iCs/>
          <w:u w:val="single"/>
        </w:rPr>
      </w:pPr>
      <w:r w:rsidRPr="00127961">
        <w:rPr>
          <w:i/>
          <w:iCs/>
          <w:u w:val="single"/>
        </w:rPr>
        <w:lastRenderedPageBreak/>
        <w:t>Participation of Least</w:t>
      </w:r>
      <w:r w:rsidR="00127961">
        <w:rPr>
          <w:i/>
          <w:iCs/>
          <w:u w:val="single"/>
        </w:rPr>
        <w:t>-</w:t>
      </w:r>
      <w:r w:rsidRPr="00127961">
        <w:rPr>
          <w:i/>
          <w:iCs/>
          <w:u w:val="single"/>
        </w:rPr>
        <w:t xml:space="preserve">Developed Country Members </w:t>
      </w:r>
    </w:p>
    <w:p w14:paraId="271DCF3B" w14:textId="3217FD1D" w:rsidR="00A93069" w:rsidRDefault="00A93069" w:rsidP="0059390E">
      <w:pPr>
        <w:numPr>
          <w:ilvl w:val="0"/>
          <w:numId w:val="17"/>
        </w:numPr>
        <w:spacing w:after="240"/>
        <w:ind w:left="426" w:hanging="426"/>
      </w:pPr>
      <w:r w:rsidRPr="00F6131C">
        <w:t xml:space="preserve">Least-developed country Members shall inscribe the disciplines </w:t>
      </w:r>
      <w:r w:rsidR="0006331C" w:rsidRPr="00F6131C">
        <w:t xml:space="preserve">pursuant to paragraph </w:t>
      </w:r>
      <w:r w:rsidR="007E46C7">
        <w:t>7</w:t>
      </w:r>
      <w:r w:rsidR="0006331C" w:rsidRPr="00F6131C">
        <w:t xml:space="preserve"> of this Section</w:t>
      </w:r>
      <w:r w:rsidR="002114E1" w:rsidRPr="00F6131C">
        <w:t xml:space="preserve"> </w:t>
      </w:r>
      <w:r w:rsidRPr="00F6131C">
        <w:t>in their Schedules of specific commitments</w:t>
      </w:r>
      <w:r w:rsidR="00F6131C" w:rsidRPr="00F6131C">
        <w:t>,</w:t>
      </w:r>
      <w:r w:rsidRPr="00F6131C">
        <w:t xml:space="preserve"> no later than 6 months in advance of their graduation from least-developed country status.</w:t>
      </w:r>
      <w:r w:rsidRPr="0093315C">
        <w:t xml:space="preserve"> Least-developed country Members may, at that time, designate transitional periods pursuant to paragraph </w:t>
      </w:r>
      <w:r w:rsidR="007E46C7">
        <w:t>10</w:t>
      </w:r>
      <w:r w:rsidRPr="0093315C">
        <w:t xml:space="preserve"> of this Section. Least-developed country Members are nonetheless encouraged to apply these disciplines before their graduation, to the extent consistent with their individual implementation capacity.</w:t>
      </w:r>
    </w:p>
    <w:p w14:paraId="47F667E5" w14:textId="77777777" w:rsidR="00A93069" w:rsidRPr="009F14D4" w:rsidRDefault="00A93069" w:rsidP="00A93069">
      <w:pPr>
        <w:jc w:val="left"/>
        <w:rPr>
          <w:bCs/>
          <w:i/>
          <w:iCs/>
          <w:u w:val="single"/>
        </w:rPr>
      </w:pPr>
      <w:r w:rsidRPr="009F14D4">
        <w:rPr>
          <w:bCs/>
          <w:i/>
          <w:iCs/>
          <w:u w:val="single"/>
        </w:rPr>
        <w:t>Technical Assistance and Capacity Building</w:t>
      </w:r>
    </w:p>
    <w:p w14:paraId="52FC8E50" w14:textId="77777777" w:rsidR="00A93069" w:rsidRPr="0093315C" w:rsidRDefault="00A93069" w:rsidP="00A93069">
      <w:pPr>
        <w:jc w:val="left"/>
        <w:rPr>
          <w:b/>
        </w:rPr>
      </w:pPr>
    </w:p>
    <w:p w14:paraId="3DEC6FE6" w14:textId="77777777" w:rsidR="00A93069" w:rsidRPr="0093315C" w:rsidRDefault="00A93069" w:rsidP="0059390E">
      <w:pPr>
        <w:numPr>
          <w:ilvl w:val="0"/>
          <w:numId w:val="17"/>
        </w:numPr>
        <w:spacing w:after="240"/>
        <w:ind w:left="426" w:hanging="426"/>
        <w:rPr>
          <w:rFonts w:eastAsia="Times New Roman" w:cs="Times New Roman"/>
          <w:color w:val="212121"/>
          <w:szCs w:val="18"/>
          <w:shd w:val="clear" w:color="auto" w:fill="FFFFFF"/>
          <w:lang w:val="en-US"/>
        </w:rPr>
      </w:pPr>
      <w:r w:rsidRPr="0093315C">
        <w:rPr>
          <w:rFonts w:eastAsia="Times New Roman" w:cs="Times New Roman"/>
          <w:color w:val="212121"/>
          <w:szCs w:val="18"/>
          <w:shd w:val="clear" w:color="auto" w:fill="FFFFFF"/>
          <w:lang w:val="en-US"/>
        </w:rPr>
        <w:t>Developed and developing country Members, in a position to do so, are encouraged to provide specific technical assistance and capacity building to developing and in particular least-developed country Members, upon their request and on mutually agreed terms and conditions, aimed</w:t>
      </w:r>
      <w:r>
        <w:rPr>
          <w:rFonts w:eastAsia="Times New Roman" w:cs="Times New Roman"/>
          <w:color w:val="212121"/>
          <w:szCs w:val="18"/>
          <w:shd w:val="clear" w:color="auto" w:fill="FFFFFF"/>
          <w:lang w:val="en-US"/>
        </w:rPr>
        <w:t>,</w:t>
      </w:r>
      <w:r w:rsidRPr="0093315C">
        <w:rPr>
          <w:rFonts w:eastAsia="Times New Roman" w:cs="Times New Roman"/>
          <w:color w:val="212121"/>
          <w:szCs w:val="18"/>
          <w:shd w:val="clear" w:color="auto" w:fill="FFFFFF"/>
          <w:lang w:val="en-US"/>
        </w:rPr>
        <w:t xml:space="preserve"> </w:t>
      </w:r>
      <w:r w:rsidRPr="00D1290C">
        <w:rPr>
          <w:rFonts w:eastAsia="Times New Roman" w:cs="Times New Roman"/>
          <w:i/>
          <w:iCs/>
          <w:color w:val="212121"/>
          <w:szCs w:val="18"/>
          <w:shd w:val="clear" w:color="auto" w:fill="FFFFFF"/>
          <w:lang w:val="en-US"/>
        </w:rPr>
        <w:t>inter alia</w:t>
      </w:r>
      <w:r>
        <w:rPr>
          <w:rFonts w:eastAsia="Times New Roman" w:cs="Times New Roman"/>
          <w:color w:val="212121"/>
          <w:szCs w:val="18"/>
          <w:shd w:val="clear" w:color="auto" w:fill="FFFFFF"/>
          <w:lang w:val="en-US"/>
        </w:rPr>
        <w:t>,</w:t>
      </w:r>
      <w:r w:rsidRPr="0093315C">
        <w:rPr>
          <w:rFonts w:eastAsia="Times New Roman" w:cs="Times New Roman"/>
          <w:color w:val="212121"/>
          <w:szCs w:val="18"/>
          <w:shd w:val="clear" w:color="auto" w:fill="FFFFFF"/>
          <w:lang w:val="en-US"/>
        </w:rPr>
        <w:t xml:space="preserve"> at:</w:t>
      </w:r>
    </w:p>
    <w:p w14:paraId="328DA66B" w14:textId="77777777" w:rsidR="00A93069" w:rsidRPr="0093315C" w:rsidRDefault="00A93069" w:rsidP="00A93069">
      <w:pPr>
        <w:numPr>
          <w:ilvl w:val="1"/>
          <w:numId w:val="10"/>
        </w:numPr>
        <w:spacing w:after="240"/>
        <w:ind w:left="1077" w:hanging="357"/>
        <w:rPr>
          <w:rFonts w:eastAsia="Calibri" w:cs="Times New Roman"/>
        </w:rPr>
      </w:pPr>
      <w:r w:rsidRPr="0093315C">
        <w:rPr>
          <w:rFonts w:eastAsia="Calibri" w:cs="Times New Roman"/>
        </w:rPr>
        <w:t>developing and strengthening institutional and regulatory capacities to regulate the supply of services and to implement these disciplines, especially provisions and sectors to which transitional periods apply;</w:t>
      </w:r>
    </w:p>
    <w:p w14:paraId="7F3624DE" w14:textId="77777777" w:rsidR="00A93069" w:rsidRPr="0093315C" w:rsidRDefault="00A93069" w:rsidP="00A93069">
      <w:pPr>
        <w:numPr>
          <w:ilvl w:val="1"/>
          <w:numId w:val="10"/>
        </w:numPr>
        <w:spacing w:after="240"/>
        <w:ind w:left="1077" w:hanging="357"/>
        <w:rPr>
          <w:rFonts w:eastAsia="Calibri" w:cs="Times New Roman"/>
        </w:rPr>
      </w:pPr>
      <w:r w:rsidRPr="0093315C">
        <w:rPr>
          <w:rFonts w:eastAsia="Calibri" w:cs="Times New Roman"/>
        </w:rPr>
        <w:t>assisting service suppliers of developing and in particular least-developed country Members to meet the relevant requirements and procedures in export markets;</w:t>
      </w:r>
    </w:p>
    <w:p w14:paraId="5B315C39" w14:textId="77777777" w:rsidR="00A93069" w:rsidRPr="0093315C" w:rsidRDefault="00A93069" w:rsidP="00A93069">
      <w:pPr>
        <w:numPr>
          <w:ilvl w:val="1"/>
          <w:numId w:val="10"/>
        </w:numPr>
        <w:spacing w:after="240"/>
        <w:ind w:left="1077" w:hanging="357"/>
        <w:rPr>
          <w:rFonts w:eastAsia="Calibri" w:cs="Times New Roman"/>
        </w:rPr>
      </w:pPr>
      <w:r w:rsidRPr="0093315C">
        <w:rPr>
          <w:rFonts w:eastAsia="Calibri" w:cs="Times New Roman"/>
        </w:rPr>
        <w:t>facilitating the establishment of technical standards and facilitating participation of developing and in particular least-developed country Members facing resource constraints in the relevant international organizations; and</w:t>
      </w:r>
    </w:p>
    <w:p w14:paraId="0FABCF0D" w14:textId="77777777" w:rsidR="00A93069" w:rsidRPr="0093315C" w:rsidRDefault="00A93069" w:rsidP="00A93069">
      <w:pPr>
        <w:numPr>
          <w:ilvl w:val="1"/>
          <w:numId w:val="10"/>
        </w:numPr>
        <w:spacing w:after="240"/>
        <w:ind w:left="1077" w:hanging="357"/>
        <w:rPr>
          <w:rFonts w:eastAsia="Calibri" w:cs="Times New Roman"/>
        </w:rPr>
      </w:pPr>
      <w:r w:rsidRPr="0093315C">
        <w:rPr>
          <w:rFonts w:eastAsia="Calibri" w:cs="Times New Roman"/>
        </w:rPr>
        <w:t>assisting, through public or private bodies and relevant international organizations, service suppliers of developing and in particular least-developed country Members in building their supply capacity and in complying with domestic regulation.</w:t>
      </w:r>
    </w:p>
    <w:p w14:paraId="47D6815F" w14:textId="709E1FE5" w:rsidR="000D2CD0" w:rsidRDefault="002114E1" w:rsidP="002D7BE5">
      <w:pPr>
        <w:spacing w:after="240" w:line="276" w:lineRule="auto"/>
        <w:jc w:val="center"/>
      </w:pPr>
      <w:r>
        <w:br w:type="page"/>
      </w:r>
    </w:p>
    <w:p w14:paraId="10E36A48" w14:textId="515F15DC" w:rsidR="00A93069" w:rsidRPr="005161C5" w:rsidRDefault="00A93069" w:rsidP="0060622D">
      <w:pPr>
        <w:spacing w:after="240" w:line="276" w:lineRule="auto"/>
        <w:jc w:val="center"/>
      </w:pPr>
      <w:r w:rsidRPr="0028057D">
        <w:rPr>
          <w:rFonts w:eastAsia="Times New Roman" w:cs="Times New Roman"/>
          <w:szCs w:val="18"/>
          <w:lang w:val="en-US"/>
        </w:rPr>
        <w:lastRenderedPageBreak/>
        <w:t>SECTION II – DISCIPLINES ON SERVICES DOMESTIC REGULATION</w:t>
      </w:r>
    </w:p>
    <w:p w14:paraId="7F71119C" w14:textId="77777777" w:rsidR="00A93069" w:rsidRPr="0093315C" w:rsidRDefault="00A93069" w:rsidP="00A93069">
      <w:pPr>
        <w:keepNext/>
        <w:keepLines/>
        <w:spacing w:after="240"/>
        <w:rPr>
          <w:b/>
          <w:szCs w:val="18"/>
        </w:rPr>
      </w:pPr>
      <w:r w:rsidRPr="0093315C">
        <w:rPr>
          <w:b/>
        </w:rPr>
        <w:t>Scope of the Disciplines</w:t>
      </w:r>
    </w:p>
    <w:p w14:paraId="426F2A14" w14:textId="20A4FF05" w:rsidR="0028057D" w:rsidRDefault="0028057D" w:rsidP="00A93069">
      <w:pPr>
        <w:pStyle w:val="ListNumber4"/>
        <w:tabs>
          <w:tab w:val="clear" w:pos="1209"/>
          <w:tab w:val="num" w:pos="426"/>
        </w:tabs>
        <w:ind w:left="426" w:hanging="426"/>
      </w:pPr>
      <w:r w:rsidRPr="0028057D">
        <w:t>These disciplines apply to measures by Members relating to licensing requirements and procedures, qualification requirements and procedures, and technical standards affecting trade in services.</w:t>
      </w:r>
    </w:p>
    <w:p w14:paraId="2603EFCE" w14:textId="77777777" w:rsidR="0028057D" w:rsidRDefault="0028057D" w:rsidP="0028057D">
      <w:pPr>
        <w:pStyle w:val="ListNumber4"/>
        <w:numPr>
          <w:ilvl w:val="0"/>
          <w:numId w:val="0"/>
        </w:numPr>
        <w:ind w:left="426"/>
      </w:pPr>
    </w:p>
    <w:p w14:paraId="182922FB" w14:textId="4269F3DA" w:rsidR="00A93069" w:rsidRDefault="0028057D" w:rsidP="00A93069">
      <w:pPr>
        <w:pStyle w:val="ListNumber4"/>
        <w:tabs>
          <w:tab w:val="clear" w:pos="1209"/>
          <w:tab w:val="num" w:pos="426"/>
        </w:tabs>
        <w:ind w:left="426" w:hanging="426"/>
      </w:pPr>
      <w:r>
        <w:t>T</w:t>
      </w:r>
      <w:r w:rsidR="00A93069" w:rsidRPr="0093315C">
        <w:t>hese disciplines do not apply to any terms, limitations, conditions, or qualifications set out in a Member’s Schedule pursuant to Articles XVI or XVII of the Agreement.</w:t>
      </w:r>
    </w:p>
    <w:p w14:paraId="7D2FBA2B" w14:textId="77777777" w:rsidR="00A93069" w:rsidRPr="0093315C" w:rsidRDefault="00A93069" w:rsidP="00A93069">
      <w:pPr>
        <w:pStyle w:val="ListNumber4"/>
        <w:numPr>
          <w:ilvl w:val="0"/>
          <w:numId w:val="0"/>
        </w:numPr>
        <w:ind w:left="426"/>
      </w:pPr>
    </w:p>
    <w:p w14:paraId="2B05EC4C"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For the purpose of these disciplines, "authorization" means the permission to supply a service, resulting from a procedure to which an applicant must adhere in order to demonstrate compliance with licensing requirements, qualification requirements, or technical standards.</w:t>
      </w:r>
    </w:p>
    <w:p w14:paraId="1D46F003" w14:textId="77777777" w:rsidR="00A93069" w:rsidRPr="0093315C" w:rsidRDefault="00A93069" w:rsidP="00A93069">
      <w:pPr>
        <w:spacing w:after="240"/>
        <w:rPr>
          <w:rFonts w:eastAsia="Calibri" w:cs="Times New Roman"/>
          <w:b/>
        </w:rPr>
      </w:pPr>
      <w:r w:rsidRPr="0093315C">
        <w:rPr>
          <w:rFonts w:eastAsia="Calibri" w:cs="Times New Roman"/>
          <w:b/>
        </w:rPr>
        <w:t>Submission of Applications</w:t>
      </w:r>
    </w:p>
    <w:p w14:paraId="457252BF"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lang w:eastAsia="en-GB"/>
        </w:rPr>
        <w:t xml:space="preserve">Each Member shall, to the extent practicable, avoid requiring an applicant to approach more than one competent authority for each application for authorization. </w:t>
      </w:r>
      <w:r w:rsidRPr="0093315C">
        <w:rPr>
          <w:rFonts w:eastAsia="Calibri" w:cs="Times New Roman"/>
        </w:rPr>
        <w:t>If a service is within the jurisdiction of multiple competent authorities, multiple applications for authorization may be required.</w:t>
      </w:r>
    </w:p>
    <w:p w14:paraId="4DDD30F1" w14:textId="77777777" w:rsidR="00A93069" w:rsidRPr="0093315C" w:rsidRDefault="00A93069" w:rsidP="00A93069">
      <w:pPr>
        <w:spacing w:after="240"/>
        <w:rPr>
          <w:rFonts w:eastAsia="Calibri" w:cs="Times New Roman"/>
          <w:b/>
        </w:rPr>
      </w:pPr>
      <w:r w:rsidRPr="0093315C">
        <w:rPr>
          <w:rFonts w:eastAsia="Calibri" w:cs="Times New Roman"/>
          <w:b/>
        </w:rPr>
        <w:t>Application Timeframes</w:t>
      </w:r>
    </w:p>
    <w:p w14:paraId="39AB794C"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 xml:space="preserve">If a Member requires authorization for the supply of a service, it shall ensure that its competent authorities </w:t>
      </w:r>
      <w:r w:rsidRPr="0093315C">
        <w:rPr>
          <w:rFonts w:eastAsia="Calibri" w:cs="Times New Roman"/>
          <w:lang w:eastAsia="en-GB"/>
        </w:rPr>
        <w:t>to the extent practicable permit submission of an application at any time throughout the year.</w:t>
      </w:r>
      <w:r w:rsidRPr="0093315C">
        <w:rPr>
          <w:rFonts w:eastAsia="Calibri" w:cs="Times New Roman"/>
          <w:szCs w:val="18"/>
          <w:vertAlign w:val="superscript"/>
          <w:lang w:eastAsia="en-GB"/>
        </w:rPr>
        <w:footnoteReference w:id="3"/>
      </w:r>
      <w:r w:rsidRPr="0093315C">
        <w:rPr>
          <w:rFonts w:eastAsia="Calibri" w:cs="Times New Roman"/>
          <w:lang w:eastAsia="en-GB"/>
        </w:rPr>
        <w:t xml:space="preserve"> </w:t>
      </w:r>
      <w:r w:rsidRPr="0093315C">
        <w:rPr>
          <w:rFonts w:eastAsia="Calibri" w:cs="Times New Roman"/>
        </w:rPr>
        <w:t>I</w:t>
      </w:r>
      <w:r w:rsidRPr="0093315C">
        <w:rPr>
          <w:rFonts w:eastAsia="Calibri" w:cs="Times New Roman"/>
          <w:lang w:eastAsia="en-GB"/>
        </w:rPr>
        <w:t>f a specific time period for applying exists, the Member shall ensure that the competent authorities allow a reasonable period for the submission of an application.</w:t>
      </w:r>
    </w:p>
    <w:p w14:paraId="02593A18" w14:textId="77777777" w:rsidR="00A93069" w:rsidRPr="0093315C" w:rsidRDefault="00A93069" w:rsidP="00A93069">
      <w:pPr>
        <w:spacing w:after="240"/>
        <w:rPr>
          <w:rFonts w:eastAsia="Calibri" w:cs="Times New Roman"/>
          <w:b/>
          <w:lang w:val="en-AU"/>
        </w:rPr>
      </w:pPr>
      <w:r w:rsidRPr="0093315C">
        <w:rPr>
          <w:rFonts w:eastAsia="Calibri" w:cs="Times New Roman"/>
          <w:b/>
        </w:rPr>
        <w:t>Electronic Applications and Acceptance of Copies</w:t>
      </w:r>
    </w:p>
    <w:p w14:paraId="34166A42"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If a Member requires authorization for the supply of a service, it shall ensure that its competent authorities:</w:t>
      </w:r>
    </w:p>
    <w:p w14:paraId="5AF74104" w14:textId="77777777" w:rsidR="00A93069" w:rsidRPr="0093315C" w:rsidRDefault="00A93069" w:rsidP="00A93069">
      <w:pPr>
        <w:numPr>
          <w:ilvl w:val="0"/>
          <w:numId w:val="19"/>
        </w:numPr>
        <w:spacing w:after="240"/>
        <w:rPr>
          <w:rFonts w:eastAsia="Calibri" w:cs="Times New Roman"/>
          <w:lang w:eastAsia="en-GB"/>
        </w:rPr>
      </w:pPr>
      <w:r w:rsidRPr="0093315C">
        <w:rPr>
          <w:rFonts w:eastAsia="Calibri" w:cs="Times New Roman"/>
          <w:lang w:eastAsia="en-GB"/>
        </w:rPr>
        <w:t>taking into account their competing priorities and resource constraints, endeavour to accept applications in electronic format; and</w:t>
      </w:r>
    </w:p>
    <w:p w14:paraId="5A861B88" w14:textId="77777777" w:rsidR="00A93069" w:rsidRPr="0093315C" w:rsidRDefault="00A93069" w:rsidP="00A93069">
      <w:pPr>
        <w:numPr>
          <w:ilvl w:val="0"/>
          <w:numId w:val="19"/>
        </w:numPr>
        <w:spacing w:after="240"/>
        <w:rPr>
          <w:rFonts w:eastAsia="Calibri" w:cs="Times New Roman"/>
          <w:lang w:eastAsia="en-GB"/>
        </w:rPr>
      </w:pPr>
      <w:r w:rsidRPr="0093315C">
        <w:rPr>
          <w:rFonts w:eastAsia="Calibri" w:cs="Times New Roman"/>
          <w:lang w:eastAsia="en-GB"/>
        </w:rPr>
        <w:t>accept copies of documents, that are authenticated in accordance with the Member’s domestic laws and regulations, in place of original documents, unless the competent authorities require original documents to protect the integrity of the authorization process.</w:t>
      </w:r>
    </w:p>
    <w:p w14:paraId="65DB0B84" w14:textId="77777777" w:rsidR="00A93069" w:rsidRPr="0093315C" w:rsidRDefault="00A93069" w:rsidP="00A93069">
      <w:pPr>
        <w:spacing w:after="240"/>
        <w:rPr>
          <w:rFonts w:eastAsia="Calibri" w:cs="Times New Roman"/>
          <w:b/>
          <w:lang w:val="en-AU"/>
        </w:rPr>
      </w:pPr>
      <w:r w:rsidRPr="0093315C">
        <w:rPr>
          <w:rFonts w:eastAsia="Calibri" w:cs="Times New Roman"/>
          <w:b/>
        </w:rPr>
        <w:t>Processing of Applications</w:t>
      </w:r>
    </w:p>
    <w:p w14:paraId="1F55C25D"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 xml:space="preserve">If a Member requires authorization for the supply of a service, it shall ensure that its competent authorities: </w:t>
      </w:r>
    </w:p>
    <w:p w14:paraId="380E237B" w14:textId="77777777"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t>to the extent practicable, provide an indicative timeframe for processing of an application;</w:t>
      </w:r>
    </w:p>
    <w:p w14:paraId="1173FA48" w14:textId="77777777"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t>at the request of the applicant, provide without undue delay information concerning the status of the application;</w:t>
      </w:r>
    </w:p>
    <w:p w14:paraId="29555268" w14:textId="77777777"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t>to the extent practicable, ascertain without undue delay the completeness of an application for processing under the Member’s domestic laws and regulations;</w:t>
      </w:r>
    </w:p>
    <w:p w14:paraId="494726BD" w14:textId="60CFD820"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lastRenderedPageBreak/>
        <w:t>if they consider an application complete for processing under the Member’s domestic laws and regulations</w:t>
      </w:r>
      <w:r w:rsidR="00767713">
        <w:rPr>
          <w:rFonts w:eastAsia="Calibri" w:cs="Times New Roman"/>
          <w:lang w:eastAsia="en-GB"/>
        </w:rPr>
        <w:t>,</w:t>
      </w:r>
      <w:r w:rsidRPr="0093315C">
        <w:rPr>
          <w:rFonts w:eastAsia="Calibri" w:cs="Times New Roman"/>
          <w:szCs w:val="18"/>
          <w:vertAlign w:val="superscript"/>
          <w:lang w:eastAsia="en-GB"/>
        </w:rPr>
        <w:footnoteReference w:id="4"/>
      </w:r>
      <w:r w:rsidRPr="0093315C">
        <w:rPr>
          <w:rFonts w:eastAsia="Calibri" w:cs="Times New Roman"/>
          <w:lang w:eastAsia="en-GB"/>
        </w:rPr>
        <w:t xml:space="preserve"> within a reasonable period of time after the submission of the application ensure that:</w:t>
      </w:r>
    </w:p>
    <w:p w14:paraId="49A5FB06" w14:textId="77777777" w:rsidR="00A93069" w:rsidRPr="0093315C" w:rsidRDefault="00A93069" w:rsidP="00A93069">
      <w:pPr>
        <w:numPr>
          <w:ilvl w:val="2"/>
          <w:numId w:val="10"/>
        </w:numPr>
        <w:spacing w:after="240"/>
        <w:rPr>
          <w:rFonts w:eastAsia="Calibri" w:cs="Times New Roman"/>
          <w:lang w:eastAsia="en-GB"/>
        </w:rPr>
      </w:pPr>
      <w:r w:rsidRPr="0093315C">
        <w:rPr>
          <w:rFonts w:eastAsia="Calibri" w:cs="Times New Roman"/>
          <w:lang w:eastAsia="en-GB"/>
        </w:rPr>
        <w:t xml:space="preserve">the processing of the application is completed; and </w:t>
      </w:r>
    </w:p>
    <w:p w14:paraId="7F9BF143" w14:textId="77777777" w:rsidR="00A93069" w:rsidRPr="0093315C" w:rsidRDefault="00A93069" w:rsidP="00A93069">
      <w:pPr>
        <w:numPr>
          <w:ilvl w:val="2"/>
          <w:numId w:val="10"/>
        </w:numPr>
        <w:spacing w:after="240"/>
        <w:rPr>
          <w:rFonts w:eastAsia="Calibri" w:cs="Times New Roman"/>
          <w:lang w:eastAsia="en-GB"/>
        </w:rPr>
      </w:pPr>
      <w:r w:rsidRPr="0093315C">
        <w:rPr>
          <w:rFonts w:eastAsia="Calibri" w:cs="Times New Roman"/>
          <w:lang w:eastAsia="en-GB"/>
        </w:rPr>
        <w:t>the applicant is informed of the decision concerning the application,</w:t>
      </w:r>
      <w:r w:rsidRPr="0093315C">
        <w:rPr>
          <w:rFonts w:eastAsia="Calibri" w:cs="Times New Roman"/>
          <w:szCs w:val="18"/>
          <w:vertAlign w:val="superscript"/>
          <w:lang w:eastAsia="en-GB"/>
        </w:rPr>
        <w:footnoteReference w:id="5"/>
      </w:r>
      <w:r w:rsidRPr="0093315C">
        <w:rPr>
          <w:rFonts w:eastAsia="Calibri" w:cs="Times New Roman"/>
          <w:lang w:eastAsia="en-GB"/>
        </w:rPr>
        <w:t xml:space="preserve"> to the extent possible in writing;</w:t>
      </w:r>
      <w:r w:rsidRPr="0093315C">
        <w:rPr>
          <w:rFonts w:eastAsia="Calibri" w:cs="Times New Roman"/>
          <w:szCs w:val="18"/>
          <w:vertAlign w:val="superscript"/>
          <w:lang w:eastAsia="en-GB"/>
        </w:rPr>
        <w:footnoteReference w:id="6"/>
      </w:r>
    </w:p>
    <w:p w14:paraId="1C83A09C" w14:textId="77777777"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t>if they consider an application incomplete for processing under the Member’s domestic laws and regulations, within a reasonable period of time, to the extent practicable:</w:t>
      </w:r>
    </w:p>
    <w:p w14:paraId="00B55186" w14:textId="77777777" w:rsidR="00A93069" w:rsidRPr="0093315C" w:rsidRDefault="00A93069" w:rsidP="00A93069">
      <w:pPr>
        <w:numPr>
          <w:ilvl w:val="0"/>
          <w:numId w:val="23"/>
        </w:numPr>
        <w:spacing w:after="240"/>
        <w:ind w:left="1803" w:hanging="181"/>
        <w:rPr>
          <w:rFonts w:eastAsia="Calibri" w:cs="Times New Roman"/>
          <w:lang w:eastAsia="en-GB"/>
        </w:rPr>
      </w:pPr>
      <w:r w:rsidRPr="0093315C">
        <w:rPr>
          <w:rFonts w:eastAsia="Calibri" w:cs="Times New Roman"/>
          <w:lang w:eastAsia="en-GB"/>
        </w:rPr>
        <w:t xml:space="preserve">inform the applicant that the application is incomplete; </w:t>
      </w:r>
    </w:p>
    <w:p w14:paraId="470534C8" w14:textId="77777777" w:rsidR="00A93069" w:rsidRPr="0093315C" w:rsidRDefault="00A93069" w:rsidP="00A93069">
      <w:pPr>
        <w:numPr>
          <w:ilvl w:val="0"/>
          <w:numId w:val="23"/>
        </w:numPr>
        <w:spacing w:after="240"/>
        <w:ind w:left="1803" w:hanging="181"/>
        <w:rPr>
          <w:rFonts w:eastAsia="Calibri" w:cs="Times New Roman"/>
          <w:lang w:eastAsia="en-GB"/>
        </w:rPr>
      </w:pPr>
      <w:r w:rsidRPr="0093315C">
        <w:rPr>
          <w:rFonts w:eastAsia="Calibri" w:cs="Times New Roman"/>
          <w:lang w:eastAsia="en-GB"/>
        </w:rPr>
        <w:t>at the request of the applicant, identify the additional information required to complete the application, or otherwise provide guidance on why the application is considered incomplete; and</w:t>
      </w:r>
    </w:p>
    <w:p w14:paraId="2DC6B1DA" w14:textId="77777777" w:rsidR="00A93069" w:rsidRPr="0093315C" w:rsidRDefault="00A93069" w:rsidP="00A93069">
      <w:pPr>
        <w:numPr>
          <w:ilvl w:val="0"/>
          <w:numId w:val="23"/>
        </w:numPr>
        <w:spacing w:after="240"/>
        <w:ind w:left="1803" w:hanging="181"/>
        <w:rPr>
          <w:rFonts w:eastAsia="Calibri" w:cs="Times New Roman"/>
          <w:lang w:eastAsia="en-GB"/>
        </w:rPr>
      </w:pPr>
      <w:r w:rsidRPr="0093315C">
        <w:rPr>
          <w:rFonts w:eastAsia="Calibri" w:cs="Times New Roman"/>
          <w:lang w:eastAsia="en-GB"/>
        </w:rPr>
        <w:t>provide the applicant with the opportunity</w:t>
      </w:r>
      <w:r w:rsidRPr="0093315C">
        <w:rPr>
          <w:rFonts w:eastAsia="Calibri" w:cs="Times New Roman"/>
          <w:szCs w:val="18"/>
          <w:vertAlign w:val="superscript"/>
          <w:lang w:eastAsia="en-GB"/>
        </w:rPr>
        <w:footnoteReference w:id="7"/>
      </w:r>
      <w:r w:rsidRPr="0093315C">
        <w:rPr>
          <w:rFonts w:eastAsia="Calibri" w:cs="Times New Roman"/>
          <w:vertAlign w:val="superscript"/>
          <w:lang w:eastAsia="en-GB"/>
        </w:rPr>
        <w:t xml:space="preserve"> </w:t>
      </w:r>
      <w:r w:rsidRPr="0093315C">
        <w:rPr>
          <w:rFonts w:eastAsia="Calibri" w:cs="Times New Roman"/>
          <w:lang w:eastAsia="en-GB"/>
        </w:rPr>
        <w:t xml:space="preserve">to provide the additional information that is required to complete the application; </w:t>
      </w:r>
    </w:p>
    <w:p w14:paraId="3AA1CB4B" w14:textId="77777777" w:rsidR="00A93069" w:rsidRPr="0093315C" w:rsidRDefault="00A93069" w:rsidP="00A93069">
      <w:pPr>
        <w:spacing w:after="240"/>
        <w:ind w:left="1134"/>
        <w:rPr>
          <w:rFonts w:eastAsia="Calibri" w:cs="Times New Roman"/>
          <w:lang w:eastAsia="en-GB"/>
        </w:rPr>
      </w:pPr>
      <w:r w:rsidRPr="0093315C">
        <w:rPr>
          <w:rFonts w:eastAsia="Calibri" w:cs="Times New Roman"/>
          <w:lang w:eastAsia="en-GB"/>
        </w:rPr>
        <w:t>however, if none of the above is practicable, and the application is rejected due to incompleteness, ensure that they so inform the applicant within a reasonable period of time; and</w:t>
      </w:r>
    </w:p>
    <w:p w14:paraId="6C00C094" w14:textId="75BCCB5B" w:rsidR="00A93069" w:rsidRPr="0093315C" w:rsidRDefault="00A93069" w:rsidP="00A93069">
      <w:pPr>
        <w:numPr>
          <w:ilvl w:val="0"/>
          <w:numId w:val="20"/>
        </w:numPr>
        <w:spacing w:after="240"/>
        <w:rPr>
          <w:rFonts w:eastAsia="Calibri" w:cs="Times New Roman"/>
          <w:lang w:eastAsia="en-GB"/>
        </w:rPr>
      </w:pPr>
      <w:r w:rsidRPr="0093315C">
        <w:rPr>
          <w:rFonts w:eastAsia="Calibri" w:cs="Times New Roman"/>
          <w:lang w:eastAsia="en-GB"/>
        </w:rPr>
        <w:t>if an application is rejected, to the extent possible, either upon their own initiative or upon request of the applicant, inform the applicant of the reasons for rejection and, if applicable, the procedures for resubmission of an application; an applicant should not be prevented from submitting another application</w:t>
      </w:r>
      <w:r w:rsidR="00157AA1">
        <w:rPr>
          <w:rStyle w:val="FootnoteReference"/>
          <w:rFonts w:eastAsia="Calibri" w:cs="Times New Roman"/>
          <w:lang w:eastAsia="en-GB"/>
        </w:rPr>
        <w:footnoteReference w:id="8"/>
      </w:r>
      <w:r w:rsidRPr="0093315C">
        <w:rPr>
          <w:rFonts w:eastAsia="Calibri" w:cs="Times New Roman"/>
          <w:lang w:eastAsia="en-GB"/>
        </w:rPr>
        <w:t xml:space="preserve"> solely on the basis of a previously rejected application.</w:t>
      </w:r>
    </w:p>
    <w:p w14:paraId="73E8E0C7" w14:textId="77777777" w:rsidR="00A93069" w:rsidRPr="0093315C" w:rsidRDefault="00A93069" w:rsidP="00A93069">
      <w:pPr>
        <w:numPr>
          <w:ilvl w:val="0"/>
          <w:numId w:val="14"/>
        </w:numPr>
        <w:spacing w:after="240"/>
        <w:ind w:left="426" w:hanging="426"/>
        <w:rPr>
          <w:rFonts w:eastAsia="Calibri" w:cs="Times New Roman"/>
          <w:lang w:val="en-AU"/>
        </w:rPr>
      </w:pPr>
      <w:r w:rsidRPr="0093315C">
        <w:rPr>
          <w:rFonts w:eastAsia="Calibri" w:cs="Times New Roman"/>
        </w:rPr>
        <w:t>The competent authorities of a Member shall ensure that authorization, once granted, enters into effect without undue delay, subject to applicable terms and conditions.</w:t>
      </w:r>
      <w:r w:rsidRPr="0093315C">
        <w:rPr>
          <w:rFonts w:eastAsia="Calibri" w:cs="Times New Roman"/>
          <w:szCs w:val="18"/>
          <w:vertAlign w:val="superscript"/>
        </w:rPr>
        <w:footnoteReference w:id="9"/>
      </w:r>
    </w:p>
    <w:p w14:paraId="48042B9A" w14:textId="77777777" w:rsidR="00A93069" w:rsidRPr="0093315C" w:rsidRDefault="00A93069" w:rsidP="00A93069">
      <w:pPr>
        <w:spacing w:after="240"/>
        <w:rPr>
          <w:rFonts w:eastAsia="Calibri" w:cs="Times New Roman"/>
          <w:b/>
        </w:rPr>
      </w:pPr>
      <w:r w:rsidRPr="0093315C">
        <w:rPr>
          <w:rFonts w:eastAsia="Calibri" w:cs="Times New Roman"/>
          <w:b/>
        </w:rPr>
        <w:t>Fees</w:t>
      </w:r>
    </w:p>
    <w:p w14:paraId="63098FC8"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Each Member shall ensure that the authorization fees</w:t>
      </w:r>
      <w:r w:rsidRPr="0093315C">
        <w:rPr>
          <w:rFonts w:eastAsia="Calibri" w:cs="Times New Roman"/>
          <w:szCs w:val="18"/>
          <w:vertAlign w:val="superscript"/>
        </w:rPr>
        <w:footnoteReference w:id="10"/>
      </w:r>
      <w:r w:rsidRPr="0093315C">
        <w:rPr>
          <w:rFonts w:eastAsia="Calibri" w:cs="Times New Roman"/>
        </w:rPr>
        <w:t xml:space="preserve"> charged by its competent authorities are reasonable, transparent, based on authority set out in a measure, and do not in themselves restrict the supply of the relevant service.</w:t>
      </w:r>
    </w:p>
    <w:p w14:paraId="00DDC786" w14:textId="77777777" w:rsidR="00A93069" w:rsidRPr="0093315C" w:rsidRDefault="00A93069" w:rsidP="00A93069">
      <w:pPr>
        <w:spacing w:after="240"/>
        <w:rPr>
          <w:rFonts w:eastAsia="Calibri" w:cs="Times New Roman"/>
          <w:b/>
          <w:color w:val="000000" w:themeColor="text1"/>
        </w:rPr>
      </w:pPr>
      <w:r w:rsidRPr="0093315C">
        <w:rPr>
          <w:rFonts w:eastAsia="Calibri" w:cs="Times New Roman"/>
          <w:b/>
          <w:color w:val="000000" w:themeColor="text1"/>
        </w:rPr>
        <w:t>Assessment of Qualifications</w:t>
      </w:r>
    </w:p>
    <w:p w14:paraId="573C0751" w14:textId="77777777" w:rsidR="00A93069" w:rsidRPr="0093315C" w:rsidRDefault="00A93069" w:rsidP="00A93069">
      <w:pPr>
        <w:numPr>
          <w:ilvl w:val="0"/>
          <w:numId w:val="14"/>
        </w:numPr>
        <w:spacing w:after="240"/>
        <w:ind w:left="426" w:hanging="426"/>
        <w:rPr>
          <w:rFonts w:eastAsia="Calibri" w:cs="Times New Roman"/>
          <w:u w:val="single"/>
        </w:rPr>
      </w:pPr>
      <w:r w:rsidRPr="0093315C">
        <w:rPr>
          <w:rFonts w:eastAsia="Calibri" w:cs="Times New Roman"/>
        </w:rPr>
        <w:t>If a Member requires an examination for authorization for the supply of a service, that Member shall ensure that its competent authorities schedule such an examination at reasonably frequent intervals and provide a reasonable period of time to enable applicants to request to take the examination</w:t>
      </w:r>
      <w:r w:rsidRPr="0093315C">
        <w:rPr>
          <w:rFonts w:eastAsia="Calibri" w:cs="Times New Roman"/>
          <w:color w:val="000000" w:themeColor="text1"/>
        </w:rPr>
        <w:t xml:space="preserve">. </w:t>
      </w:r>
      <w:r w:rsidRPr="0093315C">
        <w:rPr>
          <w:rFonts w:eastAsia="Calibri" w:cs="Times New Roman"/>
        </w:rPr>
        <w:t xml:space="preserve">Having regard to the cost, administrative burden, and the integrity of the procedures involved, </w:t>
      </w:r>
      <w:bookmarkStart w:id="4" w:name="_Hlk525292157"/>
      <w:r w:rsidRPr="0093315C">
        <w:rPr>
          <w:rFonts w:eastAsia="Calibri" w:cs="Times New Roman"/>
        </w:rPr>
        <w:t xml:space="preserve">Members are encouraged to accept requests in electronic format to take </w:t>
      </w:r>
      <w:r w:rsidRPr="0093315C">
        <w:rPr>
          <w:rFonts w:eastAsia="Calibri" w:cs="Times New Roman"/>
        </w:rPr>
        <w:lastRenderedPageBreak/>
        <w:t>such examinations</w:t>
      </w:r>
      <w:bookmarkEnd w:id="4"/>
      <w:r w:rsidRPr="0093315C">
        <w:rPr>
          <w:rFonts w:eastAsia="Calibri" w:cs="Times New Roman"/>
        </w:rPr>
        <w:t>, and to consider, to the extent practicable, the use of electronic means in other aspects of examination processes.</w:t>
      </w:r>
    </w:p>
    <w:p w14:paraId="34F18BA4" w14:textId="77777777" w:rsidR="00A93069" w:rsidRPr="0093315C" w:rsidRDefault="00A93069" w:rsidP="00A93069">
      <w:pPr>
        <w:spacing w:after="240"/>
        <w:rPr>
          <w:rFonts w:eastAsia="Calibri" w:cs="Times New Roman"/>
          <w:b/>
        </w:rPr>
      </w:pPr>
      <w:r w:rsidRPr="0093315C">
        <w:rPr>
          <w:rFonts w:eastAsia="Calibri" w:cs="Times New Roman"/>
          <w:b/>
        </w:rPr>
        <w:t>Recognition</w:t>
      </w:r>
    </w:p>
    <w:p w14:paraId="3186D005"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Where professional bodies of Members are mutually interested in establishing dialogues on issues relating to recognition of professional qualifications, licensing or registration, the relevant Members should consider supporting the dialogue of those bodies where requested and appropriate.</w:t>
      </w:r>
    </w:p>
    <w:p w14:paraId="1BE7278F" w14:textId="77777777" w:rsidR="00A93069" w:rsidRPr="0093315C" w:rsidRDefault="00A93069" w:rsidP="00A93069">
      <w:pPr>
        <w:spacing w:after="240"/>
        <w:rPr>
          <w:rFonts w:eastAsia="Calibri" w:cs="Times New Roman"/>
          <w:b/>
          <w:lang w:eastAsia="en-GB"/>
        </w:rPr>
      </w:pPr>
      <w:r w:rsidRPr="0093315C">
        <w:rPr>
          <w:rFonts w:eastAsia="Calibri" w:cs="Times New Roman"/>
          <w:b/>
        </w:rPr>
        <w:t>Independence</w:t>
      </w:r>
    </w:p>
    <w:p w14:paraId="0DE56754" w14:textId="77777777" w:rsidR="00A93069" w:rsidRPr="0093315C" w:rsidRDefault="00A93069" w:rsidP="00A93069">
      <w:pPr>
        <w:numPr>
          <w:ilvl w:val="0"/>
          <w:numId w:val="14"/>
        </w:numPr>
        <w:spacing w:after="240"/>
        <w:ind w:left="426" w:hanging="426"/>
        <w:rPr>
          <w:rFonts w:eastAsia="Calibri" w:cs="Times New Roman"/>
          <w:lang w:eastAsia="en-GB"/>
        </w:rPr>
      </w:pPr>
      <w:r w:rsidRPr="0093315C">
        <w:rPr>
          <w:rFonts w:eastAsia="Calibri" w:cs="Times New Roman"/>
        </w:rPr>
        <w:t>If a Member adopts or maintains measures relating to the authorization for the supply of a service, the Member shall ensure that its competent authorities reach and administer their decisions in a manner independent from any supplier of the service for which authorization is required.</w:t>
      </w:r>
      <w:r w:rsidRPr="0093315C">
        <w:rPr>
          <w:rFonts w:eastAsia="Calibri" w:cs="Times New Roman"/>
          <w:szCs w:val="18"/>
          <w:vertAlign w:val="superscript"/>
        </w:rPr>
        <w:footnoteReference w:id="11"/>
      </w:r>
      <w:r w:rsidRPr="0093315C">
        <w:rPr>
          <w:rFonts w:eastAsia="Calibri" w:cs="Times New Roman"/>
        </w:rPr>
        <w:t xml:space="preserve"> </w:t>
      </w:r>
    </w:p>
    <w:p w14:paraId="34B9B4D8" w14:textId="77777777" w:rsidR="00A93069" w:rsidRPr="0093315C" w:rsidRDefault="00A93069" w:rsidP="00A93069">
      <w:pPr>
        <w:spacing w:after="240"/>
        <w:rPr>
          <w:rFonts w:eastAsiaTheme="majorEastAsia" w:cstheme="majorBidi"/>
          <w:b/>
          <w:bCs/>
          <w:szCs w:val="26"/>
        </w:rPr>
      </w:pPr>
      <w:r w:rsidRPr="0093315C">
        <w:rPr>
          <w:rFonts w:eastAsiaTheme="majorEastAsia" w:cstheme="majorBidi"/>
          <w:b/>
          <w:bCs/>
          <w:szCs w:val="26"/>
        </w:rPr>
        <w:t>Publication and Information available</w:t>
      </w:r>
    </w:p>
    <w:p w14:paraId="535B8634" w14:textId="20A3275B" w:rsidR="00A93069" w:rsidRPr="0093315C" w:rsidRDefault="00A93069" w:rsidP="00CC6361">
      <w:pPr>
        <w:numPr>
          <w:ilvl w:val="0"/>
          <w:numId w:val="14"/>
        </w:numPr>
        <w:spacing w:after="240"/>
        <w:ind w:left="425" w:hanging="425"/>
        <w:rPr>
          <w:rFonts w:eastAsia="Calibri" w:cs="Times New Roman"/>
        </w:rPr>
      </w:pPr>
      <w:r w:rsidRPr="0093315C">
        <w:rPr>
          <w:rFonts w:eastAsia="Calibri" w:cs="Times New Roman"/>
        </w:rPr>
        <w:t>If a Member requires authorization for the supply of a service, further to Article III of the Agreement, the Member shall promptly publish</w:t>
      </w:r>
      <w:r w:rsidR="00767713">
        <w:rPr>
          <w:rFonts w:eastAsia="Calibri" w:cs="Times New Roman"/>
        </w:rPr>
        <w:t>,</w:t>
      </w:r>
      <w:r w:rsidRPr="0093315C">
        <w:rPr>
          <w:rFonts w:eastAsia="Calibri" w:cs="Times New Roman"/>
          <w:szCs w:val="18"/>
          <w:vertAlign w:val="superscript"/>
        </w:rPr>
        <w:footnoteReference w:id="12"/>
      </w:r>
      <w:r w:rsidRPr="0093315C">
        <w:rPr>
          <w:rFonts w:eastAsia="Calibri" w:cs="Times New Roman"/>
        </w:rPr>
        <w:t xml:space="preserve"> or otherwise make publicly available in writing, the information necessary for service suppliers or persons seeking to supply a service to comply with the requirements and procedures for obtaining, maintaining, amending and renewing such authorization. Such information shall include, </w:t>
      </w:r>
      <w:r w:rsidRPr="0093315C">
        <w:rPr>
          <w:rFonts w:eastAsia="Calibri" w:cs="Times New Roman"/>
          <w:i/>
        </w:rPr>
        <w:t>inter alia</w:t>
      </w:r>
      <w:r w:rsidRPr="0093315C">
        <w:rPr>
          <w:rFonts w:eastAsia="Calibri" w:cs="Times New Roman"/>
        </w:rPr>
        <w:t>, where it exists:</w:t>
      </w:r>
    </w:p>
    <w:p w14:paraId="79385A85"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the requirements and procedures;</w:t>
      </w:r>
      <w:r w:rsidRPr="0093315C">
        <w:rPr>
          <w:rFonts w:eastAsia="Calibri" w:cs="Times New Roman"/>
          <w:lang w:val="en-US"/>
        </w:rPr>
        <w:t xml:space="preserve"> </w:t>
      </w:r>
    </w:p>
    <w:p w14:paraId="01F59429"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contact information of relevant competent authorities;</w:t>
      </w:r>
      <w:r w:rsidRPr="0093315C">
        <w:rPr>
          <w:rFonts w:eastAsia="Calibri" w:cs="Times New Roman"/>
          <w:lang w:val="en-US"/>
        </w:rPr>
        <w:t xml:space="preserve"> </w:t>
      </w:r>
    </w:p>
    <w:p w14:paraId="4541957A"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fees;</w:t>
      </w:r>
      <w:r w:rsidRPr="0093315C">
        <w:rPr>
          <w:rFonts w:eastAsia="Calibri" w:cs="Times New Roman"/>
          <w:lang w:val="en-US"/>
        </w:rPr>
        <w:t xml:space="preserve"> </w:t>
      </w:r>
    </w:p>
    <w:p w14:paraId="00104617"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technical standards;</w:t>
      </w:r>
      <w:r w:rsidRPr="0093315C">
        <w:rPr>
          <w:rFonts w:eastAsia="Calibri" w:cs="Times New Roman"/>
          <w:lang w:val="en-US"/>
        </w:rPr>
        <w:t xml:space="preserve"> </w:t>
      </w:r>
    </w:p>
    <w:p w14:paraId="0B5D7F87"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procedures for appeal or review of decisions concerning applications;</w:t>
      </w:r>
      <w:r w:rsidRPr="0093315C">
        <w:rPr>
          <w:rFonts w:eastAsia="Calibri" w:cs="Times New Roman"/>
          <w:lang w:val="en-US"/>
        </w:rPr>
        <w:t xml:space="preserve"> </w:t>
      </w:r>
    </w:p>
    <w:p w14:paraId="1CF2271A"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procedures for monitoring or enforcing compliance with the terms and conditions of licenses or qualifications;</w:t>
      </w:r>
      <w:r w:rsidRPr="0093315C">
        <w:rPr>
          <w:rFonts w:eastAsia="Calibri" w:cs="Times New Roman"/>
          <w:lang w:val="en-US"/>
        </w:rPr>
        <w:t xml:space="preserve"> </w:t>
      </w:r>
    </w:p>
    <w:p w14:paraId="10D2D567" w14:textId="77777777" w:rsidR="00A93069" w:rsidRPr="0093315C" w:rsidRDefault="00A93069" w:rsidP="005D1A2A">
      <w:pPr>
        <w:numPr>
          <w:ilvl w:val="0"/>
          <w:numId w:val="21"/>
        </w:numPr>
        <w:spacing w:after="240"/>
        <w:rPr>
          <w:rFonts w:eastAsia="Calibri" w:cs="Times New Roman"/>
          <w:lang w:val="en-US"/>
        </w:rPr>
      </w:pPr>
      <w:r w:rsidRPr="0093315C">
        <w:rPr>
          <w:rFonts w:eastAsia="Calibri" w:cs="Times New Roman"/>
        </w:rPr>
        <w:t>opportunities for public involvement, such as through hearings or comments; and</w:t>
      </w:r>
    </w:p>
    <w:p w14:paraId="0351803A" w14:textId="77777777" w:rsidR="00A93069" w:rsidRDefault="00A93069" w:rsidP="005D1A2A">
      <w:pPr>
        <w:numPr>
          <w:ilvl w:val="0"/>
          <w:numId w:val="21"/>
        </w:numPr>
        <w:spacing w:after="240"/>
        <w:ind w:left="1077" w:hanging="357"/>
        <w:rPr>
          <w:rFonts w:eastAsia="Calibri" w:cs="Times New Roman"/>
          <w:lang w:val="en-US"/>
        </w:rPr>
      </w:pPr>
      <w:r w:rsidRPr="0093315C">
        <w:rPr>
          <w:rFonts w:eastAsia="Calibri" w:cs="Times New Roman"/>
        </w:rPr>
        <w:t>indicative timeframes for processing of an application.</w:t>
      </w:r>
      <w:r w:rsidRPr="0093315C">
        <w:rPr>
          <w:rFonts w:eastAsia="Calibri" w:cs="Times New Roman"/>
          <w:lang w:val="en-US"/>
        </w:rPr>
        <w:t xml:space="preserve"> </w:t>
      </w:r>
    </w:p>
    <w:p w14:paraId="68B0E033" w14:textId="77777777" w:rsidR="00A93069" w:rsidRPr="0093315C" w:rsidRDefault="00A93069" w:rsidP="00CC6361">
      <w:pPr>
        <w:spacing w:after="240"/>
        <w:jc w:val="left"/>
        <w:rPr>
          <w:rFonts w:eastAsiaTheme="majorEastAsia" w:cstheme="majorBidi"/>
          <w:b/>
          <w:bCs/>
          <w:szCs w:val="26"/>
        </w:rPr>
      </w:pPr>
      <w:r w:rsidRPr="0093315C">
        <w:rPr>
          <w:rFonts w:eastAsiaTheme="majorEastAsia" w:cstheme="majorBidi"/>
          <w:b/>
          <w:bCs/>
          <w:szCs w:val="26"/>
        </w:rPr>
        <w:t>Opportunity to Comment and Information before Entry into Force</w:t>
      </w:r>
    </w:p>
    <w:p w14:paraId="6495E808" w14:textId="77777777" w:rsidR="00A93069" w:rsidRPr="0093315C" w:rsidRDefault="00A93069" w:rsidP="00CC6361">
      <w:pPr>
        <w:numPr>
          <w:ilvl w:val="0"/>
          <w:numId w:val="14"/>
        </w:numPr>
        <w:spacing w:after="120"/>
        <w:ind w:left="425" w:hanging="425"/>
        <w:rPr>
          <w:rFonts w:eastAsia="Calibri" w:cs="Times New Roman"/>
        </w:rPr>
      </w:pPr>
      <w:r w:rsidRPr="0093315C">
        <w:rPr>
          <w:rFonts w:eastAsia="Calibri" w:cs="Times New Roman"/>
        </w:rPr>
        <w:t>To the extent</w:t>
      </w:r>
      <w:r w:rsidRPr="0093315C">
        <w:rPr>
          <w:rFonts w:eastAsia="Calibri" w:cs="Times New Roman"/>
          <w:b/>
        </w:rPr>
        <w:t xml:space="preserve"> </w:t>
      </w:r>
      <w:r w:rsidRPr="0093315C">
        <w:rPr>
          <w:rFonts w:eastAsia="Calibri" w:cs="Times New Roman"/>
        </w:rPr>
        <w:t>practicable and in a manner consistent with its legal system for adopting measures, each Member</w:t>
      </w:r>
      <w:r w:rsidRPr="0093315C">
        <w:rPr>
          <w:rFonts w:eastAsia="Calibri" w:cs="Times New Roman"/>
          <w:szCs w:val="18"/>
          <w:vertAlign w:val="superscript"/>
        </w:rPr>
        <w:footnoteReference w:id="13"/>
      </w:r>
      <w:r w:rsidRPr="0093315C">
        <w:rPr>
          <w:rFonts w:eastAsia="Calibri" w:cs="Times New Roman"/>
        </w:rPr>
        <w:t xml:space="preserve"> shall publish in advance:</w:t>
      </w:r>
    </w:p>
    <w:p w14:paraId="65F37423" w14:textId="77777777" w:rsidR="00A93069" w:rsidRPr="0093315C" w:rsidRDefault="00A93069" w:rsidP="00A93069">
      <w:pPr>
        <w:numPr>
          <w:ilvl w:val="0"/>
          <w:numId w:val="24"/>
        </w:numPr>
        <w:spacing w:after="240"/>
        <w:rPr>
          <w:rFonts w:eastAsia="Calibri" w:cs="Times New Roman"/>
          <w:lang w:val="en-US"/>
        </w:rPr>
      </w:pPr>
      <w:r w:rsidRPr="0093315C">
        <w:rPr>
          <w:rFonts w:eastAsia="Calibri" w:cs="Times New Roman"/>
        </w:rPr>
        <w:t>its laws and regulations of general application it proposes to adopt in relation to matters falling within the scope of paragraph 1 of this Section; or</w:t>
      </w:r>
    </w:p>
    <w:p w14:paraId="47BB5EDF" w14:textId="77777777" w:rsidR="00A93069" w:rsidRPr="0093315C" w:rsidRDefault="00A93069" w:rsidP="00A93069">
      <w:pPr>
        <w:numPr>
          <w:ilvl w:val="0"/>
          <w:numId w:val="24"/>
        </w:numPr>
        <w:spacing w:after="240"/>
        <w:rPr>
          <w:rFonts w:eastAsia="Calibri" w:cs="Times New Roman"/>
          <w:lang w:val="en-US"/>
        </w:rPr>
      </w:pPr>
      <w:r w:rsidRPr="0093315C">
        <w:rPr>
          <w:rFonts w:eastAsia="Calibri" w:cs="Times New Roman"/>
        </w:rPr>
        <w:lastRenderedPageBreak/>
        <w:t>documents that provide sufficient details about such a possible new law or regulation to allow interested persons and other Members to assess whether and how their interests might be significantly affected.</w:t>
      </w:r>
      <w:r w:rsidRPr="0093315C">
        <w:rPr>
          <w:rFonts w:eastAsia="Calibri" w:cs="Times New Roman"/>
          <w:lang w:val="en-US"/>
        </w:rPr>
        <w:t xml:space="preserve"> </w:t>
      </w:r>
    </w:p>
    <w:p w14:paraId="7A336A06"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rPr>
        <w:t xml:space="preserve">To the extent practicable and in a manner consistent with its legal system for adopting measures, each Member is encouraged to apply paragraph </w:t>
      </w:r>
      <w:r>
        <w:rPr>
          <w:rFonts w:eastAsia="Calibri" w:cs="Times New Roman"/>
        </w:rPr>
        <w:t>14</w:t>
      </w:r>
      <w:r w:rsidRPr="0093315C">
        <w:rPr>
          <w:rFonts w:eastAsia="Calibri" w:cs="Times New Roman"/>
        </w:rPr>
        <w:t xml:space="preserve"> of this Section to procedures and administrative rulings of general application it proposes to adopt in relation to matters falling within the scope of paragraph 1 of this Section. </w:t>
      </w:r>
    </w:p>
    <w:p w14:paraId="2177604B" w14:textId="77777777" w:rsidR="00A93069" w:rsidRPr="0093315C" w:rsidRDefault="00A93069" w:rsidP="00A93069">
      <w:pPr>
        <w:numPr>
          <w:ilvl w:val="0"/>
          <w:numId w:val="14"/>
        </w:numPr>
        <w:tabs>
          <w:tab w:val="left" w:pos="426"/>
        </w:tabs>
        <w:spacing w:after="240"/>
        <w:ind w:left="426" w:hanging="426"/>
        <w:rPr>
          <w:rFonts w:eastAsia="Calibri" w:cs="Times New Roman"/>
        </w:rPr>
      </w:pPr>
      <w:r w:rsidRPr="0093315C">
        <w:rPr>
          <w:rFonts w:eastAsia="Calibri" w:cs="Times New Roman"/>
        </w:rPr>
        <w:t>To the extent practicable and in a manner consistent with its legal system for adopting measures, each Member shall provide interested persons and other Members a reasonable opportunity to comment on such proposed measures or documents published</w:t>
      </w:r>
      <w:r w:rsidRPr="0093315C">
        <w:rPr>
          <w:rFonts w:eastAsia="Calibri" w:cs="Times New Roman"/>
          <w:b/>
          <w:i/>
          <w:color w:val="0000FF"/>
        </w:rPr>
        <w:t xml:space="preserve"> </w:t>
      </w:r>
      <w:r w:rsidRPr="0093315C">
        <w:rPr>
          <w:rFonts w:eastAsia="Calibri" w:cs="Times New Roman"/>
        </w:rPr>
        <w:t>under paragraphs 1</w:t>
      </w:r>
      <w:r>
        <w:rPr>
          <w:rFonts w:eastAsia="Calibri" w:cs="Times New Roman"/>
        </w:rPr>
        <w:t>4</w:t>
      </w:r>
      <w:r w:rsidRPr="0093315C">
        <w:rPr>
          <w:rFonts w:eastAsia="Calibri" w:cs="Times New Roman"/>
        </w:rPr>
        <w:t xml:space="preserve"> or 1</w:t>
      </w:r>
      <w:r>
        <w:rPr>
          <w:rFonts w:eastAsia="Calibri" w:cs="Times New Roman"/>
        </w:rPr>
        <w:t>5</w:t>
      </w:r>
      <w:r w:rsidRPr="0093315C">
        <w:rPr>
          <w:rFonts w:eastAsia="Calibri" w:cs="Times New Roman"/>
        </w:rPr>
        <w:t xml:space="preserve"> of this Section. </w:t>
      </w:r>
    </w:p>
    <w:p w14:paraId="7BB5D750" w14:textId="7217EC09" w:rsidR="00A93069" w:rsidRPr="0093315C" w:rsidRDefault="00A93069" w:rsidP="00A93069">
      <w:pPr>
        <w:numPr>
          <w:ilvl w:val="0"/>
          <w:numId w:val="14"/>
        </w:numPr>
        <w:tabs>
          <w:tab w:val="left" w:pos="426"/>
        </w:tabs>
        <w:spacing w:after="240"/>
        <w:ind w:left="426" w:hanging="426"/>
        <w:rPr>
          <w:rFonts w:eastAsia="Calibri" w:cs="Times New Roman"/>
        </w:rPr>
      </w:pPr>
      <w:r w:rsidRPr="0093315C">
        <w:rPr>
          <w:rFonts w:eastAsia="Calibri" w:cs="Times New Roman"/>
        </w:rPr>
        <w:t>To the extent practicable and in a manner consistent with its legal system for adopting measures, each Member</w:t>
      </w:r>
      <w:r w:rsidRPr="0093315C">
        <w:rPr>
          <w:rFonts w:eastAsia="Calibri" w:cs="Times New Roman"/>
          <w:b/>
          <w:i/>
        </w:rPr>
        <w:t xml:space="preserve"> </w:t>
      </w:r>
      <w:r w:rsidRPr="0093315C">
        <w:rPr>
          <w:rFonts w:eastAsia="Calibri" w:cs="Times New Roman"/>
        </w:rPr>
        <w:t>shall consider comments received under paragraph 1</w:t>
      </w:r>
      <w:r>
        <w:rPr>
          <w:rFonts w:eastAsia="Calibri" w:cs="Times New Roman"/>
        </w:rPr>
        <w:t>6</w:t>
      </w:r>
      <w:r w:rsidRPr="0093315C">
        <w:rPr>
          <w:rFonts w:eastAsia="Calibri" w:cs="Times New Roman"/>
        </w:rPr>
        <w:t xml:space="preserve"> of this Section.</w:t>
      </w:r>
      <w:r w:rsidRPr="0093315C">
        <w:rPr>
          <w:rFonts w:eastAsia="Calibri" w:cs="Times New Roman"/>
          <w:vertAlign w:val="superscript"/>
        </w:rPr>
        <w:footnoteReference w:id="14"/>
      </w:r>
      <w:r w:rsidRPr="0093315C">
        <w:rPr>
          <w:rFonts w:eastAsia="Calibri" w:cs="Times New Roman"/>
        </w:rPr>
        <w:t xml:space="preserve"> </w:t>
      </w:r>
    </w:p>
    <w:p w14:paraId="0A120F80" w14:textId="77777777" w:rsidR="00A93069" w:rsidRPr="0093315C" w:rsidRDefault="00A93069" w:rsidP="00A93069">
      <w:pPr>
        <w:numPr>
          <w:ilvl w:val="0"/>
          <w:numId w:val="14"/>
        </w:numPr>
        <w:tabs>
          <w:tab w:val="left" w:pos="426"/>
        </w:tabs>
        <w:spacing w:after="240"/>
        <w:ind w:left="426" w:hanging="426"/>
        <w:rPr>
          <w:rFonts w:eastAsia="Calibri" w:cs="Times New Roman"/>
        </w:rPr>
      </w:pPr>
      <w:r w:rsidRPr="0093315C">
        <w:rPr>
          <w:rFonts w:eastAsia="Calibri" w:cs="Times New Roman"/>
        </w:rPr>
        <w:t>In publishing a law or regulation referred to in paragraph 1</w:t>
      </w:r>
      <w:r>
        <w:rPr>
          <w:rFonts w:eastAsia="Calibri" w:cs="Times New Roman"/>
        </w:rPr>
        <w:t>4</w:t>
      </w:r>
      <w:r w:rsidRPr="0093315C">
        <w:rPr>
          <w:rFonts w:eastAsia="Calibri" w:cs="Times New Roman"/>
        </w:rPr>
        <w:t xml:space="preserve"> (a) of this Section, or in advance of such publication, to the extent practicable and in a manner consistent with its legal system for adopting measures, a Member is encouraged to explain the purpose and rationale of the law or regulation. </w:t>
      </w:r>
    </w:p>
    <w:p w14:paraId="71E969A7" w14:textId="77777777" w:rsidR="00A93069" w:rsidRDefault="00A93069" w:rsidP="00A93069">
      <w:pPr>
        <w:numPr>
          <w:ilvl w:val="0"/>
          <w:numId w:val="14"/>
        </w:numPr>
        <w:tabs>
          <w:tab w:val="left" w:pos="426"/>
        </w:tabs>
        <w:spacing w:after="240"/>
        <w:ind w:left="426" w:hanging="426"/>
        <w:rPr>
          <w:rFonts w:eastAsia="Calibri" w:cs="Times New Roman"/>
        </w:rPr>
      </w:pPr>
      <w:r w:rsidRPr="0093315C">
        <w:rPr>
          <w:rFonts w:eastAsia="Calibri" w:cs="Times New Roman"/>
        </w:rPr>
        <w:t>Each Member shall, to the extent practicable, endeavour to allow reasonable time between publication of the text of a law or regulation referred to in paragraph 1</w:t>
      </w:r>
      <w:r>
        <w:rPr>
          <w:rFonts w:eastAsia="Calibri" w:cs="Times New Roman"/>
        </w:rPr>
        <w:t>4</w:t>
      </w:r>
      <w:r w:rsidRPr="0093315C">
        <w:rPr>
          <w:rFonts w:eastAsia="Calibri" w:cs="Times New Roman"/>
        </w:rPr>
        <w:t xml:space="preserve"> (a) of this Section and the date on which service suppliers must comply with the law or regulation.</w:t>
      </w:r>
    </w:p>
    <w:p w14:paraId="228728CD" w14:textId="77777777" w:rsidR="00A93069" w:rsidRPr="0093315C" w:rsidRDefault="00A93069" w:rsidP="00A93069">
      <w:pPr>
        <w:spacing w:after="240"/>
        <w:rPr>
          <w:rFonts w:eastAsiaTheme="majorEastAsia" w:cstheme="majorBidi"/>
          <w:b/>
          <w:bCs/>
          <w:szCs w:val="26"/>
        </w:rPr>
      </w:pPr>
      <w:r w:rsidRPr="0093315C">
        <w:rPr>
          <w:rFonts w:eastAsiaTheme="majorEastAsia" w:cstheme="majorBidi"/>
          <w:b/>
          <w:bCs/>
          <w:szCs w:val="26"/>
        </w:rPr>
        <w:t>Enquiry Points</w:t>
      </w:r>
    </w:p>
    <w:p w14:paraId="36350123" w14:textId="77777777" w:rsidR="00A93069" w:rsidRPr="00424704" w:rsidRDefault="00A93069" w:rsidP="005D1A2A">
      <w:pPr>
        <w:pStyle w:val="ListNumber4"/>
        <w:spacing w:after="240"/>
        <w:ind w:left="357" w:hanging="357"/>
        <w:contextualSpacing w:val="0"/>
        <w:rPr>
          <w:u w:val="single"/>
        </w:rPr>
      </w:pPr>
      <w:r w:rsidRPr="0093315C">
        <w:t>Each Member shall maintain or establish appropriate mechanisms for responding to enquiries from service suppliers or persons seeking to supply a service regarding the</w:t>
      </w:r>
      <w:r w:rsidRPr="0093315C">
        <w:rPr>
          <w:b/>
        </w:rPr>
        <w:t xml:space="preserve"> </w:t>
      </w:r>
      <w:r w:rsidRPr="0093315C">
        <w:t>measures referred to in paragraph 1 of this Section.</w:t>
      </w:r>
      <w:r w:rsidRPr="0093315C">
        <w:rPr>
          <w:szCs w:val="18"/>
          <w:vertAlign w:val="superscript"/>
        </w:rPr>
        <w:footnoteReference w:id="15"/>
      </w:r>
      <w:r w:rsidRPr="0093315C">
        <w:t xml:space="preserve"> A Member may choose to address such enquiries through either the enquiry and contact points established under Articles III and IV of the Agreement or any other mechanisms as appropriate.</w:t>
      </w:r>
    </w:p>
    <w:p w14:paraId="0F384A6D" w14:textId="77777777" w:rsidR="00A93069" w:rsidRPr="0093315C" w:rsidRDefault="00A93069" w:rsidP="00A93069">
      <w:pPr>
        <w:spacing w:after="240"/>
        <w:rPr>
          <w:rFonts w:eastAsia="Calibri" w:cs="Times New Roman"/>
          <w:b/>
          <w:lang w:eastAsia="en-GB"/>
        </w:rPr>
      </w:pPr>
      <w:r w:rsidRPr="0093315C">
        <w:rPr>
          <w:rFonts w:eastAsia="Calibri" w:cs="Times New Roman"/>
          <w:b/>
          <w:lang w:eastAsia="en-GB"/>
        </w:rPr>
        <w:t>Technical Standards</w:t>
      </w:r>
    </w:p>
    <w:p w14:paraId="7D8BFB08" w14:textId="2E299ED5" w:rsidR="00A93069" w:rsidRDefault="00A93069" w:rsidP="00A93069">
      <w:pPr>
        <w:numPr>
          <w:ilvl w:val="0"/>
          <w:numId w:val="14"/>
        </w:numPr>
        <w:spacing w:after="240"/>
        <w:ind w:left="426" w:hanging="426"/>
        <w:rPr>
          <w:rFonts w:eastAsia="Calibri" w:cs="Times New Roman"/>
        </w:rPr>
      </w:pPr>
      <w:r w:rsidRPr="0093315C">
        <w:rPr>
          <w:rFonts w:eastAsia="Calibri" w:cs="Times New Roman"/>
        </w:rPr>
        <w:t>Each Member shall encourage its competent authorities, when adopting technical standards, to adopt technical standards developed through open and transparent processes, and shall encourage any body, including relevant international organizations</w:t>
      </w:r>
      <w:r w:rsidR="00767713">
        <w:rPr>
          <w:rFonts w:eastAsia="Calibri" w:cs="Times New Roman"/>
        </w:rPr>
        <w:t>,</w:t>
      </w:r>
      <w:r w:rsidRPr="0093315C">
        <w:rPr>
          <w:rFonts w:eastAsia="Calibri" w:cs="Times New Roman"/>
          <w:szCs w:val="18"/>
          <w:vertAlign w:val="superscript"/>
        </w:rPr>
        <w:footnoteReference w:id="16"/>
      </w:r>
      <w:r w:rsidRPr="0093315C">
        <w:rPr>
          <w:rFonts w:eastAsia="Calibri" w:cs="Times New Roman"/>
        </w:rPr>
        <w:t xml:space="preserve"> designated to develop technical standards to use open and transparent processes.</w:t>
      </w:r>
    </w:p>
    <w:p w14:paraId="7E2A4E06" w14:textId="77777777" w:rsidR="00A93069" w:rsidRPr="0093315C" w:rsidRDefault="00A93069" w:rsidP="00A93069">
      <w:pPr>
        <w:spacing w:after="240"/>
        <w:rPr>
          <w:rFonts w:eastAsia="Calibri" w:cs="Times New Roman"/>
          <w:b/>
          <w:lang w:eastAsia="en-GB"/>
        </w:rPr>
      </w:pPr>
      <w:r w:rsidRPr="0093315C">
        <w:rPr>
          <w:rFonts w:eastAsia="Calibri" w:cs="Times New Roman"/>
          <w:b/>
          <w:lang w:eastAsia="en-GB"/>
        </w:rPr>
        <w:t>Development of Measures</w:t>
      </w:r>
    </w:p>
    <w:p w14:paraId="38004094" w14:textId="77777777" w:rsidR="00A93069" w:rsidRPr="0093315C" w:rsidRDefault="00A93069" w:rsidP="00A93069">
      <w:pPr>
        <w:numPr>
          <w:ilvl w:val="0"/>
          <w:numId w:val="14"/>
        </w:numPr>
        <w:spacing w:after="240"/>
        <w:ind w:left="426" w:hanging="426"/>
        <w:rPr>
          <w:rFonts w:eastAsia="Calibri" w:cs="Times New Roman"/>
        </w:rPr>
      </w:pPr>
      <w:r w:rsidRPr="0093315C">
        <w:rPr>
          <w:rFonts w:eastAsia="Calibri" w:cs="Times New Roman"/>
          <w:lang w:val="en-US"/>
        </w:rPr>
        <w:t>If a Member adopts or maintains measures relating to</w:t>
      </w:r>
      <w:r w:rsidRPr="0093315C">
        <w:rPr>
          <w:rFonts w:eastAsia="Calibri" w:cs="Times New Roman"/>
          <w:b/>
          <w:i/>
          <w:color w:val="0000FF"/>
        </w:rPr>
        <w:t xml:space="preserve"> </w:t>
      </w:r>
      <w:r w:rsidRPr="0093315C">
        <w:rPr>
          <w:rFonts w:eastAsia="Calibri" w:cs="Times New Roman"/>
          <w:bCs/>
          <w:iCs/>
        </w:rPr>
        <w:t>the</w:t>
      </w:r>
      <w:r w:rsidRPr="0093315C">
        <w:rPr>
          <w:rFonts w:eastAsia="Calibri" w:cs="Times New Roman"/>
          <w:b/>
          <w:i/>
        </w:rPr>
        <w:t xml:space="preserve"> </w:t>
      </w:r>
      <w:r w:rsidRPr="0093315C">
        <w:rPr>
          <w:rFonts w:eastAsia="Calibri" w:cs="Times New Roman"/>
        </w:rPr>
        <w:t>authorization</w:t>
      </w:r>
      <w:r w:rsidRPr="0093315C">
        <w:rPr>
          <w:rFonts w:eastAsia="Calibri" w:cs="Times New Roman"/>
          <w:b/>
          <w:i/>
          <w:color w:val="0000FF"/>
        </w:rPr>
        <w:t xml:space="preserve"> </w:t>
      </w:r>
      <w:r w:rsidRPr="0093315C">
        <w:rPr>
          <w:rFonts w:eastAsia="Calibri" w:cs="Times New Roman"/>
          <w:lang w:val="en-US"/>
        </w:rPr>
        <w:t>for the supply of a service, the Member shall ensure that:</w:t>
      </w:r>
    </w:p>
    <w:p w14:paraId="7CBA461A" w14:textId="77777777" w:rsidR="00A93069" w:rsidRPr="0093315C" w:rsidRDefault="00A93069" w:rsidP="00A93069">
      <w:pPr>
        <w:numPr>
          <w:ilvl w:val="0"/>
          <w:numId w:val="22"/>
        </w:numPr>
        <w:spacing w:after="240"/>
        <w:rPr>
          <w:rFonts w:eastAsia="Calibri" w:cs="Times New Roman"/>
          <w:lang w:val="en-US"/>
        </w:rPr>
      </w:pPr>
      <w:r w:rsidRPr="0093315C">
        <w:rPr>
          <w:rFonts w:eastAsia="Calibri" w:cs="Times New Roman"/>
          <w:lang w:val="en-US"/>
        </w:rPr>
        <w:t>such measures are based on objective and transparent criteria;</w:t>
      </w:r>
      <w:r w:rsidRPr="0093315C">
        <w:rPr>
          <w:rFonts w:eastAsia="Calibri" w:cs="Times New Roman"/>
          <w:vertAlign w:val="superscript"/>
          <w:lang w:val="en-US"/>
        </w:rPr>
        <w:footnoteReference w:id="17"/>
      </w:r>
    </w:p>
    <w:p w14:paraId="11205992" w14:textId="77777777" w:rsidR="00A93069" w:rsidRPr="0093315C" w:rsidRDefault="00A93069" w:rsidP="00A93069">
      <w:pPr>
        <w:numPr>
          <w:ilvl w:val="0"/>
          <w:numId w:val="22"/>
        </w:numPr>
        <w:spacing w:after="240"/>
        <w:rPr>
          <w:rFonts w:eastAsia="Calibri" w:cs="Times New Roman"/>
          <w:lang w:val="en-US"/>
        </w:rPr>
      </w:pPr>
      <w:r w:rsidRPr="0093315C">
        <w:rPr>
          <w:rFonts w:eastAsia="Calibri" w:cs="Times New Roman"/>
          <w:lang w:val="en-US"/>
        </w:rPr>
        <w:t>the procedures are impartial, and that the procedures are adequate for applicants to demonstrate whether they meet the requirements, if such requirements exist;</w:t>
      </w:r>
    </w:p>
    <w:p w14:paraId="2118EEE9" w14:textId="143415B7" w:rsidR="00A93069" w:rsidRDefault="00A93069" w:rsidP="00A93069">
      <w:pPr>
        <w:numPr>
          <w:ilvl w:val="0"/>
          <w:numId w:val="22"/>
        </w:numPr>
        <w:spacing w:after="240"/>
        <w:rPr>
          <w:rFonts w:eastAsia="Calibri" w:cs="Times New Roman"/>
          <w:lang w:val="en-US"/>
        </w:rPr>
      </w:pPr>
      <w:r w:rsidRPr="0093315C">
        <w:rPr>
          <w:rFonts w:eastAsia="Calibri" w:cs="Times New Roman"/>
          <w:lang w:val="en-US"/>
        </w:rPr>
        <w:lastRenderedPageBreak/>
        <w:t xml:space="preserve">the procedures do not in themselves unjustifiably prevent the fulfilment of requirements; and </w:t>
      </w:r>
    </w:p>
    <w:p w14:paraId="54923550" w14:textId="5BD62ACF" w:rsidR="00A93069" w:rsidRDefault="00A93069" w:rsidP="00A93069">
      <w:pPr>
        <w:numPr>
          <w:ilvl w:val="0"/>
          <w:numId w:val="22"/>
        </w:numPr>
        <w:spacing w:after="240"/>
        <w:rPr>
          <w:rFonts w:eastAsia="Calibri" w:cstheme="majorBidi"/>
        </w:rPr>
      </w:pPr>
      <w:r w:rsidRPr="0093315C">
        <w:rPr>
          <w:rFonts w:eastAsia="Calibri" w:cstheme="majorBidi"/>
        </w:rPr>
        <w:t>such measures do not discriminate between men and women</w:t>
      </w:r>
      <w:r w:rsidR="004057C4">
        <w:rPr>
          <w:rFonts w:eastAsia="Calibri" w:cstheme="majorBidi"/>
        </w:rPr>
        <w:t>.</w:t>
      </w:r>
      <w:r w:rsidRPr="0093315C">
        <w:rPr>
          <w:rFonts w:eastAsia="Calibri" w:cstheme="majorBidi"/>
          <w:szCs w:val="18"/>
          <w:vertAlign w:val="superscript"/>
        </w:rPr>
        <w:footnoteReference w:id="18"/>
      </w:r>
    </w:p>
    <w:p w14:paraId="7E0E47A8" w14:textId="7D3A8D1F" w:rsidR="000D2CD0" w:rsidRPr="002D7BE5" w:rsidRDefault="000B4A63" w:rsidP="002D7BE5">
      <w:pPr>
        <w:spacing w:after="200" w:line="276" w:lineRule="auto"/>
        <w:jc w:val="left"/>
        <w:rPr>
          <w:rFonts w:eastAsia="Calibri" w:cstheme="majorBidi"/>
        </w:rPr>
      </w:pPr>
      <w:r>
        <w:rPr>
          <w:rFonts w:eastAsia="Calibri" w:cstheme="majorBidi"/>
        </w:rPr>
        <w:br w:type="page"/>
      </w:r>
    </w:p>
    <w:p w14:paraId="6563E578" w14:textId="09422FDD" w:rsidR="00A93069" w:rsidRPr="003058B3" w:rsidRDefault="00A93069" w:rsidP="00E40CB3">
      <w:pPr>
        <w:spacing w:after="240"/>
        <w:jc w:val="center"/>
        <w:rPr>
          <w:rFonts w:eastAsia="Times New Roman" w:cs="Times New Roman"/>
          <w:szCs w:val="18"/>
          <w:lang w:val="fr-CH"/>
        </w:rPr>
      </w:pPr>
      <w:r w:rsidRPr="003058B3">
        <w:rPr>
          <w:rFonts w:eastAsia="Times New Roman" w:cs="Times New Roman"/>
          <w:szCs w:val="18"/>
        </w:rPr>
        <w:lastRenderedPageBreak/>
        <w:t xml:space="preserve">SECTION III - ALTERNATIVE DISCIPLINES ON SERVICES DOMESTIC </w:t>
      </w:r>
      <w:r w:rsidR="00E40CB3">
        <w:rPr>
          <w:rFonts w:eastAsia="Times New Roman" w:cs="Times New Roman"/>
          <w:szCs w:val="18"/>
        </w:rPr>
        <w:br/>
      </w:r>
      <w:r w:rsidRPr="003058B3">
        <w:rPr>
          <w:rFonts w:eastAsia="Times New Roman" w:cs="Times New Roman"/>
          <w:szCs w:val="18"/>
        </w:rPr>
        <w:t>REGULATION FOR</w:t>
      </w:r>
      <w:r w:rsidR="00E40CB3">
        <w:rPr>
          <w:rFonts w:eastAsia="Times New Roman" w:cs="Times New Roman"/>
          <w:szCs w:val="18"/>
        </w:rPr>
        <w:t xml:space="preserve"> </w:t>
      </w:r>
      <w:r w:rsidRPr="003058B3">
        <w:rPr>
          <w:rFonts w:eastAsia="Times New Roman" w:cs="Times New Roman"/>
          <w:szCs w:val="18"/>
        </w:rPr>
        <w:t>FINANCIAL SERVICES</w:t>
      </w:r>
    </w:p>
    <w:p w14:paraId="44672142" w14:textId="77777777" w:rsidR="00A93069" w:rsidRPr="003F16F4" w:rsidRDefault="00A93069" w:rsidP="00F96426">
      <w:pPr>
        <w:keepNext/>
        <w:keepLines/>
        <w:spacing w:before="240" w:after="240"/>
        <w:rPr>
          <w:b/>
          <w:szCs w:val="18"/>
        </w:rPr>
      </w:pPr>
      <w:r w:rsidRPr="003F16F4">
        <w:rPr>
          <w:b/>
        </w:rPr>
        <w:t xml:space="preserve">Scope </w:t>
      </w:r>
    </w:p>
    <w:p w14:paraId="4373B3B3" w14:textId="77777777" w:rsidR="00A93069" w:rsidRPr="003F16F4" w:rsidRDefault="00A93069" w:rsidP="0059390E">
      <w:pPr>
        <w:numPr>
          <w:ilvl w:val="0"/>
          <w:numId w:val="26"/>
        </w:numPr>
        <w:spacing w:before="240" w:after="120"/>
        <w:ind w:left="426" w:hanging="426"/>
        <w:contextualSpacing/>
      </w:pPr>
      <w:r w:rsidRPr="003F16F4">
        <w:rPr>
          <w:rFonts w:eastAsia="Times New Roman" w:cs="Times New Roman"/>
          <w:color w:val="212121"/>
          <w:szCs w:val="18"/>
          <w:shd w:val="clear" w:color="auto" w:fill="FFFFFF"/>
          <w:lang w:val="en-US"/>
        </w:rPr>
        <w:t xml:space="preserve">These disciplines apply to measures by Members relating to licensing requirements and procedures, and qualification requirements and procedures affecting trade in financial services, as defined in the GATS Annex on Financial Services. </w:t>
      </w:r>
    </w:p>
    <w:p w14:paraId="48C1A1E2" w14:textId="77777777" w:rsidR="00A93069" w:rsidRPr="003F16F4" w:rsidRDefault="00A93069" w:rsidP="00F96426">
      <w:pPr>
        <w:spacing w:before="240" w:after="120"/>
        <w:ind w:left="450" w:hanging="450"/>
        <w:contextualSpacing/>
      </w:pPr>
    </w:p>
    <w:p w14:paraId="476C3C5C" w14:textId="28AAB69D" w:rsidR="00A93069" w:rsidRPr="003F16F4" w:rsidRDefault="00A93069" w:rsidP="0059390E">
      <w:pPr>
        <w:numPr>
          <w:ilvl w:val="0"/>
          <w:numId w:val="26"/>
        </w:numPr>
        <w:spacing w:before="240" w:after="120"/>
        <w:ind w:left="426" w:hanging="426"/>
        <w:contextualSpacing/>
      </w:pPr>
      <w:r>
        <w:t>These disciplines</w:t>
      </w:r>
      <w:r w:rsidR="003058B3">
        <w:t xml:space="preserve"> </w:t>
      </w:r>
      <w:r w:rsidRPr="003F16F4">
        <w:t xml:space="preserve">do not apply to any terms, limitations, conditions, or qualifications set out in a Member’s </w:t>
      </w:r>
      <w:r w:rsidR="005D1A2A">
        <w:t>S</w:t>
      </w:r>
      <w:r w:rsidRPr="003F16F4">
        <w:t>chedule pursuant to Articles XVI or XVII of the Agreement.</w:t>
      </w:r>
    </w:p>
    <w:p w14:paraId="1E54666C" w14:textId="77777777" w:rsidR="00A93069" w:rsidRPr="003F16F4" w:rsidRDefault="00A93069" w:rsidP="00F96426">
      <w:pPr>
        <w:spacing w:before="240" w:after="120"/>
        <w:ind w:left="450" w:hanging="450"/>
        <w:contextualSpacing/>
      </w:pPr>
    </w:p>
    <w:p w14:paraId="26E9FE46" w14:textId="58C74F66" w:rsidR="00A93069" w:rsidRPr="00936552" w:rsidRDefault="00A93069" w:rsidP="0059390E">
      <w:pPr>
        <w:numPr>
          <w:ilvl w:val="0"/>
          <w:numId w:val="26"/>
        </w:numPr>
        <w:tabs>
          <w:tab w:val="num" w:pos="720"/>
        </w:tabs>
        <w:spacing w:before="240" w:after="240"/>
        <w:ind w:left="426" w:hanging="426"/>
        <w:rPr>
          <w:szCs w:val="18"/>
          <w:lang w:eastAsia="en-GB"/>
        </w:rPr>
      </w:pPr>
      <w:r w:rsidRPr="003F16F4">
        <w:t>For the purpose of these disciplines, "authori</w:t>
      </w:r>
      <w:r>
        <w:t>z</w:t>
      </w:r>
      <w:r w:rsidRPr="003F16F4">
        <w:t xml:space="preserve">ation" means the permission to supply a service, resulting from a procedure </w:t>
      </w:r>
      <w:r>
        <w:t xml:space="preserve">to which an applicant </w:t>
      </w:r>
      <w:r w:rsidRPr="003F16F4">
        <w:t>must adhere in order to demonstrate compliance with licensing requirements, or qualification requirements.</w:t>
      </w:r>
    </w:p>
    <w:p w14:paraId="37CBC7FC" w14:textId="77777777" w:rsidR="00A93069" w:rsidRPr="003F16F4" w:rsidRDefault="00A93069" w:rsidP="00F96426">
      <w:pPr>
        <w:keepNext/>
        <w:keepLines/>
        <w:spacing w:before="240" w:after="240"/>
        <w:ind w:left="448" w:hanging="448"/>
        <w:rPr>
          <w:rFonts w:eastAsia="Times New Roman"/>
          <w:b/>
          <w:szCs w:val="18"/>
        </w:rPr>
      </w:pPr>
      <w:r w:rsidRPr="003F16F4">
        <w:rPr>
          <w:b/>
        </w:rPr>
        <w:t>Ap</w:t>
      </w:r>
      <w:r w:rsidRPr="003F16F4">
        <w:rPr>
          <w:b/>
          <w:szCs w:val="18"/>
        </w:rPr>
        <w:t>plication Timeframes</w:t>
      </w:r>
    </w:p>
    <w:p w14:paraId="1FC3D402" w14:textId="713DD8D0" w:rsidR="00A93069" w:rsidRPr="003F16F4" w:rsidRDefault="00A93069" w:rsidP="0059390E">
      <w:pPr>
        <w:numPr>
          <w:ilvl w:val="0"/>
          <w:numId w:val="26"/>
        </w:numPr>
        <w:spacing w:before="240" w:after="120"/>
        <w:ind w:left="426" w:hanging="426"/>
        <w:contextualSpacing/>
      </w:pPr>
      <w:r w:rsidRPr="003F16F4">
        <w:rPr>
          <w:szCs w:val="18"/>
        </w:rPr>
        <w:t>If a Member requires authori</w:t>
      </w:r>
      <w:r>
        <w:rPr>
          <w:szCs w:val="18"/>
        </w:rPr>
        <w:t>z</w:t>
      </w:r>
      <w:r w:rsidRPr="003F16F4">
        <w:rPr>
          <w:szCs w:val="18"/>
        </w:rPr>
        <w:t xml:space="preserve">ation for the supply of a service, it shall ensure that its competent authorities </w:t>
      </w:r>
      <w:r w:rsidRPr="003F16F4">
        <w:rPr>
          <w:szCs w:val="18"/>
          <w:lang w:eastAsia="en-GB"/>
        </w:rPr>
        <w:t>to the extent practicable permit submission of an application at any time throughout the year.</w:t>
      </w:r>
      <w:r w:rsidRPr="003F16F4">
        <w:rPr>
          <w:szCs w:val="18"/>
          <w:vertAlign w:val="superscript"/>
          <w:lang w:eastAsia="en-GB"/>
        </w:rPr>
        <w:footnoteReference w:id="19"/>
      </w:r>
      <w:r w:rsidRPr="003F16F4">
        <w:rPr>
          <w:szCs w:val="18"/>
          <w:lang w:eastAsia="en-GB"/>
        </w:rPr>
        <w:t xml:space="preserve"> </w:t>
      </w:r>
      <w:r w:rsidRPr="003F16F4">
        <w:rPr>
          <w:szCs w:val="18"/>
        </w:rPr>
        <w:t>I</w:t>
      </w:r>
      <w:r w:rsidRPr="003F16F4">
        <w:rPr>
          <w:szCs w:val="18"/>
          <w:lang w:eastAsia="en-GB"/>
        </w:rPr>
        <w:t>f a specific time period for applying exists, the Member shall ensure that the competent authorities allow a reasonable period for the submission of an application.</w:t>
      </w:r>
    </w:p>
    <w:p w14:paraId="36A912D0" w14:textId="77777777" w:rsidR="00A93069" w:rsidRPr="003F16F4" w:rsidRDefault="00A93069" w:rsidP="00F96426">
      <w:pPr>
        <w:spacing w:before="240" w:after="120"/>
        <w:ind w:left="448" w:hanging="448"/>
        <w:contextualSpacing/>
      </w:pPr>
    </w:p>
    <w:p w14:paraId="0F439759" w14:textId="77777777" w:rsidR="00A93069" w:rsidRPr="003F16F4" w:rsidRDefault="00A93069" w:rsidP="00F96426">
      <w:pPr>
        <w:keepNext/>
        <w:keepLines/>
        <w:spacing w:before="240" w:after="240"/>
        <w:ind w:left="448" w:hanging="448"/>
        <w:rPr>
          <w:rFonts w:eastAsia="Times New Roman"/>
          <w:b/>
          <w:szCs w:val="18"/>
          <w:lang w:val="en-AU"/>
        </w:rPr>
      </w:pPr>
      <w:r w:rsidRPr="003F16F4">
        <w:rPr>
          <w:b/>
          <w:szCs w:val="18"/>
        </w:rPr>
        <w:t>Electronic Applications and Acceptance of Copies</w:t>
      </w:r>
    </w:p>
    <w:p w14:paraId="2F11E662" w14:textId="6CB39ED1" w:rsidR="00A93069" w:rsidRPr="003F16F4" w:rsidRDefault="00A93069" w:rsidP="0059390E">
      <w:pPr>
        <w:keepNext/>
        <w:keepLines/>
        <w:numPr>
          <w:ilvl w:val="0"/>
          <w:numId w:val="26"/>
        </w:numPr>
        <w:spacing w:before="240" w:after="120"/>
        <w:ind w:left="426" w:hanging="450"/>
        <w:contextualSpacing/>
        <w:rPr>
          <w:szCs w:val="18"/>
        </w:rPr>
      </w:pPr>
      <w:r w:rsidRPr="003F16F4">
        <w:rPr>
          <w:szCs w:val="18"/>
        </w:rPr>
        <w:t>If a Member requires authori</w:t>
      </w:r>
      <w:r>
        <w:rPr>
          <w:szCs w:val="18"/>
        </w:rPr>
        <w:t>z</w:t>
      </w:r>
      <w:r w:rsidRPr="003F16F4">
        <w:rPr>
          <w:szCs w:val="18"/>
        </w:rPr>
        <w:t>ation for the supply of a service, it shall ensure that its competent authorities:</w:t>
      </w:r>
    </w:p>
    <w:p w14:paraId="5CC00827" w14:textId="77777777" w:rsidR="00A93069" w:rsidRPr="003F16F4" w:rsidRDefault="00A93069" w:rsidP="00F96426">
      <w:pPr>
        <w:pStyle w:val="BodyText2"/>
        <w:numPr>
          <w:ilvl w:val="0"/>
          <w:numId w:val="34"/>
        </w:numPr>
        <w:spacing w:before="240"/>
        <w:ind w:left="1077" w:hanging="357"/>
        <w:rPr>
          <w:lang w:eastAsia="en-GB"/>
        </w:rPr>
      </w:pPr>
      <w:r w:rsidRPr="003F16F4">
        <w:rPr>
          <w:lang w:eastAsia="en-GB"/>
        </w:rPr>
        <w:t>taking into account their competing priorities and resource constraints, endeavour to accept applications in electronic format; and</w:t>
      </w:r>
    </w:p>
    <w:p w14:paraId="4E05B61B" w14:textId="3ED37A83" w:rsidR="00A93069" w:rsidRDefault="00A93069" w:rsidP="00F96426">
      <w:pPr>
        <w:pStyle w:val="BodyText2"/>
        <w:numPr>
          <w:ilvl w:val="0"/>
          <w:numId w:val="34"/>
        </w:numPr>
        <w:spacing w:before="240"/>
        <w:ind w:left="1077" w:hanging="357"/>
        <w:rPr>
          <w:lang w:eastAsia="en-GB"/>
        </w:rPr>
      </w:pPr>
      <w:r w:rsidRPr="003F16F4">
        <w:rPr>
          <w:lang w:eastAsia="en-GB"/>
        </w:rPr>
        <w:t>accept copies of documents, that are authenticated in accordance with the Member’s domestic law</w:t>
      </w:r>
      <w:r>
        <w:rPr>
          <w:lang w:eastAsia="en-GB"/>
        </w:rPr>
        <w:t>s and regulations</w:t>
      </w:r>
      <w:r w:rsidRPr="003F16F4">
        <w:rPr>
          <w:lang w:eastAsia="en-GB"/>
        </w:rPr>
        <w:t>, in place of original documents, unless the competent authorities require original documents to protect the integrity of the authori</w:t>
      </w:r>
      <w:r w:rsidR="005D1A2A">
        <w:rPr>
          <w:lang w:eastAsia="en-GB"/>
        </w:rPr>
        <w:t>z</w:t>
      </w:r>
      <w:r w:rsidRPr="003F16F4">
        <w:rPr>
          <w:lang w:eastAsia="en-GB"/>
        </w:rPr>
        <w:t>ation process.</w:t>
      </w:r>
    </w:p>
    <w:p w14:paraId="35910F72" w14:textId="77777777" w:rsidR="00A93069" w:rsidRPr="003F16F4" w:rsidRDefault="00A93069" w:rsidP="00F96426">
      <w:pPr>
        <w:spacing w:before="240" w:after="180" w:line="276" w:lineRule="auto"/>
        <w:ind w:left="357" w:hanging="357"/>
        <w:jc w:val="left"/>
        <w:rPr>
          <w:rFonts w:eastAsia="Times New Roman"/>
          <w:b/>
          <w:szCs w:val="18"/>
          <w:lang w:val="en-AU"/>
        </w:rPr>
      </w:pPr>
      <w:r w:rsidRPr="003F16F4">
        <w:rPr>
          <w:b/>
          <w:szCs w:val="18"/>
        </w:rPr>
        <w:t>Processing of Applications</w:t>
      </w:r>
    </w:p>
    <w:p w14:paraId="190A49AE" w14:textId="41E0B07C" w:rsidR="00A93069" w:rsidRPr="003F16F4" w:rsidRDefault="00A93069" w:rsidP="0059390E">
      <w:pPr>
        <w:numPr>
          <w:ilvl w:val="0"/>
          <w:numId w:val="26"/>
        </w:numPr>
        <w:spacing w:before="240" w:after="120"/>
        <w:ind w:left="426" w:hanging="426"/>
        <w:contextualSpacing/>
        <w:rPr>
          <w:szCs w:val="18"/>
        </w:rPr>
      </w:pPr>
      <w:r w:rsidRPr="003F16F4">
        <w:rPr>
          <w:szCs w:val="18"/>
        </w:rPr>
        <w:t>If a Member requires authori</w:t>
      </w:r>
      <w:r>
        <w:rPr>
          <w:szCs w:val="18"/>
        </w:rPr>
        <w:t>z</w:t>
      </w:r>
      <w:r w:rsidRPr="003F16F4">
        <w:rPr>
          <w:szCs w:val="18"/>
        </w:rPr>
        <w:t xml:space="preserve">ation for the supply of a service, it shall ensure that its competent authorities: </w:t>
      </w:r>
    </w:p>
    <w:p w14:paraId="3AB953B4" w14:textId="77777777" w:rsidR="00A93069" w:rsidRPr="003F16F4" w:rsidRDefault="00A93069" w:rsidP="00F96426">
      <w:pPr>
        <w:pStyle w:val="BodyText2"/>
        <w:numPr>
          <w:ilvl w:val="0"/>
          <w:numId w:val="35"/>
        </w:numPr>
        <w:spacing w:before="240" w:after="120"/>
        <w:ind w:left="1077" w:hanging="357"/>
        <w:rPr>
          <w:lang w:eastAsia="en-GB"/>
        </w:rPr>
      </w:pPr>
      <w:r w:rsidRPr="003F16F4">
        <w:rPr>
          <w:lang w:eastAsia="en-GB"/>
        </w:rPr>
        <w:t>to the extent practicable, provide an indicative timeframe for processing of an application;</w:t>
      </w:r>
    </w:p>
    <w:p w14:paraId="72CD02C5" w14:textId="77777777" w:rsidR="00A93069" w:rsidRPr="003F16F4" w:rsidRDefault="00A93069" w:rsidP="00F96426">
      <w:pPr>
        <w:pStyle w:val="BodyText2"/>
        <w:numPr>
          <w:ilvl w:val="0"/>
          <w:numId w:val="35"/>
        </w:numPr>
        <w:spacing w:before="240" w:after="120"/>
        <w:ind w:left="1077" w:hanging="357"/>
        <w:rPr>
          <w:lang w:eastAsia="en-GB"/>
        </w:rPr>
      </w:pPr>
      <w:r w:rsidRPr="003F16F4">
        <w:rPr>
          <w:lang w:eastAsia="en-GB"/>
        </w:rPr>
        <w:t>at the request of the applicant, provide without undue delay information concerning the status of the application;</w:t>
      </w:r>
    </w:p>
    <w:p w14:paraId="3DF02C5D" w14:textId="77777777" w:rsidR="00A93069" w:rsidRPr="003F16F4" w:rsidRDefault="00A93069" w:rsidP="00F96426">
      <w:pPr>
        <w:pStyle w:val="BodyText2"/>
        <w:numPr>
          <w:ilvl w:val="0"/>
          <w:numId w:val="35"/>
        </w:numPr>
        <w:spacing w:before="240" w:after="120"/>
        <w:ind w:left="1077" w:hanging="357"/>
        <w:rPr>
          <w:lang w:eastAsia="en-GB"/>
        </w:rPr>
      </w:pPr>
      <w:r w:rsidRPr="003F16F4">
        <w:rPr>
          <w:lang w:eastAsia="en-GB"/>
        </w:rPr>
        <w:t>to the extent practicable, ascertain without undue delay the completeness of an application for processing under the Member’s domestic laws and regulations;</w:t>
      </w:r>
    </w:p>
    <w:p w14:paraId="41E2BBBC" w14:textId="0DBF23E1" w:rsidR="00A93069" w:rsidRPr="003F16F4" w:rsidRDefault="00A93069" w:rsidP="00F96426">
      <w:pPr>
        <w:pStyle w:val="BodyText2"/>
        <w:numPr>
          <w:ilvl w:val="0"/>
          <w:numId w:val="35"/>
        </w:numPr>
        <w:spacing w:before="240" w:after="120"/>
        <w:ind w:left="1077" w:hanging="357"/>
        <w:rPr>
          <w:lang w:eastAsia="en-GB"/>
        </w:rPr>
      </w:pPr>
      <w:r w:rsidRPr="003F16F4">
        <w:rPr>
          <w:lang w:eastAsia="en-GB"/>
        </w:rPr>
        <w:t>if they consider an application complete for processing under the Member’s domestic laws and regulations</w:t>
      </w:r>
      <w:r w:rsidR="00767713">
        <w:rPr>
          <w:lang w:eastAsia="en-GB"/>
        </w:rPr>
        <w:t>,</w:t>
      </w:r>
      <w:r w:rsidRPr="003F16F4">
        <w:rPr>
          <w:vertAlign w:val="superscript"/>
          <w:lang w:eastAsia="en-GB"/>
        </w:rPr>
        <w:footnoteReference w:id="20"/>
      </w:r>
      <w:r w:rsidRPr="003F16F4">
        <w:rPr>
          <w:lang w:eastAsia="en-GB"/>
        </w:rPr>
        <w:t xml:space="preserve"> within a reasonable period of time after the submission of the application ensure that:</w:t>
      </w:r>
    </w:p>
    <w:p w14:paraId="3CCF550B" w14:textId="77777777" w:rsidR="00D44CC3" w:rsidRDefault="00A93069" w:rsidP="00F96426">
      <w:pPr>
        <w:pStyle w:val="ListParagraph"/>
        <w:numPr>
          <w:ilvl w:val="0"/>
          <w:numId w:val="36"/>
        </w:numPr>
        <w:spacing w:before="240" w:after="120"/>
        <w:ind w:left="1803" w:hanging="181"/>
        <w:rPr>
          <w:szCs w:val="18"/>
          <w:lang w:eastAsia="en-GB"/>
        </w:rPr>
      </w:pPr>
      <w:r w:rsidRPr="00DD2F7A">
        <w:rPr>
          <w:szCs w:val="18"/>
          <w:lang w:eastAsia="en-GB"/>
        </w:rPr>
        <w:t>the processing of the application is completed; and</w:t>
      </w:r>
    </w:p>
    <w:p w14:paraId="568A0787" w14:textId="4F81ACCF" w:rsidR="00F96426" w:rsidRPr="00F96426" w:rsidRDefault="00A93069" w:rsidP="00D44CC3">
      <w:pPr>
        <w:pStyle w:val="ListParagraph"/>
        <w:spacing w:before="240" w:after="120"/>
        <w:ind w:left="1803"/>
        <w:rPr>
          <w:szCs w:val="18"/>
          <w:lang w:eastAsia="en-GB"/>
        </w:rPr>
      </w:pPr>
      <w:r w:rsidRPr="00DD2F7A">
        <w:rPr>
          <w:szCs w:val="18"/>
          <w:lang w:eastAsia="en-GB"/>
        </w:rPr>
        <w:lastRenderedPageBreak/>
        <w:t xml:space="preserve"> </w:t>
      </w:r>
    </w:p>
    <w:p w14:paraId="32DA3DEF" w14:textId="4A9A8FF0" w:rsidR="00A93069" w:rsidRPr="00DD2F7A" w:rsidRDefault="00A93069" w:rsidP="00D44CC3">
      <w:pPr>
        <w:pStyle w:val="ListParagraph"/>
        <w:numPr>
          <w:ilvl w:val="0"/>
          <w:numId w:val="36"/>
        </w:numPr>
        <w:spacing w:before="240" w:after="120"/>
        <w:ind w:left="1803" w:hanging="181"/>
        <w:rPr>
          <w:szCs w:val="18"/>
          <w:lang w:eastAsia="en-GB"/>
        </w:rPr>
      </w:pPr>
      <w:r w:rsidRPr="00DD2F7A">
        <w:rPr>
          <w:szCs w:val="18"/>
          <w:lang w:eastAsia="en-GB"/>
        </w:rPr>
        <w:t>the applicant is informed of the decision concerning the application,</w:t>
      </w:r>
      <w:r w:rsidRPr="003F16F4">
        <w:rPr>
          <w:szCs w:val="18"/>
          <w:vertAlign w:val="superscript"/>
          <w:lang w:eastAsia="en-GB"/>
        </w:rPr>
        <w:footnoteReference w:id="21"/>
      </w:r>
      <w:r w:rsidRPr="00DD2F7A">
        <w:rPr>
          <w:szCs w:val="18"/>
          <w:lang w:eastAsia="en-GB"/>
        </w:rPr>
        <w:t xml:space="preserve"> to the extent possible in writing;</w:t>
      </w:r>
      <w:r w:rsidRPr="003F16F4">
        <w:rPr>
          <w:szCs w:val="18"/>
          <w:vertAlign w:val="superscript"/>
          <w:lang w:eastAsia="en-GB"/>
        </w:rPr>
        <w:footnoteReference w:id="22"/>
      </w:r>
    </w:p>
    <w:p w14:paraId="7986BCF5" w14:textId="77777777" w:rsidR="00A93069" w:rsidRPr="003F16F4" w:rsidRDefault="00A93069" w:rsidP="00F96426">
      <w:pPr>
        <w:pStyle w:val="BodyText2"/>
        <w:numPr>
          <w:ilvl w:val="0"/>
          <w:numId w:val="35"/>
        </w:numPr>
        <w:spacing w:before="240"/>
        <w:ind w:left="1077" w:hanging="357"/>
        <w:rPr>
          <w:lang w:eastAsia="en-GB"/>
        </w:rPr>
      </w:pPr>
      <w:r w:rsidRPr="003F16F4">
        <w:rPr>
          <w:lang w:eastAsia="en-GB"/>
        </w:rPr>
        <w:t>if they consider an application incomplete for processing under the Member’s domestic laws and regulations, within a reasonable period of time, to the extent practicable:</w:t>
      </w:r>
    </w:p>
    <w:p w14:paraId="410BF99E" w14:textId="77777777" w:rsidR="00A93069" w:rsidRPr="003F16F4" w:rsidRDefault="00A93069" w:rsidP="00F96426">
      <w:pPr>
        <w:pStyle w:val="BodyText3"/>
        <w:numPr>
          <w:ilvl w:val="1"/>
          <w:numId w:val="39"/>
        </w:numPr>
        <w:spacing w:before="240" w:after="120"/>
        <w:ind w:left="1803" w:hanging="181"/>
        <w:rPr>
          <w:lang w:eastAsia="en-GB"/>
        </w:rPr>
      </w:pPr>
      <w:r w:rsidRPr="003F16F4">
        <w:rPr>
          <w:lang w:eastAsia="en-GB"/>
        </w:rPr>
        <w:t xml:space="preserve">inform the applicant that the application is incomplete; </w:t>
      </w:r>
    </w:p>
    <w:p w14:paraId="0373EA8F" w14:textId="77777777" w:rsidR="00A93069" w:rsidRPr="003F16F4" w:rsidRDefault="00A93069" w:rsidP="00F96426">
      <w:pPr>
        <w:pStyle w:val="BodyText3"/>
        <w:numPr>
          <w:ilvl w:val="1"/>
          <w:numId w:val="39"/>
        </w:numPr>
        <w:spacing w:before="240" w:after="120"/>
        <w:ind w:left="1803" w:hanging="181"/>
        <w:rPr>
          <w:lang w:eastAsia="en-GB"/>
        </w:rPr>
      </w:pPr>
      <w:r w:rsidRPr="003F16F4">
        <w:rPr>
          <w:lang w:eastAsia="en-GB"/>
        </w:rPr>
        <w:t>at the request of the applicant</w:t>
      </w:r>
      <w:r>
        <w:rPr>
          <w:lang w:eastAsia="en-GB"/>
        </w:rPr>
        <w:t>,</w:t>
      </w:r>
      <w:r w:rsidRPr="003F16F4">
        <w:rPr>
          <w:lang w:eastAsia="en-GB"/>
        </w:rPr>
        <w:t xml:space="preserve"> identify the additional information required to complete the application</w:t>
      </w:r>
      <w:r>
        <w:rPr>
          <w:lang w:eastAsia="en-GB"/>
        </w:rPr>
        <w:t>,</w:t>
      </w:r>
      <w:r w:rsidRPr="003F16F4">
        <w:rPr>
          <w:lang w:eastAsia="en-GB"/>
        </w:rPr>
        <w:t xml:space="preserve"> or otherwise provide guidance on why the application is considered incomplete; and</w:t>
      </w:r>
    </w:p>
    <w:p w14:paraId="10FA205B" w14:textId="77777777" w:rsidR="00A93069" w:rsidRPr="003F16F4" w:rsidRDefault="00A93069" w:rsidP="00F96426">
      <w:pPr>
        <w:pStyle w:val="BodyText3"/>
        <w:numPr>
          <w:ilvl w:val="1"/>
          <w:numId w:val="39"/>
        </w:numPr>
        <w:spacing w:before="240" w:after="120"/>
        <w:ind w:left="1803" w:hanging="181"/>
        <w:rPr>
          <w:lang w:eastAsia="en-GB"/>
        </w:rPr>
      </w:pPr>
      <w:r w:rsidRPr="003F16F4">
        <w:rPr>
          <w:lang w:eastAsia="en-GB"/>
        </w:rPr>
        <w:t>provide the applicant with the opportunity</w:t>
      </w:r>
      <w:r w:rsidRPr="003F16F4">
        <w:rPr>
          <w:vertAlign w:val="superscript"/>
          <w:lang w:eastAsia="en-GB"/>
        </w:rPr>
        <w:footnoteReference w:id="23"/>
      </w:r>
      <w:r w:rsidRPr="003F16F4">
        <w:rPr>
          <w:vertAlign w:val="superscript"/>
          <w:lang w:eastAsia="en-GB"/>
        </w:rPr>
        <w:t xml:space="preserve"> </w:t>
      </w:r>
      <w:r w:rsidRPr="003F16F4">
        <w:rPr>
          <w:lang w:eastAsia="en-GB"/>
        </w:rPr>
        <w:t xml:space="preserve">to provide the additional information that is required to complete the application; </w:t>
      </w:r>
    </w:p>
    <w:p w14:paraId="66B80392" w14:textId="77777777" w:rsidR="00A93069" w:rsidRPr="003F16F4" w:rsidRDefault="00A93069" w:rsidP="00F96426">
      <w:pPr>
        <w:spacing w:before="240" w:after="120"/>
        <w:ind w:left="1134"/>
        <w:rPr>
          <w:szCs w:val="18"/>
          <w:lang w:eastAsia="en-GB"/>
        </w:rPr>
      </w:pPr>
      <w:r w:rsidRPr="003F16F4">
        <w:rPr>
          <w:szCs w:val="18"/>
          <w:lang w:eastAsia="en-GB"/>
        </w:rPr>
        <w:t xml:space="preserve">however, if none of the above is practicable, and the application is rejected due to incompleteness, ensure that they </w:t>
      </w:r>
      <w:r>
        <w:rPr>
          <w:szCs w:val="18"/>
          <w:lang w:eastAsia="en-GB"/>
        </w:rPr>
        <w:t xml:space="preserve">so </w:t>
      </w:r>
      <w:r w:rsidRPr="003F16F4">
        <w:rPr>
          <w:szCs w:val="18"/>
          <w:lang w:eastAsia="en-GB"/>
        </w:rPr>
        <w:t>inform the applicant within a reasonable period of time; and</w:t>
      </w:r>
    </w:p>
    <w:p w14:paraId="3C6DE0F0" w14:textId="1D69C05B" w:rsidR="00A93069" w:rsidRPr="003F16F4" w:rsidRDefault="00A93069" w:rsidP="00F96426">
      <w:pPr>
        <w:pStyle w:val="BodyText2"/>
        <w:numPr>
          <w:ilvl w:val="0"/>
          <w:numId w:val="41"/>
        </w:numPr>
        <w:spacing w:before="240"/>
        <w:ind w:left="1077" w:hanging="357"/>
        <w:rPr>
          <w:lang w:eastAsia="en-GB"/>
        </w:rPr>
      </w:pPr>
      <w:r w:rsidRPr="003F16F4">
        <w:rPr>
          <w:lang w:eastAsia="en-GB"/>
        </w:rPr>
        <w:t>if an application is rejected, to the extent practicable, either upon their own initiative or upon request of the applicant, inform the applicant of the reasons for rejection and, if applicable, the procedures for resubmission of an application</w:t>
      </w:r>
      <w:r>
        <w:rPr>
          <w:lang w:eastAsia="en-GB"/>
        </w:rPr>
        <w:t>;</w:t>
      </w:r>
      <w:r w:rsidRPr="003F16F4">
        <w:rPr>
          <w:lang w:eastAsia="en-GB"/>
        </w:rPr>
        <w:t xml:space="preserve"> </w:t>
      </w:r>
      <w:r>
        <w:rPr>
          <w:lang w:eastAsia="en-GB"/>
        </w:rPr>
        <w:t>a</w:t>
      </w:r>
      <w:r w:rsidRPr="003F16F4">
        <w:rPr>
          <w:lang w:eastAsia="en-GB"/>
        </w:rPr>
        <w:t xml:space="preserve">n applicant should not be prevented from submitting </w:t>
      </w:r>
      <w:r w:rsidRPr="00D45F73">
        <w:rPr>
          <w:lang w:eastAsia="en-GB"/>
        </w:rPr>
        <w:t>another application</w:t>
      </w:r>
      <w:r w:rsidR="00D27A30">
        <w:rPr>
          <w:rStyle w:val="FootnoteReference"/>
          <w:lang w:eastAsia="en-GB"/>
        </w:rPr>
        <w:footnoteReference w:id="24"/>
      </w:r>
      <w:r w:rsidRPr="003F16F4">
        <w:rPr>
          <w:lang w:eastAsia="en-GB"/>
        </w:rPr>
        <w:t xml:space="preserve"> solely on the basis that an application had been previously rejected.</w:t>
      </w:r>
    </w:p>
    <w:p w14:paraId="5E5B3C6A" w14:textId="03F5134D" w:rsidR="00A93069" w:rsidRPr="003F16F4" w:rsidRDefault="00A93069" w:rsidP="0059390E">
      <w:pPr>
        <w:numPr>
          <w:ilvl w:val="0"/>
          <w:numId w:val="26"/>
        </w:numPr>
        <w:spacing w:before="240" w:after="240"/>
        <w:ind w:left="426" w:hanging="426"/>
        <w:rPr>
          <w:rFonts w:eastAsia="Times New Roman"/>
          <w:szCs w:val="18"/>
          <w:lang w:val="en-AU"/>
        </w:rPr>
      </w:pPr>
      <w:r w:rsidRPr="003F16F4">
        <w:rPr>
          <w:szCs w:val="18"/>
        </w:rPr>
        <w:t>The competent authorities of a Member shall ensure that authori</w:t>
      </w:r>
      <w:r>
        <w:rPr>
          <w:szCs w:val="18"/>
        </w:rPr>
        <w:t>z</w:t>
      </w:r>
      <w:r w:rsidRPr="003F16F4">
        <w:rPr>
          <w:szCs w:val="18"/>
        </w:rPr>
        <w:t>ation, once granted, enters into effect without undue delay, subject to applicable terms and conditions.</w:t>
      </w:r>
      <w:r w:rsidRPr="003F16F4">
        <w:rPr>
          <w:szCs w:val="18"/>
          <w:vertAlign w:val="superscript"/>
        </w:rPr>
        <w:footnoteReference w:id="25"/>
      </w:r>
    </w:p>
    <w:p w14:paraId="6FA815C0" w14:textId="77777777" w:rsidR="00A93069" w:rsidRPr="003F16F4" w:rsidRDefault="00A93069" w:rsidP="00F96426">
      <w:pPr>
        <w:keepNext/>
        <w:keepLines/>
        <w:spacing w:before="240" w:after="120"/>
        <w:rPr>
          <w:b/>
          <w:szCs w:val="18"/>
        </w:rPr>
      </w:pPr>
      <w:r w:rsidRPr="003F16F4">
        <w:rPr>
          <w:b/>
          <w:szCs w:val="18"/>
        </w:rPr>
        <w:t>Fees</w:t>
      </w:r>
    </w:p>
    <w:p w14:paraId="1E5747A2" w14:textId="3CBCC859" w:rsidR="00A93069" w:rsidRPr="003F16F4" w:rsidRDefault="00A93069" w:rsidP="0059390E">
      <w:pPr>
        <w:numPr>
          <w:ilvl w:val="0"/>
          <w:numId w:val="26"/>
        </w:numPr>
        <w:spacing w:before="240" w:after="240"/>
        <w:ind w:left="426" w:hanging="426"/>
      </w:pPr>
      <w:r w:rsidRPr="003F16F4">
        <w:rPr>
          <w:szCs w:val="18"/>
        </w:rPr>
        <w:t>Each Member shall ensure that its competent authorities, with respect to authori</w:t>
      </w:r>
      <w:r>
        <w:rPr>
          <w:szCs w:val="18"/>
        </w:rPr>
        <w:t>z</w:t>
      </w:r>
      <w:r w:rsidRPr="003F16F4">
        <w:rPr>
          <w:szCs w:val="18"/>
        </w:rPr>
        <w:t>ation fees</w:t>
      </w:r>
      <w:r w:rsidRPr="003F16F4">
        <w:rPr>
          <w:szCs w:val="18"/>
          <w:vertAlign w:val="superscript"/>
        </w:rPr>
        <w:footnoteReference w:id="26"/>
      </w:r>
      <w:r w:rsidRPr="003F16F4">
        <w:rPr>
          <w:szCs w:val="18"/>
        </w:rPr>
        <w:t xml:space="preserve"> they charge, provide applicants with a schedule of fees or information on how fee amounts are determined</w:t>
      </w:r>
      <w:r w:rsidR="005A0CB6">
        <w:rPr>
          <w:szCs w:val="18"/>
        </w:rPr>
        <w:t>.</w:t>
      </w:r>
    </w:p>
    <w:p w14:paraId="348C8007" w14:textId="77777777" w:rsidR="00A93069" w:rsidRPr="003F16F4" w:rsidRDefault="00A93069" w:rsidP="00F96426">
      <w:pPr>
        <w:spacing w:before="240" w:after="120"/>
        <w:rPr>
          <w:b/>
          <w:color w:val="000000" w:themeColor="text1"/>
          <w:szCs w:val="18"/>
        </w:rPr>
      </w:pPr>
      <w:r w:rsidRPr="003F16F4">
        <w:rPr>
          <w:b/>
          <w:color w:val="000000" w:themeColor="text1"/>
          <w:szCs w:val="18"/>
        </w:rPr>
        <w:t>Assessment of Qualifications</w:t>
      </w:r>
    </w:p>
    <w:p w14:paraId="0D185381" w14:textId="4580E986" w:rsidR="00A93069" w:rsidRPr="003F16F4" w:rsidRDefault="00A93069" w:rsidP="0059390E">
      <w:pPr>
        <w:numPr>
          <w:ilvl w:val="0"/>
          <w:numId w:val="26"/>
        </w:numPr>
        <w:spacing w:before="240" w:after="240"/>
        <w:ind w:left="426" w:hanging="426"/>
        <w:rPr>
          <w:szCs w:val="18"/>
          <w:u w:val="single"/>
        </w:rPr>
      </w:pPr>
      <w:r w:rsidRPr="003F16F4">
        <w:rPr>
          <w:szCs w:val="18"/>
        </w:rPr>
        <w:t>If a Member requires an examination for authori</w:t>
      </w:r>
      <w:r>
        <w:rPr>
          <w:szCs w:val="18"/>
        </w:rPr>
        <w:t>z</w:t>
      </w:r>
      <w:r w:rsidRPr="003F16F4">
        <w:rPr>
          <w:szCs w:val="18"/>
        </w:rPr>
        <w:t>ation for the supply of a service, that Member shall ensure that its competent authorities schedule such an examination at reasonably frequent intervals and provide a reasonable period of time to enable applicants to request to take the examination</w:t>
      </w:r>
      <w:r w:rsidRPr="003F16F4">
        <w:rPr>
          <w:color w:val="000000" w:themeColor="text1"/>
          <w:szCs w:val="18"/>
        </w:rPr>
        <w:t xml:space="preserve">. </w:t>
      </w:r>
      <w:r w:rsidRPr="003F16F4">
        <w:rPr>
          <w:szCs w:val="18"/>
        </w:rPr>
        <w:t>Having regard to the cost, administrative burden, and the integrity of the procedures involved, Members are encouraged to accept requests in electronic format to take such examinations, and to consider, to the extent practicable, the use of electronic means in other aspects of examination processes.</w:t>
      </w:r>
    </w:p>
    <w:p w14:paraId="61610D5F" w14:textId="77777777" w:rsidR="00A93069" w:rsidRDefault="00A93069" w:rsidP="00F96426">
      <w:pPr>
        <w:spacing w:before="240" w:after="240"/>
        <w:rPr>
          <w:b/>
          <w:szCs w:val="18"/>
        </w:rPr>
      </w:pPr>
      <w:r w:rsidRPr="003F16F4">
        <w:rPr>
          <w:b/>
          <w:szCs w:val="18"/>
        </w:rPr>
        <w:t>Independence</w:t>
      </w:r>
    </w:p>
    <w:p w14:paraId="49603197" w14:textId="712F6355" w:rsidR="00A93069" w:rsidRPr="003F16F4" w:rsidRDefault="00A93069" w:rsidP="0059390E">
      <w:pPr>
        <w:numPr>
          <w:ilvl w:val="0"/>
          <w:numId w:val="26"/>
        </w:numPr>
        <w:spacing w:before="240"/>
        <w:ind w:left="426" w:hanging="426"/>
        <w:contextualSpacing/>
        <w:rPr>
          <w:szCs w:val="18"/>
          <w:lang w:eastAsia="en-GB"/>
        </w:rPr>
      </w:pPr>
      <w:r w:rsidRPr="003F16F4">
        <w:rPr>
          <w:szCs w:val="18"/>
        </w:rPr>
        <w:t>If a Member adopts or maintains measure</w:t>
      </w:r>
      <w:r>
        <w:rPr>
          <w:szCs w:val="18"/>
        </w:rPr>
        <w:t>s</w:t>
      </w:r>
      <w:r w:rsidRPr="003F16F4">
        <w:rPr>
          <w:szCs w:val="18"/>
        </w:rPr>
        <w:t xml:space="preserve"> relating to </w:t>
      </w:r>
      <w:r>
        <w:rPr>
          <w:szCs w:val="18"/>
        </w:rPr>
        <w:t xml:space="preserve">the </w:t>
      </w:r>
      <w:r w:rsidRPr="003F16F4">
        <w:rPr>
          <w:szCs w:val="18"/>
        </w:rPr>
        <w:t>authori</w:t>
      </w:r>
      <w:r>
        <w:rPr>
          <w:szCs w:val="18"/>
        </w:rPr>
        <w:t>z</w:t>
      </w:r>
      <w:r w:rsidRPr="003F16F4">
        <w:rPr>
          <w:szCs w:val="18"/>
        </w:rPr>
        <w:t xml:space="preserve">ation for the supply of a service, the Member shall ensure that </w:t>
      </w:r>
      <w:r>
        <w:rPr>
          <w:szCs w:val="18"/>
        </w:rPr>
        <w:t xml:space="preserve">its </w:t>
      </w:r>
      <w:r w:rsidRPr="003F16F4">
        <w:rPr>
          <w:szCs w:val="18"/>
        </w:rPr>
        <w:t>competent authorit</w:t>
      </w:r>
      <w:r>
        <w:rPr>
          <w:szCs w:val="18"/>
        </w:rPr>
        <w:t>ies</w:t>
      </w:r>
      <w:r w:rsidRPr="003F16F4">
        <w:rPr>
          <w:szCs w:val="18"/>
        </w:rPr>
        <w:t xml:space="preserve"> reach and administer </w:t>
      </w:r>
      <w:r>
        <w:rPr>
          <w:szCs w:val="18"/>
        </w:rPr>
        <w:t>their</w:t>
      </w:r>
      <w:r w:rsidRPr="003F16F4">
        <w:rPr>
          <w:szCs w:val="18"/>
        </w:rPr>
        <w:t xml:space="preserve"> </w:t>
      </w:r>
      <w:r w:rsidRPr="003F16F4">
        <w:rPr>
          <w:szCs w:val="18"/>
        </w:rPr>
        <w:lastRenderedPageBreak/>
        <w:t>decisions in a manner independent from any supplier of the service for which authorization is required.</w:t>
      </w:r>
      <w:r w:rsidRPr="003F16F4">
        <w:rPr>
          <w:szCs w:val="18"/>
          <w:vertAlign w:val="superscript"/>
        </w:rPr>
        <w:footnoteReference w:id="27"/>
      </w:r>
      <w:r w:rsidRPr="003F16F4">
        <w:rPr>
          <w:szCs w:val="18"/>
        </w:rPr>
        <w:t xml:space="preserve"> </w:t>
      </w:r>
    </w:p>
    <w:p w14:paraId="6A2DD118" w14:textId="77777777" w:rsidR="00A93069" w:rsidRPr="003F16F4" w:rsidRDefault="00A93069" w:rsidP="00F96426">
      <w:pPr>
        <w:keepNext/>
        <w:keepLines/>
        <w:spacing w:before="240" w:after="240"/>
        <w:ind w:left="448" w:hanging="448"/>
        <w:outlineLvl w:val="1"/>
        <w:rPr>
          <w:rFonts w:eastAsiaTheme="majorEastAsia" w:cstheme="majorBidi"/>
          <w:b/>
          <w:bCs/>
          <w:szCs w:val="26"/>
        </w:rPr>
      </w:pPr>
      <w:r w:rsidRPr="003F16F4">
        <w:rPr>
          <w:rFonts w:eastAsiaTheme="majorEastAsia" w:cstheme="majorBidi"/>
          <w:b/>
          <w:bCs/>
          <w:szCs w:val="26"/>
        </w:rPr>
        <w:t>Publication and Information available</w:t>
      </w:r>
    </w:p>
    <w:p w14:paraId="7ABB7030" w14:textId="78D021B0" w:rsidR="00A93069" w:rsidRPr="003F16F4" w:rsidRDefault="00A93069" w:rsidP="0059390E">
      <w:pPr>
        <w:keepNext/>
        <w:keepLines/>
        <w:numPr>
          <w:ilvl w:val="0"/>
          <w:numId w:val="26"/>
        </w:numPr>
        <w:spacing w:before="240" w:after="240"/>
        <w:ind w:left="426" w:hanging="426"/>
        <w:rPr>
          <w:szCs w:val="18"/>
        </w:rPr>
      </w:pPr>
      <w:r w:rsidRPr="003F16F4">
        <w:rPr>
          <w:szCs w:val="18"/>
        </w:rPr>
        <w:t>If a Member requires authori</w:t>
      </w:r>
      <w:r>
        <w:rPr>
          <w:szCs w:val="18"/>
        </w:rPr>
        <w:t>z</w:t>
      </w:r>
      <w:r w:rsidRPr="003F16F4">
        <w:rPr>
          <w:szCs w:val="18"/>
        </w:rPr>
        <w:t xml:space="preserve">ation for </w:t>
      </w:r>
      <w:r>
        <w:rPr>
          <w:szCs w:val="18"/>
        </w:rPr>
        <w:t xml:space="preserve">the </w:t>
      </w:r>
      <w:r w:rsidRPr="003F16F4">
        <w:rPr>
          <w:szCs w:val="18"/>
        </w:rPr>
        <w:t>supply of a service, further to Article III of the Agreement and paragraphs 6 and 8</w:t>
      </w:r>
      <w:r w:rsidR="005C0A72">
        <w:rPr>
          <w:szCs w:val="18"/>
        </w:rPr>
        <w:t xml:space="preserve"> of this Section</w:t>
      </w:r>
      <w:r w:rsidRPr="003F16F4">
        <w:rPr>
          <w:szCs w:val="18"/>
        </w:rPr>
        <w:t>, the Member shall promptly publish</w:t>
      </w:r>
      <w:r w:rsidR="00767713">
        <w:rPr>
          <w:szCs w:val="18"/>
        </w:rPr>
        <w:t>,</w:t>
      </w:r>
      <w:r w:rsidRPr="003F16F4">
        <w:rPr>
          <w:szCs w:val="18"/>
          <w:vertAlign w:val="superscript"/>
        </w:rPr>
        <w:footnoteReference w:id="28"/>
      </w:r>
      <w:r w:rsidRPr="003F16F4">
        <w:rPr>
          <w:szCs w:val="18"/>
        </w:rPr>
        <w:t xml:space="preserve"> or otherwise make publicly available in writing the information necessary for service suppliers or persons seeking to supply a service to comply with the requirements and procedures for obtaining, maintaining, amending and renewing such authori</w:t>
      </w:r>
      <w:r w:rsidR="00D45F73">
        <w:rPr>
          <w:szCs w:val="18"/>
        </w:rPr>
        <w:t>z</w:t>
      </w:r>
      <w:r w:rsidRPr="003F16F4">
        <w:rPr>
          <w:szCs w:val="18"/>
        </w:rPr>
        <w:t xml:space="preserve">ation. Such information shall include, </w:t>
      </w:r>
      <w:r w:rsidRPr="003F16F4">
        <w:rPr>
          <w:i/>
          <w:szCs w:val="18"/>
        </w:rPr>
        <w:t>inter alia</w:t>
      </w:r>
      <w:r w:rsidRPr="003F16F4">
        <w:rPr>
          <w:szCs w:val="18"/>
        </w:rPr>
        <w:t>, where it exists:</w:t>
      </w:r>
    </w:p>
    <w:p w14:paraId="7EE65B41" w14:textId="6647D31C" w:rsidR="00811B46" w:rsidRPr="00811B46" w:rsidRDefault="00811B46" w:rsidP="00F96426">
      <w:pPr>
        <w:pStyle w:val="BodyText2"/>
        <w:numPr>
          <w:ilvl w:val="0"/>
          <w:numId w:val="42"/>
        </w:numPr>
        <w:spacing w:before="240"/>
        <w:ind w:left="1077" w:hanging="357"/>
        <w:rPr>
          <w:lang w:val="en-US"/>
        </w:rPr>
      </w:pPr>
      <w:r w:rsidRPr="003F16F4">
        <w:t>the requirements and procedures;</w:t>
      </w:r>
    </w:p>
    <w:p w14:paraId="71885E68" w14:textId="468BDE92" w:rsidR="00A93069" w:rsidRPr="003F16F4" w:rsidRDefault="00A93069" w:rsidP="00F96426">
      <w:pPr>
        <w:pStyle w:val="BodyText2"/>
        <w:numPr>
          <w:ilvl w:val="0"/>
          <w:numId w:val="42"/>
        </w:numPr>
        <w:spacing w:before="240"/>
        <w:ind w:left="1077" w:hanging="357"/>
        <w:rPr>
          <w:lang w:val="en-US"/>
        </w:rPr>
      </w:pPr>
      <w:r w:rsidRPr="003F16F4">
        <w:t>contact information of relevant competent authorities;</w:t>
      </w:r>
      <w:r w:rsidRPr="003F16F4">
        <w:rPr>
          <w:lang w:val="en-US"/>
        </w:rPr>
        <w:t xml:space="preserve"> </w:t>
      </w:r>
    </w:p>
    <w:p w14:paraId="179A9F5D" w14:textId="77777777" w:rsidR="00A93069" w:rsidRPr="003F16F4" w:rsidRDefault="00A93069" w:rsidP="00F96426">
      <w:pPr>
        <w:pStyle w:val="BodyText2"/>
        <w:numPr>
          <w:ilvl w:val="0"/>
          <w:numId w:val="42"/>
        </w:numPr>
        <w:spacing w:before="240"/>
        <w:ind w:left="1077" w:hanging="357"/>
        <w:rPr>
          <w:lang w:val="en-US"/>
        </w:rPr>
      </w:pPr>
      <w:r w:rsidRPr="003F16F4">
        <w:t>procedures for appeal or review of decisions concerning applications;</w:t>
      </w:r>
      <w:r w:rsidRPr="003F16F4">
        <w:rPr>
          <w:lang w:val="en-US"/>
        </w:rPr>
        <w:t xml:space="preserve"> </w:t>
      </w:r>
    </w:p>
    <w:p w14:paraId="21E075B3" w14:textId="77777777" w:rsidR="00A93069" w:rsidRPr="003F16F4" w:rsidRDefault="00A93069" w:rsidP="00F96426">
      <w:pPr>
        <w:pStyle w:val="BodyText2"/>
        <w:numPr>
          <w:ilvl w:val="0"/>
          <w:numId w:val="42"/>
        </w:numPr>
        <w:spacing w:before="240"/>
        <w:ind w:left="1077" w:hanging="357"/>
        <w:rPr>
          <w:lang w:val="en-US"/>
        </w:rPr>
      </w:pPr>
      <w:r w:rsidRPr="003F16F4">
        <w:t>procedures for monitoring or enforcing compliance with the terms and conditions of licenses or qualifications;</w:t>
      </w:r>
      <w:r w:rsidRPr="003F16F4">
        <w:rPr>
          <w:lang w:val="en-US"/>
        </w:rPr>
        <w:t xml:space="preserve"> and</w:t>
      </w:r>
    </w:p>
    <w:p w14:paraId="3B100F5F" w14:textId="77777777" w:rsidR="00A93069" w:rsidRPr="003F16F4" w:rsidRDefault="00A93069" w:rsidP="00F96426">
      <w:pPr>
        <w:pStyle w:val="BodyText2"/>
        <w:numPr>
          <w:ilvl w:val="0"/>
          <w:numId w:val="42"/>
        </w:numPr>
        <w:spacing w:before="240"/>
        <w:ind w:left="1077" w:hanging="357"/>
        <w:rPr>
          <w:lang w:val="en-US"/>
        </w:rPr>
      </w:pPr>
      <w:r w:rsidRPr="003F16F4">
        <w:t>opportunities for public involvement, such as through hearings or comments</w:t>
      </w:r>
      <w:r>
        <w:t>.</w:t>
      </w:r>
    </w:p>
    <w:p w14:paraId="347F3D79" w14:textId="1066222D" w:rsidR="00C81762" w:rsidRPr="003F16F4" w:rsidRDefault="00A93069" w:rsidP="00C81762">
      <w:pPr>
        <w:keepNext/>
        <w:keepLines/>
        <w:spacing w:before="240" w:after="240"/>
        <w:ind w:left="450" w:hanging="450"/>
        <w:outlineLvl w:val="1"/>
        <w:rPr>
          <w:rFonts w:eastAsiaTheme="majorEastAsia" w:cstheme="majorBidi"/>
          <w:b/>
          <w:bCs/>
          <w:szCs w:val="26"/>
        </w:rPr>
      </w:pPr>
      <w:r w:rsidRPr="003F16F4">
        <w:rPr>
          <w:rFonts w:eastAsiaTheme="majorEastAsia" w:cstheme="majorBidi"/>
          <w:b/>
          <w:bCs/>
          <w:szCs w:val="26"/>
        </w:rPr>
        <w:t>Opportunity to Comment and Information before Entry into Force</w:t>
      </w:r>
    </w:p>
    <w:p w14:paraId="2A9D0478" w14:textId="38A4F5F6" w:rsidR="00A93069" w:rsidRPr="00F96426" w:rsidRDefault="00A93069" w:rsidP="0059390E">
      <w:pPr>
        <w:numPr>
          <w:ilvl w:val="0"/>
          <w:numId w:val="26"/>
        </w:numPr>
        <w:spacing w:before="240" w:after="120"/>
        <w:ind w:left="426" w:hanging="426"/>
        <w:contextualSpacing/>
        <w:rPr>
          <w:szCs w:val="18"/>
        </w:rPr>
      </w:pPr>
      <w:r w:rsidRPr="003F16F4">
        <w:rPr>
          <w:szCs w:val="18"/>
        </w:rPr>
        <w:t>To the extent</w:t>
      </w:r>
      <w:r w:rsidRPr="003F16F4">
        <w:rPr>
          <w:b/>
          <w:szCs w:val="18"/>
        </w:rPr>
        <w:t xml:space="preserve"> </w:t>
      </w:r>
      <w:r w:rsidRPr="003F16F4">
        <w:rPr>
          <w:szCs w:val="18"/>
        </w:rPr>
        <w:t>practicable and in a manner consistent with its legal system for adopting measures, each Member</w:t>
      </w:r>
      <w:r w:rsidRPr="003F16F4">
        <w:rPr>
          <w:szCs w:val="18"/>
          <w:vertAlign w:val="superscript"/>
        </w:rPr>
        <w:footnoteReference w:id="29"/>
      </w:r>
      <w:r w:rsidRPr="003F16F4">
        <w:rPr>
          <w:szCs w:val="18"/>
        </w:rPr>
        <w:t xml:space="preserve"> shall publish in advance:</w:t>
      </w:r>
    </w:p>
    <w:p w14:paraId="64C135A6" w14:textId="606D5BF8" w:rsidR="00A93069" w:rsidRPr="00474635" w:rsidRDefault="00A93069" w:rsidP="00F96426">
      <w:pPr>
        <w:pStyle w:val="BodyText2"/>
        <w:numPr>
          <w:ilvl w:val="0"/>
          <w:numId w:val="43"/>
        </w:numPr>
        <w:spacing w:before="240"/>
        <w:ind w:left="1077" w:hanging="357"/>
        <w:rPr>
          <w:lang w:val="en-US"/>
        </w:rPr>
      </w:pPr>
      <w:r w:rsidRPr="003F16F4">
        <w:t>its laws and regulations of general application it proposes to adopt in relation to matters falling within the scope of paragraph 1</w:t>
      </w:r>
      <w:r w:rsidR="00CC6361">
        <w:t xml:space="preserve"> of this Section</w:t>
      </w:r>
      <w:r w:rsidRPr="003F16F4">
        <w:t>; or</w:t>
      </w:r>
    </w:p>
    <w:p w14:paraId="63341B23" w14:textId="77777777" w:rsidR="00A93069" w:rsidRPr="003F16F4" w:rsidRDefault="00A93069" w:rsidP="00F96426">
      <w:pPr>
        <w:pStyle w:val="BodyText2"/>
        <w:numPr>
          <w:ilvl w:val="0"/>
          <w:numId w:val="43"/>
        </w:numPr>
        <w:spacing w:before="240"/>
        <w:ind w:left="1077" w:hanging="357"/>
        <w:rPr>
          <w:lang w:val="en-US"/>
        </w:rPr>
      </w:pPr>
      <w:r w:rsidRPr="003F16F4">
        <w:t>documents that provide sufficient details about such a possible new law or regulation to allow interested persons and other Members to assess whether and how their interests might be significantly affected.</w:t>
      </w:r>
      <w:r w:rsidRPr="003F16F4">
        <w:rPr>
          <w:lang w:val="en-US"/>
        </w:rPr>
        <w:t xml:space="preserve"> </w:t>
      </w:r>
    </w:p>
    <w:p w14:paraId="6101F4E4" w14:textId="2954BA1F" w:rsidR="00A93069" w:rsidRPr="003F16F4" w:rsidRDefault="00A93069" w:rsidP="0059390E">
      <w:pPr>
        <w:keepNext/>
        <w:keepLines/>
        <w:numPr>
          <w:ilvl w:val="0"/>
          <w:numId w:val="26"/>
        </w:numPr>
        <w:spacing w:before="240" w:after="240"/>
        <w:ind w:left="426" w:hanging="426"/>
        <w:rPr>
          <w:szCs w:val="18"/>
        </w:rPr>
      </w:pPr>
      <w:r w:rsidRPr="003F16F4">
        <w:rPr>
          <w:szCs w:val="18"/>
        </w:rPr>
        <w:t>To the extent practicable and in a manner consistent with its legal system for adopting measures</w:t>
      </w:r>
      <w:r>
        <w:rPr>
          <w:szCs w:val="18"/>
        </w:rPr>
        <w:t>,</w:t>
      </w:r>
      <w:r w:rsidRPr="003F16F4">
        <w:rPr>
          <w:szCs w:val="18"/>
        </w:rPr>
        <w:t xml:space="preserve"> each Member is encouraged to apply paragraph 1</w:t>
      </w:r>
      <w:r>
        <w:rPr>
          <w:szCs w:val="18"/>
        </w:rPr>
        <w:t>2</w:t>
      </w:r>
      <w:r w:rsidRPr="003F16F4">
        <w:rPr>
          <w:szCs w:val="18"/>
        </w:rPr>
        <w:t xml:space="preserve"> </w:t>
      </w:r>
      <w:r w:rsidR="00CC6361">
        <w:t>of this Section</w:t>
      </w:r>
      <w:r w:rsidR="00CC6361" w:rsidRPr="003F16F4">
        <w:rPr>
          <w:szCs w:val="18"/>
        </w:rPr>
        <w:t xml:space="preserve"> </w:t>
      </w:r>
      <w:r w:rsidRPr="003F16F4">
        <w:rPr>
          <w:szCs w:val="18"/>
        </w:rPr>
        <w:t xml:space="preserve">to procedures and administrative rulings of general application it proposes to adopt in relation to matters falling within the scope of paragraph 1. </w:t>
      </w:r>
    </w:p>
    <w:p w14:paraId="1E2ED1E8" w14:textId="7C54BDED" w:rsidR="00A93069" w:rsidRPr="003F16F4" w:rsidRDefault="00A93069" w:rsidP="0059390E">
      <w:pPr>
        <w:numPr>
          <w:ilvl w:val="0"/>
          <w:numId w:val="26"/>
        </w:numPr>
        <w:spacing w:before="240" w:after="240"/>
        <w:ind w:left="426" w:hanging="426"/>
        <w:rPr>
          <w:szCs w:val="18"/>
        </w:rPr>
      </w:pPr>
      <w:r w:rsidRPr="003F16F4">
        <w:rPr>
          <w:szCs w:val="18"/>
        </w:rPr>
        <w:t>To the extent practicable and in a manner consistent with its legal system for adopting measures</w:t>
      </w:r>
      <w:r>
        <w:rPr>
          <w:szCs w:val="18"/>
        </w:rPr>
        <w:t>,</w:t>
      </w:r>
      <w:r w:rsidRPr="003F16F4">
        <w:rPr>
          <w:szCs w:val="18"/>
        </w:rPr>
        <w:t xml:space="preserve"> each Member shall provide interested persons and other Members a reasonable opportunity to comment on such proposed measures or documents published</w:t>
      </w:r>
      <w:r w:rsidRPr="003F16F4">
        <w:rPr>
          <w:b/>
          <w:i/>
          <w:color w:val="0000FF"/>
          <w:szCs w:val="18"/>
        </w:rPr>
        <w:t xml:space="preserve"> </w:t>
      </w:r>
      <w:r w:rsidRPr="003F16F4">
        <w:rPr>
          <w:szCs w:val="18"/>
        </w:rPr>
        <w:t>under paragraph</w:t>
      </w:r>
      <w:r w:rsidR="00CC6361">
        <w:rPr>
          <w:szCs w:val="18"/>
        </w:rPr>
        <w:t>s</w:t>
      </w:r>
      <w:r w:rsidRPr="003F16F4">
        <w:rPr>
          <w:szCs w:val="18"/>
        </w:rPr>
        <w:t> 1</w:t>
      </w:r>
      <w:r>
        <w:rPr>
          <w:szCs w:val="18"/>
        </w:rPr>
        <w:t>2</w:t>
      </w:r>
      <w:r w:rsidRPr="003F16F4">
        <w:rPr>
          <w:szCs w:val="18"/>
        </w:rPr>
        <w:t xml:space="preserve"> or 1</w:t>
      </w:r>
      <w:r>
        <w:rPr>
          <w:szCs w:val="18"/>
        </w:rPr>
        <w:t>3</w:t>
      </w:r>
      <w:r w:rsidR="00CC6361">
        <w:rPr>
          <w:szCs w:val="18"/>
        </w:rPr>
        <w:t xml:space="preserve"> of this Section</w:t>
      </w:r>
      <w:r w:rsidRPr="003F16F4">
        <w:rPr>
          <w:szCs w:val="18"/>
        </w:rPr>
        <w:t xml:space="preserve">. </w:t>
      </w:r>
    </w:p>
    <w:p w14:paraId="3BA23B4F" w14:textId="1DC69326" w:rsidR="00A93069" w:rsidRPr="003F16F4" w:rsidRDefault="00A93069" w:rsidP="0059390E">
      <w:pPr>
        <w:numPr>
          <w:ilvl w:val="0"/>
          <w:numId w:val="26"/>
        </w:numPr>
        <w:spacing w:before="240" w:after="240"/>
        <w:ind w:left="426" w:hanging="426"/>
        <w:rPr>
          <w:szCs w:val="18"/>
        </w:rPr>
      </w:pPr>
      <w:r w:rsidRPr="003F16F4">
        <w:rPr>
          <w:szCs w:val="18"/>
        </w:rPr>
        <w:t>To the extent practicable and in a manner consistent with its legal system for adopting measures</w:t>
      </w:r>
      <w:r>
        <w:rPr>
          <w:szCs w:val="18"/>
        </w:rPr>
        <w:t>,</w:t>
      </w:r>
      <w:r w:rsidRPr="003F16F4">
        <w:rPr>
          <w:szCs w:val="18"/>
        </w:rPr>
        <w:t xml:space="preserve"> each Member</w:t>
      </w:r>
      <w:r w:rsidRPr="003F16F4">
        <w:rPr>
          <w:b/>
          <w:i/>
          <w:szCs w:val="18"/>
        </w:rPr>
        <w:t xml:space="preserve"> </w:t>
      </w:r>
      <w:r w:rsidRPr="003F16F4">
        <w:rPr>
          <w:szCs w:val="18"/>
        </w:rPr>
        <w:t>shall consider comments received under paragraph 1</w:t>
      </w:r>
      <w:r>
        <w:rPr>
          <w:szCs w:val="18"/>
        </w:rPr>
        <w:t>4</w:t>
      </w:r>
      <w:r w:rsidR="00CC6361">
        <w:rPr>
          <w:szCs w:val="18"/>
        </w:rPr>
        <w:t xml:space="preserve"> of this Section</w:t>
      </w:r>
      <w:r w:rsidRPr="003F16F4">
        <w:rPr>
          <w:szCs w:val="18"/>
        </w:rPr>
        <w:t>.</w:t>
      </w:r>
      <w:r w:rsidRPr="003F16F4">
        <w:rPr>
          <w:vertAlign w:val="superscript"/>
        </w:rPr>
        <w:footnoteReference w:id="30"/>
      </w:r>
      <w:r w:rsidRPr="003F16F4">
        <w:rPr>
          <w:szCs w:val="18"/>
        </w:rPr>
        <w:t xml:space="preserve"> </w:t>
      </w:r>
    </w:p>
    <w:p w14:paraId="3A59A09B" w14:textId="5F5C2069" w:rsidR="00A93069" w:rsidRDefault="00A93069" w:rsidP="0059390E">
      <w:pPr>
        <w:numPr>
          <w:ilvl w:val="0"/>
          <w:numId w:val="26"/>
        </w:numPr>
        <w:spacing w:before="240" w:after="240"/>
        <w:ind w:left="426" w:hanging="426"/>
        <w:rPr>
          <w:szCs w:val="18"/>
        </w:rPr>
      </w:pPr>
      <w:r w:rsidRPr="003F16F4">
        <w:rPr>
          <w:szCs w:val="18"/>
        </w:rPr>
        <w:t>In publishing a law or regulation referred to in paragraph 1</w:t>
      </w:r>
      <w:r>
        <w:rPr>
          <w:szCs w:val="18"/>
        </w:rPr>
        <w:t>2 (a)</w:t>
      </w:r>
      <w:r w:rsidR="00CC6361">
        <w:rPr>
          <w:szCs w:val="18"/>
        </w:rPr>
        <w:t xml:space="preserve"> of this Section</w:t>
      </w:r>
      <w:r w:rsidRPr="003F16F4">
        <w:rPr>
          <w:szCs w:val="18"/>
        </w:rPr>
        <w:t xml:space="preserve">, or in advance of such publication, to the extent practicable and in a manner consistent with its legal system </w:t>
      </w:r>
      <w:r w:rsidRPr="003F16F4">
        <w:rPr>
          <w:szCs w:val="18"/>
        </w:rPr>
        <w:lastRenderedPageBreak/>
        <w:t xml:space="preserve">for adopting measures, a Member is encouraged to explain the purpose and rationale of the law or regulation. </w:t>
      </w:r>
    </w:p>
    <w:p w14:paraId="71D4432E" w14:textId="77777777" w:rsidR="00CC6361" w:rsidRPr="00CC6361" w:rsidRDefault="00A93069" w:rsidP="0059390E">
      <w:pPr>
        <w:numPr>
          <w:ilvl w:val="0"/>
          <w:numId w:val="26"/>
        </w:numPr>
        <w:spacing w:before="240" w:after="240"/>
        <w:ind w:left="426" w:hanging="426"/>
        <w:rPr>
          <w:rFonts w:eastAsiaTheme="majorEastAsia" w:cstheme="majorBidi"/>
          <w:b/>
          <w:bCs/>
          <w:szCs w:val="26"/>
        </w:rPr>
      </w:pPr>
      <w:r w:rsidRPr="003F16F4">
        <w:rPr>
          <w:szCs w:val="18"/>
        </w:rPr>
        <w:t>Each Member shall, to the extent practicable, endeavour to allow reasonable time between publication of the text of a law or regulation referred to in paragraph 1</w:t>
      </w:r>
      <w:r>
        <w:rPr>
          <w:szCs w:val="18"/>
        </w:rPr>
        <w:t>2</w:t>
      </w:r>
      <w:r w:rsidRPr="003F16F4">
        <w:rPr>
          <w:szCs w:val="18"/>
        </w:rPr>
        <w:t xml:space="preserve"> </w:t>
      </w:r>
      <w:r w:rsidR="00E763E3">
        <w:rPr>
          <w:szCs w:val="18"/>
        </w:rPr>
        <w:t xml:space="preserve">(a) </w:t>
      </w:r>
      <w:r w:rsidR="00CC6361">
        <w:t>of this Section</w:t>
      </w:r>
      <w:r w:rsidR="00CC6361" w:rsidRPr="003F16F4">
        <w:rPr>
          <w:szCs w:val="18"/>
        </w:rPr>
        <w:t xml:space="preserve"> </w:t>
      </w:r>
      <w:r w:rsidRPr="003F16F4">
        <w:rPr>
          <w:szCs w:val="18"/>
        </w:rPr>
        <w:t>and the date on which service suppliers must comply with the law or regulation.</w:t>
      </w:r>
    </w:p>
    <w:p w14:paraId="353AF12C" w14:textId="778C6FE3" w:rsidR="00A93069" w:rsidRPr="003F16F4" w:rsidRDefault="00A93069" w:rsidP="00F96426">
      <w:pPr>
        <w:spacing w:before="240" w:after="240"/>
        <w:rPr>
          <w:rFonts w:eastAsiaTheme="majorEastAsia" w:cstheme="majorBidi"/>
          <w:b/>
          <w:bCs/>
          <w:szCs w:val="26"/>
        </w:rPr>
      </w:pPr>
      <w:r w:rsidRPr="003F16F4">
        <w:rPr>
          <w:rFonts w:eastAsiaTheme="majorEastAsia" w:cstheme="majorBidi"/>
          <w:b/>
          <w:bCs/>
          <w:szCs w:val="26"/>
        </w:rPr>
        <w:t>Enquiry Points</w:t>
      </w:r>
    </w:p>
    <w:p w14:paraId="3142FF59" w14:textId="5BA406B1" w:rsidR="00A93069" w:rsidRPr="00CB4143" w:rsidRDefault="00A93069" w:rsidP="0059390E">
      <w:pPr>
        <w:pStyle w:val="ListParagraph"/>
        <w:numPr>
          <w:ilvl w:val="0"/>
          <w:numId w:val="26"/>
        </w:numPr>
        <w:spacing w:before="240" w:after="120"/>
        <w:ind w:left="426" w:hanging="426"/>
        <w:rPr>
          <w:szCs w:val="18"/>
          <w:u w:val="single"/>
        </w:rPr>
      </w:pPr>
      <w:r w:rsidRPr="00CB4143">
        <w:rPr>
          <w:szCs w:val="18"/>
        </w:rPr>
        <w:t>Each Member shall maintain or establish appropriate mechanisms for responding to enquiries from service suppliers or persons seeking to supply a service regarding the</w:t>
      </w:r>
      <w:r w:rsidRPr="00CB4143">
        <w:rPr>
          <w:b/>
          <w:szCs w:val="18"/>
        </w:rPr>
        <w:t xml:space="preserve"> </w:t>
      </w:r>
      <w:r w:rsidRPr="00CB4143">
        <w:rPr>
          <w:szCs w:val="18"/>
        </w:rPr>
        <w:t>measures referred to in paragraph 1</w:t>
      </w:r>
      <w:r w:rsidR="00D45F73">
        <w:rPr>
          <w:szCs w:val="18"/>
        </w:rPr>
        <w:t xml:space="preserve"> of this Section</w:t>
      </w:r>
      <w:r w:rsidRPr="00CB4143">
        <w:rPr>
          <w:szCs w:val="18"/>
        </w:rPr>
        <w:t>.</w:t>
      </w:r>
      <w:r w:rsidRPr="003F16F4">
        <w:rPr>
          <w:vertAlign w:val="superscript"/>
        </w:rPr>
        <w:footnoteReference w:id="31"/>
      </w:r>
      <w:r w:rsidRPr="00CB4143">
        <w:rPr>
          <w:szCs w:val="18"/>
        </w:rPr>
        <w:t xml:space="preserve"> A Member may choose to address such enquiries through either the enquiry and contact points established under Articles III and IV of the Agreement or any other mechanisms as appropriate.</w:t>
      </w:r>
    </w:p>
    <w:p w14:paraId="3BEA4CC7" w14:textId="77777777" w:rsidR="00A93069" w:rsidRPr="003F16F4" w:rsidRDefault="00A93069" w:rsidP="00F96426">
      <w:pPr>
        <w:keepNext/>
        <w:keepLines/>
        <w:spacing w:before="240" w:after="240"/>
        <w:jc w:val="left"/>
        <w:rPr>
          <w:b/>
          <w:szCs w:val="18"/>
          <w:lang w:eastAsia="en-GB"/>
        </w:rPr>
      </w:pPr>
      <w:r w:rsidRPr="003F16F4">
        <w:rPr>
          <w:b/>
          <w:szCs w:val="18"/>
          <w:lang w:eastAsia="en-GB"/>
        </w:rPr>
        <w:t>Development of Measures</w:t>
      </w:r>
    </w:p>
    <w:p w14:paraId="26903F24" w14:textId="364DA447" w:rsidR="00A93069" w:rsidRPr="003F16F4" w:rsidRDefault="00A93069" w:rsidP="0059390E">
      <w:pPr>
        <w:keepNext/>
        <w:keepLines/>
        <w:numPr>
          <w:ilvl w:val="0"/>
          <w:numId w:val="26"/>
        </w:numPr>
        <w:spacing w:before="240" w:after="240"/>
        <w:ind w:left="426" w:hanging="426"/>
        <w:rPr>
          <w:b/>
        </w:rPr>
      </w:pPr>
      <w:r w:rsidRPr="003F16F4">
        <w:rPr>
          <w:lang w:val="en-US"/>
        </w:rPr>
        <w:t>If a Member adopts or maintains measures relating to</w:t>
      </w:r>
      <w:r w:rsidR="00CC6361">
        <w:rPr>
          <w:lang w:val="en-US"/>
        </w:rPr>
        <w:t xml:space="preserve"> the</w:t>
      </w:r>
      <w:r>
        <w:rPr>
          <w:b/>
          <w:i/>
          <w:color w:val="0000FF"/>
          <w:szCs w:val="18"/>
        </w:rPr>
        <w:t xml:space="preserve"> </w:t>
      </w:r>
      <w:r w:rsidRPr="003F16F4">
        <w:rPr>
          <w:szCs w:val="18"/>
        </w:rPr>
        <w:t>authori</w:t>
      </w:r>
      <w:r w:rsidR="00D45F73">
        <w:rPr>
          <w:szCs w:val="18"/>
        </w:rPr>
        <w:t>z</w:t>
      </w:r>
      <w:r w:rsidRPr="003F16F4">
        <w:rPr>
          <w:szCs w:val="18"/>
        </w:rPr>
        <w:t>ation</w:t>
      </w:r>
      <w:r w:rsidRPr="003F16F4">
        <w:rPr>
          <w:b/>
          <w:i/>
          <w:color w:val="0000FF"/>
          <w:szCs w:val="18"/>
        </w:rPr>
        <w:t xml:space="preserve"> </w:t>
      </w:r>
      <w:r w:rsidRPr="003F16F4">
        <w:rPr>
          <w:lang w:val="en-US"/>
        </w:rPr>
        <w:t>for the supply of a service, the Member shall ensure that:</w:t>
      </w:r>
    </w:p>
    <w:p w14:paraId="06D3218C" w14:textId="77777777" w:rsidR="00A93069" w:rsidRPr="00474635" w:rsidRDefault="00A93069" w:rsidP="002114E1">
      <w:pPr>
        <w:pStyle w:val="BodyText2"/>
        <w:numPr>
          <w:ilvl w:val="0"/>
          <w:numId w:val="47"/>
        </w:numPr>
        <w:spacing w:before="240"/>
        <w:ind w:left="1134" w:hanging="425"/>
        <w:rPr>
          <w:lang w:val="en-US"/>
        </w:rPr>
      </w:pPr>
      <w:r w:rsidRPr="00474635">
        <w:rPr>
          <w:lang w:val="en-US"/>
        </w:rPr>
        <w:t>such measures are based on objective and transparent criteria;</w:t>
      </w:r>
      <w:r w:rsidRPr="003F16F4">
        <w:rPr>
          <w:vertAlign w:val="superscript"/>
          <w:lang w:val="en-US"/>
        </w:rPr>
        <w:footnoteReference w:id="32"/>
      </w:r>
    </w:p>
    <w:p w14:paraId="1EE17E07" w14:textId="2FA18DF0" w:rsidR="00D266DE" w:rsidRDefault="00A93069" w:rsidP="00D266DE">
      <w:pPr>
        <w:pStyle w:val="BodyText2"/>
        <w:numPr>
          <w:ilvl w:val="0"/>
          <w:numId w:val="47"/>
        </w:numPr>
        <w:spacing w:before="240"/>
        <w:ind w:left="1134" w:hanging="425"/>
        <w:rPr>
          <w:lang w:val="en-US"/>
        </w:rPr>
      </w:pPr>
      <w:r w:rsidRPr="003F16F4">
        <w:rPr>
          <w:lang w:val="en-US"/>
        </w:rPr>
        <w:t xml:space="preserve">the procedures are impartial, and that the procedures are adequate for applicants to demonstrate whether they meet the requirements, </w:t>
      </w:r>
      <w:r>
        <w:rPr>
          <w:lang w:val="en-US"/>
        </w:rPr>
        <w:t xml:space="preserve">if </w:t>
      </w:r>
      <w:r w:rsidRPr="003F16F4">
        <w:rPr>
          <w:lang w:val="en-US"/>
        </w:rPr>
        <w:t>such requirements exist;</w:t>
      </w:r>
    </w:p>
    <w:p w14:paraId="01C69EFA" w14:textId="77777777" w:rsidR="00D266DE" w:rsidRDefault="00A93069" w:rsidP="00D266DE">
      <w:pPr>
        <w:pStyle w:val="BodyText2"/>
        <w:numPr>
          <w:ilvl w:val="0"/>
          <w:numId w:val="47"/>
        </w:numPr>
        <w:spacing w:before="240"/>
        <w:ind w:left="1134" w:hanging="425"/>
        <w:rPr>
          <w:lang w:val="en-US"/>
        </w:rPr>
      </w:pPr>
      <w:r w:rsidRPr="00D266DE">
        <w:rPr>
          <w:lang w:val="en-US"/>
        </w:rPr>
        <w:t>the procedures do not in themselves unjustifiably prevent fulfilment of requirements</w:t>
      </w:r>
      <w:r w:rsidR="00E03782" w:rsidRPr="00D266DE">
        <w:rPr>
          <w:lang w:val="en-US"/>
        </w:rPr>
        <w:t>;</w:t>
      </w:r>
      <w:r w:rsidR="00F6131C" w:rsidRPr="00D266DE">
        <w:rPr>
          <w:lang w:val="en-US"/>
        </w:rPr>
        <w:t xml:space="preserve"> </w:t>
      </w:r>
      <w:r w:rsidR="002114E1" w:rsidRPr="00D266DE">
        <w:rPr>
          <w:lang w:val="en-US"/>
        </w:rPr>
        <w:t>and</w:t>
      </w:r>
    </w:p>
    <w:p w14:paraId="2DEA1EC7" w14:textId="6979D3FE" w:rsidR="002114E1" w:rsidRPr="00D266DE" w:rsidRDefault="002114E1" w:rsidP="00D266DE">
      <w:pPr>
        <w:pStyle w:val="BodyText2"/>
        <w:numPr>
          <w:ilvl w:val="0"/>
          <w:numId w:val="47"/>
        </w:numPr>
        <w:spacing w:before="240"/>
        <w:ind w:left="1134" w:hanging="425"/>
        <w:rPr>
          <w:lang w:val="en-US"/>
        </w:rPr>
      </w:pPr>
      <w:r w:rsidRPr="00D266DE">
        <w:rPr>
          <w:lang w:val="en-US"/>
        </w:rPr>
        <w:t>such measures do not discriminate between men and women</w:t>
      </w:r>
      <w:r w:rsidR="004057C4" w:rsidRPr="00D266DE">
        <w:rPr>
          <w:lang w:val="en-US"/>
        </w:rPr>
        <w:t>.</w:t>
      </w:r>
      <w:r w:rsidRPr="00EB45EE">
        <w:rPr>
          <w:rStyle w:val="FootnoteReference"/>
          <w:lang w:val="en-US"/>
        </w:rPr>
        <w:footnoteReference w:id="33"/>
      </w:r>
    </w:p>
    <w:bookmarkEnd w:id="0"/>
    <w:p w14:paraId="56289E5E" w14:textId="6F5051F0" w:rsidR="004057C4" w:rsidRPr="00D266DE" w:rsidRDefault="004057C4" w:rsidP="004057C4">
      <w:pPr>
        <w:jc w:val="center"/>
      </w:pPr>
      <w:r w:rsidRPr="00D266DE">
        <w:t>__________</w:t>
      </w:r>
    </w:p>
    <w:sectPr w:rsidR="004057C4" w:rsidRPr="00D266DE" w:rsidSect="00215F5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1724D" w14:textId="77777777" w:rsidR="00B30E38" w:rsidRDefault="00B30E38" w:rsidP="00ED54E0">
      <w:r>
        <w:separator/>
      </w:r>
    </w:p>
  </w:endnote>
  <w:endnote w:type="continuationSeparator" w:id="0">
    <w:p w14:paraId="42AB6294" w14:textId="77777777" w:rsidR="00B30E38" w:rsidRDefault="00B30E38"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DC759" w14:textId="308A9666" w:rsidR="00544326" w:rsidRPr="00215F59" w:rsidRDefault="00215F59" w:rsidP="00215F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9F7F" w14:textId="758B3EB1" w:rsidR="00544326" w:rsidRPr="00215F59" w:rsidRDefault="00215F59" w:rsidP="00215F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419D" w14:textId="77777777" w:rsidR="00BE5898" w:rsidRDefault="00BE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FB7C2" w14:textId="77777777" w:rsidR="00B30E38" w:rsidRDefault="00B30E38" w:rsidP="00ED54E0">
      <w:r>
        <w:separator/>
      </w:r>
    </w:p>
  </w:footnote>
  <w:footnote w:type="continuationSeparator" w:id="0">
    <w:p w14:paraId="4DBA03D9" w14:textId="77777777" w:rsidR="00B30E38" w:rsidRDefault="00B30E38" w:rsidP="00ED54E0">
      <w:r>
        <w:continuationSeparator/>
      </w:r>
    </w:p>
  </w:footnote>
  <w:footnote w:id="1">
    <w:p w14:paraId="0A75A109" w14:textId="77777777" w:rsidR="00A93069" w:rsidRDefault="00A93069" w:rsidP="00A93069">
      <w:pPr>
        <w:pStyle w:val="FootnoteText"/>
        <w:jc w:val="both"/>
      </w:pPr>
      <w:r>
        <w:rPr>
          <w:rStyle w:val="FootnoteReference"/>
        </w:rPr>
        <w:footnoteRef/>
      </w:r>
      <w:r>
        <w:t xml:space="preserve"> Members recognize that further disciplines may be developed pursuant to paragraph 4 of Article VI of the Agreement.</w:t>
      </w:r>
    </w:p>
  </w:footnote>
  <w:footnote w:id="2">
    <w:p w14:paraId="5DAF876C" w14:textId="77777777" w:rsidR="00A93069" w:rsidRDefault="00A93069" w:rsidP="00A93069">
      <w:pPr>
        <w:pStyle w:val="FootnoteText"/>
      </w:pPr>
      <w:r w:rsidRPr="00D02513">
        <w:rPr>
          <w:rStyle w:val="FootnoteReference"/>
        </w:rPr>
        <w:footnoteRef/>
      </w:r>
      <w:r w:rsidRPr="00D02513">
        <w:t xml:space="preserve"> Relevant procedures include requests for a Waiver in accordance with </w:t>
      </w:r>
      <w:r>
        <w:t xml:space="preserve">paragraph 3 (b) of </w:t>
      </w:r>
      <w:r w:rsidRPr="00D02513">
        <w:t>Article IX of the Marrakesh Agreement, or invocation of Article XXI of the GATS.</w:t>
      </w:r>
    </w:p>
  </w:footnote>
  <w:footnote w:id="3">
    <w:p w14:paraId="31EB1A12" w14:textId="77777777" w:rsidR="00A93069" w:rsidRDefault="00A93069" w:rsidP="00A93069">
      <w:pPr>
        <w:pStyle w:val="FootnoteText"/>
      </w:pPr>
      <w:r>
        <w:rPr>
          <w:rStyle w:val="FootnoteReference"/>
        </w:rPr>
        <w:footnoteRef/>
      </w:r>
      <w:r>
        <w:t xml:space="preserve"> </w:t>
      </w:r>
      <w:bookmarkStart w:id="2" w:name="_Hlk525292192"/>
      <w:r>
        <w:t>Competent a</w:t>
      </w:r>
      <w:r w:rsidRPr="00CC555A">
        <w:t xml:space="preserve">uthorities </w:t>
      </w:r>
      <w:r w:rsidRPr="008224F4">
        <w:t>are not required</w:t>
      </w:r>
      <w:r w:rsidRPr="00CC555A">
        <w:t xml:space="preserve"> to start </w:t>
      </w:r>
      <w:r w:rsidRPr="00070D68">
        <w:t>considering applications</w:t>
      </w:r>
      <w:r w:rsidRPr="00CC555A">
        <w:t xml:space="preserve"> outside </w:t>
      </w:r>
      <w:r w:rsidRPr="004A7D96">
        <w:t>of their</w:t>
      </w:r>
      <w:r w:rsidRPr="00CC555A">
        <w:t xml:space="preserve"> official working hours and working days.</w:t>
      </w:r>
      <w:bookmarkEnd w:id="2"/>
    </w:p>
  </w:footnote>
  <w:footnote w:id="4">
    <w:p w14:paraId="2353E43B" w14:textId="77777777" w:rsidR="00A93069" w:rsidRDefault="00A93069" w:rsidP="00A93069">
      <w:pPr>
        <w:pStyle w:val="FootnoteText"/>
      </w:pPr>
      <w:r>
        <w:rPr>
          <w:rStyle w:val="FootnoteReference"/>
        </w:rPr>
        <w:footnoteRef/>
      </w:r>
      <w:r>
        <w:t xml:space="preserve"> </w:t>
      </w:r>
      <w:r w:rsidRPr="00CB522E">
        <w:t>Competent authorities may require that all information is submitted in a specified format to consider it "complete for processing".</w:t>
      </w:r>
    </w:p>
  </w:footnote>
  <w:footnote w:id="5">
    <w:p w14:paraId="64676E0B" w14:textId="77777777" w:rsidR="00A93069" w:rsidRPr="00247975" w:rsidRDefault="00A93069" w:rsidP="00A93069">
      <w:pPr>
        <w:pStyle w:val="FootnoteText"/>
      </w:pPr>
      <w:r>
        <w:rPr>
          <w:rStyle w:val="FootnoteReference"/>
        </w:rPr>
        <w:footnoteRef/>
      </w:r>
      <w:r>
        <w:t xml:space="preserve"> </w:t>
      </w:r>
      <w:r w:rsidRPr="001D2763">
        <w:rPr>
          <w:rStyle w:val="FootnoteReference"/>
          <w:szCs w:val="16"/>
          <w:vertAlign w:val="baseline"/>
        </w:rPr>
        <w:t xml:space="preserve">Competent authorities </w:t>
      </w:r>
      <w:r w:rsidRPr="008B1693">
        <w:rPr>
          <w:rStyle w:val="FootnoteReference"/>
          <w:szCs w:val="16"/>
          <w:vertAlign w:val="baseline"/>
        </w:rPr>
        <w:t>may</w:t>
      </w:r>
      <w:r w:rsidRPr="001D2763">
        <w:rPr>
          <w:rStyle w:val="FootnoteReference"/>
          <w:szCs w:val="16"/>
          <w:vertAlign w:val="baseline"/>
        </w:rPr>
        <w:t xml:space="preserve"> meet this requirement by informing an applicant in advance in writing, including through a published measure</w:t>
      </w:r>
      <w:r>
        <w:rPr>
          <w:szCs w:val="16"/>
        </w:rPr>
        <w:t>,</w:t>
      </w:r>
      <w:r>
        <w:rPr>
          <w:rStyle w:val="FootnoteReference"/>
          <w:szCs w:val="16"/>
          <w:vertAlign w:val="baseline"/>
        </w:rPr>
        <w:t xml:space="preserve"> </w:t>
      </w:r>
      <w:r w:rsidRPr="001D2763">
        <w:rPr>
          <w:rStyle w:val="FootnoteReference"/>
          <w:szCs w:val="16"/>
          <w:vertAlign w:val="baseline"/>
        </w:rPr>
        <w:t xml:space="preserve">that lack of response after a specified period of time from the date of submission of </w:t>
      </w:r>
      <w:r w:rsidRPr="003C16EC">
        <w:rPr>
          <w:szCs w:val="16"/>
        </w:rPr>
        <w:t xml:space="preserve">an </w:t>
      </w:r>
      <w:r w:rsidRPr="003C16EC">
        <w:rPr>
          <w:rStyle w:val="FootnoteReference"/>
          <w:szCs w:val="16"/>
          <w:vertAlign w:val="baseline"/>
        </w:rPr>
        <w:t xml:space="preserve">application indicates acceptance </w:t>
      </w:r>
      <w:r w:rsidRPr="003C16EC">
        <w:rPr>
          <w:szCs w:val="16"/>
        </w:rPr>
        <w:t xml:space="preserve">of the application </w:t>
      </w:r>
      <w:r w:rsidRPr="00247975">
        <w:rPr>
          <w:rStyle w:val="FootnoteReference"/>
          <w:szCs w:val="16"/>
          <w:vertAlign w:val="baseline"/>
        </w:rPr>
        <w:t>or rejection of the application.</w:t>
      </w:r>
    </w:p>
  </w:footnote>
  <w:footnote w:id="6">
    <w:p w14:paraId="6EF58831" w14:textId="77777777" w:rsidR="00A93069" w:rsidRPr="00A875EA" w:rsidRDefault="00A93069" w:rsidP="00A93069">
      <w:pPr>
        <w:pStyle w:val="FootnoteText"/>
        <w:rPr>
          <w:lang w:val="pt-BR"/>
        </w:rPr>
      </w:pPr>
      <w:r w:rsidRPr="00B92B93">
        <w:rPr>
          <w:rStyle w:val="FootnoteReference"/>
          <w:lang w:val="en-US"/>
        </w:rPr>
        <w:footnoteRef/>
      </w:r>
      <w:r w:rsidRPr="00080B77">
        <w:rPr>
          <w:lang w:val="pt-BR"/>
        </w:rPr>
        <w:t xml:space="preserve"> </w:t>
      </w:r>
      <w:r w:rsidRPr="00080B77">
        <w:rPr>
          <w:rStyle w:val="FootnoteReference"/>
          <w:szCs w:val="16"/>
          <w:vertAlign w:val="baseline"/>
          <w:lang w:val="pt-BR"/>
        </w:rPr>
        <w:t>"</w:t>
      </w:r>
      <w:r w:rsidRPr="00A875EA">
        <w:rPr>
          <w:szCs w:val="16"/>
          <w:lang w:val="pt-BR"/>
        </w:rPr>
        <w:t>I</w:t>
      </w:r>
      <w:r w:rsidRPr="00A875EA">
        <w:rPr>
          <w:rStyle w:val="FootnoteReference"/>
          <w:szCs w:val="16"/>
          <w:vertAlign w:val="baseline"/>
          <w:lang w:val="pt-BR"/>
        </w:rPr>
        <w:t>n writing" may include in electronic form.</w:t>
      </w:r>
    </w:p>
  </w:footnote>
  <w:footnote w:id="7">
    <w:p w14:paraId="5C76A4BA" w14:textId="77777777" w:rsidR="00A93069" w:rsidRPr="00A875EA" w:rsidRDefault="00A93069" w:rsidP="00A93069">
      <w:pPr>
        <w:pStyle w:val="FootnoteText"/>
        <w:rPr>
          <w:lang w:val="pt-BR"/>
        </w:rPr>
      </w:pPr>
      <w:r w:rsidRPr="008D3007">
        <w:rPr>
          <w:rStyle w:val="FootnoteReference"/>
        </w:rPr>
        <w:footnoteRef/>
      </w:r>
      <w:r w:rsidRPr="00A875EA">
        <w:rPr>
          <w:lang w:val="pt-BR"/>
        </w:rPr>
        <w:t xml:space="preserve"> </w:t>
      </w:r>
      <w:r w:rsidRPr="00A875EA">
        <w:rPr>
          <w:rStyle w:val="FootnoteReference"/>
          <w:szCs w:val="16"/>
          <w:vertAlign w:val="baseline"/>
          <w:lang w:val="pt-BR"/>
        </w:rPr>
        <w:t>Such opportunity does not require a competent authority to provide extensions of deadlines.</w:t>
      </w:r>
    </w:p>
  </w:footnote>
  <w:footnote w:id="8">
    <w:p w14:paraId="275EF57E" w14:textId="5271A755" w:rsidR="00157AA1" w:rsidRDefault="00157AA1">
      <w:pPr>
        <w:pStyle w:val="FootnoteText"/>
      </w:pPr>
      <w:r>
        <w:rPr>
          <w:rStyle w:val="FootnoteReference"/>
        </w:rPr>
        <w:footnoteRef/>
      </w:r>
      <w:r>
        <w:t xml:space="preserve"> Competent authorities may require that the content of such an application has been revised.</w:t>
      </w:r>
    </w:p>
  </w:footnote>
  <w:footnote w:id="9">
    <w:p w14:paraId="4E9A672F" w14:textId="77777777" w:rsidR="00A93069" w:rsidRPr="008D3007" w:rsidRDefault="00A93069" w:rsidP="00A93069">
      <w:pPr>
        <w:pStyle w:val="FootnoteText"/>
      </w:pPr>
      <w:r w:rsidRPr="008D3007">
        <w:rPr>
          <w:rStyle w:val="FootnoteReference"/>
        </w:rPr>
        <w:footnoteRef/>
      </w:r>
      <w:r w:rsidRPr="008D3007">
        <w:t xml:space="preserve"> </w:t>
      </w:r>
      <w:bookmarkStart w:id="3" w:name="_Hlk525292773"/>
      <w:r w:rsidRPr="008D3007">
        <w:t>Competent authorities are not responsible for delays due to reasons outside their competence.</w:t>
      </w:r>
      <w:bookmarkEnd w:id="3"/>
    </w:p>
  </w:footnote>
  <w:footnote w:id="10">
    <w:p w14:paraId="14755A55" w14:textId="77777777" w:rsidR="00A93069" w:rsidRPr="00A875EA" w:rsidRDefault="00A93069" w:rsidP="00A93069">
      <w:pPr>
        <w:pStyle w:val="FootnoteText"/>
        <w:rPr>
          <w:lang w:val="de-CH"/>
        </w:rPr>
      </w:pPr>
      <w:r w:rsidRPr="003A24F1">
        <w:rPr>
          <w:rStyle w:val="FootnoteReference"/>
        </w:rPr>
        <w:footnoteRef/>
      </w:r>
      <w:r w:rsidRPr="00A875EA">
        <w:rPr>
          <w:lang w:val="de-CH"/>
        </w:rPr>
        <w:t xml:space="preserve"> </w:t>
      </w:r>
      <w:r w:rsidRPr="00A875EA">
        <w:rPr>
          <w:rStyle w:val="FootnoteReference"/>
          <w:szCs w:val="16"/>
          <w:vertAlign w:val="baseline"/>
          <w:lang w:val="de-CH"/>
        </w:rPr>
        <w:t>Authori</w:t>
      </w:r>
      <w:r w:rsidRPr="00A875EA">
        <w:rPr>
          <w:szCs w:val="16"/>
          <w:lang w:val="de-CH"/>
        </w:rPr>
        <w:t>z</w:t>
      </w:r>
      <w:r w:rsidRPr="00A875EA">
        <w:rPr>
          <w:rStyle w:val="FootnoteReference"/>
          <w:szCs w:val="16"/>
          <w:vertAlign w:val="baseline"/>
          <w:lang w:val="de-CH"/>
        </w:rPr>
        <w:t>ation fees do not include fees for the use of natural resources, payments for auction, tendering or other non-discriminatory means of awarding concessions, or mandated contributions to universal service provision.</w:t>
      </w:r>
    </w:p>
  </w:footnote>
  <w:footnote w:id="11">
    <w:p w14:paraId="751723B3" w14:textId="77777777" w:rsidR="00A93069" w:rsidRPr="000D40D8" w:rsidRDefault="00A93069" w:rsidP="00A93069">
      <w:pPr>
        <w:pStyle w:val="FootnoteText"/>
      </w:pPr>
      <w:r w:rsidRPr="00D02513">
        <w:rPr>
          <w:rStyle w:val="FootnoteReference"/>
        </w:rPr>
        <w:footnoteRef/>
      </w:r>
      <w:r w:rsidRPr="00D02513">
        <w:t xml:space="preserve"> For greater certainty, this provision does not mandate a particular administrative structure</w:t>
      </w:r>
      <w:r>
        <w:t>;</w:t>
      </w:r>
      <w:r w:rsidRPr="00D02513">
        <w:t xml:space="preserve"> it refers to the decision-making process and administering of decisions.</w:t>
      </w:r>
    </w:p>
  </w:footnote>
  <w:footnote w:id="12">
    <w:p w14:paraId="13C18C68" w14:textId="77777777" w:rsidR="00A93069" w:rsidRPr="00472104" w:rsidRDefault="00A93069" w:rsidP="00A93069">
      <w:pPr>
        <w:pStyle w:val="FootnoteText"/>
      </w:pPr>
      <w:r>
        <w:rPr>
          <w:rStyle w:val="FootnoteReference"/>
        </w:rPr>
        <w:footnoteRef/>
      </w:r>
      <w:r w:rsidRPr="00472104">
        <w:t xml:space="preserve"> </w:t>
      </w:r>
      <w:r w:rsidRPr="000D40D8">
        <w:rPr>
          <w:rStyle w:val="FootnoteReference"/>
          <w:szCs w:val="16"/>
          <w:vertAlign w:val="baseline"/>
        </w:rPr>
        <w:t>For purposes of these disciplines, "publish" means to include in an official publication, such as an official journal, or on an official website.</w:t>
      </w:r>
      <w:r w:rsidRPr="000D40D8">
        <w:t xml:space="preserve"> M</w:t>
      </w:r>
      <w:r w:rsidRPr="000D40D8">
        <w:rPr>
          <w:rStyle w:val="FootnoteReference"/>
          <w:szCs w:val="16"/>
          <w:vertAlign w:val="baseline"/>
        </w:rPr>
        <w:t>embers are encouraged to consolidate electronic publications into a single portal.</w:t>
      </w:r>
    </w:p>
  </w:footnote>
  <w:footnote w:id="13">
    <w:p w14:paraId="0334275C" w14:textId="77777777" w:rsidR="00A93069" w:rsidRDefault="00A93069" w:rsidP="00A93069">
      <w:pPr>
        <w:pStyle w:val="FootnoteText"/>
      </w:pPr>
      <w:r w:rsidRPr="000D40D8">
        <w:rPr>
          <w:rStyle w:val="FootnoteReference"/>
        </w:rPr>
        <w:footnoteRef/>
      </w:r>
      <w:r w:rsidRPr="000D40D8">
        <w:t xml:space="preserve"> </w:t>
      </w:r>
      <w:r>
        <w:rPr>
          <w:szCs w:val="16"/>
        </w:rPr>
        <w:t>P</w:t>
      </w:r>
      <w:r w:rsidRPr="000D40D8">
        <w:rPr>
          <w:rStyle w:val="FootnoteReference"/>
          <w:szCs w:val="16"/>
          <w:vertAlign w:val="baseline"/>
        </w:rPr>
        <w:t xml:space="preserve">aragraphs </w:t>
      </w:r>
      <w:r>
        <w:t>14</w:t>
      </w:r>
      <w:r w:rsidRPr="000D40D8">
        <w:rPr>
          <w:rStyle w:val="FootnoteReference"/>
          <w:szCs w:val="16"/>
          <w:vertAlign w:val="baseline"/>
        </w:rPr>
        <w:t xml:space="preserve"> </w:t>
      </w:r>
      <w:r w:rsidRPr="000D40D8">
        <w:t xml:space="preserve">to </w:t>
      </w:r>
      <w:r>
        <w:t>17</w:t>
      </w:r>
      <w:r w:rsidRPr="000D40D8">
        <w:t xml:space="preserve"> </w:t>
      </w:r>
      <w:r>
        <w:t xml:space="preserve">of this Section </w:t>
      </w:r>
      <w:r w:rsidRPr="000D40D8">
        <w:rPr>
          <w:rStyle w:val="FootnoteReference"/>
          <w:szCs w:val="16"/>
          <w:vertAlign w:val="baseline"/>
        </w:rPr>
        <w:t>recognize that Members have different systems to consult interested persons and other Members</w:t>
      </w:r>
      <w:r w:rsidRPr="001D2763">
        <w:rPr>
          <w:rStyle w:val="FootnoteReference"/>
          <w:szCs w:val="16"/>
          <w:vertAlign w:val="baseline"/>
          <w:lang w:val="en-AU"/>
        </w:rPr>
        <w:t xml:space="preserve"> on certain measures before </w:t>
      </w:r>
      <w:r w:rsidRPr="00770C04">
        <w:rPr>
          <w:rStyle w:val="FootnoteReference"/>
          <w:szCs w:val="16"/>
          <w:vertAlign w:val="baseline"/>
          <w:lang w:val="en-AU"/>
        </w:rPr>
        <w:t>the</w:t>
      </w:r>
      <w:r w:rsidRPr="00770C04">
        <w:rPr>
          <w:szCs w:val="16"/>
          <w:lang w:val="en-AU"/>
        </w:rPr>
        <w:t>ir adoption</w:t>
      </w:r>
      <w:r w:rsidRPr="001D2763">
        <w:rPr>
          <w:rStyle w:val="FootnoteReference"/>
          <w:szCs w:val="16"/>
          <w:vertAlign w:val="baseline"/>
          <w:lang w:val="en-AU"/>
        </w:rPr>
        <w:t xml:space="preserve">, and that the alternatives set out in paragraph </w:t>
      </w:r>
      <w:r>
        <w:rPr>
          <w:lang w:val="en-AU"/>
        </w:rPr>
        <w:t xml:space="preserve">14 of this Section </w:t>
      </w:r>
      <w:r w:rsidRPr="001D2763">
        <w:rPr>
          <w:rStyle w:val="FootnoteReference"/>
          <w:szCs w:val="16"/>
          <w:vertAlign w:val="baseline"/>
          <w:lang w:val="en-AU"/>
        </w:rPr>
        <w:t>reflect different legal systems.</w:t>
      </w:r>
    </w:p>
  </w:footnote>
  <w:footnote w:id="14">
    <w:p w14:paraId="02D6A308" w14:textId="77777777" w:rsidR="00A93069" w:rsidRPr="006F2FFB" w:rsidRDefault="00A93069" w:rsidP="00A93069">
      <w:pPr>
        <w:pStyle w:val="FootnoteText"/>
        <w:rPr>
          <w:rStyle w:val="FootnoteReference"/>
          <w:szCs w:val="16"/>
          <w:vertAlign w:val="baseline"/>
        </w:rPr>
      </w:pPr>
      <w:r w:rsidRPr="00CB56CE">
        <w:rPr>
          <w:rStyle w:val="FootnoteReference"/>
          <w:szCs w:val="16"/>
          <w:lang w:val="en-AU"/>
        </w:rPr>
        <w:footnoteRef/>
      </w:r>
      <w:r w:rsidRPr="006F2FFB">
        <w:rPr>
          <w:rStyle w:val="FootnoteReference"/>
          <w:szCs w:val="16"/>
          <w:vertAlign w:val="baseline"/>
        </w:rPr>
        <w:t xml:space="preserve"> This provision </w:t>
      </w:r>
      <w:r w:rsidRPr="006F2FFB">
        <w:rPr>
          <w:szCs w:val="16"/>
        </w:rPr>
        <w:t>is</w:t>
      </w:r>
      <w:r>
        <w:rPr>
          <w:szCs w:val="16"/>
        </w:rPr>
        <w:t xml:space="preserve"> without prejudice to </w:t>
      </w:r>
      <w:r w:rsidRPr="006F2FFB">
        <w:rPr>
          <w:rStyle w:val="FootnoteReference"/>
          <w:szCs w:val="16"/>
          <w:vertAlign w:val="baseline"/>
        </w:rPr>
        <w:t>the final decision of a Member that adopts or maintains any measure for authori</w:t>
      </w:r>
      <w:r w:rsidRPr="006F2FFB">
        <w:rPr>
          <w:szCs w:val="16"/>
        </w:rPr>
        <w:t>z</w:t>
      </w:r>
      <w:r w:rsidRPr="006F2FFB">
        <w:rPr>
          <w:rStyle w:val="FootnoteReference"/>
          <w:szCs w:val="16"/>
          <w:vertAlign w:val="baseline"/>
        </w:rPr>
        <w:t>ation for the supply of a service.</w:t>
      </w:r>
    </w:p>
  </w:footnote>
  <w:footnote w:id="15">
    <w:p w14:paraId="7F391CA2" w14:textId="77777777" w:rsidR="00A93069" w:rsidRPr="000D40D8" w:rsidRDefault="00A93069" w:rsidP="00A93069">
      <w:pPr>
        <w:pStyle w:val="FootnoteText"/>
      </w:pPr>
      <w:r>
        <w:rPr>
          <w:rStyle w:val="FootnoteReference"/>
        </w:rPr>
        <w:footnoteRef/>
      </w:r>
      <w:r w:rsidRPr="00472104">
        <w:t xml:space="preserve"> </w:t>
      </w:r>
      <w:r w:rsidRPr="000D40D8">
        <w:rPr>
          <w:rStyle w:val="FootnoteReference"/>
          <w:szCs w:val="16"/>
          <w:vertAlign w:val="baseline"/>
        </w:rPr>
        <w:t>It is understood that resource constraints may be a factor in determining whether a mechanism for responding to enquiries is appropriate.</w:t>
      </w:r>
    </w:p>
  </w:footnote>
  <w:footnote w:id="16">
    <w:p w14:paraId="4D0C6291" w14:textId="77777777" w:rsidR="00A93069" w:rsidRDefault="00A93069" w:rsidP="00A93069">
      <w:pPr>
        <w:pStyle w:val="FootnoteText"/>
      </w:pPr>
      <w:r w:rsidRPr="00EE118E">
        <w:rPr>
          <w:rStyle w:val="FootnoteReference"/>
        </w:rPr>
        <w:footnoteRef/>
      </w:r>
      <w:r>
        <w:t xml:space="preserve"> </w:t>
      </w:r>
      <w:r w:rsidRPr="00EE118E">
        <w:t xml:space="preserve">The term "relevant international organizations" refers to international bodies whose membership is open to the relevant bodies of </w:t>
      </w:r>
      <w:r>
        <w:t>at least all Members of the WTO.</w:t>
      </w:r>
    </w:p>
  </w:footnote>
  <w:footnote w:id="17">
    <w:p w14:paraId="6F2E2047" w14:textId="77777777" w:rsidR="00A93069" w:rsidRDefault="00A93069" w:rsidP="00A93069">
      <w:pPr>
        <w:pStyle w:val="FootnoteText"/>
      </w:pPr>
      <w:r>
        <w:rPr>
          <w:rStyle w:val="FootnoteReference"/>
        </w:rPr>
        <w:footnoteRef/>
      </w:r>
      <w:r>
        <w:t xml:space="preserve"> </w:t>
      </w:r>
      <w:r>
        <w:rPr>
          <w:rStyle w:val="FootnoteReference"/>
          <w:szCs w:val="16"/>
          <w:vertAlign w:val="baseline"/>
          <w:lang w:val="en-AU"/>
        </w:rPr>
        <w:t>S</w:t>
      </w:r>
      <w:r w:rsidRPr="00BD6274">
        <w:rPr>
          <w:rStyle w:val="FootnoteReference"/>
          <w:szCs w:val="16"/>
          <w:vertAlign w:val="baseline"/>
          <w:lang w:val="en-AU"/>
        </w:rPr>
        <w:t>uch</w:t>
      </w:r>
      <w:r w:rsidRPr="001D2763">
        <w:rPr>
          <w:rStyle w:val="FootnoteReference"/>
          <w:szCs w:val="16"/>
          <w:vertAlign w:val="baseline"/>
          <w:lang w:val="en-AU"/>
        </w:rPr>
        <w:t xml:space="preserve"> criteria may include, </w:t>
      </w:r>
      <w:r w:rsidRPr="001D2763">
        <w:rPr>
          <w:rStyle w:val="FootnoteReference"/>
          <w:i/>
          <w:szCs w:val="16"/>
          <w:vertAlign w:val="baseline"/>
          <w:lang w:val="en-AU"/>
        </w:rPr>
        <w:t>inter alia</w:t>
      </w:r>
      <w:r w:rsidRPr="001D2763">
        <w:rPr>
          <w:rStyle w:val="FootnoteReference"/>
          <w:szCs w:val="16"/>
          <w:vertAlign w:val="baseline"/>
          <w:lang w:val="en-AU"/>
        </w:rPr>
        <w:t xml:space="preserve">, </w:t>
      </w:r>
      <w:r w:rsidRPr="004033E3">
        <w:rPr>
          <w:rStyle w:val="FootnoteReference"/>
          <w:szCs w:val="16"/>
          <w:vertAlign w:val="baseline"/>
          <w:lang w:val="en-AU"/>
        </w:rPr>
        <w:t>competence</w:t>
      </w:r>
      <w:r w:rsidRPr="00E17D61">
        <w:rPr>
          <w:rStyle w:val="FootnoteReference"/>
          <w:szCs w:val="16"/>
          <w:vertAlign w:val="baseline"/>
          <w:lang w:val="en-AU"/>
        </w:rPr>
        <w:t xml:space="preserve"> </w:t>
      </w:r>
      <w:r w:rsidRPr="00E17D61">
        <w:rPr>
          <w:szCs w:val="16"/>
          <w:lang w:val="en-AU"/>
        </w:rPr>
        <w:t>and the</w:t>
      </w:r>
      <w:r w:rsidRPr="004033E3">
        <w:rPr>
          <w:szCs w:val="16"/>
          <w:lang w:val="en-AU"/>
        </w:rPr>
        <w:t xml:space="preserve"> </w:t>
      </w:r>
      <w:r w:rsidRPr="004033E3">
        <w:rPr>
          <w:rStyle w:val="FootnoteReference"/>
          <w:szCs w:val="16"/>
          <w:vertAlign w:val="baseline"/>
          <w:lang w:val="en-AU"/>
        </w:rPr>
        <w:t xml:space="preserve">ability to supply a service, </w:t>
      </w:r>
      <w:r w:rsidRPr="004033E3">
        <w:rPr>
          <w:lang w:val="en-AU"/>
        </w:rPr>
        <w:t xml:space="preserve">including to do so in a manner consistent with a Member’s regulatory requirements, such as </w:t>
      </w:r>
      <w:r w:rsidRPr="004033E3">
        <w:rPr>
          <w:rStyle w:val="FootnoteReference"/>
          <w:szCs w:val="16"/>
          <w:vertAlign w:val="baseline"/>
          <w:lang w:val="en-AU"/>
        </w:rPr>
        <w:t>health a</w:t>
      </w:r>
      <w:r w:rsidRPr="004033E3">
        <w:rPr>
          <w:szCs w:val="16"/>
          <w:lang w:val="en-AU"/>
        </w:rPr>
        <w:t>nd</w:t>
      </w:r>
      <w:r w:rsidRPr="004033E3">
        <w:rPr>
          <w:rStyle w:val="FootnoteReference"/>
          <w:szCs w:val="16"/>
          <w:vertAlign w:val="baseline"/>
          <w:lang w:val="en-AU"/>
        </w:rPr>
        <w:t xml:space="preserve"> environmental</w:t>
      </w:r>
      <w:r w:rsidRPr="004033E3">
        <w:rPr>
          <w:szCs w:val="16"/>
          <w:lang w:val="en-AU"/>
        </w:rPr>
        <w:t xml:space="preserve"> requirements.</w:t>
      </w:r>
      <w:r w:rsidRPr="004033E3">
        <w:rPr>
          <w:rStyle w:val="FootnoteReference"/>
          <w:szCs w:val="16"/>
          <w:vertAlign w:val="baseline"/>
          <w:lang w:val="en-AU"/>
        </w:rPr>
        <w:t xml:space="preserve"> Competent authorities may assess the weight to be given to e</w:t>
      </w:r>
      <w:r w:rsidRPr="004033E3">
        <w:rPr>
          <w:szCs w:val="16"/>
          <w:lang w:val="en-AU"/>
        </w:rPr>
        <w:t xml:space="preserve">ach </w:t>
      </w:r>
      <w:r w:rsidRPr="004033E3">
        <w:rPr>
          <w:rStyle w:val="FootnoteReference"/>
          <w:szCs w:val="16"/>
          <w:vertAlign w:val="baseline"/>
          <w:lang w:val="en-AU"/>
        </w:rPr>
        <w:t>criterion.</w:t>
      </w:r>
    </w:p>
  </w:footnote>
  <w:footnote w:id="18">
    <w:p w14:paraId="57992832" w14:textId="5E0A3E6B" w:rsidR="00A93069" w:rsidRPr="00570E50" w:rsidRDefault="00A93069" w:rsidP="00A93069">
      <w:pPr>
        <w:pStyle w:val="FootnoteText"/>
      </w:pPr>
      <w:r w:rsidRPr="00570E50">
        <w:rPr>
          <w:rStyle w:val="FootnoteReference"/>
        </w:rPr>
        <w:footnoteRef/>
      </w:r>
      <w:r w:rsidRPr="00570E50">
        <w:t xml:space="preserve"> </w:t>
      </w:r>
      <w:r w:rsidRPr="00570E50">
        <w:rPr>
          <w:rStyle w:val="FootnoteReference"/>
          <w:szCs w:val="16"/>
          <w:vertAlign w:val="baseline"/>
          <w:lang w:val="en-AU"/>
        </w:rPr>
        <w:t>Differential treatment that is reasonable and objective, and aims to achieve a legitimate purpose, and adoption by Members of temporary special measures aimed at accelerating de facto equality</w:t>
      </w:r>
      <w:r w:rsidRPr="00570E50">
        <w:rPr>
          <w:szCs w:val="16"/>
          <w:lang w:val="en-AU"/>
        </w:rPr>
        <w:t xml:space="preserve"> between men and women</w:t>
      </w:r>
      <w:r w:rsidRPr="00570E50">
        <w:rPr>
          <w:rStyle w:val="FootnoteReference"/>
          <w:szCs w:val="16"/>
          <w:vertAlign w:val="baseline"/>
          <w:lang w:val="en-AU"/>
        </w:rPr>
        <w:t>, shall not be considered discrimination for the purposes of this provision.</w:t>
      </w:r>
    </w:p>
  </w:footnote>
  <w:footnote w:id="19">
    <w:p w14:paraId="29A7EF4A" w14:textId="77777777" w:rsidR="00A93069" w:rsidRDefault="00A93069" w:rsidP="00A93069">
      <w:pPr>
        <w:pStyle w:val="FootnoteText"/>
      </w:pPr>
      <w:r>
        <w:rPr>
          <w:rStyle w:val="FootnoteReference"/>
        </w:rPr>
        <w:footnoteRef/>
      </w:r>
      <w:r>
        <w:t xml:space="preserve"> Competent a</w:t>
      </w:r>
      <w:r w:rsidRPr="00CC555A">
        <w:t xml:space="preserve">uthorities </w:t>
      </w:r>
      <w:r w:rsidRPr="008224F4">
        <w:t>are not required</w:t>
      </w:r>
      <w:r w:rsidRPr="00CC555A">
        <w:t xml:space="preserve"> to start </w:t>
      </w:r>
      <w:r w:rsidRPr="00070D68">
        <w:t>considering applications</w:t>
      </w:r>
      <w:r w:rsidRPr="00CC555A">
        <w:t xml:space="preserve"> outside </w:t>
      </w:r>
      <w:r w:rsidRPr="004A7D96">
        <w:t>of their</w:t>
      </w:r>
      <w:r w:rsidRPr="00CC555A">
        <w:t xml:space="preserve"> official working hours and working days.</w:t>
      </w:r>
    </w:p>
  </w:footnote>
  <w:footnote w:id="20">
    <w:p w14:paraId="2A93BDA7" w14:textId="77777777" w:rsidR="00A93069" w:rsidRDefault="00A93069" w:rsidP="00A93069">
      <w:pPr>
        <w:pStyle w:val="FootnoteText"/>
      </w:pPr>
      <w:r>
        <w:rPr>
          <w:rStyle w:val="FootnoteReference"/>
        </w:rPr>
        <w:footnoteRef/>
      </w:r>
      <w:r>
        <w:t xml:space="preserve"> </w:t>
      </w:r>
      <w:r w:rsidRPr="00CB522E">
        <w:t>Competent authorities may require that all information is submitted in a specified format to consider it "complete for processing".</w:t>
      </w:r>
    </w:p>
  </w:footnote>
  <w:footnote w:id="21">
    <w:p w14:paraId="00DF8C5C" w14:textId="3A12756B" w:rsidR="00A93069" w:rsidRDefault="00A93069" w:rsidP="00A93069">
      <w:pPr>
        <w:pStyle w:val="FootnoteText"/>
      </w:pPr>
      <w:r>
        <w:rPr>
          <w:rStyle w:val="FootnoteReference"/>
        </w:rPr>
        <w:footnoteRef/>
      </w:r>
      <w:r>
        <w:t xml:space="preserve"> </w:t>
      </w:r>
      <w:r w:rsidRPr="001D2763">
        <w:rPr>
          <w:rStyle w:val="FootnoteReference"/>
          <w:szCs w:val="16"/>
          <w:vertAlign w:val="baseline"/>
        </w:rPr>
        <w:t xml:space="preserve">Competent authorities </w:t>
      </w:r>
      <w:r w:rsidRPr="008B1693">
        <w:rPr>
          <w:rStyle w:val="FootnoteReference"/>
          <w:szCs w:val="16"/>
          <w:vertAlign w:val="baseline"/>
        </w:rPr>
        <w:t>may</w:t>
      </w:r>
      <w:r w:rsidRPr="001D2763">
        <w:rPr>
          <w:rStyle w:val="FootnoteReference"/>
          <w:szCs w:val="16"/>
          <w:vertAlign w:val="baseline"/>
        </w:rPr>
        <w:t xml:space="preserve"> meet this requirement by informing an applicant in advance in writing, including through a published measure</w:t>
      </w:r>
      <w:r>
        <w:rPr>
          <w:szCs w:val="16"/>
        </w:rPr>
        <w:t>,</w:t>
      </w:r>
      <w:r>
        <w:rPr>
          <w:rStyle w:val="FootnoteReference"/>
          <w:szCs w:val="16"/>
          <w:vertAlign w:val="baseline"/>
        </w:rPr>
        <w:t xml:space="preserve"> </w:t>
      </w:r>
      <w:r w:rsidRPr="001D2763">
        <w:rPr>
          <w:rStyle w:val="FootnoteReference"/>
          <w:szCs w:val="16"/>
          <w:vertAlign w:val="baseline"/>
        </w:rPr>
        <w:t xml:space="preserve">that lack of response after a specified period of time from the date of submission of </w:t>
      </w:r>
      <w:r>
        <w:rPr>
          <w:szCs w:val="16"/>
        </w:rPr>
        <w:t xml:space="preserve">an </w:t>
      </w:r>
      <w:r w:rsidRPr="001D2763">
        <w:rPr>
          <w:rStyle w:val="FootnoteReference"/>
          <w:szCs w:val="16"/>
          <w:vertAlign w:val="baseline"/>
        </w:rPr>
        <w:t>application indicates acceptance</w:t>
      </w:r>
      <w:r>
        <w:rPr>
          <w:rStyle w:val="FootnoteReference"/>
          <w:szCs w:val="16"/>
          <w:vertAlign w:val="baseline"/>
        </w:rPr>
        <w:t xml:space="preserve"> </w:t>
      </w:r>
      <w:r>
        <w:rPr>
          <w:szCs w:val="16"/>
        </w:rPr>
        <w:t>of the application</w:t>
      </w:r>
      <w:r w:rsidRPr="001D2763">
        <w:rPr>
          <w:rStyle w:val="FootnoteReference"/>
          <w:szCs w:val="16"/>
          <w:vertAlign w:val="baseline"/>
        </w:rPr>
        <w:t xml:space="preserve"> or rejection of the application.</w:t>
      </w:r>
    </w:p>
  </w:footnote>
  <w:footnote w:id="22">
    <w:p w14:paraId="1B184CFD" w14:textId="77777777" w:rsidR="00A93069" w:rsidRPr="00A875EA" w:rsidRDefault="00A93069" w:rsidP="00A93069">
      <w:pPr>
        <w:pStyle w:val="FootnoteText"/>
        <w:rPr>
          <w:lang w:val="pt-BR"/>
        </w:rPr>
      </w:pPr>
      <w:r>
        <w:rPr>
          <w:rStyle w:val="FootnoteReference"/>
        </w:rPr>
        <w:footnoteRef/>
      </w:r>
      <w:r w:rsidRPr="00B64566">
        <w:rPr>
          <w:lang w:val="pt-BR"/>
        </w:rPr>
        <w:t xml:space="preserve"> </w:t>
      </w:r>
      <w:r w:rsidRPr="00B64566">
        <w:rPr>
          <w:rStyle w:val="FootnoteReference"/>
          <w:szCs w:val="16"/>
          <w:vertAlign w:val="baseline"/>
          <w:lang w:val="pt-BR"/>
        </w:rPr>
        <w:t>"</w:t>
      </w:r>
      <w:r w:rsidRPr="00A875EA">
        <w:rPr>
          <w:szCs w:val="16"/>
          <w:lang w:val="pt-BR"/>
        </w:rPr>
        <w:t>I</w:t>
      </w:r>
      <w:r w:rsidRPr="00A875EA">
        <w:rPr>
          <w:rStyle w:val="FootnoteReference"/>
          <w:szCs w:val="16"/>
          <w:vertAlign w:val="baseline"/>
          <w:lang w:val="pt-BR"/>
        </w:rPr>
        <w:t>n writing" may include in electronic form.</w:t>
      </w:r>
    </w:p>
  </w:footnote>
  <w:footnote w:id="23">
    <w:p w14:paraId="0E4E35CB" w14:textId="77777777" w:rsidR="00A93069" w:rsidRPr="00B64566" w:rsidRDefault="00A93069" w:rsidP="00A93069">
      <w:pPr>
        <w:pStyle w:val="FootnoteText"/>
        <w:rPr>
          <w:lang w:val="pt-BR"/>
        </w:rPr>
      </w:pPr>
      <w:r w:rsidRPr="001D28ED">
        <w:rPr>
          <w:rStyle w:val="FootnoteReference"/>
        </w:rPr>
        <w:footnoteRef/>
      </w:r>
      <w:r w:rsidRPr="00A875EA">
        <w:rPr>
          <w:lang w:val="pt-BR"/>
        </w:rPr>
        <w:t xml:space="preserve"> </w:t>
      </w:r>
      <w:r w:rsidRPr="00A875EA">
        <w:rPr>
          <w:rStyle w:val="FootnoteReference"/>
          <w:szCs w:val="16"/>
          <w:vertAlign w:val="baseline"/>
          <w:lang w:val="pt-BR"/>
        </w:rPr>
        <w:t>Such opportunity does not require a competent authority to provide extensions</w:t>
      </w:r>
      <w:r w:rsidRPr="000D40D8">
        <w:rPr>
          <w:rStyle w:val="FootnoteReference"/>
          <w:szCs w:val="16"/>
          <w:vertAlign w:val="baseline"/>
          <w:lang w:val="pt-BR"/>
        </w:rPr>
        <w:t xml:space="preserve"> </w:t>
      </w:r>
      <w:r w:rsidRPr="00A875EA">
        <w:rPr>
          <w:rStyle w:val="FootnoteReference"/>
          <w:szCs w:val="16"/>
          <w:vertAlign w:val="baseline"/>
          <w:lang w:val="pt-BR"/>
        </w:rPr>
        <w:t>of</w:t>
      </w:r>
      <w:r w:rsidRPr="008224F4">
        <w:rPr>
          <w:rStyle w:val="FootnoteReference"/>
          <w:szCs w:val="16"/>
          <w:vertAlign w:val="baseline"/>
          <w:lang w:val="pt-BR"/>
        </w:rPr>
        <w:t xml:space="preserve"> deadlines</w:t>
      </w:r>
      <w:r w:rsidRPr="00B64566">
        <w:rPr>
          <w:rStyle w:val="FootnoteReference"/>
          <w:szCs w:val="16"/>
          <w:vertAlign w:val="baseline"/>
          <w:lang w:val="pt-BR"/>
        </w:rPr>
        <w:t>.</w:t>
      </w:r>
    </w:p>
  </w:footnote>
  <w:footnote w:id="24">
    <w:p w14:paraId="6474E0F6" w14:textId="45B44C5F" w:rsidR="00D27A30" w:rsidRDefault="00D27A30">
      <w:pPr>
        <w:pStyle w:val="FootnoteText"/>
      </w:pPr>
      <w:r>
        <w:rPr>
          <w:rStyle w:val="FootnoteReference"/>
        </w:rPr>
        <w:footnoteRef/>
      </w:r>
      <w:r>
        <w:t xml:space="preserve"> Competent authorities may require that the content of such an application has been revised.</w:t>
      </w:r>
    </w:p>
  </w:footnote>
  <w:footnote w:id="25">
    <w:p w14:paraId="69726E58" w14:textId="77777777" w:rsidR="00A93069" w:rsidRDefault="00A93069" w:rsidP="00A93069">
      <w:pPr>
        <w:pStyle w:val="FootnoteText"/>
      </w:pPr>
      <w:r>
        <w:rPr>
          <w:rStyle w:val="FootnoteReference"/>
        </w:rPr>
        <w:footnoteRef/>
      </w:r>
      <w:r>
        <w:t xml:space="preserve"> Competent authorities are not responsible for delays due to reasons outside their competence.</w:t>
      </w:r>
    </w:p>
  </w:footnote>
  <w:footnote w:id="26">
    <w:p w14:paraId="66001400" w14:textId="4202AF70" w:rsidR="00A93069" w:rsidRPr="00A875EA" w:rsidRDefault="00A93069" w:rsidP="00A93069">
      <w:pPr>
        <w:pStyle w:val="FootnoteText"/>
        <w:rPr>
          <w:lang w:val="de-CH"/>
        </w:rPr>
      </w:pPr>
      <w:r w:rsidRPr="00360418">
        <w:rPr>
          <w:rStyle w:val="FootnoteReference"/>
          <w:lang w:val="en-US"/>
        </w:rPr>
        <w:footnoteRef/>
      </w:r>
      <w:r w:rsidRPr="00A875EA">
        <w:rPr>
          <w:lang w:val="de-CH"/>
        </w:rPr>
        <w:t xml:space="preserve"> </w:t>
      </w:r>
      <w:r w:rsidRPr="00A875EA">
        <w:rPr>
          <w:rStyle w:val="FootnoteReference"/>
          <w:szCs w:val="16"/>
          <w:vertAlign w:val="baseline"/>
          <w:lang w:val="de-CH"/>
        </w:rPr>
        <w:t>Authori</w:t>
      </w:r>
      <w:r w:rsidRPr="00A875EA">
        <w:rPr>
          <w:szCs w:val="16"/>
          <w:lang w:val="de-CH"/>
        </w:rPr>
        <w:t>z</w:t>
      </w:r>
      <w:r w:rsidRPr="00A875EA">
        <w:rPr>
          <w:rStyle w:val="FootnoteReference"/>
          <w:szCs w:val="16"/>
          <w:vertAlign w:val="baseline"/>
          <w:lang w:val="de-CH"/>
        </w:rPr>
        <w:t>ation fees do not include fees for the use of natural resources, payments for auction, tendering or other non-discriminatory means of awarding concessions, or mandated contributions to universal service provision.</w:t>
      </w:r>
    </w:p>
  </w:footnote>
  <w:footnote w:id="27">
    <w:p w14:paraId="2C0C270F" w14:textId="7C112364" w:rsidR="00A93069" w:rsidRPr="000D40D8" w:rsidRDefault="00A93069" w:rsidP="00A93069">
      <w:pPr>
        <w:pStyle w:val="FootnoteText"/>
      </w:pPr>
      <w:r w:rsidRPr="00217DA9">
        <w:rPr>
          <w:rStyle w:val="FootnoteReference"/>
        </w:rPr>
        <w:footnoteRef/>
      </w:r>
      <w:r w:rsidRPr="00217DA9">
        <w:t xml:space="preserve"> For greater certainty, this provision does not mandate a particular administrative structure</w:t>
      </w:r>
      <w:r>
        <w:t>;</w:t>
      </w:r>
      <w:r w:rsidRPr="00217DA9">
        <w:t xml:space="preserve"> it refers to the decision-making process and administering of decisions.</w:t>
      </w:r>
    </w:p>
  </w:footnote>
  <w:footnote w:id="28">
    <w:p w14:paraId="694322DE" w14:textId="77777777" w:rsidR="00A93069" w:rsidRPr="00472104" w:rsidRDefault="00A93069" w:rsidP="00A93069">
      <w:pPr>
        <w:pStyle w:val="FootnoteText"/>
      </w:pPr>
      <w:r>
        <w:rPr>
          <w:rStyle w:val="FootnoteReference"/>
        </w:rPr>
        <w:footnoteRef/>
      </w:r>
      <w:r w:rsidRPr="00472104">
        <w:t xml:space="preserve"> </w:t>
      </w:r>
      <w:r w:rsidRPr="000D40D8">
        <w:rPr>
          <w:rStyle w:val="FootnoteReference"/>
          <w:szCs w:val="16"/>
          <w:vertAlign w:val="baseline"/>
        </w:rPr>
        <w:t>For purposes of these disciplines, "publish" means to include in an official publication, such as an official journal, or on an official website.</w:t>
      </w:r>
      <w:r w:rsidRPr="000D40D8">
        <w:t xml:space="preserve"> M</w:t>
      </w:r>
      <w:r w:rsidRPr="000D40D8">
        <w:rPr>
          <w:rStyle w:val="FootnoteReference"/>
          <w:szCs w:val="16"/>
          <w:vertAlign w:val="baseline"/>
        </w:rPr>
        <w:t>embers are encouraged to consolidate electronic publications into a single portal.</w:t>
      </w:r>
    </w:p>
  </w:footnote>
  <w:footnote w:id="29">
    <w:p w14:paraId="6B9951BD" w14:textId="3FA9AE32" w:rsidR="00A93069" w:rsidRPr="00BE73B3" w:rsidRDefault="00A93069" w:rsidP="00A93069">
      <w:pPr>
        <w:pStyle w:val="FootnoteText"/>
      </w:pPr>
      <w:r w:rsidRPr="000D40D8">
        <w:rPr>
          <w:rStyle w:val="FootnoteReference"/>
        </w:rPr>
        <w:footnoteRef/>
      </w:r>
      <w:r w:rsidRPr="00BE73B3">
        <w:t xml:space="preserve"> </w:t>
      </w:r>
      <w:r w:rsidRPr="00FF2575">
        <w:rPr>
          <w:rStyle w:val="FootnoteReference"/>
          <w:szCs w:val="16"/>
          <w:vertAlign w:val="baseline"/>
        </w:rPr>
        <w:t xml:space="preserve">Paragraphs </w:t>
      </w:r>
      <w:r w:rsidRPr="00FF2575">
        <w:t>1</w:t>
      </w:r>
      <w:r>
        <w:t>2</w:t>
      </w:r>
      <w:r w:rsidRPr="00FF2575">
        <w:rPr>
          <w:rStyle w:val="FootnoteReference"/>
          <w:szCs w:val="16"/>
          <w:vertAlign w:val="baseline"/>
        </w:rPr>
        <w:t xml:space="preserve"> </w:t>
      </w:r>
      <w:r w:rsidRPr="00FF2575">
        <w:t>to 1</w:t>
      </w:r>
      <w:r>
        <w:t>5</w:t>
      </w:r>
      <w:r w:rsidRPr="00FF2575">
        <w:t xml:space="preserve"> </w:t>
      </w:r>
      <w:r w:rsidR="00CC6361">
        <w:t>of this Section</w:t>
      </w:r>
      <w:r w:rsidR="00CC6361" w:rsidRPr="00FF2575">
        <w:rPr>
          <w:rStyle w:val="FootnoteReference"/>
          <w:szCs w:val="16"/>
          <w:vertAlign w:val="baseline"/>
        </w:rPr>
        <w:t xml:space="preserve"> </w:t>
      </w:r>
      <w:r w:rsidRPr="00FF2575">
        <w:rPr>
          <w:rStyle w:val="FootnoteReference"/>
          <w:szCs w:val="16"/>
          <w:vertAlign w:val="baseline"/>
        </w:rPr>
        <w:t>recognize that Members have different systems to consult interested persons and other Members</w:t>
      </w:r>
      <w:r w:rsidRPr="005829CD">
        <w:rPr>
          <w:rStyle w:val="FootnoteReference"/>
          <w:szCs w:val="16"/>
          <w:vertAlign w:val="baseline"/>
        </w:rPr>
        <w:t xml:space="preserve"> on certain measures before the</w:t>
      </w:r>
      <w:r w:rsidRPr="005829CD">
        <w:rPr>
          <w:szCs w:val="16"/>
        </w:rPr>
        <w:t>ir adopt</w:t>
      </w:r>
      <w:r w:rsidRPr="00BE73B3">
        <w:rPr>
          <w:szCs w:val="16"/>
        </w:rPr>
        <w:t>io</w:t>
      </w:r>
      <w:r w:rsidRPr="005829CD">
        <w:rPr>
          <w:szCs w:val="16"/>
        </w:rPr>
        <w:t>n</w:t>
      </w:r>
      <w:r w:rsidRPr="005829CD">
        <w:rPr>
          <w:rStyle w:val="FootnoteReference"/>
          <w:szCs w:val="16"/>
          <w:vertAlign w:val="baseline"/>
        </w:rPr>
        <w:t xml:space="preserve">, and that the alternatives set out in paragraph </w:t>
      </w:r>
      <w:r w:rsidRPr="005829CD">
        <w:t>1</w:t>
      </w:r>
      <w:r>
        <w:t>2</w:t>
      </w:r>
      <w:r w:rsidR="00CC6361">
        <w:t xml:space="preserve"> of this Section</w:t>
      </w:r>
      <w:r w:rsidRPr="005829CD">
        <w:rPr>
          <w:rStyle w:val="FootnoteReference"/>
          <w:szCs w:val="16"/>
          <w:vertAlign w:val="baseline"/>
        </w:rPr>
        <w:t xml:space="preserve"> reflect different legal systems.</w:t>
      </w:r>
    </w:p>
  </w:footnote>
  <w:footnote w:id="30">
    <w:p w14:paraId="73E1A69C" w14:textId="2EE52752" w:rsidR="00A93069" w:rsidRPr="003832B7" w:rsidRDefault="00A93069" w:rsidP="00A93069">
      <w:pPr>
        <w:pStyle w:val="FootnoteText"/>
        <w:rPr>
          <w:rStyle w:val="FootnoteReference"/>
          <w:szCs w:val="16"/>
          <w:vertAlign w:val="baseline"/>
          <w:lang w:val="en-AU"/>
        </w:rPr>
      </w:pPr>
      <w:r w:rsidRPr="00CB56CE">
        <w:rPr>
          <w:rStyle w:val="FootnoteReference"/>
          <w:szCs w:val="16"/>
          <w:lang w:val="en-AU"/>
        </w:rPr>
        <w:footnoteRef/>
      </w:r>
      <w:r w:rsidRPr="003832B7">
        <w:rPr>
          <w:rStyle w:val="FootnoteReference"/>
          <w:szCs w:val="16"/>
          <w:vertAlign w:val="baseline"/>
          <w:lang w:val="en-AU"/>
        </w:rPr>
        <w:t xml:space="preserve"> This provision </w:t>
      </w:r>
      <w:r>
        <w:rPr>
          <w:szCs w:val="16"/>
          <w:lang w:val="en-AU"/>
        </w:rPr>
        <w:t xml:space="preserve">is without prejudice to </w:t>
      </w:r>
      <w:r w:rsidRPr="003832B7">
        <w:rPr>
          <w:rStyle w:val="FootnoteReference"/>
          <w:szCs w:val="16"/>
          <w:vertAlign w:val="baseline"/>
          <w:lang w:val="en-AU"/>
        </w:rPr>
        <w:t>the final decision of a Member that adopts or maintains any measure for authori</w:t>
      </w:r>
      <w:r>
        <w:rPr>
          <w:szCs w:val="16"/>
          <w:lang w:val="en-AU"/>
        </w:rPr>
        <w:t>z</w:t>
      </w:r>
      <w:r w:rsidRPr="003832B7">
        <w:rPr>
          <w:rStyle w:val="FootnoteReference"/>
          <w:szCs w:val="16"/>
          <w:vertAlign w:val="baseline"/>
          <w:lang w:val="en-AU"/>
        </w:rPr>
        <w:t>ation for the supply of a service.</w:t>
      </w:r>
    </w:p>
  </w:footnote>
  <w:footnote w:id="31">
    <w:p w14:paraId="32C19EB1" w14:textId="77777777" w:rsidR="00A93069" w:rsidRPr="000D40D8" w:rsidRDefault="00A93069" w:rsidP="00A93069">
      <w:pPr>
        <w:pStyle w:val="FootnoteText"/>
      </w:pPr>
      <w:r>
        <w:rPr>
          <w:rStyle w:val="FootnoteReference"/>
        </w:rPr>
        <w:footnoteRef/>
      </w:r>
      <w:r w:rsidRPr="00472104">
        <w:t xml:space="preserve"> </w:t>
      </w:r>
      <w:r w:rsidRPr="000D40D8">
        <w:rPr>
          <w:rStyle w:val="FootnoteReference"/>
          <w:szCs w:val="16"/>
          <w:vertAlign w:val="baseline"/>
        </w:rPr>
        <w:t>It is understood that resource constraints may be a factor in determining whether a mechanism for responding to enquiries is appropriate.</w:t>
      </w:r>
    </w:p>
  </w:footnote>
  <w:footnote w:id="32">
    <w:p w14:paraId="48F1B50E" w14:textId="77777777" w:rsidR="00A93069" w:rsidRPr="00C140DE" w:rsidRDefault="00A93069" w:rsidP="00A93069">
      <w:pPr>
        <w:ind w:firstLine="567"/>
        <w:jc w:val="left"/>
      </w:pPr>
      <w:r w:rsidRPr="007C507A">
        <w:rPr>
          <w:rStyle w:val="FootnoteReference"/>
          <w:sz w:val="16"/>
          <w:szCs w:val="16"/>
        </w:rPr>
        <w:footnoteRef/>
      </w:r>
      <w:r w:rsidRPr="007C507A">
        <w:rPr>
          <w:sz w:val="16"/>
          <w:szCs w:val="16"/>
        </w:rPr>
        <w:t xml:space="preserve"> </w:t>
      </w:r>
      <w:r w:rsidRPr="007C507A">
        <w:rPr>
          <w:rStyle w:val="FootnoteReference"/>
          <w:sz w:val="16"/>
          <w:szCs w:val="16"/>
          <w:vertAlign w:val="baseline"/>
          <w:lang w:val="en-AU"/>
        </w:rPr>
        <w:t>S</w:t>
      </w:r>
      <w:r w:rsidRPr="003D1B6D">
        <w:rPr>
          <w:rStyle w:val="FootnoteReference"/>
          <w:sz w:val="16"/>
          <w:vertAlign w:val="baseline"/>
          <w:lang w:val="en-AU"/>
        </w:rPr>
        <w:t xml:space="preserve">uch criteria may include, </w:t>
      </w:r>
      <w:r w:rsidRPr="003D1B6D">
        <w:rPr>
          <w:rStyle w:val="FootnoteReference"/>
          <w:i/>
          <w:sz w:val="16"/>
          <w:vertAlign w:val="baseline"/>
          <w:lang w:val="en-AU"/>
        </w:rPr>
        <w:t>inter alia</w:t>
      </w:r>
      <w:r w:rsidRPr="003D1B6D">
        <w:rPr>
          <w:rStyle w:val="FootnoteReference"/>
          <w:sz w:val="16"/>
          <w:vertAlign w:val="baseline"/>
          <w:lang w:val="en-AU"/>
        </w:rPr>
        <w:t xml:space="preserve">, competence </w:t>
      </w:r>
      <w:r w:rsidRPr="003D1B6D">
        <w:rPr>
          <w:sz w:val="16"/>
          <w:lang w:val="en-AU"/>
        </w:rPr>
        <w:t xml:space="preserve">and the </w:t>
      </w:r>
      <w:r w:rsidRPr="003D1B6D">
        <w:rPr>
          <w:rStyle w:val="FootnoteReference"/>
          <w:sz w:val="16"/>
          <w:vertAlign w:val="baseline"/>
          <w:lang w:val="en-AU"/>
        </w:rPr>
        <w:t xml:space="preserve">ability to supply a service, </w:t>
      </w:r>
      <w:r w:rsidRPr="003D1B6D">
        <w:rPr>
          <w:sz w:val="16"/>
          <w:lang w:val="en-AU"/>
        </w:rPr>
        <w:t>including to do so in a manner consistent with a Member’s regulatory requirements</w:t>
      </w:r>
      <w:r w:rsidRPr="00EE2325">
        <w:rPr>
          <w:sz w:val="16"/>
          <w:szCs w:val="16"/>
          <w:lang w:val="en-AU"/>
        </w:rPr>
        <w:t>.</w:t>
      </w:r>
      <w:r w:rsidRPr="003D1B6D">
        <w:rPr>
          <w:rStyle w:val="FootnoteReference"/>
          <w:sz w:val="16"/>
          <w:vertAlign w:val="baseline"/>
          <w:lang w:val="en-AU"/>
        </w:rPr>
        <w:t xml:space="preserve"> Competent authorities may assess the </w:t>
      </w:r>
      <w:r w:rsidRPr="00C140DE">
        <w:rPr>
          <w:rStyle w:val="FootnoteReference"/>
          <w:sz w:val="16"/>
          <w:vertAlign w:val="baseline"/>
          <w:lang w:val="en-AU"/>
        </w:rPr>
        <w:t>weight to be given to e</w:t>
      </w:r>
      <w:r w:rsidRPr="00C140DE">
        <w:rPr>
          <w:sz w:val="16"/>
          <w:lang w:val="en-AU"/>
        </w:rPr>
        <w:t xml:space="preserve">ach </w:t>
      </w:r>
      <w:r w:rsidRPr="00C140DE">
        <w:rPr>
          <w:rStyle w:val="FootnoteReference"/>
          <w:sz w:val="16"/>
          <w:vertAlign w:val="baseline"/>
          <w:lang w:val="en-AU"/>
        </w:rPr>
        <w:t>criterion</w:t>
      </w:r>
      <w:r w:rsidRPr="00C140DE">
        <w:rPr>
          <w:rStyle w:val="FootnoteReference"/>
          <w:szCs w:val="16"/>
          <w:vertAlign w:val="baseline"/>
          <w:lang w:val="en-AU"/>
        </w:rPr>
        <w:t>.</w:t>
      </w:r>
    </w:p>
  </w:footnote>
  <w:footnote w:id="33">
    <w:p w14:paraId="09AB7A15" w14:textId="6605BFA8" w:rsidR="002114E1" w:rsidRPr="005634A7" w:rsidRDefault="002114E1" w:rsidP="00405954">
      <w:pPr>
        <w:pStyle w:val="FootnoteText"/>
        <w:rPr>
          <w:lang w:val="en-CA"/>
        </w:rPr>
      </w:pPr>
      <w:r w:rsidRPr="00C140DE">
        <w:rPr>
          <w:rStyle w:val="FootnoteReference"/>
        </w:rPr>
        <w:footnoteRef/>
      </w:r>
      <w:r w:rsidRPr="00C140DE">
        <w:t xml:space="preserve"> Differential treatment that is reasonable and objective, and aims to achieve a legitimate purpose, and adoption by Members of temporary special measures aimed at accelerating de facto equality between men and women, shall not be considered discrimination for the purposes of this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4017" w14:textId="7B3B30DD" w:rsidR="00215F59" w:rsidRPr="00215F59" w:rsidRDefault="00891431" w:rsidP="00215F59">
    <w:pPr>
      <w:pStyle w:val="Header"/>
      <w:pBdr>
        <w:bottom w:val="single" w:sz="4" w:space="1" w:color="auto"/>
      </w:pBdr>
      <w:tabs>
        <w:tab w:val="clear" w:pos="4513"/>
        <w:tab w:val="clear" w:pos="9027"/>
      </w:tabs>
      <w:jc w:val="center"/>
    </w:pPr>
    <w:r>
      <w:t>INF/SDR/</w:t>
    </w:r>
    <w:r w:rsidR="001A5816">
      <w:t>2</w:t>
    </w:r>
  </w:p>
  <w:p w14:paraId="3A128B31" w14:textId="77777777" w:rsidR="00215F59" w:rsidRPr="00215F59" w:rsidRDefault="00215F59" w:rsidP="00215F59">
    <w:pPr>
      <w:pStyle w:val="Header"/>
      <w:pBdr>
        <w:bottom w:val="single" w:sz="4" w:space="1" w:color="auto"/>
      </w:pBdr>
      <w:tabs>
        <w:tab w:val="clear" w:pos="4513"/>
        <w:tab w:val="clear" w:pos="9027"/>
      </w:tabs>
      <w:jc w:val="center"/>
    </w:pPr>
  </w:p>
  <w:p w14:paraId="7EF7D7D2" w14:textId="08798C93" w:rsidR="00215F59" w:rsidRPr="00215F59" w:rsidRDefault="00215F59" w:rsidP="00215F59">
    <w:pPr>
      <w:pStyle w:val="Header"/>
      <w:pBdr>
        <w:bottom w:val="single" w:sz="4" w:space="1" w:color="auto"/>
      </w:pBdr>
      <w:tabs>
        <w:tab w:val="clear" w:pos="4513"/>
        <w:tab w:val="clear" w:pos="9027"/>
      </w:tabs>
      <w:jc w:val="center"/>
    </w:pPr>
    <w:r w:rsidRPr="00215F59">
      <w:t xml:space="preserve">- </w:t>
    </w:r>
    <w:r w:rsidRPr="00215F59">
      <w:fldChar w:fldCharType="begin"/>
    </w:r>
    <w:r w:rsidRPr="00215F59">
      <w:instrText xml:space="preserve"> PAGE </w:instrText>
    </w:r>
    <w:r w:rsidRPr="00215F59">
      <w:fldChar w:fldCharType="separate"/>
    </w:r>
    <w:r w:rsidRPr="00215F59">
      <w:rPr>
        <w:noProof/>
      </w:rPr>
      <w:t>2</w:t>
    </w:r>
    <w:r w:rsidRPr="00215F59">
      <w:fldChar w:fldCharType="end"/>
    </w:r>
    <w:r w:rsidRPr="00215F59">
      <w:t xml:space="preserve"> -</w:t>
    </w:r>
  </w:p>
  <w:p w14:paraId="7A697C00" w14:textId="76C1AC31" w:rsidR="00544326" w:rsidRPr="00215F59" w:rsidRDefault="00544326" w:rsidP="00215F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3D16" w14:textId="16208FE3" w:rsidR="00215F59" w:rsidRPr="00215F59" w:rsidRDefault="00891431" w:rsidP="00215F59">
    <w:pPr>
      <w:pStyle w:val="Header"/>
      <w:pBdr>
        <w:bottom w:val="single" w:sz="4" w:space="1" w:color="auto"/>
      </w:pBdr>
      <w:tabs>
        <w:tab w:val="clear" w:pos="4513"/>
        <w:tab w:val="clear" w:pos="9027"/>
      </w:tabs>
      <w:jc w:val="center"/>
    </w:pPr>
    <w:r>
      <w:t>INF/SDR</w:t>
    </w:r>
    <w:r w:rsidR="007B7138">
      <w:t>/</w:t>
    </w:r>
    <w:r w:rsidR="001A5816">
      <w:t>2</w:t>
    </w:r>
  </w:p>
  <w:p w14:paraId="3AD77574" w14:textId="77777777" w:rsidR="00215F59" w:rsidRPr="00215F59" w:rsidRDefault="00215F59" w:rsidP="00215F59">
    <w:pPr>
      <w:pStyle w:val="Header"/>
      <w:pBdr>
        <w:bottom w:val="single" w:sz="4" w:space="1" w:color="auto"/>
      </w:pBdr>
      <w:tabs>
        <w:tab w:val="clear" w:pos="4513"/>
        <w:tab w:val="clear" w:pos="9027"/>
      </w:tabs>
      <w:jc w:val="center"/>
    </w:pPr>
  </w:p>
  <w:p w14:paraId="79DBB908" w14:textId="35633AE7" w:rsidR="00215F59" w:rsidRPr="00215F59" w:rsidRDefault="00215F59" w:rsidP="00215F59">
    <w:pPr>
      <w:pStyle w:val="Header"/>
      <w:pBdr>
        <w:bottom w:val="single" w:sz="4" w:space="1" w:color="auto"/>
      </w:pBdr>
      <w:tabs>
        <w:tab w:val="clear" w:pos="4513"/>
        <w:tab w:val="clear" w:pos="9027"/>
      </w:tabs>
      <w:jc w:val="center"/>
    </w:pPr>
    <w:r w:rsidRPr="00215F59">
      <w:t xml:space="preserve">- </w:t>
    </w:r>
    <w:r w:rsidRPr="00215F59">
      <w:fldChar w:fldCharType="begin"/>
    </w:r>
    <w:r w:rsidRPr="00215F59">
      <w:instrText xml:space="preserve"> PAGE </w:instrText>
    </w:r>
    <w:r w:rsidRPr="00215F59">
      <w:fldChar w:fldCharType="separate"/>
    </w:r>
    <w:r w:rsidRPr="00215F59">
      <w:rPr>
        <w:noProof/>
      </w:rPr>
      <w:t>3</w:t>
    </w:r>
    <w:r w:rsidRPr="00215F59">
      <w:fldChar w:fldCharType="end"/>
    </w:r>
    <w:r w:rsidRPr="00215F59">
      <w:t xml:space="preserve"> -</w:t>
    </w:r>
  </w:p>
  <w:p w14:paraId="64C713EB" w14:textId="4FB8A696" w:rsidR="00544326" w:rsidRPr="00215F59" w:rsidRDefault="00544326" w:rsidP="00215F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182B84" w14:paraId="7AE09120" w14:textId="77777777" w:rsidTr="00544326">
      <w:trPr>
        <w:trHeight w:val="240"/>
        <w:jc w:val="center"/>
      </w:trPr>
      <w:tc>
        <w:tcPr>
          <w:tcW w:w="3794" w:type="dxa"/>
          <w:shd w:val="clear" w:color="auto" w:fill="FFFFFF"/>
          <w:tcMar>
            <w:left w:w="108" w:type="dxa"/>
            <w:right w:w="108" w:type="dxa"/>
          </w:tcMar>
          <w:vAlign w:val="center"/>
        </w:tcPr>
        <w:p w14:paraId="67097D1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2106ADD" w14:textId="0DD012D9" w:rsidR="00ED54E0" w:rsidRPr="004057C4" w:rsidRDefault="00ED54E0" w:rsidP="00215F59">
          <w:pPr>
            <w:jc w:val="right"/>
            <w:rPr>
              <w:b/>
              <w:strike/>
              <w:color w:val="FF0000"/>
              <w:szCs w:val="16"/>
            </w:rPr>
          </w:pPr>
        </w:p>
      </w:tc>
    </w:tr>
    <w:tr w:rsidR="00ED54E0" w:rsidRPr="00182B84" w14:paraId="156C8021" w14:textId="77777777" w:rsidTr="00544326">
      <w:trPr>
        <w:trHeight w:val="213"/>
        <w:jc w:val="center"/>
      </w:trPr>
      <w:tc>
        <w:tcPr>
          <w:tcW w:w="3794" w:type="dxa"/>
          <w:vMerge w:val="restart"/>
          <w:shd w:val="clear" w:color="auto" w:fill="FFFFFF"/>
          <w:tcMar>
            <w:left w:w="0" w:type="dxa"/>
            <w:right w:w="0" w:type="dxa"/>
          </w:tcMar>
        </w:tcPr>
        <w:p w14:paraId="142C67BF" w14:textId="77777777" w:rsidR="00ED54E0" w:rsidRPr="00182B84" w:rsidRDefault="00ED54E0" w:rsidP="00425DC5">
          <w:pPr>
            <w:jc w:val="left"/>
          </w:pPr>
          <w:r w:rsidRPr="00182B84">
            <w:rPr>
              <w:noProof/>
              <w:lang w:val="fr-CH" w:eastAsia="fr-CH"/>
            </w:rPr>
            <w:drawing>
              <wp:inline distT="0" distB="0" distL="0" distR="0" wp14:anchorId="189D1032" wp14:editId="5C832036">
                <wp:extent cx="2398395" cy="716280"/>
                <wp:effectExtent l="0" t="0" r="1905"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94CC41" w14:textId="77777777" w:rsidR="00ED54E0" w:rsidRPr="00182B84" w:rsidRDefault="00ED54E0" w:rsidP="001A5816">
          <w:pPr>
            <w:jc w:val="center"/>
            <w:rPr>
              <w:b/>
              <w:szCs w:val="16"/>
            </w:rPr>
          </w:pPr>
        </w:p>
      </w:tc>
    </w:tr>
    <w:tr w:rsidR="00ED54E0" w:rsidRPr="00D80810" w14:paraId="266634B7" w14:textId="77777777" w:rsidTr="00544326">
      <w:trPr>
        <w:trHeight w:val="868"/>
        <w:jc w:val="center"/>
      </w:trPr>
      <w:tc>
        <w:tcPr>
          <w:tcW w:w="3794" w:type="dxa"/>
          <w:vMerge/>
          <w:shd w:val="clear" w:color="auto" w:fill="FFFFFF"/>
          <w:tcMar>
            <w:left w:w="108" w:type="dxa"/>
            <w:right w:w="108" w:type="dxa"/>
          </w:tcMar>
        </w:tcPr>
        <w:p w14:paraId="7E7C336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FF784E1" w14:textId="5CE781DA" w:rsidR="00215F59" w:rsidRDefault="00891431" w:rsidP="00425DC5">
          <w:pPr>
            <w:jc w:val="right"/>
            <w:rPr>
              <w:b/>
              <w:szCs w:val="16"/>
            </w:rPr>
          </w:pPr>
          <w:bookmarkStart w:id="5" w:name="bmkSymbols"/>
          <w:r>
            <w:rPr>
              <w:b/>
              <w:szCs w:val="16"/>
            </w:rPr>
            <w:t>INF/SDR/</w:t>
          </w:r>
          <w:r w:rsidR="001A5816">
            <w:rPr>
              <w:b/>
              <w:szCs w:val="16"/>
            </w:rPr>
            <w:t>2</w:t>
          </w:r>
        </w:p>
        <w:bookmarkEnd w:id="5"/>
        <w:p w14:paraId="32E8C1F9" w14:textId="02C378A2" w:rsidR="00ED54E0" w:rsidRPr="00391B11" w:rsidRDefault="00ED54E0" w:rsidP="00425DC5">
          <w:pPr>
            <w:jc w:val="right"/>
            <w:rPr>
              <w:b/>
              <w:szCs w:val="16"/>
              <w:highlight w:val="yellow"/>
            </w:rPr>
          </w:pPr>
        </w:p>
      </w:tc>
    </w:tr>
    <w:tr w:rsidR="00ED54E0" w:rsidRPr="005E46AA" w14:paraId="1F964DCD" w14:textId="77777777" w:rsidTr="00544326">
      <w:trPr>
        <w:trHeight w:val="240"/>
        <w:jc w:val="center"/>
      </w:trPr>
      <w:tc>
        <w:tcPr>
          <w:tcW w:w="3794" w:type="dxa"/>
          <w:vMerge/>
          <w:shd w:val="clear" w:color="auto" w:fill="FFFFFF"/>
          <w:tcMar>
            <w:left w:w="108" w:type="dxa"/>
            <w:right w:w="108" w:type="dxa"/>
          </w:tcMar>
          <w:vAlign w:val="center"/>
        </w:tcPr>
        <w:p w14:paraId="3A01205B" w14:textId="77777777" w:rsidR="00ED54E0" w:rsidRPr="00182B84" w:rsidRDefault="00ED54E0" w:rsidP="00425DC5"/>
      </w:tc>
      <w:tc>
        <w:tcPr>
          <w:tcW w:w="5448" w:type="dxa"/>
          <w:gridSpan w:val="2"/>
          <w:shd w:val="clear" w:color="auto" w:fill="FFFFFF"/>
          <w:tcMar>
            <w:left w:w="108" w:type="dxa"/>
            <w:right w:w="108" w:type="dxa"/>
          </w:tcMar>
          <w:vAlign w:val="center"/>
        </w:tcPr>
        <w:p w14:paraId="58430EA9" w14:textId="073100DF" w:rsidR="00ED54E0" w:rsidRPr="005E46AA" w:rsidRDefault="00920BC6" w:rsidP="00425DC5">
          <w:pPr>
            <w:jc w:val="right"/>
            <w:rPr>
              <w:szCs w:val="16"/>
              <w:highlight w:val="yellow"/>
            </w:rPr>
          </w:pPr>
          <w:r>
            <w:rPr>
              <w:szCs w:val="16"/>
            </w:rPr>
            <w:t>26</w:t>
          </w:r>
          <w:r w:rsidR="007B7138">
            <w:rPr>
              <w:szCs w:val="16"/>
            </w:rPr>
            <w:t xml:space="preserve"> November</w:t>
          </w:r>
          <w:r w:rsidR="00A93069" w:rsidRPr="00717CC1">
            <w:rPr>
              <w:szCs w:val="16"/>
            </w:rPr>
            <w:t xml:space="preserve"> 202</w:t>
          </w:r>
          <w:r w:rsidR="00391B11" w:rsidRPr="00717CC1">
            <w:rPr>
              <w:szCs w:val="16"/>
            </w:rPr>
            <w:t>1</w:t>
          </w:r>
        </w:p>
      </w:tc>
    </w:tr>
    <w:tr w:rsidR="00ED54E0" w:rsidRPr="00D80810" w14:paraId="641F985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33743B" w14:textId="0CC9F570" w:rsidR="00ED54E0" w:rsidRPr="00D80810" w:rsidRDefault="00ED54E0" w:rsidP="00425DC5">
          <w:pPr>
            <w:jc w:val="left"/>
            <w:rPr>
              <w:b/>
            </w:rPr>
          </w:pPr>
          <w:bookmarkStart w:id="6" w:name="bmkSerial" w:colFirst="0" w:colLast="0"/>
          <w:r w:rsidRPr="00D80810">
            <w:rPr>
              <w:color w:val="FF0000"/>
              <w:szCs w:val="16"/>
            </w:rPr>
            <w:t>(</w:t>
          </w:r>
          <w:r w:rsidR="00A875EA" w:rsidRPr="00D80810">
            <w:rPr>
              <w:color w:val="FF0000"/>
              <w:szCs w:val="16"/>
            </w:rPr>
            <w:t>2</w:t>
          </w:r>
          <w:r w:rsidR="00844987">
            <w:rPr>
              <w:color w:val="FF0000"/>
              <w:szCs w:val="16"/>
            </w:rPr>
            <w:t>1</w:t>
          </w:r>
          <w:r w:rsidRPr="00D80810">
            <w:rPr>
              <w:color w:val="FF0000"/>
              <w:szCs w:val="16"/>
            </w:rPr>
            <w:t>-</w:t>
          </w:r>
          <w:r w:rsidR="00327D9B">
            <w:rPr>
              <w:color w:val="FF0000"/>
              <w:szCs w:val="16"/>
            </w:rPr>
            <w:t>8948</w:t>
          </w:r>
          <w:r w:rsidRPr="00D80810">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4FEF592" w14:textId="4FCA5072" w:rsidR="00ED54E0" w:rsidRPr="00D80810" w:rsidRDefault="00ED54E0" w:rsidP="00425DC5">
          <w:pPr>
            <w:jc w:val="right"/>
            <w:rPr>
              <w:szCs w:val="16"/>
            </w:rPr>
          </w:pPr>
          <w:bookmarkStart w:id="7" w:name="bmkTotPages"/>
          <w:r w:rsidRPr="00D80810">
            <w:rPr>
              <w:bCs/>
              <w:szCs w:val="16"/>
            </w:rPr>
            <w:t xml:space="preserve">Page: </w:t>
          </w:r>
          <w:r w:rsidRPr="00D80810">
            <w:rPr>
              <w:bCs/>
              <w:szCs w:val="16"/>
            </w:rPr>
            <w:fldChar w:fldCharType="begin"/>
          </w:r>
          <w:r w:rsidRPr="00D80810">
            <w:rPr>
              <w:bCs/>
              <w:szCs w:val="16"/>
            </w:rPr>
            <w:instrText xml:space="preserve"> PAGE  \* Arabic  \* MERGEFORMAT </w:instrText>
          </w:r>
          <w:r w:rsidRPr="00D80810">
            <w:rPr>
              <w:bCs/>
              <w:szCs w:val="16"/>
            </w:rPr>
            <w:fldChar w:fldCharType="separate"/>
          </w:r>
          <w:r w:rsidR="00B04083" w:rsidRPr="00D80810">
            <w:rPr>
              <w:bCs/>
              <w:noProof/>
              <w:szCs w:val="16"/>
            </w:rPr>
            <w:t>1</w:t>
          </w:r>
          <w:r w:rsidRPr="00D80810">
            <w:rPr>
              <w:bCs/>
              <w:szCs w:val="16"/>
            </w:rPr>
            <w:fldChar w:fldCharType="end"/>
          </w:r>
          <w:r w:rsidRPr="00D80810">
            <w:rPr>
              <w:bCs/>
              <w:szCs w:val="16"/>
            </w:rPr>
            <w:t>/</w:t>
          </w:r>
          <w:r w:rsidRPr="00D80810">
            <w:rPr>
              <w:bCs/>
              <w:szCs w:val="16"/>
            </w:rPr>
            <w:fldChar w:fldCharType="begin"/>
          </w:r>
          <w:r w:rsidRPr="00D80810">
            <w:rPr>
              <w:bCs/>
              <w:szCs w:val="16"/>
            </w:rPr>
            <w:instrText xml:space="preserve"> NUMPAGES  \* Arabic  \* MERGEFORMAT </w:instrText>
          </w:r>
          <w:r w:rsidRPr="00D80810">
            <w:rPr>
              <w:bCs/>
              <w:szCs w:val="16"/>
            </w:rPr>
            <w:fldChar w:fldCharType="separate"/>
          </w:r>
          <w:r w:rsidR="00B04083" w:rsidRPr="00D80810">
            <w:rPr>
              <w:bCs/>
              <w:noProof/>
              <w:szCs w:val="16"/>
            </w:rPr>
            <w:t>12</w:t>
          </w:r>
          <w:r w:rsidRPr="00D80810">
            <w:rPr>
              <w:bCs/>
              <w:szCs w:val="16"/>
            </w:rPr>
            <w:fldChar w:fldCharType="end"/>
          </w:r>
          <w:bookmarkEnd w:id="7"/>
        </w:p>
      </w:tc>
    </w:tr>
    <w:tr w:rsidR="00ED54E0" w:rsidRPr="00182B84" w14:paraId="60BA2EE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24F5B6" w14:textId="787CD9ED" w:rsidR="00ED54E0" w:rsidRPr="00182B84" w:rsidRDefault="00215F59" w:rsidP="00425DC5">
          <w:pPr>
            <w:jc w:val="left"/>
            <w:rPr>
              <w:sz w:val="14"/>
              <w:szCs w:val="16"/>
            </w:rPr>
          </w:pPr>
          <w:bookmarkStart w:id="8" w:name="bmkCommittee"/>
          <w:bookmarkEnd w:id="6"/>
          <w:r>
            <w:rPr>
              <w:b/>
            </w:rPr>
            <w:t xml:space="preserve"> </w:t>
          </w:r>
          <w:bookmarkEnd w:id="8"/>
        </w:p>
      </w:tc>
      <w:tc>
        <w:tcPr>
          <w:tcW w:w="3325" w:type="dxa"/>
          <w:tcBorders>
            <w:top w:val="single" w:sz="4" w:space="0" w:color="auto"/>
          </w:tcBorders>
          <w:tcMar>
            <w:top w:w="113" w:type="dxa"/>
            <w:left w:w="108" w:type="dxa"/>
            <w:bottom w:w="57" w:type="dxa"/>
            <w:right w:w="108" w:type="dxa"/>
          </w:tcMar>
          <w:vAlign w:val="center"/>
        </w:tcPr>
        <w:p w14:paraId="43F31D5C" w14:textId="5052232C" w:rsidR="00ED54E0" w:rsidRPr="00182B84" w:rsidRDefault="00ED54E0" w:rsidP="00425DC5">
          <w:pPr>
            <w:jc w:val="right"/>
            <w:rPr>
              <w:bCs/>
              <w:szCs w:val="18"/>
            </w:rPr>
          </w:pPr>
        </w:p>
      </w:tc>
    </w:tr>
  </w:tbl>
  <w:p w14:paraId="61A5737C" w14:textId="77777777"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CD4"/>
    <w:multiLevelType w:val="hybridMultilevel"/>
    <w:tmpl w:val="089CB766"/>
    <w:lvl w:ilvl="0" w:tplc="1E924B4C">
      <w:start w:val="1"/>
      <w:numFmt w:val="decimal"/>
      <w:lvlText w:val="%1."/>
      <w:lvlJc w:val="left"/>
      <w:pPr>
        <w:ind w:left="360" w:hanging="360"/>
      </w:pPr>
      <w:rPr>
        <w:rFonts w:hint="default"/>
        <w:b w:val="0"/>
        <w:caps w:val="0"/>
        <w:strike w:val="0"/>
        <w:dstrike w:val="0"/>
        <w:vanish w:val="0"/>
        <w:color w:val="000000" w:themeColor="text1"/>
        <w:u w:val="none"/>
        <w:vertAlign w:val="baseline"/>
        <w:lang w:val="en-GB"/>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90362A0"/>
    <w:multiLevelType w:val="hybridMultilevel"/>
    <w:tmpl w:val="D19CF10E"/>
    <w:lvl w:ilvl="0" w:tplc="39B655C6">
      <w:start w:val="1"/>
      <w:numFmt w:val="lowerLetter"/>
      <w:lvlText w:val="(%1)"/>
      <w:lvlJc w:val="left"/>
      <w:pPr>
        <w:ind w:left="135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F15F5"/>
    <w:multiLevelType w:val="hybridMultilevel"/>
    <w:tmpl w:val="E646B6A6"/>
    <w:lvl w:ilvl="0" w:tplc="18143F02">
      <w:start w:val="1"/>
      <w:numFmt w:val="lowerRoman"/>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11F87B6E"/>
    <w:multiLevelType w:val="hybridMultilevel"/>
    <w:tmpl w:val="B7408EA0"/>
    <w:lvl w:ilvl="0" w:tplc="18143F02">
      <w:start w:val="1"/>
      <w:numFmt w:val="lowerRoman"/>
      <w:lvlText w:val="(%1)"/>
      <w:lvlJc w:val="right"/>
      <w:pPr>
        <w:ind w:left="720" w:hanging="360"/>
      </w:pPr>
      <w:rPr>
        <w:rFonts w:hint="default"/>
      </w:rPr>
    </w:lvl>
    <w:lvl w:ilvl="1" w:tplc="18143F0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71E65"/>
    <w:multiLevelType w:val="hybridMultilevel"/>
    <w:tmpl w:val="89B66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3845B5"/>
    <w:multiLevelType w:val="hybridMultilevel"/>
    <w:tmpl w:val="A38EE886"/>
    <w:lvl w:ilvl="0" w:tplc="4DF07A3C">
      <w:start w:val="1"/>
      <w:numFmt w:val="lowerLetter"/>
      <w:lvlText w:val="(%1)"/>
      <w:lvlJc w:val="left"/>
      <w:pPr>
        <w:ind w:left="720" w:hanging="360"/>
      </w:pPr>
      <w:rPr>
        <w:rFonts w:cs="Times New Roman"/>
      </w:rPr>
    </w:lvl>
    <w:lvl w:ilvl="1" w:tplc="0C090019">
      <w:start w:val="1"/>
      <w:numFmt w:val="lowerLetter"/>
      <w:lvlText w:val="%2."/>
      <w:lvlJc w:val="left"/>
      <w:pPr>
        <w:ind w:left="1440" w:hanging="360"/>
      </w:pPr>
    </w:lvl>
    <w:lvl w:ilvl="2" w:tplc="18143F02">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0AE6B8E"/>
    <w:multiLevelType w:val="hybridMultilevel"/>
    <w:tmpl w:val="E9DC4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F05632"/>
    <w:multiLevelType w:val="hybridMultilevel"/>
    <w:tmpl w:val="015EE952"/>
    <w:lvl w:ilvl="0" w:tplc="03D6A03A">
      <w:start w:val="5"/>
      <w:numFmt w:val="decimal"/>
      <w:lvlText w:val="%1."/>
      <w:lvlJc w:val="left"/>
      <w:pPr>
        <w:ind w:left="927" w:hanging="360"/>
      </w:pPr>
      <w:rPr>
        <w:rFonts w:hint="default"/>
        <w:i w:val="0"/>
        <w:i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7517AC2"/>
    <w:multiLevelType w:val="hybridMultilevel"/>
    <w:tmpl w:val="AC606D58"/>
    <w:lvl w:ilvl="0" w:tplc="188E51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A1934AF"/>
    <w:multiLevelType w:val="hybridMultilevel"/>
    <w:tmpl w:val="861C53FC"/>
    <w:lvl w:ilvl="0" w:tplc="A59A9608">
      <w:start w:val="1"/>
      <w:numFmt w:val="decimal"/>
      <w:lvlText w:val="%1."/>
      <w:lvlJc w:val="left"/>
      <w:pPr>
        <w:ind w:left="360" w:hanging="360"/>
      </w:pPr>
      <w:rPr>
        <w:rFonts w:hint="default"/>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CE483E"/>
    <w:multiLevelType w:val="hybridMultilevel"/>
    <w:tmpl w:val="6E04EE9C"/>
    <w:lvl w:ilvl="0" w:tplc="188E51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A494D90"/>
    <w:multiLevelType w:val="hybridMultilevel"/>
    <w:tmpl w:val="C9622B08"/>
    <w:lvl w:ilvl="0" w:tplc="188E51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5462A"/>
    <w:multiLevelType w:val="hybridMultilevel"/>
    <w:tmpl w:val="EFB83066"/>
    <w:lvl w:ilvl="0" w:tplc="36A84BBA">
      <w:start w:val="6"/>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B188A"/>
    <w:multiLevelType w:val="hybridMultilevel"/>
    <w:tmpl w:val="5A025BFE"/>
    <w:lvl w:ilvl="0" w:tplc="188E51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F0DAA"/>
    <w:multiLevelType w:val="hybridMultilevel"/>
    <w:tmpl w:val="D7CC4D0C"/>
    <w:lvl w:ilvl="0" w:tplc="188E51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C440FCD"/>
    <w:multiLevelType w:val="hybridMultilevel"/>
    <w:tmpl w:val="5A025BFE"/>
    <w:lvl w:ilvl="0" w:tplc="188E51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D550D"/>
    <w:multiLevelType w:val="hybridMultilevel"/>
    <w:tmpl w:val="A76C8C24"/>
    <w:lvl w:ilvl="0" w:tplc="188E51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76613"/>
    <w:multiLevelType w:val="hybridMultilevel"/>
    <w:tmpl w:val="0D20FE58"/>
    <w:lvl w:ilvl="0" w:tplc="188E51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29" w15:restartNumberingAfterBreak="0">
    <w:nsid w:val="57454AB1"/>
    <w:multiLevelType w:val="multilevel"/>
    <w:tmpl w:val="075A666C"/>
    <w:numStyleLink w:val="LegalHeadings"/>
  </w:abstractNum>
  <w:abstractNum w:abstractNumId="30"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31" w15:restartNumberingAfterBreak="0">
    <w:nsid w:val="610128A5"/>
    <w:multiLevelType w:val="hybridMultilevel"/>
    <w:tmpl w:val="02FE1BB2"/>
    <w:lvl w:ilvl="0" w:tplc="7180A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526BA"/>
    <w:multiLevelType w:val="hybridMultilevel"/>
    <w:tmpl w:val="0A84D2E2"/>
    <w:lvl w:ilvl="0" w:tplc="513E3446">
      <w:start w:val="1"/>
      <w:numFmt w:val="decimal"/>
      <w:pStyle w:val="SummaryText"/>
      <w:lvlText w:val="%1."/>
      <w:lvlJc w:val="left"/>
      <w:pPr>
        <w:ind w:left="360" w:hanging="360"/>
      </w:pPr>
    </w:lvl>
    <w:lvl w:ilvl="1" w:tplc="188E5104">
      <w:start w:val="1"/>
      <w:numFmt w:val="lowerLetter"/>
      <w:lvlText w:val="(%2)"/>
      <w:lvlJc w:val="left"/>
      <w:pPr>
        <w:ind w:left="1080" w:hanging="360"/>
      </w:pPr>
      <w:rPr>
        <w:rFonts w:hint="default"/>
      </w:rPr>
    </w:lvl>
    <w:lvl w:ilvl="2" w:tplc="18143F02">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931490"/>
    <w:multiLevelType w:val="hybridMultilevel"/>
    <w:tmpl w:val="144ABCEE"/>
    <w:lvl w:ilvl="0" w:tplc="188E51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A812A1C"/>
    <w:multiLevelType w:val="hybridMultilevel"/>
    <w:tmpl w:val="C7F4703A"/>
    <w:lvl w:ilvl="0" w:tplc="188E51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10E6E"/>
    <w:multiLevelType w:val="hybridMultilevel"/>
    <w:tmpl w:val="972882CE"/>
    <w:lvl w:ilvl="0" w:tplc="18143F02">
      <w:start w:val="1"/>
      <w:numFmt w:val="lowerRoman"/>
      <w:lvlText w:val="(%1)"/>
      <w:lvlJc w:val="righ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6" w15:restartNumberingAfterBreak="0">
    <w:nsid w:val="6DA76099"/>
    <w:multiLevelType w:val="hybridMultilevel"/>
    <w:tmpl w:val="2922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C2F44"/>
    <w:multiLevelType w:val="hybridMultilevel"/>
    <w:tmpl w:val="236E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91C0C"/>
    <w:multiLevelType w:val="hybridMultilevel"/>
    <w:tmpl w:val="AD646306"/>
    <w:lvl w:ilvl="0" w:tplc="3162D550">
      <w:start w:val="1"/>
      <w:numFmt w:val="lowerLetter"/>
      <w:lvlText w:val="(%1)"/>
      <w:lvlJc w:val="left"/>
      <w:pPr>
        <w:ind w:left="1353"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30"/>
  </w:num>
  <w:num w:numId="7">
    <w:abstractNumId w:val="29"/>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8"/>
  </w:num>
  <w:num w:numId="12">
    <w:abstractNumId w:val="3"/>
  </w:num>
  <w:num w:numId="13">
    <w:abstractNumId w:val="2"/>
  </w:num>
  <w:num w:numId="14">
    <w:abstractNumId w:val="1"/>
  </w:num>
  <w:num w:numId="15">
    <w:abstractNumId w:val="0"/>
  </w:num>
  <w:num w:numId="16">
    <w:abstractNumId w:val="2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9"/>
  </w:num>
  <w:num w:numId="18">
    <w:abstractNumId w:val="19"/>
    <w:lvlOverride w:ilvl="0">
      <w:startOverride w:val="1"/>
    </w:lvlOverride>
  </w:num>
  <w:num w:numId="19">
    <w:abstractNumId w:val="26"/>
  </w:num>
  <w:num w:numId="20">
    <w:abstractNumId w:val="21"/>
  </w:num>
  <w:num w:numId="21">
    <w:abstractNumId w:val="25"/>
  </w:num>
  <w:num w:numId="22">
    <w:abstractNumId w:val="34"/>
  </w:num>
  <w:num w:numId="23">
    <w:abstractNumId w:val="35"/>
  </w:num>
  <w:num w:numId="24">
    <w:abstractNumId w:val="23"/>
  </w:num>
  <w:num w:numId="25">
    <w:abstractNumId w:val="15"/>
  </w:num>
  <w:num w:numId="26">
    <w:abstractNumId w:val="10"/>
  </w:num>
  <w:num w:numId="27">
    <w:abstractNumId w:val="2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8">
    <w:abstractNumId w:val="29"/>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9">
    <w:abstractNumId w:val="2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0">
    <w:abstractNumId w:val="2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1">
    <w:abstractNumId w:val="37"/>
  </w:num>
  <w:num w:numId="32">
    <w:abstractNumId w:val="2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3">
    <w:abstractNumId w:val="29"/>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34">
    <w:abstractNumId w:val="18"/>
  </w:num>
  <w:num w:numId="35">
    <w:abstractNumId w:val="31"/>
  </w:num>
  <w:num w:numId="36">
    <w:abstractNumId w:val="12"/>
  </w:num>
  <w:num w:numId="37">
    <w:abstractNumId w:val="15"/>
  </w:num>
  <w:num w:numId="38">
    <w:abstractNumId w:val="33"/>
  </w:num>
  <w:num w:numId="39">
    <w:abstractNumId w:val="13"/>
  </w:num>
  <w:num w:numId="40">
    <w:abstractNumId w:val="24"/>
  </w:num>
  <w:num w:numId="41">
    <w:abstractNumId w:val="22"/>
  </w:num>
  <w:num w:numId="42">
    <w:abstractNumId w:val="20"/>
  </w:num>
  <w:num w:numId="43">
    <w:abstractNumId w:val="27"/>
  </w:num>
  <w:num w:numId="44">
    <w:abstractNumId w:val="38"/>
  </w:num>
  <w:num w:numId="45">
    <w:abstractNumId w:val="16"/>
  </w:num>
  <w:num w:numId="46">
    <w:abstractNumId w:val="17"/>
  </w:num>
  <w:num w:numId="47">
    <w:abstractNumId w:val="11"/>
  </w:num>
  <w:num w:numId="48">
    <w:abstractNumId w:val="3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hyphenationZone w:val="283"/>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69"/>
    <w:rsid w:val="0000613C"/>
    <w:rsid w:val="000162B7"/>
    <w:rsid w:val="000272F6"/>
    <w:rsid w:val="00037AC4"/>
    <w:rsid w:val="000423BF"/>
    <w:rsid w:val="000477AD"/>
    <w:rsid w:val="00054F64"/>
    <w:rsid w:val="0006331C"/>
    <w:rsid w:val="00075351"/>
    <w:rsid w:val="000A4945"/>
    <w:rsid w:val="000A5150"/>
    <w:rsid w:val="000A6B72"/>
    <w:rsid w:val="000B31E1"/>
    <w:rsid w:val="000B4A63"/>
    <w:rsid w:val="000C4853"/>
    <w:rsid w:val="000C653E"/>
    <w:rsid w:val="000D2CD0"/>
    <w:rsid w:val="000E5104"/>
    <w:rsid w:val="000F6B61"/>
    <w:rsid w:val="0011356B"/>
    <w:rsid w:val="00127961"/>
    <w:rsid w:val="0013337F"/>
    <w:rsid w:val="00144B99"/>
    <w:rsid w:val="001521F2"/>
    <w:rsid w:val="00157AA1"/>
    <w:rsid w:val="001659C1"/>
    <w:rsid w:val="00173D5C"/>
    <w:rsid w:val="00182B84"/>
    <w:rsid w:val="0018561C"/>
    <w:rsid w:val="0018720B"/>
    <w:rsid w:val="001A31CF"/>
    <w:rsid w:val="001A5816"/>
    <w:rsid w:val="001C7193"/>
    <w:rsid w:val="001D0786"/>
    <w:rsid w:val="001E291F"/>
    <w:rsid w:val="001E44DC"/>
    <w:rsid w:val="002005A1"/>
    <w:rsid w:val="0020643E"/>
    <w:rsid w:val="00206F64"/>
    <w:rsid w:val="002114E1"/>
    <w:rsid w:val="00213CF2"/>
    <w:rsid w:val="00215F59"/>
    <w:rsid w:val="00224878"/>
    <w:rsid w:val="00233408"/>
    <w:rsid w:val="00252F42"/>
    <w:rsid w:val="00264CBC"/>
    <w:rsid w:val="002656EB"/>
    <w:rsid w:val="00267F21"/>
    <w:rsid w:val="0027067B"/>
    <w:rsid w:val="0028057D"/>
    <w:rsid w:val="002831EC"/>
    <w:rsid w:val="002A2854"/>
    <w:rsid w:val="002D7BE5"/>
    <w:rsid w:val="002E46E8"/>
    <w:rsid w:val="002F1313"/>
    <w:rsid w:val="002F5AB1"/>
    <w:rsid w:val="003058B3"/>
    <w:rsid w:val="003076C1"/>
    <w:rsid w:val="003156C6"/>
    <w:rsid w:val="003168B6"/>
    <w:rsid w:val="00327D9B"/>
    <w:rsid w:val="003378D0"/>
    <w:rsid w:val="003557C1"/>
    <w:rsid w:val="003572B4"/>
    <w:rsid w:val="00360418"/>
    <w:rsid w:val="0037546C"/>
    <w:rsid w:val="00380038"/>
    <w:rsid w:val="00387920"/>
    <w:rsid w:val="00391B11"/>
    <w:rsid w:val="00397463"/>
    <w:rsid w:val="003A2187"/>
    <w:rsid w:val="003A24F1"/>
    <w:rsid w:val="003A5AF1"/>
    <w:rsid w:val="003C264E"/>
    <w:rsid w:val="003C2F28"/>
    <w:rsid w:val="003E092A"/>
    <w:rsid w:val="003F51CB"/>
    <w:rsid w:val="003F6561"/>
    <w:rsid w:val="0040042F"/>
    <w:rsid w:val="00400876"/>
    <w:rsid w:val="00403525"/>
    <w:rsid w:val="004057C4"/>
    <w:rsid w:val="00405954"/>
    <w:rsid w:val="00411722"/>
    <w:rsid w:val="00411CCA"/>
    <w:rsid w:val="00420FAD"/>
    <w:rsid w:val="00431E41"/>
    <w:rsid w:val="00433561"/>
    <w:rsid w:val="004409C7"/>
    <w:rsid w:val="004420AA"/>
    <w:rsid w:val="00467032"/>
    <w:rsid w:val="0046754A"/>
    <w:rsid w:val="00470853"/>
    <w:rsid w:val="004A44A6"/>
    <w:rsid w:val="004B0A7A"/>
    <w:rsid w:val="004B127C"/>
    <w:rsid w:val="004B7817"/>
    <w:rsid w:val="004E09E4"/>
    <w:rsid w:val="004E0FBC"/>
    <w:rsid w:val="004F203A"/>
    <w:rsid w:val="004F748F"/>
    <w:rsid w:val="00510534"/>
    <w:rsid w:val="005161C5"/>
    <w:rsid w:val="0052048C"/>
    <w:rsid w:val="005336B8"/>
    <w:rsid w:val="00544326"/>
    <w:rsid w:val="00547B5F"/>
    <w:rsid w:val="005517D1"/>
    <w:rsid w:val="00564399"/>
    <w:rsid w:val="005646D8"/>
    <w:rsid w:val="005672A9"/>
    <w:rsid w:val="00575B1A"/>
    <w:rsid w:val="005857A6"/>
    <w:rsid w:val="0059390E"/>
    <w:rsid w:val="005A0CB6"/>
    <w:rsid w:val="005A1A22"/>
    <w:rsid w:val="005B04B9"/>
    <w:rsid w:val="005B68C7"/>
    <w:rsid w:val="005B7054"/>
    <w:rsid w:val="005C0A72"/>
    <w:rsid w:val="005D1A2A"/>
    <w:rsid w:val="005D5981"/>
    <w:rsid w:val="005E46AA"/>
    <w:rsid w:val="005E66D9"/>
    <w:rsid w:val="005F30CB"/>
    <w:rsid w:val="00605CD6"/>
    <w:rsid w:val="0060622D"/>
    <w:rsid w:val="00607500"/>
    <w:rsid w:val="006114FD"/>
    <w:rsid w:val="00612644"/>
    <w:rsid w:val="00626775"/>
    <w:rsid w:val="006620B3"/>
    <w:rsid w:val="00674CCD"/>
    <w:rsid w:val="00681D83"/>
    <w:rsid w:val="00684241"/>
    <w:rsid w:val="00693A76"/>
    <w:rsid w:val="006C3023"/>
    <w:rsid w:val="006E50D0"/>
    <w:rsid w:val="006E6D25"/>
    <w:rsid w:val="006F04E4"/>
    <w:rsid w:val="006F5826"/>
    <w:rsid w:val="00700181"/>
    <w:rsid w:val="00702F9F"/>
    <w:rsid w:val="007141CF"/>
    <w:rsid w:val="00717CC1"/>
    <w:rsid w:val="00745146"/>
    <w:rsid w:val="007577E3"/>
    <w:rsid w:val="00760DB3"/>
    <w:rsid w:val="00767713"/>
    <w:rsid w:val="00773ADC"/>
    <w:rsid w:val="007A6814"/>
    <w:rsid w:val="007B24BA"/>
    <w:rsid w:val="007B6242"/>
    <w:rsid w:val="007B7138"/>
    <w:rsid w:val="007C4BB4"/>
    <w:rsid w:val="007E46C7"/>
    <w:rsid w:val="007E6507"/>
    <w:rsid w:val="007F2B8E"/>
    <w:rsid w:val="007F32D1"/>
    <w:rsid w:val="007F3684"/>
    <w:rsid w:val="007F755F"/>
    <w:rsid w:val="007F7C69"/>
    <w:rsid w:val="00803E68"/>
    <w:rsid w:val="00807247"/>
    <w:rsid w:val="00811B46"/>
    <w:rsid w:val="008137AA"/>
    <w:rsid w:val="00831D7B"/>
    <w:rsid w:val="00840759"/>
    <w:rsid w:val="00840C2B"/>
    <w:rsid w:val="00844987"/>
    <w:rsid w:val="008739FD"/>
    <w:rsid w:val="0088003F"/>
    <w:rsid w:val="00891431"/>
    <w:rsid w:val="00893E85"/>
    <w:rsid w:val="008E372C"/>
    <w:rsid w:val="008E7731"/>
    <w:rsid w:val="00913BEC"/>
    <w:rsid w:val="009143CA"/>
    <w:rsid w:val="00915433"/>
    <w:rsid w:val="00920BC6"/>
    <w:rsid w:val="009220DF"/>
    <w:rsid w:val="009450D4"/>
    <w:rsid w:val="00950A65"/>
    <w:rsid w:val="009835C7"/>
    <w:rsid w:val="00984CD3"/>
    <w:rsid w:val="009A19A1"/>
    <w:rsid w:val="009A6440"/>
    <w:rsid w:val="009A6F54"/>
    <w:rsid w:val="009F11F1"/>
    <w:rsid w:val="00A0121B"/>
    <w:rsid w:val="00A105EF"/>
    <w:rsid w:val="00A44D81"/>
    <w:rsid w:val="00A56D67"/>
    <w:rsid w:val="00A6057A"/>
    <w:rsid w:val="00A62422"/>
    <w:rsid w:val="00A74017"/>
    <w:rsid w:val="00A85655"/>
    <w:rsid w:val="00A875EA"/>
    <w:rsid w:val="00A87912"/>
    <w:rsid w:val="00A93069"/>
    <w:rsid w:val="00A96B8C"/>
    <w:rsid w:val="00AA332C"/>
    <w:rsid w:val="00AC27F8"/>
    <w:rsid w:val="00AC3BC1"/>
    <w:rsid w:val="00AD142E"/>
    <w:rsid w:val="00AD144E"/>
    <w:rsid w:val="00AD4C72"/>
    <w:rsid w:val="00AE2AEE"/>
    <w:rsid w:val="00B00276"/>
    <w:rsid w:val="00B04083"/>
    <w:rsid w:val="00B11306"/>
    <w:rsid w:val="00B17BAE"/>
    <w:rsid w:val="00B230EC"/>
    <w:rsid w:val="00B30E38"/>
    <w:rsid w:val="00B36D2B"/>
    <w:rsid w:val="00B36E62"/>
    <w:rsid w:val="00B42AA1"/>
    <w:rsid w:val="00B50D04"/>
    <w:rsid w:val="00B52738"/>
    <w:rsid w:val="00B56EDC"/>
    <w:rsid w:val="00B6552B"/>
    <w:rsid w:val="00B80753"/>
    <w:rsid w:val="00BA39CF"/>
    <w:rsid w:val="00BA6F0D"/>
    <w:rsid w:val="00BB1F84"/>
    <w:rsid w:val="00BD773D"/>
    <w:rsid w:val="00BE5468"/>
    <w:rsid w:val="00BE5898"/>
    <w:rsid w:val="00BF1E85"/>
    <w:rsid w:val="00C11EAC"/>
    <w:rsid w:val="00C140DE"/>
    <w:rsid w:val="00C152C2"/>
    <w:rsid w:val="00C15F6D"/>
    <w:rsid w:val="00C22295"/>
    <w:rsid w:val="00C305D7"/>
    <w:rsid w:val="00C306CA"/>
    <w:rsid w:val="00C30F2A"/>
    <w:rsid w:val="00C42814"/>
    <w:rsid w:val="00C43456"/>
    <w:rsid w:val="00C562FE"/>
    <w:rsid w:val="00C60C16"/>
    <w:rsid w:val="00C65C0C"/>
    <w:rsid w:val="00C7574D"/>
    <w:rsid w:val="00C808FC"/>
    <w:rsid w:val="00C81762"/>
    <w:rsid w:val="00C92544"/>
    <w:rsid w:val="00CB4143"/>
    <w:rsid w:val="00CC060D"/>
    <w:rsid w:val="00CC2A54"/>
    <w:rsid w:val="00CC6361"/>
    <w:rsid w:val="00CD7D89"/>
    <w:rsid w:val="00CD7D97"/>
    <w:rsid w:val="00CE12B7"/>
    <w:rsid w:val="00CE3EE6"/>
    <w:rsid w:val="00CE4BA1"/>
    <w:rsid w:val="00CF0E15"/>
    <w:rsid w:val="00CF109F"/>
    <w:rsid w:val="00D000C7"/>
    <w:rsid w:val="00D1158B"/>
    <w:rsid w:val="00D221B8"/>
    <w:rsid w:val="00D227BA"/>
    <w:rsid w:val="00D266DE"/>
    <w:rsid w:val="00D27A30"/>
    <w:rsid w:val="00D355D8"/>
    <w:rsid w:val="00D35D7B"/>
    <w:rsid w:val="00D3671C"/>
    <w:rsid w:val="00D40AB2"/>
    <w:rsid w:val="00D44CC3"/>
    <w:rsid w:val="00D45F73"/>
    <w:rsid w:val="00D501F0"/>
    <w:rsid w:val="00D52A9D"/>
    <w:rsid w:val="00D537EB"/>
    <w:rsid w:val="00D55186"/>
    <w:rsid w:val="00D55AAD"/>
    <w:rsid w:val="00D564AC"/>
    <w:rsid w:val="00D60269"/>
    <w:rsid w:val="00D747AE"/>
    <w:rsid w:val="00D80810"/>
    <w:rsid w:val="00D9226C"/>
    <w:rsid w:val="00DA20BD"/>
    <w:rsid w:val="00DA7524"/>
    <w:rsid w:val="00DB2C52"/>
    <w:rsid w:val="00DC373D"/>
    <w:rsid w:val="00DC76A6"/>
    <w:rsid w:val="00DD2F7A"/>
    <w:rsid w:val="00DE0065"/>
    <w:rsid w:val="00DE50DB"/>
    <w:rsid w:val="00DF6AE1"/>
    <w:rsid w:val="00E03782"/>
    <w:rsid w:val="00E36044"/>
    <w:rsid w:val="00E40CB3"/>
    <w:rsid w:val="00E448F2"/>
    <w:rsid w:val="00E46FD5"/>
    <w:rsid w:val="00E4720C"/>
    <w:rsid w:val="00E544BB"/>
    <w:rsid w:val="00E56545"/>
    <w:rsid w:val="00E61402"/>
    <w:rsid w:val="00E63A55"/>
    <w:rsid w:val="00E677A6"/>
    <w:rsid w:val="00E739B7"/>
    <w:rsid w:val="00E763E3"/>
    <w:rsid w:val="00E771DD"/>
    <w:rsid w:val="00E77CD9"/>
    <w:rsid w:val="00E8320E"/>
    <w:rsid w:val="00E87A7D"/>
    <w:rsid w:val="00E9766F"/>
    <w:rsid w:val="00EA5D4F"/>
    <w:rsid w:val="00EA7CAC"/>
    <w:rsid w:val="00EB2DD4"/>
    <w:rsid w:val="00EB45EE"/>
    <w:rsid w:val="00EB49A4"/>
    <w:rsid w:val="00EB6C56"/>
    <w:rsid w:val="00ED1D47"/>
    <w:rsid w:val="00ED2076"/>
    <w:rsid w:val="00ED54E0"/>
    <w:rsid w:val="00EE1912"/>
    <w:rsid w:val="00EE7811"/>
    <w:rsid w:val="00F01FE3"/>
    <w:rsid w:val="00F04A9D"/>
    <w:rsid w:val="00F164C0"/>
    <w:rsid w:val="00F32397"/>
    <w:rsid w:val="00F36AF0"/>
    <w:rsid w:val="00F40595"/>
    <w:rsid w:val="00F41516"/>
    <w:rsid w:val="00F43078"/>
    <w:rsid w:val="00F43165"/>
    <w:rsid w:val="00F46CC4"/>
    <w:rsid w:val="00F537AA"/>
    <w:rsid w:val="00F6131C"/>
    <w:rsid w:val="00F75BA5"/>
    <w:rsid w:val="00F764F7"/>
    <w:rsid w:val="00F954F9"/>
    <w:rsid w:val="00F96426"/>
    <w:rsid w:val="00FA3039"/>
    <w:rsid w:val="00FA56B0"/>
    <w:rsid w:val="00FA5EBC"/>
    <w:rsid w:val="00FB60C9"/>
    <w:rsid w:val="00FC3098"/>
    <w:rsid w:val="00FD224A"/>
    <w:rsid w:val="00FD38BA"/>
    <w:rsid w:val="00FD5F06"/>
    <w:rsid w:val="00FE54F4"/>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7B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aliases w:val="fn,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aliases w:val="fn Char,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99"/>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DOCID-322795542-24850</_dlc_DocId>
    <_dlc_DocIdUrl xmlns="4195ad5f-cdf2-4c4a-8d9b-b7944a108e98">
      <Url>https://pmc01.sharepoint.com/sites/CRMOBPR/_layouts/15/DocIdRedir.aspx?ID=DOCID-322795542-24850</Url>
      <Description>DOCID-322795542-24850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BF193-1CA2-4FFC-B484-CD96051842F2}">
  <ds:schemaRefs>
    <ds:schemaRef ds:uri="http://schemas.microsoft.com/sharepoint/v3/contenttype/forms"/>
  </ds:schemaRefs>
</ds:datastoreItem>
</file>

<file path=customXml/itemProps2.xml><?xml version="1.0" encoding="utf-8"?>
<ds:datastoreItem xmlns:ds="http://schemas.openxmlformats.org/officeDocument/2006/customXml" ds:itemID="{9FE8BD62-2EA1-482B-8F38-261049E9EE8C}">
  <ds:schemaRefs>
    <ds:schemaRef ds:uri="http://schemas.openxmlformats.org/officeDocument/2006/bibliography"/>
  </ds:schemaRefs>
</ds:datastoreItem>
</file>

<file path=customXml/itemProps3.xml><?xml version="1.0" encoding="utf-8"?>
<ds:datastoreItem xmlns:ds="http://schemas.openxmlformats.org/officeDocument/2006/customXml" ds:itemID="{10EC5256-0F96-4F89-958B-CF0EB83300A5}"/>
</file>

<file path=customXml/itemProps4.xml><?xml version="1.0" encoding="utf-8"?>
<ds:datastoreItem xmlns:ds="http://schemas.openxmlformats.org/officeDocument/2006/customXml" ds:itemID="{3DC8FD02-C573-4C29-83BB-5335A7DCDF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1B7250-CE2B-4F47-986E-05C41BD1CE80}"/>
</file>

<file path=docProps/app.xml><?xml version="1.0" encoding="utf-8"?>
<Properties xmlns="http://schemas.openxmlformats.org/officeDocument/2006/extended-properties" xmlns:vt="http://schemas.openxmlformats.org/officeDocument/2006/docPropsVTypes">
  <Template>WTODOCE2012.DOTX</Template>
  <TotalTime>0</TotalTime>
  <Pages>12</Pages>
  <Words>3501</Words>
  <Characters>20118</Characters>
  <Application>Microsoft Office Word</Application>
  <DocSecurity>0</DocSecurity>
  <Lines>360</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2020-03-11T16:19:00Z</cp:lastPrinted>
  <dcterms:created xsi:type="dcterms:W3CDTF">2021-11-16T15:29:00Z</dcterms:created>
  <dcterms:modified xsi:type="dcterms:W3CDTF">2021-11-29T08:15:00Z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5f1e0874-b2db-4d48-8215-f4eef2c42536</vt:lpwstr>
  </property>
  <property fmtid="{D5CDD505-2E9C-101B-9397-08002B2CF9AE}" pid="3" name="WTOCLASSIFICATION">
    <vt:lpwstr>WTO OFFICIAL</vt:lpwstr>
  </property>
  <property fmtid="{D5CDD505-2E9C-101B-9397-08002B2CF9AE}" pid="4" name="Symbol1">
    <vt:lpwstr>INF/SDR/1</vt:lpwstr>
  </property>
  <property fmtid="{D5CDD505-2E9C-101B-9397-08002B2CF9AE}" pid="5" name="ContentTypeId">
    <vt:lpwstr>0x0101009CA239676470E04B809DDC4E24CF2322</vt:lpwstr>
  </property>
  <property fmtid="{D5CDD505-2E9C-101B-9397-08002B2CF9AE}" pid="6" name="_dlc_DocIdItemGuid">
    <vt:lpwstr>9adc2b3f-d85e-4ad7-b686-4a292a9956fd</vt:lpwstr>
  </property>
</Properties>
</file>