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94A20" w14:textId="77777777" w:rsidR="00F030F0" w:rsidRDefault="00A73957">
      <w:pPr>
        <w:jc w:val="center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noProof/>
          <w:sz w:val="18"/>
          <w:szCs w:val="18"/>
        </w:rPr>
        <w:drawing>
          <wp:inline distT="0" distB="0" distL="0" distR="0" wp14:anchorId="1692A976" wp14:editId="137BC3E6">
            <wp:extent cx="2981325" cy="1257300"/>
            <wp:effectExtent l="0" t="0" r="0" b="0"/>
            <wp:docPr id="2" name="Picture 2" descr="C:\Users\pmc16793\AppData\Local\Microsoft\Windows\INetCache\Content.MSO\5C4E13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c16793\AppData\Local\Microsoft\Windows\INetCache\Content.MSO\5C4E13A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7CAE" w14:textId="77777777" w:rsidR="00F030F0" w:rsidRDefault="003044EE">
      <w:pPr>
        <w:divId w:val="160461313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0064C488" w14:textId="77777777" w:rsidR="00F030F0" w:rsidRDefault="003044EE">
      <w:pPr>
        <w:jc w:val="right"/>
        <w:divId w:val="210968209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>Reference: OBPR22-03689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12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helpdesk-oia@pmc.gov.au</w:t>
        </w:r>
      </w:hyperlink>
    </w:p>
    <w:p w14:paraId="34D4340E" w14:textId="77777777" w:rsidR="00F030F0" w:rsidRDefault="003044EE">
      <w:pPr>
        <w:divId w:val="565603477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proofErr w:type="spellStart"/>
      <w:r w:rsidR="00943F6D">
        <w:rPr>
          <w:rFonts w:eastAsia="Times New Roman"/>
          <w:lang w:val="en-US"/>
        </w:rPr>
        <w:t>Ms</w:t>
      </w:r>
      <w:proofErr w:type="spellEnd"/>
      <w:r w:rsidR="00943F6D">
        <w:rPr>
          <w:rFonts w:eastAsia="Times New Roman"/>
          <w:lang w:val="en-US"/>
        </w:rPr>
        <w:t xml:space="preserve"> </w:t>
      </w:r>
      <w:r w:rsidR="00A73957" w:rsidRPr="00943F6D">
        <w:rPr>
          <w:rFonts w:eastAsia="Times New Roman"/>
          <w:lang w:val="en-US"/>
        </w:rPr>
        <w:t xml:space="preserve">Sam Reinhardt and </w:t>
      </w:r>
      <w:proofErr w:type="spellStart"/>
      <w:r w:rsidR="00943F6D">
        <w:rPr>
          <w:rFonts w:eastAsia="Times New Roman"/>
          <w:lang w:val="en-US"/>
        </w:rPr>
        <w:t>Mr</w:t>
      </w:r>
      <w:proofErr w:type="spellEnd"/>
      <w:r w:rsidR="00943F6D">
        <w:rPr>
          <w:rFonts w:eastAsia="Times New Roman"/>
          <w:lang w:val="en-US"/>
        </w:rPr>
        <w:t xml:space="preserve"> </w:t>
      </w:r>
      <w:r w:rsidR="00A73957" w:rsidRPr="00943F6D">
        <w:rPr>
          <w:rFonts w:eastAsia="Times New Roman"/>
          <w:lang w:val="en-US"/>
        </w:rPr>
        <w:t>Simon Duggan</w:t>
      </w:r>
      <w:r w:rsidRPr="00943F6D">
        <w:rPr>
          <w:rFonts w:eastAsia="Times New Roman"/>
          <w:lang w:val="en-US"/>
        </w:rPr>
        <w:br/>
      </w:r>
      <w:r w:rsidR="00943F6D" w:rsidRPr="00943F6D">
        <w:rPr>
          <w:rFonts w:eastAsia="Times New Roman"/>
          <w:lang w:val="en-US"/>
        </w:rPr>
        <w:t>Deputy Secretary (Fiscal Group) and Deputy Secretary (Energy)</w:t>
      </w:r>
      <w:r w:rsidRPr="00943F6D">
        <w:rPr>
          <w:rFonts w:eastAsia="Times New Roman"/>
          <w:lang w:val="en-US"/>
        </w:rPr>
        <w:t xml:space="preserve"> </w:t>
      </w:r>
      <w:r w:rsidRPr="00943F6D"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t>Department of the Treasury and the Department of Climate Change, Energy, the Environment and Water</w:t>
      </w:r>
      <w:r w:rsidRPr="00943F6D">
        <w:rPr>
          <w:rFonts w:eastAsia="Times New Roman"/>
          <w:lang w:val="en-US"/>
        </w:rPr>
        <w:br/>
      </w:r>
      <w:r w:rsidRPr="00943F6D">
        <w:rPr>
          <w:rFonts w:eastAsia="Times New Roman"/>
          <w:lang w:val="en-US"/>
        </w:rPr>
        <w:br/>
      </w:r>
      <w:r>
        <w:rPr>
          <w:rFonts w:eastAsia="Times New Roman"/>
          <w:lang w:val="en-US"/>
        </w:rPr>
        <w:t xml:space="preserve">Dear </w:t>
      </w:r>
      <w:proofErr w:type="spellStart"/>
      <w:r w:rsidR="00943F6D">
        <w:rPr>
          <w:rFonts w:eastAsia="Times New Roman"/>
          <w:lang w:val="en-US"/>
        </w:rPr>
        <w:t>Ms</w:t>
      </w:r>
      <w:proofErr w:type="spellEnd"/>
      <w:r w:rsidR="00943F6D">
        <w:rPr>
          <w:rFonts w:eastAsia="Times New Roman"/>
          <w:lang w:val="en-US"/>
        </w:rPr>
        <w:t xml:space="preserve"> Re</w:t>
      </w:r>
      <w:r w:rsidR="00943F6D" w:rsidRPr="00943F6D">
        <w:rPr>
          <w:rFonts w:eastAsia="Times New Roman"/>
          <w:lang w:val="en-US"/>
        </w:rPr>
        <w:t xml:space="preserve">inhardt and </w:t>
      </w:r>
      <w:proofErr w:type="spellStart"/>
      <w:r w:rsidR="00943F6D" w:rsidRPr="00943F6D">
        <w:rPr>
          <w:rFonts w:eastAsia="Times New Roman"/>
          <w:lang w:val="en-US"/>
        </w:rPr>
        <w:t>Mr</w:t>
      </w:r>
      <w:proofErr w:type="spellEnd"/>
      <w:r w:rsidR="00943F6D" w:rsidRPr="00943F6D">
        <w:rPr>
          <w:rFonts w:eastAsia="Times New Roman"/>
          <w:lang w:val="en-US"/>
        </w:rPr>
        <w:t xml:space="preserve"> Duggan</w:t>
      </w:r>
    </w:p>
    <w:p w14:paraId="4BDDC73A" w14:textId="77777777" w:rsidR="00F030F0" w:rsidRDefault="003044EE">
      <w:pPr>
        <w:divId w:val="1186558035"/>
        <w:rPr>
          <w:rStyle w:val="Strong"/>
          <w:rFonts w:ascii="Arial" w:hAnsi="Arial" w:cs="Arial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  <w:t>                                            </w:t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Style w:val="Strong"/>
          <w:rFonts w:ascii="Arial" w:eastAsia="Times New Roman" w:hAnsi="Arial" w:cs="Arial"/>
          <w:lang w:val="en-US"/>
        </w:rPr>
        <w:t xml:space="preserve">Impact Analysis – </w:t>
      </w:r>
      <w:r w:rsidR="00171E51">
        <w:rPr>
          <w:rStyle w:val="Strong"/>
          <w:rFonts w:ascii="Arial" w:eastAsia="Times New Roman" w:hAnsi="Arial" w:cs="Arial"/>
          <w:lang w:val="en-US"/>
        </w:rPr>
        <w:t>Second</w:t>
      </w:r>
      <w:r>
        <w:rPr>
          <w:rStyle w:val="Strong"/>
          <w:rFonts w:ascii="Arial" w:eastAsia="Times New Roman" w:hAnsi="Arial" w:cs="Arial"/>
          <w:lang w:val="en-US"/>
        </w:rPr>
        <w:t xml:space="preserve"> Pass </w:t>
      </w:r>
      <w:r w:rsidR="00171E51">
        <w:rPr>
          <w:rStyle w:val="Strong"/>
          <w:rFonts w:ascii="Arial" w:eastAsia="Times New Roman" w:hAnsi="Arial" w:cs="Arial"/>
          <w:lang w:val="en-US"/>
        </w:rPr>
        <w:t xml:space="preserve">Final </w:t>
      </w:r>
      <w:r>
        <w:rPr>
          <w:rStyle w:val="Strong"/>
          <w:rFonts w:ascii="Arial" w:eastAsia="Times New Roman" w:hAnsi="Arial" w:cs="Arial"/>
          <w:lang w:val="en-US"/>
        </w:rPr>
        <w:t xml:space="preserve">Assessment – Options to Provide Energy Price Relief </w:t>
      </w:r>
    </w:p>
    <w:p w14:paraId="1630CABF" w14:textId="77777777" w:rsidR="00F030F0" w:rsidRDefault="00F030F0">
      <w:pPr>
        <w:divId w:val="1186558035"/>
        <w:rPr>
          <w:rFonts w:ascii="Segoe UI" w:hAnsi="Segoe UI" w:cs="Segoe UI"/>
          <w:sz w:val="18"/>
          <w:szCs w:val="18"/>
        </w:rPr>
      </w:pPr>
    </w:p>
    <w:p w14:paraId="68DED095" w14:textId="3141CF7D" w:rsidR="00F030F0" w:rsidRDefault="003044EE">
      <w:pPr>
        <w:divId w:val="943264811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lang w:val="en-US"/>
        </w:rPr>
        <w:t xml:space="preserve">Thank you for your letter </w:t>
      </w:r>
      <w:r w:rsidRPr="000548B1">
        <w:rPr>
          <w:rFonts w:eastAsia="Times New Roman"/>
          <w:lang w:val="en-US"/>
        </w:rPr>
        <w:t xml:space="preserve">received </w:t>
      </w:r>
      <w:r w:rsidR="00711CC8" w:rsidRPr="000548B1">
        <w:rPr>
          <w:rFonts w:eastAsia="Times New Roman"/>
          <w:lang w:val="en-US"/>
        </w:rPr>
        <w:t xml:space="preserve">on </w:t>
      </w:r>
      <w:r w:rsidR="00036E36">
        <w:rPr>
          <w:rFonts w:eastAsia="Times New Roman"/>
          <w:lang w:val="en-US"/>
        </w:rPr>
        <w:t>8</w:t>
      </w:r>
      <w:r w:rsidR="00711CC8" w:rsidRPr="000548B1">
        <w:rPr>
          <w:rFonts w:eastAsia="Times New Roman"/>
          <w:lang w:val="en-US"/>
        </w:rPr>
        <w:t xml:space="preserve"> </w:t>
      </w:r>
      <w:r w:rsidR="001A4790" w:rsidRPr="000548B1">
        <w:rPr>
          <w:rFonts w:eastAsia="Times New Roman"/>
          <w:lang w:val="en-US"/>
        </w:rPr>
        <w:t>Dec</w:t>
      </w:r>
      <w:r w:rsidR="00711CC8" w:rsidRPr="000548B1">
        <w:rPr>
          <w:rFonts w:eastAsia="Times New Roman"/>
          <w:lang w:val="en-US"/>
        </w:rPr>
        <w:t xml:space="preserve">ember 2022 </w:t>
      </w:r>
      <w:r w:rsidRPr="000548B1">
        <w:rPr>
          <w:rFonts w:eastAsia="Times New Roman"/>
          <w:lang w:val="en-US"/>
        </w:rPr>
        <w:t>su</w:t>
      </w:r>
      <w:bookmarkStart w:id="0" w:name="_GoBack"/>
      <w:bookmarkEnd w:id="0"/>
      <w:r w:rsidRPr="000548B1">
        <w:rPr>
          <w:rFonts w:eastAsia="Times New Roman"/>
          <w:lang w:val="en-US"/>
        </w:rPr>
        <w:t>bmitting</w:t>
      </w:r>
      <w:r>
        <w:rPr>
          <w:rFonts w:eastAsia="Times New Roman"/>
          <w:lang w:val="en-US"/>
        </w:rPr>
        <w:t xml:space="preserve"> an Impact Analysis for formal </w:t>
      </w:r>
      <w:r w:rsidR="00171E51">
        <w:rPr>
          <w:rFonts w:eastAsia="Times New Roman"/>
          <w:lang w:val="en-US"/>
        </w:rPr>
        <w:t>Second</w:t>
      </w:r>
      <w:r>
        <w:rPr>
          <w:rFonts w:eastAsia="Times New Roman"/>
          <w:lang w:val="en-US"/>
        </w:rPr>
        <w:t xml:space="preserve"> Pass Final Assessment. I note the </w:t>
      </w:r>
      <w:r w:rsidR="00CA3E51">
        <w:rPr>
          <w:rFonts w:eastAsia="Times New Roman"/>
          <w:lang w:val="en-US"/>
        </w:rPr>
        <w:t>Impact Analysis</w:t>
      </w:r>
      <w:r w:rsidR="00137EAD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has been </w:t>
      </w:r>
      <w:r w:rsidR="007C31AA" w:rsidRPr="00943F6D">
        <w:rPr>
          <w:rFonts w:eastAsia="Times New Roman"/>
          <w:lang w:val="en-US"/>
        </w:rPr>
        <w:t>jointly</w:t>
      </w:r>
      <w:r>
        <w:rPr>
          <w:rFonts w:eastAsia="Times New Roman"/>
          <w:lang w:val="en-US"/>
        </w:rPr>
        <w:t xml:space="preserve"> certified at the Deputy Secretary level consistent with the </w:t>
      </w:r>
      <w:r>
        <w:rPr>
          <w:rStyle w:val="Emphasis"/>
          <w:rFonts w:eastAsia="Times New Roman"/>
          <w:lang w:val="en-US"/>
        </w:rPr>
        <w:t>Australian Government Guide to Regulatory Impact Analysis</w:t>
      </w:r>
      <w:r>
        <w:rPr>
          <w:rFonts w:eastAsia="Times New Roman"/>
          <w:lang w:val="en-US"/>
        </w:rPr>
        <w:t>.</w:t>
      </w:r>
    </w:p>
    <w:p w14:paraId="46F4E41B" w14:textId="77777777" w:rsidR="00DF7EED" w:rsidRDefault="003044EE" w:rsidP="00171E51">
      <w:pPr>
        <w:divId w:val="1137605952"/>
        <w:rPr>
          <w:rFonts w:eastAsia="Times New Roman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I a</w:t>
      </w:r>
      <w:r w:rsidR="007C31AA">
        <w:rPr>
          <w:rFonts w:eastAsia="Times New Roman"/>
          <w:lang w:val="en-US"/>
        </w:rPr>
        <w:t xml:space="preserve">ppreciate </w:t>
      </w:r>
      <w:r w:rsidR="007C31AA" w:rsidRPr="00943F6D">
        <w:rPr>
          <w:rFonts w:eastAsia="Times New Roman"/>
          <w:lang w:val="en-US"/>
        </w:rPr>
        <w:t>both</w:t>
      </w:r>
      <w:r w:rsidR="007C31AA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Department’s constructive engagement on the </w:t>
      </w:r>
      <w:r w:rsidR="00137EAD">
        <w:rPr>
          <w:rFonts w:eastAsia="Times New Roman"/>
          <w:lang w:val="en-US"/>
        </w:rPr>
        <w:t>Impact Analysis</w:t>
      </w:r>
      <w:r>
        <w:rPr>
          <w:rFonts w:eastAsia="Times New Roman"/>
          <w:lang w:val="en-US"/>
        </w:rPr>
        <w:t>.</w:t>
      </w:r>
      <w:r w:rsidR="00171E51">
        <w:rPr>
          <w:rFonts w:eastAsia="Times New Roman"/>
          <w:lang w:val="en-US"/>
        </w:rPr>
        <w:t xml:space="preserve"> </w:t>
      </w:r>
    </w:p>
    <w:p w14:paraId="3BDFC2F0" w14:textId="77777777" w:rsidR="00DF7EED" w:rsidRDefault="00DF7EED" w:rsidP="00171E51">
      <w:pPr>
        <w:divId w:val="1137605952"/>
        <w:rPr>
          <w:rFonts w:eastAsia="Times New Roman"/>
          <w:lang w:val="en-US"/>
        </w:rPr>
      </w:pPr>
    </w:p>
    <w:p w14:paraId="124656F1" w14:textId="77777777" w:rsidR="00171E51" w:rsidRDefault="00171E51" w:rsidP="00171E51">
      <w:pPr>
        <w:divId w:val="113760595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The </w:t>
      </w:r>
      <w:r w:rsidRPr="007D1528">
        <w:rPr>
          <w:rFonts w:eastAsia="Times New Roman"/>
          <w:lang w:val="en-US"/>
        </w:rPr>
        <w:t xml:space="preserve">Office of Impact Analysis’ (OIA’s) </w:t>
      </w:r>
      <w:r>
        <w:rPr>
          <w:rFonts w:eastAsia="Times New Roman"/>
          <w:lang w:val="en-US"/>
        </w:rPr>
        <w:t xml:space="preserve">assessment is that the quality of the analysis in the </w:t>
      </w:r>
      <w:r w:rsidR="00CA3E51">
        <w:rPr>
          <w:rFonts w:eastAsia="Times New Roman"/>
          <w:lang w:val="en-US"/>
        </w:rPr>
        <w:t>Impact Analysis</w:t>
      </w:r>
      <w:r>
        <w:rPr>
          <w:rFonts w:eastAsia="Times New Roman"/>
          <w:lang w:val="en-US"/>
        </w:rPr>
        <w:t xml:space="preserve"> is adequate</w:t>
      </w:r>
      <w:r w:rsidR="00711CC8">
        <w:rPr>
          <w:rFonts w:eastAsia="Times New Roman"/>
          <w:lang w:val="en-US"/>
        </w:rPr>
        <w:t xml:space="preserve"> and therefore sufficient to inform a decision</w:t>
      </w:r>
      <w:r>
        <w:rPr>
          <w:rFonts w:eastAsia="Times New Roman"/>
          <w:lang w:val="en-US"/>
        </w:rPr>
        <w:t>.</w:t>
      </w:r>
      <w:r w:rsidR="007D3D35">
        <w:rPr>
          <w:rFonts w:eastAsia="Times New Roman"/>
          <w:lang w:val="en-US"/>
        </w:rPr>
        <w:t xml:space="preserve"> </w:t>
      </w:r>
    </w:p>
    <w:p w14:paraId="2F8228A7" w14:textId="77777777" w:rsidR="00852044" w:rsidRDefault="00852044" w:rsidP="00171E51">
      <w:pPr>
        <w:divId w:val="1137605952"/>
        <w:rPr>
          <w:rFonts w:eastAsia="Times New Roman"/>
          <w:lang w:val="en-US"/>
        </w:rPr>
      </w:pPr>
    </w:p>
    <w:p w14:paraId="5354FAFA" w14:textId="7FCF6ABF" w:rsidR="00C8354C" w:rsidRDefault="00852044" w:rsidP="00171E51">
      <w:pPr>
        <w:divId w:val="1137605952"/>
      </w:pPr>
      <w:r>
        <w:t xml:space="preserve">To be considered ‘good practice’ as per the </w:t>
      </w:r>
      <w:r w:rsidRPr="00CA3E51">
        <w:rPr>
          <w:i/>
        </w:rPr>
        <w:t>Australian Government Guide to R</w:t>
      </w:r>
      <w:r w:rsidR="005E02C2" w:rsidRPr="00CA3E51">
        <w:rPr>
          <w:i/>
        </w:rPr>
        <w:t>egulatory Impact Analysis</w:t>
      </w:r>
      <w:r w:rsidR="005E02C2">
        <w:t xml:space="preserve">, the </w:t>
      </w:r>
      <w:r w:rsidR="00CA3E51">
        <w:rPr>
          <w:rFonts w:eastAsia="Times New Roman"/>
          <w:lang w:val="en-US"/>
        </w:rPr>
        <w:t xml:space="preserve">Impact Analysis </w:t>
      </w:r>
      <w:r>
        <w:t xml:space="preserve">would have benefitted from: </w:t>
      </w:r>
    </w:p>
    <w:p w14:paraId="0A041BDB" w14:textId="7A51A904" w:rsidR="006075AC" w:rsidRDefault="00C814E9" w:rsidP="00306078">
      <w:pPr>
        <w:pStyle w:val="ListParagraph"/>
        <w:numPr>
          <w:ilvl w:val="0"/>
          <w:numId w:val="14"/>
        </w:numPr>
        <w:ind w:left="426"/>
        <w:divId w:val="1137605952"/>
      </w:pPr>
      <w:r>
        <w:t>A description of</w:t>
      </w:r>
      <w:r w:rsidR="006075AC">
        <w:t xml:space="preserve"> the </w:t>
      </w:r>
      <w:r>
        <w:t xml:space="preserve">role of </w:t>
      </w:r>
      <w:r w:rsidR="0048275B">
        <w:t xml:space="preserve">new, </w:t>
      </w:r>
      <w:r>
        <w:t>complementary mechanisms i</w:t>
      </w:r>
      <w:r w:rsidR="00234C64">
        <w:t>n solving the specified problem.</w:t>
      </w:r>
    </w:p>
    <w:p w14:paraId="7E2D2414" w14:textId="145D1E4F" w:rsidR="00306078" w:rsidRPr="000548B1" w:rsidRDefault="00412CAA" w:rsidP="00306078">
      <w:pPr>
        <w:pStyle w:val="ListParagraph"/>
        <w:numPr>
          <w:ilvl w:val="0"/>
          <w:numId w:val="14"/>
        </w:numPr>
        <w:ind w:left="426"/>
        <w:divId w:val="1137605952"/>
      </w:pPr>
      <w:r>
        <w:t>A</w:t>
      </w:r>
      <w:r w:rsidR="00DB35ED" w:rsidRPr="000548B1">
        <w:t xml:space="preserve">dditional detail on the </w:t>
      </w:r>
      <w:r w:rsidR="00A56D1D" w:rsidRPr="000548B1">
        <w:t xml:space="preserve">impact </w:t>
      </w:r>
      <w:r w:rsidR="00DB35ED" w:rsidRPr="000548B1">
        <w:t xml:space="preserve">modelling </w:t>
      </w:r>
      <w:r w:rsidR="00A56D1D" w:rsidRPr="000548B1">
        <w:t>available at time of decision</w:t>
      </w:r>
      <w:r w:rsidR="0050505E">
        <w:t xml:space="preserve">, including </w:t>
      </w:r>
      <w:r w:rsidR="004D456B">
        <w:t xml:space="preserve">method, assumptions and </w:t>
      </w:r>
      <w:r w:rsidR="00234C64">
        <w:t xml:space="preserve">detailed </w:t>
      </w:r>
      <w:r w:rsidR="004D456B">
        <w:t>results</w:t>
      </w:r>
      <w:r w:rsidR="00D3065E">
        <w:t>.</w:t>
      </w:r>
    </w:p>
    <w:p w14:paraId="271C81FA" w14:textId="1328A10C" w:rsidR="00BE6612" w:rsidRDefault="00412CAA" w:rsidP="00BE6612">
      <w:pPr>
        <w:pStyle w:val="ListParagraph"/>
        <w:numPr>
          <w:ilvl w:val="0"/>
          <w:numId w:val="14"/>
        </w:numPr>
        <w:ind w:left="426"/>
        <w:divId w:val="1137605952"/>
      </w:pPr>
      <w:r>
        <w:t>A</w:t>
      </w:r>
      <w:r w:rsidR="00FD6B44">
        <w:t xml:space="preserve"> description of the </w:t>
      </w:r>
      <w:r w:rsidR="00352415">
        <w:t xml:space="preserve">key </w:t>
      </w:r>
      <w:r w:rsidR="00FD6B44">
        <w:t>metrics that</w:t>
      </w:r>
      <w:r w:rsidR="00852044" w:rsidRPr="00852044">
        <w:t xml:space="preserve"> </w:t>
      </w:r>
      <w:r w:rsidR="00FD6B44">
        <w:t xml:space="preserve">will be </w:t>
      </w:r>
      <w:r w:rsidR="00852044">
        <w:t xml:space="preserve">used to </w:t>
      </w:r>
      <w:r w:rsidR="00852044" w:rsidRPr="00852044">
        <w:t>monitor the performance of th</w:t>
      </w:r>
      <w:r w:rsidR="0050505E">
        <w:t xml:space="preserve">e policy against its objectives and help to manage </w:t>
      </w:r>
      <w:r w:rsidR="00FD6B44">
        <w:t>unintended consequences</w:t>
      </w:r>
      <w:r w:rsidR="0050505E">
        <w:t>.</w:t>
      </w:r>
      <w:r w:rsidR="00234C64">
        <w:t xml:space="preserve"> This c</w:t>
      </w:r>
      <w:r w:rsidR="00036E36">
        <w:t>ould include tracking of the specified ‘flow on impacts</w:t>
      </w:r>
      <w:r>
        <w:t>’</w:t>
      </w:r>
      <w:r w:rsidR="00352415">
        <w:t xml:space="preserve"> </w:t>
      </w:r>
      <w:r w:rsidR="00036E36">
        <w:t xml:space="preserve">to the electricity market </w:t>
      </w:r>
      <w:r w:rsidR="0048275B">
        <w:t xml:space="preserve">(page </w:t>
      </w:r>
      <w:r>
        <w:t>18)</w:t>
      </w:r>
      <w:r w:rsidR="00234C64">
        <w:t>,</w:t>
      </w:r>
      <w:r w:rsidR="00036E36">
        <w:t xml:space="preserve"> greenhouse gas emissions</w:t>
      </w:r>
      <w:r w:rsidR="00234C64">
        <w:t xml:space="preserve"> (p</w:t>
      </w:r>
      <w:r w:rsidR="0048275B">
        <w:t xml:space="preserve">age </w:t>
      </w:r>
      <w:r w:rsidR="00234C64">
        <w:t>29) and energy bills as share of household expenditure.</w:t>
      </w:r>
    </w:p>
    <w:p w14:paraId="62C1AADA" w14:textId="3FCEC261" w:rsidR="00D3065E" w:rsidRDefault="00D3065E" w:rsidP="00DF7EED">
      <w:pPr>
        <w:divId w:val="1137605952"/>
      </w:pPr>
    </w:p>
    <w:p w14:paraId="6B3B2E1C" w14:textId="77777777" w:rsidR="00412CAA" w:rsidRDefault="00412CAA" w:rsidP="00DF7EED">
      <w:pPr>
        <w:divId w:val="1137605952"/>
      </w:pPr>
    </w:p>
    <w:p w14:paraId="2EA7257D" w14:textId="77777777" w:rsidR="00412CAA" w:rsidRDefault="00412CAA" w:rsidP="00DF7EED">
      <w:pPr>
        <w:divId w:val="1137605952"/>
      </w:pPr>
    </w:p>
    <w:p w14:paraId="48E42F4B" w14:textId="77777777" w:rsidR="00412CAA" w:rsidRDefault="00412CAA" w:rsidP="00DF7EED">
      <w:pPr>
        <w:divId w:val="1137605952"/>
      </w:pPr>
    </w:p>
    <w:p w14:paraId="4713D6D0" w14:textId="77777777" w:rsidR="00412CAA" w:rsidRDefault="00412CAA" w:rsidP="00DF7EED">
      <w:pPr>
        <w:divId w:val="1137605952"/>
      </w:pPr>
    </w:p>
    <w:p w14:paraId="015CD50F" w14:textId="6A4C7621" w:rsidR="00DF7EED" w:rsidRPr="00B96F5F" w:rsidRDefault="005A66BA" w:rsidP="00DF7EED">
      <w:pPr>
        <w:divId w:val="1137605952"/>
        <w:rPr>
          <w:iCs/>
        </w:rPr>
      </w:pPr>
      <w:r>
        <w:lastRenderedPageBreak/>
        <w:t>Given the difficulties</w:t>
      </w:r>
      <w:r w:rsidR="00CA3E51">
        <w:t xml:space="preserve"> of</w:t>
      </w:r>
      <w:r>
        <w:t xml:space="preserve"> predicting and measuring the likely impacts of the measures in this </w:t>
      </w:r>
      <w:r w:rsidR="00CA3E51">
        <w:t>Impact Analysis</w:t>
      </w:r>
      <w:r w:rsidR="00DF7EED" w:rsidRPr="00B96F5F">
        <w:rPr>
          <w:iCs/>
        </w:rPr>
        <w:t xml:space="preserve">, and because the </w:t>
      </w:r>
      <w:r w:rsidR="00DF7EED">
        <w:rPr>
          <w:iCs/>
        </w:rPr>
        <w:t xml:space="preserve">economic </w:t>
      </w:r>
      <w:r w:rsidR="00DF7EED" w:rsidRPr="00B96F5F">
        <w:rPr>
          <w:iCs/>
        </w:rPr>
        <w:t xml:space="preserve">impacts are </w:t>
      </w:r>
      <w:r w:rsidR="00CA3E51">
        <w:rPr>
          <w:iCs/>
        </w:rPr>
        <w:t>likely to be</w:t>
      </w:r>
      <w:r w:rsidR="00DF7EED" w:rsidRPr="00B96F5F">
        <w:rPr>
          <w:iCs/>
        </w:rPr>
        <w:t xml:space="preserve"> widespread</w:t>
      </w:r>
      <w:r w:rsidR="00DF7EED">
        <w:rPr>
          <w:iCs/>
        </w:rPr>
        <w:t xml:space="preserve"> and substantial</w:t>
      </w:r>
      <w:r w:rsidR="00DF7EED" w:rsidRPr="00B96F5F">
        <w:rPr>
          <w:iCs/>
        </w:rPr>
        <w:t xml:space="preserve">, the OIA advises that a Post Implementation Review (PIR) is required within five years of the </w:t>
      </w:r>
      <w:r w:rsidR="00065C71">
        <w:rPr>
          <w:iCs/>
        </w:rPr>
        <w:t>implementation</w:t>
      </w:r>
      <w:r w:rsidR="00DF7EED" w:rsidRPr="00B96F5F">
        <w:rPr>
          <w:iCs/>
        </w:rPr>
        <w:t xml:space="preserve">. </w:t>
      </w:r>
      <w:r w:rsidR="00CA3E51">
        <w:rPr>
          <w:iCs/>
        </w:rPr>
        <w:t>H</w:t>
      </w:r>
      <w:r w:rsidR="00DF7EED">
        <w:rPr>
          <w:iCs/>
        </w:rPr>
        <w:t xml:space="preserve">aving regard to the nature of </w:t>
      </w:r>
      <w:r w:rsidR="00CA3E51">
        <w:rPr>
          <w:iCs/>
        </w:rPr>
        <w:t>the policy objectives</w:t>
      </w:r>
      <w:r w:rsidR="00DF7EED">
        <w:rPr>
          <w:iCs/>
        </w:rPr>
        <w:t xml:space="preserve">, </w:t>
      </w:r>
      <w:r w:rsidR="00DF7EED" w:rsidRPr="00B96F5F">
        <w:rPr>
          <w:iCs/>
        </w:rPr>
        <w:t xml:space="preserve">we </w:t>
      </w:r>
      <w:r w:rsidR="00DF7EED">
        <w:rPr>
          <w:iCs/>
        </w:rPr>
        <w:t>suggest</w:t>
      </w:r>
      <w:r w:rsidR="00DF7EED" w:rsidRPr="00B96F5F">
        <w:rPr>
          <w:iCs/>
        </w:rPr>
        <w:t xml:space="preserve"> </w:t>
      </w:r>
      <w:r>
        <w:rPr>
          <w:iCs/>
        </w:rPr>
        <w:t>commencing</w:t>
      </w:r>
      <w:r w:rsidR="00DF7EED" w:rsidRPr="00B96F5F">
        <w:rPr>
          <w:iCs/>
        </w:rPr>
        <w:t xml:space="preserve"> the PIR approximately 1</w:t>
      </w:r>
      <w:r w:rsidR="00CA3E51">
        <w:rPr>
          <w:iCs/>
        </w:rPr>
        <w:t>8</w:t>
      </w:r>
      <w:r w:rsidR="00DF7EED" w:rsidRPr="00B96F5F">
        <w:rPr>
          <w:iCs/>
        </w:rPr>
        <w:t xml:space="preserve"> months after the policy has been fully implemented. Further information is available in the </w:t>
      </w:r>
      <w:r w:rsidR="00DF7EED" w:rsidRPr="00B96F5F">
        <w:rPr>
          <w:i/>
          <w:iCs/>
        </w:rPr>
        <w:t>Post Implementation Review</w:t>
      </w:r>
      <w:r w:rsidR="00DF7EED" w:rsidRPr="00B96F5F">
        <w:rPr>
          <w:iCs/>
        </w:rPr>
        <w:t xml:space="preserve"> Guidance Note on the OIA website.</w:t>
      </w:r>
    </w:p>
    <w:p w14:paraId="616644B6" w14:textId="77777777" w:rsidR="00B96F5F" w:rsidRDefault="00B96F5F" w:rsidP="00171E51">
      <w:pPr>
        <w:divId w:val="1137605952"/>
      </w:pPr>
    </w:p>
    <w:p w14:paraId="2B66F707" w14:textId="77777777" w:rsidR="00B96F5F" w:rsidRDefault="00B96F5F" w:rsidP="00171E51">
      <w:pPr>
        <w:divId w:val="1137605952"/>
      </w:pPr>
      <w:r>
        <w:t xml:space="preserve">The </w:t>
      </w:r>
      <w:r w:rsidR="00CA3E51">
        <w:rPr>
          <w:rFonts w:eastAsia="Times New Roman"/>
          <w:lang w:val="en-US"/>
        </w:rPr>
        <w:t xml:space="preserve">Impact Analysis </w:t>
      </w:r>
      <w:r>
        <w:t>may now be provided to the decision maker to inform their decision.</w:t>
      </w:r>
      <w:r w:rsidR="005A66BA">
        <w:t xml:space="preserve"> </w:t>
      </w:r>
    </w:p>
    <w:p w14:paraId="281F7E9E" w14:textId="77777777" w:rsidR="005A66BA" w:rsidRDefault="005A66BA" w:rsidP="00171E51">
      <w:pPr>
        <w:divId w:val="1137605952"/>
      </w:pPr>
    </w:p>
    <w:p w14:paraId="5B493A47" w14:textId="77777777" w:rsidR="005A66BA" w:rsidRDefault="005A66BA" w:rsidP="005A66BA">
      <w:pPr>
        <w:divId w:val="1137605952"/>
        <w:rPr>
          <w:rFonts w:ascii="Segoe UI" w:eastAsia="Times New Roman" w:hAnsi="Segoe UI" w:cs="Segoe UI"/>
          <w:sz w:val="18"/>
          <w:szCs w:val="18"/>
          <w:lang w:val="en-US"/>
        </w:rPr>
      </w:pPr>
      <w:r>
        <w:t xml:space="preserve">To support transparency, the </w:t>
      </w:r>
      <w:r w:rsidR="00CA3E51">
        <w:rPr>
          <w:rFonts w:eastAsia="Times New Roman"/>
          <w:lang w:val="en-US"/>
        </w:rPr>
        <w:t xml:space="preserve">Impact Analysis </w:t>
      </w:r>
      <w:r>
        <w:t xml:space="preserve">must </w:t>
      </w:r>
      <w:r>
        <w:rPr>
          <w:rFonts w:eastAsia="Times New Roman"/>
          <w:lang w:val="en-US"/>
        </w:rPr>
        <w:t>be included in any Explanatory Memorandum or Statement giving effect to the proposals in the IA.</w:t>
      </w:r>
    </w:p>
    <w:p w14:paraId="234DAF8E" w14:textId="77777777" w:rsidR="005A66BA" w:rsidRDefault="005A66BA" w:rsidP="00171E51">
      <w:pPr>
        <w:divId w:val="1137605952"/>
      </w:pPr>
    </w:p>
    <w:p w14:paraId="7654946D" w14:textId="77777777" w:rsidR="005A66BA" w:rsidRDefault="00DF7EED" w:rsidP="00DF7EED">
      <w:pPr>
        <w:divId w:val="113760595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After a final decision has been announced, I ask that your agency work with </w:t>
      </w:r>
      <w:r w:rsidR="00CA3E51">
        <w:rPr>
          <w:rFonts w:eastAsia="Times New Roman"/>
          <w:lang w:val="en-US"/>
        </w:rPr>
        <w:t>the OIA</w:t>
      </w:r>
      <w:r>
        <w:rPr>
          <w:rFonts w:eastAsia="Times New Roman"/>
          <w:lang w:val="en-US"/>
        </w:rPr>
        <w:t xml:space="preserve"> to finalise this material for public release. This includes providing a copy of the </w:t>
      </w:r>
      <w:r w:rsidR="00CA3E51">
        <w:rPr>
          <w:rFonts w:eastAsia="Times New Roman"/>
          <w:lang w:val="en-US"/>
        </w:rPr>
        <w:t>Impact Analysis</w:t>
      </w:r>
      <w:r>
        <w:rPr>
          <w:rFonts w:eastAsia="Times New Roman"/>
          <w:lang w:val="en-US"/>
        </w:rPr>
        <w:t xml:space="preserve"> in Word and PDF format for web accessibility purposes. </w:t>
      </w:r>
    </w:p>
    <w:p w14:paraId="25CF227E" w14:textId="77777777" w:rsidR="00DF7EED" w:rsidRDefault="00DF7EED" w:rsidP="00DF7EED">
      <w:pPr>
        <w:divId w:val="113760595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If you have any further queries, please do not hesitate to contact me.</w:t>
      </w:r>
    </w:p>
    <w:p w14:paraId="166B1038" w14:textId="77777777" w:rsidR="00DF7EED" w:rsidRDefault="00DF7EED" w:rsidP="00DF7EED">
      <w:pPr>
        <w:divId w:val="113760595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Yours sincerely</w:t>
      </w:r>
    </w:p>
    <w:p w14:paraId="245A0305" w14:textId="77777777" w:rsidR="00B96F5F" w:rsidRDefault="00B96F5F" w:rsidP="00171E51">
      <w:pPr>
        <w:divId w:val="1137605952"/>
      </w:pPr>
    </w:p>
    <w:p w14:paraId="2C32A604" w14:textId="77777777" w:rsidR="00852044" w:rsidRDefault="00852044" w:rsidP="00171E51">
      <w:pPr>
        <w:divId w:val="1137605952"/>
        <w:rPr>
          <w:i/>
          <w:iCs/>
        </w:rPr>
      </w:pPr>
    </w:p>
    <w:p w14:paraId="2E17C112" w14:textId="77777777" w:rsidR="00DF7EED" w:rsidRDefault="00DF7EED" w:rsidP="00171E51">
      <w:pPr>
        <w:divId w:val="1137605952"/>
        <w:rPr>
          <w:i/>
          <w:iCs/>
        </w:rPr>
      </w:pPr>
    </w:p>
    <w:p w14:paraId="60568C4E" w14:textId="77777777" w:rsidR="00DF7EED" w:rsidRDefault="00DF7EED" w:rsidP="00171E51">
      <w:pPr>
        <w:divId w:val="1137605952"/>
        <w:rPr>
          <w:i/>
          <w:iCs/>
        </w:rPr>
      </w:pPr>
    </w:p>
    <w:p w14:paraId="73517216" w14:textId="5F50A7AB" w:rsidR="00DF7EED" w:rsidRDefault="00DF7EED" w:rsidP="00DF7EED">
      <w:pPr>
        <w:divId w:val="1137605952"/>
        <w:rPr>
          <w:rFonts w:eastAsia="Times New Roman"/>
        </w:rPr>
      </w:pPr>
      <w:r>
        <w:rPr>
          <w:rFonts w:eastAsia="Times New Roman"/>
          <w:lang w:val="en-US"/>
        </w:rPr>
        <w:t>Jason Lange</w:t>
      </w:r>
      <w:r>
        <w:rPr>
          <w:rFonts w:eastAsia="Times New Roman"/>
          <w:lang w:val="en-US"/>
        </w:rPr>
        <w:br/>
        <w:t>Executive Director</w:t>
      </w:r>
      <w:r>
        <w:rPr>
          <w:rFonts w:eastAsia="Times New Roman"/>
          <w:lang w:val="en-US"/>
        </w:rPr>
        <w:br/>
      </w:r>
      <w:r w:rsidR="00352415">
        <w:rPr>
          <w:rFonts w:eastAsia="Times New Roman"/>
          <w:lang w:val="en-US"/>
        </w:rPr>
        <w:t>8</w:t>
      </w:r>
      <w:r>
        <w:rPr>
          <w:rFonts w:eastAsia="Times New Roman"/>
          <w:lang w:val="en-US"/>
        </w:rPr>
        <w:t xml:space="preserve"> </w:t>
      </w:r>
      <w:r w:rsidR="001A4790">
        <w:rPr>
          <w:rFonts w:eastAsia="Times New Roman"/>
          <w:lang w:val="en-US"/>
        </w:rPr>
        <w:t>Dec</w:t>
      </w:r>
      <w:r>
        <w:rPr>
          <w:rFonts w:eastAsia="Times New Roman"/>
          <w:lang w:val="en-US"/>
        </w:rPr>
        <w:t>ember 2022</w:t>
      </w:r>
    </w:p>
    <w:sectPr w:rsidR="00DF7EE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8190" w14:textId="77777777" w:rsidR="00AF0D85" w:rsidRDefault="00AF0D85" w:rsidP="00691810">
      <w:r>
        <w:separator/>
      </w:r>
    </w:p>
  </w:endnote>
  <w:endnote w:type="continuationSeparator" w:id="0">
    <w:p w14:paraId="21847F24" w14:textId="77777777" w:rsidR="00AF0D85" w:rsidRDefault="00AF0D85" w:rsidP="0069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A5887" w14:textId="77777777" w:rsidR="00AF0D85" w:rsidRDefault="00AF0D85" w:rsidP="00691810">
      <w:r>
        <w:separator/>
      </w:r>
    </w:p>
  </w:footnote>
  <w:footnote w:type="continuationSeparator" w:id="0">
    <w:p w14:paraId="0F2BFF6B" w14:textId="77777777" w:rsidR="00AF0D85" w:rsidRDefault="00AF0D85" w:rsidP="0069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3FB6"/>
    <w:multiLevelType w:val="multilevel"/>
    <w:tmpl w:val="AEDA870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B167A28"/>
    <w:multiLevelType w:val="multilevel"/>
    <w:tmpl w:val="6308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E7B1C"/>
    <w:multiLevelType w:val="hybridMultilevel"/>
    <w:tmpl w:val="BE1CE610"/>
    <w:lvl w:ilvl="0" w:tplc="A16E971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23035"/>
    <w:multiLevelType w:val="multilevel"/>
    <w:tmpl w:val="1BC0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97789"/>
    <w:multiLevelType w:val="multilevel"/>
    <w:tmpl w:val="166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12394"/>
    <w:multiLevelType w:val="hybridMultilevel"/>
    <w:tmpl w:val="47702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76152"/>
    <w:multiLevelType w:val="multilevel"/>
    <w:tmpl w:val="951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C169C"/>
    <w:multiLevelType w:val="multilevel"/>
    <w:tmpl w:val="35D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727A5"/>
    <w:multiLevelType w:val="multilevel"/>
    <w:tmpl w:val="4010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321CFE"/>
    <w:multiLevelType w:val="hybridMultilevel"/>
    <w:tmpl w:val="D8BC2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620F1"/>
    <w:multiLevelType w:val="multilevel"/>
    <w:tmpl w:val="F140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F4DCB"/>
    <w:multiLevelType w:val="multilevel"/>
    <w:tmpl w:val="59D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231A7"/>
    <w:multiLevelType w:val="multilevel"/>
    <w:tmpl w:val="247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67C0E"/>
    <w:multiLevelType w:val="multilevel"/>
    <w:tmpl w:val="1362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30F05"/>
    <w:multiLevelType w:val="hybridMultilevel"/>
    <w:tmpl w:val="E7C6267C"/>
    <w:lvl w:ilvl="0" w:tplc="BE98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50F5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8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EF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E7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A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47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28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2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50"/>
    <w:rsid w:val="000027B9"/>
    <w:rsid w:val="0000385B"/>
    <w:rsid w:val="00010FB5"/>
    <w:rsid w:val="000131ED"/>
    <w:rsid w:val="00036E36"/>
    <w:rsid w:val="00053A8B"/>
    <w:rsid w:val="000548B1"/>
    <w:rsid w:val="000617D7"/>
    <w:rsid w:val="00065C71"/>
    <w:rsid w:val="00097F91"/>
    <w:rsid w:val="000E0614"/>
    <w:rsid w:val="00105F17"/>
    <w:rsid w:val="00137EAD"/>
    <w:rsid w:val="0014009D"/>
    <w:rsid w:val="00171E51"/>
    <w:rsid w:val="001A4790"/>
    <w:rsid w:val="00234C64"/>
    <w:rsid w:val="003044EE"/>
    <w:rsid w:val="00306027"/>
    <w:rsid w:val="00306078"/>
    <w:rsid w:val="003445C2"/>
    <w:rsid w:val="00344DFC"/>
    <w:rsid w:val="00352415"/>
    <w:rsid w:val="00370BD4"/>
    <w:rsid w:val="003932A3"/>
    <w:rsid w:val="003C4522"/>
    <w:rsid w:val="003D3BF3"/>
    <w:rsid w:val="003D47AA"/>
    <w:rsid w:val="00404BC2"/>
    <w:rsid w:val="00412CAA"/>
    <w:rsid w:val="00437071"/>
    <w:rsid w:val="00452CF7"/>
    <w:rsid w:val="00455762"/>
    <w:rsid w:val="0048275B"/>
    <w:rsid w:val="004D456B"/>
    <w:rsid w:val="004F50C5"/>
    <w:rsid w:val="00500D46"/>
    <w:rsid w:val="0050505E"/>
    <w:rsid w:val="005376AC"/>
    <w:rsid w:val="0059374A"/>
    <w:rsid w:val="005A66BA"/>
    <w:rsid w:val="005E02C2"/>
    <w:rsid w:val="005E7492"/>
    <w:rsid w:val="005F33CC"/>
    <w:rsid w:val="006075AC"/>
    <w:rsid w:val="00653594"/>
    <w:rsid w:val="00675E0B"/>
    <w:rsid w:val="00691810"/>
    <w:rsid w:val="006B628C"/>
    <w:rsid w:val="00711CC8"/>
    <w:rsid w:val="00754584"/>
    <w:rsid w:val="0076732F"/>
    <w:rsid w:val="00772D51"/>
    <w:rsid w:val="00793E61"/>
    <w:rsid w:val="007A2B54"/>
    <w:rsid w:val="007C31AA"/>
    <w:rsid w:val="007D1528"/>
    <w:rsid w:val="007D3D35"/>
    <w:rsid w:val="00824E8A"/>
    <w:rsid w:val="00844533"/>
    <w:rsid w:val="00850EAD"/>
    <w:rsid w:val="00852044"/>
    <w:rsid w:val="0085478C"/>
    <w:rsid w:val="008B16B0"/>
    <w:rsid w:val="00910050"/>
    <w:rsid w:val="009318AE"/>
    <w:rsid w:val="00943F6D"/>
    <w:rsid w:val="00975CC2"/>
    <w:rsid w:val="009D5F45"/>
    <w:rsid w:val="00A004FF"/>
    <w:rsid w:val="00A56D1D"/>
    <w:rsid w:val="00A73957"/>
    <w:rsid w:val="00A763CF"/>
    <w:rsid w:val="00AF0D85"/>
    <w:rsid w:val="00B0169A"/>
    <w:rsid w:val="00B16B87"/>
    <w:rsid w:val="00B23676"/>
    <w:rsid w:val="00B341FD"/>
    <w:rsid w:val="00B757D5"/>
    <w:rsid w:val="00B96B3F"/>
    <w:rsid w:val="00B96F5F"/>
    <w:rsid w:val="00BA6DE2"/>
    <w:rsid w:val="00BC1871"/>
    <w:rsid w:val="00BE6612"/>
    <w:rsid w:val="00C0128C"/>
    <w:rsid w:val="00C144F8"/>
    <w:rsid w:val="00C40A2A"/>
    <w:rsid w:val="00C53A44"/>
    <w:rsid w:val="00C80C9B"/>
    <w:rsid w:val="00C814E9"/>
    <w:rsid w:val="00C8354C"/>
    <w:rsid w:val="00CA3E51"/>
    <w:rsid w:val="00CB356D"/>
    <w:rsid w:val="00CC533F"/>
    <w:rsid w:val="00CE65F8"/>
    <w:rsid w:val="00CF7140"/>
    <w:rsid w:val="00D3065E"/>
    <w:rsid w:val="00D45074"/>
    <w:rsid w:val="00D646BD"/>
    <w:rsid w:val="00D67542"/>
    <w:rsid w:val="00D91FDA"/>
    <w:rsid w:val="00DA7021"/>
    <w:rsid w:val="00DB35ED"/>
    <w:rsid w:val="00DE2292"/>
    <w:rsid w:val="00DF2630"/>
    <w:rsid w:val="00DF7EED"/>
    <w:rsid w:val="00E62C30"/>
    <w:rsid w:val="00E65424"/>
    <w:rsid w:val="00E911EC"/>
    <w:rsid w:val="00EA0265"/>
    <w:rsid w:val="00EA7E72"/>
    <w:rsid w:val="00EB46EA"/>
    <w:rsid w:val="00EC457D"/>
    <w:rsid w:val="00F030F0"/>
    <w:rsid w:val="00F12C94"/>
    <w:rsid w:val="00FA06DB"/>
    <w:rsid w:val="00FA4016"/>
    <w:rsid w:val="00FC6A3B"/>
    <w:rsid w:val="00FD6B44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1A278"/>
  <w15:chartTrackingRefBased/>
  <w15:docId w15:val="{838C1BDF-8B85-4272-AA42-D0926ABB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funeraldatatbl">
    <w:name w:val="funeraldatatbl"/>
    <w:basedOn w:val="Normal"/>
    <w:uiPriority w:val="99"/>
    <w:semiHidden/>
    <w:pPr>
      <w:ind w:left="-675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7C3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1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1AA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1AA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AA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A2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8209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32">
      <w:marLeft w:val="1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4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lpdesk-obpr@pm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DOCID-322795542-24487</_dlc_DocId>
    <_dlc_DocIdUrl xmlns="4195ad5f-cdf2-4c4a-8d9b-b7944a108e98">
      <Url>https://pmc01.sharepoint.com/sites/CRMOBPR/_layouts/15/DocIdRedir.aspx?ID=DOCID-322795542-24487</Url>
      <Description>DOCID-322795542-24487</Description>
    </_dlc_DocIdUrl>
  </documentManagement>
</p:properties>
</file>

<file path=customXml/itemProps1.xml><?xml version="1.0" encoding="utf-8"?>
<ds:datastoreItem xmlns:ds="http://schemas.openxmlformats.org/officeDocument/2006/customXml" ds:itemID="{64948FD6-054A-47B5-AB0D-C807AD62B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A7B38-3A38-4DBD-B9D5-38AF781DED4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758DC7-14B1-4EBA-AF5E-FA2639A48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212CE-0094-4EE0-A663-B47169A58790}">
  <ds:schemaRefs>
    <ds:schemaRef ds:uri="http://schemas.microsoft.com/office/2006/metadata/properties"/>
    <ds:schemaRef ds:uri="http://schemas.microsoft.com/office/infopath/2007/PartnerControls"/>
    <ds:schemaRef ds:uri="4195ad5f-cdf2-4c4a-8d9b-b7944a108e98"/>
    <ds:schemaRef ds:uri="26285671-540d-468b-b7a1-f3e0438dd5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Hills</dc:creator>
  <cp:keywords/>
  <dc:description/>
  <cp:lastModifiedBy>Hills, Terry</cp:lastModifiedBy>
  <cp:revision>3</cp:revision>
  <dcterms:created xsi:type="dcterms:W3CDTF">2022-12-08T09:09:00Z</dcterms:created>
  <dcterms:modified xsi:type="dcterms:W3CDTF">2022-12-15T22:44:00Z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1e2af2dd-47bb-43cd-b336-c4202f4ce2be</vt:lpwstr>
  </property>
</Properties>
</file>