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43C34" w14:textId="3A6D7BB6" w:rsidR="00775FE4" w:rsidRDefault="00044874" w:rsidP="00EC4A7B">
      <w:pPr>
        <w:spacing w:after="480"/>
        <w:rPr>
          <w:noProof/>
          <w:sz w:val="28"/>
          <w:szCs w:val="28"/>
        </w:rPr>
      </w:pPr>
      <w:bookmarkStart w:id="0" w:name="imageHolder"/>
      <w:bookmarkStart w:id="1" w:name="_GoBack"/>
      <w:bookmarkEnd w:id="0"/>
      <w:bookmarkEnd w:id="1"/>
      <w:r>
        <w:rPr>
          <w:noProof/>
        </w:rPr>
        <w:drawing>
          <wp:inline distT="0" distB="0" distL="0" distR="0" wp14:anchorId="1BD3F23A" wp14:editId="5939D6FF">
            <wp:extent cx="2409825" cy="723900"/>
            <wp:effectExtent l="0" t="0" r="9525" b="0"/>
            <wp:docPr id="1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2DB">
        <w:rPr>
          <w:noProof/>
          <w:sz w:val="28"/>
          <w:szCs w:val="28"/>
        </w:rPr>
        <w:t xml:space="preserve"> </w:t>
      </w:r>
    </w:p>
    <w:p w14:paraId="7FD64977" w14:textId="77777777" w:rsidR="00775FE4" w:rsidRPr="00EC4A7B" w:rsidRDefault="00100E2D" w:rsidP="00251E49">
      <w:pPr>
        <w:pStyle w:val="Heading1"/>
        <w:spacing w:before="720"/>
        <w:jc w:val="right"/>
      </w:pPr>
      <w:bookmarkStart w:id="2" w:name="Title"/>
      <w:bookmarkEnd w:id="2"/>
      <w:r>
        <w:t>Deputy Secretary</w:t>
      </w:r>
    </w:p>
    <w:p w14:paraId="09CC2D40" w14:textId="71C994FF" w:rsidR="00100E2D" w:rsidRDefault="00D73387" w:rsidP="00100E2D">
      <w:r>
        <w:br/>
      </w:r>
      <w:r>
        <w:br/>
      </w:r>
      <w:r w:rsidR="00100E2D">
        <w:t>Mr Jason Lange</w:t>
      </w:r>
    </w:p>
    <w:p w14:paraId="78F09809" w14:textId="77777777" w:rsidR="00100E2D" w:rsidRDefault="00100E2D" w:rsidP="00100E2D">
      <w:r>
        <w:t>Executive Director</w:t>
      </w:r>
    </w:p>
    <w:p w14:paraId="41057C6B" w14:textId="77777777" w:rsidR="00100E2D" w:rsidRDefault="00100E2D" w:rsidP="00100E2D">
      <w:r>
        <w:t>Office of Best Practice Regulation</w:t>
      </w:r>
    </w:p>
    <w:p w14:paraId="0A82E51F" w14:textId="77777777" w:rsidR="00100E2D" w:rsidRDefault="00100E2D" w:rsidP="00100E2D">
      <w:r>
        <w:t>Department of the Prime Minister and Cabinet</w:t>
      </w:r>
    </w:p>
    <w:p w14:paraId="5A9C9E57" w14:textId="77777777" w:rsidR="00100E2D" w:rsidRDefault="00100E2D" w:rsidP="00100E2D">
      <w:r>
        <w:t>1 National Circuit</w:t>
      </w:r>
    </w:p>
    <w:p w14:paraId="457365C4" w14:textId="77777777" w:rsidR="00100E2D" w:rsidRDefault="00100E2D" w:rsidP="00100E2D">
      <w:r>
        <w:t>BARTON   ACT   2600</w:t>
      </w:r>
    </w:p>
    <w:p w14:paraId="4087B3DA" w14:textId="7713FB33" w:rsidR="004735A2" w:rsidRDefault="004735A2" w:rsidP="00100E2D">
      <w:pPr>
        <w:pStyle w:val="Header"/>
        <w:tabs>
          <w:tab w:val="left" w:pos="720"/>
        </w:tabs>
      </w:pPr>
    </w:p>
    <w:p w14:paraId="2B4A5604" w14:textId="77777777" w:rsidR="00100E2D" w:rsidRDefault="00100E2D" w:rsidP="00100E2D">
      <w:r>
        <w:t>Email: helpdesk-OBPR@pmc.gov.au</w:t>
      </w:r>
    </w:p>
    <w:p w14:paraId="310B9447" w14:textId="77777777" w:rsidR="00556242" w:rsidRDefault="00556242" w:rsidP="004735A2"/>
    <w:p w14:paraId="244438B8" w14:textId="77777777" w:rsidR="00556242" w:rsidRDefault="00556242" w:rsidP="004735A2"/>
    <w:p w14:paraId="3ABD0D75" w14:textId="1F116650" w:rsidR="00100E2D" w:rsidRDefault="009E3D9F" w:rsidP="00100E2D">
      <w:r w:rsidRPr="00EC4A7B">
        <w:t xml:space="preserve">Dear </w:t>
      </w:r>
      <w:r w:rsidR="00100E2D">
        <w:t>Mr Lange</w:t>
      </w:r>
    </w:p>
    <w:p w14:paraId="718DBAD7" w14:textId="77777777" w:rsidR="00100E2D" w:rsidRDefault="00100E2D" w:rsidP="00100E2D"/>
    <w:p w14:paraId="4D38DA89" w14:textId="07644ADE" w:rsidR="00100E2D" w:rsidRPr="004D6A26" w:rsidRDefault="00100E2D" w:rsidP="00100E2D">
      <w:pPr>
        <w:pStyle w:val="Heading1"/>
        <w:spacing w:before="240" w:after="0" w:line="300" w:lineRule="exact"/>
        <w:jc w:val="left"/>
        <w:rPr>
          <w:szCs w:val="24"/>
        </w:rPr>
      </w:pPr>
      <w:r>
        <w:rPr>
          <w:szCs w:val="24"/>
        </w:rPr>
        <w:t xml:space="preserve">Certification of </w:t>
      </w:r>
      <w:r w:rsidR="00FD45DD">
        <w:rPr>
          <w:szCs w:val="24"/>
        </w:rPr>
        <w:t>I</w:t>
      </w:r>
      <w:r>
        <w:rPr>
          <w:szCs w:val="24"/>
        </w:rPr>
        <w:t xml:space="preserve">ndependent </w:t>
      </w:r>
      <w:r w:rsidR="00FD45DD">
        <w:rPr>
          <w:szCs w:val="24"/>
        </w:rPr>
        <w:t>R</w:t>
      </w:r>
      <w:r>
        <w:rPr>
          <w:szCs w:val="24"/>
        </w:rPr>
        <w:t xml:space="preserve">eview: Response to the Royal Commission into Aged </w:t>
      </w:r>
      <w:r w:rsidR="00FD45DD">
        <w:rPr>
          <w:szCs w:val="24"/>
        </w:rPr>
        <w:t>C</w:t>
      </w:r>
      <w:r>
        <w:rPr>
          <w:szCs w:val="24"/>
        </w:rPr>
        <w:t>are Quality and Safety</w:t>
      </w:r>
      <w:r w:rsidR="00FD45DD">
        <w:rPr>
          <w:szCs w:val="24"/>
        </w:rPr>
        <w:t xml:space="preserve"> – Approved Provider Governance Reforms </w:t>
      </w:r>
    </w:p>
    <w:p w14:paraId="56C1696F" w14:textId="77777777" w:rsidR="00100E2D" w:rsidRDefault="00100E2D" w:rsidP="00100E2D"/>
    <w:p w14:paraId="69D12EF8" w14:textId="7E3F9A17" w:rsidR="00100E2D" w:rsidRDefault="00100E2D" w:rsidP="00100E2D">
      <w:r>
        <w:t>On 22 March 2021, I certified that the attached certified reviews (</w:t>
      </w:r>
      <w:r w:rsidRPr="00B82563">
        <w:rPr>
          <w:u w:val="single"/>
        </w:rPr>
        <w:t>Attachment A</w:t>
      </w:r>
      <w:r>
        <w:t>) ha</w:t>
      </w:r>
      <w:r w:rsidR="00B33AB5">
        <w:t>d</w:t>
      </w:r>
      <w:r>
        <w:t xml:space="preserve"> underta</w:t>
      </w:r>
      <w:r w:rsidR="00FD45DD">
        <w:t>k</w:t>
      </w:r>
      <w:r>
        <w:t>en a process and analysis equivalent to a Regulatory Impact Statement (RIS) for a number of aged care quality measures that were being considered by Government</w:t>
      </w:r>
      <w:r w:rsidR="00FD45DD">
        <w:t xml:space="preserve">, with the exception of implementation and evaluation </w:t>
      </w:r>
      <w:r w:rsidR="009176C8">
        <w:t xml:space="preserve">of </w:t>
      </w:r>
      <w:r w:rsidR="00FD45DD">
        <w:t>measure</w:t>
      </w:r>
      <w:r w:rsidR="009176C8">
        <w:t>s</w:t>
      </w:r>
      <w:r>
        <w:t>. These measures included approved provider governance reforms.</w:t>
      </w:r>
    </w:p>
    <w:p w14:paraId="405F87B8" w14:textId="77777777" w:rsidR="00100E2D" w:rsidRDefault="00100E2D" w:rsidP="00100E2D"/>
    <w:p w14:paraId="0E7F6EC4" w14:textId="3B5EA2D3" w:rsidR="00FD45DD" w:rsidRDefault="00B33AB5" w:rsidP="006821B3">
      <w:r>
        <w:t xml:space="preserve">With further development of the governance reforms </w:t>
      </w:r>
      <w:r w:rsidR="006821B3">
        <w:t xml:space="preserve">anticipated to come into effect from 1 </w:t>
      </w:r>
      <w:r w:rsidR="00624DEA">
        <w:t xml:space="preserve">December </w:t>
      </w:r>
      <w:r w:rsidR="006821B3">
        <w:t>2022, a</w:t>
      </w:r>
      <w:r w:rsidR="00FD45DD">
        <w:t xml:space="preserve"> supplementary RIS addressing the </w:t>
      </w:r>
      <w:r w:rsidR="006821B3">
        <w:t xml:space="preserve">implementation and evaluation </w:t>
      </w:r>
      <w:r w:rsidR="00D42B4D">
        <w:t xml:space="preserve">of these </w:t>
      </w:r>
      <w:r w:rsidR="006821B3">
        <w:t>measures is provided</w:t>
      </w:r>
      <w:r w:rsidR="00FD45DD">
        <w:t>.</w:t>
      </w:r>
    </w:p>
    <w:p w14:paraId="781B39DE" w14:textId="77777777" w:rsidR="00FD45DD" w:rsidRDefault="00FD45DD" w:rsidP="006821B3"/>
    <w:p w14:paraId="224AF536" w14:textId="415BC181" w:rsidR="006821B3" w:rsidRDefault="006821B3" w:rsidP="006821B3">
      <w:r w:rsidRPr="006821B3">
        <w:t>I am satisfied that with this addition, the scope of the certified documents matches the policy proposal and answers all seven RIS questions.</w:t>
      </w:r>
    </w:p>
    <w:p w14:paraId="398E471D" w14:textId="77777777" w:rsidR="006821B3" w:rsidRDefault="006821B3" w:rsidP="00894111">
      <w:pPr>
        <w:pStyle w:val="BodyText"/>
        <w:spacing w:before="60" w:line="300" w:lineRule="auto"/>
        <w:ind w:right="245"/>
        <w:rPr>
          <w:rFonts w:ascii="Book Antiqua" w:eastAsia="Times New Roman" w:hAnsi="Book Antiqua" w:cs="Times New Roman"/>
          <w:sz w:val="24"/>
          <w:szCs w:val="24"/>
          <w:lang w:eastAsia="en-AU"/>
        </w:rPr>
      </w:pPr>
    </w:p>
    <w:p w14:paraId="31E8687B" w14:textId="1920B850" w:rsidR="00361428" w:rsidRDefault="00361428" w:rsidP="00361428">
      <w:r w:rsidRPr="00CF221E">
        <w:t>I note that the arrangements for approved</w:t>
      </w:r>
      <w:r w:rsidR="00D65CB3">
        <w:t xml:space="preserve"> provider</w:t>
      </w:r>
      <w:r w:rsidRPr="00CF221E">
        <w:t xml:space="preserve"> governance reforms addressed by subordinate legislation will increase the regulatory burden on business and community organisations. </w:t>
      </w:r>
      <w:r w:rsidR="00B33AB5">
        <w:t xml:space="preserve">However, the Royal Commission into Aged Care Quality and Safety made strong links between the criticality of sound organisational governance </w:t>
      </w:r>
      <w:r w:rsidR="00491BCA">
        <w:t>with</w:t>
      </w:r>
      <w:r w:rsidR="00B33AB5">
        <w:t xml:space="preserve"> the quality and safety of services</w:t>
      </w:r>
      <w:r w:rsidR="00491BCA">
        <w:t>. M</w:t>
      </w:r>
      <w:r w:rsidR="00B33AB5">
        <w:t xml:space="preserve">any of the changes </w:t>
      </w:r>
      <w:r w:rsidR="006C5DB4">
        <w:t xml:space="preserve">are </w:t>
      </w:r>
      <w:r w:rsidR="00B33AB5">
        <w:t>regular consumer-centred practice</w:t>
      </w:r>
      <w:r w:rsidR="00491BCA">
        <w:t>,</w:t>
      </w:r>
      <w:r w:rsidR="00B33AB5">
        <w:t xml:space="preserve"> with information and procedure able to be adapted from current business practice.</w:t>
      </w:r>
    </w:p>
    <w:p w14:paraId="106CE567" w14:textId="77777777" w:rsidR="00B33AB5" w:rsidRDefault="00B33AB5" w:rsidP="00361428"/>
    <w:p w14:paraId="0E12603F" w14:textId="41853ADE" w:rsidR="00894111" w:rsidRDefault="00894111" w:rsidP="006821B3">
      <w:r w:rsidRPr="00894111">
        <w:lastRenderedPageBreak/>
        <w:t>A search was undertaken across the Department, but no offset measures were identified. The Department will remain alert to opportunities to reduce the regulatory burden for affected stakeholders</w:t>
      </w:r>
      <w:r w:rsidRPr="006821B3">
        <w:t>.</w:t>
      </w:r>
    </w:p>
    <w:p w14:paraId="75AB5ED9" w14:textId="77777777" w:rsidR="00100E2D" w:rsidRPr="006821B3" w:rsidRDefault="00100E2D" w:rsidP="00100E2D"/>
    <w:tbl>
      <w:tblPr>
        <w:tblStyle w:val="LightGrid-Accent2"/>
        <w:tblW w:w="9356" w:type="dxa"/>
        <w:tblInd w:w="108" w:type="dxa"/>
        <w:tblLayout w:type="fixed"/>
        <w:tblLook w:val="04A0" w:firstRow="1" w:lastRow="0" w:firstColumn="1" w:lastColumn="0" w:noHBand="0" w:noVBand="1"/>
        <w:tblCaption w:val="Regulatory burden and cost offset estimate table"/>
        <w:tblDescription w:val="Template for the Regulatory burden and cost offset estimate table"/>
      </w:tblPr>
      <w:tblGrid>
        <w:gridCol w:w="1871"/>
        <w:gridCol w:w="1871"/>
        <w:gridCol w:w="1871"/>
        <w:gridCol w:w="1871"/>
        <w:gridCol w:w="1872"/>
      </w:tblGrid>
      <w:tr w:rsidR="00100E2D" w:rsidRPr="003435C6" w14:paraId="5A01EBA6" w14:textId="77777777" w:rsidTr="00C77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noWrap/>
          </w:tcPr>
          <w:p w14:paraId="1BDD64F9" w14:textId="77777777" w:rsidR="00100E2D" w:rsidRPr="00B82563" w:rsidRDefault="00100E2D" w:rsidP="00C77346">
            <w:pPr>
              <w:spacing w:before="120" w:after="120"/>
              <w:rPr>
                <w:rFonts w:cs="Arial"/>
                <w:sz w:val="20"/>
                <w:u w:val="single"/>
              </w:rPr>
            </w:pPr>
            <w:r w:rsidRPr="00B82563">
              <w:rPr>
                <w:rFonts w:cs="Arial"/>
                <w:sz w:val="22"/>
                <w:u w:val="single"/>
              </w:rPr>
              <w:t>Regulatory burden estimate table</w:t>
            </w:r>
          </w:p>
          <w:p w14:paraId="17776247" w14:textId="77777777" w:rsidR="00100E2D" w:rsidRPr="00B82563" w:rsidRDefault="00100E2D" w:rsidP="00C77346">
            <w:pPr>
              <w:spacing w:before="120" w:after="120"/>
              <w:rPr>
                <w:rFonts w:cs="Arial"/>
                <w:sz w:val="20"/>
              </w:rPr>
            </w:pPr>
            <w:r w:rsidRPr="00B82563">
              <w:rPr>
                <w:rFonts w:cs="Arial"/>
                <w:sz w:val="20"/>
              </w:rPr>
              <w:t>Average annual regulatory costs (from business as usual)</w:t>
            </w:r>
          </w:p>
        </w:tc>
      </w:tr>
      <w:tr w:rsidR="00100E2D" w:rsidRPr="003435C6" w14:paraId="3E16C64A" w14:textId="77777777" w:rsidTr="00C773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14:paraId="16BA1F71" w14:textId="77777777" w:rsidR="00100E2D" w:rsidRPr="00B82563" w:rsidRDefault="00100E2D" w:rsidP="00C77346">
            <w:pPr>
              <w:pStyle w:val="TableText"/>
              <w:rPr>
                <w:rFonts w:ascii="Book Antiqua" w:hAnsi="Book Antiqua"/>
                <w:b w:val="0"/>
              </w:rPr>
            </w:pPr>
            <w:r w:rsidRPr="00B82563">
              <w:rPr>
                <w:rFonts w:ascii="Book Antiqua" w:hAnsi="Book Antiqua"/>
              </w:rPr>
              <w:t>Change in costs ($ million)</w:t>
            </w:r>
          </w:p>
        </w:tc>
        <w:tc>
          <w:tcPr>
            <w:tcW w:w="1871" w:type="dxa"/>
            <w:noWrap/>
          </w:tcPr>
          <w:p w14:paraId="7D54E73F" w14:textId="77777777" w:rsidR="00100E2D" w:rsidRPr="00B82563" w:rsidRDefault="00100E2D" w:rsidP="00C7734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B82563">
              <w:rPr>
                <w:rFonts w:ascii="Book Antiqua" w:hAnsi="Book Antiqua"/>
              </w:rPr>
              <w:t>Business</w:t>
            </w:r>
          </w:p>
        </w:tc>
        <w:tc>
          <w:tcPr>
            <w:tcW w:w="1871" w:type="dxa"/>
            <w:noWrap/>
          </w:tcPr>
          <w:p w14:paraId="3D385ABE" w14:textId="77777777" w:rsidR="00100E2D" w:rsidRPr="00B82563" w:rsidRDefault="00100E2D" w:rsidP="00C773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B82563">
              <w:rPr>
                <w:rFonts w:cs="Arial"/>
                <w:sz w:val="20"/>
              </w:rPr>
              <w:t>Community organisations</w:t>
            </w:r>
          </w:p>
        </w:tc>
        <w:tc>
          <w:tcPr>
            <w:tcW w:w="1871" w:type="dxa"/>
            <w:noWrap/>
          </w:tcPr>
          <w:p w14:paraId="35FDF26E" w14:textId="77777777" w:rsidR="00100E2D" w:rsidRPr="00B82563" w:rsidRDefault="00100E2D" w:rsidP="00C773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B82563">
              <w:rPr>
                <w:rFonts w:cs="Arial"/>
                <w:sz w:val="20"/>
              </w:rPr>
              <w:t>Individuals</w:t>
            </w:r>
          </w:p>
        </w:tc>
        <w:tc>
          <w:tcPr>
            <w:tcW w:w="1872" w:type="dxa"/>
            <w:noWrap/>
          </w:tcPr>
          <w:p w14:paraId="6A4A43C5" w14:textId="77777777" w:rsidR="00100E2D" w:rsidRPr="00B82563" w:rsidRDefault="00100E2D" w:rsidP="00C773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B82563">
              <w:rPr>
                <w:rFonts w:cs="Arial"/>
                <w:sz w:val="20"/>
              </w:rPr>
              <w:t>Total change in costs</w:t>
            </w:r>
          </w:p>
        </w:tc>
      </w:tr>
      <w:tr w:rsidR="00100E2D" w:rsidRPr="0020557D" w14:paraId="41767926" w14:textId="77777777" w:rsidTr="00C773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14:paraId="0AC1EA0A" w14:textId="77777777" w:rsidR="00100E2D" w:rsidRPr="00B82563" w:rsidRDefault="00100E2D" w:rsidP="00C77346">
            <w:pPr>
              <w:spacing w:before="120" w:after="120"/>
              <w:rPr>
                <w:rFonts w:cs="Arial"/>
                <w:b w:val="0"/>
                <w:sz w:val="20"/>
                <w:szCs w:val="20"/>
              </w:rPr>
            </w:pPr>
            <w:r w:rsidRPr="00B82563">
              <w:rPr>
                <w:rFonts w:cs="Arial"/>
                <w:sz w:val="20"/>
                <w:szCs w:val="20"/>
              </w:rPr>
              <w:t>Total, by sector</w:t>
            </w:r>
          </w:p>
        </w:tc>
        <w:tc>
          <w:tcPr>
            <w:tcW w:w="1871" w:type="dxa"/>
            <w:noWrap/>
          </w:tcPr>
          <w:p w14:paraId="4C3C3D5A" w14:textId="5CB50B8F" w:rsidR="00100E2D" w:rsidRPr="00B82563" w:rsidRDefault="00100E2D" w:rsidP="00B15DC0">
            <w:pPr>
              <w:spacing w:before="120" w:after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Arial"/>
                <w:bCs/>
                <w:sz w:val="20"/>
                <w:szCs w:val="20"/>
              </w:rPr>
            </w:pPr>
            <w:r w:rsidRPr="00B82563">
              <w:rPr>
                <w:rFonts w:eastAsiaTheme="majorEastAsia" w:cs="Arial"/>
                <w:bCs/>
                <w:sz w:val="20"/>
                <w:szCs w:val="20"/>
              </w:rPr>
              <w:t>$</w:t>
            </w:r>
            <w:r w:rsidR="00FC0ED2" w:rsidRPr="00B82563">
              <w:rPr>
                <w:rFonts w:eastAsiaTheme="majorEastAsia" w:cs="Arial"/>
                <w:bCs/>
                <w:sz w:val="20"/>
                <w:szCs w:val="20"/>
              </w:rPr>
              <w:t>2</w:t>
            </w:r>
            <w:r w:rsidR="00491BCA" w:rsidRPr="00B82563">
              <w:rPr>
                <w:rFonts w:eastAsiaTheme="majorEastAsia" w:cs="Arial"/>
                <w:bCs/>
                <w:sz w:val="20"/>
                <w:szCs w:val="20"/>
              </w:rPr>
              <w:t>.</w:t>
            </w:r>
            <w:r w:rsidR="00FC0ED2" w:rsidRPr="00B82563">
              <w:rPr>
                <w:rFonts w:eastAsiaTheme="majorEastAsia" w:cs="Arial"/>
                <w:bCs/>
                <w:sz w:val="20"/>
                <w:szCs w:val="20"/>
              </w:rPr>
              <w:t>6</w:t>
            </w:r>
            <w:r w:rsidR="00491BCA" w:rsidRPr="00B82563">
              <w:rPr>
                <w:rFonts w:eastAsiaTheme="majorEastAsia" w:cs="Arial"/>
                <w:bCs/>
                <w:sz w:val="20"/>
                <w:szCs w:val="20"/>
              </w:rPr>
              <w:t>4</w:t>
            </w:r>
          </w:p>
        </w:tc>
        <w:tc>
          <w:tcPr>
            <w:tcW w:w="1871" w:type="dxa"/>
            <w:noWrap/>
          </w:tcPr>
          <w:p w14:paraId="3E0A769E" w14:textId="2C02E2E6" w:rsidR="00100E2D" w:rsidRPr="00B82563" w:rsidRDefault="00100E2D" w:rsidP="00B15DC0">
            <w:pPr>
              <w:spacing w:before="120" w:after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Arial"/>
                <w:bCs/>
                <w:sz w:val="20"/>
                <w:szCs w:val="20"/>
              </w:rPr>
            </w:pPr>
            <w:r w:rsidRPr="00B82563">
              <w:rPr>
                <w:rFonts w:eastAsiaTheme="majorEastAsia" w:cs="Arial"/>
                <w:bCs/>
                <w:sz w:val="20"/>
                <w:szCs w:val="20"/>
              </w:rPr>
              <w:t>$</w:t>
            </w:r>
            <w:r w:rsidR="00FC0ED2" w:rsidRPr="00B82563">
              <w:rPr>
                <w:rFonts w:eastAsiaTheme="majorEastAsia" w:cs="Arial"/>
                <w:bCs/>
                <w:sz w:val="20"/>
                <w:szCs w:val="20"/>
              </w:rPr>
              <w:t>6</w:t>
            </w:r>
            <w:r w:rsidR="00491BCA" w:rsidRPr="00B82563">
              <w:rPr>
                <w:rFonts w:eastAsiaTheme="majorEastAsia" w:cs="Arial"/>
                <w:bCs/>
                <w:sz w:val="20"/>
                <w:szCs w:val="20"/>
              </w:rPr>
              <w:t>.</w:t>
            </w:r>
            <w:r w:rsidR="00FC0ED2" w:rsidRPr="00B82563">
              <w:rPr>
                <w:rFonts w:eastAsiaTheme="majorEastAsia" w:cs="Arial"/>
                <w:bCs/>
                <w:sz w:val="20"/>
                <w:szCs w:val="20"/>
              </w:rPr>
              <w:t>27</w:t>
            </w:r>
          </w:p>
        </w:tc>
        <w:tc>
          <w:tcPr>
            <w:tcW w:w="1871" w:type="dxa"/>
            <w:noWrap/>
          </w:tcPr>
          <w:p w14:paraId="32756BD5" w14:textId="0DE80083" w:rsidR="00100E2D" w:rsidRPr="00B82563" w:rsidRDefault="00100E2D" w:rsidP="00B15DC0">
            <w:pPr>
              <w:spacing w:before="120" w:after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Arial"/>
                <w:bCs/>
                <w:sz w:val="20"/>
                <w:szCs w:val="20"/>
              </w:rPr>
            </w:pPr>
            <w:r w:rsidRPr="00B82563">
              <w:rPr>
                <w:rFonts w:eastAsiaTheme="majorEastAsia" w:cs="Arial"/>
                <w:bCs/>
                <w:sz w:val="20"/>
                <w:szCs w:val="20"/>
              </w:rPr>
              <w:t>$</w:t>
            </w:r>
            <w:r w:rsidR="00FC0ED2" w:rsidRPr="00B82563">
              <w:rPr>
                <w:rFonts w:eastAsiaTheme="majorEastAsia" w:cs="Arial"/>
                <w:bCs/>
                <w:sz w:val="20"/>
                <w:szCs w:val="20"/>
              </w:rPr>
              <w:t xml:space="preserve">   -</w:t>
            </w:r>
          </w:p>
        </w:tc>
        <w:tc>
          <w:tcPr>
            <w:tcW w:w="1872" w:type="dxa"/>
            <w:noWrap/>
          </w:tcPr>
          <w:p w14:paraId="5DB69B73" w14:textId="6E89703A" w:rsidR="00100E2D" w:rsidRPr="00B82563" w:rsidRDefault="00100E2D" w:rsidP="00B15DC0">
            <w:pPr>
              <w:spacing w:before="120" w:after="1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Arial"/>
                <w:b/>
                <w:sz w:val="20"/>
                <w:szCs w:val="20"/>
              </w:rPr>
            </w:pPr>
            <w:r w:rsidRPr="00B82563">
              <w:rPr>
                <w:rFonts w:eastAsiaTheme="majorEastAsia" w:cs="Arial"/>
                <w:b/>
                <w:sz w:val="20"/>
                <w:szCs w:val="20"/>
              </w:rPr>
              <w:t>$</w:t>
            </w:r>
            <w:r w:rsidR="00FC0ED2" w:rsidRPr="00B82563">
              <w:rPr>
                <w:rFonts w:eastAsiaTheme="majorEastAsia" w:cs="Arial"/>
                <w:b/>
                <w:sz w:val="20"/>
                <w:szCs w:val="20"/>
              </w:rPr>
              <w:t>8</w:t>
            </w:r>
            <w:r w:rsidR="00491BCA" w:rsidRPr="00B82563">
              <w:rPr>
                <w:rFonts w:eastAsiaTheme="majorEastAsia" w:cs="Arial"/>
                <w:b/>
                <w:sz w:val="20"/>
                <w:szCs w:val="20"/>
              </w:rPr>
              <w:t>.</w:t>
            </w:r>
            <w:r w:rsidR="00FC0ED2" w:rsidRPr="00B82563">
              <w:rPr>
                <w:rFonts w:eastAsiaTheme="majorEastAsia" w:cs="Arial"/>
                <w:b/>
                <w:sz w:val="20"/>
                <w:szCs w:val="20"/>
              </w:rPr>
              <w:t>91</w:t>
            </w:r>
          </w:p>
        </w:tc>
      </w:tr>
    </w:tbl>
    <w:p w14:paraId="695F20E9" w14:textId="017E8515" w:rsidR="00100E2D" w:rsidRDefault="00100E2D" w:rsidP="00100E2D"/>
    <w:p w14:paraId="342DA33A" w14:textId="6F9BDF00" w:rsidR="00100E2D" w:rsidRDefault="00100E2D" w:rsidP="00100E2D">
      <w:r>
        <w:t>I am satisfied that the attached report is consistent with the Australian Government Guide to Regulatory Impact Analysis.</w:t>
      </w:r>
    </w:p>
    <w:p w14:paraId="55DBAB81" w14:textId="77777777" w:rsidR="00100E2D" w:rsidRDefault="00100E2D" w:rsidP="00100E2D"/>
    <w:p w14:paraId="674F5FFC" w14:textId="77777777" w:rsidR="00100E2D" w:rsidRDefault="00100E2D" w:rsidP="00100E2D">
      <w:r>
        <w:t>Yours sincerely</w:t>
      </w:r>
    </w:p>
    <w:p w14:paraId="6B222481" w14:textId="215ED2DD" w:rsidR="00100E2D" w:rsidRDefault="00100E2D" w:rsidP="00100E2D"/>
    <w:p w14:paraId="4DCC32D7" w14:textId="2DC731AE" w:rsidR="00491BCA" w:rsidRDefault="00491BCA" w:rsidP="00100E2D"/>
    <w:p w14:paraId="4DC9B64E" w14:textId="4E639CDC" w:rsidR="00491BCA" w:rsidRDefault="00491BCA" w:rsidP="00100E2D"/>
    <w:p w14:paraId="5E858B8C" w14:textId="44475BB7" w:rsidR="00491BCA" w:rsidRDefault="00491BCA" w:rsidP="00100E2D"/>
    <w:p w14:paraId="00965DDE" w14:textId="77777777" w:rsidR="00491BCA" w:rsidRDefault="00491BCA" w:rsidP="00100E2D"/>
    <w:p w14:paraId="3339F932" w14:textId="1A501452" w:rsidR="00100E2D" w:rsidRDefault="00100E2D" w:rsidP="00100E2D">
      <w:r>
        <w:t>Michael Lye</w:t>
      </w:r>
    </w:p>
    <w:p w14:paraId="42AE80B3" w14:textId="6B3D0BA1" w:rsidR="00100E2D" w:rsidRDefault="00100E2D" w:rsidP="00100E2D">
      <w:r>
        <w:t xml:space="preserve">Deputy Secretary </w:t>
      </w:r>
    </w:p>
    <w:p w14:paraId="5219C2E3" w14:textId="1D1D3A5A" w:rsidR="00100E2D" w:rsidRPr="00EC4A7B" w:rsidRDefault="00100E2D" w:rsidP="00100E2D">
      <w:r>
        <w:t xml:space="preserve">Department of Health </w:t>
      </w:r>
    </w:p>
    <w:p w14:paraId="17DF6087" w14:textId="3DF5C3A5" w:rsidR="00100E2D" w:rsidRDefault="00894111" w:rsidP="00100E2D">
      <w:r>
        <w:tab/>
      </w:r>
      <w:r w:rsidR="00624DEA">
        <w:t xml:space="preserve">November  </w:t>
      </w:r>
      <w:r w:rsidR="00100E2D">
        <w:t>2022</w:t>
      </w:r>
    </w:p>
    <w:p w14:paraId="32ED43B5" w14:textId="5DEB2A88" w:rsidR="00100E2D" w:rsidRDefault="00100E2D" w:rsidP="00100E2D"/>
    <w:p w14:paraId="534B54B7" w14:textId="77777777" w:rsidR="00100E2D" w:rsidRDefault="00100E2D" w:rsidP="00100E2D"/>
    <w:p w14:paraId="0BFDC1C8" w14:textId="77777777" w:rsidR="00100E2D" w:rsidRDefault="00100E2D" w:rsidP="00100E2D"/>
    <w:p w14:paraId="78746FA5" w14:textId="77777777" w:rsidR="00100E2D" w:rsidRDefault="00100E2D" w:rsidP="004735A2"/>
    <w:p w14:paraId="13037615" w14:textId="77777777" w:rsidR="00775FE4" w:rsidRPr="0093202A" w:rsidRDefault="00775FE4" w:rsidP="0093202A"/>
    <w:p w14:paraId="06D5CBA4" w14:textId="77777777" w:rsidR="00775FE4" w:rsidRPr="00EC4A7B" w:rsidRDefault="00775FE4" w:rsidP="00775FE4"/>
    <w:p w14:paraId="52F1F50B" w14:textId="77777777" w:rsidR="00775FE4" w:rsidRPr="00EC4A7B" w:rsidRDefault="00775FE4" w:rsidP="00775FE4"/>
    <w:p w14:paraId="2752961E" w14:textId="77777777" w:rsidR="00775FE4" w:rsidRPr="00EC4A7B" w:rsidRDefault="00775FE4" w:rsidP="00775FE4"/>
    <w:p w14:paraId="2655BEB0" w14:textId="77777777" w:rsidR="00775FE4" w:rsidRPr="00EC4A7B" w:rsidRDefault="00775FE4" w:rsidP="00775FE4"/>
    <w:p w14:paraId="42812BD9" w14:textId="77777777" w:rsidR="00775FE4" w:rsidRPr="00EC4A7B" w:rsidRDefault="00775FE4" w:rsidP="00775FE4"/>
    <w:p w14:paraId="707BE95D" w14:textId="77777777" w:rsidR="00775FE4" w:rsidRPr="00EC4A7B" w:rsidRDefault="00775FE4" w:rsidP="00775FE4"/>
    <w:p w14:paraId="5CB48434" w14:textId="77777777" w:rsidR="00775FE4" w:rsidRPr="00EC4A7B" w:rsidRDefault="00775FE4" w:rsidP="00775FE4"/>
    <w:p w14:paraId="14409CA1" w14:textId="77777777" w:rsidR="00775FE4" w:rsidRPr="00EC4A7B" w:rsidRDefault="00775FE4" w:rsidP="00775FE4"/>
    <w:p w14:paraId="0DC588E2" w14:textId="77777777" w:rsidR="00775FE4" w:rsidRPr="00EC4A7B" w:rsidRDefault="00775FE4" w:rsidP="00775FE4"/>
    <w:p w14:paraId="6E210903" w14:textId="77777777" w:rsidR="00D73387" w:rsidRDefault="00D73387" w:rsidP="006E7D7A">
      <w:pPr>
        <w:pStyle w:val="NoSpacing"/>
        <w:rPr>
          <w:rFonts w:ascii="Book Antiqua" w:hAnsi="Book Antiqua"/>
        </w:rPr>
      </w:pPr>
    </w:p>
    <w:p w14:paraId="046399CD" w14:textId="77777777" w:rsidR="00D73387" w:rsidRDefault="00D73387" w:rsidP="00DD5414">
      <w:pPr>
        <w:pStyle w:val="NoSpacing"/>
        <w:tabs>
          <w:tab w:val="left" w:pos="4065"/>
        </w:tabs>
        <w:rPr>
          <w:rFonts w:ascii="Book Antiqua" w:hAnsi="Book Antiqua"/>
        </w:rPr>
      </w:pPr>
    </w:p>
    <w:p w14:paraId="7C0FFB8D" w14:textId="77777777" w:rsidR="00D73387" w:rsidRDefault="00D73387" w:rsidP="006E7D7A">
      <w:pPr>
        <w:pStyle w:val="NoSpacing"/>
        <w:rPr>
          <w:rFonts w:ascii="Book Antiqua" w:hAnsi="Book Antiqua"/>
        </w:rPr>
      </w:pPr>
    </w:p>
    <w:p w14:paraId="35841118" w14:textId="2690876F" w:rsidR="00100E2D" w:rsidRDefault="00100E2D" w:rsidP="007F3885">
      <w:pPr>
        <w:tabs>
          <w:tab w:val="right" w:pos="9072"/>
        </w:tabs>
        <w:spacing w:after="720"/>
      </w:pPr>
    </w:p>
    <w:p w14:paraId="054E365D" w14:textId="77777777" w:rsidR="00100E2D" w:rsidRDefault="00100E2D" w:rsidP="00100E2D">
      <w:pPr>
        <w:rPr>
          <w:b/>
          <w:sz w:val="21"/>
        </w:rPr>
      </w:pPr>
      <w:r>
        <w:rPr>
          <w:b/>
          <w:sz w:val="21"/>
        </w:rPr>
        <w:br w:type="page"/>
      </w:r>
    </w:p>
    <w:p w14:paraId="48771B08" w14:textId="77777777" w:rsidR="00EB4CD3" w:rsidRPr="00EB4CD3" w:rsidRDefault="00EB4CD3" w:rsidP="00EB4CD3">
      <w:pPr>
        <w:spacing w:before="54"/>
        <w:ind w:left="720"/>
        <w:jc w:val="right"/>
        <w:rPr>
          <w:rFonts w:eastAsia="Arial" w:cs="Arial"/>
          <w:sz w:val="21"/>
          <w:szCs w:val="21"/>
        </w:rPr>
      </w:pPr>
      <w:r w:rsidRPr="00EB4CD3">
        <w:rPr>
          <w:b/>
          <w:sz w:val="21"/>
        </w:rPr>
        <w:lastRenderedPageBreak/>
        <w:t>Attachment</w:t>
      </w:r>
      <w:r w:rsidRPr="00EB4CD3">
        <w:rPr>
          <w:b/>
          <w:spacing w:val="17"/>
          <w:sz w:val="21"/>
        </w:rPr>
        <w:t xml:space="preserve"> </w:t>
      </w:r>
      <w:r w:rsidRPr="00EB4CD3">
        <w:rPr>
          <w:b/>
          <w:sz w:val="21"/>
        </w:rPr>
        <w:t>A</w:t>
      </w:r>
    </w:p>
    <w:p w14:paraId="1C54EEDB" w14:textId="77777777" w:rsidR="00EB4CD3" w:rsidRPr="00EB4CD3" w:rsidRDefault="00EB4CD3" w:rsidP="00EB4CD3">
      <w:pPr>
        <w:spacing w:before="4"/>
        <w:rPr>
          <w:rFonts w:eastAsia="Arial" w:cs="Arial"/>
          <w:b/>
          <w:bCs/>
          <w:sz w:val="23"/>
          <w:szCs w:val="23"/>
        </w:rPr>
      </w:pPr>
    </w:p>
    <w:p w14:paraId="015BFF16" w14:textId="77777777" w:rsidR="00EB4CD3" w:rsidRPr="00EB4CD3" w:rsidRDefault="00EB4CD3" w:rsidP="00EB4CD3">
      <w:pPr>
        <w:spacing w:line="258" w:lineRule="auto"/>
        <w:ind w:left="2705" w:hanging="2386"/>
        <w:rPr>
          <w:rFonts w:eastAsia="Arial" w:cs="Arial"/>
        </w:rPr>
      </w:pPr>
      <w:r w:rsidRPr="00EB4CD3">
        <w:rPr>
          <w:b/>
        </w:rPr>
        <w:t>Independent</w:t>
      </w:r>
      <w:r w:rsidRPr="00EB4CD3">
        <w:rPr>
          <w:b/>
          <w:spacing w:val="29"/>
        </w:rPr>
        <w:t xml:space="preserve"> </w:t>
      </w:r>
      <w:r w:rsidRPr="00EB4CD3">
        <w:rPr>
          <w:b/>
        </w:rPr>
        <w:t>reviews</w:t>
      </w:r>
      <w:r w:rsidRPr="00EB4CD3">
        <w:rPr>
          <w:b/>
          <w:spacing w:val="-6"/>
        </w:rPr>
        <w:t xml:space="preserve"> </w:t>
      </w:r>
      <w:r w:rsidRPr="00EB4CD3">
        <w:rPr>
          <w:b/>
        </w:rPr>
        <w:t>for</w:t>
      </w:r>
      <w:r w:rsidRPr="00EB4CD3">
        <w:rPr>
          <w:b/>
          <w:spacing w:val="9"/>
        </w:rPr>
        <w:t xml:space="preserve"> </w:t>
      </w:r>
      <w:r w:rsidRPr="00EB4CD3">
        <w:rPr>
          <w:b/>
          <w:spacing w:val="-1"/>
        </w:rPr>
        <w:t xml:space="preserve">certification </w:t>
      </w:r>
      <w:r w:rsidRPr="00EB4CD3">
        <w:rPr>
          <w:b/>
        </w:rPr>
        <w:t>of</w:t>
      </w:r>
      <w:r w:rsidRPr="00EB4CD3">
        <w:rPr>
          <w:b/>
          <w:spacing w:val="1"/>
        </w:rPr>
        <w:t xml:space="preserve"> </w:t>
      </w:r>
      <w:r w:rsidRPr="00EB4CD3">
        <w:rPr>
          <w:b/>
        </w:rPr>
        <w:t>response</w:t>
      </w:r>
      <w:r w:rsidRPr="00EB4CD3">
        <w:rPr>
          <w:b/>
          <w:spacing w:val="1"/>
        </w:rPr>
        <w:t xml:space="preserve"> </w:t>
      </w:r>
      <w:r w:rsidRPr="00EB4CD3">
        <w:rPr>
          <w:b/>
        </w:rPr>
        <w:t>to</w:t>
      </w:r>
      <w:r w:rsidRPr="00EB4CD3">
        <w:rPr>
          <w:b/>
          <w:spacing w:val="-5"/>
        </w:rPr>
        <w:t xml:space="preserve"> </w:t>
      </w:r>
      <w:r w:rsidRPr="00EB4CD3">
        <w:rPr>
          <w:b/>
        </w:rPr>
        <w:t>the</w:t>
      </w:r>
      <w:r w:rsidRPr="00EB4CD3">
        <w:rPr>
          <w:b/>
          <w:spacing w:val="18"/>
        </w:rPr>
        <w:t xml:space="preserve"> </w:t>
      </w:r>
      <w:r w:rsidRPr="00EB4CD3">
        <w:rPr>
          <w:b/>
        </w:rPr>
        <w:t>Royal</w:t>
      </w:r>
      <w:r w:rsidRPr="00EB4CD3">
        <w:rPr>
          <w:b/>
          <w:spacing w:val="-4"/>
        </w:rPr>
        <w:t xml:space="preserve"> </w:t>
      </w:r>
      <w:r w:rsidRPr="00EB4CD3">
        <w:rPr>
          <w:b/>
        </w:rPr>
        <w:t>Commission</w:t>
      </w:r>
      <w:r w:rsidRPr="00EB4CD3">
        <w:rPr>
          <w:b/>
          <w:spacing w:val="28"/>
          <w:w w:val="97"/>
        </w:rPr>
        <w:t xml:space="preserve"> </w:t>
      </w:r>
      <w:r w:rsidRPr="00EB4CD3">
        <w:rPr>
          <w:b/>
        </w:rPr>
        <w:t>into</w:t>
      </w:r>
      <w:r w:rsidRPr="00EB4CD3">
        <w:rPr>
          <w:b/>
          <w:spacing w:val="-22"/>
        </w:rPr>
        <w:t xml:space="preserve"> </w:t>
      </w:r>
      <w:r w:rsidRPr="00EB4CD3">
        <w:rPr>
          <w:b/>
        </w:rPr>
        <w:t>Aged</w:t>
      </w:r>
      <w:r w:rsidRPr="00EB4CD3">
        <w:rPr>
          <w:b/>
          <w:spacing w:val="14"/>
        </w:rPr>
        <w:t xml:space="preserve"> </w:t>
      </w:r>
      <w:r w:rsidRPr="00EB4CD3">
        <w:rPr>
          <w:b/>
        </w:rPr>
        <w:t>Care</w:t>
      </w:r>
      <w:r w:rsidRPr="00EB4CD3">
        <w:rPr>
          <w:b/>
          <w:spacing w:val="7"/>
        </w:rPr>
        <w:t xml:space="preserve"> </w:t>
      </w:r>
      <w:r w:rsidRPr="00EB4CD3">
        <w:rPr>
          <w:b/>
        </w:rPr>
        <w:t>Quality and</w:t>
      </w:r>
      <w:r w:rsidRPr="00EB4CD3">
        <w:rPr>
          <w:b/>
          <w:spacing w:val="8"/>
        </w:rPr>
        <w:t xml:space="preserve"> </w:t>
      </w:r>
      <w:r w:rsidRPr="00EB4CD3">
        <w:rPr>
          <w:b/>
        </w:rPr>
        <w:t>Safety</w:t>
      </w:r>
    </w:p>
    <w:p w14:paraId="415592F5" w14:textId="77777777" w:rsidR="00EB4CD3" w:rsidRPr="00EB4CD3" w:rsidRDefault="00EB4CD3" w:rsidP="00EB4CD3">
      <w:pPr>
        <w:rPr>
          <w:rFonts w:eastAsia="Arial" w:cs="Arial"/>
          <w:b/>
          <w:bCs/>
        </w:rPr>
      </w:pPr>
    </w:p>
    <w:p w14:paraId="0AF3A20A" w14:textId="77777777" w:rsidR="00EB4CD3" w:rsidRPr="00EB4CD3" w:rsidRDefault="00EB4CD3" w:rsidP="00EB4CD3">
      <w:pPr>
        <w:spacing w:before="2"/>
        <w:rPr>
          <w:rFonts w:eastAsia="Arial" w:cs="Arial"/>
          <w:b/>
          <w:bCs/>
          <w:sz w:val="21"/>
          <w:szCs w:val="21"/>
        </w:rPr>
      </w:pPr>
    </w:p>
    <w:p w14:paraId="3F9C2131" w14:textId="77777777" w:rsidR="00EB4CD3" w:rsidRPr="00EB4CD3" w:rsidRDefault="00EB4CD3" w:rsidP="00EB4CD3">
      <w:pPr>
        <w:pStyle w:val="BodyText"/>
        <w:widowControl w:val="0"/>
        <w:numPr>
          <w:ilvl w:val="0"/>
          <w:numId w:val="1"/>
        </w:numPr>
        <w:spacing w:before="0" w:line="517" w:lineRule="auto"/>
        <w:ind w:right="489"/>
        <w:rPr>
          <w:rFonts w:ascii="Book Antiqua" w:hAnsi="Book Antiqua"/>
          <w:w w:val="105"/>
        </w:rPr>
      </w:pPr>
      <w:r w:rsidRPr="00EB4CD3">
        <w:rPr>
          <w:rFonts w:ascii="Book Antiqua" w:hAnsi="Book Antiqua"/>
          <w:w w:val="105"/>
        </w:rPr>
        <w:t xml:space="preserve">Royal Commission into Aged Care Quality and Safety, </w:t>
      </w:r>
      <w:r w:rsidRPr="00EB4CD3">
        <w:rPr>
          <w:rFonts w:ascii="Book Antiqua" w:hAnsi="Book Antiqua"/>
          <w:i/>
          <w:iCs/>
          <w:w w:val="105"/>
        </w:rPr>
        <w:t>Final Report</w:t>
      </w:r>
      <w:r w:rsidRPr="00EB4CD3">
        <w:rPr>
          <w:rFonts w:ascii="Book Antiqua" w:hAnsi="Book Antiqua"/>
          <w:w w:val="105"/>
        </w:rPr>
        <w:t xml:space="preserve">, 26 February 2021 </w:t>
      </w:r>
    </w:p>
    <w:p w14:paraId="63B21A2F" w14:textId="77777777" w:rsidR="00EB4CD3" w:rsidRPr="00EB4CD3" w:rsidRDefault="00EB4CD3" w:rsidP="00EB4CD3">
      <w:pPr>
        <w:pStyle w:val="BodyText"/>
        <w:widowControl w:val="0"/>
        <w:spacing w:before="0" w:line="517" w:lineRule="auto"/>
        <w:ind w:left="483" w:right="489"/>
        <w:rPr>
          <w:rFonts w:ascii="Book Antiqua" w:hAnsi="Book Antiqua"/>
          <w:w w:val="105"/>
        </w:rPr>
      </w:pPr>
      <w:r w:rsidRPr="00EB4CD3">
        <w:rPr>
          <w:rFonts w:ascii="Book Antiqua" w:hAnsi="Book Antiqua"/>
          <w:w w:val="105"/>
        </w:rPr>
        <w:t xml:space="preserve">Available at: </w:t>
      </w:r>
      <w:hyperlink r:id="rId8" w:history="1">
        <w:r w:rsidRPr="00EB4CD3">
          <w:rPr>
            <w:rStyle w:val="Hyperlink"/>
            <w:rFonts w:ascii="Book Antiqua" w:hAnsi="Book Antiqua"/>
            <w:sz w:val="22"/>
          </w:rPr>
          <w:t>https://agedcare.royalcommission.gov.au/publications/final-report</w:t>
        </w:r>
      </w:hyperlink>
    </w:p>
    <w:p w14:paraId="42A35E8E" w14:textId="77777777" w:rsidR="00EB4CD3" w:rsidRPr="00EB4CD3" w:rsidRDefault="00EB4CD3" w:rsidP="00EB4CD3">
      <w:pPr>
        <w:pStyle w:val="BodyText"/>
        <w:widowControl w:val="0"/>
        <w:numPr>
          <w:ilvl w:val="0"/>
          <w:numId w:val="1"/>
        </w:numPr>
        <w:spacing w:before="0" w:line="517" w:lineRule="auto"/>
        <w:ind w:right="489"/>
        <w:rPr>
          <w:rFonts w:ascii="Book Antiqua" w:hAnsi="Book Antiqua"/>
          <w:w w:val="105"/>
        </w:rPr>
      </w:pPr>
      <w:r w:rsidRPr="00EB4CD3">
        <w:rPr>
          <w:rFonts w:ascii="Book Antiqua" w:hAnsi="Book Antiqua"/>
          <w:w w:val="105"/>
        </w:rPr>
        <w:t xml:space="preserve">Royal Commission into Aged Care Quality and Safety, </w:t>
      </w:r>
      <w:r w:rsidRPr="00EB4CD3">
        <w:rPr>
          <w:rFonts w:ascii="Book Antiqua" w:hAnsi="Book Antiqua"/>
          <w:i/>
          <w:iCs/>
          <w:w w:val="105"/>
        </w:rPr>
        <w:t>Counsel Assisting's Proposed Recommendations at Final Hearing</w:t>
      </w:r>
      <w:r w:rsidRPr="00EB4CD3">
        <w:rPr>
          <w:rFonts w:ascii="Book Antiqua" w:hAnsi="Book Antiqua"/>
          <w:w w:val="105"/>
        </w:rPr>
        <w:t>, 22 October 2020</w:t>
      </w:r>
    </w:p>
    <w:p w14:paraId="106F537E" w14:textId="77777777" w:rsidR="00EB4CD3" w:rsidRPr="00EB4CD3" w:rsidRDefault="00EB4CD3" w:rsidP="00EB4CD3">
      <w:pPr>
        <w:pStyle w:val="BodyText"/>
        <w:widowControl w:val="0"/>
        <w:spacing w:before="0" w:line="517" w:lineRule="auto"/>
        <w:ind w:left="483" w:right="489"/>
        <w:rPr>
          <w:rFonts w:ascii="Book Antiqua" w:hAnsi="Book Antiqua"/>
          <w:w w:val="105"/>
        </w:rPr>
      </w:pPr>
      <w:r w:rsidRPr="00EB4CD3">
        <w:rPr>
          <w:rFonts w:ascii="Book Antiqua" w:hAnsi="Book Antiqua"/>
          <w:w w:val="105"/>
        </w:rPr>
        <w:t xml:space="preserve">Available at: </w:t>
      </w:r>
      <w:hyperlink r:id="rId9" w:history="1">
        <w:r w:rsidRPr="00EB4CD3">
          <w:rPr>
            <w:rStyle w:val="Hyperlink"/>
            <w:rFonts w:ascii="Book Antiqua" w:hAnsi="Book Antiqua"/>
            <w:w w:val="105"/>
            <w:sz w:val="22"/>
          </w:rPr>
          <w:t>https://agedcare.royalcommission.gov.au/media/29098</w:t>
        </w:r>
      </w:hyperlink>
    </w:p>
    <w:p w14:paraId="19E2BD73" w14:textId="77777777" w:rsidR="00EB4CD3" w:rsidRPr="00EB4CD3" w:rsidRDefault="00EB4CD3" w:rsidP="00EB4CD3">
      <w:pPr>
        <w:pStyle w:val="BodyText"/>
        <w:widowControl w:val="0"/>
        <w:numPr>
          <w:ilvl w:val="0"/>
          <w:numId w:val="1"/>
        </w:numPr>
        <w:spacing w:before="0" w:line="517" w:lineRule="auto"/>
        <w:ind w:right="489"/>
        <w:rPr>
          <w:rFonts w:ascii="Book Antiqua" w:hAnsi="Book Antiqua"/>
          <w:w w:val="105"/>
        </w:rPr>
      </w:pPr>
      <w:r w:rsidRPr="00EB4CD3">
        <w:rPr>
          <w:rFonts w:ascii="Book Antiqua" w:hAnsi="Book Antiqua"/>
          <w:w w:val="105"/>
        </w:rPr>
        <w:t xml:space="preserve">Royal Commission Aged Care Quality and Safety Hearing, </w:t>
      </w:r>
      <w:r w:rsidRPr="00EB4CD3">
        <w:rPr>
          <w:rFonts w:ascii="Book Antiqua" w:hAnsi="Book Antiqua"/>
          <w:i/>
          <w:iCs/>
          <w:w w:val="105"/>
        </w:rPr>
        <w:t>Interim Report</w:t>
      </w:r>
      <w:r w:rsidRPr="00EB4CD3">
        <w:rPr>
          <w:rFonts w:ascii="Book Antiqua" w:hAnsi="Book Antiqua"/>
          <w:w w:val="105"/>
        </w:rPr>
        <w:t>, 31 October 2019</w:t>
      </w:r>
    </w:p>
    <w:p w14:paraId="2A8AB2DB" w14:textId="77777777" w:rsidR="00EB4CD3" w:rsidRPr="00EB4CD3" w:rsidRDefault="00EB4CD3" w:rsidP="00EB4CD3">
      <w:pPr>
        <w:pStyle w:val="BodyText"/>
        <w:widowControl w:val="0"/>
        <w:spacing w:before="0" w:line="517" w:lineRule="auto"/>
        <w:ind w:left="483" w:right="489"/>
        <w:rPr>
          <w:rFonts w:ascii="Book Antiqua" w:hAnsi="Book Antiqua"/>
          <w:w w:val="105"/>
        </w:rPr>
      </w:pPr>
      <w:r w:rsidRPr="00EB4CD3">
        <w:rPr>
          <w:rFonts w:ascii="Book Antiqua" w:hAnsi="Book Antiqua"/>
          <w:w w:val="105"/>
        </w:rPr>
        <w:t xml:space="preserve">Available at: </w:t>
      </w:r>
      <w:hyperlink r:id="rId10" w:history="1">
        <w:r w:rsidRPr="00EB4CD3">
          <w:rPr>
            <w:rStyle w:val="Hyperlink"/>
            <w:rFonts w:ascii="Book Antiqua" w:hAnsi="Book Antiqua"/>
            <w:w w:val="105"/>
            <w:sz w:val="22"/>
          </w:rPr>
          <w:t>https://agedcare.royalcommission.gov.au/publications/interim-report</w:t>
        </w:r>
      </w:hyperlink>
      <w:r w:rsidRPr="00EB4CD3">
        <w:rPr>
          <w:rFonts w:ascii="Book Antiqua" w:hAnsi="Book Antiqua"/>
          <w:w w:val="105"/>
        </w:rPr>
        <w:t xml:space="preserve"> </w:t>
      </w:r>
    </w:p>
    <w:p w14:paraId="25FC3960" w14:textId="77777777" w:rsidR="00EB4CD3" w:rsidRPr="00EB4CD3" w:rsidRDefault="00EB4CD3" w:rsidP="00EB4CD3">
      <w:pPr>
        <w:pStyle w:val="BodyText"/>
        <w:widowControl w:val="0"/>
        <w:numPr>
          <w:ilvl w:val="0"/>
          <w:numId w:val="1"/>
        </w:numPr>
        <w:spacing w:before="0" w:line="517" w:lineRule="auto"/>
        <w:ind w:right="489"/>
        <w:rPr>
          <w:rFonts w:ascii="Book Antiqua" w:hAnsi="Book Antiqua"/>
          <w:w w:val="105"/>
        </w:rPr>
      </w:pPr>
      <w:r w:rsidRPr="00EB4CD3">
        <w:rPr>
          <w:rFonts w:ascii="Book Antiqua" w:hAnsi="Book Antiqua"/>
          <w:w w:val="105"/>
        </w:rPr>
        <w:t>Human Rights Watch, "</w:t>
      </w:r>
      <w:r w:rsidRPr="00EB4CD3">
        <w:rPr>
          <w:rFonts w:ascii="Book Antiqua" w:hAnsi="Book Antiqua"/>
          <w:i/>
          <w:iCs/>
          <w:w w:val="105"/>
        </w:rPr>
        <w:t>Fading Away" How Aged Care Facilities in Australia Chemically Restrain Older People with Dementia</w:t>
      </w:r>
      <w:r w:rsidRPr="00EB4CD3">
        <w:rPr>
          <w:rFonts w:ascii="Book Antiqua" w:hAnsi="Book Antiqua"/>
          <w:w w:val="105"/>
        </w:rPr>
        <w:t>, October 15, 2019</w:t>
      </w:r>
    </w:p>
    <w:p w14:paraId="5831EC18" w14:textId="77777777" w:rsidR="00EB4CD3" w:rsidRPr="00EB4CD3" w:rsidRDefault="00EB4CD3" w:rsidP="00EB4CD3">
      <w:pPr>
        <w:pStyle w:val="BodyText"/>
        <w:widowControl w:val="0"/>
        <w:spacing w:before="0" w:line="517" w:lineRule="auto"/>
        <w:ind w:left="483" w:right="489"/>
        <w:rPr>
          <w:rFonts w:ascii="Book Antiqua" w:hAnsi="Book Antiqua"/>
          <w:w w:val="105"/>
        </w:rPr>
      </w:pPr>
      <w:r w:rsidRPr="00EB4CD3">
        <w:rPr>
          <w:rFonts w:ascii="Book Antiqua" w:hAnsi="Book Antiqua"/>
          <w:w w:val="105"/>
        </w:rPr>
        <w:t xml:space="preserve">Available at: </w:t>
      </w:r>
      <w:hyperlink r:id="rId11" w:history="1">
        <w:r w:rsidRPr="00EB4CD3">
          <w:rPr>
            <w:rStyle w:val="Hyperlink"/>
            <w:rFonts w:ascii="Book Antiqua" w:hAnsi="Book Antiqua"/>
            <w:w w:val="105"/>
            <w:sz w:val="22"/>
          </w:rPr>
          <w:t>https://www.hrw.org/report/2019/10/15/fading-away/how-aged-care­ facilities-australia-chemically-restrain-older-people</w:t>
        </w:r>
      </w:hyperlink>
    </w:p>
    <w:p w14:paraId="0E3B34DB" w14:textId="77777777" w:rsidR="00EB4CD3" w:rsidRPr="00EB4CD3" w:rsidRDefault="00EB4CD3" w:rsidP="00EB4CD3">
      <w:pPr>
        <w:pStyle w:val="BodyText"/>
        <w:widowControl w:val="0"/>
        <w:numPr>
          <w:ilvl w:val="0"/>
          <w:numId w:val="1"/>
        </w:numPr>
        <w:spacing w:before="0" w:line="517" w:lineRule="auto"/>
        <w:ind w:right="489"/>
        <w:rPr>
          <w:rFonts w:ascii="Book Antiqua" w:hAnsi="Book Antiqua"/>
          <w:w w:val="105"/>
        </w:rPr>
      </w:pPr>
      <w:r w:rsidRPr="00EB4CD3">
        <w:rPr>
          <w:rFonts w:ascii="Book Antiqua" w:hAnsi="Book Antiqua"/>
          <w:w w:val="105"/>
        </w:rPr>
        <w:t xml:space="preserve">Senate Community Affairs References Committee, </w:t>
      </w:r>
      <w:r w:rsidRPr="00EB4CD3">
        <w:rPr>
          <w:rFonts w:ascii="Book Antiqua" w:hAnsi="Book Antiqua"/>
          <w:i/>
          <w:iCs/>
          <w:w w:val="105"/>
        </w:rPr>
        <w:t>Effectiveness of the Aged Care Quality Assessment and accreditation framework for protecting residents from abuse and poor practices, and ensuring proper clinical and medical care standards are maintained and practised - Final Report</w:t>
      </w:r>
      <w:r w:rsidRPr="00EB4CD3">
        <w:rPr>
          <w:rFonts w:ascii="Book Antiqua" w:hAnsi="Book Antiqua"/>
          <w:w w:val="105"/>
        </w:rPr>
        <w:t xml:space="preserve"> (April 2019)</w:t>
      </w:r>
    </w:p>
    <w:p w14:paraId="10676AC3" w14:textId="77777777" w:rsidR="00EB4CD3" w:rsidRPr="00EB4CD3" w:rsidRDefault="00EB4CD3" w:rsidP="00EB4CD3">
      <w:pPr>
        <w:pStyle w:val="BodyText"/>
        <w:widowControl w:val="0"/>
        <w:spacing w:before="0" w:line="517" w:lineRule="auto"/>
        <w:ind w:left="483" w:right="489"/>
        <w:rPr>
          <w:rFonts w:ascii="Book Antiqua" w:hAnsi="Book Antiqua"/>
          <w:w w:val="105"/>
        </w:rPr>
      </w:pPr>
      <w:r w:rsidRPr="00EB4CD3">
        <w:rPr>
          <w:rFonts w:ascii="Book Antiqua" w:hAnsi="Book Antiqua"/>
          <w:w w:val="105"/>
        </w:rPr>
        <w:t xml:space="preserve">Available at: </w:t>
      </w:r>
      <w:hyperlink r:id="rId12" w:history="1">
        <w:r w:rsidRPr="00EB4CD3">
          <w:rPr>
            <w:rStyle w:val="Hyperlink"/>
            <w:rFonts w:ascii="Book Antiqua" w:hAnsi="Book Antiqua"/>
            <w:sz w:val="22"/>
          </w:rPr>
          <w:t>https://www.aph.gov.au/Parliamentary_Business/Committees/Senate/Community_Affa</w:t>
        </w:r>
        <w:r w:rsidRPr="00EB4CD3">
          <w:rPr>
            <w:rStyle w:val="Hyperlink"/>
            <w:rFonts w:ascii="Book Antiqua" w:hAnsi="Book Antiqua"/>
            <w:w w:val="105"/>
            <w:sz w:val="22"/>
          </w:rPr>
          <w:t xml:space="preserve"> irs/AgedCareQuality</w:t>
        </w:r>
      </w:hyperlink>
    </w:p>
    <w:p w14:paraId="6A776CF7" w14:textId="77777777" w:rsidR="00EB4CD3" w:rsidRPr="00EB4CD3" w:rsidRDefault="00EB4CD3" w:rsidP="00EB4CD3">
      <w:pPr>
        <w:pStyle w:val="BodyText"/>
        <w:widowControl w:val="0"/>
        <w:numPr>
          <w:ilvl w:val="0"/>
          <w:numId w:val="1"/>
        </w:numPr>
        <w:spacing w:before="0" w:line="517" w:lineRule="auto"/>
        <w:ind w:right="489"/>
        <w:rPr>
          <w:rFonts w:ascii="Book Antiqua" w:hAnsi="Book Antiqua"/>
          <w:w w:val="105"/>
        </w:rPr>
      </w:pPr>
      <w:r w:rsidRPr="00EB4CD3">
        <w:rPr>
          <w:rFonts w:ascii="Book Antiqua" w:hAnsi="Book Antiqua"/>
          <w:i/>
          <w:iCs/>
          <w:w w:val="105"/>
        </w:rPr>
        <w:t>Review of National Aged Care Quality Regulatory Processes Report</w:t>
      </w:r>
      <w:r w:rsidRPr="00EB4CD3">
        <w:rPr>
          <w:rFonts w:ascii="Book Antiqua" w:hAnsi="Book Antiqua"/>
          <w:w w:val="105"/>
        </w:rPr>
        <w:t>, Carnell, K and Paterson, R, October 2017</w:t>
      </w:r>
    </w:p>
    <w:p w14:paraId="029C2D6E" w14:textId="77777777" w:rsidR="00EB4CD3" w:rsidRPr="00EB4CD3" w:rsidRDefault="00EB4CD3" w:rsidP="00EB4CD3">
      <w:pPr>
        <w:pStyle w:val="BodyText"/>
        <w:widowControl w:val="0"/>
        <w:spacing w:before="0" w:line="517" w:lineRule="auto"/>
        <w:ind w:left="483" w:right="489"/>
        <w:rPr>
          <w:rFonts w:ascii="Book Antiqua" w:hAnsi="Book Antiqua"/>
          <w:w w:val="105"/>
        </w:rPr>
      </w:pPr>
      <w:r w:rsidRPr="00EB4CD3">
        <w:rPr>
          <w:rFonts w:ascii="Book Antiqua" w:hAnsi="Book Antiqua"/>
          <w:w w:val="105"/>
        </w:rPr>
        <w:lastRenderedPageBreak/>
        <w:t xml:space="preserve">Available at: </w:t>
      </w:r>
      <w:hyperlink r:id="rId13" w:history="1">
        <w:r w:rsidRPr="00EB4CD3">
          <w:rPr>
            <w:rStyle w:val="Hyperlink"/>
            <w:rFonts w:ascii="Book Antiqua" w:hAnsi="Book Antiqua"/>
            <w:sz w:val="22"/>
          </w:rPr>
          <w:t>https://www.health.gov.au/resources/publications/review-of-national­</w:t>
        </w:r>
        <w:r w:rsidRPr="00EB4CD3">
          <w:rPr>
            <w:rStyle w:val="Hyperlink"/>
            <w:rFonts w:ascii="Book Antiqua" w:hAnsi="Book Antiqua"/>
            <w:w w:val="105"/>
            <w:sz w:val="22"/>
          </w:rPr>
          <w:t xml:space="preserve"> aged-care-quality-regulatory-processes-report</w:t>
        </w:r>
      </w:hyperlink>
    </w:p>
    <w:p w14:paraId="3C878571" w14:textId="77777777" w:rsidR="00EB4CD3" w:rsidRPr="00EB4CD3" w:rsidRDefault="00EB4CD3" w:rsidP="00EB4CD3">
      <w:pPr>
        <w:pStyle w:val="BodyText"/>
        <w:widowControl w:val="0"/>
        <w:numPr>
          <w:ilvl w:val="0"/>
          <w:numId w:val="1"/>
        </w:numPr>
        <w:spacing w:before="0" w:line="517" w:lineRule="auto"/>
        <w:ind w:right="489"/>
        <w:rPr>
          <w:rFonts w:ascii="Book Antiqua" w:hAnsi="Book Antiqua"/>
          <w:w w:val="105"/>
        </w:rPr>
      </w:pPr>
      <w:r w:rsidRPr="00EB4CD3">
        <w:rPr>
          <w:rFonts w:ascii="Book Antiqua" w:hAnsi="Book Antiqua"/>
          <w:w w:val="105"/>
        </w:rPr>
        <w:t xml:space="preserve">Australian Law Reform Commission, </w:t>
      </w:r>
      <w:r w:rsidRPr="00EB4CD3">
        <w:rPr>
          <w:rFonts w:ascii="Book Antiqua" w:hAnsi="Book Antiqua"/>
          <w:i/>
          <w:iCs/>
          <w:w w:val="105"/>
        </w:rPr>
        <w:t>Elder Abuse-A National Legal Response</w:t>
      </w:r>
      <w:r w:rsidRPr="00EB4CD3">
        <w:rPr>
          <w:rFonts w:ascii="Book Antiqua" w:hAnsi="Book Antiqua"/>
          <w:w w:val="105"/>
        </w:rPr>
        <w:t xml:space="preserve"> {ALRC Report 131) June 2017</w:t>
      </w:r>
    </w:p>
    <w:p w14:paraId="36170789" w14:textId="77777777" w:rsidR="00EB4CD3" w:rsidRPr="00EB4CD3" w:rsidRDefault="00EB4CD3" w:rsidP="00EB4CD3">
      <w:pPr>
        <w:pStyle w:val="BodyText"/>
        <w:widowControl w:val="0"/>
        <w:spacing w:before="0" w:line="517" w:lineRule="auto"/>
        <w:ind w:left="483" w:right="489"/>
        <w:rPr>
          <w:rFonts w:ascii="Book Antiqua" w:hAnsi="Book Antiqua"/>
          <w:w w:val="105"/>
        </w:rPr>
      </w:pPr>
      <w:r w:rsidRPr="00EB4CD3">
        <w:rPr>
          <w:rFonts w:ascii="Book Antiqua" w:hAnsi="Book Antiqua"/>
          <w:w w:val="105"/>
        </w:rPr>
        <w:t xml:space="preserve">Available at: </w:t>
      </w:r>
      <w:hyperlink r:id="rId14" w:history="1">
        <w:r w:rsidRPr="00EB4CD3">
          <w:rPr>
            <w:rStyle w:val="Hyperlink"/>
            <w:rFonts w:ascii="Book Antiqua" w:hAnsi="Book Antiqua"/>
            <w:sz w:val="22"/>
          </w:rPr>
          <w:t>https://www.alrc.gov.au/publication/elder-abuse-a-national-legal­</w:t>
        </w:r>
        <w:r w:rsidRPr="00EB4CD3">
          <w:rPr>
            <w:rStyle w:val="Hyperlink"/>
            <w:rFonts w:ascii="Book Antiqua" w:hAnsi="Book Antiqua"/>
            <w:w w:val="105"/>
            <w:sz w:val="22"/>
          </w:rPr>
          <w:t xml:space="preserve"> </w:t>
        </w:r>
        <w:r w:rsidRPr="00EB4CD3">
          <w:rPr>
            <w:rStyle w:val="Hyperlink"/>
            <w:rFonts w:ascii="Book Antiqua" w:hAnsi="Book Antiqua"/>
            <w:sz w:val="22"/>
          </w:rPr>
          <w:t>response-a Irc-report-131/</w:t>
        </w:r>
      </w:hyperlink>
    </w:p>
    <w:p w14:paraId="2C88E830" w14:textId="77777777" w:rsidR="00EB4CD3" w:rsidRPr="00EB4CD3" w:rsidRDefault="00EB4CD3" w:rsidP="00EB4CD3">
      <w:pPr>
        <w:pStyle w:val="BodyText"/>
        <w:widowControl w:val="0"/>
        <w:numPr>
          <w:ilvl w:val="0"/>
          <w:numId w:val="1"/>
        </w:numPr>
        <w:spacing w:before="0" w:line="517" w:lineRule="auto"/>
        <w:ind w:right="489"/>
        <w:rPr>
          <w:rFonts w:ascii="Book Antiqua" w:hAnsi="Book Antiqua"/>
          <w:w w:val="105"/>
        </w:rPr>
      </w:pPr>
      <w:r w:rsidRPr="00EB4CD3">
        <w:rPr>
          <w:rFonts w:ascii="Book Antiqua" w:hAnsi="Book Antiqua"/>
          <w:i/>
          <w:iCs/>
          <w:w w:val="105"/>
        </w:rPr>
        <w:t>Legislated Review of Aged Care</w:t>
      </w:r>
      <w:r w:rsidRPr="00EB4CD3">
        <w:rPr>
          <w:rFonts w:ascii="Book Antiqua" w:hAnsi="Book Antiqua"/>
          <w:w w:val="105"/>
        </w:rPr>
        <w:t>, Final Report 2017</w:t>
      </w:r>
    </w:p>
    <w:p w14:paraId="1B4055FA" w14:textId="77777777" w:rsidR="00EB4CD3" w:rsidRPr="00EB4CD3" w:rsidRDefault="00EB4CD3" w:rsidP="00EB4CD3">
      <w:pPr>
        <w:pStyle w:val="BodyText"/>
        <w:widowControl w:val="0"/>
        <w:spacing w:before="0" w:line="517" w:lineRule="auto"/>
        <w:ind w:left="483" w:right="489"/>
        <w:rPr>
          <w:rFonts w:ascii="Book Antiqua" w:hAnsi="Book Antiqua"/>
        </w:rPr>
      </w:pPr>
      <w:r w:rsidRPr="00EB4CD3">
        <w:rPr>
          <w:rFonts w:ascii="Book Antiqua" w:hAnsi="Book Antiqua"/>
          <w:w w:val="105"/>
        </w:rPr>
        <w:t xml:space="preserve">Available at: </w:t>
      </w:r>
      <w:hyperlink r:id="rId15" w:history="1">
        <w:r w:rsidRPr="00EB4CD3">
          <w:rPr>
            <w:rStyle w:val="Hyperlink"/>
            <w:rFonts w:ascii="Book Antiqua" w:hAnsi="Book Antiqua"/>
            <w:sz w:val="22"/>
          </w:rPr>
          <w:t>https://www.health.gov.au/resources/publications/legislated-review-of­</w:t>
        </w:r>
        <w:r w:rsidRPr="00EB4CD3">
          <w:rPr>
            <w:rStyle w:val="Hyperlink"/>
            <w:rFonts w:ascii="Book Antiqua" w:hAnsi="Book Antiqua"/>
            <w:w w:val="105"/>
            <w:sz w:val="22"/>
          </w:rPr>
          <w:t xml:space="preserve"> </w:t>
        </w:r>
        <w:r w:rsidRPr="00EB4CD3">
          <w:rPr>
            <w:rStyle w:val="Hyperlink"/>
            <w:rFonts w:ascii="Book Antiqua" w:hAnsi="Book Antiqua"/>
            <w:sz w:val="22"/>
          </w:rPr>
          <w:t>aged-care-2017-report</w:t>
        </w:r>
      </w:hyperlink>
    </w:p>
    <w:p w14:paraId="0E2F17D0" w14:textId="77777777" w:rsidR="00EB4CD3" w:rsidRPr="00EB4CD3" w:rsidRDefault="00EB4CD3" w:rsidP="00EB4CD3">
      <w:pPr>
        <w:pStyle w:val="BodyText"/>
        <w:widowControl w:val="0"/>
        <w:numPr>
          <w:ilvl w:val="0"/>
          <w:numId w:val="1"/>
        </w:numPr>
        <w:spacing w:before="0" w:line="517" w:lineRule="auto"/>
        <w:ind w:right="489"/>
        <w:rPr>
          <w:rFonts w:ascii="Book Antiqua" w:hAnsi="Book Antiqua"/>
          <w:w w:val="105"/>
        </w:rPr>
      </w:pPr>
      <w:r w:rsidRPr="00EB4CD3">
        <w:rPr>
          <w:rFonts w:ascii="Book Antiqua" w:hAnsi="Book Antiqua"/>
          <w:w w:val="105"/>
        </w:rPr>
        <w:t xml:space="preserve">Senate Community Affairs Reference Committee, </w:t>
      </w:r>
      <w:r w:rsidRPr="00EB4CD3">
        <w:rPr>
          <w:rFonts w:ascii="Book Antiqua" w:hAnsi="Book Antiqua"/>
          <w:i/>
          <w:iCs/>
          <w:w w:val="105"/>
        </w:rPr>
        <w:t>Care and management of younger and older Australians living with dementia and behavioural and psychiatric symptom of dementia - Final Report</w:t>
      </w:r>
      <w:r w:rsidRPr="00EB4CD3">
        <w:rPr>
          <w:rFonts w:ascii="Book Antiqua" w:hAnsi="Book Antiqua"/>
          <w:w w:val="105"/>
        </w:rPr>
        <w:t>, 2014</w:t>
      </w:r>
    </w:p>
    <w:p w14:paraId="3FB13EAF" w14:textId="77777777" w:rsidR="00EB4CD3" w:rsidRPr="00EB4CD3" w:rsidRDefault="00EB4CD3" w:rsidP="00EB4CD3">
      <w:pPr>
        <w:pStyle w:val="BodyText"/>
        <w:widowControl w:val="0"/>
        <w:spacing w:before="0" w:line="517" w:lineRule="auto"/>
        <w:ind w:left="483" w:right="489"/>
        <w:rPr>
          <w:rFonts w:ascii="Book Antiqua" w:hAnsi="Book Antiqua"/>
          <w:w w:val="105"/>
        </w:rPr>
      </w:pPr>
      <w:r w:rsidRPr="00EB4CD3">
        <w:rPr>
          <w:rFonts w:ascii="Book Antiqua" w:hAnsi="Book Antiqua"/>
          <w:w w:val="105"/>
        </w:rPr>
        <w:t xml:space="preserve">Available at: </w:t>
      </w:r>
      <w:hyperlink r:id="rId16" w:history="1">
        <w:r w:rsidRPr="00EB4CD3">
          <w:rPr>
            <w:rStyle w:val="Hyperlink"/>
            <w:rFonts w:ascii="Book Antiqua" w:hAnsi="Book Antiqua"/>
            <w:sz w:val="22"/>
          </w:rPr>
          <w:t>https://www.aph.gov.au/Parliamentary_Business/Committees/Senate/Community_Affairs/Dementia/Report/index</w:t>
        </w:r>
      </w:hyperlink>
    </w:p>
    <w:p w14:paraId="0DBE9B4A" w14:textId="77777777" w:rsidR="00EB4CD3" w:rsidRPr="00EB4CD3" w:rsidRDefault="00EB4CD3" w:rsidP="00EB4CD3">
      <w:pPr>
        <w:pStyle w:val="BodyText"/>
        <w:widowControl w:val="0"/>
        <w:numPr>
          <w:ilvl w:val="0"/>
          <w:numId w:val="1"/>
        </w:numPr>
        <w:spacing w:before="0" w:line="517" w:lineRule="auto"/>
        <w:ind w:right="489"/>
        <w:rPr>
          <w:rFonts w:ascii="Book Antiqua" w:hAnsi="Book Antiqua"/>
          <w:w w:val="105"/>
        </w:rPr>
      </w:pPr>
      <w:r w:rsidRPr="00EB4CD3">
        <w:rPr>
          <w:rFonts w:ascii="Book Antiqua" w:hAnsi="Book Antiqua"/>
          <w:w w:val="105"/>
        </w:rPr>
        <w:t xml:space="preserve">House of Representatives Standing Committee on Health and Ageing, </w:t>
      </w:r>
      <w:r w:rsidRPr="00EB4CD3">
        <w:rPr>
          <w:rFonts w:ascii="Book Antiqua" w:hAnsi="Book Antiqua"/>
          <w:i/>
          <w:iCs/>
          <w:w w:val="105"/>
        </w:rPr>
        <w:t>Thinking Ahead, Report on the inquiry into dementia: early diagnosis and intervention</w:t>
      </w:r>
      <w:r w:rsidRPr="00EB4CD3">
        <w:rPr>
          <w:rFonts w:ascii="Book Antiqua" w:hAnsi="Book Antiqua"/>
          <w:w w:val="105"/>
        </w:rPr>
        <w:t>, 2013</w:t>
      </w:r>
    </w:p>
    <w:p w14:paraId="645825F2" w14:textId="77777777" w:rsidR="00EB4CD3" w:rsidRPr="00EB4CD3" w:rsidRDefault="00EB4CD3" w:rsidP="00EB4CD3">
      <w:pPr>
        <w:pStyle w:val="BodyText"/>
        <w:widowControl w:val="0"/>
        <w:spacing w:before="0" w:line="517" w:lineRule="auto"/>
        <w:ind w:left="483" w:right="489"/>
        <w:rPr>
          <w:rFonts w:ascii="Book Antiqua" w:hAnsi="Book Antiqua"/>
          <w:w w:val="105"/>
        </w:rPr>
      </w:pPr>
      <w:r w:rsidRPr="00EB4CD3">
        <w:rPr>
          <w:rFonts w:ascii="Book Antiqua" w:hAnsi="Book Antiqua"/>
          <w:w w:val="105"/>
        </w:rPr>
        <w:t xml:space="preserve">Available at: </w:t>
      </w:r>
      <w:hyperlink r:id="rId17" w:history="1">
        <w:r w:rsidRPr="00EB4CD3">
          <w:rPr>
            <w:rStyle w:val="Hyperlink"/>
            <w:rFonts w:ascii="Book Antiqua" w:hAnsi="Book Antiqua"/>
            <w:sz w:val="22"/>
          </w:rPr>
          <w:t>https://www.health.gov.au/resources/publications/thinking-ahead-report­on-the-inquiry-into-dementia-early-diagnosis-and-intervention</w:t>
        </w:r>
      </w:hyperlink>
    </w:p>
    <w:p w14:paraId="24B49A5E" w14:textId="77777777" w:rsidR="00EB4CD3" w:rsidRPr="00EB4CD3" w:rsidRDefault="00EB4CD3" w:rsidP="00EB4CD3">
      <w:pPr>
        <w:pStyle w:val="BodyText"/>
        <w:widowControl w:val="0"/>
        <w:numPr>
          <w:ilvl w:val="0"/>
          <w:numId w:val="1"/>
        </w:numPr>
        <w:spacing w:before="0" w:line="517" w:lineRule="auto"/>
        <w:ind w:right="489"/>
        <w:rPr>
          <w:rFonts w:ascii="Book Antiqua" w:hAnsi="Book Antiqua"/>
          <w:w w:val="105"/>
        </w:rPr>
      </w:pPr>
      <w:r w:rsidRPr="00EB4CD3">
        <w:rPr>
          <w:rFonts w:ascii="Book Antiqua" w:hAnsi="Book Antiqua"/>
          <w:w w:val="105"/>
        </w:rPr>
        <w:t xml:space="preserve">Department of Health, </w:t>
      </w:r>
      <w:r w:rsidRPr="00EB4CD3">
        <w:rPr>
          <w:rFonts w:ascii="Book Antiqua" w:hAnsi="Book Antiqua"/>
          <w:i/>
          <w:iCs/>
          <w:w w:val="105"/>
        </w:rPr>
        <w:t>Inquiry into Events at Earle Haven</w:t>
      </w:r>
      <w:r w:rsidRPr="00EB4CD3">
        <w:rPr>
          <w:rFonts w:ascii="Book Antiqua" w:hAnsi="Book Antiqua"/>
          <w:w w:val="105"/>
        </w:rPr>
        <w:t>, 2019</w:t>
      </w:r>
    </w:p>
    <w:p w14:paraId="3F92DFBD" w14:textId="77777777" w:rsidR="00EB4CD3" w:rsidRPr="00EB4CD3" w:rsidRDefault="00EB4CD3" w:rsidP="00EB4CD3">
      <w:pPr>
        <w:pStyle w:val="BodyText"/>
        <w:widowControl w:val="0"/>
        <w:spacing w:before="0" w:line="517" w:lineRule="auto"/>
        <w:ind w:left="483" w:right="489"/>
        <w:rPr>
          <w:rFonts w:ascii="Book Antiqua" w:hAnsi="Book Antiqua"/>
          <w:w w:val="105"/>
        </w:rPr>
      </w:pPr>
      <w:r w:rsidRPr="00EB4CD3">
        <w:rPr>
          <w:rFonts w:ascii="Book Antiqua" w:hAnsi="Book Antiqua"/>
          <w:w w:val="105"/>
        </w:rPr>
        <w:t xml:space="preserve">Available at: </w:t>
      </w:r>
      <w:hyperlink r:id="rId18" w:history="1">
        <w:r w:rsidRPr="00EB4CD3">
          <w:rPr>
            <w:rStyle w:val="Hyperlink"/>
            <w:rFonts w:ascii="Book Antiqua" w:hAnsi="Book Antiqua"/>
            <w:sz w:val="22"/>
          </w:rPr>
          <w:t>https://www.health.gov.au/resources/publications/inquiry-into-events-at­earle-haven</w:t>
        </w:r>
      </w:hyperlink>
      <w:r w:rsidRPr="00EB4CD3">
        <w:rPr>
          <w:rFonts w:ascii="Book Antiqua" w:hAnsi="Book Antiqua"/>
        </w:rPr>
        <w:t xml:space="preserve"> </w:t>
      </w:r>
    </w:p>
    <w:p w14:paraId="009E3C77" w14:textId="77777777" w:rsidR="00EB4CD3" w:rsidRPr="00EB4CD3" w:rsidRDefault="00EB4CD3" w:rsidP="00EB4CD3">
      <w:pPr>
        <w:pStyle w:val="BodyText"/>
        <w:widowControl w:val="0"/>
        <w:numPr>
          <w:ilvl w:val="0"/>
          <w:numId w:val="1"/>
        </w:numPr>
        <w:spacing w:before="0" w:line="517" w:lineRule="auto"/>
        <w:ind w:right="489"/>
        <w:rPr>
          <w:rFonts w:ascii="Book Antiqua" w:hAnsi="Book Antiqua"/>
          <w:w w:val="105"/>
        </w:rPr>
      </w:pPr>
      <w:r w:rsidRPr="00EB4CD3">
        <w:rPr>
          <w:rFonts w:ascii="Book Antiqua" w:hAnsi="Book Antiqua"/>
          <w:w w:val="105"/>
        </w:rPr>
        <w:t xml:space="preserve">Productivity Commission, </w:t>
      </w:r>
      <w:r w:rsidRPr="00EB4CD3">
        <w:rPr>
          <w:rFonts w:ascii="Book Antiqua" w:hAnsi="Book Antiqua"/>
          <w:i/>
          <w:iCs/>
          <w:w w:val="105"/>
        </w:rPr>
        <w:t>Caring for  Older Australians</w:t>
      </w:r>
      <w:r w:rsidRPr="00EB4CD3">
        <w:rPr>
          <w:rFonts w:ascii="Book Antiqua" w:hAnsi="Book Antiqua"/>
          <w:w w:val="105"/>
        </w:rPr>
        <w:t>, 2011</w:t>
      </w:r>
    </w:p>
    <w:p w14:paraId="51825CCC" w14:textId="77777777" w:rsidR="00EB4CD3" w:rsidRPr="00EB4CD3" w:rsidRDefault="00EB4CD3" w:rsidP="00EB4CD3">
      <w:pPr>
        <w:pStyle w:val="BodyText"/>
        <w:widowControl w:val="0"/>
        <w:spacing w:before="0" w:line="517" w:lineRule="auto"/>
        <w:ind w:left="483" w:right="489"/>
        <w:rPr>
          <w:rFonts w:ascii="Book Antiqua" w:hAnsi="Book Antiqua"/>
          <w:w w:val="105"/>
        </w:rPr>
      </w:pPr>
      <w:r w:rsidRPr="00EB4CD3">
        <w:rPr>
          <w:rFonts w:ascii="Book Antiqua" w:hAnsi="Book Antiqua"/>
          <w:w w:val="105"/>
        </w:rPr>
        <w:t xml:space="preserve">Available at: </w:t>
      </w:r>
      <w:r w:rsidRPr="00EB4CD3">
        <w:rPr>
          <w:rFonts w:ascii="Book Antiqua" w:hAnsi="Book Antiqua"/>
        </w:rPr>
        <w:fldChar w:fldCharType="begin"/>
      </w:r>
      <w:r w:rsidRPr="00EB4CD3">
        <w:rPr>
          <w:rFonts w:ascii="Book Antiqua" w:hAnsi="Book Antiqua"/>
        </w:rPr>
        <w:instrText xml:space="preserve"> HYPERLINK "https://www.pc.gov.au/inquiries/completed/aged-care/report </w:instrText>
      </w:r>
    </w:p>
    <w:p w14:paraId="112EE777" w14:textId="77777777" w:rsidR="00EB4CD3" w:rsidRPr="00EB4CD3" w:rsidRDefault="00EB4CD3" w:rsidP="00EB4CD3">
      <w:pPr>
        <w:pStyle w:val="BodyText"/>
        <w:widowControl w:val="0"/>
        <w:spacing w:before="0" w:line="517" w:lineRule="auto"/>
        <w:ind w:left="483" w:right="489"/>
        <w:rPr>
          <w:rStyle w:val="Hyperlink"/>
          <w:rFonts w:ascii="Book Antiqua" w:hAnsi="Book Antiqua"/>
          <w:w w:val="105"/>
          <w:sz w:val="22"/>
        </w:rPr>
      </w:pPr>
      <w:r w:rsidRPr="00EB4CD3">
        <w:rPr>
          <w:rFonts w:ascii="Book Antiqua" w:hAnsi="Book Antiqua"/>
        </w:rPr>
        <w:instrText xml:space="preserve">" </w:instrText>
      </w:r>
      <w:r w:rsidRPr="00EB4CD3">
        <w:rPr>
          <w:rFonts w:ascii="Book Antiqua" w:hAnsi="Book Antiqua"/>
        </w:rPr>
        <w:fldChar w:fldCharType="separate"/>
      </w:r>
      <w:r w:rsidRPr="00EB4CD3">
        <w:rPr>
          <w:rStyle w:val="Hyperlink"/>
          <w:rFonts w:ascii="Book Antiqua" w:hAnsi="Book Antiqua"/>
          <w:sz w:val="22"/>
        </w:rPr>
        <w:t xml:space="preserve">https://www.pc.gov.au/inquiries/completed/aged-care/report </w:t>
      </w:r>
    </w:p>
    <w:p w14:paraId="4F7267A4" w14:textId="77777777" w:rsidR="00EB4CD3" w:rsidRPr="00EB4CD3" w:rsidRDefault="00EB4CD3" w:rsidP="00EB4CD3">
      <w:pPr>
        <w:pStyle w:val="BodyText"/>
        <w:widowControl w:val="0"/>
        <w:numPr>
          <w:ilvl w:val="0"/>
          <w:numId w:val="1"/>
        </w:numPr>
        <w:spacing w:before="0" w:line="517" w:lineRule="auto"/>
        <w:ind w:right="489"/>
        <w:rPr>
          <w:rFonts w:ascii="Book Antiqua" w:hAnsi="Book Antiqua"/>
          <w:w w:val="105"/>
        </w:rPr>
      </w:pPr>
      <w:r w:rsidRPr="00EB4CD3">
        <w:rPr>
          <w:rFonts w:ascii="Book Antiqua" w:hAnsi="Book Antiqua"/>
        </w:rPr>
        <w:fldChar w:fldCharType="end"/>
      </w:r>
      <w:r w:rsidRPr="00EB4CD3">
        <w:rPr>
          <w:rFonts w:ascii="Book Antiqua" w:hAnsi="Book Antiqua"/>
          <w:w w:val="105"/>
        </w:rPr>
        <w:t xml:space="preserve">Australian Skills Quality Authority, </w:t>
      </w:r>
      <w:r w:rsidRPr="00EB4CD3">
        <w:rPr>
          <w:rFonts w:ascii="Book Antiqua" w:hAnsi="Book Antiqua"/>
          <w:i/>
          <w:iCs/>
          <w:w w:val="105"/>
        </w:rPr>
        <w:t xml:space="preserve">Training for Aged and Community Care in Australia, A national strategic review of registered training organisations offering </w:t>
      </w:r>
      <w:r w:rsidRPr="00EB4CD3">
        <w:rPr>
          <w:rFonts w:ascii="Book Antiqua" w:hAnsi="Book Antiqua"/>
          <w:i/>
          <w:iCs/>
          <w:w w:val="105"/>
        </w:rPr>
        <w:lastRenderedPageBreak/>
        <w:t>aged and community care sector training</w:t>
      </w:r>
      <w:r w:rsidRPr="00EB4CD3">
        <w:rPr>
          <w:rFonts w:ascii="Book Antiqua" w:hAnsi="Book Antiqua"/>
          <w:w w:val="105"/>
        </w:rPr>
        <w:t>, 2013</w:t>
      </w:r>
    </w:p>
    <w:p w14:paraId="72FEED3F" w14:textId="77777777" w:rsidR="00EB4CD3" w:rsidRPr="00EB4CD3" w:rsidRDefault="00EB4CD3" w:rsidP="00EB4CD3">
      <w:pPr>
        <w:pStyle w:val="BodyText"/>
        <w:widowControl w:val="0"/>
        <w:spacing w:before="0" w:line="517" w:lineRule="auto"/>
        <w:ind w:left="483" w:right="489"/>
        <w:rPr>
          <w:rFonts w:ascii="Book Antiqua" w:hAnsi="Book Antiqua"/>
          <w:w w:val="105"/>
        </w:rPr>
      </w:pPr>
      <w:r w:rsidRPr="00EB4CD3">
        <w:rPr>
          <w:rFonts w:ascii="Book Antiqua" w:hAnsi="Book Antiqua"/>
          <w:w w:val="105"/>
        </w:rPr>
        <w:t>Available at:</w:t>
      </w:r>
    </w:p>
    <w:p w14:paraId="38E06E97" w14:textId="77777777" w:rsidR="00EB4CD3" w:rsidRPr="00EB4CD3" w:rsidRDefault="00346A66" w:rsidP="00EB4CD3">
      <w:pPr>
        <w:pStyle w:val="BodyText"/>
        <w:widowControl w:val="0"/>
        <w:spacing w:before="0" w:line="517" w:lineRule="auto"/>
        <w:ind w:left="483" w:right="489"/>
        <w:rPr>
          <w:rFonts w:ascii="Book Antiqua" w:hAnsi="Book Antiqua"/>
          <w:w w:val="105"/>
        </w:rPr>
      </w:pPr>
      <w:hyperlink r:id="rId19" w:history="1">
        <w:r w:rsidR="00EB4CD3" w:rsidRPr="00EB4CD3">
          <w:rPr>
            <w:rStyle w:val="Hyperlink"/>
            <w:rFonts w:ascii="Book Antiqua" w:hAnsi="Book Antiqua"/>
            <w:w w:val="105"/>
            <w:sz w:val="22"/>
          </w:rPr>
          <w:t>https://www.asqa.gov.au/sites/default/files/Strategic_Reviews_2013_Aged_Care_Repo</w:t>
        </w:r>
        <w:r w:rsidR="00EB4CD3" w:rsidRPr="00EB4CD3">
          <w:rPr>
            <w:rStyle w:val="Hyperlink"/>
            <w:rFonts w:ascii="Book Antiqua" w:hAnsi="Book Antiqua"/>
            <w:sz w:val="22"/>
          </w:rPr>
          <w:t>rt.pdf?v=1508135481</w:t>
        </w:r>
      </w:hyperlink>
    </w:p>
    <w:p w14:paraId="14FF757E" w14:textId="77777777" w:rsidR="00EB4CD3" w:rsidRPr="00EB4CD3" w:rsidRDefault="00EB4CD3" w:rsidP="00EB4CD3">
      <w:pPr>
        <w:pStyle w:val="BodyText"/>
        <w:widowControl w:val="0"/>
        <w:numPr>
          <w:ilvl w:val="0"/>
          <w:numId w:val="1"/>
        </w:numPr>
        <w:spacing w:before="0" w:line="517" w:lineRule="auto"/>
        <w:ind w:right="489"/>
        <w:rPr>
          <w:rFonts w:ascii="Book Antiqua" w:hAnsi="Book Antiqua"/>
          <w:w w:val="105"/>
        </w:rPr>
      </w:pPr>
      <w:r w:rsidRPr="00EB4CD3">
        <w:rPr>
          <w:rFonts w:ascii="Book Antiqua" w:hAnsi="Book Antiqua"/>
          <w:w w:val="105"/>
        </w:rPr>
        <w:t xml:space="preserve">Aged Care Strategy Taskforce, </w:t>
      </w:r>
      <w:r w:rsidRPr="00EB4CD3">
        <w:rPr>
          <w:rFonts w:ascii="Book Antiqua" w:hAnsi="Book Antiqua"/>
          <w:i/>
          <w:iCs/>
          <w:w w:val="105"/>
        </w:rPr>
        <w:t>A matter of care, Australia's aged care Workforce Strategy</w:t>
      </w:r>
      <w:r w:rsidRPr="00EB4CD3">
        <w:rPr>
          <w:rFonts w:ascii="Book Antiqua" w:hAnsi="Book Antiqua"/>
          <w:w w:val="105"/>
        </w:rPr>
        <w:t>, 2018</w:t>
      </w:r>
    </w:p>
    <w:p w14:paraId="274B2610" w14:textId="77777777" w:rsidR="00EB4CD3" w:rsidRPr="00EB4CD3" w:rsidRDefault="00EB4CD3" w:rsidP="00EB4CD3">
      <w:pPr>
        <w:pStyle w:val="BodyText"/>
        <w:widowControl w:val="0"/>
        <w:spacing w:before="0" w:line="517" w:lineRule="auto"/>
        <w:ind w:left="483" w:right="489"/>
        <w:rPr>
          <w:rFonts w:ascii="Book Antiqua" w:hAnsi="Book Antiqua"/>
          <w:w w:val="105"/>
        </w:rPr>
      </w:pPr>
      <w:r w:rsidRPr="00EB4CD3">
        <w:rPr>
          <w:rFonts w:ascii="Book Antiqua" w:hAnsi="Book Antiqua"/>
          <w:w w:val="105"/>
        </w:rPr>
        <w:t xml:space="preserve">Available at: </w:t>
      </w:r>
    </w:p>
    <w:p w14:paraId="08FFEBA3" w14:textId="77777777" w:rsidR="00EB4CD3" w:rsidRPr="00EB4CD3" w:rsidRDefault="00346A66" w:rsidP="00EB4CD3">
      <w:pPr>
        <w:pStyle w:val="BodyText"/>
        <w:widowControl w:val="0"/>
        <w:spacing w:before="0" w:line="517" w:lineRule="auto"/>
        <w:ind w:left="483" w:right="489"/>
        <w:rPr>
          <w:rFonts w:ascii="Book Antiqua" w:hAnsi="Book Antiqua"/>
          <w:w w:val="105"/>
        </w:rPr>
      </w:pPr>
      <w:hyperlink r:id="rId20" w:history="1">
        <w:r w:rsidR="00EB4CD3" w:rsidRPr="00EB4CD3">
          <w:rPr>
            <w:rStyle w:val="Hyperlink"/>
            <w:rFonts w:ascii="Book Antiqua" w:hAnsi="Book Antiqua"/>
            <w:w w:val="105"/>
            <w:sz w:val="22"/>
          </w:rPr>
          <w:t>https://www.health.gov.au/resources/publications/a-matter-of-care-australias-aged-care-workforce-strategy</w:t>
        </w:r>
      </w:hyperlink>
      <w:r w:rsidR="00EB4CD3" w:rsidRPr="00EB4CD3">
        <w:rPr>
          <w:rFonts w:ascii="Book Antiqua" w:hAnsi="Book Antiqua"/>
          <w:w w:val="105"/>
        </w:rPr>
        <w:t xml:space="preserve"> </w:t>
      </w:r>
    </w:p>
    <w:p w14:paraId="11A86C44" w14:textId="77777777" w:rsidR="00100E2D" w:rsidRPr="00EB4CD3" w:rsidRDefault="00100E2D" w:rsidP="00EB4CD3">
      <w:pPr>
        <w:spacing w:before="54"/>
        <w:ind w:left="720"/>
        <w:jc w:val="right"/>
      </w:pPr>
    </w:p>
    <w:sectPr w:rsidR="00100E2D" w:rsidRPr="00EB4CD3" w:rsidSect="0096629A">
      <w:headerReference w:type="default" r:id="rId21"/>
      <w:footerReference w:type="first" r:id="rId22"/>
      <w:pgSz w:w="11906" w:h="16838" w:code="9"/>
      <w:pgMar w:top="567" w:right="1418" w:bottom="993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AC157" w14:textId="77777777" w:rsidR="00346A66" w:rsidRDefault="00346A66">
      <w:r>
        <w:separator/>
      </w:r>
    </w:p>
  </w:endnote>
  <w:endnote w:type="continuationSeparator" w:id="0">
    <w:p w14:paraId="524A274A" w14:textId="77777777" w:rsidR="00346A66" w:rsidRDefault="0034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12F99" w14:textId="77777777" w:rsidR="00D912DB" w:rsidRDefault="00D912DB" w:rsidP="0089317D">
    <w:pPr>
      <w:pStyle w:val="Footer"/>
      <w:jc w:val="center"/>
      <w:rPr>
        <w:noProof/>
        <w:position w:val="4"/>
        <w:sz w:val="18"/>
      </w:rPr>
    </w:pPr>
  </w:p>
  <w:p w14:paraId="5BABFAB7" w14:textId="77777777" w:rsidR="00D912DB" w:rsidRPr="00CF3477" w:rsidRDefault="00100E2D" w:rsidP="004557B9">
    <w:pPr>
      <w:pStyle w:val="Footer"/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>Phone:</w:t>
    </w:r>
    <w:r w:rsidR="00112C73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(02) 6289 4648</w:t>
    </w:r>
    <w:r w:rsidR="00DB0AD2">
      <w:rPr>
        <w:rFonts w:ascii="Arial" w:hAnsi="Arial" w:cs="Arial"/>
        <w:sz w:val="14"/>
        <w:szCs w:val="14"/>
      </w:rPr>
      <w:t xml:space="preserve">  </w:t>
    </w:r>
    <w:r w:rsidR="00112C73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Email:</w:t>
    </w:r>
    <w:r w:rsidR="00DD5414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Michael.Lye@health.gov.au</w:t>
    </w:r>
    <w:r w:rsidR="00DD5414">
      <w:rPr>
        <w:rFonts w:ascii="Arial" w:hAnsi="Arial" w:cs="Arial"/>
        <w:sz w:val="14"/>
        <w:szCs w:val="14"/>
      </w:rPr>
      <w:br/>
    </w:r>
    <w:r>
      <w:rPr>
        <w:rFonts w:ascii="Arial" w:hAnsi="Arial" w:cs="Arial"/>
        <w:sz w:val="14"/>
        <w:szCs w:val="14"/>
      </w:rPr>
      <w:t>Scarborough House, Level 14, Atlantic Street, Woden ACT 2606 - GPO Box 9848 Canberra ACT 2601</w:t>
    </w:r>
    <w:r w:rsidR="00DD5414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- www.health.gov.au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D6B3F" w14:textId="77777777" w:rsidR="00346A66" w:rsidRDefault="00346A66">
      <w:r>
        <w:separator/>
      </w:r>
    </w:p>
  </w:footnote>
  <w:footnote w:type="continuationSeparator" w:id="0">
    <w:p w14:paraId="2B748ED5" w14:textId="77777777" w:rsidR="00346A66" w:rsidRDefault="00346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74618" w14:textId="17D43E38" w:rsidR="00D912DB" w:rsidRDefault="00D912D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81D73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856E3"/>
    <w:multiLevelType w:val="hybridMultilevel"/>
    <w:tmpl w:val="BD5AC136"/>
    <w:lvl w:ilvl="0" w:tplc="2C0C3634">
      <w:start w:val="1"/>
      <w:numFmt w:val="decimal"/>
      <w:lvlText w:val="%1."/>
      <w:lvlJc w:val="left"/>
      <w:pPr>
        <w:ind w:left="483" w:hanging="360"/>
      </w:pPr>
      <w:rPr>
        <w:rFonts w:ascii="Arial" w:eastAsia="Arial" w:hAnsi="Arial" w:hint="default"/>
        <w:color w:val="4F4F4F"/>
        <w:w w:val="99"/>
        <w:sz w:val="21"/>
        <w:szCs w:val="21"/>
      </w:rPr>
    </w:lvl>
    <w:lvl w:ilvl="1" w:tplc="CEB0B404">
      <w:start w:val="1"/>
      <w:numFmt w:val="bullet"/>
      <w:lvlText w:val="•"/>
      <w:lvlJc w:val="left"/>
      <w:pPr>
        <w:ind w:left="1365" w:hanging="360"/>
      </w:pPr>
      <w:rPr>
        <w:rFonts w:hint="default"/>
      </w:rPr>
    </w:lvl>
    <w:lvl w:ilvl="2" w:tplc="96B05A12">
      <w:start w:val="1"/>
      <w:numFmt w:val="bullet"/>
      <w:lvlText w:val="•"/>
      <w:lvlJc w:val="left"/>
      <w:pPr>
        <w:ind w:left="2247" w:hanging="360"/>
      </w:pPr>
      <w:rPr>
        <w:rFonts w:hint="default"/>
      </w:rPr>
    </w:lvl>
    <w:lvl w:ilvl="3" w:tplc="F18AF47C">
      <w:start w:val="1"/>
      <w:numFmt w:val="bullet"/>
      <w:lvlText w:val="•"/>
      <w:lvlJc w:val="left"/>
      <w:pPr>
        <w:ind w:left="3129" w:hanging="360"/>
      </w:pPr>
      <w:rPr>
        <w:rFonts w:hint="default"/>
      </w:rPr>
    </w:lvl>
    <w:lvl w:ilvl="4" w:tplc="DBA6F7F8">
      <w:start w:val="1"/>
      <w:numFmt w:val="bullet"/>
      <w:lvlText w:val="•"/>
      <w:lvlJc w:val="left"/>
      <w:pPr>
        <w:ind w:left="4011" w:hanging="360"/>
      </w:pPr>
      <w:rPr>
        <w:rFonts w:hint="default"/>
      </w:rPr>
    </w:lvl>
    <w:lvl w:ilvl="5" w:tplc="9874418A">
      <w:start w:val="1"/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B5840FCE">
      <w:start w:val="1"/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D94CECE6">
      <w:start w:val="1"/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E7006F20">
      <w:start w:val="1"/>
      <w:numFmt w:val="bullet"/>
      <w:lvlText w:val="•"/>
      <w:lvlJc w:val="left"/>
      <w:pPr>
        <w:ind w:left="753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2D"/>
    <w:rsid w:val="0000021D"/>
    <w:rsid w:val="00041E2E"/>
    <w:rsid w:val="00044874"/>
    <w:rsid w:val="000460C4"/>
    <w:rsid w:val="00047105"/>
    <w:rsid w:val="00063FB6"/>
    <w:rsid w:val="00064E11"/>
    <w:rsid w:val="00072F0C"/>
    <w:rsid w:val="000906BD"/>
    <w:rsid w:val="000B478D"/>
    <w:rsid w:val="000E4D22"/>
    <w:rsid w:val="000F2591"/>
    <w:rsid w:val="00100E2D"/>
    <w:rsid w:val="001014B8"/>
    <w:rsid w:val="00112C73"/>
    <w:rsid w:val="001162DE"/>
    <w:rsid w:val="001305E2"/>
    <w:rsid w:val="001360C1"/>
    <w:rsid w:val="001572D2"/>
    <w:rsid w:val="00160564"/>
    <w:rsid w:val="0017608F"/>
    <w:rsid w:val="00182C46"/>
    <w:rsid w:val="00190EE6"/>
    <w:rsid w:val="0019136C"/>
    <w:rsid w:val="001B115A"/>
    <w:rsid w:val="001D75A2"/>
    <w:rsid w:val="001E4026"/>
    <w:rsid w:val="001E4F10"/>
    <w:rsid w:val="001F0D48"/>
    <w:rsid w:val="0020557D"/>
    <w:rsid w:val="0022763C"/>
    <w:rsid w:val="00235958"/>
    <w:rsid w:val="002426B3"/>
    <w:rsid w:val="0024276B"/>
    <w:rsid w:val="00250594"/>
    <w:rsid w:val="00251E49"/>
    <w:rsid w:val="0026397D"/>
    <w:rsid w:val="00273053"/>
    <w:rsid w:val="002C0389"/>
    <w:rsid w:val="002D1A4C"/>
    <w:rsid w:val="002E45FF"/>
    <w:rsid w:val="002F3611"/>
    <w:rsid w:val="00300F73"/>
    <w:rsid w:val="00305883"/>
    <w:rsid w:val="003060D2"/>
    <w:rsid w:val="0030702A"/>
    <w:rsid w:val="00310CDA"/>
    <w:rsid w:val="003312CB"/>
    <w:rsid w:val="00346A66"/>
    <w:rsid w:val="00361428"/>
    <w:rsid w:val="00363CF2"/>
    <w:rsid w:val="00372506"/>
    <w:rsid w:val="003C1944"/>
    <w:rsid w:val="003C464D"/>
    <w:rsid w:val="003F7D1C"/>
    <w:rsid w:val="00410DAB"/>
    <w:rsid w:val="004124E0"/>
    <w:rsid w:val="00413130"/>
    <w:rsid w:val="00420B2C"/>
    <w:rsid w:val="004227ED"/>
    <w:rsid w:val="004352FF"/>
    <w:rsid w:val="0044416F"/>
    <w:rsid w:val="0044779A"/>
    <w:rsid w:val="004557B9"/>
    <w:rsid w:val="00461016"/>
    <w:rsid w:val="00465451"/>
    <w:rsid w:val="004701C4"/>
    <w:rsid w:val="004735A2"/>
    <w:rsid w:val="004776E8"/>
    <w:rsid w:val="0048137D"/>
    <w:rsid w:val="004864D9"/>
    <w:rsid w:val="00491BCA"/>
    <w:rsid w:val="004972B9"/>
    <w:rsid w:val="004C0B1F"/>
    <w:rsid w:val="004C7B6B"/>
    <w:rsid w:val="004E33D9"/>
    <w:rsid w:val="004F3200"/>
    <w:rsid w:val="005025B0"/>
    <w:rsid w:val="005041DA"/>
    <w:rsid w:val="00516621"/>
    <w:rsid w:val="0052010B"/>
    <w:rsid w:val="00531B2D"/>
    <w:rsid w:val="00536627"/>
    <w:rsid w:val="0054002A"/>
    <w:rsid w:val="005527BE"/>
    <w:rsid w:val="00552FCD"/>
    <w:rsid w:val="00556242"/>
    <w:rsid w:val="00562816"/>
    <w:rsid w:val="0057330E"/>
    <w:rsid w:val="0057442F"/>
    <w:rsid w:val="005D2DB1"/>
    <w:rsid w:val="005E3018"/>
    <w:rsid w:val="005E57FD"/>
    <w:rsid w:val="005F028C"/>
    <w:rsid w:val="00624DEA"/>
    <w:rsid w:val="00631ADC"/>
    <w:rsid w:val="006344A2"/>
    <w:rsid w:val="0063526B"/>
    <w:rsid w:val="006353C6"/>
    <w:rsid w:val="00635412"/>
    <w:rsid w:val="00641F00"/>
    <w:rsid w:val="00650E1D"/>
    <w:rsid w:val="00654CE5"/>
    <w:rsid w:val="00676983"/>
    <w:rsid w:val="006821B3"/>
    <w:rsid w:val="00691B7D"/>
    <w:rsid w:val="006A3B8F"/>
    <w:rsid w:val="006B4D31"/>
    <w:rsid w:val="006C5DB4"/>
    <w:rsid w:val="006E7D7A"/>
    <w:rsid w:val="006F025E"/>
    <w:rsid w:val="006F3DF8"/>
    <w:rsid w:val="007004A3"/>
    <w:rsid w:val="00706A24"/>
    <w:rsid w:val="007211BC"/>
    <w:rsid w:val="0072510E"/>
    <w:rsid w:val="00730354"/>
    <w:rsid w:val="00731FCD"/>
    <w:rsid w:val="007744F2"/>
    <w:rsid w:val="00775FE4"/>
    <w:rsid w:val="00782FCB"/>
    <w:rsid w:val="007A3D38"/>
    <w:rsid w:val="007A6745"/>
    <w:rsid w:val="007B097B"/>
    <w:rsid w:val="007C7AFD"/>
    <w:rsid w:val="007F3885"/>
    <w:rsid w:val="00820DF9"/>
    <w:rsid w:val="00822C1A"/>
    <w:rsid w:val="00831AFC"/>
    <w:rsid w:val="00834CB4"/>
    <w:rsid w:val="00855778"/>
    <w:rsid w:val="008621C3"/>
    <w:rsid w:val="0089317D"/>
    <w:rsid w:val="00893978"/>
    <w:rsid w:val="00894111"/>
    <w:rsid w:val="0089439E"/>
    <w:rsid w:val="00894F47"/>
    <w:rsid w:val="008A4ACD"/>
    <w:rsid w:val="008A79A4"/>
    <w:rsid w:val="008B0D7D"/>
    <w:rsid w:val="00910FFC"/>
    <w:rsid w:val="00911F6E"/>
    <w:rsid w:val="00912F75"/>
    <w:rsid w:val="00915116"/>
    <w:rsid w:val="009176C8"/>
    <w:rsid w:val="0093202A"/>
    <w:rsid w:val="0093466D"/>
    <w:rsid w:val="00935E4C"/>
    <w:rsid w:val="00937489"/>
    <w:rsid w:val="009537B3"/>
    <w:rsid w:val="009539F4"/>
    <w:rsid w:val="00960916"/>
    <w:rsid w:val="0096146C"/>
    <w:rsid w:val="0096629A"/>
    <w:rsid w:val="00973568"/>
    <w:rsid w:val="009800E4"/>
    <w:rsid w:val="009A2CD9"/>
    <w:rsid w:val="009A7761"/>
    <w:rsid w:val="009C3F3F"/>
    <w:rsid w:val="009E3D9F"/>
    <w:rsid w:val="009F2C8F"/>
    <w:rsid w:val="009F4DAC"/>
    <w:rsid w:val="009F5453"/>
    <w:rsid w:val="00A07D4C"/>
    <w:rsid w:val="00A114A1"/>
    <w:rsid w:val="00A20BC6"/>
    <w:rsid w:val="00A235B4"/>
    <w:rsid w:val="00A241EB"/>
    <w:rsid w:val="00A309A6"/>
    <w:rsid w:val="00A37BD1"/>
    <w:rsid w:val="00A53488"/>
    <w:rsid w:val="00A832DF"/>
    <w:rsid w:val="00A84ACC"/>
    <w:rsid w:val="00A932D3"/>
    <w:rsid w:val="00AA0B81"/>
    <w:rsid w:val="00AB2279"/>
    <w:rsid w:val="00AC7598"/>
    <w:rsid w:val="00AD398E"/>
    <w:rsid w:val="00AD5262"/>
    <w:rsid w:val="00AD718D"/>
    <w:rsid w:val="00AE2684"/>
    <w:rsid w:val="00AF08B4"/>
    <w:rsid w:val="00B047E4"/>
    <w:rsid w:val="00B07DEA"/>
    <w:rsid w:val="00B14849"/>
    <w:rsid w:val="00B15DC0"/>
    <w:rsid w:val="00B20688"/>
    <w:rsid w:val="00B21ED6"/>
    <w:rsid w:val="00B33270"/>
    <w:rsid w:val="00B33AB5"/>
    <w:rsid w:val="00B372F0"/>
    <w:rsid w:val="00B53800"/>
    <w:rsid w:val="00B553F7"/>
    <w:rsid w:val="00B5725E"/>
    <w:rsid w:val="00B60BFA"/>
    <w:rsid w:val="00B61C58"/>
    <w:rsid w:val="00B7391A"/>
    <w:rsid w:val="00B81D73"/>
    <w:rsid w:val="00B82563"/>
    <w:rsid w:val="00B8737D"/>
    <w:rsid w:val="00BE388C"/>
    <w:rsid w:val="00BF7CB2"/>
    <w:rsid w:val="00C12EEB"/>
    <w:rsid w:val="00C21FDA"/>
    <w:rsid w:val="00C23A31"/>
    <w:rsid w:val="00C45D29"/>
    <w:rsid w:val="00C67E28"/>
    <w:rsid w:val="00C7420C"/>
    <w:rsid w:val="00C8019D"/>
    <w:rsid w:val="00C853DD"/>
    <w:rsid w:val="00C91ACF"/>
    <w:rsid w:val="00CA627A"/>
    <w:rsid w:val="00CB6189"/>
    <w:rsid w:val="00CC0246"/>
    <w:rsid w:val="00CD5206"/>
    <w:rsid w:val="00CE4691"/>
    <w:rsid w:val="00CE4823"/>
    <w:rsid w:val="00CF3477"/>
    <w:rsid w:val="00D23FF4"/>
    <w:rsid w:val="00D25BE7"/>
    <w:rsid w:val="00D35145"/>
    <w:rsid w:val="00D42B4D"/>
    <w:rsid w:val="00D451B8"/>
    <w:rsid w:val="00D65CB3"/>
    <w:rsid w:val="00D67CDE"/>
    <w:rsid w:val="00D73387"/>
    <w:rsid w:val="00D8450A"/>
    <w:rsid w:val="00D912DB"/>
    <w:rsid w:val="00D91587"/>
    <w:rsid w:val="00DA0569"/>
    <w:rsid w:val="00DB0AD2"/>
    <w:rsid w:val="00DD5414"/>
    <w:rsid w:val="00DF116F"/>
    <w:rsid w:val="00E25AED"/>
    <w:rsid w:val="00E50657"/>
    <w:rsid w:val="00E5582E"/>
    <w:rsid w:val="00E579D8"/>
    <w:rsid w:val="00E6440D"/>
    <w:rsid w:val="00E645C6"/>
    <w:rsid w:val="00E6675A"/>
    <w:rsid w:val="00E873F1"/>
    <w:rsid w:val="00E90961"/>
    <w:rsid w:val="00EB0ED3"/>
    <w:rsid w:val="00EB4CD3"/>
    <w:rsid w:val="00EC415E"/>
    <w:rsid w:val="00EC4A7B"/>
    <w:rsid w:val="00ED7514"/>
    <w:rsid w:val="00EF14F5"/>
    <w:rsid w:val="00EF77B0"/>
    <w:rsid w:val="00F00237"/>
    <w:rsid w:val="00F016A4"/>
    <w:rsid w:val="00F054E3"/>
    <w:rsid w:val="00F12E1E"/>
    <w:rsid w:val="00F141C6"/>
    <w:rsid w:val="00F21E8A"/>
    <w:rsid w:val="00F22AB4"/>
    <w:rsid w:val="00F35708"/>
    <w:rsid w:val="00F41061"/>
    <w:rsid w:val="00F54B4A"/>
    <w:rsid w:val="00F72B1B"/>
    <w:rsid w:val="00FA26D6"/>
    <w:rsid w:val="00FC0ED2"/>
    <w:rsid w:val="00FC3B9C"/>
    <w:rsid w:val="00FC639D"/>
    <w:rsid w:val="00FD45DD"/>
    <w:rsid w:val="00FE41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6C0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B6B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FCD"/>
    <w:pPr>
      <w:keepNext/>
      <w:keepLines/>
      <w:spacing w:before="480" w:after="7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53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customStyle="1" w:styleId="CharChar1Char">
    <w:name w:val="Char Char1 Char"/>
    <w:basedOn w:val="Normal"/>
    <w:rsid w:val="007A6745"/>
    <w:pPr>
      <w:spacing w:after="160" w:line="240" w:lineRule="exact"/>
    </w:pPr>
    <w:rPr>
      <w:rFonts w:ascii="Arial" w:hAnsi="Arial"/>
      <w:sz w:val="22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1FCD"/>
    <w:rPr>
      <w:rFonts w:eastAsiaTheme="majorEastAsia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06BD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731FCD"/>
    <w:pPr>
      <w:jc w:val="right"/>
    </w:pPr>
  </w:style>
  <w:style w:type="character" w:customStyle="1" w:styleId="TitleChar">
    <w:name w:val="Title Char"/>
    <w:basedOn w:val="DefaultParagraphFont"/>
    <w:link w:val="Title"/>
    <w:uiPriority w:val="10"/>
    <w:rsid w:val="00731FC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5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ustomLetterhead">
    <w:name w:val="Custom Letterhead"/>
    <w:basedOn w:val="Normal"/>
    <w:link w:val="CustomLetterheadChar"/>
    <w:qFormat/>
    <w:rsid w:val="0093202A"/>
    <w:pPr>
      <w:spacing w:before="240" w:after="240"/>
    </w:pPr>
  </w:style>
  <w:style w:type="character" w:customStyle="1" w:styleId="CustomLetterheadChar">
    <w:name w:val="Custom Letterhead Char"/>
    <w:basedOn w:val="HeaderChar"/>
    <w:link w:val="CustomLetterhead"/>
    <w:rsid w:val="0093202A"/>
    <w:rPr>
      <w:rFonts w:ascii="Book Antiqua" w:hAnsi="Book Antiqua"/>
      <w:sz w:val="24"/>
      <w:szCs w:val="24"/>
    </w:rPr>
  </w:style>
  <w:style w:type="table" w:styleId="LightGrid-Accent2">
    <w:name w:val="Light Grid Accent 2"/>
    <w:basedOn w:val="TableNormal"/>
    <w:uiPriority w:val="62"/>
    <w:rsid w:val="00100E2D"/>
    <w:rPr>
      <w:rFonts w:asciiTheme="minorHAnsi" w:eastAsiaTheme="minorEastAsia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shd w:val="clear" w:color="auto" w:fill="CD0920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TableText">
    <w:name w:val="TableText"/>
    <w:basedOn w:val="Normal"/>
    <w:qFormat/>
    <w:rsid w:val="00100E2D"/>
    <w:pPr>
      <w:spacing w:before="120" w:after="120"/>
    </w:pPr>
    <w:rPr>
      <w:rFonts w:ascii="Arial" w:eastAsiaTheme="majorEastAsia" w:hAnsi="Arial" w:cs="Arial"/>
      <w:bCs/>
      <w:sz w:val="20"/>
      <w:szCs w:val="20"/>
      <w:lang w:eastAsia="en-US"/>
    </w:rPr>
  </w:style>
  <w:style w:type="character" w:styleId="Hyperlink">
    <w:name w:val="Hyperlink"/>
    <w:aliases w:val="Hyperlink Cab"/>
    <w:basedOn w:val="DefaultParagraphFont"/>
    <w:uiPriority w:val="99"/>
    <w:qFormat/>
    <w:rsid w:val="00100E2D"/>
    <w:rPr>
      <w:rFonts w:ascii="Helvetica" w:hAnsi="Helvetica"/>
      <w:color w:val="0000FF" w:themeColor="hyperlink"/>
      <w:sz w:val="21"/>
      <w:u w:val="single"/>
    </w:rPr>
  </w:style>
  <w:style w:type="paragraph" w:styleId="BodyText">
    <w:name w:val="Body Text"/>
    <w:aliases w:val="CAB Body Text"/>
    <w:link w:val="BodyTextChar"/>
    <w:qFormat/>
    <w:rsid w:val="00100E2D"/>
    <w:pPr>
      <w:spacing w:before="120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BodyTextChar">
    <w:name w:val="Body Text Char"/>
    <w:aliases w:val="CAB Body Text Char"/>
    <w:basedOn w:val="DefaultParagraphFont"/>
    <w:link w:val="BodyText"/>
    <w:rsid w:val="00100E2D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2B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33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A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AB5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AB5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dcare.royalcommission.gov.au/publications/final-report" TargetMode="External"/><Relationship Id="rId13" Type="http://schemas.openxmlformats.org/officeDocument/2006/relationships/hyperlink" Target="https://www.health.gov.au/resources/publications/review-of-national&#173;%20aged-care-quality-regulatory-processes-report" TargetMode="External"/><Relationship Id="rId18" Type="http://schemas.openxmlformats.org/officeDocument/2006/relationships/hyperlink" Target="https://www.health.gov.au/resources/publications/inquiry-into-events-at&#173;earle-haven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www.aph.gov.au/Parliamentary_Business/Committees/Senate/Community_Affa%20irs/AgedCareQuality" TargetMode="External"/><Relationship Id="rId17" Type="http://schemas.openxmlformats.org/officeDocument/2006/relationships/hyperlink" Target="https://www.health.gov.au/resources/publications/thinking-ahead-report&#173;on-the-inquiry-into-dementia-early-diagnosis-and-intervention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s://www.aph.gov.au/Parliamentary_Business/Committees/Senate/Community_Affairs/Dementia/Report/index" TargetMode="External"/><Relationship Id="rId20" Type="http://schemas.openxmlformats.org/officeDocument/2006/relationships/hyperlink" Target="https://www.health.gov.au/resources/publications/a-matter-of-care-australias-aged-care-workforce-strateg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rw.org/report/2019/10/15/fading-away/how-aged-care&#173;%20facilities-australia-chemically-restrain-older-peopl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health.gov.au/resources/publications/legislated-review-of&#173;%20aged-care-2017-report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https://agedcare.royalcommission.gov.au/publications/interim-report" TargetMode="External"/><Relationship Id="rId19" Type="http://schemas.openxmlformats.org/officeDocument/2006/relationships/hyperlink" Target="https://www.asqa.gov.au/sites/default/files/Strategic_Reviews_2013_Aged_Care_Report.pdf?v=15081354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gedcare.royalcommission.gov.au/media/29098" TargetMode="External"/><Relationship Id="rId14" Type="http://schemas.openxmlformats.org/officeDocument/2006/relationships/hyperlink" Target="https://www.alrc.gov.au/publication/elder-abuse-a-national-legal&#173;%20response-a%20Irc-report-131/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4" ma:contentTypeDescription="Create a new document." ma:contentTypeScope="" ma:versionID="bc8c1ae6f50bee9cb95bd38a46bdc62f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883a595fd6cebbbc5e1a059e2314ef55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5ad5f-cdf2-4c4a-8d9b-b7944a108e98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DOCID-322795542-24889</_dlc_DocId>
    <_dlc_DocIdUrl xmlns="4195ad5f-cdf2-4c4a-8d9b-b7944a108e98">
      <Url>https://pmc01.sharepoint.com/sites/CRMOBPR/_layouts/15/DocIdRedir.aspx?ID=DOCID-322795542-24889</Url>
      <Description>DOCID-322795542-24889</Description>
    </_dlc_DocIdUrl>
  </documentManagement>
</p:properties>
</file>

<file path=customXml/itemProps1.xml><?xml version="1.0" encoding="utf-8"?>
<ds:datastoreItem xmlns:ds="http://schemas.openxmlformats.org/officeDocument/2006/customXml" ds:itemID="{2B9B1733-5FF0-4CD0-A0FA-61F1598997EF}"/>
</file>

<file path=customXml/itemProps2.xml><?xml version="1.0" encoding="utf-8"?>
<ds:datastoreItem xmlns:ds="http://schemas.openxmlformats.org/officeDocument/2006/customXml" ds:itemID="{256E3FAE-5437-4A57-B82F-CF0F496A8F12}"/>
</file>

<file path=customXml/itemProps3.xml><?xml version="1.0" encoding="utf-8"?>
<ds:datastoreItem xmlns:ds="http://schemas.openxmlformats.org/officeDocument/2006/customXml" ds:itemID="{874E699D-273C-42B3-B42B-3622FF43E124}"/>
</file>

<file path=customXml/itemProps4.xml><?xml version="1.0" encoding="utf-8"?>
<ds:datastoreItem xmlns:ds="http://schemas.openxmlformats.org/officeDocument/2006/customXml" ds:itemID="{063DE4BF-A033-4D34-AAED-55540CE6E6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6161</Characters>
  <Application>Microsoft Office Word</Application>
  <DocSecurity>0</DocSecurity>
  <Lines>118</Lines>
  <Paragraphs>60</Paragraphs>
  <ScaleCrop>false</ScaleCrop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2022-12-07T02:33:00Z</dcterms:created>
  <dcterms:modified xsi:type="dcterms:W3CDTF">2022-12-07T02:33:00Z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_dlc_DocIdItemGuid">
    <vt:lpwstr>e8e709a3-15e0-4aab-9d6d-38480c11cf03</vt:lpwstr>
  </property>
</Properties>
</file>