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591017"/>
        <w:docPartObj>
          <w:docPartGallery w:val="Cover Pages"/>
          <w:docPartUnique/>
        </w:docPartObj>
      </w:sdtPr>
      <w:sdtEndPr>
        <w:rPr>
          <w:noProof/>
        </w:rPr>
      </w:sdtEndPr>
      <w:sdtContent>
        <w:p w14:paraId="21A359F3" w14:textId="1334DC50" w:rsidR="00B22FC7" w:rsidRPr="00AF49E5" w:rsidRDefault="00B22FC7" w:rsidP="00B22FC7">
          <w:pPr>
            <w:pStyle w:val="BodyText"/>
          </w:pPr>
          <w:r>
            <w:rPr>
              <w:noProof/>
              <w:lang w:eastAsia="en-AU"/>
            </w:rPr>
            <mc:AlternateContent>
              <mc:Choice Requires="wps">
                <w:drawing>
                  <wp:anchor distT="0" distB="0" distL="114300" distR="114300" simplePos="0" relativeHeight="251658245" behindDoc="0" locked="0" layoutInCell="1" allowOverlap="1" wp14:anchorId="19E72C66" wp14:editId="12612CC6">
                    <wp:simplePos x="0" y="0"/>
                    <wp:positionH relativeFrom="margin">
                      <wp:align>right</wp:align>
                    </wp:positionH>
                    <wp:positionV relativeFrom="paragraph">
                      <wp:posOffset>221615</wp:posOffset>
                    </wp:positionV>
                    <wp:extent cx="6513195" cy="1743075"/>
                    <wp:effectExtent l="0" t="0" r="0" b="0"/>
                    <wp:wrapNone/>
                    <wp:docPr id="6" name="Rectangle 6"/>
                    <wp:cNvGraphicFramePr/>
                    <a:graphic xmlns:a="http://schemas.openxmlformats.org/drawingml/2006/main">
                      <a:graphicData uri="http://schemas.microsoft.com/office/word/2010/wordprocessingShape">
                        <wps:wsp>
                          <wps:cNvSpPr/>
                          <wps:spPr>
                            <a:xfrm>
                              <a:off x="0" y="0"/>
                              <a:ext cx="6513195" cy="1743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0EF39" w14:textId="1E5EC6EF" w:rsidR="00B22FC7" w:rsidRPr="0011200A" w:rsidRDefault="00DB4169" w:rsidP="00B22FC7">
                                <w:pPr>
                                  <w:rPr>
                                    <w:color w:val="FFFFFF" w:themeColor="background1"/>
                                  </w:rPr>
                                </w:pPr>
                                <w:r w:rsidRPr="00DB4169">
                                  <w:rPr>
                                    <w:noProof/>
                                  </w:rPr>
                                  <w:drawing>
                                    <wp:inline distT="0" distB="0" distL="0" distR="0" wp14:anchorId="3E3A3346" wp14:editId="46464CC4">
                                      <wp:extent cx="2792460" cy="7200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460" cy="720000"/>
                                              </a:xfrm>
                                              <a:prstGeom prst="rect">
                                                <a:avLst/>
                                              </a:prstGeom>
                                              <a:noFill/>
                                              <a:ln>
                                                <a:noFill/>
                                              </a:ln>
                                            </pic:spPr>
                                          </pic:pic>
                                        </a:graphicData>
                                      </a:graphic>
                                    </wp:inline>
                                  </w:drawing>
                                </w:r>
                                <w:r w:rsidR="00EE14C9" w:rsidRPr="00DB4169">
                                  <w:t xml:space="preserve"> </w:t>
                                </w:r>
                                <w:r w:rsidR="00EE14C9">
                                  <w:rPr>
                                    <w:color w:val="FFFFFF" w:themeColor="background1"/>
                                  </w:rPr>
                                  <w:t xml:space="preserve">       </w:t>
                                </w:r>
                                <w:r w:rsidR="00EE14C9" w:rsidRPr="00D54D8B">
                                  <w:rPr>
                                    <w:color w:val="FFFFFF" w:themeColor="background1"/>
                                  </w:rPr>
                                  <w:t xml:space="preserve"> </w:t>
                                </w:r>
                                <w:r w:rsidR="00EE14C9" w:rsidRPr="00EF29B1">
                                  <w:rPr>
                                    <w:noProof/>
                                  </w:rPr>
                                  <w:drawing>
                                    <wp:inline distT="0" distB="0" distL="0" distR="0" wp14:anchorId="00C3D8BB" wp14:editId="7B129474">
                                      <wp:extent cx="3155123" cy="72000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55123" cy="720000"/>
                                              </a:xfrm>
                                              <a:prstGeom prst="rect">
                                                <a:avLst/>
                                              </a:prstGeom>
                                            </pic:spPr>
                                          </pic:pic>
                                        </a:graphicData>
                                      </a:graphic>
                                    </wp:inline>
                                  </w:drawing>
                                </w:r>
                                <w:r w:rsidRPr="00D54D8B" w:rsidDel="00DB4169">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2C66" id="Rectangle 6" o:spid="_x0000_s1026" style="position:absolute;margin-left:461.65pt;margin-top:17.45pt;width:512.85pt;height:137.2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" filled="f" stroked="f" strokeweight="2pt">
                    <v:textbox>
                      <w:txbxContent>
                        <w:p w14:paraId="5C00EF39" w14:textId="1E5EC6EF" w:rsidR="00B22FC7" w:rsidRPr="0011200A" w:rsidRDefault="00DB4169" w:rsidP="00B22FC7">
                          <w:pPr>
                            <w:rPr>
                              <w:color w:val="FFFFFF" w:themeColor="background1"/>
                            </w:rPr>
                          </w:pPr>
                          <w:r w:rsidRPr="00DB4169">
                            <w:rPr>
                              <w:noProof/>
                            </w:rPr>
                            <w:drawing>
                              <wp:inline distT="0" distB="0" distL="0" distR="0" wp14:anchorId="3E3A3346" wp14:editId="46464CC4">
                                <wp:extent cx="2792460" cy="72000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2460" cy="720000"/>
                                        </a:xfrm>
                                        <a:prstGeom prst="rect">
                                          <a:avLst/>
                                        </a:prstGeom>
                                        <a:noFill/>
                                        <a:ln>
                                          <a:noFill/>
                                        </a:ln>
                                      </pic:spPr>
                                    </pic:pic>
                                  </a:graphicData>
                                </a:graphic>
                              </wp:inline>
                            </w:drawing>
                          </w:r>
                          <w:r w:rsidR="00EE14C9" w:rsidRPr="00DB4169">
                            <w:t xml:space="preserve"> </w:t>
                          </w:r>
                          <w:r w:rsidR="00EE14C9">
                            <w:rPr>
                              <w:color w:val="FFFFFF" w:themeColor="background1"/>
                            </w:rPr>
                            <w:t xml:space="preserve">       </w:t>
                          </w:r>
                          <w:r w:rsidR="00EE14C9" w:rsidRPr="00D54D8B">
                            <w:rPr>
                              <w:color w:val="FFFFFF" w:themeColor="background1"/>
                            </w:rPr>
                            <w:t xml:space="preserve"> </w:t>
                          </w:r>
                          <w:r w:rsidR="00EE14C9" w:rsidRPr="00EF29B1">
                            <w:rPr>
                              <w:noProof/>
                            </w:rPr>
                            <w:drawing>
                              <wp:inline distT="0" distB="0" distL="0" distR="0" wp14:anchorId="00C3D8BB" wp14:editId="7B129474">
                                <wp:extent cx="3155123" cy="72000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55123" cy="720000"/>
                                        </a:xfrm>
                                        <a:prstGeom prst="rect">
                                          <a:avLst/>
                                        </a:prstGeom>
                                      </pic:spPr>
                                    </pic:pic>
                                  </a:graphicData>
                                </a:graphic>
                              </wp:inline>
                            </w:drawing>
                          </w:r>
                          <w:r w:rsidRPr="00D54D8B" w:rsidDel="00DB4169">
                            <w:rPr>
                              <w:color w:val="FFFFFF" w:themeColor="background1"/>
                            </w:rPr>
                            <w:t xml:space="preserve"> </w:t>
                          </w:r>
                        </w:p>
                      </w:txbxContent>
                    </v:textbox>
                    <w10:wrap anchorx="margin"/>
                  </v:rect>
                </w:pict>
              </mc:Fallback>
            </mc:AlternateContent>
          </w:r>
          <w:r>
            <w:rPr>
              <w:noProof/>
              <w:lang w:eastAsia="en-AU"/>
            </w:rPr>
            <mc:AlternateContent>
              <mc:Choice Requires="wps">
                <w:drawing>
                  <wp:anchor distT="0" distB="0" distL="114300" distR="114300" simplePos="0" relativeHeight="251658243" behindDoc="0" locked="1" layoutInCell="1" allowOverlap="1" wp14:anchorId="7382F620" wp14:editId="022919F2">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05192" id="Rectangle 70" o:spid="_x0000_s1026" style="position:absolute;margin-left:-42.7pt;margin-top:0;width:8.5pt;height:843.3pt;z-index:25165824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" fillcolor="white [3212]" stroked="f" strokeweight="2pt">
                    <w10:wrap anchorx="page" anchory="page"/>
                    <w10:anchorlock/>
                  </v:rect>
                </w:pict>
              </mc:Fallback>
            </mc:AlternateContent>
          </w:r>
          <w:r>
            <w:rPr>
              <w:noProof/>
              <w:lang w:eastAsia="en-AU"/>
            </w:rPr>
            <mc:AlternateContent>
              <mc:Choice Requires="wps">
                <w:drawing>
                  <wp:anchor distT="45720" distB="45720" distL="114300" distR="114300" simplePos="0" relativeHeight="251658240" behindDoc="1" locked="1" layoutInCell="1" allowOverlap="1" wp14:anchorId="7DD5172D" wp14:editId="72E71760">
                    <wp:simplePos x="0" y="0"/>
                    <wp:positionH relativeFrom="page">
                      <wp:align>left</wp:align>
                    </wp:positionH>
                    <wp:positionV relativeFrom="page">
                      <wp:align>top</wp:align>
                    </wp:positionV>
                    <wp:extent cx="7559675" cy="722630"/>
                    <wp:effectExtent l="0" t="0" r="3175" b="1270"/>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722671"/>
                            </a:xfrm>
                            <a:prstGeom prst="rect">
                              <a:avLst/>
                            </a:prstGeom>
                            <a:solidFill>
                              <a:schemeClr val="bg1"/>
                            </a:solidFill>
                            <a:ln w="9525">
                              <a:noFill/>
                              <a:miter lim="800000"/>
                              <a:headEnd/>
                              <a:tailEnd/>
                            </a:ln>
                          </wps:spPr>
                          <wps:txbx>
                            <w:txbxContent>
                              <w:p w14:paraId="5E40F845" w14:textId="77777777" w:rsidR="00B22FC7" w:rsidRPr="009B4379" w:rsidRDefault="00B22FC7" w:rsidP="00B22FC7">
                                <w:pPr>
                                  <w:pStyle w:val="ProtectiveMarking"/>
                                </w:pPr>
                              </w:p>
                            </w:txbxContent>
                          </wps:txbx>
                          <wps:bodyPr rot="0" vert="horz" wrap="square" lIns="0" tIns="360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5172D" id="_x0000_t202" coordsize="21600,21600" o:spt="202" path="m,l,21600r21600,l21600,xe">
                    <v:stroke joinstyle="miter"/>
                    <v:path gradientshapeok="t" o:connecttype="rect"/>
                  </v:shapetype>
                  <v:shape id="Text Box 2" o:spid="_x0000_s1027" type="#_x0000_t202" style="position:absolute;margin-left:0;margin-top:0;width:595.25pt;height:56.9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" fillcolor="white [3212]" stroked="f">
                    <v:textbox inset="0,10mm,0,0">
                      <w:txbxContent>
                        <w:p w14:paraId="5E40F845" w14:textId="77777777" w:rsidR="00B22FC7" w:rsidRPr="009B4379" w:rsidRDefault="00B22FC7" w:rsidP="00B22FC7">
                          <w:pPr>
                            <w:pStyle w:val="ProtectiveMarking"/>
                          </w:pPr>
                        </w:p>
                      </w:txbxContent>
                    </v:textbox>
                    <w10:wrap anchorx="page" anchory="page"/>
                    <w10:anchorlock/>
                  </v:shape>
                </w:pict>
              </mc:Fallback>
            </mc:AlternateContent>
          </w:r>
          <w:r w:rsidRPr="004616FF">
            <w:rPr>
              <w:noProof/>
              <w:lang w:eastAsia="en-AU"/>
            </w:rPr>
            <mc:AlternateContent>
              <mc:Choice Requires="wps">
                <w:drawing>
                  <wp:anchor distT="45720" distB="45720" distL="114300" distR="114300" simplePos="0" relativeHeight="251658244" behindDoc="1" locked="1" layoutInCell="1" allowOverlap="1" wp14:anchorId="2678C2BA" wp14:editId="01D30F00">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65A2A942" w14:textId="77777777" w:rsidR="00B22FC7" w:rsidRPr="00543FDE" w:rsidRDefault="00B22FC7" w:rsidP="00B22FC7">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78C2BA" id="_x0000_s1028" type="#_x0000_t202" style="position:absolute;margin-left:0;margin-top:785.1pt;width:595.35pt;height:56.65pt;z-index:-2516582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" fillcolor="window" stroked="f">
                    <v:textbox inset="0,0,0,0">
                      <w:txbxContent>
                        <w:p w14:paraId="65A2A942" w14:textId="77777777" w:rsidR="00B22FC7" w:rsidRPr="00543FDE" w:rsidRDefault="00B22FC7" w:rsidP="00B22FC7">
                          <w:pPr>
                            <w:pStyle w:val="ProtectiveMarking"/>
                          </w:pPr>
                        </w:p>
                      </w:txbxContent>
                    </v:textbox>
                    <w10:wrap anchorx="page" anchory="page"/>
                    <w10:anchorlock/>
                  </v:shape>
                </w:pict>
              </mc:Fallback>
            </mc:AlternateContent>
          </w:r>
        </w:p>
        <w:p w14:paraId="12BE7E4C" w14:textId="43DACF4C" w:rsidR="00B22FC7" w:rsidRDefault="00B22FC7" w:rsidP="00B22FC7">
          <w:pPr>
            <w:framePr w:w="11595" w:h="6521" w:hRule="exact" w:wrap="around" w:vAnchor="page" w:hAnchor="page" w:x="171" w:y="9181" w:anchorLock="1"/>
          </w:pPr>
        </w:p>
        <w:p w14:paraId="30FFD3DF" w14:textId="77777777" w:rsidR="00B22FC7" w:rsidRPr="004616FF" w:rsidRDefault="00B22FC7" w:rsidP="00B22FC7">
          <w:pPr>
            <w:pStyle w:val="BodyText"/>
            <w:rPr>
              <w:caps/>
            </w:rPr>
            <w:sectPr w:rsidR="00B22FC7" w:rsidRPr="004616FF" w:rsidSect="00AF49E5">
              <w:headerReference w:type="default" r:id="rId14"/>
              <w:footerReference w:type="default" r:id="rId15"/>
              <w:headerReference w:type="first" r:id="rId16"/>
              <w:footerReference w:type="first" r:id="rId17"/>
              <w:pgSz w:w="11906" w:h="16838"/>
              <w:pgMar w:top="426" w:right="851" w:bottom="1135" w:left="851" w:header="567" w:footer="57" w:gutter="0"/>
              <w:pgNumType w:start="0"/>
              <w:cols w:space="708"/>
              <w:titlePg/>
              <w:docGrid w:linePitch="360"/>
            </w:sectPr>
          </w:pPr>
          <w:r w:rsidRPr="00657D2D">
            <w:rPr>
              <w:noProof/>
            </w:rPr>
            <w:t xml:space="preserve"> </w:t>
          </w:r>
          <w:r w:rsidRPr="00657D2D">
            <w:rPr>
              <w:noProof/>
              <w:lang w:eastAsia="en-AU"/>
            </w:rPr>
            <mc:AlternateContent>
              <mc:Choice Requires="wps">
                <w:drawing>
                  <wp:anchor distT="0" distB="0" distL="182880" distR="182880" simplePos="0" relativeHeight="251658241" behindDoc="0" locked="1" layoutInCell="1" allowOverlap="1" wp14:anchorId="6822191B" wp14:editId="7F2A2162">
                    <wp:simplePos x="0" y="0"/>
                    <wp:positionH relativeFrom="margin">
                      <wp:posOffset>-8890</wp:posOffset>
                    </wp:positionH>
                    <wp:positionV relativeFrom="page">
                      <wp:posOffset>1828800</wp:posOffset>
                    </wp:positionV>
                    <wp:extent cx="6494145" cy="3780000"/>
                    <wp:effectExtent l="0" t="0" r="1905" b="11430"/>
                    <wp:wrapSquare wrapText="bothSides"/>
                    <wp:docPr id="73" name="Text Box 73"/>
                    <wp:cNvGraphicFramePr/>
                    <a:graphic xmlns:a="http://schemas.openxmlformats.org/drawingml/2006/main">
                      <a:graphicData uri="http://schemas.microsoft.com/office/word/2010/wordprocessingShape">
                        <wps:wsp>
                          <wps:cNvSpPr txBox="1"/>
                          <wps:spPr>
                            <a:xfrm>
                              <a:off x="0" y="0"/>
                              <a:ext cx="6494145" cy="37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8C851" w14:textId="3981A1D4" w:rsidR="00B22FC7" w:rsidRPr="006D2AF2" w:rsidRDefault="00CB112A" w:rsidP="00B22FC7">
                                <w:pPr>
                                  <w:pStyle w:val="CoverTitle"/>
                                  <w:rPr>
                                    <w:sz w:val="96"/>
                                    <w:szCs w:val="96"/>
                                  </w:rPr>
                                </w:pPr>
                                <w:sdt>
                                  <w:sdtPr>
                                    <w:rPr>
                                      <w:sz w:val="96"/>
                                      <w:szCs w:val="96"/>
                                    </w:rPr>
                                    <w:alias w:val="Document Heading"/>
                                    <w:tag w:val="DH"/>
                                    <w:id w:val="-1577504962"/>
                                    <w:dataBinding w:xpath="/root[1]/DH[1]" w:storeItemID="{F533AE62-A212-4B26-92DA-A3B336E8AE06}"/>
                                    <w:text w:multiLine="1"/>
                                  </w:sdtPr>
                                  <w:sdtEndPr/>
                                  <w:sdtContent>
                                    <w:r w:rsidR="00B22FC7" w:rsidRPr="006D2AF2">
                                      <w:rPr>
                                        <w:sz w:val="96"/>
                                        <w:szCs w:val="96"/>
                                      </w:rPr>
                                      <w:t>OPTIONS TO PROVIDE ENERGY PRICE RELIEF</w:t>
                                    </w:r>
                                  </w:sdtContent>
                                </w:sdt>
                              </w:p>
                              <w:p w14:paraId="6D499AEC" w14:textId="58803820" w:rsidR="00B22FC7" w:rsidRDefault="00B90170" w:rsidP="00B22FC7">
                                <w:pPr>
                                  <w:pStyle w:val="CoverByline"/>
                                </w:pPr>
                                <w:r>
                                  <w:t>Impact Analysis</w:t>
                                </w:r>
                              </w:p>
                              <w:p w14:paraId="3BC94539" w14:textId="3CE6C435" w:rsidR="00B22FC7" w:rsidRPr="006D2AF2" w:rsidRDefault="00B22FC7" w:rsidP="00B22FC7">
                                <w:pPr>
                                  <w:pStyle w:val="CoverByline"/>
                                  <w:rPr>
                                    <w:sz w:val="36"/>
                                    <w:szCs w:val="36"/>
                                  </w:rPr>
                                </w:pPr>
                                <w:r w:rsidRPr="006D2AF2">
                                  <w:rPr>
                                    <w:sz w:val="36"/>
                                    <w:szCs w:val="36"/>
                                  </w:rPr>
                                  <w:t>Department of Treasury and Department of Climate Change, Energy, the Environment and Water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22191B" id="Text Box 73" o:spid="_x0000_s1029" type="#_x0000_t202" style="position:absolute;margin-left:-.7pt;margin-top:2in;width:511.35pt;height:297.65pt;z-index:251658241;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" filled="f" stroked="f" strokeweight=".5pt">
                    <v:textbox inset="0,0,0,0">
                      <w:txbxContent>
                        <w:p w14:paraId="5198C851" w14:textId="3981A1D4" w:rsidR="00B22FC7" w:rsidRPr="006D2AF2" w:rsidRDefault="00CB112A" w:rsidP="00B22FC7">
                          <w:pPr>
                            <w:pStyle w:val="CoverTitle"/>
                            <w:rPr>
                              <w:sz w:val="96"/>
                              <w:szCs w:val="96"/>
                            </w:rPr>
                          </w:pPr>
                          <w:sdt>
                            <w:sdtPr>
                              <w:rPr>
                                <w:sz w:val="96"/>
                                <w:szCs w:val="96"/>
                              </w:rPr>
                              <w:alias w:val="Document Heading"/>
                              <w:tag w:val="DH"/>
                              <w:id w:val="-1577504962"/>
                              <w:dataBinding w:xpath="/root[1]/DH[1]" w:storeItemID="{F533AE62-A212-4B26-92DA-A3B336E8AE06}"/>
                              <w:text w:multiLine="1"/>
                            </w:sdtPr>
                            <w:sdtEndPr/>
                            <w:sdtContent>
                              <w:r w:rsidR="00B22FC7" w:rsidRPr="006D2AF2">
                                <w:rPr>
                                  <w:sz w:val="96"/>
                                  <w:szCs w:val="96"/>
                                </w:rPr>
                                <w:t>OPTIONS TO PROVIDE ENERGY PRICE RELIEF</w:t>
                              </w:r>
                            </w:sdtContent>
                          </w:sdt>
                        </w:p>
                        <w:p w14:paraId="6D499AEC" w14:textId="58803820" w:rsidR="00B22FC7" w:rsidRDefault="00B90170" w:rsidP="00B22FC7">
                          <w:pPr>
                            <w:pStyle w:val="CoverByline"/>
                          </w:pPr>
                          <w:r>
                            <w:t>Impact Analysis</w:t>
                          </w:r>
                        </w:p>
                        <w:p w14:paraId="3BC94539" w14:textId="3CE6C435" w:rsidR="00B22FC7" w:rsidRPr="006D2AF2" w:rsidRDefault="00B22FC7" w:rsidP="00B22FC7">
                          <w:pPr>
                            <w:pStyle w:val="CoverByline"/>
                            <w:rPr>
                              <w:sz w:val="36"/>
                              <w:szCs w:val="36"/>
                            </w:rPr>
                          </w:pPr>
                          <w:r w:rsidRPr="006D2AF2">
                            <w:rPr>
                              <w:sz w:val="36"/>
                              <w:szCs w:val="36"/>
                            </w:rPr>
                            <w:t>Department of Treasury and Department of Climate Change, Energy, the Environment and Water</w:t>
                          </w:r>
                        </w:p>
                      </w:txbxContent>
                    </v:textbox>
                    <w10:wrap type="square" anchorx="margin" anchory="page"/>
                    <w10:anchorlock/>
                  </v:shape>
                </w:pict>
              </mc:Fallback>
            </mc:AlternateContent>
          </w:r>
          <w:r w:rsidRPr="007660B9">
            <w:rPr>
              <w:noProof/>
              <w:lang w:eastAsia="en-AU"/>
            </w:rPr>
            <mc:AlternateContent>
              <mc:Choice Requires="wps">
                <w:drawing>
                  <wp:anchor distT="0" distB="0" distL="114300" distR="114300" simplePos="0" relativeHeight="251658242" behindDoc="1" locked="1" layoutInCell="1" allowOverlap="1" wp14:anchorId="0E4FA11E" wp14:editId="7609DFCD">
                    <wp:simplePos x="0" y="0"/>
                    <wp:positionH relativeFrom="page">
                      <wp:posOffset>104775</wp:posOffset>
                    </wp:positionH>
                    <wp:positionV relativeFrom="page">
                      <wp:posOffset>723900</wp:posOffset>
                    </wp:positionV>
                    <wp:extent cx="7343775" cy="9251950"/>
                    <wp:effectExtent l="0" t="0" r="9525" b="6350"/>
                    <wp:wrapNone/>
                    <wp:docPr id="74" name="Rectangle 74"/>
                    <wp:cNvGraphicFramePr/>
                    <a:graphic xmlns:a="http://schemas.openxmlformats.org/drawingml/2006/main">
                      <a:graphicData uri="http://schemas.microsoft.com/office/word/2010/wordprocessingShape">
                        <wps:wsp>
                          <wps:cNvSpPr/>
                          <wps:spPr>
                            <a:xfrm>
                              <a:off x="0" y="0"/>
                              <a:ext cx="7343775" cy="92519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F6AF2" id="Rectangle 74" o:spid="_x0000_s1026" style="position:absolute;margin-left:8.25pt;margin-top:57pt;width:578.25pt;height:72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" fillcolor="#014463" stroked="f" strokeweight="1pt">
                    <v:fill color2="#25303b" angle="90" focus="100%" type="gradient">
                      <o:fill v:ext="view" type="gradientUnscaled"/>
                    </v:fill>
                    <w10:wrap anchorx="page" anchory="page"/>
                    <w10:anchorlock/>
                  </v:rect>
                </w:pict>
              </mc:Fallback>
            </mc:AlternateContent>
          </w:r>
        </w:p>
      </w:sdtContent>
    </w:sdt>
    <w:bookmarkStart w:id="0" w:name="_Toc121406856" w:displacedByCustomXml="next"/>
    <w:sdt>
      <w:sdtPr>
        <w:rPr>
          <w:rFonts w:asciiTheme="minorHAnsi" w:eastAsia="Times New Roman" w:hAnsiTheme="minorHAnsi" w:cs="Times New Roman"/>
          <w:b w:val="0"/>
          <w:color w:val="auto"/>
          <w:sz w:val="22"/>
          <w:szCs w:val="22"/>
          <w:lang w:eastAsia="en-AU"/>
        </w:rPr>
        <w:id w:val="-863443742"/>
        <w:docPartObj>
          <w:docPartGallery w:val="Table of Contents"/>
          <w:docPartUnique/>
        </w:docPartObj>
      </w:sdtPr>
      <w:sdtEndPr/>
      <w:sdtContent>
        <w:p w14:paraId="2122600C" w14:textId="7FA49130" w:rsidR="00E551D2" w:rsidRDefault="00E551D2" w:rsidP="00BA38FA">
          <w:pPr>
            <w:pStyle w:val="Heading1"/>
          </w:pPr>
          <w:r>
            <w:t>Contents</w:t>
          </w:r>
          <w:bookmarkEnd w:id="0"/>
        </w:p>
        <w:p w14:paraId="6AFE6AC5" w14:textId="0CAEEE82" w:rsidR="00D15CAA" w:rsidRDefault="00E551D2">
          <w:pPr>
            <w:pStyle w:val="TOC1"/>
            <w:rPr>
              <w:rFonts w:eastAsiaTheme="minorEastAsia"/>
              <w:b w:val="0"/>
              <w:color w:val="auto"/>
              <w:lang w:eastAsia="en-AU"/>
            </w:rPr>
          </w:pPr>
          <w:r>
            <w:rPr>
              <w:b w:val="0"/>
              <w:noProof w:val="0"/>
            </w:rPr>
            <w:fldChar w:fldCharType="begin"/>
          </w:r>
          <w:r>
            <w:instrText xml:space="preserve"> TOC \o "1-3" \h \z \u </w:instrText>
          </w:r>
          <w:r>
            <w:rPr>
              <w:b w:val="0"/>
              <w:noProof w:val="0"/>
            </w:rPr>
            <w:fldChar w:fldCharType="separate"/>
          </w:r>
          <w:hyperlink w:anchor="_Toc121406856" w:history="1">
            <w:r w:rsidR="00D15CAA" w:rsidRPr="00A76B61">
              <w:rPr>
                <w:rStyle w:val="Hyperlink"/>
              </w:rPr>
              <w:t>Contents</w:t>
            </w:r>
            <w:r w:rsidR="00D15CAA">
              <w:rPr>
                <w:webHidden/>
              </w:rPr>
              <w:tab/>
            </w:r>
            <w:r w:rsidR="00D15CAA">
              <w:rPr>
                <w:webHidden/>
              </w:rPr>
              <w:fldChar w:fldCharType="begin"/>
            </w:r>
            <w:r w:rsidR="00D15CAA">
              <w:rPr>
                <w:webHidden/>
              </w:rPr>
              <w:instrText xml:space="preserve"> PAGEREF _Toc121406856 \h </w:instrText>
            </w:r>
            <w:r w:rsidR="00D15CAA">
              <w:rPr>
                <w:webHidden/>
              </w:rPr>
            </w:r>
            <w:r w:rsidR="00D15CAA">
              <w:rPr>
                <w:webHidden/>
              </w:rPr>
              <w:fldChar w:fldCharType="separate"/>
            </w:r>
            <w:r w:rsidR="00D15CAA">
              <w:rPr>
                <w:webHidden/>
              </w:rPr>
              <w:t>i</w:t>
            </w:r>
            <w:r w:rsidR="00D15CAA">
              <w:rPr>
                <w:webHidden/>
              </w:rPr>
              <w:fldChar w:fldCharType="end"/>
            </w:r>
          </w:hyperlink>
        </w:p>
        <w:p w14:paraId="3D52FCD4" w14:textId="366D86E7" w:rsidR="00D15CAA" w:rsidRDefault="00CB112A">
          <w:pPr>
            <w:pStyle w:val="TOC1"/>
            <w:rPr>
              <w:rFonts w:eastAsiaTheme="minorEastAsia"/>
              <w:b w:val="0"/>
              <w:color w:val="auto"/>
              <w:lang w:eastAsia="en-AU"/>
            </w:rPr>
          </w:pPr>
          <w:hyperlink w:anchor="_Toc121406857" w:history="1">
            <w:r w:rsidR="00D15CAA" w:rsidRPr="00A76B61">
              <w:rPr>
                <w:rStyle w:val="Hyperlink"/>
              </w:rPr>
              <w:t>Glossary</w:t>
            </w:r>
            <w:r w:rsidR="00D15CAA">
              <w:rPr>
                <w:webHidden/>
              </w:rPr>
              <w:tab/>
            </w:r>
            <w:r w:rsidR="00D15CAA">
              <w:rPr>
                <w:webHidden/>
              </w:rPr>
              <w:fldChar w:fldCharType="begin"/>
            </w:r>
            <w:r w:rsidR="00D15CAA">
              <w:rPr>
                <w:webHidden/>
              </w:rPr>
              <w:instrText xml:space="preserve"> PAGEREF _Toc121406857 \h </w:instrText>
            </w:r>
            <w:r w:rsidR="00D15CAA">
              <w:rPr>
                <w:webHidden/>
              </w:rPr>
            </w:r>
            <w:r w:rsidR="00D15CAA">
              <w:rPr>
                <w:webHidden/>
              </w:rPr>
              <w:fldChar w:fldCharType="separate"/>
            </w:r>
            <w:r w:rsidR="00D15CAA">
              <w:rPr>
                <w:webHidden/>
              </w:rPr>
              <w:t>1</w:t>
            </w:r>
            <w:r w:rsidR="00D15CAA">
              <w:rPr>
                <w:webHidden/>
              </w:rPr>
              <w:fldChar w:fldCharType="end"/>
            </w:r>
          </w:hyperlink>
        </w:p>
        <w:p w14:paraId="33BA3532" w14:textId="43EDDA95" w:rsidR="00D15CAA" w:rsidRDefault="00CB112A">
          <w:pPr>
            <w:pStyle w:val="TOC1"/>
            <w:rPr>
              <w:rFonts w:eastAsiaTheme="minorEastAsia"/>
              <w:b w:val="0"/>
              <w:color w:val="auto"/>
              <w:lang w:eastAsia="en-AU"/>
            </w:rPr>
          </w:pPr>
          <w:hyperlink w:anchor="_Toc121406858" w:history="1">
            <w:r w:rsidR="00D15CAA" w:rsidRPr="00A76B61">
              <w:rPr>
                <w:rStyle w:val="Hyperlink"/>
              </w:rPr>
              <w:t>Executive Summary</w:t>
            </w:r>
            <w:r w:rsidR="00D15CAA">
              <w:rPr>
                <w:webHidden/>
              </w:rPr>
              <w:tab/>
            </w:r>
            <w:r w:rsidR="00D15CAA">
              <w:rPr>
                <w:webHidden/>
              </w:rPr>
              <w:fldChar w:fldCharType="begin"/>
            </w:r>
            <w:r w:rsidR="00D15CAA">
              <w:rPr>
                <w:webHidden/>
              </w:rPr>
              <w:instrText xml:space="preserve"> PAGEREF _Toc121406858 \h </w:instrText>
            </w:r>
            <w:r w:rsidR="00D15CAA">
              <w:rPr>
                <w:webHidden/>
              </w:rPr>
            </w:r>
            <w:r w:rsidR="00D15CAA">
              <w:rPr>
                <w:webHidden/>
              </w:rPr>
              <w:fldChar w:fldCharType="separate"/>
            </w:r>
            <w:r w:rsidR="00D15CAA">
              <w:rPr>
                <w:webHidden/>
              </w:rPr>
              <w:t>3</w:t>
            </w:r>
            <w:r w:rsidR="00D15CAA">
              <w:rPr>
                <w:webHidden/>
              </w:rPr>
              <w:fldChar w:fldCharType="end"/>
            </w:r>
          </w:hyperlink>
        </w:p>
        <w:p w14:paraId="09979363" w14:textId="49EC3FCE" w:rsidR="00D15CAA" w:rsidRDefault="00CB112A">
          <w:pPr>
            <w:pStyle w:val="TOC1"/>
            <w:rPr>
              <w:rFonts w:eastAsiaTheme="minorEastAsia"/>
              <w:b w:val="0"/>
              <w:color w:val="auto"/>
              <w:lang w:eastAsia="en-AU"/>
            </w:rPr>
          </w:pPr>
          <w:hyperlink w:anchor="_Toc121406859" w:history="1">
            <w:r w:rsidR="00D15CAA" w:rsidRPr="00A76B61">
              <w:rPr>
                <w:rStyle w:val="Hyperlink"/>
              </w:rPr>
              <w:t>What is the problem you are trying to solve?</w:t>
            </w:r>
            <w:r w:rsidR="00D15CAA">
              <w:rPr>
                <w:webHidden/>
              </w:rPr>
              <w:tab/>
            </w:r>
            <w:r w:rsidR="00D15CAA">
              <w:rPr>
                <w:webHidden/>
              </w:rPr>
              <w:fldChar w:fldCharType="begin"/>
            </w:r>
            <w:r w:rsidR="00D15CAA">
              <w:rPr>
                <w:webHidden/>
              </w:rPr>
              <w:instrText xml:space="preserve"> PAGEREF _Toc121406859 \h </w:instrText>
            </w:r>
            <w:r w:rsidR="00D15CAA">
              <w:rPr>
                <w:webHidden/>
              </w:rPr>
            </w:r>
            <w:r w:rsidR="00D15CAA">
              <w:rPr>
                <w:webHidden/>
              </w:rPr>
              <w:fldChar w:fldCharType="separate"/>
            </w:r>
            <w:r w:rsidR="00D15CAA">
              <w:rPr>
                <w:webHidden/>
              </w:rPr>
              <w:t>5</w:t>
            </w:r>
            <w:r w:rsidR="00D15CAA">
              <w:rPr>
                <w:webHidden/>
              </w:rPr>
              <w:fldChar w:fldCharType="end"/>
            </w:r>
          </w:hyperlink>
        </w:p>
        <w:p w14:paraId="16FDF6BD" w14:textId="5954A900" w:rsidR="00D15CAA" w:rsidRDefault="00CB112A">
          <w:pPr>
            <w:pStyle w:val="TOC3"/>
            <w:rPr>
              <w:rFonts w:eastAsiaTheme="minorEastAsia" w:cstheme="minorBidi"/>
              <w:lang w:eastAsia="en-AU"/>
            </w:rPr>
          </w:pPr>
          <w:hyperlink w:anchor="_Toc121406860" w:history="1">
            <w:r w:rsidR="00D15CAA" w:rsidRPr="00A76B61">
              <w:rPr>
                <w:rStyle w:val="Hyperlink"/>
              </w:rPr>
              <w:t>Rising energy prices caused by disruptions in global energy markets are putting pressure on Australian households</w:t>
            </w:r>
            <w:r w:rsidR="00D15CAA">
              <w:rPr>
                <w:webHidden/>
              </w:rPr>
              <w:tab/>
            </w:r>
            <w:r w:rsidR="00D15CAA">
              <w:rPr>
                <w:webHidden/>
              </w:rPr>
              <w:fldChar w:fldCharType="begin"/>
            </w:r>
            <w:r w:rsidR="00D15CAA">
              <w:rPr>
                <w:webHidden/>
              </w:rPr>
              <w:instrText xml:space="preserve"> PAGEREF _Toc121406860 \h </w:instrText>
            </w:r>
            <w:r w:rsidR="00D15CAA">
              <w:rPr>
                <w:webHidden/>
              </w:rPr>
            </w:r>
            <w:r w:rsidR="00D15CAA">
              <w:rPr>
                <w:webHidden/>
              </w:rPr>
              <w:fldChar w:fldCharType="separate"/>
            </w:r>
            <w:r w:rsidR="00D15CAA">
              <w:rPr>
                <w:webHidden/>
              </w:rPr>
              <w:t>5</w:t>
            </w:r>
            <w:r w:rsidR="00D15CAA">
              <w:rPr>
                <w:webHidden/>
              </w:rPr>
              <w:fldChar w:fldCharType="end"/>
            </w:r>
          </w:hyperlink>
        </w:p>
        <w:p w14:paraId="27EF65DC" w14:textId="4CC4A8CD" w:rsidR="00D15CAA" w:rsidRDefault="00CB112A">
          <w:pPr>
            <w:pStyle w:val="TOC3"/>
            <w:rPr>
              <w:rFonts w:eastAsiaTheme="minorEastAsia" w:cstheme="minorBidi"/>
              <w:lang w:eastAsia="en-AU"/>
            </w:rPr>
          </w:pPr>
          <w:hyperlink w:anchor="_Toc121406861" w:history="1">
            <w:r w:rsidR="00D15CAA" w:rsidRPr="00A76B61">
              <w:rPr>
                <w:rStyle w:val="Hyperlink"/>
              </w:rPr>
              <w:t>Impacts are being felt across the economy</w:t>
            </w:r>
            <w:r w:rsidR="00D15CAA">
              <w:rPr>
                <w:webHidden/>
              </w:rPr>
              <w:tab/>
            </w:r>
            <w:r w:rsidR="00D15CAA">
              <w:rPr>
                <w:webHidden/>
              </w:rPr>
              <w:fldChar w:fldCharType="begin"/>
            </w:r>
            <w:r w:rsidR="00D15CAA">
              <w:rPr>
                <w:webHidden/>
              </w:rPr>
              <w:instrText xml:space="preserve"> PAGEREF _Toc121406861 \h </w:instrText>
            </w:r>
            <w:r w:rsidR="00D15CAA">
              <w:rPr>
                <w:webHidden/>
              </w:rPr>
            </w:r>
            <w:r w:rsidR="00D15CAA">
              <w:rPr>
                <w:webHidden/>
              </w:rPr>
              <w:fldChar w:fldCharType="separate"/>
            </w:r>
            <w:r w:rsidR="00D15CAA">
              <w:rPr>
                <w:webHidden/>
              </w:rPr>
              <w:t>7</w:t>
            </w:r>
            <w:r w:rsidR="00D15CAA">
              <w:rPr>
                <w:webHidden/>
              </w:rPr>
              <w:fldChar w:fldCharType="end"/>
            </w:r>
          </w:hyperlink>
        </w:p>
        <w:p w14:paraId="2623816A" w14:textId="2E2CCFC2" w:rsidR="00D15CAA" w:rsidRDefault="00CB112A">
          <w:pPr>
            <w:pStyle w:val="TOC3"/>
            <w:rPr>
              <w:rFonts w:eastAsiaTheme="minorEastAsia" w:cstheme="minorBidi"/>
              <w:lang w:eastAsia="en-AU"/>
            </w:rPr>
          </w:pPr>
          <w:hyperlink w:anchor="_Toc121406862" w:history="1">
            <w:r w:rsidR="00D15CAA" w:rsidRPr="00A76B61">
              <w:rPr>
                <w:rStyle w:val="Hyperlink"/>
              </w:rPr>
              <w:t>High fuel prices are leading to increases in electricity prices</w:t>
            </w:r>
            <w:r w:rsidR="00D15CAA">
              <w:rPr>
                <w:webHidden/>
              </w:rPr>
              <w:tab/>
            </w:r>
            <w:r w:rsidR="00D15CAA">
              <w:rPr>
                <w:webHidden/>
              </w:rPr>
              <w:fldChar w:fldCharType="begin"/>
            </w:r>
            <w:r w:rsidR="00D15CAA">
              <w:rPr>
                <w:webHidden/>
              </w:rPr>
              <w:instrText xml:space="preserve"> PAGEREF _Toc121406862 \h </w:instrText>
            </w:r>
            <w:r w:rsidR="00D15CAA">
              <w:rPr>
                <w:webHidden/>
              </w:rPr>
            </w:r>
            <w:r w:rsidR="00D15CAA">
              <w:rPr>
                <w:webHidden/>
              </w:rPr>
              <w:fldChar w:fldCharType="separate"/>
            </w:r>
            <w:r w:rsidR="00D15CAA">
              <w:rPr>
                <w:webHidden/>
              </w:rPr>
              <w:t>8</w:t>
            </w:r>
            <w:r w:rsidR="00D15CAA">
              <w:rPr>
                <w:webHidden/>
              </w:rPr>
              <w:fldChar w:fldCharType="end"/>
            </w:r>
          </w:hyperlink>
        </w:p>
        <w:p w14:paraId="3B2886D7" w14:textId="43FEEB87" w:rsidR="00D15CAA" w:rsidRDefault="00CB112A">
          <w:pPr>
            <w:pStyle w:val="TOC3"/>
            <w:rPr>
              <w:rFonts w:eastAsiaTheme="minorEastAsia" w:cstheme="minorBidi"/>
              <w:lang w:eastAsia="en-AU"/>
            </w:rPr>
          </w:pPr>
          <w:hyperlink w:anchor="_Toc121406863" w:history="1">
            <w:r w:rsidR="00D15CAA" w:rsidRPr="00A76B61">
              <w:rPr>
                <w:rStyle w:val="Hyperlink"/>
              </w:rPr>
              <w:t>High wholesale electricity costs are flowing through to retail prices</w:t>
            </w:r>
            <w:r w:rsidR="00D15CAA">
              <w:rPr>
                <w:webHidden/>
              </w:rPr>
              <w:tab/>
            </w:r>
            <w:r w:rsidR="00D15CAA">
              <w:rPr>
                <w:webHidden/>
              </w:rPr>
              <w:fldChar w:fldCharType="begin"/>
            </w:r>
            <w:r w:rsidR="00D15CAA">
              <w:rPr>
                <w:webHidden/>
              </w:rPr>
              <w:instrText xml:space="preserve"> PAGEREF _Toc121406863 \h </w:instrText>
            </w:r>
            <w:r w:rsidR="00D15CAA">
              <w:rPr>
                <w:webHidden/>
              </w:rPr>
            </w:r>
            <w:r w:rsidR="00D15CAA">
              <w:rPr>
                <w:webHidden/>
              </w:rPr>
              <w:fldChar w:fldCharType="separate"/>
            </w:r>
            <w:r w:rsidR="00D15CAA">
              <w:rPr>
                <w:webHidden/>
              </w:rPr>
              <w:t>9</w:t>
            </w:r>
            <w:r w:rsidR="00D15CAA">
              <w:rPr>
                <w:webHidden/>
              </w:rPr>
              <w:fldChar w:fldCharType="end"/>
            </w:r>
          </w:hyperlink>
        </w:p>
        <w:p w14:paraId="1CC9BCF3" w14:textId="45F28EEC" w:rsidR="00D15CAA" w:rsidRDefault="00CB112A">
          <w:pPr>
            <w:pStyle w:val="TOC3"/>
            <w:rPr>
              <w:rFonts w:eastAsiaTheme="minorEastAsia" w:cstheme="minorBidi"/>
              <w:lang w:eastAsia="en-AU"/>
            </w:rPr>
          </w:pPr>
          <w:hyperlink w:anchor="_Toc121406864" w:history="1">
            <w:r w:rsidR="00D15CAA" w:rsidRPr="00A76B61">
              <w:rPr>
                <w:rStyle w:val="Hyperlink"/>
              </w:rPr>
              <w:t>Current government frameworks could be strengthened</w:t>
            </w:r>
            <w:r w:rsidR="00D15CAA">
              <w:rPr>
                <w:webHidden/>
              </w:rPr>
              <w:tab/>
            </w:r>
            <w:r w:rsidR="00D15CAA">
              <w:rPr>
                <w:webHidden/>
              </w:rPr>
              <w:fldChar w:fldCharType="begin"/>
            </w:r>
            <w:r w:rsidR="00D15CAA">
              <w:rPr>
                <w:webHidden/>
              </w:rPr>
              <w:instrText xml:space="preserve"> PAGEREF _Toc121406864 \h </w:instrText>
            </w:r>
            <w:r w:rsidR="00D15CAA">
              <w:rPr>
                <w:webHidden/>
              </w:rPr>
            </w:r>
            <w:r w:rsidR="00D15CAA">
              <w:rPr>
                <w:webHidden/>
              </w:rPr>
              <w:fldChar w:fldCharType="separate"/>
            </w:r>
            <w:r w:rsidR="00D15CAA">
              <w:rPr>
                <w:webHidden/>
              </w:rPr>
              <w:t>10</w:t>
            </w:r>
            <w:r w:rsidR="00D15CAA">
              <w:rPr>
                <w:webHidden/>
              </w:rPr>
              <w:fldChar w:fldCharType="end"/>
            </w:r>
          </w:hyperlink>
        </w:p>
        <w:p w14:paraId="02627DC3" w14:textId="453447F0" w:rsidR="00D15CAA" w:rsidRDefault="00CB112A">
          <w:pPr>
            <w:pStyle w:val="TOC3"/>
            <w:rPr>
              <w:rFonts w:eastAsiaTheme="minorEastAsia" w:cstheme="minorBidi"/>
              <w:lang w:eastAsia="en-AU"/>
            </w:rPr>
          </w:pPr>
          <w:hyperlink w:anchor="_Toc121406865" w:history="1">
            <w:r w:rsidR="00D15CAA" w:rsidRPr="00A76B61">
              <w:rPr>
                <w:rStyle w:val="Hyperlink"/>
              </w:rPr>
              <w:t>Key stakeholder groups</w:t>
            </w:r>
            <w:r w:rsidR="00D15CAA">
              <w:rPr>
                <w:webHidden/>
              </w:rPr>
              <w:tab/>
            </w:r>
            <w:r w:rsidR="00D15CAA">
              <w:rPr>
                <w:webHidden/>
              </w:rPr>
              <w:fldChar w:fldCharType="begin"/>
            </w:r>
            <w:r w:rsidR="00D15CAA">
              <w:rPr>
                <w:webHidden/>
              </w:rPr>
              <w:instrText xml:space="preserve"> PAGEREF _Toc121406865 \h </w:instrText>
            </w:r>
            <w:r w:rsidR="00D15CAA">
              <w:rPr>
                <w:webHidden/>
              </w:rPr>
            </w:r>
            <w:r w:rsidR="00D15CAA">
              <w:rPr>
                <w:webHidden/>
              </w:rPr>
              <w:fldChar w:fldCharType="separate"/>
            </w:r>
            <w:r w:rsidR="00D15CAA">
              <w:rPr>
                <w:webHidden/>
              </w:rPr>
              <w:t>12</w:t>
            </w:r>
            <w:r w:rsidR="00D15CAA">
              <w:rPr>
                <w:webHidden/>
              </w:rPr>
              <w:fldChar w:fldCharType="end"/>
            </w:r>
          </w:hyperlink>
        </w:p>
        <w:p w14:paraId="177F6042" w14:textId="66EF4214" w:rsidR="00D15CAA" w:rsidRDefault="00CB112A">
          <w:pPr>
            <w:pStyle w:val="TOC1"/>
            <w:rPr>
              <w:rFonts w:eastAsiaTheme="minorEastAsia"/>
              <w:b w:val="0"/>
              <w:color w:val="auto"/>
              <w:lang w:eastAsia="en-AU"/>
            </w:rPr>
          </w:pPr>
          <w:hyperlink w:anchor="_Toc121406866" w:history="1">
            <w:r w:rsidR="00D15CAA" w:rsidRPr="00A76B61">
              <w:rPr>
                <w:rStyle w:val="Hyperlink"/>
              </w:rPr>
              <w:t>Why is Government action needed?</w:t>
            </w:r>
            <w:r w:rsidR="00D15CAA">
              <w:rPr>
                <w:webHidden/>
              </w:rPr>
              <w:tab/>
            </w:r>
            <w:r w:rsidR="00D15CAA">
              <w:rPr>
                <w:webHidden/>
              </w:rPr>
              <w:fldChar w:fldCharType="begin"/>
            </w:r>
            <w:r w:rsidR="00D15CAA">
              <w:rPr>
                <w:webHidden/>
              </w:rPr>
              <w:instrText xml:space="preserve"> PAGEREF _Toc121406866 \h </w:instrText>
            </w:r>
            <w:r w:rsidR="00D15CAA">
              <w:rPr>
                <w:webHidden/>
              </w:rPr>
            </w:r>
            <w:r w:rsidR="00D15CAA">
              <w:rPr>
                <w:webHidden/>
              </w:rPr>
              <w:fldChar w:fldCharType="separate"/>
            </w:r>
            <w:r w:rsidR="00D15CAA">
              <w:rPr>
                <w:webHidden/>
              </w:rPr>
              <w:t>14</w:t>
            </w:r>
            <w:r w:rsidR="00D15CAA">
              <w:rPr>
                <w:webHidden/>
              </w:rPr>
              <w:fldChar w:fldCharType="end"/>
            </w:r>
          </w:hyperlink>
        </w:p>
        <w:p w14:paraId="0C9C8339" w14:textId="0B47EEBD" w:rsidR="00D15CAA" w:rsidRDefault="00CB112A">
          <w:pPr>
            <w:pStyle w:val="TOC3"/>
            <w:rPr>
              <w:rFonts w:eastAsiaTheme="minorEastAsia" w:cstheme="minorBidi"/>
              <w:lang w:eastAsia="en-AU"/>
            </w:rPr>
          </w:pPr>
          <w:hyperlink w:anchor="_Toc121406867" w:history="1">
            <w:r w:rsidR="00D15CAA" w:rsidRPr="00A76B61">
              <w:rPr>
                <w:rStyle w:val="Hyperlink"/>
              </w:rPr>
              <w:t>Global energy market disruptions are leading to large price increases for households and businesses</w:t>
            </w:r>
            <w:r w:rsidR="00D15CAA">
              <w:rPr>
                <w:webHidden/>
              </w:rPr>
              <w:tab/>
            </w:r>
            <w:r w:rsidR="00D15CAA">
              <w:rPr>
                <w:webHidden/>
              </w:rPr>
              <w:fldChar w:fldCharType="begin"/>
            </w:r>
            <w:r w:rsidR="00D15CAA">
              <w:rPr>
                <w:webHidden/>
              </w:rPr>
              <w:instrText xml:space="preserve"> PAGEREF _Toc121406867 \h </w:instrText>
            </w:r>
            <w:r w:rsidR="00D15CAA">
              <w:rPr>
                <w:webHidden/>
              </w:rPr>
            </w:r>
            <w:r w:rsidR="00D15CAA">
              <w:rPr>
                <w:webHidden/>
              </w:rPr>
              <w:fldChar w:fldCharType="separate"/>
            </w:r>
            <w:r w:rsidR="00D15CAA">
              <w:rPr>
                <w:webHidden/>
              </w:rPr>
              <w:t>14</w:t>
            </w:r>
            <w:r w:rsidR="00D15CAA">
              <w:rPr>
                <w:webHidden/>
              </w:rPr>
              <w:fldChar w:fldCharType="end"/>
            </w:r>
          </w:hyperlink>
        </w:p>
        <w:p w14:paraId="6B62D182" w14:textId="4D8251D7" w:rsidR="00D15CAA" w:rsidRDefault="00CB112A">
          <w:pPr>
            <w:pStyle w:val="TOC3"/>
            <w:rPr>
              <w:rFonts w:eastAsiaTheme="minorEastAsia" w:cstheme="minorBidi"/>
              <w:lang w:eastAsia="en-AU"/>
            </w:rPr>
          </w:pPr>
          <w:hyperlink w:anchor="_Toc121406868" w:history="1">
            <w:r w:rsidR="00D15CAA" w:rsidRPr="00A76B61">
              <w:rPr>
                <w:rStyle w:val="Hyperlink"/>
              </w:rPr>
              <w:t>Government capacity to intervene</w:t>
            </w:r>
            <w:r w:rsidR="00D15CAA">
              <w:rPr>
                <w:webHidden/>
              </w:rPr>
              <w:tab/>
            </w:r>
            <w:r w:rsidR="00D15CAA">
              <w:rPr>
                <w:webHidden/>
              </w:rPr>
              <w:fldChar w:fldCharType="begin"/>
            </w:r>
            <w:r w:rsidR="00D15CAA">
              <w:rPr>
                <w:webHidden/>
              </w:rPr>
              <w:instrText xml:space="preserve"> PAGEREF _Toc121406868 \h </w:instrText>
            </w:r>
            <w:r w:rsidR="00D15CAA">
              <w:rPr>
                <w:webHidden/>
              </w:rPr>
            </w:r>
            <w:r w:rsidR="00D15CAA">
              <w:rPr>
                <w:webHidden/>
              </w:rPr>
              <w:fldChar w:fldCharType="separate"/>
            </w:r>
            <w:r w:rsidR="00D15CAA">
              <w:rPr>
                <w:webHidden/>
              </w:rPr>
              <w:t>14</w:t>
            </w:r>
            <w:r w:rsidR="00D15CAA">
              <w:rPr>
                <w:webHidden/>
              </w:rPr>
              <w:fldChar w:fldCharType="end"/>
            </w:r>
          </w:hyperlink>
        </w:p>
        <w:p w14:paraId="490C6415" w14:textId="4D1AC729" w:rsidR="00D15CAA" w:rsidRDefault="00CB112A">
          <w:pPr>
            <w:pStyle w:val="TOC3"/>
            <w:rPr>
              <w:rFonts w:eastAsiaTheme="minorEastAsia" w:cstheme="minorBidi"/>
              <w:lang w:eastAsia="en-AU"/>
            </w:rPr>
          </w:pPr>
          <w:hyperlink w:anchor="_Toc121406869" w:history="1">
            <w:r w:rsidR="00D15CAA" w:rsidRPr="00A76B61">
              <w:rPr>
                <w:rStyle w:val="Hyperlink"/>
              </w:rPr>
              <w:t>Alternatives to Government action</w:t>
            </w:r>
            <w:r w:rsidR="00D15CAA">
              <w:rPr>
                <w:webHidden/>
              </w:rPr>
              <w:tab/>
            </w:r>
            <w:r w:rsidR="00D15CAA">
              <w:rPr>
                <w:webHidden/>
              </w:rPr>
              <w:fldChar w:fldCharType="begin"/>
            </w:r>
            <w:r w:rsidR="00D15CAA">
              <w:rPr>
                <w:webHidden/>
              </w:rPr>
              <w:instrText xml:space="preserve"> PAGEREF _Toc121406869 \h </w:instrText>
            </w:r>
            <w:r w:rsidR="00D15CAA">
              <w:rPr>
                <w:webHidden/>
              </w:rPr>
            </w:r>
            <w:r w:rsidR="00D15CAA">
              <w:rPr>
                <w:webHidden/>
              </w:rPr>
              <w:fldChar w:fldCharType="separate"/>
            </w:r>
            <w:r w:rsidR="00D15CAA">
              <w:rPr>
                <w:webHidden/>
              </w:rPr>
              <w:t>15</w:t>
            </w:r>
            <w:r w:rsidR="00D15CAA">
              <w:rPr>
                <w:webHidden/>
              </w:rPr>
              <w:fldChar w:fldCharType="end"/>
            </w:r>
          </w:hyperlink>
        </w:p>
        <w:p w14:paraId="7B685D35" w14:textId="6B5A372E" w:rsidR="00D15CAA" w:rsidRDefault="00CB112A">
          <w:pPr>
            <w:pStyle w:val="TOC3"/>
            <w:rPr>
              <w:rFonts w:eastAsiaTheme="minorEastAsia" w:cstheme="minorBidi"/>
              <w:lang w:eastAsia="en-AU"/>
            </w:rPr>
          </w:pPr>
          <w:hyperlink w:anchor="_Toc121406870" w:history="1">
            <w:r w:rsidR="00D15CAA" w:rsidRPr="00A76B61">
              <w:rPr>
                <w:rStyle w:val="Hyperlink"/>
              </w:rPr>
              <w:t>Objectives of Government action</w:t>
            </w:r>
            <w:r w:rsidR="00D15CAA">
              <w:rPr>
                <w:webHidden/>
              </w:rPr>
              <w:tab/>
            </w:r>
            <w:r w:rsidR="00D15CAA">
              <w:rPr>
                <w:webHidden/>
              </w:rPr>
              <w:fldChar w:fldCharType="begin"/>
            </w:r>
            <w:r w:rsidR="00D15CAA">
              <w:rPr>
                <w:webHidden/>
              </w:rPr>
              <w:instrText xml:space="preserve"> PAGEREF _Toc121406870 \h </w:instrText>
            </w:r>
            <w:r w:rsidR="00D15CAA">
              <w:rPr>
                <w:webHidden/>
              </w:rPr>
            </w:r>
            <w:r w:rsidR="00D15CAA">
              <w:rPr>
                <w:webHidden/>
              </w:rPr>
              <w:fldChar w:fldCharType="separate"/>
            </w:r>
            <w:r w:rsidR="00D15CAA">
              <w:rPr>
                <w:webHidden/>
              </w:rPr>
              <w:t>16</w:t>
            </w:r>
            <w:r w:rsidR="00D15CAA">
              <w:rPr>
                <w:webHidden/>
              </w:rPr>
              <w:fldChar w:fldCharType="end"/>
            </w:r>
          </w:hyperlink>
        </w:p>
        <w:p w14:paraId="6DCCA373" w14:textId="750BA21B" w:rsidR="00D15CAA" w:rsidRDefault="00CB112A">
          <w:pPr>
            <w:pStyle w:val="TOC3"/>
            <w:rPr>
              <w:rFonts w:eastAsiaTheme="minorEastAsia" w:cstheme="minorBidi"/>
              <w:lang w:eastAsia="en-AU"/>
            </w:rPr>
          </w:pPr>
          <w:hyperlink w:anchor="_Toc121406871" w:history="1">
            <w:r w:rsidR="00D15CAA" w:rsidRPr="00A76B61">
              <w:rPr>
                <w:rStyle w:val="Hyperlink"/>
              </w:rPr>
              <w:t>Consideration of risks</w:t>
            </w:r>
            <w:r w:rsidR="00D15CAA">
              <w:rPr>
                <w:webHidden/>
              </w:rPr>
              <w:tab/>
            </w:r>
            <w:r w:rsidR="00D15CAA">
              <w:rPr>
                <w:webHidden/>
              </w:rPr>
              <w:fldChar w:fldCharType="begin"/>
            </w:r>
            <w:r w:rsidR="00D15CAA">
              <w:rPr>
                <w:webHidden/>
              </w:rPr>
              <w:instrText xml:space="preserve"> PAGEREF _Toc121406871 \h </w:instrText>
            </w:r>
            <w:r w:rsidR="00D15CAA">
              <w:rPr>
                <w:webHidden/>
              </w:rPr>
            </w:r>
            <w:r w:rsidR="00D15CAA">
              <w:rPr>
                <w:webHidden/>
              </w:rPr>
              <w:fldChar w:fldCharType="separate"/>
            </w:r>
            <w:r w:rsidR="00D15CAA">
              <w:rPr>
                <w:webHidden/>
              </w:rPr>
              <w:t>18</w:t>
            </w:r>
            <w:r w:rsidR="00D15CAA">
              <w:rPr>
                <w:webHidden/>
              </w:rPr>
              <w:fldChar w:fldCharType="end"/>
            </w:r>
          </w:hyperlink>
        </w:p>
        <w:p w14:paraId="5EA773E1" w14:textId="3DA95B9D" w:rsidR="00D15CAA" w:rsidRDefault="00CB112A">
          <w:pPr>
            <w:pStyle w:val="TOC1"/>
            <w:rPr>
              <w:rFonts w:eastAsiaTheme="minorEastAsia"/>
              <w:b w:val="0"/>
              <w:color w:val="auto"/>
              <w:lang w:eastAsia="en-AU"/>
            </w:rPr>
          </w:pPr>
          <w:hyperlink w:anchor="_Toc121406872" w:history="1">
            <w:r w:rsidR="00D15CAA" w:rsidRPr="00A76B61">
              <w:rPr>
                <w:rStyle w:val="Hyperlink"/>
              </w:rPr>
              <w:t>What policy options are you considering?</w:t>
            </w:r>
            <w:r w:rsidR="00D15CAA">
              <w:rPr>
                <w:webHidden/>
              </w:rPr>
              <w:tab/>
            </w:r>
            <w:r w:rsidR="00D15CAA">
              <w:rPr>
                <w:webHidden/>
              </w:rPr>
              <w:fldChar w:fldCharType="begin"/>
            </w:r>
            <w:r w:rsidR="00D15CAA">
              <w:rPr>
                <w:webHidden/>
              </w:rPr>
              <w:instrText xml:space="preserve"> PAGEREF _Toc121406872 \h </w:instrText>
            </w:r>
            <w:r w:rsidR="00D15CAA">
              <w:rPr>
                <w:webHidden/>
              </w:rPr>
            </w:r>
            <w:r w:rsidR="00D15CAA">
              <w:rPr>
                <w:webHidden/>
              </w:rPr>
              <w:fldChar w:fldCharType="separate"/>
            </w:r>
            <w:r w:rsidR="00D15CAA">
              <w:rPr>
                <w:webHidden/>
              </w:rPr>
              <w:t>19</w:t>
            </w:r>
            <w:r w:rsidR="00D15CAA">
              <w:rPr>
                <w:webHidden/>
              </w:rPr>
              <w:fldChar w:fldCharType="end"/>
            </w:r>
          </w:hyperlink>
        </w:p>
        <w:p w14:paraId="59155761" w14:textId="1BE81D92" w:rsidR="00D15CAA" w:rsidRDefault="00CB112A">
          <w:pPr>
            <w:pStyle w:val="TOC3"/>
            <w:rPr>
              <w:rFonts w:eastAsiaTheme="minorEastAsia" w:cstheme="minorBidi"/>
              <w:lang w:eastAsia="en-AU"/>
            </w:rPr>
          </w:pPr>
          <w:hyperlink w:anchor="_Toc121406873" w:history="1">
            <w:r w:rsidR="00D15CAA" w:rsidRPr="00A76B61">
              <w:rPr>
                <w:rStyle w:val="Hyperlink"/>
              </w:rPr>
              <w:t>Status quo (Option A0)</w:t>
            </w:r>
            <w:r w:rsidR="00D15CAA">
              <w:rPr>
                <w:webHidden/>
              </w:rPr>
              <w:tab/>
            </w:r>
            <w:r w:rsidR="00D15CAA">
              <w:rPr>
                <w:webHidden/>
              </w:rPr>
              <w:fldChar w:fldCharType="begin"/>
            </w:r>
            <w:r w:rsidR="00D15CAA">
              <w:rPr>
                <w:webHidden/>
              </w:rPr>
              <w:instrText xml:space="preserve"> PAGEREF _Toc121406873 \h </w:instrText>
            </w:r>
            <w:r w:rsidR="00D15CAA">
              <w:rPr>
                <w:webHidden/>
              </w:rPr>
            </w:r>
            <w:r w:rsidR="00D15CAA">
              <w:rPr>
                <w:webHidden/>
              </w:rPr>
              <w:fldChar w:fldCharType="separate"/>
            </w:r>
            <w:r w:rsidR="00D15CAA">
              <w:rPr>
                <w:webHidden/>
              </w:rPr>
              <w:t>20</w:t>
            </w:r>
            <w:r w:rsidR="00D15CAA">
              <w:rPr>
                <w:webHidden/>
              </w:rPr>
              <w:fldChar w:fldCharType="end"/>
            </w:r>
          </w:hyperlink>
        </w:p>
        <w:p w14:paraId="22C5F982" w14:textId="606EC716" w:rsidR="00D15CAA" w:rsidRDefault="00CB112A">
          <w:pPr>
            <w:pStyle w:val="TOC3"/>
            <w:rPr>
              <w:rFonts w:eastAsiaTheme="minorEastAsia" w:cstheme="minorBidi"/>
              <w:lang w:eastAsia="en-AU"/>
            </w:rPr>
          </w:pPr>
          <w:hyperlink w:anchor="_Toc121406874" w:history="1">
            <w:r w:rsidR="00D15CAA" w:rsidRPr="00A76B61">
              <w:rPr>
                <w:rStyle w:val="Hyperlink"/>
              </w:rPr>
              <w:t>Regulatory reforms that seek to reduce the price of gas</w:t>
            </w:r>
            <w:r w:rsidR="00D15CAA">
              <w:rPr>
                <w:webHidden/>
              </w:rPr>
              <w:tab/>
            </w:r>
            <w:r w:rsidR="00D15CAA">
              <w:rPr>
                <w:webHidden/>
              </w:rPr>
              <w:fldChar w:fldCharType="begin"/>
            </w:r>
            <w:r w:rsidR="00D15CAA">
              <w:rPr>
                <w:webHidden/>
              </w:rPr>
              <w:instrText xml:space="preserve"> PAGEREF _Toc121406874 \h </w:instrText>
            </w:r>
            <w:r w:rsidR="00D15CAA">
              <w:rPr>
                <w:webHidden/>
              </w:rPr>
            </w:r>
            <w:r w:rsidR="00D15CAA">
              <w:rPr>
                <w:webHidden/>
              </w:rPr>
              <w:fldChar w:fldCharType="separate"/>
            </w:r>
            <w:r w:rsidR="00D15CAA">
              <w:rPr>
                <w:webHidden/>
              </w:rPr>
              <w:t>20</w:t>
            </w:r>
            <w:r w:rsidR="00D15CAA">
              <w:rPr>
                <w:webHidden/>
              </w:rPr>
              <w:fldChar w:fldCharType="end"/>
            </w:r>
          </w:hyperlink>
        </w:p>
        <w:p w14:paraId="2001BED4" w14:textId="220C60E6" w:rsidR="00D15CAA" w:rsidRDefault="00CB112A">
          <w:pPr>
            <w:pStyle w:val="TOC1"/>
            <w:rPr>
              <w:rFonts w:eastAsiaTheme="minorEastAsia"/>
              <w:b w:val="0"/>
              <w:color w:val="auto"/>
              <w:lang w:eastAsia="en-AU"/>
            </w:rPr>
          </w:pPr>
          <w:hyperlink w:anchor="_Toc121406875" w:history="1">
            <w:r w:rsidR="00D15CAA" w:rsidRPr="00A76B61">
              <w:rPr>
                <w:rStyle w:val="Hyperlink"/>
              </w:rPr>
              <w:t>What is the likely net benefit of each option?</w:t>
            </w:r>
            <w:r w:rsidR="00D15CAA">
              <w:rPr>
                <w:webHidden/>
              </w:rPr>
              <w:tab/>
            </w:r>
            <w:r w:rsidR="00D15CAA">
              <w:rPr>
                <w:webHidden/>
              </w:rPr>
              <w:fldChar w:fldCharType="begin"/>
            </w:r>
            <w:r w:rsidR="00D15CAA">
              <w:rPr>
                <w:webHidden/>
              </w:rPr>
              <w:instrText xml:space="preserve"> PAGEREF _Toc121406875 \h </w:instrText>
            </w:r>
            <w:r w:rsidR="00D15CAA">
              <w:rPr>
                <w:webHidden/>
              </w:rPr>
            </w:r>
            <w:r w:rsidR="00D15CAA">
              <w:rPr>
                <w:webHidden/>
              </w:rPr>
              <w:fldChar w:fldCharType="separate"/>
            </w:r>
            <w:r w:rsidR="00D15CAA">
              <w:rPr>
                <w:webHidden/>
              </w:rPr>
              <w:t>23</w:t>
            </w:r>
            <w:r w:rsidR="00D15CAA">
              <w:rPr>
                <w:webHidden/>
              </w:rPr>
              <w:fldChar w:fldCharType="end"/>
            </w:r>
          </w:hyperlink>
        </w:p>
        <w:p w14:paraId="7E02933E" w14:textId="2241BF9B" w:rsidR="00D15CAA" w:rsidRDefault="00CB112A">
          <w:pPr>
            <w:pStyle w:val="TOC1"/>
            <w:rPr>
              <w:rFonts w:eastAsiaTheme="minorEastAsia"/>
              <w:b w:val="0"/>
              <w:color w:val="auto"/>
              <w:lang w:eastAsia="en-AU"/>
            </w:rPr>
          </w:pPr>
          <w:hyperlink w:anchor="_Toc121406876" w:history="1">
            <w:r w:rsidR="00D15CAA" w:rsidRPr="00A76B61">
              <w:rPr>
                <w:rStyle w:val="Hyperlink"/>
              </w:rPr>
              <w:t>Consultation</w:t>
            </w:r>
            <w:r w:rsidR="00D15CAA">
              <w:rPr>
                <w:webHidden/>
              </w:rPr>
              <w:tab/>
            </w:r>
            <w:r w:rsidR="00D15CAA">
              <w:rPr>
                <w:webHidden/>
              </w:rPr>
              <w:fldChar w:fldCharType="begin"/>
            </w:r>
            <w:r w:rsidR="00D15CAA">
              <w:rPr>
                <w:webHidden/>
              </w:rPr>
              <w:instrText xml:space="preserve"> PAGEREF _Toc121406876 \h </w:instrText>
            </w:r>
            <w:r w:rsidR="00D15CAA">
              <w:rPr>
                <w:webHidden/>
              </w:rPr>
            </w:r>
            <w:r w:rsidR="00D15CAA">
              <w:rPr>
                <w:webHidden/>
              </w:rPr>
              <w:fldChar w:fldCharType="separate"/>
            </w:r>
            <w:r w:rsidR="00D15CAA">
              <w:rPr>
                <w:webHidden/>
              </w:rPr>
              <w:t>34</w:t>
            </w:r>
            <w:r w:rsidR="00D15CAA">
              <w:rPr>
                <w:webHidden/>
              </w:rPr>
              <w:fldChar w:fldCharType="end"/>
            </w:r>
          </w:hyperlink>
        </w:p>
        <w:p w14:paraId="43D7B59F" w14:textId="0CC7FD28" w:rsidR="00D15CAA" w:rsidRDefault="00CB112A">
          <w:pPr>
            <w:pStyle w:val="TOC1"/>
            <w:rPr>
              <w:rFonts w:eastAsiaTheme="minorEastAsia"/>
              <w:b w:val="0"/>
              <w:color w:val="auto"/>
              <w:lang w:eastAsia="en-AU"/>
            </w:rPr>
          </w:pPr>
          <w:hyperlink w:anchor="_Toc121406877" w:history="1">
            <w:r w:rsidR="00D15CAA" w:rsidRPr="00A76B61">
              <w:rPr>
                <w:rStyle w:val="Hyperlink"/>
              </w:rPr>
              <w:t>Option selection</w:t>
            </w:r>
            <w:r w:rsidR="00D15CAA">
              <w:rPr>
                <w:webHidden/>
              </w:rPr>
              <w:tab/>
            </w:r>
            <w:r w:rsidR="00D15CAA">
              <w:rPr>
                <w:webHidden/>
              </w:rPr>
              <w:fldChar w:fldCharType="begin"/>
            </w:r>
            <w:r w:rsidR="00D15CAA">
              <w:rPr>
                <w:webHidden/>
              </w:rPr>
              <w:instrText xml:space="preserve"> PAGEREF _Toc121406877 \h </w:instrText>
            </w:r>
            <w:r w:rsidR="00D15CAA">
              <w:rPr>
                <w:webHidden/>
              </w:rPr>
            </w:r>
            <w:r w:rsidR="00D15CAA">
              <w:rPr>
                <w:webHidden/>
              </w:rPr>
              <w:fldChar w:fldCharType="separate"/>
            </w:r>
            <w:r w:rsidR="00D15CAA">
              <w:rPr>
                <w:webHidden/>
              </w:rPr>
              <w:t>36</w:t>
            </w:r>
            <w:r w:rsidR="00D15CAA">
              <w:rPr>
                <w:webHidden/>
              </w:rPr>
              <w:fldChar w:fldCharType="end"/>
            </w:r>
          </w:hyperlink>
        </w:p>
        <w:p w14:paraId="455F7798" w14:textId="59522827" w:rsidR="00D15CAA" w:rsidRDefault="00CB112A">
          <w:pPr>
            <w:pStyle w:val="TOC1"/>
            <w:rPr>
              <w:rFonts w:eastAsiaTheme="minorEastAsia"/>
              <w:b w:val="0"/>
              <w:color w:val="auto"/>
              <w:lang w:eastAsia="en-AU"/>
            </w:rPr>
          </w:pPr>
          <w:hyperlink w:anchor="_Toc121406878" w:history="1">
            <w:r w:rsidR="00D15CAA" w:rsidRPr="00A76B61">
              <w:rPr>
                <w:rStyle w:val="Hyperlink"/>
              </w:rPr>
              <w:t>How will you implement and evaluate your chosen option?</w:t>
            </w:r>
            <w:r w:rsidR="00D15CAA">
              <w:rPr>
                <w:webHidden/>
              </w:rPr>
              <w:tab/>
            </w:r>
            <w:r w:rsidR="00D15CAA">
              <w:rPr>
                <w:webHidden/>
              </w:rPr>
              <w:fldChar w:fldCharType="begin"/>
            </w:r>
            <w:r w:rsidR="00D15CAA">
              <w:rPr>
                <w:webHidden/>
              </w:rPr>
              <w:instrText xml:space="preserve"> PAGEREF _Toc121406878 \h </w:instrText>
            </w:r>
            <w:r w:rsidR="00D15CAA">
              <w:rPr>
                <w:webHidden/>
              </w:rPr>
            </w:r>
            <w:r w:rsidR="00D15CAA">
              <w:rPr>
                <w:webHidden/>
              </w:rPr>
              <w:fldChar w:fldCharType="separate"/>
            </w:r>
            <w:r w:rsidR="00D15CAA">
              <w:rPr>
                <w:webHidden/>
              </w:rPr>
              <w:t>38</w:t>
            </w:r>
            <w:r w:rsidR="00D15CAA">
              <w:rPr>
                <w:webHidden/>
              </w:rPr>
              <w:fldChar w:fldCharType="end"/>
            </w:r>
          </w:hyperlink>
        </w:p>
        <w:p w14:paraId="7A7BCC18" w14:textId="2D904837" w:rsidR="00D15CAA" w:rsidRDefault="00CB112A">
          <w:pPr>
            <w:pStyle w:val="TOC1"/>
            <w:rPr>
              <w:rFonts w:eastAsiaTheme="minorEastAsia"/>
              <w:b w:val="0"/>
              <w:color w:val="auto"/>
              <w:lang w:eastAsia="en-AU"/>
            </w:rPr>
          </w:pPr>
          <w:hyperlink w:anchor="_Toc121406879" w:history="1">
            <w:r w:rsidR="00D15CAA" w:rsidRPr="00A76B61">
              <w:rPr>
                <w:rStyle w:val="Hyperlink"/>
              </w:rPr>
              <w:t>Appendix A: Further Background on the NEM and ADGSM</w:t>
            </w:r>
            <w:r w:rsidR="00D15CAA">
              <w:rPr>
                <w:webHidden/>
              </w:rPr>
              <w:tab/>
            </w:r>
            <w:r w:rsidR="00D15CAA">
              <w:rPr>
                <w:webHidden/>
              </w:rPr>
              <w:fldChar w:fldCharType="begin"/>
            </w:r>
            <w:r w:rsidR="00D15CAA">
              <w:rPr>
                <w:webHidden/>
              </w:rPr>
              <w:instrText xml:space="preserve"> PAGEREF _Toc121406879 \h </w:instrText>
            </w:r>
            <w:r w:rsidR="00D15CAA">
              <w:rPr>
                <w:webHidden/>
              </w:rPr>
            </w:r>
            <w:r w:rsidR="00D15CAA">
              <w:rPr>
                <w:webHidden/>
              </w:rPr>
              <w:fldChar w:fldCharType="separate"/>
            </w:r>
            <w:r w:rsidR="00D15CAA">
              <w:rPr>
                <w:webHidden/>
              </w:rPr>
              <w:t>43</w:t>
            </w:r>
            <w:r w:rsidR="00D15CAA">
              <w:rPr>
                <w:webHidden/>
              </w:rPr>
              <w:fldChar w:fldCharType="end"/>
            </w:r>
          </w:hyperlink>
        </w:p>
        <w:p w14:paraId="7A51B8AA" w14:textId="14DBA219" w:rsidR="00D15CAA" w:rsidRDefault="00CB112A">
          <w:pPr>
            <w:pStyle w:val="TOC1"/>
            <w:rPr>
              <w:rFonts w:eastAsiaTheme="minorEastAsia"/>
              <w:b w:val="0"/>
              <w:color w:val="auto"/>
              <w:lang w:eastAsia="en-AU"/>
            </w:rPr>
          </w:pPr>
          <w:hyperlink w:anchor="_Toc121406880" w:history="1">
            <w:r w:rsidR="00D15CAA" w:rsidRPr="00A76B61">
              <w:rPr>
                <w:rStyle w:val="Hyperlink"/>
              </w:rPr>
              <w:t>Appendix B: Regulatory Burden Costings</w:t>
            </w:r>
            <w:r w:rsidR="00D15CAA">
              <w:rPr>
                <w:webHidden/>
              </w:rPr>
              <w:tab/>
            </w:r>
            <w:r w:rsidR="00D15CAA">
              <w:rPr>
                <w:webHidden/>
              </w:rPr>
              <w:fldChar w:fldCharType="begin"/>
            </w:r>
            <w:r w:rsidR="00D15CAA">
              <w:rPr>
                <w:webHidden/>
              </w:rPr>
              <w:instrText xml:space="preserve"> PAGEREF _Toc121406880 \h </w:instrText>
            </w:r>
            <w:r w:rsidR="00D15CAA">
              <w:rPr>
                <w:webHidden/>
              </w:rPr>
            </w:r>
            <w:r w:rsidR="00D15CAA">
              <w:rPr>
                <w:webHidden/>
              </w:rPr>
              <w:fldChar w:fldCharType="separate"/>
            </w:r>
            <w:r w:rsidR="00D15CAA">
              <w:rPr>
                <w:webHidden/>
              </w:rPr>
              <w:t>47</w:t>
            </w:r>
            <w:r w:rsidR="00D15CAA">
              <w:rPr>
                <w:webHidden/>
              </w:rPr>
              <w:fldChar w:fldCharType="end"/>
            </w:r>
          </w:hyperlink>
        </w:p>
        <w:p w14:paraId="440FD4A0" w14:textId="2C264D04" w:rsidR="00E551D2" w:rsidRDefault="00E551D2">
          <w:r>
            <w:rPr>
              <w:b/>
              <w:bCs/>
              <w:noProof/>
            </w:rPr>
            <w:fldChar w:fldCharType="end"/>
          </w:r>
        </w:p>
      </w:sdtContent>
    </w:sdt>
    <w:p w14:paraId="2E5CC72E" w14:textId="77777777" w:rsidR="00D94EE3" w:rsidRPr="00D94EE3" w:rsidRDefault="00D94EE3" w:rsidP="00D94EE3"/>
    <w:p w14:paraId="38520D5F" w14:textId="77777777" w:rsidR="00D94EE3" w:rsidRPr="00D94EE3" w:rsidRDefault="00D94EE3" w:rsidP="00D94EE3">
      <w:pPr>
        <w:sectPr w:rsidR="00D94EE3" w:rsidRPr="00D94EE3" w:rsidSect="000029ED">
          <w:footerReference w:type="first" r:id="rId18"/>
          <w:pgSz w:w="11906" w:h="16838"/>
          <w:pgMar w:top="1418" w:right="1418" w:bottom="1418" w:left="1418" w:header="709" w:footer="709" w:gutter="0"/>
          <w:pgNumType w:fmt="lowerRoman"/>
          <w:cols w:space="708"/>
          <w:titlePg/>
          <w:docGrid w:linePitch="360"/>
        </w:sectPr>
      </w:pPr>
    </w:p>
    <w:p w14:paraId="2D303E9B" w14:textId="2BFABE28" w:rsidR="002226D3" w:rsidRDefault="002226D3" w:rsidP="002226D3">
      <w:pPr>
        <w:pStyle w:val="Heading1"/>
      </w:pPr>
      <w:bookmarkStart w:id="1" w:name="_Toc121406857"/>
      <w:r>
        <w:lastRenderedPageBreak/>
        <w:t>Glossary</w:t>
      </w:r>
      <w:bookmarkEnd w:id="1"/>
    </w:p>
    <w:p w14:paraId="2EDE835F" w14:textId="06D15DCE" w:rsidR="002226D3" w:rsidRDefault="002226D3" w:rsidP="002226D3">
      <w:r>
        <w:rPr>
          <w:b/>
          <w:bCs/>
        </w:rPr>
        <w:t xml:space="preserve">ACCC: </w:t>
      </w:r>
      <w:r>
        <w:t>The Australian Competition and Consumer Commission</w:t>
      </w:r>
      <w:r w:rsidR="008D4CD3">
        <w:t>.</w:t>
      </w:r>
      <w:r>
        <w:t xml:space="preserve"> </w:t>
      </w:r>
    </w:p>
    <w:p w14:paraId="2E086510" w14:textId="4E6F600E" w:rsidR="008D4CD3" w:rsidRPr="007D1A42" w:rsidRDefault="008D4CD3" w:rsidP="002226D3">
      <w:r>
        <w:rPr>
          <w:b/>
          <w:bCs/>
        </w:rPr>
        <w:t xml:space="preserve">ADGSM: </w:t>
      </w:r>
      <w:r>
        <w:t xml:space="preserve">The Australian Domestic Gas Security Mechanism. </w:t>
      </w:r>
    </w:p>
    <w:p w14:paraId="63FCDCDE" w14:textId="639C93BE" w:rsidR="00792B3A" w:rsidRPr="00792B3A" w:rsidRDefault="00792B3A" w:rsidP="002226D3">
      <w:r>
        <w:rPr>
          <w:b/>
          <w:bCs/>
        </w:rPr>
        <w:t xml:space="preserve">AEMO: </w:t>
      </w:r>
      <w:r>
        <w:t xml:space="preserve">The Australian Energy Market Operator. </w:t>
      </w:r>
    </w:p>
    <w:p w14:paraId="76F14A87" w14:textId="2777A087" w:rsidR="00AA45F6" w:rsidRPr="00C25EB1" w:rsidRDefault="00AA45F6" w:rsidP="002226D3">
      <w:r>
        <w:rPr>
          <w:b/>
          <w:bCs/>
        </w:rPr>
        <w:t xml:space="preserve">AER: </w:t>
      </w:r>
      <w:r>
        <w:t>The Australian Energy Regulator.</w:t>
      </w:r>
    </w:p>
    <w:p w14:paraId="335632A3" w14:textId="4E180741" w:rsidR="00AC49AC" w:rsidRDefault="00AC49AC" w:rsidP="002226D3">
      <w:pPr>
        <w:rPr>
          <w:i/>
          <w:iCs/>
        </w:rPr>
      </w:pPr>
      <w:r>
        <w:rPr>
          <w:b/>
          <w:bCs/>
        </w:rPr>
        <w:t>Competition and Consumer Act (CCA):</w:t>
      </w:r>
      <w:r>
        <w:t xml:space="preserve"> </w:t>
      </w:r>
      <w:r>
        <w:rPr>
          <w:i/>
          <w:iCs/>
        </w:rPr>
        <w:t>Competition and Consumer Act 2010</w:t>
      </w:r>
      <w:r w:rsidR="00505546">
        <w:rPr>
          <w:i/>
          <w:iCs/>
        </w:rPr>
        <w:t>.</w:t>
      </w:r>
    </w:p>
    <w:p w14:paraId="0ADB2F58" w14:textId="136654DE" w:rsidR="00EA49ED" w:rsidRPr="00EA49ED" w:rsidRDefault="00EA49ED" w:rsidP="002226D3">
      <w:r>
        <w:rPr>
          <w:b/>
          <w:bCs/>
        </w:rPr>
        <w:t>Consumer Price Index (CPI)</w:t>
      </w:r>
      <w:r>
        <w:t xml:space="preserve">: </w:t>
      </w:r>
      <w:r w:rsidRPr="00EA49ED">
        <w:t>CPI is a measure of the average change over time in the prices paid by households for a fixed basket of goods and services.</w:t>
      </w:r>
    </w:p>
    <w:p w14:paraId="1FC6FBBD" w14:textId="4AC0F26E" w:rsidR="00972B64" w:rsidRPr="00384A8C" w:rsidRDefault="00972B64" w:rsidP="002226D3">
      <w:r w:rsidRPr="007A64D0">
        <w:rPr>
          <w:b/>
        </w:rPr>
        <w:t>Default market offer (DMO):</w:t>
      </w:r>
      <w:r>
        <w:t xml:space="preserve"> </w:t>
      </w:r>
      <w:r w:rsidRPr="00972B64">
        <w:t>DMO is a maximum price that retailers can charge electricity customers on default contracts known as standing offer contracts</w:t>
      </w:r>
      <w:r w:rsidR="00BC1409">
        <w:t xml:space="preserve"> in Southeast Queensland, NSW and Tasmania</w:t>
      </w:r>
      <w:r w:rsidRPr="00972B64">
        <w:t xml:space="preserve">. The </w:t>
      </w:r>
      <w:r>
        <w:t>AER</w:t>
      </w:r>
      <w:r w:rsidRPr="00972B64">
        <w:t xml:space="preserve"> determine</w:t>
      </w:r>
      <w:r>
        <w:t>s</w:t>
      </w:r>
      <w:r w:rsidRPr="00972B64">
        <w:t xml:space="preserve"> the DMO price each year.</w:t>
      </w:r>
    </w:p>
    <w:p w14:paraId="29629CCB" w14:textId="3214FD79" w:rsidR="002226D3" w:rsidRDefault="002226D3" w:rsidP="002226D3">
      <w:r>
        <w:rPr>
          <w:b/>
          <w:bCs/>
        </w:rPr>
        <w:t xml:space="preserve">East coast gas market: </w:t>
      </w:r>
      <w:r>
        <w:t>The interconnected gas market covering Queensland, South Australia, New South Wales, the Australian Capital Territory, Victoria</w:t>
      </w:r>
      <w:r w:rsidR="000B6C46">
        <w:t xml:space="preserve">, </w:t>
      </w:r>
      <w:r>
        <w:t>Tasmania</w:t>
      </w:r>
      <w:r w:rsidR="000B6C46">
        <w:t xml:space="preserve"> and the Northern Territory. </w:t>
      </w:r>
      <w:r w:rsidR="000B6C46" w:rsidRPr="00827912">
        <w:t>Note that the Northern Territory is physically connected to the east coast transmission network via the Northern Gas Pipeline, but that pipeline is currently not operating.</w:t>
      </w:r>
    </w:p>
    <w:p w14:paraId="32A29E08" w14:textId="35C033C8" w:rsidR="00D01B59" w:rsidRPr="004B4DAF" w:rsidRDefault="000C1FE5" w:rsidP="002226D3">
      <w:r>
        <w:rPr>
          <w:b/>
          <w:bCs/>
        </w:rPr>
        <w:t xml:space="preserve">Gentailer: </w:t>
      </w:r>
      <w:r w:rsidR="004B4DAF">
        <w:t>Vertically integrated energy market participants operating as both generator and retailer.</w:t>
      </w:r>
    </w:p>
    <w:p w14:paraId="010C20F9" w14:textId="0010302A" w:rsidR="00D01B59" w:rsidRPr="0066201B" w:rsidRDefault="00D01B59" w:rsidP="002226D3">
      <w:r>
        <w:rPr>
          <w:b/>
          <w:bCs/>
        </w:rPr>
        <w:t>GFG:</w:t>
      </w:r>
      <w:r>
        <w:t xml:space="preserve"> Gas fired generation</w:t>
      </w:r>
      <w:r w:rsidR="00D214FC">
        <w:t>.</w:t>
      </w:r>
    </w:p>
    <w:p w14:paraId="2831FBE8" w14:textId="0B182C2F" w:rsidR="00275741" w:rsidRDefault="00275741" w:rsidP="002226D3">
      <w:r>
        <w:rPr>
          <w:b/>
          <w:bCs/>
        </w:rPr>
        <w:t xml:space="preserve">GJ: </w:t>
      </w:r>
      <w:r>
        <w:t>Gigajoules.</w:t>
      </w:r>
    </w:p>
    <w:p w14:paraId="4725E3F3" w14:textId="03EA8ACD" w:rsidR="002226D3" w:rsidRDefault="002226D3" w:rsidP="002226D3">
      <w:r>
        <w:rPr>
          <w:b/>
          <w:bCs/>
        </w:rPr>
        <w:t>Heads of Agreement</w:t>
      </w:r>
      <w:r w:rsidR="00BC4164">
        <w:rPr>
          <w:b/>
          <w:bCs/>
        </w:rPr>
        <w:t xml:space="preserve"> (HoA)</w:t>
      </w:r>
      <w:r>
        <w:rPr>
          <w:b/>
          <w:bCs/>
        </w:rPr>
        <w:t xml:space="preserve">: </w:t>
      </w:r>
      <w:r>
        <w:t xml:space="preserve">A voluntary agreement between Australia’s East Coast LNG exporters and the Australian Government which gives Australian </w:t>
      </w:r>
      <w:r w:rsidR="00D214FC">
        <w:t xml:space="preserve">domestic </w:t>
      </w:r>
      <w:r>
        <w:t xml:space="preserve">gas buyers first right of refusal on uncontracted gas. </w:t>
      </w:r>
    </w:p>
    <w:p w14:paraId="13A6B0B4" w14:textId="211958A9" w:rsidR="002226D3" w:rsidRDefault="002226D3" w:rsidP="002226D3">
      <w:r>
        <w:rPr>
          <w:b/>
          <w:bCs/>
        </w:rPr>
        <w:t>Liqu</w:t>
      </w:r>
      <w:r w:rsidR="00C33E7E">
        <w:rPr>
          <w:b/>
          <w:bCs/>
        </w:rPr>
        <w:t>e</w:t>
      </w:r>
      <w:r>
        <w:rPr>
          <w:b/>
          <w:bCs/>
        </w:rPr>
        <w:t xml:space="preserve">fied natural gas (LNG): </w:t>
      </w:r>
      <w:r>
        <w:t xml:space="preserve">Natural gas that has been converted to liquid form for ease of storage or transport. </w:t>
      </w:r>
    </w:p>
    <w:p w14:paraId="7CD5B18B" w14:textId="7DDA603C" w:rsidR="002226D3" w:rsidRDefault="002226D3" w:rsidP="002226D3">
      <w:r>
        <w:rPr>
          <w:b/>
          <w:bCs/>
        </w:rPr>
        <w:t xml:space="preserve">LNG exporter: </w:t>
      </w:r>
      <w:r>
        <w:t xml:space="preserve">LNG exporters process and prepare natural gas, using liquefaction, into LNG for transmission and sale to overseas markets. In this </w:t>
      </w:r>
      <w:r w:rsidR="00B90170">
        <w:t>IA</w:t>
      </w:r>
      <w:r>
        <w:t xml:space="preserve">, the term is usually used in reference to one or more of the three LNG exporters in Queensland, being Australia Pacific LNG (APLNG), QGC, and Gladstone LNG (GLNG). There are also LNG exporters in the Northern Territory and in Western Australia. </w:t>
      </w:r>
    </w:p>
    <w:p w14:paraId="0C4B953F" w14:textId="2C98FFF5" w:rsidR="0003118B" w:rsidRPr="0003118B" w:rsidRDefault="0003118B" w:rsidP="002226D3">
      <w:r>
        <w:rPr>
          <w:b/>
          <w:bCs/>
        </w:rPr>
        <w:t xml:space="preserve">MWh: </w:t>
      </w:r>
      <w:r>
        <w:t>Megawatt-hour</w:t>
      </w:r>
      <w:r w:rsidR="00275741">
        <w:t>.</w:t>
      </w:r>
    </w:p>
    <w:p w14:paraId="39FAF8FC" w14:textId="17D03BA9" w:rsidR="0003118B" w:rsidRPr="0003118B" w:rsidRDefault="0003118B" w:rsidP="002226D3">
      <w:r>
        <w:rPr>
          <w:b/>
          <w:bCs/>
        </w:rPr>
        <w:t>NEM:</w:t>
      </w:r>
      <w:r>
        <w:t xml:space="preserve"> </w:t>
      </w:r>
      <w:r w:rsidR="00535D86">
        <w:t>the</w:t>
      </w:r>
      <w:r>
        <w:t xml:space="preserve"> National E</w:t>
      </w:r>
      <w:r w:rsidR="00535D86">
        <w:t>lectricity</w:t>
      </w:r>
      <w:r>
        <w:t xml:space="preserve"> Market</w:t>
      </w:r>
      <w:r w:rsidR="00275741">
        <w:t>.</w:t>
      </w:r>
    </w:p>
    <w:p w14:paraId="2D091EA1" w14:textId="77777777" w:rsidR="002226D3" w:rsidRDefault="002226D3" w:rsidP="002226D3">
      <w:r>
        <w:rPr>
          <w:b/>
          <w:bCs/>
        </w:rPr>
        <w:t xml:space="preserve">PJ: </w:t>
      </w:r>
      <w:r>
        <w:t xml:space="preserve">Petajoules. </w:t>
      </w:r>
    </w:p>
    <w:p w14:paraId="70BEB2B5" w14:textId="77777777" w:rsidR="00AC49AC" w:rsidRDefault="002226D3" w:rsidP="00A44E95">
      <w:r>
        <w:rPr>
          <w:b/>
          <w:bCs/>
        </w:rPr>
        <w:t xml:space="preserve">Spot market: </w:t>
      </w:r>
      <w:r>
        <w:t xml:space="preserve">The sale or purchase of gas using a spot market. In Australia’s facilitated markets, these are typically for a delivery on a single gas day shortly after the transaction has been finalised. </w:t>
      </w:r>
      <w:r>
        <w:lastRenderedPageBreak/>
        <w:t xml:space="preserve">Australia’s Gas Supply Hub allows for the trade of gas over longer time frames (i.e. more than one day). Spot market transactions are distinct from transactions under gas supply contracts. </w:t>
      </w:r>
    </w:p>
    <w:p w14:paraId="06AECCD1" w14:textId="797B6F2C" w:rsidR="007542D9" w:rsidRPr="00D708A0" w:rsidRDefault="007542D9" w:rsidP="00A44E95">
      <w:pPr>
        <w:rPr>
          <w:b/>
          <w:bCs/>
        </w:rPr>
      </w:pPr>
      <w:r w:rsidRPr="00D708A0">
        <w:rPr>
          <w:b/>
          <w:bCs/>
        </w:rPr>
        <w:t xml:space="preserve">Total Market Security Obligation (TMSO): </w:t>
      </w:r>
      <w:r>
        <w:t>A</w:t>
      </w:r>
      <w:r w:rsidRPr="00D708A0">
        <w:t xml:space="preserve"> mechanism under the ADGSM which determines which LNG producers will supply gas to the domestic market</w:t>
      </w:r>
      <w:r>
        <w:t>.</w:t>
      </w:r>
    </w:p>
    <w:p w14:paraId="182CCEE3" w14:textId="77777777" w:rsidR="00AC49AC" w:rsidRPr="00384A8C" w:rsidRDefault="00AC49AC" w:rsidP="00AC49AC">
      <w:r>
        <w:rPr>
          <w:b/>
          <w:bCs/>
        </w:rPr>
        <w:t xml:space="preserve">Voluntary Code of Conduct: </w:t>
      </w:r>
      <w:r>
        <w:t xml:space="preserve">The voluntary Code of Conduct for the Negotiation and Development of Gas Supply Agreements between Gas Suppliers and Gas Customers in Australia is an annexure in the Heads of Agreement and governs the behaviour and conduct of gas suppliers and customers in their negotiations of supply agreements. </w:t>
      </w:r>
    </w:p>
    <w:p w14:paraId="1E9B6B98" w14:textId="36979869" w:rsidR="007A2813" w:rsidRDefault="007A2813" w:rsidP="00A44E95">
      <w:pPr>
        <w:rPr>
          <w:rFonts w:ascii="Calibri" w:hAnsi="Calibri" w:cs="Arial"/>
          <w:b/>
          <w:color w:val="5D779D" w:themeColor="accent3"/>
          <w:kern w:val="32"/>
          <w:sz w:val="44"/>
          <w:szCs w:val="36"/>
        </w:rPr>
      </w:pPr>
      <w:r>
        <w:br w:type="page"/>
      </w:r>
    </w:p>
    <w:p w14:paraId="3ED7D14D" w14:textId="5D54F081" w:rsidR="000029ED" w:rsidRDefault="000029ED" w:rsidP="00EA5697">
      <w:pPr>
        <w:pStyle w:val="Heading1"/>
      </w:pPr>
      <w:bookmarkStart w:id="2" w:name="_Toc121406858"/>
      <w:r>
        <w:lastRenderedPageBreak/>
        <w:t>Executive Summary</w:t>
      </w:r>
      <w:bookmarkEnd w:id="2"/>
    </w:p>
    <w:p w14:paraId="313D4321" w14:textId="4110D7C3" w:rsidR="00273081" w:rsidRDefault="00273081" w:rsidP="00BE59B2">
      <w:r>
        <w:t>Rising energy prices caused by a</w:t>
      </w:r>
      <w:r w:rsidR="003F5F27">
        <w:t xml:space="preserve"> confluence of global and domestic disruptions </w:t>
      </w:r>
      <w:r w:rsidR="00436BF3">
        <w:t xml:space="preserve">are intensifying cost-of-living pressures for many </w:t>
      </w:r>
      <w:r w:rsidR="003373DF">
        <w:t xml:space="preserve">Australian </w:t>
      </w:r>
      <w:r w:rsidR="005B2BD0">
        <w:t xml:space="preserve">households and </w:t>
      </w:r>
      <w:r w:rsidR="00127CEE">
        <w:t>businesses</w:t>
      </w:r>
      <w:r w:rsidR="003B011B">
        <w:t xml:space="preserve"> and are contributing to high levels of inflation and related macroeconomic pressures</w:t>
      </w:r>
      <w:r w:rsidR="005B2BD0" w:rsidDel="00690053">
        <w:t>.</w:t>
      </w:r>
      <w:r w:rsidR="005B2BD0">
        <w:t xml:space="preserve"> </w:t>
      </w:r>
    </w:p>
    <w:p w14:paraId="70143F1B" w14:textId="5AFC64DC" w:rsidR="007818B3" w:rsidRDefault="004B2E40" w:rsidP="00E65018">
      <w:r>
        <w:t xml:space="preserve">Globally, </w:t>
      </w:r>
      <w:r w:rsidR="001C1677" w:rsidRPr="001C1677">
        <w:rPr>
          <w:rFonts w:eastAsia="Times New Roman"/>
        </w:rPr>
        <w:t xml:space="preserve">Russia’s invasion of Ukraine and </w:t>
      </w:r>
      <w:r w:rsidR="005069F4" w:rsidRPr="001C1677">
        <w:rPr>
          <w:rFonts w:eastAsia="Times New Roman"/>
        </w:rPr>
        <w:t xml:space="preserve">the </w:t>
      </w:r>
      <w:r w:rsidR="001C1677" w:rsidRPr="001C1677">
        <w:rPr>
          <w:rFonts w:eastAsia="Times New Roman"/>
        </w:rPr>
        <w:t xml:space="preserve">resulting </w:t>
      </w:r>
      <w:r w:rsidR="005069F4" w:rsidRPr="001C1677">
        <w:rPr>
          <w:rFonts w:eastAsia="Times New Roman"/>
        </w:rPr>
        <w:t xml:space="preserve">restructuring of global energy trade </w:t>
      </w:r>
      <w:r w:rsidR="00F94E23" w:rsidRPr="001C1677">
        <w:rPr>
          <w:rFonts w:eastAsia="Times New Roman"/>
        </w:rPr>
        <w:t xml:space="preserve">is </w:t>
      </w:r>
      <w:r w:rsidR="001C1677" w:rsidRPr="001C1677">
        <w:rPr>
          <w:rFonts w:eastAsia="Times New Roman"/>
        </w:rPr>
        <w:t>disrupting</w:t>
      </w:r>
      <w:r w:rsidRPr="001C1677">
        <w:rPr>
          <w:rFonts w:eastAsia="Times New Roman"/>
        </w:rPr>
        <w:t xml:space="preserve"> </w:t>
      </w:r>
      <w:r>
        <w:t xml:space="preserve">supply </w:t>
      </w:r>
      <w:r w:rsidR="005069F4">
        <w:t xml:space="preserve">in </w:t>
      </w:r>
      <w:r w:rsidR="007A5855">
        <w:t xml:space="preserve">global energy markets </w:t>
      </w:r>
      <w:r w:rsidR="005069F4">
        <w:t>and</w:t>
      </w:r>
      <w:r w:rsidR="00F94E23">
        <w:t xml:space="preserve"> </w:t>
      </w:r>
      <w:r w:rsidR="003F5F27">
        <w:t xml:space="preserve">contributing to significant spikes in </w:t>
      </w:r>
      <w:r w:rsidR="00F94E23">
        <w:t xml:space="preserve">international </w:t>
      </w:r>
      <w:r w:rsidR="003F5F27">
        <w:t>energy prices</w:t>
      </w:r>
      <w:r w:rsidR="007A5855">
        <w:t xml:space="preserve">. </w:t>
      </w:r>
      <w:r w:rsidR="00BE59B2">
        <w:t xml:space="preserve">Domestically, </w:t>
      </w:r>
      <w:r w:rsidR="009161F0">
        <w:t xml:space="preserve">weather </w:t>
      </w:r>
      <w:r w:rsidR="000A33FC">
        <w:t>conditions</w:t>
      </w:r>
      <w:r w:rsidR="009161F0">
        <w:t xml:space="preserve">, supply chain disruptions, and </w:t>
      </w:r>
      <w:r w:rsidR="00B17174">
        <w:t xml:space="preserve">planned </w:t>
      </w:r>
      <w:r w:rsidR="007366F2">
        <w:t xml:space="preserve">and unplanned </w:t>
      </w:r>
      <w:r w:rsidR="00B17174">
        <w:t>outages at coal power stations</w:t>
      </w:r>
      <w:r w:rsidR="001931B1">
        <w:t xml:space="preserve"> </w:t>
      </w:r>
      <w:r w:rsidR="00B17F01">
        <w:t>have</w:t>
      </w:r>
      <w:r w:rsidR="003B011B">
        <w:t xml:space="preserve"> increase</w:t>
      </w:r>
      <w:r w:rsidR="00B17F01">
        <w:t>d</w:t>
      </w:r>
      <w:r w:rsidR="003B011B">
        <w:t xml:space="preserve"> </w:t>
      </w:r>
      <w:r w:rsidR="00BE59B2">
        <w:t>reliance on gas</w:t>
      </w:r>
      <w:r w:rsidR="00F94E23">
        <w:t xml:space="preserve">-powered </w:t>
      </w:r>
      <w:r w:rsidR="00BE59B2">
        <w:t>generation</w:t>
      </w:r>
      <w:r w:rsidR="00F94E23">
        <w:t>, reducing wholesale market competition and increasing exposure to international prices.</w:t>
      </w:r>
      <w:r w:rsidR="005240CF">
        <w:t xml:space="preserve"> </w:t>
      </w:r>
    </w:p>
    <w:p w14:paraId="2CF52FD3" w14:textId="5916F669" w:rsidR="006738EC" w:rsidRDefault="001931B1" w:rsidP="00E65018">
      <w:r>
        <w:t xml:space="preserve">Combined, these factors </w:t>
      </w:r>
      <w:r w:rsidR="00FB45E2">
        <w:t xml:space="preserve">have </w:t>
      </w:r>
      <w:r w:rsidR="00E53AAD">
        <w:t xml:space="preserve">been </w:t>
      </w:r>
      <w:r w:rsidR="00FB45E2">
        <w:t>push</w:t>
      </w:r>
      <w:r w:rsidR="00E53AAD">
        <w:t>ing</w:t>
      </w:r>
      <w:r w:rsidR="00FB45E2">
        <w:t xml:space="preserve"> up </w:t>
      </w:r>
      <w:r w:rsidR="004E00FD">
        <w:t>d</w:t>
      </w:r>
      <w:r w:rsidR="005B2BD0">
        <w:t xml:space="preserve">omestic </w:t>
      </w:r>
      <w:r w:rsidR="00C71416">
        <w:t xml:space="preserve">wholesale </w:t>
      </w:r>
      <w:r w:rsidR="005B2BD0">
        <w:t>electricity and gas prices since early 2022</w:t>
      </w:r>
      <w:r w:rsidR="00FB45E2">
        <w:t xml:space="preserve">. </w:t>
      </w:r>
      <w:r w:rsidR="00577442">
        <w:t>In the October Budget, r</w:t>
      </w:r>
      <w:r w:rsidR="00FB45E2">
        <w:t xml:space="preserve">etail electricity prices </w:t>
      </w:r>
      <w:r w:rsidR="00577442">
        <w:t>we</w:t>
      </w:r>
      <w:r w:rsidR="00FB45E2">
        <w:t>re expected to increase by an average of 20 per cent nationally in late 2022, and a further 30 per cent in 2023-</w:t>
      </w:r>
      <w:r w:rsidR="00FB45E2" w:rsidRPr="00DC1783">
        <w:t xml:space="preserve">24. </w:t>
      </w:r>
      <w:r w:rsidR="003B011B">
        <w:t>Based on the latest</w:t>
      </w:r>
      <w:r w:rsidR="00D72B0F">
        <w:t xml:space="preserve"> </w:t>
      </w:r>
      <w:r w:rsidR="003B011B">
        <w:t>available information and updated advice from the Department of Climate Change, Energy, the Environment and Water (DCCEEW) and the Australian Energy Regulator (AER), Treasury’s latest estimates indicate</w:t>
      </w:r>
      <w:r w:rsidR="0077493E" w:rsidRPr="00DC1783">
        <w:t xml:space="preserve"> that </w:t>
      </w:r>
      <w:r w:rsidR="00150B33">
        <w:t>without</w:t>
      </w:r>
      <w:r w:rsidR="0077493E" w:rsidRPr="00DC1783">
        <w:t xml:space="preserve"> intervention, national </w:t>
      </w:r>
      <w:r w:rsidR="003B011B">
        <w:t xml:space="preserve">retail </w:t>
      </w:r>
      <w:r w:rsidR="0077493E" w:rsidRPr="00DC1783">
        <w:t xml:space="preserve">electricity prices in 2023-24 are expected to rise by 36 per cent. </w:t>
      </w:r>
      <w:r w:rsidR="00FB45E2" w:rsidRPr="00DC1783">
        <w:t>Higher electricity costs will have b</w:t>
      </w:r>
      <w:r w:rsidR="00FB45E2">
        <w:t xml:space="preserve">oth a direct and indirect impact on inflation, increasing </w:t>
      </w:r>
      <w:r w:rsidR="00CF538C">
        <w:t>the prices of goods and services</w:t>
      </w:r>
      <w:r w:rsidR="00FB45E2">
        <w:t xml:space="preserve"> across the CPI basket. </w:t>
      </w:r>
      <w:r w:rsidR="00CF538C">
        <w:t xml:space="preserve">Retail gas prices </w:t>
      </w:r>
      <w:r w:rsidR="00BE5367">
        <w:t>we</w:t>
      </w:r>
      <w:r w:rsidR="00CF538C">
        <w:t xml:space="preserve">re also expected to increase by an average of 20 per cent nationally in </w:t>
      </w:r>
      <w:r w:rsidR="000A174C">
        <w:t>2022-23</w:t>
      </w:r>
      <w:r w:rsidR="00CF538C">
        <w:t>, and a further 20 per cent in 2023-24</w:t>
      </w:r>
      <w:r w:rsidR="003B011B">
        <w:t>, particularly in the National Electricity Market (NEM) and east coast gas market.</w:t>
      </w:r>
    </w:p>
    <w:p w14:paraId="30023596" w14:textId="0EADF67E" w:rsidR="00386788" w:rsidRDefault="00717509" w:rsidP="00E65018">
      <w:r>
        <w:t>T</w:t>
      </w:r>
      <w:r w:rsidR="005B2BD0">
        <w:t>hese</w:t>
      </w:r>
      <w:r w:rsidR="00584105">
        <w:t xml:space="preserve"> cost</w:t>
      </w:r>
      <w:r w:rsidR="005B2BD0">
        <w:t xml:space="preserve"> pressures are yet to fully flow through to consumer</w:t>
      </w:r>
      <w:r w:rsidR="00584105">
        <w:t>s</w:t>
      </w:r>
      <w:r w:rsidR="005B2BD0">
        <w:t xml:space="preserve"> </w:t>
      </w:r>
      <w:r w:rsidR="00200F61">
        <w:t>as</w:t>
      </w:r>
      <w:r w:rsidR="003373DF">
        <w:t xml:space="preserve"> </w:t>
      </w:r>
      <w:r w:rsidR="005B2BD0">
        <w:t xml:space="preserve">electricity </w:t>
      </w:r>
      <w:r w:rsidR="002B0DB1">
        <w:t xml:space="preserve">and gas </w:t>
      </w:r>
      <w:r w:rsidR="005B2BD0">
        <w:t xml:space="preserve">retailers </w:t>
      </w:r>
      <w:r w:rsidR="0047072E">
        <w:t>are hedged against these impacts</w:t>
      </w:r>
      <w:r w:rsidR="005B2BD0">
        <w:t xml:space="preserve">, </w:t>
      </w:r>
      <w:r w:rsidR="0047072E">
        <w:t>providing</w:t>
      </w:r>
      <w:r w:rsidR="005B2BD0">
        <w:t xml:space="preserve"> a buffer </w:t>
      </w:r>
      <w:r w:rsidR="00792B3A">
        <w:t>through</w:t>
      </w:r>
      <w:r w:rsidR="005B2BD0">
        <w:t xml:space="preserve"> the recent market disruption. However, </w:t>
      </w:r>
      <w:r w:rsidR="0047072E">
        <w:t>such increases</w:t>
      </w:r>
      <w:r w:rsidR="005B2BD0">
        <w:t xml:space="preserve"> </w:t>
      </w:r>
      <w:r w:rsidR="00792B3A">
        <w:t>are</w:t>
      </w:r>
      <w:r w:rsidR="005B2BD0">
        <w:t xml:space="preserve"> expected to </w:t>
      </w:r>
      <w:r w:rsidR="00334D2A">
        <w:t>p</w:t>
      </w:r>
      <w:r w:rsidR="004776A5">
        <w:t>ass</w:t>
      </w:r>
      <w:r w:rsidR="005B2BD0">
        <w:t xml:space="preserve"> through to higher consumer prices </w:t>
      </w:r>
      <w:r w:rsidR="0047072E">
        <w:t>once</w:t>
      </w:r>
      <w:r w:rsidR="005B2BD0">
        <w:t xml:space="preserve"> wholesale contracts are renewed. </w:t>
      </w:r>
    </w:p>
    <w:p w14:paraId="49EFC648" w14:textId="618F65AD" w:rsidR="00B71245" w:rsidRDefault="0047361C" w:rsidP="0047361C">
      <w:bookmarkStart w:id="3" w:name="_Hlk120365311"/>
      <w:r>
        <w:t xml:space="preserve">The Government is seeking </w:t>
      </w:r>
      <w:r w:rsidR="00F03FE1">
        <w:t xml:space="preserve">to </w:t>
      </w:r>
      <w:r w:rsidR="00AD0E39">
        <w:t xml:space="preserve">limit the expected increases in energy prices </w:t>
      </w:r>
      <w:r w:rsidR="009B0674">
        <w:t>and their impact</w:t>
      </w:r>
      <w:r w:rsidR="00AD0E39">
        <w:t>s</w:t>
      </w:r>
      <w:r w:rsidR="009B0674">
        <w:t xml:space="preserve"> on households, businesses and the economy. It is anticipated that while </w:t>
      </w:r>
      <w:r w:rsidR="0059139B">
        <w:t>high global prices</w:t>
      </w:r>
      <w:r w:rsidR="009B0674">
        <w:t xml:space="preserve"> persist, a solution that </w:t>
      </w:r>
      <w:r>
        <w:t>provide</w:t>
      </w:r>
      <w:r w:rsidR="009B0674">
        <w:t>s</w:t>
      </w:r>
      <w:r>
        <w:t xml:space="preserve"> relief to consumers and </w:t>
      </w:r>
      <w:r w:rsidR="00CF6291">
        <w:t xml:space="preserve">eases </w:t>
      </w:r>
      <w:r>
        <w:t>cost-of-living pressures</w:t>
      </w:r>
      <w:r w:rsidR="009B0674">
        <w:t xml:space="preserve"> is necessary</w:t>
      </w:r>
      <w:r>
        <w:t xml:space="preserve">. </w:t>
      </w:r>
      <w:r w:rsidRPr="003D23FD">
        <w:t xml:space="preserve">To this end, </w:t>
      </w:r>
      <w:r w:rsidR="00CA6507">
        <w:t>five</w:t>
      </w:r>
      <w:r w:rsidR="007C1555" w:rsidRPr="003D23FD">
        <w:t xml:space="preserve"> </w:t>
      </w:r>
      <w:r w:rsidRPr="003D23FD">
        <w:t xml:space="preserve">options have been developed to target gas supply and price to </w:t>
      </w:r>
      <w:r w:rsidR="00AD0E39">
        <w:t>limit the expected increase in energy prices</w:t>
      </w:r>
      <w:r w:rsidR="00B71245" w:rsidRPr="00DD2BB4">
        <w:t>.</w:t>
      </w:r>
      <w:r w:rsidRPr="00DD2BB4">
        <w:t xml:space="preserve"> </w:t>
      </w:r>
    </w:p>
    <w:p w14:paraId="2E41A402" w14:textId="0FC7BE93" w:rsidR="0047361C" w:rsidRDefault="00B71245" w:rsidP="0047361C">
      <w:r>
        <w:t>The</w:t>
      </w:r>
      <w:r w:rsidR="0047361C" w:rsidDel="00B71245">
        <w:t xml:space="preserve"> </w:t>
      </w:r>
      <w:r w:rsidR="0047361C">
        <w:t xml:space="preserve">policy options, either individually or in combination, </w:t>
      </w:r>
      <w:r w:rsidR="00AD0E39">
        <w:t>are designed</w:t>
      </w:r>
      <w:r w:rsidR="00823EAA">
        <w:t xml:space="preserve"> to</w:t>
      </w:r>
      <w:r w:rsidR="0047361C">
        <w:t xml:space="preserve">: </w:t>
      </w:r>
    </w:p>
    <w:p w14:paraId="61002DAC" w14:textId="7CE6B722" w:rsidR="006764ED" w:rsidRPr="00077F89" w:rsidRDefault="006764ED" w:rsidP="00C44083">
      <w:pPr>
        <w:pStyle w:val="Bullet"/>
        <w:rPr>
          <w:b/>
        </w:rPr>
      </w:pPr>
      <w:r w:rsidRPr="00077F89">
        <w:t xml:space="preserve">put downward pressure on </w:t>
      </w:r>
      <w:r w:rsidR="00AD0E39">
        <w:t>wholesale</w:t>
      </w:r>
      <w:r w:rsidR="00AD0E39" w:rsidRPr="00077F89">
        <w:t xml:space="preserve"> </w:t>
      </w:r>
      <w:r w:rsidRPr="00077F89">
        <w:t xml:space="preserve">electricity and gas prices; </w:t>
      </w:r>
    </w:p>
    <w:p w14:paraId="260F9780" w14:textId="3A0C9A39" w:rsidR="0066201B" w:rsidRPr="00077F89" w:rsidRDefault="00AD0E39" w:rsidP="00C44083">
      <w:pPr>
        <w:pStyle w:val="Bullet"/>
        <w:rPr>
          <w:b/>
        </w:rPr>
      </w:pPr>
      <w:r>
        <w:t>put downward pressure on</w:t>
      </w:r>
      <w:r w:rsidRPr="00077F89">
        <w:t xml:space="preserve"> </w:t>
      </w:r>
      <w:r w:rsidR="0066201B" w:rsidRPr="00077F89">
        <w:t xml:space="preserve">consumer energy bills; and </w:t>
      </w:r>
    </w:p>
    <w:p w14:paraId="53D991F7" w14:textId="1CBDD881" w:rsidR="00937EA7" w:rsidRPr="00077F89" w:rsidRDefault="00937EA7" w:rsidP="00C44083">
      <w:pPr>
        <w:pStyle w:val="Bullet"/>
        <w:rPr>
          <w:b/>
        </w:rPr>
      </w:pPr>
      <w:r w:rsidRPr="00077F89">
        <w:t>enhance transparency and processes that support competitive pricing for electricity and gas consumers</w:t>
      </w:r>
      <w:r w:rsidR="0066201B" w:rsidRPr="00077F89">
        <w:t>.</w:t>
      </w:r>
    </w:p>
    <w:p w14:paraId="6973011A" w14:textId="69908CE5" w:rsidR="0098606A" w:rsidRDefault="0047361C" w:rsidP="0021372D">
      <w:pPr>
        <w:pStyle w:val="BodyText"/>
        <w:spacing w:before="240"/>
      </w:pPr>
      <w:r>
        <w:t xml:space="preserve">In addition to this, </w:t>
      </w:r>
      <w:r w:rsidR="00AD0E39">
        <w:t xml:space="preserve">in assessing </w:t>
      </w:r>
      <w:r>
        <w:t>the policy options</w:t>
      </w:r>
      <w:r w:rsidR="00152210">
        <w:t xml:space="preserve"> </w:t>
      </w:r>
      <w:r w:rsidR="00AD0E39">
        <w:t>outlined in this Impact Analysis</w:t>
      </w:r>
      <w:r w:rsidR="000F4FBE">
        <w:t>, the Government</w:t>
      </w:r>
      <w:r w:rsidR="00AD0E39">
        <w:t xml:space="preserve"> ha</w:t>
      </w:r>
      <w:r w:rsidR="000F4FBE">
        <w:t>s</w:t>
      </w:r>
      <w:r w:rsidR="00AD0E39">
        <w:t xml:space="preserve"> </w:t>
      </w:r>
      <w:r w:rsidR="00C649FA">
        <w:t>looked to</w:t>
      </w:r>
      <w:r w:rsidR="006F6813">
        <w:t>:</w:t>
      </w:r>
    </w:p>
    <w:p w14:paraId="0272DFFD" w14:textId="2D0B66F3" w:rsidR="006764ED" w:rsidRPr="00077F89" w:rsidRDefault="006764ED" w:rsidP="00C44083">
      <w:pPr>
        <w:pStyle w:val="Bullet"/>
        <w:rPr>
          <w:b/>
        </w:rPr>
      </w:pPr>
      <w:r w:rsidRPr="00077F89">
        <w:t>minimis</w:t>
      </w:r>
      <w:r w:rsidR="00F33937" w:rsidRPr="00077F89">
        <w:t>e</w:t>
      </w:r>
      <w:r w:rsidR="00097EA6">
        <w:t xml:space="preserve"> any</w:t>
      </w:r>
      <w:r w:rsidR="00F33937" w:rsidRPr="00077F89">
        <w:t xml:space="preserve"> </w:t>
      </w:r>
      <w:r w:rsidRPr="00077F89">
        <w:t xml:space="preserve">unintended consequences </w:t>
      </w:r>
      <w:r w:rsidR="00150AD3" w:rsidRPr="00077F89">
        <w:t>i</w:t>
      </w:r>
      <w:r w:rsidR="0047361C" w:rsidRPr="00077F89">
        <w:t>n</w:t>
      </w:r>
      <w:r w:rsidRPr="00077F89">
        <w:t xml:space="preserve"> </w:t>
      </w:r>
      <w:r w:rsidR="003A6318" w:rsidRPr="00077F89">
        <w:t xml:space="preserve">the </w:t>
      </w:r>
      <w:r w:rsidRPr="00077F89">
        <w:t xml:space="preserve">national energy market; </w:t>
      </w:r>
    </w:p>
    <w:p w14:paraId="1CA12ED4" w14:textId="031D44BD" w:rsidR="002C6EF1" w:rsidRPr="00077F89" w:rsidRDefault="00CF3B95" w:rsidP="00C44083">
      <w:pPr>
        <w:pStyle w:val="Bullet"/>
        <w:rPr>
          <w:b/>
        </w:rPr>
      </w:pPr>
      <w:r>
        <w:t>maintain incentives for</w:t>
      </w:r>
      <w:r w:rsidR="002C6EF1" w:rsidRPr="00077F89">
        <w:t xml:space="preserve"> investment;</w:t>
      </w:r>
    </w:p>
    <w:p w14:paraId="0C07A842" w14:textId="14E2C754" w:rsidR="006764ED" w:rsidRPr="00077F89" w:rsidRDefault="006764ED" w:rsidP="00C44083">
      <w:pPr>
        <w:pStyle w:val="Bullet"/>
        <w:rPr>
          <w:b/>
        </w:rPr>
      </w:pPr>
      <w:r w:rsidRPr="00077F89">
        <w:lastRenderedPageBreak/>
        <w:t>ensur</w:t>
      </w:r>
      <w:r w:rsidR="00F33937" w:rsidRPr="00077F89">
        <w:t>e</w:t>
      </w:r>
      <w:r w:rsidRPr="00077F89">
        <w:t xml:space="preserve"> sufficient</w:t>
      </w:r>
      <w:r w:rsidR="00205F21">
        <w:t>, reliable, and affordable</w:t>
      </w:r>
      <w:r w:rsidRPr="00077F89">
        <w:t xml:space="preserve"> domestic electricity and gas supply; </w:t>
      </w:r>
    </w:p>
    <w:p w14:paraId="1CCE9A10" w14:textId="7ECA6D1C" w:rsidR="006764ED" w:rsidRPr="00077F89" w:rsidRDefault="006F688F" w:rsidP="00C44083">
      <w:pPr>
        <w:pStyle w:val="Bullet"/>
        <w:rPr>
          <w:b/>
        </w:rPr>
      </w:pPr>
      <w:r w:rsidRPr="00077F89">
        <w:t>minimise impacts on international trading partners and investment</w:t>
      </w:r>
      <w:r w:rsidR="006764ED" w:rsidRPr="00077F89">
        <w:t xml:space="preserve">; </w:t>
      </w:r>
    </w:p>
    <w:p w14:paraId="3CF9171E" w14:textId="09C2A037" w:rsidR="006764ED" w:rsidRPr="00077F89" w:rsidRDefault="00B55C43" w:rsidP="00C44083">
      <w:pPr>
        <w:pStyle w:val="Bullet"/>
        <w:rPr>
          <w:b/>
        </w:rPr>
      </w:pPr>
      <w:r w:rsidRPr="00077F89">
        <w:t xml:space="preserve">be </w:t>
      </w:r>
      <w:r w:rsidR="000A0123">
        <w:t>timely</w:t>
      </w:r>
      <w:r w:rsidR="000A0123" w:rsidRPr="00077F89">
        <w:t xml:space="preserve"> </w:t>
      </w:r>
      <w:r w:rsidRPr="00077F89">
        <w:t>and amendable after review</w:t>
      </w:r>
      <w:r w:rsidR="0021569D" w:rsidRPr="00077F89">
        <w:t>;</w:t>
      </w:r>
      <w:r w:rsidR="00784067" w:rsidRPr="00077F89">
        <w:t xml:space="preserve"> </w:t>
      </w:r>
      <w:r w:rsidR="006764ED" w:rsidRPr="00077F89">
        <w:t xml:space="preserve">and </w:t>
      </w:r>
    </w:p>
    <w:p w14:paraId="3AF8B726" w14:textId="6E643A49" w:rsidR="006764ED" w:rsidRPr="00077F89" w:rsidRDefault="006764ED" w:rsidP="00C44083">
      <w:pPr>
        <w:pStyle w:val="Bullet"/>
        <w:rPr>
          <w:b/>
        </w:rPr>
      </w:pPr>
      <w:r w:rsidRPr="00077F89">
        <w:t>minimis</w:t>
      </w:r>
      <w:r w:rsidR="00493337" w:rsidRPr="00077F89">
        <w:t>e</w:t>
      </w:r>
      <w:r w:rsidRPr="00077F89">
        <w:t xml:space="preserve"> implementation costs and complexity for government and industry.</w:t>
      </w:r>
    </w:p>
    <w:p w14:paraId="4970CB04" w14:textId="0F6E4755" w:rsidR="00AA2A7A" w:rsidRDefault="0047361C" w:rsidP="0047361C">
      <w:pPr>
        <w:spacing w:line="276" w:lineRule="auto"/>
      </w:pPr>
      <w:r>
        <w:t xml:space="preserve">These core objectives </w:t>
      </w:r>
      <w:r w:rsidR="00E4235F">
        <w:t>and principles</w:t>
      </w:r>
      <w:r>
        <w:t xml:space="preserve"> are aimed at targeting </w:t>
      </w:r>
      <w:r w:rsidR="009B0674">
        <w:t>short</w:t>
      </w:r>
      <w:r>
        <w:t xml:space="preserve">-term </w:t>
      </w:r>
      <w:r w:rsidR="009B0674">
        <w:t>energy price increases</w:t>
      </w:r>
      <w:r>
        <w:t xml:space="preserve"> to provide relief to consumers, while also supporting the transition towards renewables and less carbon intensive energy streams. The objectives are</w:t>
      </w:r>
      <w:r w:rsidR="00A2307E">
        <w:t xml:space="preserve"> </w:t>
      </w:r>
      <w:r w:rsidR="009B0674">
        <w:t>applied</w:t>
      </w:r>
      <w:r>
        <w:t xml:space="preserve"> throughout this </w:t>
      </w:r>
      <w:r w:rsidR="005D0A26">
        <w:t>I</w:t>
      </w:r>
      <w:r>
        <w:t xml:space="preserve">mpact </w:t>
      </w:r>
      <w:r w:rsidR="005D0A26">
        <w:t>A</w:t>
      </w:r>
      <w:r>
        <w:t xml:space="preserve">nalysis to assess the options considered by Government, and to </w:t>
      </w:r>
      <w:r w:rsidR="009B0674">
        <w:t>determine</w:t>
      </w:r>
      <w:r>
        <w:t xml:space="preserve"> the </w:t>
      </w:r>
      <w:r w:rsidR="009B0674">
        <w:t>best option</w:t>
      </w:r>
      <w:r>
        <w:t xml:space="preserve"> to address rising energy prices</w:t>
      </w:r>
      <w:r w:rsidR="009B0674">
        <w:t>.</w:t>
      </w:r>
    </w:p>
    <w:p w14:paraId="7F242EA3" w14:textId="36C8D245" w:rsidR="00AA2A7A" w:rsidRDefault="00AA2A7A" w:rsidP="0047361C">
      <w:pPr>
        <w:spacing w:line="276" w:lineRule="auto"/>
      </w:pPr>
      <w:r>
        <w:t xml:space="preserve">The </w:t>
      </w:r>
      <w:r w:rsidR="00767D9D">
        <w:t xml:space="preserve">five </w:t>
      </w:r>
      <w:r>
        <w:t>developed policy options are:</w:t>
      </w:r>
    </w:p>
    <w:p w14:paraId="52A7CD58" w14:textId="6D126E08" w:rsidR="00AA2A7A" w:rsidRDefault="00AA2A7A" w:rsidP="00AA2A7A">
      <w:pPr>
        <w:pStyle w:val="Bullet"/>
      </w:pPr>
      <w:r>
        <w:t xml:space="preserve">A1 </w:t>
      </w:r>
      <w:r w:rsidRPr="003F7F8F">
        <w:t xml:space="preserve">– </w:t>
      </w:r>
      <w:r>
        <w:t xml:space="preserve">Legislate a new framework for the making of energy market codes within the </w:t>
      </w:r>
      <w:r w:rsidR="00594284">
        <w:rPr>
          <w:i/>
          <w:iCs/>
        </w:rPr>
        <w:t>Competition and Consumer Act 2010</w:t>
      </w:r>
      <w:r>
        <w:t xml:space="preserve"> </w:t>
      </w:r>
      <w:r w:rsidR="00594284">
        <w:t>(</w:t>
      </w:r>
      <w:r w:rsidRPr="007F441D">
        <w:t>CCA</w:t>
      </w:r>
      <w:r w:rsidR="00594284">
        <w:t>)</w:t>
      </w:r>
      <w:r>
        <w:t xml:space="preserve">, and prescribe a mandatory Code </w:t>
      </w:r>
      <w:r w:rsidRPr="00E63C9A">
        <w:t xml:space="preserve">of </w:t>
      </w:r>
      <w:r>
        <w:t>C</w:t>
      </w:r>
      <w:r w:rsidRPr="00E63C9A">
        <w:t xml:space="preserve">onduct </w:t>
      </w:r>
      <w:r>
        <w:t>for wholesale gas markets</w:t>
      </w:r>
    </w:p>
    <w:p w14:paraId="34612FB0" w14:textId="77777777" w:rsidR="00AA2A7A" w:rsidDel="00E26AA0" w:rsidRDefault="00AA2A7A" w:rsidP="00AA2A7A">
      <w:pPr>
        <w:pStyle w:val="Bullet"/>
      </w:pPr>
      <w:r>
        <w:t>A2 – Prescribe a m</w:t>
      </w:r>
      <w:r w:rsidRPr="00E63C9A">
        <w:t xml:space="preserve">andatory </w:t>
      </w:r>
      <w:r>
        <w:t>C</w:t>
      </w:r>
      <w:r w:rsidRPr="00E63C9A">
        <w:t xml:space="preserve">ode of </w:t>
      </w:r>
      <w:r>
        <w:t>C</w:t>
      </w:r>
      <w:r w:rsidRPr="00E63C9A">
        <w:t xml:space="preserve">onduct </w:t>
      </w:r>
      <w:r>
        <w:t xml:space="preserve">for wholesale gas markets under the existing industry codes framework (Part IVB of the </w:t>
      </w:r>
      <w:r w:rsidRPr="00945CA6">
        <w:t>CCA</w:t>
      </w:r>
      <w:r>
        <w:t xml:space="preserve">) </w:t>
      </w:r>
    </w:p>
    <w:p w14:paraId="77684AB0" w14:textId="77777777" w:rsidR="00AA2A7A" w:rsidRDefault="00AA2A7A" w:rsidP="00AA2A7A">
      <w:pPr>
        <w:pStyle w:val="Bullet"/>
      </w:pPr>
      <w:r w:rsidRPr="00945CA6">
        <w:t xml:space="preserve">A3 – </w:t>
      </w:r>
      <w:r>
        <w:t>Work with industry to strengthen the existing voluntary Code of Conduct</w:t>
      </w:r>
    </w:p>
    <w:p w14:paraId="098B5B9C" w14:textId="0E38B091" w:rsidR="00AA2A7A" w:rsidRDefault="00AA2A7A" w:rsidP="00AA2A7A">
      <w:pPr>
        <w:pStyle w:val="Bullet"/>
      </w:pPr>
      <w:r>
        <w:t>A4 – Temporary 12-month g</w:t>
      </w:r>
      <w:r w:rsidRPr="00E63C9A">
        <w:t>as price cap</w:t>
      </w:r>
    </w:p>
    <w:p w14:paraId="0331A95A" w14:textId="576835BC" w:rsidR="00AA2A7A" w:rsidRPr="0051594D" w:rsidRDefault="00AA2A7A" w:rsidP="00DC0519">
      <w:pPr>
        <w:pStyle w:val="Bullet"/>
      </w:pPr>
      <w:r>
        <w:t>A</w:t>
      </w:r>
      <w:r w:rsidR="00767D9D">
        <w:t>5</w:t>
      </w:r>
      <w:r>
        <w:t xml:space="preserve"> – Bringing forward commencement of reforms to the Australian Domestic Gas Security Mechanism (ADGSM)</w:t>
      </w:r>
    </w:p>
    <w:p w14:paraId="47825FFA" w14:textId="2CDD08B2" w:rsidR="00AA2A7A" w:rsidRPr="00DC0519" w:rsidRDefault="00AA2A7A" w:rsidP="0047361C">
      <w:pPr>
        <w:spacing w:line="276" w:lineRule="auto"/>
      </w:pPr>
      <w:r>
        <w:t>The policy options were developed through consultation within government and in targeted industry discussions.</w:t>
      </w:r>
    </w:p>
    <w:bookmarkEnd w:id="3"/>
    <w:p w14:paraId="1EB279EB" w14:textId="5326A040" w:rsidR="00D63DB6" w:rsidRDefault="003F7F8F" w:rsidP="00D63DB6">
      <w:pPr>
        <w:rPr>
          <w:bCs/>
        </w:rPr>
      </w:pPr>
      <w:r>
        <w:rPr>
          <w:bCs/>
        </w:rPr>
        <w:t>From this analysis, a</w:t>
      </w:r>
      <w:r w:rsidR="00D63DB6">
        <w:rPr>
          <w:bCs/>
        </w:rPr>
        <w:t xml:space="preserve"> combination of three responses presents the greatest benefit to Australia with regard to the objectives and principles and should progress to implementation. These options are:</w:t>
      </w:r>
    </w:p>
    <w:p w14:paraId="2E6D4CF5" w14:textId="35FB01E5" w:rsidR="009A1BC3" w:rsidRPr="003F7F8F" w:rsidRDefault="009A1BC3" w:rsidP="00C44083">
      <w:pPr>
        <w:pStyle w:val="Bullet"/>
        <w:rPr>
          <w:b/>
        </w:rPr>
      </w:pPr>
      <w:r w:rsidRPr="003F7F8F">
        <w:t>A1</w:t>
      </w:r>
      <w:r w:rsidR="00AA2A7A">
        <w:t xml:space="preserve"> </w:t>
      </w:r>
      <w:r w:rsidR="00AA2A7A" w:rsidRPr="003F7F8F">
        <w:t>– Legislate</w:t>
      </w:r>
      <w:r w:rsidRPr="003F7F8F">
        <w:t xml:space="preserve"> a new framework for the making of energy market codes within the CCA, and prescribe a </w:t>
      </w:r>
      <w:r w:rsidR="00DC1CB5" w:rsidRPr="003F7F8F">
        <w:t>m</w:t>
      </w:r>
      <w:r w:rsidRPr="003F7F8F">
        <w:t>andatory</w:t>
      </w:r>
      <w:r w:rsidR="007F441D" w:rsidRPr="003F7F8F">
        <w:t xml:space="preserve"> </w:t>
      </w:r>
      <w:r w:rsidRPr="003F7F8F">
        <w:t xml:space="preserve">Code of Conduct for wholesale gas markets </w:t>
      </w:r>
    </w:p>
    <w:p w14:paraId="3DF24C0E" w14:textId="7CA436BF" w:rsidR="00D63DB6" w:rsidRPr="003F7F8F" w:rsidRDefault="00D63DB6" w:rsidP="00C44083">
      <w:pPr>
        <w:pStyle w:val="Bullet"/>
        <w:rPr>
          <w:b/>
        </w:rPr>
      </w:pPr>
      <w:r w:rsidRPr="003F7F8F">
        <w:t>A4 – Temporary 12-month gas price cap</w:t>
      </w:r>
    </w:p>
    <w:p w14:paraId="135C87E2" w14:textId="5B623B5D" w:rsidR="00D63DB6" w:rsidRPr="003F7F8F" w:rsidRDefault="00D63DB6" w:rsidP="00C44083">
      <w:pPr>
        <w:pStyle w:val="Bullet"/>
        <w:rPr>
          <w:b/>
        </w:rPr>
      </w:pPr>
      <w:r w:rsidRPr="003F7F8F">
        <w:t>A</w:t>
      </w:r>
      <w:r w:rsidR="00767D9D">
        <w:t>5</w:t>
      </w:r>
      <w:r w:rsidRPr="003F7F8F">
        <w:t xml:space="preserve"> – Bringing forward commencement of reforms to the ADGSM</w:t>
      </w:r>
    </w:p>
    <w:p w14:paraId="0359BD42" w14:textId="77777777" w:rsidR="009C6312" w:rsidRDefault="005647D1" w:rsidP="006B6675">
      <w:pPr>
        <w:spacing w:line="276" w:lineRule="auto"/>
      </w:pPr>
      <w:r>
        <w:t>It is proposed t</w:t>
      </w:r>
      <w:r w:rsidRPr="005647D1">
        <w:t xml:space="preserve">hese policies are progressed as a suite because they work in concert to mitigate the risks present in individual policies implemented in isolation. They provide price certainty in the short term, will enable </w:t>
      </w:r>
      <w:r w:rsidR="0066201B">
        <w:t xml:space="preserve">positive </w:t>
      </w:r>
      <w:r w:rsidRPr="005647D1">
        <w:t>behavioural standards in negotiations to be enforced, ensure supply to the domestic market, and place obligations on both sellers and buyers to act in good faith.</w:t>
      </w:r>
      <w:r w:rsidR="00B25395">
        <w:t xml:space="preserve"> </w:t>
      </w:r>
    </w:p>
    <w:p w14:paraId="2356574E" w14:textId="67F46157" w:rsidR="000F4FBE" w:rsidRDefault="009C6312" w:rsidP="0080506D">
      <w:pPr>
        <w:spacing w:line="276" w:lineRule="auto"/>
        <w:rPr>
          <w:rFonts w:asciiTheme="majorHAnsi" w:hAnsiTheme="majorHAnsi"/>
          <w:b/>
          <w:color w:val="5F5F5F" w:themeColor="text2"/>
          <w:sz w:val="60"/>
          <w:szCs w:val="60"/>
        </w:rPr>
      </w:pPr>
      <w:r>
        <w:t>While these policies work to address immediate energy market pressures, the Go</w:t>
      </w:r>
      <w:r w:rsidR="00086AE5">
        <w:t>vernment is already implementing a range of non-regulatory measures to support Australia’s long-term transition to a renewable-based grid</w:t>
      </w:r>
      <w:r w:rsidR="00696EE1">
        <w:t xml:space="preserve">, </w:t>
      </w:r>
      <w:r w:rsidR="00086AE5">
        <w:t>includ</w:t>
      </w:r>
      <w:r w:rsidR="00696EE1">
        <w:t>ing</w:t>
      </w:r>
      <w:r w:rsidR="00086AE5">
        <w:t xml:space="preserve"> </w:t>
      </w:r>
      <w:r w:rsidR="00915A29">
        <w:t>those</w:t>
      </w:r>
      <w:r w:rsidR="00086AE5">
        <w:t xml:space="preserve"> committed to by the Government in the 2022-23 October Budget</w:t>
      </w:r>
      <w:r w:rsidR="00696EE1">
        <w:t>.</w:t>
      </w:r>
      <w:r w:rsidR="00696EE1" w:rsidDel="00B25395">
        <w:t xml:space="preserve"> </w:t>
      </w:r>
      <w:r w:rsidR="00915A29">
        <w:t>Broadly, these measures seek to improve market dynamics and put downward pressure on prices through the energy transition, including to address the underinvestment resulting from the past decade of policy uncertainty.</w:t>
      </w:r>
      <w:r w:rsidR="000F4FBE">
        <w:br w:type="page"/>
      </w:r>
    </w:p>
    <w:p w14:paraId="778A8CA3" w14:textId="7712B27D" w:rsidR="00EA5697" w:rsidRPr="007835B0" w:rsidRDefault="00CC0801" w:rsidP="0047361C">
      <w:pPr>
        <w:pStyle w:val="Heading1"/>
        <w:spacing w:after="0"/>
      </w:pPr>
      <w:bookmarkStart w:id="4" w:name="_Toc121406859"/>
      <w:r>
        <w:lastRenderedPageBreak/>
        <w:t>What is t</w:t>
      </w:r>
      <w:r w:rsidRPr="007835B0">
        <w:t xml:space="preserve">he </w:t>
      </w:r>
      <w:r w:rsidR="00962F90" w:rsidRPr="007835B0">
        <w:t>p</w:t>
      </w:r>
      <w:r w:rsidR="00EA5697" w:rsidRPr="007835B0">
        <w:t>roblem</w:t>
      </w:r>
      <w:r>
        <w:t xml:space="preserve"> you are trying to solve?</w:t>
      </w:r>
      <w:bookmarkEnd w:id="4"/>
    </w:p>
    <w:p w14:paraId="5F1D48CF" w14:textId="1328204E" w:rsidR="00F82BCD" w:rsidRDefault="005A3FD5" w:rsidP="0086418B">
      <w:pPr>
        <w:pStyle w:val="Heading3"/>
      </w:pPr>
      <w:bookmarkStart w:id="5" w:name="_Toc121406860"/>
      <w:r>
        <w:t>Rising</w:t>
      </w:r>
      <w:r w:rsidR="00F82BCD">
        <w:t xml:space="preserve"> </w:t>
      </w:r>
      <w:r w:rsidR="00AD7E02">
        <w:t>e</w:t>
      </w:r>
      <w:r>
        <w:t xml:space="preserve">nergy </w:t>
      </w:r>
      <w:r w:rsidR="00AD7E02">
        <w:t>p</w:t>
      </w:r>
      <w:r>
        <w:t xml:space="preserve">rices </w:t>
      </w:r>
      <w:r w:rsidR="000F4FBE">
        <w:t>caused by disruptions in global energy</w:t>
      </w:r>
      <w:r w:rsidR="00AD7E02">
        <w:t xml:space="preserve"> markets </w:t>
      </w:r>
      <w:r w:rsidR="00905B93">
        <w:t xml:space="preserve">are </w:t>
      </w:r>
      <w:r>
        <w:t>putting pressure on Australian households</w:t>
      </w:r>
      <w:bookmarkEnd w:id="5"/>
    </w:p>
    <w:p w14:paraId="7CEAEB25" w14:textId="5BB50BA1" w:rsidR="00415717" w:rsidRDefault="006455BA" w:rsidP="00E321E6">
      <w:r>
        <w:t>Rising energy prices are intensifying cost-of-living pressures for many Australian households and businesses</w:t>
      </w:r>
      <w:r w:rsidR="00415717">
        <w:t xml:space="preserve"> and</w:t>
      </w:r>
      <w:r w:rsidR="00415717" w:rsidRPr="00415717">
        <w:t xml:space="preserve"> </w:t>
      </w:r>
      <w:r w:rsidR="00415717">
        <w:t>eroding living standards</w:t>
      </w:r>
      <w:r w:rsidR="00B515A5">
        <w:t>.</w:t>
      </w:r>
      <w:r w:rsidDel="00B515A5">
        <w:t xml:space="preserve"> </w:t>
      </w:r>
      <w:r w:rsidR="00E321E6">
        <w:t xml:space="preserve">Sharp rises in the cost of essentials, such as energy bills, creates pressure for all households, </w:t>
      </w:r>
      <w:r w:rsidR="00415717">
        <w:t xml:space="preserve">with the median household in each </w:t>
      </w:r>
      <w:r w:rsidR="00521AA1">
        <w:t xml:space="preserve">income </w:t>
      </w:r>
      <w:r w:rsidR="00415717">
        <w:t>quintile spending roughly the same amount on energy (Chart 1)</w:t>
      </w:r>
      <w:r w:rsidR="00E321E6">
        <w:t>. These pressures are particularly acute for lower income households where these expenses make up a larger share of their budgets</w:t>
      </w:r>
      <w:r w:rsidR="00415717">
        <w:t xml:space="preserve"> (Chart 2). </w:t>
      </w:r>
      <w:r w:rsidR="00415717" w:rsidRPr="00415717">
        <w:t>T</w:t>
      </w:r>
      <w:r w:rsidR="00415717">
        <w:t>o demonstrate the scale of the current problem, t</w:t>
      </w:r>
      <w:r w:rsidR="00415717" w:rsidRPr="00415717">
        <w:t xml:space="preserve">he AER </w:t>
      </w:r>
      <w:r w:rsidR="00415717">
        <w:t xml:space="preserve">has </w:t>
      </w:r>
      <w:r w:rsidR="00415717" w:rsidRPr="00415717">
        <w:t>reported that the number of households in energy debt ha</w:t>
      </w:r>
      <w:r w:rsidR="0049175A">
        <w:t>s</w:t>
      </w:r>
      <w:r w:rsidR="00415717" w:rsidRPr="00415717">
        <w:t xml:space="preserve"> risen, with 170,547 energy customers taking part in hardship programs at the end of 2021-22. This was 23,286 more customers than in 2018-19.</w:t>
      </w:r>
      <w:r w:rsidR="003D26FB">
        <w:rPr>
          <w:rStyle w:val="FootnoteReference"/>
        </w:rPr>
        <w:footnoteReference w:id="2"/>
      </w:r>
    </w:p>
    <w:p w14:paraId="659DB635" w14:textId="2204838B" w:rsidR="00E051A6" w:rsidRDefault="00E051A6" w:rsidP="0061640B">
      <w:pPr>
        <w:pStyle w:val="CABBodyTextBold"/>
      </w:pPr>
      <w:r w:rsidRPr="001F7781">
        <w:t>Chart</w:t>
      </w:r>
      <w:r>
        <w:t xml:space="preserve"> 1</w:t>
      </w:r>
      <w:r w:rsidRPr="001F7781">
        <w:t xml:space="preserve">: </w:t>
      </w:r>
      <w:r>
        <w:t>Weekly expenditure on domestic fuel and power by income quintile</w:t>
      </w:r>
    </w:p>
    <w:p w14:paraId="6E640AF5" w14:textId="77777777" w:rsidR="00E051A6" w:rsidRDefault="00E051A6" w:rsidP="0061640B">
      <w:pPr>
        <w:pStyle w:val="BodyText"/>
      </w:pPr>
      <w:r w:rsidRPr="006D468E">
        <w:rPr>
          <w:noProof/>
        </w:rPr>
        <w:drawing>
          <wp:inline distT="0" distB="0" distL="0" distR="0" wp14:anchorId="723759DB" wp14:editId="0BAEA3FC">
            <wp:extent cx="6220217" cy="2971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0880" cy="2991227"/>
                    </a:xfrm>
                    <a:prstGeom prst="rect">
                      <a:avLst/>
                    </a:prstGeom>
                    <a:noFill/>
                    <a:ln>
                      <a:noFill/>
                    </a:ln>
                  </pic:spPr>
                </pic:pic>
              </a:graphicData>
            </a:graphic>
          </wp:inline>
        </w:drawing>
      </w:r>
    </w:p>
    <w:p w14:paraId="6F9DC138" w14:textId="7A7CDDBF" w:rsidR="001C7FB1" w:rsidRPr="007B021C" w:rsidRDefault="001C7FB1" w:rsidP="001C7FB1">
      <w:pPr>
        <w:pStyle w:val="BodyText"/>
        <w:rPr>
          <w:sz w:val="20"/>
          <w:szCs w:val="20"/>
        </w:rPr>
      </w:pPr>
      <w:r>
        <w:rPr>
          <w:sz w:val="20"/>
          <w:szCs w:val="20"/>
        </w:rPr>
        <w:t>Source: Treasury</w:t>
      </w:r>
      <w:r w:rsidR="00413DAE">
        <w:rPr>
          <w:sz w:val="20"/>
          <w:szCs w:val="20"/>
        </w:rPr>
        <w:t>, ABS</w:t>
      </w:r>
      <w:r>
        <w:rPr>
          <w:sz w:val="20"/>
          <w:szCs w:val="20"/>
        </w:rPr>
        <w:t xml:space="preserve"> Household Expenditure Survey</w:t>
      </w:r>
      <w:r w:rsidR="00413DAE">
        <w:rPr>
          <w:sz w:val="20"/>
          <w:szCs w:val="20"/>
        </w:rPr>
        <w:t xml:space="preserve"> 2015-16</w:t>
      </w:r>
    </w:p>
    <w:p w14:paraId="69195A81" w14:textId="77777777" w:rsidR="0061640B" w:rsidRDefault="0061640B">
      <w:pPr>
        <w:spacing w:line="276" w:lineRule="auto"/>
        <w:rPr>
          <w:rFonts w:ascii="Arial" w:hAnsi="Arial"/>
          <w:b/>
          <w:bCs/>
        </w:rPr>
      </w:pPr>
      <w:r>
        <w:br w:type="page"/>
      </w:r>
    </w:p>
    <w:p w14:paraId="0F0554F0" w14:textId="77777777" w:rsidR="00E051A6" w:rsidRPr="003477AC" w:rsidRDefault="00E051A6" w:rsidP="0061640B">
      <w:pPr>
        <w:pStyle w:val="CABBodyTextBold"/>
      </w:pPr>
      <w:r w:rsidRPr="001F7781">
        <w:lastRenderedPageBreak/>
        <w:t xml:space="preserve">Chart </w:t>
      </w:r>
      <w:r>
        <w:t>2</w:t>
      </w:r>
      <w:r w:rsidRPr="001F7781">
        <w:t xml:space="preserve">: Share of weekly expenditure </w:t>
      </w:r>
      <w:r>
        <w:t xml:space="preserve">on domestic fuel and power </w:t>
      </w:r>
      <w:r w:rsidRPr="001F7781">
        <w:t>by income qu</w:t>
      </w:r>
      <w:r>
        <w:t>in</w:t>
      </w:r>
      <w:r w:rsidRPr="003477AC">
        <w:t>tile</w:t>
      </w:r>
      <w:r w:rsidRPr="00A43AC6">
        <w:rPr>
          <w:vertAlign w:val="superscript"/>
        </w:rPr>
        <w:fldChar w:fldCharType="begin"/>
      </w:r>
      <w:r w:rsidRPr="00A43AC6">
        <w:rPr>
          <w:vertAlign w:val="superscript"/>
        </w:rPr>
        <w:instrText xml:space="preserve"> NOTEREF _Ref119408857 \h  \* MERGEFORMAT </w:instrText>
      </w:r>
      <w:r w:rsidRPr="00A43AC6">
        <w:rPr>
          <w:vertAlign w:val="superscript"/>
        </w:rPr>
      </w:r>
      <w:r w:rsidRPr="00A43AC6">
        <w:rPr>
          <w:vertAlign w:val="superscript"/>
        </w:rPr>
        <w:fldChar w:fldCharType="separate"/>
      </w:r>
      <w:r>
        <w:rPr>
          <w:vertAlign w:val="superscript"/>
        </w:rPr>
        <w:t>1</w:t>
      </w:r>
      <w:r w:rsidRPr="00A43AC6">
        <w:rPr>
          <w:vertAlign w:val="superscript"/>
        </w:rPr>
        <w:fldChar w:fldCharType="end"/>
      </w:r>
    </w:p>
    <w:p w14:paraId="5A983F72" w14:textId="77777777" w:rsidR="00E051A6" w:rsidRDefault="00E051A6" w:rsidP="0061640B">
      <w:pPr>
        <w:pStyle w:val="BodyText"/>
      </w:pPr>
      <w:r>
        <w:rPr>
          <w:noProof/>
        </w:rPr>
        <w:drawing>
          <wp:inline distT="0" distB="0" distL="0" distR="0" wp14:anchorId="38554025" wp14:editId="64D628BC">
            <wp:extent cx="5562600" cy="278099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591585" cy="2795482"/>
                    </a:xfrm>
                    <a:prstGeom prst="rect">
                      <a:avLst/>
                    </a:prstGeom>
                    <a:noFill/>
                    <a:ln>
                      <a:noFill/>
                    </a:ln>
                  </pic:spPr>
                </pic:pic>
              </a:graphicData>
            </a:graphic>
          </wp:inline>
        </w:drawing>
      </w:r>
    </w:p>
    <w:p w14:paraId="54F40A17" w14:textId="4D1F8375" w:rsidR="001C7FB1" w:rsidRPr="00E40779" w:rsidRDefault="001C7FB1" w:rsidP="0061640B">
      <w:pPr>
        <w:pStyle w:val="BodyText"/>
        <w:rPr>
          <w:sz w:val="20"/>
          <w:szCs w:val="20"/>
        </w:rPr>
      </w:pPr>
      <w:r>
        <w:rPr>
          <w:sz w:val="20"/>
          <w:szCs w:val="20"/>
        </w:rPr>
        <w:t>Source: Treasury</w:t>
      </w:r>
      <w:r w:rsidR="00413DAE">
        <w:rPr>
          <w:sz w:val="20"/>
          <w:szCs w:val="20"/>
        </w:rPr>
        <w:t>, ABS</w:t>
      </w:r>
      <w:r>
        <w:rPr>
          <w:sz w:val="20"/>
          <w:szCs w:val="20"/>
        </w:rPr>
        <w:t xml:space="preserve"> Household Expenditure Survey</w:t>
      </w:r>
      <w:r w:rsidR="00413DAE">
        <w:rPr>
          <w:sz w:val="20"/>
          <w:szCs w:val="20"/>
        </w:rPr>
        <w:t xml:space="preserve"> 2015-16</w:t>
      </w:r>
    </w:p>
    <w:p w14:paraId="1DC6E477" w14:textId="29B2612B" w:rsidR="00E051A6" w:rsidRPr="00E91649" w:rsidRDefault="007E0A70" w:rsidP="00CD2D19">
      <w:r>
        <w:t>T</w:t>
      </w:r>
      <w:r w:rsidR="00250F70">
        <w:t xml:space="preserve">he rise in Australian electricity prices </w:t>
      </w:r>
      <w:r>
        <w:t xml:space="preserve">has been </w:t>
      </w:r>
      <w:r w:rsidR="00250F70">
        <w:t xml:space="preserve">largely driven by </w:t>
      </w:r>
      <w:r>
        <w:t xml:space="preserve">high </w:t>
      </w:r>
      <w:r w:rsidR="00D97831">
        <w:t>international</w:t>
      </w:r>
      <w:r w:rsidR="00250F70">
        <w:t xml:space="preserve"> gas price</w:t>
      </w:r>
      <w:r>
        <w:t>s, reflecting international market conditions</w:t>
      </w:r>
      <w:r w:rsidR="00423979">
        <w:t>. D</w:t>
      </w:r>
      <w:r>
        <w:t>isruptions in the domestic wholesale market</w:t>
      </w:r>
      <w:r w:rsidR="00423979">
        <w:t xml:space="preserve"> have further exacerbated these issues</w:t>
      </w:r>
      <w:r>
        <w:t xml:space="preserve">. </w:t>
      </w:r>
    </w:p>
    <w:p w14:paraId="45701CF6" w14:textId="5467B7DE" w:rsidR="00B044B0" w:rsidRDefault="0016082F" w:rsidP="0099471D">
      <w:r>
        <w:t>Russia’s</w:t>
      </w:r>
      <w:r w:rsidR="0085734A" w:rsidRPr="00BA6724">
        <w:t xml:space="preserve"> war in Ukraine </w:t>
      </w:r>
      <w:r w:rsidR="00F35F59">
        <w:t xml:space="preserve">has </w:t>
      </w:r>
      <w:r>
        <w:t>disrupted</w:t>
      </w:r>
      <w:r w:rsidR="00CD1638">
        <w:t xml:space="preserve"> global energy supply</w:t>
      </w:r>
      <w:r>
        <w:t>,</w:t>
      </w:r>
      <w:r w:rsidR="00CD1638">
        <w:t xml:space="preserve"> driving</w:t>
      </w:r>
      <w:r w:rsidR="0085734A" w:rsidRPr="00BA6724">
        <w:t xml:space="preserve"> </w:t>
      </w:r>
      <w:r w:rsidR="00B647D9" w:rsidRPr="001C1677">
        <w:rPr>
          <w:rFonts w:eastAsia="Times New Roman"/>
        </w:rPr>
        <w:t xml:space="preserve">significant </w:t>
      </w:r>
      <w:r w:rsidR="001C1677" w:rsidRPr="001C1677">
        <w:rPr>
          <w:rFonts w:eastAsia="Times New Roman"/>
        </w:rPr>
        <w:t xml:space="preserve">additional rises in </w:t>
      </w:r>
      <w:r w:rsidR="0085734A" w:rsidRPr="001C1677">
        <w:rPr>
          <w:rFonts w:eastAsia="Times New Roman"/>
        </w:rPr>
        <w:t xml:space="preserve">international </w:t>
      </w:r>
      <w:r w:rsidR="00FA5838" w:rsidRPr="001C1677">
        <w:rPr>
          <w:rFonts w:eastAsia="Times New Roman"/>
        </w:rPr>
        <w:t xml:space="preserve">energy </w:t>
      </w:r>
      <w:r w:rsidR="001C1677" w:rsidRPr="001C1677">
        <w:rPr>
          <w:rFonts w:eastAsia="Times New Roman"/>
        </w:rPr>
        <w:t>prices, which were already elevated due to</w:t>
      </w:r>
      <w:r w:rsidR="00A96577" w:rsidRPr="001C1677">
        <w:rPr>
          <w:rFonts w:eastAsia="Times New Roman"/>
        </w:rPr>
        <w:t xml:space="preserve"> </w:t>
      </w:r>
      <w:r w:rsidR="00A96577">
        <w:t>pandemic-related supply chain disruptions</w:t>
      </w:r>
      <w:r w:rsidR="003B0F90">
        <w:t xml:space="preserve"> and the increase in consumer demand from economies recovering from COVID-19 lockdowns</w:t>
      </w:r>
      <w:r w:rsidR="0085734A" w:rsidRPr="00BA6724">
        <w:t xml:space="preserve">. </w:t>
      </w:r>
      <w:r w:rsidR="004D4AFB">
        <w:t>R</w:t>
      </w:r>
      <w:r w:rsidR="00B044B0">
        <w:t>estrictions to gas supplies have had ripple effects, flowing through to broadening price pressures in Europe and higher gas prices in other countries dependent on gas imports</w:t>
      </w:r>
      <w:r w:rsidR="002E4451">
        <w:t>. Global gas prices peak</w:t>
      </w:r>
      <w:r w:rsidR="00C34A6B">
        <w:t>ed</w:t>
      </w:r>
      <w:r w:rsidR="002E4451">
        <w:t xml:space="preserve"> at six times their March 2021 level </w:t>
      </w:r>
      <w:r w:rsidR="00CD1638">
        <w:t>in</w:t>
      </w:r>
      <w:r w:rsidR="002E4451">
        <w:t xml:space="preserve"> </w:t>
      </w:r>
      <w:r w:rsidR="00A5593A">
        <w:t>August 2022</w:t>
      </w:r>
      <w:r w:rsidR="002E4451">
        <w:t xml:space="preserve"> and, though they have fallen since this peak, prices remain significantly above historic levels </w:t>
      </w:r>
      <w:r w:rsidR="004333B7">
        <w:t>(see Chart 3)</w:t>
      </w:r>
      <w:r w:rsidR="00CD1638">
        <w:t xml:space="preserve">. </w:t>
      </w:r>
      <w:r w:rsidR="004333B7">
        <w:t>Prices</w:t>
      </w:r>
      <w:r w:rsidR="00D40749">
        <w:t xml:space="preserve"> are expected to stay substantially above historical averages</w:t>
      </w:r>
      <w:r w:rsidR="00B044B0">
        <w:t xml:space="preserve"> </w:t>
      </w:r>
      <w:r w:rsidR="004333B7">
        <w:t>over the next few years.</w:t>
      </w:r>
      <w:r w:rsidR="004333B7">
        <w:rPr>
          <w:rStyle w:val="FootnoteReference"/>
        </w:rPr>
        <w:footnoteReference w:id="3"/>
      </w:r>
    </w:p>
    <w:p w14:paraId="0D30DF51" w14:textId="01655882" w:rsidR="00DC2CB7" w:rsidRDefault="00D033EC" w:rsidP="0099471D">
      <w:r>
        <w:t>This has contributed to higher domestic fuel costs</w:t>
      </w:r>
      <w:r w:rsidR="00653AD3">
        <w:t xml:space="preserve"> and flowed through to higher energy prices</w:t>
      </w:r>
      <w:r>
        <w:t>, as Australian gas prices are influenced by international market conditions. The spike in global prices coincided with large domestic wholesale market disruptions that increased reliance on gas-fired generation</w:t>
      </w:r>
      <w:r w:rsidR="007E0A70">
        <w:t xml:space="preserve">, including the early onset of winter in 2022 as well as planned and unplanned maintenance at coal power stations. </w:t>
      </w:r>
      <w:r w:rsidR="00B34DB1">
        <w:t xml:space="preserve">While </w:t>
      </w:r>
      <w:r w:rsidR="002773EA">
        <w:t>this is</w:t>
      </w:r>
      <w:r w:rsidR="008C0AB0">
        <w:t xml:space="preserve"> </w:t>
      </w:r>
      <w:r w:rsidR="0085734A" w:rsidRPr="00BA6724">
        <w:t>impacting on industrial customers’ viability</w:t>
      </w:r>
      <w:r w:rsidR="00B34DB1">
        <w:t>,</w:t>
      </w:r>
      <w:r w:rsidR="002773EA">
        <w:t xml:space="preserve"> </w:t>
      </w:r>
      <w:r w:rsidR="00B34DB1">
        <w:t>h</w:t>
      </w:r>
      <w:r w:rsidR="0085734A" w:rsidRPr="00BA6724">
        <w:t>ouseholds</w:t>
      </w:r>
      <w:r w:rsidR="003B2877">
        <w:t xml:space="preserve"> are</w:t>
      </w:r>
      <w:r w:rsidR="0085734A" w:rsidRPr="00BA6724">
        <w:t xml:space="preserve"> ultimately paying more for energy and other goods where production is reliant on gas.</w:t>
      </w:r>
      <w:r w:rsidR="003A275E">
        <w:t xml:space="preserve"> </w:t>
      </w:r>
    </w:p>
    <w:p w14:paraId="74E722C2" w14:textId="1E3C06C2" w:rsidR="0061640B" w:rsidRDefault="00250F70" w:rsidP="00A44E95">
      <w:pPr>
        <w:rPr>
          <w:rFonts w:ascii="Arial" w:hAnsi="Arial"/>
          <w:b/>
          <w:bCs/>
        </w:rPr>
      </w:pPr>
      <w:r>
        <w:t xml:space="preserve">Foreign governments </w:t>
      </w:r>
      <w:r w:rsidDel="000971A2">
        <w:t xml:space="preserve">are facing the same </w:t>
      </w:r>
      <w:r>
        <w:t xml:space="preserve">international </w:t>
      </w:r>
      <w:r w:rsidR="0016082F" w:rsidDel="000971A2">
        <w:t>cris</w:t>
      </w:r>
      <w:r w:rsidR="0016082F">
        <w:t>i</w:t>
      </w:r>
      <w:r w:rsidR="0016082F" w:rsidDel="000971A2">
        <w:t>s,</w:t>
      </w:r>
      <w:r w:rsidDel="000971A2">
        <w:t xml:space="preserve"> and</w:t>
      </w:r>
      <w:r>
        <w:t xml:space="preserve"> </w:t>
      </w:r>
      <w:r w:rsidR="00205C3B">
        <w:t>many are responding</w:t>
      </w:r>
      <w:r>
        <w:t xml:space="preserve"> with </w:t>
      </w:r>
      <w:r w:rsidR="00C649FA">
        <w:t xml:space="preserve">significant </w:t>
      </w:r>
      <w:r>
        <w:t>interventions. The biggest response has been in Europe, where the move away from Russian gas has caused the greatest disruption</w:t>
      </w:r>
      <w:r w:rsidR="0014430D">
        <w:t xml:space="preserve"> in supply and hence price</w:t>
      </w:r>
      <w:r>
        <w:t>.</w:t>
      </w:r>
      <w:r w:rsidR="0014430D">
        <w:t xml:space="preserve"> </w:t>
      </w:r>
      <w:r>
        <w:t>European measures</w:t>
      </w:r>
      <w:r w:rsidR="00205C3B">
        <w:t xml:space="preserve"> and policy options</w:t>
      </w:r>
      <w:r>
        <w:t xml:space="preserve"> </w:t>
      </w:r>
      <w:r w:rsidR="0014430D">
        <w:t>to address both supply and price</w:t>
      </w:r>
      <w:r>
        <w:t xml:space="preserve"> have included: price caps and rebates for generators, households and SMEs, </w:t>
      </w:r>
      <w:r w:rsidR="00C34A6B">
        <w:t xml:space="preserve">gas and electricity </w:t>
      </w:r>
      <w:r>
        <w:t>reduction targets</w:t>
      </w:r>
      <w:r w:rsidR="00511575">
        <w:t xml:space="preserve"> to mitigate supply risks and power </w:t>
      </w:r>
      <w:r w:rsidR="00511575">
        <w:lastRenderedPageBreak/>
        <w:t>outages across the European energy network</w:t>
      </w:r>
      <w:r w:rsidR="00205C3B">
        <w:t>;</w:t>
      </w:r>
      <w:r>
        <w:t xml:space="preserve"> gas storage mandates of 80 to 90 per cent</w:t>
      </w:r>
      <w:r w:rsidR="007706A8">
        <w:t xml:space="preserve"> to ensure supply</w:t>
      </w:r>
      <w:r>
        <w:t>, and revenue caps and taxes on fossil fuel and energy companies</w:t>
      </w:r>
      <w:r w:rsidR="007706A8">
        <w:t xml:space="preserve"> to pay for rebates</w:t>
      </w:r>
      <w:r>
        <w:t xml:space="preserve">. </w:t>
      </w:r>
    </w:p>
    <w:p w14:paraId="6108D078" w14:textId="54FDBB79" w:rsidR="0047361C" w:rsidRDefault="0047361C" w:rsidP="0061640B">
      <w:pPr>
        <w:pStyle w:val="CABBodyTextBold"/>
      </w:pPr>
      <w:r>
        <w:t>Chart 3: Global Energy Spot Prices</w:t>
      </w:r>
    </w:p>
    <w:p w14:paraId="6BDCDAF6" w14:textId="77750855" w:rsidR="00E3370D" w:rsidRDefault="002B74B0" w:rsidP="00E3370D">
      <w:pPr>
        <w:pStyle w:val="ChartGraphic"/>
      </w:pPr>
      <w:r w:rsidRPr="002B74B0">
        <w:t xml:space="preserve"> </w:t>
      </w:r>
      <w:r w:rsidRPr="002B74B0">
        <w:rPr>
          <w:noProof/>
        </w:rPr>
        <w:drawing>
          <wp:inline distT="0" distB="0" distL="0" distR="0" wp14:anchorId="7B97C161" wp14:editId="5A2F1DC1">
            <wp:extent cx="5586095" cy="25260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89995" cy="2527794"/>
                    </a:xfrm>
                    <a:prstGeom prst="rect">
                      <a:avLst/>
                    </a:prstGeom>
                    <a:noFill/>
                    <a:ln>
                      <a:noFill/>
                    </a:ln>
                  </pic:spPr>
                </pic:pic>
              </a:graphicData>
            </a:graphic>
          </wp:inline>
        </w:drawing>
      </w:r>
    </w:p>
    <w:p w14:paraId="5CED1332" w14:textId="610E1DA2" w:rsidR="00E3370D" w:rsidRPr="00173596" w:rsidRDefault="00E3370D" w:rsidP="00E3370D">
      <w:pPr>
        <w:rPr>
          <w:sz w:val="20"/>
          <w:szCs w:val="20"/>
        </w:rPr>
      </w:pPr>
      <w:r w:rsidRPr="00173596">
        <w:rPr>
          <w:sz w:val="20"/>
          <w:szCs w:val="20"/>
        </w:rPr>
        <w:t>Source: IMF, Treasury</w:t>
      </w:r>
    </w:p>
    <w:p w14:paraId="29D9787D" w14:textId="051D66E1" w:rsidR="00353F40" w:rsidRPr="0086418B" w:rsidRDefault="00506D89" w:rsidP="0086418B">
      <w:pPr>
        <w:pStyle w:val="Heading3"/>
      </w:pPr>
      <w:bookmarkStart w:id="6" w:name="_Toc121406861"/>
      <w:r w:rsidRPr="0086418B">
        <w:t>Impacts are being felt across the economy</w:t>
      </w:r>
      <w:bookmarkEnd w:id="6"/>
    </w:p>
    <w:p w14:paraId="4B59AF03" w14:textId="74F1FE22" w:rsidR="00FA1407" w:rsidRDefault="00205C3B" w:rsidP="00DF3C5F">
      <w:r>
        <w:t xml:space="preserve">In Australia’s east coast market, </w:t>
      </w:r>
      <w:r w:rsidR="00F56DE6">
        <w:t xml:space="preserve">high </w:t>
      </w:r>
      <w:r w:rsidR="00F56DE6" w:rsidRPr="004B664F">
        <w:t>gas</w:t>
      </w:r>
      <w:r w:rsidR="00F56DE6" w:rsidDel="00205C3B">
        <w:t xml:space="preserve"> </w:t>
      </w:r>
      <w:r>
        <w:t>prices are</w:t>
      </w:r>
      <w:r w:rsidR="00F56DE6">
        <w:t xml:space="preserve"> expected to continue to have an impact on</w:t>
      </w:r>
      <w:r w:rsidR="00F56DE6" w:rsidRPr="004B664F" w:rsidDel="00A6299E">
        <w:t xml:space="preserve"> </w:t>
      </w:r>
      <w:r w:rsidR="00F56DE6" w:rsidRPr="004B664F">
        <w:t>the prices of downstream products and electricity</w:t>
      </w:r>
      <w:r w:rsidR="0006272B">
        <w:t>,</w:t>
      </w:r>
      <w:r w:rsidR="00F56DE6">
        <w:t xml:space="preserve"> affecting gas-fired power generators, spot</w:t>
      </w:r>
      <w:r w:rsidR="00C34A6B">
        <w:t xml:space="preserve"> </w:t>
      </w:r>
      <w:r w:rsidR="00F56DE6">
        <w:t>market gas retailers and ultimately, end-users through increased retail prices</w:t>
      </w:r>
      <w:r w:rsidR="00F56DE6" w:rsidRPr="004B664F">
        <w:t>.</w:t>
      </w:r>
      <w:r w:rsidR="00F56DE6">
        <w:t xml:space="preserve"> High energy bills will have a more adverse impact on lower income households</w:t>
      </w:r>
      <w:r w:rsidR="009B0674">
        <w:t>, where more of the household</w:t>
      </w:r>
      <w:r w:rsidR="00D97831">
        <w:t>’</w:t>
      </w:r>
      <w:r w:rsidR="009B0674">
        <w:t>s budget is used to cover necessities.</w:t>
      </w:r>
    </w:p>
    <w:p w14:paraId="61BC96E5" w14:textId="7FDBFC44" w:rsidR="00F56DE6" w:rsidRDefault="00F56DE6" w:rsidP="00F56DE6">
      <w:r>
        <w:t xml:space="preserve">As a core unavoidable input, energy cost increases may make affected businesses unprofitable. </w:t>
      </w:r>
      <w:r w:rsidRPr="00962028">
        <w:t xml:space="preserve">Multiple businesses and industry groups across Australia </w:t>
      </w:r>
      <w:r>
        <w:t>have already reported that</w:t>
      </w:r>
      <w:r w:rsidRPr="00962028">
        <w:t xml:space="preserve"> increasing energy costs are causing significant difficulty. </w:t>
      </w:r>
      <w:r w:rsidR="002024F5">
        <w:t>In particular, m</w:t>
      </w:r>
      <w:r w:rsidRPr="00962028">
        <w:t xml:space="preserve">anufacturing businesses say the increases are forcing them to divert money away from reinvestment and innovation and increasing the risk Australia may lose local manufacturing capability </w:t>
      </w:r>
      <w:r w:rsidR="00D97831">
        <w:t>due to a temporary international price shock</w:t>
      </w:r>
      <w:r w:rsidRPr="00962028">
        <w:t>.</w:t>
      </w:r>
      <w:r w:rsidR="00677857">
        <w:t xml:space="preserve"> </w:t>
      </w:r>
      <w:r w:rsidR="009C0B28">
        <w:t>In</w:t>
      </w:r>
      <w:r w:rsidR="009C0B28" w:rsidDel="00D9546A">
        <w:t xml:space="preserve"> </w:t>
      </w:r>
      <w:r w:rsidR="00D9546A">
        <w:t>the September quarter</w:t>
      </w:r>
      <w:r w:rsidR="009C0B28">
        <w:t xml:space="preserve"> 2022, the cost of gas and electricity for manufacturing businesses rose by 15 per cent and 14 per cent respectively.</w:t>
      </w:r>
      <w:r w:rsidR="009C0B28">
        <w:rPr>
          <w:rStyle w:val="FootnoteReference"/>
        </w:rPr>
        <w:footnoteReference w:id="4"/>
      </w:r>
      <w:r w:rsidR="009C0B28">
        <w:t xml:space="preserve"> </w:t>
      </w:r>
      <w:r w:rsidR="00677857">
        <w:t xml:space="preserve">However, retailer and industrial user hedging strategies </w:t>
      </w:r>
      <w:r w:rsidR="00472B36">
        <w:t>are currently</w:t>
      </w:r>
      <w:r w:rsidR="00677857">
        <w:t xml:space="preserve"> provid</w:t>
      </w:r>
      <w:r w:rsidR="00472B36">
        <w:t>ing</w:t>
      </w:r>
      <w:r w:rsidR="00677857">
        <w:t xml:space="preserve"> </w:t>
      </w:r>
      <w:r w:rsidR="00513AAF">
        <w:t xml:space="preserve">businesses with </w:t>
      </w:r>
      <w:r w:rsidR="00677857">
        <w:t>some protection from rising wholesale prices.</w:t>
      </w:r>
      <w:r w:rsidR="008F78A8">
        <w:t xml:space="preserve"> </w:t>
      </w:r>
    </w:p>
    <w:p w14:paraId="1F19CE3D" w14:textId="67DEBC55" w:rsidR="00A60E6E" w:rsidRDefault="008473F8" w:rsidP="0086418B">
      <w:pPr>
        <w:pStyle w:val="BodyText"/>
      </w:pPr>
      <w:r>
        <w:rPr>
          <w:rStyle w:val="Strong"/>
          <w:rFonts w:cs="Arial"/>
          <w:b w:val="0"/>
          <w:bCs w:val="0"/>
        </w:rPr>
        <w:t xml:space="preserve">While forecasts of high prices are at the national level, the </w:t>
      </w:r>
      <w:r w:rsidR="009B0674">
        <w:rPr>
          <w:rStyle w:val="Strong"/>
          <w:rFonts w:cs="Arial"/>
          <w:b w:val="0"/>
          <w:bCs w:val="0"/>
        </w:rPr>
        <w:t>actual quantum</w:t>
      </w:r>
      <w:r>
        <w:rPr>
          <w:rStyle w:val="Strong"/>
          <w:rFonts w:cs="Arial"/>
          <w:b w:val="0"/>
          <w:bCs w:val="0"/>
        </w:rPr>
        <w:t xml:space="preserve"> of </w:t>
      </w:r>
      <w:r w:rsidR="009B0674">
        <w:rPr>
          <w:rStyle w:val="Strong"/>
          <w:rFonts w:cs="Arial"/>
          <w:b w:val="0"/>
          <w:bCs w:val="0"/>
        </w:rPr>
        <w:t>price rises</w:t>
      </w:r>
      <w:r>
        <w:rPr>
          <w:rStyle w:val="Strong"/>
          <w:rFonts w:cs="Arial"/>
          <w:b w:val="0"/>
          <w:bCs w:val="0"/>
        </w:rPr>
        <w:t xml:space="preserve"> is </w:t>
      </w:r>
      <w:r w:rsidR="00E751D1">
        <w:rPr>
          <w:rStyle w:val="Strong"/>
          <w:rFonts w:cs="Arial"/>
          <w:b w:val="0"/>
          <w:bCs w:val="0"/>
        </w:rPr>
        <w:t xml:space="preserve">likely </w:t>
      </w:r>
      <w:r>
        <w:rPr>
          <w:rStyle w:val="Strong"/>
          <w:rFonts w:cs="Arial"/>
          <w:b w:val="0"/>
          <w:bCs w:val="0"/>
        </w:rPr>
        <w:t xml:space="preserve">to vary between states and territories. </w:t>
      </w:r>
      <w:r w:rsidR="00615B4F" w:rsidRPr="00640207">
        <w:rPr>
          <w:rStyle w:val="Strong"/>
          <w:rFonts w:cs="Arial"/>
          <w:b w:val="0"/>
          <w:bCs w:val="0"/>
        </w:rPr>
        <w:t>W</w:t>
      </w:r>
      <w:r w:rsidR="00615B4F">
        <w:rPr>
          <w:rStyle w:val="Strong"/>
          <w:rFonts w:cs="Arial"/>
          <w:b w:val="0"/>
          <w:bCs w:val="0"/>
        </w:rPr>
        <w:t xml:space="preserve">estern </w:t>
      </w:r>
      <w:r w:rsidR="00615B4F" w:rsidRPr="00640207">
        <w:rPr>
          <w:rStyle w:val="Strong"/>
          <w:rFonts w:cs="Arial"/>
          <w:b w:val="0"/>
          <w:bCs w:val="0"/>
        </w:rPr>
        <w:t>A</w:t>
      </w:r>
      <w:r w:rsidR="00615B4F">
        <w:rPr>
          <w:rStyle w:val="Strong"/>
          <w:rFonts w:cs="Arial"/>
          <w:b w:val="0"/>
          <w:bCs w:val="0"/>
        </w:rPr>
        <w:t>ustralia</w:t>
      </w:r>
      <w:r w:rsidR="00615B4F" w:rsidRPr="00640207">
        <w:rPr>
          <w:rStyle w:val="Strong"/>
          <w:rFonts w:cs="Arial"/>
          <w:b w:val="0"/>
          <w:bCs w:val="0"/>
        </w:rPr>
        <w:t xml:space="preserve"> </w:t>
      </w:r>
      <w:r w:rsidR="000971A2">
        <w:rPr>
          <w:rStyle w:val="Strong"/>
          <w:rFonts w:cs="Arial"/>
          <w:b w:val="0"/>
          <w:bCs w:val="0"/>
        </w:rPr>
        <w:t xml:space="preserve">(WA) </w:t>
      </w:r>
      <w:r w:rsidR="00615B4F" w:rsidRPr="00640207">
        <w:rPr>
          <w:rStyle w:val="Strong"/>
          <w:rFonts w:cs="Arial"/>
          <w:b w:val="0"/>
          <w:bCs w:val="0"/>
        </w:rPr>
        <w:t>has not faced the price</w:t>
      </w:r>
      <w:r w:rsidR="00423979">
        <w:rPr>
          <w:rStyle w:val="Strong"/>
          <w:rFonts w:cs="Arial"/>
          <w:b w:val="0"/>
          <w:bCs w:val="0"/>
        </w:rPr>
        <w:t xml:space="preserve"> increases</w:t>
      </w:r>
      <w:r w:rsidR="00615B4F" w:rsidRPr="00640207">
        <w:rPr>
          <w:rStyle w:val="Strong"/>
          <w:rFonts w:cs="Arial"/>
          <w:b w:val="0"/>
          <w:bCs w:val="0"/>
        </w:rPr>
        <w:t xml:space="preserve"> or the volatility of the east coast</w:t>
      </w:r>
      <w:r w:rsidR="00662E51">
        <w:rPr>
          <w:rStyle w:val="Strong"/>
          <w:rFonts w:cs="Arial"/>
          <w:b w:val="0"/>
          <w:bCs w:val="0"/>
        </w:rPr>
        <w:t>,</w:t>
      </w:r>
      <w:r w:rsidR="00615B4F" w:rsidRPr="00640207">
        <w:rPr>
          <w:rStyle w:val="Strong"/>
          <w:rFonts w:cs="Arial"/>
          <w:b w:val="0"/>
          <w:bCs w:val="0"/>
        </w:rPr>
        <w:t xml:space="preserve"> with </w:t>
      </w:r>
      <w:r w:rsidR="00DC78F9">
        <w:rPr>
          <w:rStyle w:val="Strong"/>
          <w:rFonts w:cs="Arial"/>
          <w:b w:val="0"/>
          <w:bCs w:val="0"/>
        </w:rPr>
        <w:t>its</w:t>
      </w:r>
      <w:r w:rsidR="00615B4F" w:rsidRPr="00640207">
        <w:rPr>
          <w:rStyle w:val="Strong"/>
          <w:rFonts w:cs="Arial"/>
          <w:b w:val="0"/>
          <w:bCs w:val="0"/>
        </w:rPr>
        <w:t xml:space="preserve"> </w:t>
      </w:r>
      <w:r w:rsidR="00423979">
        <w:rPr>
          <w:rStyle w:val="Strong"/>
          <w:rFonts w:cs="Arial"/>
          <w:b w:val="0"/>
          <w:bCs w:val="0"/>
        </w:rPr>
        <w:t>state</w:t>
      </w:r>
      <w:r w:rsidR="00844617">
        <w:rPr>
          <w:rStyle w:val="Strong"/>
          <w:rFonts w:cs="Arial"/>
          <w:b w:val="0"/>
          <w:bCs w:val="0"/>
        </w:rPr>
        <w:t>-</w:t>
      </w:r>
      <w:r w:rsidR="00423979">
        <w:rPr>
          <w:rStyle w:val="Strong"/>
          <w:rFonts w:cs="Arial"/>
          <w:b w:val="0"/>
          <w:bCs w:val="0"/>
        </w:rPr>
        <w:t xml:space="preserve">based </w:t>
      </w:r>
      <w:r w:rsidR="00615B4F" w:rsidRPr="00640207">
        <w:rPr>
          <w:rStyle w:val="Strong"/>
          <w:rFonts w:cs="Arial"/>
          <w:b w:val="0"/>
          <w:bCs w:val="0"/>
        </w:rPr>
        <w:t xml:space="preserve">domestic gas reservation policy </w:t>
      </w:r>
      <w:r w:rsidR="009B0674">
        <w:rPr>
          <w:rStyle w:val="Strong"/>
          <w:rFonts w:cs="Arial"/>
          <w:b w:val="0"/>
          <w:bCs w:val="0"/>
        </w:rPr>
        <w:t>ensuring</w:t>
      </w:r>
      <w:r w:rsidR="00615B4F" w:rsidRPr="00640207">
        <w:rPr>
          <w:rStyle w:val="Strong"/>
          <w:rFonts w:cs="Arial"/>
          <w:b w:val="0"/>
          <w:bCs w:val="0"/>
        </w:rPr>
        <w:t xml:space="preserve"> gas supplies into the WA domestic market</w:t>
      </w:r>
      <w:r w:rsidR="009B0674">
        <w:rPr>
          <w:rStyle w:val="Strong"/>
          <w:rFonts w:cs="Arial"/>
          <w:b w:val="0"/>
          <w:bCs w:val="0"/>
        </w:rPr>
        <w:t>, avoiding the supply tightness experienced in other jurisdictions</w:t>
      </w:r>
      <w:r w:rsidR="00615B4F">
        <w:rPr>
          <w:rStyle w:val="Strong"/>
          <w:rFonts w:cs="Arial"/>
          <w:b w:val="0"/>
          <w:bCs w:val="0"/>
        </w:rPr>
        <w:t>. A</w:t>
      </w:r>
      <w:r w:rsidR="00615B4F" w:rsidRPr="00640207">
        <w:rPr>
          <w:rStyle w:val="Strong"/>
          <w:rFonts w:cs="Arial"/>
          <w:b w:val="0"/>
          <w:bCs w:val="0"/>
        </w:rPr>
        <w:t>verage monthly WA spot gas prices have ranged from $5.50 to $6.25</w:t>
      </w:r>
      <w:r w:rsidR="00621C96">
        <w:rPr>
          <w:rStyle w:val="Strong"/>
          <w:rFonts w:cs="Arial"/>
          <w:b w:val="0"/>
          <w:bCs w:val="0"/>
        </w:rPr>
        <w:t>/</w:t>
      </w:r>
      <w:r w:rsidR="00615B4F" w:rsidRPr="00640207">
        <w:rPr>
          <w:rStyle w:val="Strong"/>
          <w:rFonts w:cs="Arial"/>
          <w:b w:val="0"/>
          <w:bCs w:val="0"/>
        </w:rPr>
        <w:t>GJ over 2022</w:t>
      </w:r>
      <w:r w:rsidR="00662E51">
        <w:rPr>
          <w:rStyle w:val="Strong"/>
          <w:rFonts w:cs="Arial"/>
          <w:b w:val="0"/>
          <w:bCs w:val="0"/>
        </w:rPr>
        <w:t xml:space="preserve">, </w:t>
      </w:r>
      <w:r w:rsidR="009B0674">
        <w:rPr>
          <w:rStyle w:val="Strong"/>
          <w:rFonts w:cs="Arial"/>
          <w:b w:val="0"/>
          <w:bCs w:val="0"/>
        </w:rPr>
        <w:t>whereas the average east coast gas price peaked in July 2022 at over $40</w:t>
      </w:r>
      <w:r w:rsidR="00621C96">
        <w:rPr>
          <w:rStyle w:val="Strong"/>
          <w:rFonts w:cs="Arial"/>
          <w:b w:val="0"/>
          <w:bCs w:val="0"/>
        </w:rPr>
        <w:t>/</w:t>
      </w:r>
      <w:r w:rsidR="009B0674">
        <w:rPr>
          <w:rStyle w:val="Strong"/>
          <w:rFonts w:cs="Arial"/>
          <w:b w:val="0"/>
          <w:bCs w:val="0"/>
        </w:rPr>
        <w:t>GJ, and east coast markets trading around or well above $16</w:t>
      </w:r>
      <w:r w:rsidR="00621C96">
        <w:rPr>
          <w:rStyle w:val="Strong"/>
          <w:rFonts w:cs="Arial"/>
          <w:b w:val="0"/>
          <w:bCs w:val="0"/>
        </w:rPr>
        <w:t>/</w:t>
      </w:r>
      <w:r w:rsidR="009B0674">
        <w:rPr>
          <w:rStyle w:val="Strong"/>
          <w:rFonts w:cs="Arial"/>
          <w:b w:val="0"/>
          <w:bCs w:val="0"/>
        </w:rPr>
        <w:t>GJ through November</w:t>
      </w:r>
      <w:r w:rsidR="00621C96">
        <w:rPr>
          <w:rStyle w:val="Strong"/>
          <w:rFonts w:cs="Arial"/>
          <w:b w:val="0"/>
          <w:bCs w:val="0"/>
        </w:rPr>
        <w:t xml:space="preserve"> 2022</w:t>
      </w:r>
      <w:r w:rsidR="009B0674">
        <w:rPr>
          <w:rStyle w:val="Strong"/>
          <w:rFonts w:cs="Arial"/>
          <w:b w:val="0"/>
          <w:bCs w:val="0"/>
        </w:rPr>
        <w:t>.</w:t>
      </w:r>
    </w:p>
    <w:p w14:paraId="697BD68A" w14:textId="289170C0" w:rsidR="006F51AC" w:rsidRDefault="00B47EF6" w:rsidP="0099471D">
      <w:pPr>
        <w:pStyle w:val="Heading3"/>
      </w:pPr>
      <w:bookmarkStart w:id="7" w:name="_Toc121406862"/>
      <w:r w:rsidRPr="00025F76">
        <w:lastRenderedPageBreak/>
        <w:t xml:space="preserve">High </w:t>
      </w:r>
      <w:r w:rsidR="00F74F6B">
        <w:t>fuel</w:t>
      </w:r>
      <w:r>
        <w:t xml:space="preserve"> </w:t>
      </w:r>
      <w:r w:rsidRPr="00025F76">
        <w:t>prices are</w:t>
      </w:r>
      <w:r w:rsidR="00A913F2">
        <w:t xml:space="preserve"> leading to increases in</w:t>
      </w:r>
      <w:r w:rsidRPr="00025F76">
        <w:t xml:space="preserve"> </w:t>
      </w:r>
      <w:r w:rsidRPr="002D6E1A">
        <w:t>electricity</w:t>
      </w:r>
      <w:r w:rsidRPr="00025F76">
        <w:t xml:space="preserve"> prices</w:t>
      </w:r>
      <w:bookmarkEnd w:id="7"/>
    </w:p>
    <w:p w14:paraId="0160C403" w14:textId="7137E162" w:rsidR="00B704C7" w:rsidRDefault="006B1F5D" w:rsidP="002216E9">
      <w:r>
        <w:t xml:space="preserve">High input fuel prices for generators are </w:t>
      </w:r>
      <w:r w:rsidR="00AA3B28">
        <w:t xml:space="preserve">expected </w:t>
      </w:r>
      <w:r>
        <w:t xml:space="preserve">to be </w:t>
      </w:r>
      <w:r w:rsidR="00E550E1">
        <w:t>a</w:t>
      </w:r>
      <w:r>
        <w:t xml:space="preserve"> key driver of current and forecast high wholesale electricity prices. </w:t>
      </w:r>
      <w:r w:rsidR="00D643EC" w:rsidRPr="005F10AC" w:rsidDel="003C452B">
        <w:t>U</w:t>
      </w:r>
      <w:r w:rsidR="00D643EC" w:rsidRPr="005F10AC">
        <w:t>nplanned outages of Australia’s ageing coal generation assets or disruptions to fuel supply are likely to see increased reliance on spot markets for power generation and renewed periods of upward pressure on prices.</w:t>
      </w:r>
      <w:r w:rsidR="00B044B0">
        <w:t xml:space="preserve"> </w:t>
      </w:r>
    </w:p>
    <w:p w14:paraId="28E483C3" w14:textId="3A4D3312" w:rsidR="008255A7" w:rsidRDefault="00232A18" w:rsidP="008255A7">
      <w:r w:rsidRPr="0047361C">
        <w:t>Wholesale electricity spot prices in the NEM are set by the marginal unit</w:t>
      </w:r>
      <w:r w:rsidR="009B0674">
        <w:t xml:space="preserve"> –</w:t>
      </w:r>
      <w:r>
        <w:t xml:space="preserve"> the highest bid generator that is </w:t>
      </w:r>
      <w:r w:rsidR="00D61BED">
        <w:t>dispatched</w:t>
      </w:r>
      <w:r>
        <w:t xml:space="preserve"> to supply electricity.</w:t>
      </w:r>
      <w:r w:rsidR="008255A7">
        <w:t xml:space="preserve"> Gas-powered generation accounts for a relatively small share of electricity output (around 5 per cent), but it can be important in driving competition and </w:t>
      </w:r>
      <w:r w:rsidR="00A5577E">
        <w:t>determining the clear</w:t>
      </w:r>
      <w:r w:rsidR="00B54002">
        <w:t>ing</w:t>
      </w:r>
      <w:r w:rsidR="00A5577E">
        <w:t xml:space="preserve"> </w:t>
      </w:r>
      <w:r w:rsidR="008255A7">
        <w:t>price</w:t>
      </w:r>
      <w:r w:rsidR="00A5577E">
        <w:t xml:space="preserve"> in peak demand periods</w:t>
      </w:r>
      <w:r w:rsidR="008255A7">
        <w:t xml:space="preserve"> in the NEM. </w:t>
      </w:r>
    </w:p>
    <w:p w14:paraId="13BDC179" w14:textId="446CAE53" w:rsidR="005639D4" w:rsidRDefault="008255A7" w:rsidP="0047361C">
      <w:r>
        <w:t>W</w:t>
      </w:r>
      <w:r w:rsidR="004234B0" w:rsidRPr="008B62C3">
        <w:t xml:space="preserve">holesale electricity prices in the NEM </w:t>
      </w:r>
      <w:r w:rsidR="000D49E9">
        <w:t>experienced sharp price increases</w:t>
      </w:r>
      <w:r>
        <w:t xml:space="preserve"> in 2022</w:t>
      </w:r>
      <w:r w:rsidR="009F4C90">
        <w:t>, starting</w:t>
      </w:r>
      <w:r w:rsidR="00ED0B8E">
        <w:t xml:space="preserve"> from $103/MWh in January to peaking at $392/MWh in July 2022</w:t>
      </w:r>
      <w:r w:rsidR="004234B0" w:rsidRPr="008B62C3">
        <w:t>.</w:t>
      </w:r>
      <w:r w:rsidR="004234B0">
        <w:t xml:space="preserve"> </w:t>
      </w:r>
      <w:r w:rsidR="00AB4CF6">
        <w:t xml:space="preserve">While </w:t>
      </w:r>
      <w:r w:rsidR="000D49E9">
        <w:t xml:space="preserve">these prices </w:t>
      </w:r>
      <w:r w:rsidR="004234B0" w:rsidRPr="002459A3">
        <w:t xml:space="preserve">have stabilised since July, </w:t>
      </w:r>
      <w:r w:rsidR="00AB4CF6">
        <w:t>they are</w:t>
      </w:r>
      <w:r w:rsidR="004234B0" w:rsidRPr="002459A3">
        <w:t xml:space="preserve"> </w:t>
      </w:r>
      <w:r w:rsidR="00F45969">
        <w:t xml:space="preserve">still </w:t>
      </w:r>
      <w:r w:rsidR="00BC4C9F">
        <w:t>75 per cent</w:t>
      </w:r>
      <w:r w:rsidR="004234B0" w:rsidRPr="002459A3">
        <w:t xml:space="preserve"> higher </w:t>
      </w:r>
      <w:r w:rsidR="00BC4C9F">
        <w:t xml:space="preserve">than </w:t>
      </w:r>
      <w:r w:rsidR="002665F8">
        <w:t xml:space="preserve">the average </w:t>
      </w:r>
      <w:r w:rsidR="00BC4C9F">
        <w:t>in 2021</w:t>
      </w:r>
      <w:r w:rsidR="004234B0" w:rsidRPr="002459A3">
        <w:t xml:space="preserve"> and are expected to stay elevated over the next </w:t>
      </w:r>
      <w:r w:rsidR="00097EA6">
        <w:t>few</w:t>
      </w:r>
      <w:r w:rsidR="004234B0" w:rsidRPr="002459A3">
        <w:t xml:space="preserve"> years.</w:t>
      </w:r>
      <w:r w:rsidR="004234B0">
        <w:t xml:space="preserve"> </w:t>
      </w:r>
      <w:r w:rsidR="006B1F5D" w:rsidRPr="0056191E">
        <w:t>Futures contracts for wholesale electricity in 2023-24 and 2024-25 are currently trading at around</w:t>
      </w:r>
      <w:r w:rsidR="006B1F5D">
        <w:t xml:space="preserve"> </w:t>
      </w:r>
      <w:r w:rsidR="006B1F5D" w:rsidRPr="001127DF">
        <w:t>$</w:t>
      </w:r>
      <w:r w:rsidR="006B1F5D" w:rsidRPr="00DF3C5F">
        <w:t>16</w:t>
      </w:r>
      <w:r w:rsidR="006B1F5D">
        <w:t>5</w:t>
      </w:r>
      <w:r w:rsidR="006B1F5D" w:rsidRPr="001127DF">
        <w:t>/MWh and $</w:t>
      </w:r>
      <w:r w:rsidR="006B1F5D" w:rsidRPr="00DF3C5F">
        <w:t>1</w:t>
      </w:r>
      <w:r w:rsidR="006B1F5D">
        <w:t>40</w:t>
      </w:r>
      <w:r w:rsidR="006B1F5D" w:rsidRPr="001127DF">
        <w:t>/MWh</w:t>
      </w:r>
      <w:r w:rsidR="006B1F5D">
        <w:rPr>
          <w:rStyle w:val="FootnoteReference"/>
        </w:rPr>
        <w:footnoteReference w:id="5"/>
      </w:r>
      <w:r w:rsidR="006B1F5D">
        <w:t xml:space="preserve"> respectively, well above the average price at the end of 2021 of </w:t>
      </w:r>
      <w:r w:rsidR="006B1F5D" w:rsidRPr="00CC154B">
        <w:t>around $62/MWh.</w:t>
      </w:r>
      <w:r w:rsidR="006B1F5D">
        <w:rPr>
          <w:rStyle w:val="FootnoteReference"/>
        </w:rPr>
        <w:footnoteReference w:id="6"/>
      </w:r>
    </w:p>
    <w:p w14:paraId="1EF45B4F" w14:textId="77777777" w:rsidR="002D4D64" w:rsidRDefault="002D4D64" w:rsidP="006B6675">
      <w:pPr>
        <w:pStyle w:val="HeaderEven"/>
      </w:pPr>
    </w:p>
    <w:p w14:paraId="5BC9DEF7" w14:textId="472CDBAD" w:rsidR="006B6675" w:rsidRDefault="006B6675" w:rsidP="006B6675">
      <w:pPr>
        <w:pStyle w:val="HeaderEven"/>
      </w:pPr>
      <w:r>
        <w:t>Gas</w:t>
      </w:r>
    </w:p>
    <w:p w14:paraId="6A7B7FD2" w14:textId="0B4787F9" w:rsidR="006B6675" w:rsidRDefault="006B6675" w:rsidP="006B6675">
      <w:pPr>
        <w:pStyle w:val="BodyText"/>
      </w:pPr>
      <w:r>
        <w:t xml:space="preserve">Domestic wholesale gas prices </w:t>
      </w:r>
      <w:r w:rsidR="009B0674">
        <w:t xml:space="preserve">in the east coast market </w:t>
      </w:r>
      <w:r>
        <w:t xml:space="preserve">remain more than double their average prior to Russia’s invasion of Ukraine.  </w:t>
      </w:r>
    </w:p>
    <w:p w14:paraId="1EE3902E" w14:textId="1B7745C1" w:rsidR="006B6675" w:rsidRPr="0086418B" w:rsidRDefault="006B6675" w:rsidP="006B6675">
      <w:pPr>
        <w:pStyle w:val="BodyText"/>
      </w:pPr>
      <w:r>
        <w:t xml:space="preserve">Both new gas price contract offers and spot prices across the east coast spiked in 2022. The duration and height of the price spike from May to August 2022 was unprecedented for Australia’s east coast gas market. </w:t>
      </w:r>
      <w:r w:rsidRPr="0086418B">
        <w:t>At the Wallumbilla Gas Supply Hub in Queensland</w:t>
      </w:r>
      <w:r w:rsidR="00844617">
        <w:t>,</w:t>
      </w:r>
      <w:r w:rsidRPr="0086418B">
        <w:t xml:space="preserve"> prices reached a peak of $47.50</w:t>
      </w:r>
      <w:r w:rsidR="00621C96">
        <w:t>/</w:t>
      </w:r>
      <w:r w:rsidRPr="0086418B">
        <w:t>GJ in July and have remained elevated for most of September and into November. Prices exceeded $50</w:t>
      </w:r>
      <w:r w:rsidR="00621C96">
        <w:t>/</w:t>
      </w:r>
      <w:r w:rsidRPr="0086418B">
        <w:t>GJ in Victoria.</w:t>
      </w:r>
    </w:p>
    <w:p w14:paraId="1B1EF5FA" w14:textId="3E7B48EC" w:rsidR="006B6675" w:rsidRDefault="005639D4" w:rsidP="006B6675">
      <w:pPr>
        <w:pStyle w:val="BodyText"/>
      </w:pPr>
      <w:r>
        <w:t>While s</w:t>
      </w:r>
      <w:r w:rsidR="008A5C9C">
        <w:t>pot p</w:t>
      </w:r>
      <w:r w:rsidR="006B6675" w:rsidRPr="0086418B">
        <w:t>rices have recently fallen across the east coast market</w:t>
      </w:r>
      <w:r>
        <w:t>, they</w:t>
      </w:r>
      <w:r w:rsidR="006B6675" w:rsidRPr="0086418B">
        <w:t xml:space="preserve"> remain volatile</w:t>
      </w:r>
      <w:r>
        <w:t xml:space="preserve"> and historically high with markets ranging </w:t>
      </w:r>
      <w:r w:rsidR="00E42C87">
        <w:t>between $10 and $23</w:t>
      </w:r>
      <w:r w:rsidR="00621C96">
        <w:t>/</w:t>
      </w:r>
      <w:r w:rsidDel="00E42C87">
        <w:t>GJ for November</w:t>
      </w:r>
      <w:r w:rsidR="007D494D">
        <w:t xml:space="preserve"> 2022</w:t>
      </w:r>
      <w:r w:rsidR="006B6675" w:rsidRPr="0086418B">
        <w:t>.</w:t>
      </w:r>
      <w:r w:rsidR="006B6675">
        <w:t xml:space="preserve"> </w:t>
      </w:r>
      <w:r>
        <w:t>N</w:t>
      </w:r>
      <w:r w:rsidR="006B6675" w:rsidRPr="0086418B">
        <w:t xml:space="preserve">ew contract offer information shows volume weighted offers from gas producers and retailers made between March </w:t>
      </w:r>
      <w:r w:rsidR="006B6675">
        <w:t>2022 and</w:t>
      </w:r>
      <w:r w:rsidR="006B6675" w:rsidRPr="0086418B">
        <w:t xml:space="preserve"> August 2022 for supply in 2023 have doubled from the September 2021</w:t>
      </w:r>
      <w:r w:rsidR="006B6675">
        <w:t xml:space="preserve"> to </w:t>
      </w:r>
      <w:r w:rsidR="006B6675" w:rsidRPr="0086418B">
        <w:t>February 2022 period</w:t>
      </w:r>
      <w:r w:rsidR="00E00982">
        <w:t>.</w:t>
      </w:r>
      <w:r w:rsidR="00AD13CD">
        <w:rPr>
          <w:rStyle w:val="FootnoteReference"/>
        </w:rPr>
        <w:footnoteReference w:id="7"/>
      </w:r>
      <w:r w:rsidR="006B6675">
        <w:t xml:space="preserve"> </w:t>
      </w:r>
      <w:r w:rsidR="006B6675" w:rsidRPr="0086418B">
        <w:t xml:space="preserve">Weighted average </w:t>
      </w:r>
      <w:r w:rsidR="00AD13CD">
        <w:t>g</w:t>
      </w:r>
      <w:r w:rsidR="006B6675" w:rsidRPr="0086418B">
        <w:t xml:space="preserve">as </w:t>
      </w:r>
      <w:r w:rsidR="00AD13CD">
        <w:t>p</w:t>
      </w:r>
      <w:r w:rsidR="006B6675" w:rsidRPr="0086418B">
        <w:t>roducer offers increased from $10.51</w:t>
      </w:r>
      <w:r w:rsidR="00621C96">
        <w:t>/</w:t>
      </w:r>
      <w:r w:rsidR="006B6675" w:rsidRPr="0086418B">
        <w:t xml:space="preserve">GJ to </w:t>
      </w:r>
      <w:r w:rsidR="006B6675">
        <w:t>$</w:t>
      </w:r>
      <w:r w:rsidR="006B6675" w:rsidRPr="0086418B">
        <w:t>19.66</w:t>
      </w:r>
      <w:r w:rsidR="00621C96">
        <w:t>/</w:t>
      </w:r>
      <w:r w:rsidR="006B6675" w:rsidRPr="0086418B">
        <w:t xml:space="preserve">GJ and </w:t>
      </w:r>
      <w:r w:rsidR="00AD13CD">
        <w:t>r</w:t>
      </w:r>
      <w:r w:rsidR="006B6675" w:rsidRPr="0086418B">
        <w:t>etailer offers increased from $9.84</w:t>
      </w:r>
      <w:r w:rsidR="00621C96">
        <w:t>/</w:t>
      </w:r>
      <w:r w:rsidR="006B6675" w:rsidRPr="0086418B">
        <w:t>GJ to $20.16</w:t>
      </w:r>
      <w:r w:rsidR="00621C96">
        <w:t>/</w:t>
      </w:r>
      <w:r w:rsidR="006B6675" w:rsidRPr="0086418B">
        <w:t>GJ.</w:t>
      </w:r>
    </w:p>
    <w:p w14:paraId="6A7D03AA" w14:textId="0814A795" w:rsidR="0041184C" w:rsidRDefault="0041184C" w:rsidP="006B6675">
      <w:pPr>
        <w:pStyle w:val="BodyText"/>
      </w:pPr>
      <w:r>
        <w:t>In Australia’s east coast gas market, the majority of trade is struck under confidential bilateral contracts, with around 10</w:t>
      </w:r>
      <w:r w:rsidR="00F417A7">
        <w:t xml:space="preserve"> to </w:t>
      </w:r>
      <w:r>
        <w:t>20 per cent of gas traded in organised spot markets.</w:t>
      </w:r>
      <w:r>
        <w:rPr>
          <w:rStyle w:val="FootnoteReference"/>
        </w:rPr>
        <w:footnoteReference w:id="8"/>
      </w:r>
      <w:r>
        <w:t xml:space="preserve"> Confidential b</w:t>
      </w:r>
      <w:r>
        <w:rPr>
          <w:bCs/>
        </w:rPr>
        <w:t xml:space="preserve">ilateral contracts range in length from months to multiple years, although contracts longer than three years are less common. Longer term contracts have provided a measure of protection for gas </w:t>
      </w:r>
      <w:r>
        <w:rPr>
          <w:bCs/>
        </w:rPr>
        <w:lastRenderedPageBreak/>
        <w:t>users from the high prices of the last six months, however high market prices will impact the price of new contracts as they are negotiated.</w:t>
      </w:r>
      <w:r w:rsidR="00F417A7">
        <w:rPr>
          <w:bCs/>
        </w:rPr>
        <w:t xml:space="preserve"> </w:t>
      </w:r>
    </w:p>
    <w:p w14:paraId="728E4441" w14:textId="505DCB84" w:rsidR="000978FA" w:rsidRDefault="005A4C86" w:rsidP="0099471D">
      <w:pPr>
        <w:pStyle w:val="Heading3"/>
      </w:pPr>
      <w:bookmarkStart w:id="8" w:name="_Toc121406863"/>
      <w:r>
        <w:t xml:space="preserve">High wholesale </w:t>
      </w:r>
      <w:r w:rsidR="00583A11">
        <w:t xml:space="preserve">electricity </w:t>
      </w:r>
      <w:r>
        <w:t>costs are flowing through to retail prices</w:t>
      </w:r>
      <w:bookmarkEnd w:id="8"/>
      <w:r>
        <w:t xml:space="preserve"> </w:t>
      </w:r>
    </w:p>
    <w:p w14:paraId="2B7296C1" w14:textId="2B166E16" w:rsidR="0047361C" w:rsidRDefault="0047361C" w:rsidP="0047361C">
      <w:r>
        <w:t xml:space="preserve">Rising wholesale electricity </w:t>
      </w:r>
      <w:r w:rsidR="00583A11">
        <w:t>costs</w:t>
      </w:r>
      <w:r>
        <w:t xml:space="preserve"> will flow through to end-users of electricity. The factors that make up consumers’ final </w:t>
      </w:r>
      <w:r w:rsidR="00CD2D19">
        <w:t>electricity</w:t>
      </w:r>
      <w:r>
        <w:t xml:space="preserve"> bills are illustrated in Chart 4 below, with network costs and wholesale costs being key components of the final price end-users of electricity face. As wholesale electricity costs have historically made up between 30 and 40 per cent of retail bills, the expected increase in wholesale electricity and gas prices will have an impact on energy bills for end consumers</w:t>
      </w:r>
      <w:r w:rsidDel="003D7892">
        <w:t>.</w:t>
      </w:r>
      <w:r>
        <w:t xml:space="preserve"> </w:t>
      </w:r>
    </w:p>
    <w:p w14:paraId="660E3484" w14:textId="1C462C18" w:rsidR="0047361C" w:rsidRDefault="0047361C" w:rsidP="0047361C">
      <w:r w:rsidRPr="00C1355C">
        <w:rPr>
          <w:b/>
          <w:bCs/>
        </w:rPr>
        <w:t xml:space="preserve">Chart 4: </w:t>
      </w:r>
      <w:r w:rsidR="00087802">
        <w:rPr>
          <w:b/>
          <w:bCs/>
        </w:rPr>
        <w:t>Costs contributing to final retail</w:t>
      </w:r>
      <w:r w:rsidR="00E77B95">
        <w:rPr>
          <w:b/>
          <w:bCs/>
        </w:rPr>
        <w:t xml:space="preserve"> electricity</w:t>
      </w:r>
      <w:r w:rsidR="00087802">
        <w:rPr>
          <w:b/>
          <w:bCs/>
        </w:rPr>
        <w:t xml:space="preserve"> bills by State</w:t>
      </w:r>
      <w:r>
        <w:t xml:space="preserve"> </w:t>
      </w:r>
      <w:r w:rsidRPr="00A63E28">
        <w:rPr>
          <w:noProof/>
          <w:lang w:eastAsia="en-AU"/>
        </w:rPr>
        <w:drawing>
          <wp:inline distT="0" distB="0" distL="0" distR="0" wp14:anchorId="3995D5FA" wp14:editId="443EA599">
            <wp:extent cx="5715000" cy="3593830"/>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t="5764" r="1573"/>
                    <a:stretch/>
                  </pic:blipFill>
                  <pic:spPr bwMode="auto">
                    <a:xfrm>
                      <a:off x="0" y="0"/>
                      <a:ext cx="5719895" cy="3596908"/>
                    </a:xfrm>
                    <a:prstGeom prst="rect">
                      <a:avLst/>
                    </a:prstGeom>
                    <a:ln>
                      <a:noFill/>
                    </a:ln>
                    <a:extLst>
                      <a:ext uri="{53640926-AAD7-44D8-BBD7-CCE9431645EC}">
                        <a14:shadowObscured xmlns:a14="http://schemas.microsoft.com/office/drawing/2010/main"/>
                      </a:ext>
                    </a:extLst>
                  </pic:spPr>
                </pic:pic>
              </a:graphicData>
            </a:graphic>
          </wp:inline>
        </w:drawing>
      </w:r>
    </w:p>
    <w:p w14:paraId="1762ABA7" w14:textId="7DD45896" w:rsidR="00DB1C5B" w:rsidRDefault="00FE2739" w:rsidP="00DB1C5B">
      <w:r>
        <w:t xml:space="preserve">The impact of wholesale prices on retail electricity prices has </w:t>
      </w:r>
      <w:r w:rsidR="00530529">
        <w:t>flowed through to some extent</w:t>
      </w:r>
      <w:r>
        <w:t xml:space="preserve"> in the AER’s 2022-23 Default Market Offer (DMO) determination compared to the previous financial year. </w:t>
      </w:r>
      <w:r w:rsidR="0047361C">
        <w:t>The 2022-23 DMO determination saw residential customers with standing offers face nominal increases of around 7 to 18 per cent on their electricity bills, and small businesses face increases of up to around 20 per cent. While standing offer customers represent approximately 10 per cent of residential customers and 18 per cent of small</w:t>
      </w:r>
      <w:r w:rsidR="0047361C" w:rsidDel="00353EC8">
        <w:t xml:space="preserve"> </w:t>
      </w:r>
      <w:r w:rsidR="0047361C">
        <w:t>business customers in the DMO regions (New South Wales, South-East Queensland and South Australia), and noting that wholesale costs typically represent 30 to 40 per cent of bills, these increases provide insight into</w:t>
      </w:r>
      <w:r w:rsidR="00353EC8">
        <w:t xml:space="preserve"> the</w:t>
      </w:r>
      <w:r w:rsidR="0047361C">
        <w:t xml:space="preserve"> flow-on impact of </w:t>
      </w:r>
      <w:r w:rsidR="000E749C">
        <w:t>wholesale electricity prices onto retail electricity prices for consumers.</w:t>
      </w:r>
    </w:p>
    <w:p w14:paraId="7A510333" w14:textId="1C2FA0E8" w:rsidR="00DB1C5B" w:rsidRDefault="00DB1C5B" w:rsidP="00DB1C5B">
      <w:r>
        <w:t>R</w:t>
      </w:r>
      <w:r w:rsidRPr="00FC7E9B">
        <w:t xml:space="preserve">etail electricity prices </w:t>
      </w:r>
      <w:r>
        <w:t xml:space="preserve">are expected to have </w:t>
      </w:r>
      <w:r w:rsidRPr="00FC7E9B">
        <w:t>increase</w:t>
      </w:r>
      <w:r>
        <w:t>d</w:t>
      </w:r>
      <w:r w:rsidRPr="00FC7E9B">
        <w:t xml:space="preserve"> by an average of 20</w:t>
      </w:r>
      <w:r w:rsidRPr="7ADBE719">
        <w:t> </w:t>
      </w:r>
      <w:r w:rsidRPr="00FC7E9B">
        <w:t xml:space="preserve">per cent nationally in </w:t>
      </w:r>
      <w:r>
        <w:t>the second half of</w:t>
      </w:r>
      <w:r w:rsidRPr="00FC7E9B">
        <w:t xml:space="preserve"> 2022</w:t>
      </w:r>
      <w:r>
        <w:t>, largely reflecting the 2022</w:t>
      </w:r>
      <w:r w:rsidR="00126E3A">
        <w:t>-</w:t>
      </w:r>
      <w:r>
        <w:t xml:space="preserve">23 </w:t>
      </w:r>
      <w:r w:rsidR="00343F34">
        <w:t>DMO</w:t>
      </w:r>
      <w:r>
        <w:t xml:space="preserve"> determination. Looking forward, the October 2022 Budget forecast</w:t>
      </w:r>
      <w:r w:rsidR="00097EA6">
        <w:t xml:space="preserve"> that</w:t>
      </w:r>
      <w:r>
        <w:t xml:space="preserve"> retail electricity prices would rise by </w:t>
      </w:r>
      <w:r w:rsidRPr="00FC7E9B">
        <w:t>a further 30 per cent in 2023–24.</w:t>
      </w:r>
      <w:r>
        <w:t xml:space="preserve"> Treasury also expected increases in retail gas prices of 20 per cent in 2022-23 and 20 per cent in 2023-24. </w:t>
      </w:r>
      <w:r>
        <w:rPr>
          <w:rFonts w:eastAsia="Times New Roman"/>
        </w:rPr>
        <w:t xml:space="preserve">Based on the latest available information and updated advice from </w:t>
      </w:r>
      <w:r>
        <w:rPr>
          <w:rFonts w:eastAsia="Times New Roman"/>
        </w:rPr>
        <w:lastRenderedPageBreak/>
        <w:t xml:space="preserve">government agencies and regulators, </w:t>
      </w:r>
      <w:r w:rsidRPr="00DC1783">
        <w:t>T</w:t>
      </w:r>
      <w:r>
        <w:t>reasury</w:t>
      </w:r>
      <w:r w:rsidRPr="00DC1783">
        <w:t xml:space="preserve"> </w:t>
      </w:r>
      <w:r>
        <w:t>now forecasts, that without</w:t>
      </w:r>
      <w:r w:rsidRPr="00DC1783">
        <w:t xml:space="preserve"> intervention, national </w:t>
      </w:r>
      <w:r w:rsidR="00126E3A">
        <w:t xml:space="preserve">retail </w:t>
      </w:r>
      <w:r w:rsidRPr="00DC1783">
        <w:t xml:space="preserve">electricity prices in 2023-24 </w:t>
      </w:r>
      <w:r>
        <w:t>would rise</w:t>
      </w:r>
      <w:r w:rsidRPr="00DC1783">
        <w:t xml:space="preserve"> by 36 per cent.</w:t>
      </w:r>
      <w:r>
        <w:t xml:space="preserve"> </w:t>
      </w:r>
    </w:p>
    <w:p w14:paraId="62C18FB9" w14:textId="7D4C2843" w:rsidR="000978FA" w:rsidRDefault="000978FA" w:rsidP="00801175">
      <w:r>
        <w:t>Th</w:t>
      </w:r>
      <w:r w:rsidR="00670C39">
        <w:t>ese</w:t>
      </w:r>
      <w:r>
        <w:t xml:space="preserve"> price increase</w:t>
      </w:r>
      <w:r w:rsidR="001211EE">
        <w:t>s are</w:t>
      </w:r>
      <w:r>
        <w:t xml:space="preserve"> also affecting business profitability and may threaten the long-term sustainability of some businesses.</w:t>
      </w:r>
    </w:p>
    <w:p w14:paraId="25630ED9" w14:textId="74A15F24" w:rsidR="002772D5" w:rsidRPr="00E01FCA" w:rsidRDefault="002772D5" w:rsidP="002772D5">
      <w:pPr>
        <w:pStyle w:val="Heading3"/>
      </w:pPr>
      <w:bookmarkStart w:id="9" w:name="_Toc121406864"/>
      <w:r>
        <w:t xml:space="preserve">Current government frameworks </w:t>
      </w:r>
      <w:r w:rsidR="002450FC">
        <w:t>could</w:t>
      </w:r>
      <w:r>
        <w:t xml:space="preserve"> be </w:t>
      </w:r>
      <w:r w:rsidR="002450FC">
        <w:t>strengthened</w:t>
      </w:r>
      <w:bookmarkEnd w:id="9"/>
      <w:r w:rsidR="002450FC">
        <w:t xml:space="preserve"> </w:t>
      </w:r>
    </w:p>
    <w:p w14:paraId="6A703270" w14:textId="5D3500F2" w:rsidR="00AD13CD" w:rsidRDefault="00AD13CD" w:rsidP="00AD13CD">
      <w:r>
        <w:t xml:space="preserve">Existing policy levers available to the Commonwealth are targeted at ensuring supply of gas while allowing markets to determine commodity pricing. </w:t>
      </w:r>
    </w:p>
    <w:p w14:paraId="2039AFA1" w14:textId="5F94AF9A" w:rsidR="002772D5" w:rsidRDefault="002772D5" w:rsidP="002772D5">
      <w:r w:rsidRPr="00D75CBD">
        <w:t>Under the H</w:t>
      </w:r>
      <w:r>
        <w:t xml:space="preserve">eads of </w:t>
      </w:r>
      <w:r w:rsidRPr="00D75CBD">
        <w:t>A</w:t>
      </w:r>
      <w:r>
        <w:t>greement</w:t>
      </w:r>
      <w:r w:rsidR="000966BF">
        <w:t xml:space="preserve"> (HoA)</w:t>
      </w:r>
      <w:r w:rsidRPr="00D75CBD">
        <w:t>,</w:t>
      </w:r>
      <w:r w:rsidR="00AD13CD">
        <w:t xml:space="preserve"> which was </w:t>
      </w:r>
      <w:r w:rsidR="0041184C">
        <w:t>renewed</w:t>
      </w:r>
      <w:r w:rsidR="00AD13CD">
        <w:t xml:space="preserve"> in September 2022,</w:t>
      </w:r>
      <w:r w:rsidRPr="00D75CBD">
        <w:t xml:space="preserve"> LNG </w:t>
      </w:r>
      <w:r w:rsidR="004671AD">
        <w:t>e</w:t>
      </w:r>
      <w:r w:rsidRPr="00D75CBD">
        <w:t xml:space="preserve">xporters </w:t>
      </w:r>
      <w:r w:rsidR="004671AD">
        <w:t xml:space="preserve">have </w:t>
      </w:r>
      <w:r w:rsidRPr="00D75CBD">
        <w:t>commit</w:t>
      </w:r>
      <w:r w:rsidR="009606D4">
        <w:t>t</w:t>
      </w:r>
      <w:r w:rsidR="004671AD">
        <w:t>ed</w:t>
      </w:r>
      <w:r w:rsidRPr="00D75CBD">
        <w:t xml:space="preserve"> to offer uncontracted gas to the domestic market before it is offered to the international market, with reasonable notice, for reasonable supply periods and on </w:t>
      </w:r>
      <w:r w:rsidR="00B31C19" w:rsidRPr="00D75CBD">
        <w:t xml:space="preserve">competitive market </w:t>
      </w:r>
      <w:r w:rsidR="00B31C19" w:rsidRPr="00370C22">
        <w:t xml:space="preserve">terms. </w:t>
      </w:r>
      <w:r w:rsidR="0041184C">
        <w:t>A gas producer</w:t>
      </w:r>
      <w:r w:rsidRPr="00370C22">
        <w:t xml:space="preserve">-led voluntary </w:t>
      </w:r>
      <w:r w:rsidR="00A70772">
        <w:t>C</w:t>
      </w:r>
      <w:r w:rsidRPr="00370C22">
        <w:t xml:space="preserve">ode of </w:t>
      </w:r>
      <w:r w:rsidR="00A70772">
        <w:t>C</w:t>
      </w:r>
      <w:r w:rsidRPr="00370C22">
        <w:t xml:space="preserve">onduct is annexed to the </w:t>
      </w:r>
      <w:r w:rsidR="000966BF">
        <w:t>HoA</w:t>
      </w:r>
      <w:r>
        <w:t xml:space="preserve">, </w:t>
      </w:r>
      <w:r w:rsidR="004671AD">
        <w:t xml:space="preserve">with the intent of </w:t>
      </w:r>
      <w:r w:rsidRPr="00370C22">
        <w:t>plac</w:t>
      </w:r>
      <w:r w:rsidR="004671AD">
        <w:t>ing</w:t>
      </w:r>
      <w:r w:rsidRPr="00370C22">
        <w:t xml:space="preserve"> minimum standards on </w:t>
      </w:r>
      <w:r w:rsidR="004671AD">
        <w:t>LNG</w:t>
      </w:r>
      <w:r w:rsidR="004671AD" w:rsidRPr="00370C22">
        <w:t xml:space="preserve"> </w:t>
      </w:r>
      <w:r w:rsidRPr="00370C22">
        <w:t xml:space="preserve">exporters </w:t>
      </w:r>
      <w:r w:rsidR="0063747A">
        <w:t>and other signatories</w:t>
      </w:r>
      <w:r w:rsidRPr="00370C22">
        <w:t xml:space="preserve"> when negotiating with customers to enter into gas supply contracts. This includes a</w:t>
      </w:r>
      <w:r w:rsidR="00AD13CD">
        <w:t>n obligation</w:t>
      </w:r>
      <w:r w:rsidRPr="00370C22">
        <w:t xml:space="preserve"> to act in good </w:t>
      </w:r>
      <w:r w:rsidRPr="00370C22" w:rsidDel="004671AD">
        <w:t>faith</w:t>
      </w:r>
      <w:r w:rsidR="004671AD" w:rsidRPr="00370C22">
        <w:t xml:space="preserve"> and</w:t>
      </w:r>
      <w:r w:rsidRPr="00370C22">
        <w:t xml:space="preserve"> comply with obligations to ensure transparency around pricing.</w:t>
      </w:r>
    </w:p>
    <w:p w14:paraId="19BA8479" w14:textId="5357951D" w:rsidR="0047361C" w:rsidRDefault="0047361C" w:rsidP="0047361C">
      <w:pPr>
        <w:pStyle w:val="BodyText"/>
      </w:pPr>
      <w:r w:rsidRPr="00204FC2">
        <w:t xml:space="preserve">The ACCC has recommended ways to strengthen the key obligations within the voluntary </w:t>
      </w:r>
      <w:r w:rsidR="002951F2">
        <w:t>C</w:t>
      </w:r>
      <w:r w:rsidR="002951F2" w:rsidRPr="00204FC2">
        <w:t>ode</w:t>
      </w:r>
      <w:r w:rsidR="002951F2">
        <w:t xml:space="preserve"> of Conduct</w:t>
      </w:r>
      <w:r w:rsidRPr="00204FC2">
        <w:t xml:space="preserve">, including by making </w:t>
      </w:r>
      <w:r w:rsidR="002951F2">
        <w:t xml:space="preserve">it </w:t>
      </w:r>
      <w:r w:rsidRPr="00204FC2">
        <w:t>mandatory.</w:t>
      </w:r>
      <w:r w:rsidRPr="002E2609">
        <w:t xml:space="preserve"> </w:t>
      </w:r>
      <w:r w:rsidR="00AD13CD">
        <w:t>A</w:t>
      </w:r>
      <w:r>
        <w:t xml:space="preserve"> mandatory </w:t>
      </w:r>
      <w:r w:rsidR="003E7E15">
        <w:t>C</w:t>
      </w:r>
      <w:r>
        <w:t>ode</w:t>
      </w:r>
      <w:r w:rsidR="003E7E15">
        <w:t xml:space="preserve"> of Conduct</w:t>
      </w:r>
      <w:r>
        <w:t xml:space="preserve"> would</w:t>
      </w:r>
      <w:r w:rsidRPr="00204FC2">
        <w:t xml:space="preserve"> mean </w:t>
      </w:r>
      <w:r w:rsidR="002951F2">
        <w:t xml:space="preserve">it </w:t>
      </w:r>
      <w:r w:rsidRPr="00204FC2">
        <w:t>applies to all sellers, regardless of whether they opted</w:t>
      </w:r>
      <w:r w:rsidR="004671AD">
        <w:t xml:space="preserve"> </w:t>
      </w:r>
      <w:r w:rsidR="004671AD" w:rsidRPr="00204FC2">
        <w:t>into</w:t>
      </w:r>
      <w:r w:rsidRPr="00204FC2">
        <w:t xml:space="preserve"> the </w:t>
      </w:r>
      <w:r w:rsidR="00AD13CD">
        <w:t xml:space="preserve">existing </w:t>
      </w:r>
      <w:r w:rsidRPr="00204FC2">
        <w:t xml:space="preserve">voluntary </w:t>
      </w:r>
      <w:r w:rsidR="003E7E15">
        <w:t>C</w:t>
      </w:r>
      <w:r w:rsidRPr="00204FC2">
        <w:t>ode</w:t>
      </w:r>
      <w:r w:rsidR="003E7E15">
        <w:t xml:space="preserve"> of Conduct</w:t>
      </w:r>
      <w:r w:rsidRPr="00204FC2">
        <w:t xml:space="preserve"> and </w:t>
      </w:r>
      <w:r>
        <w:t>would</w:t>
      </w:r>
      <w:r w:rsidRPr="00204FC2">
        <w:t xml:space="preserve"> </w:t>
      </w:r>
      <w:r w:rsidR="00AD13CD">
        <w:t>include</w:t>
      </w:r>
      <w:r w:rsidR="004671AD">
        <w:t xml:space="preserve"> giving </w:t>
      </w:r>
      <w:r w:rsidRPr="00204FC2">
        <w:t>the ACCC</w:t>
      </w:r>
      <w:r w:rsidRPr="00204FC2" w:rsidDel="004671AD">
        <w:t xml:space="preserve"> </w:t>
      </w:r>
      <w:r w:rsidRPr="00204FC2">
        <w:t xml:space="preserve">powers to monitor compliance with the </w:t>
      </w:r>
      <w:r w:rsidR="002951F2">
        <w:t>Code of Conduct</w:t>
      </w:r>
      <w:r w:rsidR="002951F2" w:rsidRPr="00204FC2">
        <w:t xml:space="preserve"> </w:t>
      </w:r>
      <w:r w:rsidRPr="00204FC2">
        <w:t xml:space="preserve">and take enforcement action if non-compliance is identified. The ACCC has also recommended the mandatory </w:t>
      </w:r>
      <w:r w:rsidR="003E7E15">
        <w:t>C</w:t>
      </w:r>
      <w:r w:rsidRPr="00204FC2">
        <w:t>ode</w:t>
      </w:r>
      <w:r w:rsidR="003E7E15">
        <w:t xml:space="preserve"> of Conduct</w:t>
      </w:r>
      <w:r w:rsidRPr="00204FC2">
        <w:t xml:space="preserve"> </w:t>
      </w:r>
      <w:r>
        <w:t>include</w:t>
      </w:r>
      <w:r w:rsidRPr="00204FC2">
        <w:t xml:space="preserve"> a binding arbitration process to resolve disputes between gas sellers and buyers at the wholesale level. </w:t>
      </w:r>
      <w:r w:rsidRPr="002E2609">
        <w:t>Further, in its most recent report</w:t>
      </w:r>
      <w:r w:rsidR="00B16CF2">
        <w:rPr>
          <w:rStyle w:val="FootnoteReference"/>
        </w:rPr>
        <w:footnoteReference w:id="9"/>
      </w:r>
      <w:r w:rsidRPr="002E2609">
        <w:t xml:space="preserve">, </w:t>
      </w:r>
      <w:r w:rsidR="00DB1C5B">
        <w:t xml:space="preserve">which was published prior to the new HoA being signed, </w:t>
      </w:r>
      <w:r w:rsidRPr="002E2609">
        <w:t xml:space="preserve">the ACCC indicated concern that one of the east coast LNG exporters was </w:t>
      </w:r>
      <w:r w:rsidR="0041184C">
        <w:t>making offers at</w:t>
      </w:r>
      <w:r w:rsidRPr="002E2609">
        <w:t xml:space="preserve"> prices far above what it receives for uncontracted gas in overseas markets.  </w:t>
      </w:r>
    </w:p>
    <w:p w14:paraId="2378C7A3" w14:textId="6B3000F3" w:rsidR="0047361C" w:rsidRDefault="00AD13CD" w:rsidP="0047361C">
      <w:r>
        <w:t xml:space="preserve">If </w:t>
      </w:r>
      <w:r w:rsidR="0047361C">
        <w:t xml:space="preserve">a gas supply </w:t>
      </w:r>
      <w:r>
        <w:t>shortfall is forecast for Australia</w:t>
      </w:r>
      <w:r w:rsidR="0047361C">
        <w:t>, t</w:t>
      </w:r>
      <w:r w:rsidR="0047361C" w:rsidRPr="00773189">
        <w:t xml:space="preserve">he </w:t>
      </w:r>
      <w:r w:rsidR="0047361C">
        <w:t xml:space="preserve">Commonwealth can, through the </w:t>
      </w:r>
      <w:r w:rsidR="0047361C" w:rsidRPr="00773189">
        <w:t>ADGSM</w:t>
      </w:r>
      <w:r w:rsidR="0047361C">
        <w:t xml:space="preserve">, limit LNG exports to </w:t>
      </w:r>
      <w:r>
        <w:t xml:space="preserve">ensure gas is available to </w:t>
      </w:r>
      <w:r w:rsidR="0047361C" w:rsidRPr="00773189">
        <w:t xml:space="preserve">meet Australia’s domestic demand. The ADGSM </w:t>
      </w:r>
      <w:r>
        <w:t>is a measure of last resort that</w:t>
      </w:r>
      <w:r w:rsidR="0047361C" w:rsidRPr="00773189">
        <w:t xml:space="preserve"> allows the </w:t>
      </w:r>
      <w:r w:rsidR="0047361C">
        <w:t xml:space="preserve">Commonwealth </w:t>
      </w:r>
      <w:r w:rsidR="0047361C" w:rsidRPr="00773189">
        <w:t>to impose export controls on LNG projects where the</w:t>
      </w:r>
      <w:r w:rsidR="0047361C">
        <w:t xml:space="preserve"> relevant</w:t>
      </w:r>
      <w:r w:rsidR="0047361C" w:rsidRPr="00773189">
        <w:t xml:space="preserve"> Minister considers that </w:t>
      </w:r>
      <w:r w:rsidR="0047361C">
        <w:t xml:space="preserve">doing so would prevent a </w:t>
      </w:r>
      <w:r w:rsidR="0047361C" w:rsidRPr="00773189">
        <w:t>domestic gas shortfall.</w:t>
      </w:r>
      <w:r w:rsidR="0047361C">
        <w:t xml:space="preserve"> </w:t>
      </w:r>
      <w:r w:rsidR="00642A0E" w:rsidRPr="00642A0E">
        <w:t>The</w:t>
      </w:r>
      <w:r w:rsidR="00642A0E">
        <w:t xml:space="preserve"> regulatory impact of the ADGSM was considered in </w:t>
      </w:r>
      <w:r w:rsidR="008B4209">
        <w:t xml:space="preserve">the </w:t>
      </w:r>
      <w:r w:rsidR="00AC2A8A">
        <w:t>r</w:t>
      </w:r>
      <w:r w:rsidR="008B4209">
        <w:t xml:space="preserve">egulatory </w:t>
      </w:r>
      <w:r w:rsidR="001E3F51">
        <w:t>i</w:t>
      </w:r>
      <w:r w:rsidR="008B4209">
        <w:t xml:space="preserve">mpact </w:t>
      </w:r>
      <w:r w:rsidR="001E3F51">
        <w:t>analysis</w:t>
      </w:r>
      <w:r w:rsidR="008B4209">
        <w:t xml:space="preserve"> released in June 2017</w:t>
      </w:r>
      <w:r w:rsidR="00981299">
        <w:t xml:space="preserve"> – which can be accessed on the Office of Impact Analysis website</w:t>
      </w:r>
      <w:r w:rsidR="00505546">
        <w:rPr>
          <w:rStyle w:val="FootnoteReference"/>
        </w:rPr>
        <w:footnoteReference w:id="10"/>
      </w:r>
      <w:r w:rsidR="008B4209">
        <w:t xml:space="preserve">. </w:t>
      </w:r>
    </w:p>
    <w:p w14:paraId="0A0AE6DD" w14:textId="074483E4" w:rsidR="00F121B8" w:rsidRDefault="00D1331B" w:rsidP="0047361C">
      <w:pPr>
        <w:rPr>
          <w:lang w:val="en-GB"/>
        </w:rPr>
      </w:pPr>
      <w:r>
        <w:t>While the ADGSM can limit exports during a gas shortfall year, it cannot be activated based on price. F</w:t>
      </w:r>
      <w:r w:rsidR="0047361C">
        <w:t xml:space="preserve">urther, the current version </w:t>
      </w:r>
      <w:r w:rsidR="00863502">
        <w:t xml:space="preserve">of the </w:t>
      </w:r>
      <w:r w:rsidR="0047361C">
        <w:t>ADGSM requires t</w:t>
      </w:r>
      <w:r w:rsidR="0047361C" w:rsidRPr="000003B7">
        <w:rPr>
          <w:lang w:val="en-GB"/>
        </w:rPr>
        <w:t xml:space="preserve">he Minister </w:t>
      </w:r>
      <w:r w:rsidR="0047361C">
        <w:rPr>
          <w:lang w:val="en-GB"/>
        </w:rPr>
        <w:t xml:space="preserve">for Resources to </w:t>
      </w:r>
      <w:r w:rsidR="00284F22">
        <w:rPr>
          <w:lang w:val="en-GB"/>
        </w:rPr>
        <w:t>initiate</w:t>
      </w:r>
      <w:r w:rsidR="0047361C" w:rsidRPr="000003B7">
        <w:rPr>
          <w:lang w:val="en-GB"/>
        </w:rPr>
        <w:t xml:space="preserve"> the ADGSM </w:t>
      </w:r>
      <w:r w:rsidR="00284F22">
        <w:rPr>
          <w:lang w:val="en-GB"/>
        </w:rPr>
        <w:t xml:space="preserve">process </w:t>
      </w:r>
      <w:r w:rsidR="0047361C" w:rsidRPr="000003B7">
        <w:rPr>
          <w:lang w:val="en-GB"/>
        </w:rPr>
        <w:t>between 1 July to 1 October the year before a projected shortfall, with export controls only coming into effect on 1 January the next calendar year.</w:t>
      </w:r>
      <w:r w:rsidR="0047361C">
        <w:rPr>
          <w:lang w:val="en-GB"/>
        </w:rPr>
        <w:t xml:space="preserve"> To address shortcomings in the ADGSM, the Government recently announced improvements to </w:t>
      </w:r>
      <w:r w:rsidR="0047361C" w:rsidRPr="002E6C13">
        <w:rPr>
          <w:lang w:val="en-GB"/>
        </w:rPr>
        <w:t>the functioning of the ADGSM, including</w:t>
      </w:r>
      <w:r w:rsidR="00F121B8">
        <w:rPr>
          <w:lang w:val="en-GB"/>
        </w:rPr>
        <w:t>:</w:t>
      </w:r>
    </w:p>
    <w:p w14:paraId="4C64C8B7" w14:textId="029924E2" w:rsidR="00F121B8" w:rsidRPr="006C1189" w:rsidRDefault="00D54D84" w:rsidP="00D54D84">
      <w:pPr>
        <w:pStyle w:val="ListParagraph"/>
        <w:numPr>
          <w:ilvl w:val="0"/>
          <w:numId w:val="129"/>
        </w:numPr>
        <w:rPr>
          <w:lang w:val="en-GB"/>
        </w:rPr>
      </w:pPr>
      <w:r>
        <w:rPr>
          <w:lang w:val="en-GB"/>
        </w:rPr>
        <w:t>m</w:t>
      </w:r>
      <w:r w:rsidR="00F121B8" w:rsidRPr="00D54D84">
        <w:rPr>
          <w:lang w:val="en-GB"/>
        </w:rPr>
        <w:t>oving</w:t>
      </w:r>
      <w:r w:rsidR="00F121B8" w:rsidRPr="009529B7">
        <w:rPr>
          <w:lang w:val="en-GB"/>
        </w:rPr>
        <w:t xml:space="preserve"> from the current ‘calendar</w:t>
      </w:r>
      <w:r w:rsidR="00F121B8" w:rsidRPr="009D7FD2">
        <w:rPr>
          <w:lang w:val="en-GB"/>
        </w:rPr>
        <w:t xml:space="preserve"> year’ model of activation to</w:t>
      </w:r>
      <w:r>
        <w:rPr>
          <w:lang w:val="en-GB"/>
        </w:rPr>
        <w:t xml:space="preserve"> a</w:t>
      </w:r>
      <w:r w:rsidR="00F121B8" w:rsidRPr="006C1189">
        <w:rPr>
          <w:lang w:val="en-GB"/>
        </w:rPr>
        <w:t xml:space="preserve"> rolling 3</w:t>
      </w:r>
      <w:r>
        <w:rPr>
          <w:lang w:val="en-GB"/>
        </w:rPr>
        <w:t>-</w:t>
      </w:r>
      <w:r w:rsidR="00F121B8" w:rsidRPr="006C1189">
        <w:rPr>
          <w:lang w:val="en-GB"/>
        </w:rPr>
        <w:t>month (seasonal) cycle to improve speed and flexibility</w:t>
      </w:r>
      <w:r w:rsidR="004B5DF0">
        <w:rPr>
          <w:lang w:val="en-GB"/>
        </w:rPr>
        <w:t>.</w:t>
      </w:r>
    </w:p>
    <w:p w14:paraId="5174E7CD" w14:textId="0722FB2D" w:rsidR="00F121B8" w:rsidRPr="006C1189" w:rsidRDefault="00D54D84" w:rsidP="00F121B8">
      <w:pPr>
        <w:pStyle w:val="ListParagraph"/>
        <w:numPr>
          <w:ilvl w:val="0"/>
          <w:numId w:val="129"/>
        </w:numPr>
        <w:rPr>
          <w:lang w:val="en-GB"/>
        </w:rPr>
      </w:pPr>
      <w:r>
        <w:rPr>
          <w:lang w:val="en-GB"/>
        </w:rPr>
        <w:t>m</w:t>
      </w:r>
      <w:r w:rsidR="00F121B8" w:rsidRPr="006C1189">
        <w:rPr>
          <w:lang w:val="en-GB"/>
        </w:rPr>
        <w:t>oving from the current ‘net deficit’ model of allocating volume shortfalls to exporters to:</w:t>
      </w:r>
    </w:p>
    <w:p w14:paraId="0CED7CB7" w14:textId="2AB1DE20" w:rsidR="00F121B8" w:rsidRPr="00C05166" w:rsidRDefault="00D54D84" w:rsidP="00F121B8">
      <w:pPr>
        <w:pStyle w:val="ListParagraph"/>
        <w:numPr>
          <w:ilvl w:val="1"/>
          <w:numId w:val="129"/>
        </w:numPr>
        <w:rPr>
          <w:lang w:val="en-GB"/>
        </w:rPr>
      </w:pPr>
      <w:r>
        <w:rPr>
          <w:lang w:val="en-GB"/>
        </w:rPr>
        <w:lastRenderedPageBreak/>
        <w:t>s</w:t>
      </w:r>
      <w:r w:rsidR="00F121B8" w:rsidRPr="006C1189">
        <w:rPr>
          <w:lang w:val="en-GB"/>
        </w:rPr>
        <w:t xml:space="preserve">plitting the Total Market Security Obligation </w:t>
      </w:r>
      <w:r w:rsidR="002A1983">
        <w:rPr>
          <w:lang w:val="en-GB"/>
        </w:rPr>
        <w:t xml:space="preserve">(TMSO) </w:t>
      </w:r>
      <w:r w:rsidR="00F121B8" w:rsidRPr="006C1189">
        <w:rPr>
          <w:lang w:val="en-GB"/>
        </w:rPr>
        <w:t>equally across all exporters in the market in shortfall</w:t>
      </w:r>
      <w:r w:rsidR="004B5DF0">
        <w:rPr>
          <w:lang w:val="en-GB"/>
        </w:rPr>
        <w:t>.</w:t>
      </w:r>
    </w:p>
    <w:p w14:paraId="0DD638C6" w14:textId="5A26811C" w:rsidR="00F121B8" w:rsidRPr="006F3346" w:rsidRDefault="00D54D84" w:rsidP="00F121B8">
      <w:pPr>
        <w:pStyle w:val="ListParagraph"/>
        <w:numPr>
          <w:ilvl w:val="1"/>
          <w:numId w:val="129"/>
        </w:numPr>
        <w:rPr>
          <w:lang w:val="en-GB"/>
        </w:rPr>
      </w:pPr>
      <w:r>
        <w:rPr>
          <w:lang w:val="en-GB"/>
        </w:rPr>
        <w:t>m</w:t>
      </w:r>
      <w:r w:rsidR="00F121B8" w:rsidRPr="006F3346">
        <w:rPr>
          <w:lang w:val="en-GB"/>
        </w:rPr>
        <w:t>aking export permissions tradable between exporters</w:t>
      </w:r>
      <w:r>
        <w:rPr>
          <w:lang w:val="en-GB"/>
        </w:rPr>
        <w:t>.</w:t>
      </w:r>
    </w:p>
    <w:p w14:paraId="077B4AE5" w14:textId="6EA4EEC1" w:rsidR="00F121B8" w:rsidRDefault="00F121B8" w:rsidP="0047361C">
      <w:pPr>
        <w:rPr>
          <w:lang w:val="en-GB"/>
        </w:rPr>
      </w:pPr>
      <w:r>
        <w:rPr>
          <w:lang w:val="en-GB"/>
        </w:rPr>
        <w:t>These reforms are currently scheduled to commence on 1 July 2023</w:t>
      </w:r>
      <w:r w:rsidR="00231C5E">
        <w:rPr>
          <w:lang w:val="en-GB"/>
        </w:rPr>
        <w:t xml:space="preserve"> and</w:t>
      </w:r>
      <w:r>
        <w:rPr>
          <w:lang w:val="en-GB"/>
        </w:rPr>
        <w:t xml:space="preserve"> were considered through </w:t>
      </w:r>
      <w:r w:rsidRPr="006F3346">
        <w:rPr>
          <w:lang w:val="en-GB"/>
        </w:rPr>
        <w:t>OBPR22-02706</w:t>
      </w:r>
      <w:r w:rsidR="008B4209">
        <w:rPr>
          <w:lang w:val="en-GB"/>
        </w:rPr>
        <w:t xml:space="preserve"> released in October 2022</w:t>
      </w:r>
      <w:r w:rsidR="00F15CE6">
        <w:rPr>
          <w:lang w:val="en-GB"/>
        </w:rPr>
        <w:t xml:space="preserve"> – which can be accessed at the Office of Impact Analysis website</w:t>
      </w:r>
      <w:r w:rsidR="00F15CE6">
        <w:rPr>
          <w:rStyle w:val="FootnoteReference"/>
          <w:lang w:val="en-GB"/>
        </w:rPr>
        <w:footnoteReference w:id="11"/>
      </w:r>
      <w:r w:rsidR="00F15CE6">
        <w:rPr>
          <w:lang w:val="en-GB"/>
        </w:rPr>
        <w:t xml:space="preserve">. </w:t>
      </w:r>
      <w:r w:rsidR="000C6133">
        <w:rPr>
          <w:lang w:val="en-GB"/>
        </w:rPr>
        <w:t xml:space="preserve">This </w:t>
      </w:r>
      <w:r w:rsidR="005D0A26">
        <w:rPr>
          <w:lang w:val="en-GB"/>
        </w:rPr>
        <w:t>I</w:t>
      </w:r>
      <w:r w:rsidR="000C6133">
        <w:rPr>
          <w:lang w:val="en-GB"/>
        </w:rPr>
        <w:t xml:space="preserve">mpact </w:t>
      </w:r>
      <w:r w:rsidR="005D0A26">
        <w:rPr>
          <w:lang w:val="en-GB"/>
        </w:rPr>
        <w:t>A</w:t>
      </w:r>
      <w:r w:rsidR="000C6133">
        <w:rPr>
          <w:lang w:val="en-GB"/>
        </w:rPr>
        <w:t>nalysis considers the merits of bringing forward the commencement of these reforms to 1 April 2023</w:t>
      </w:r>
      <w:r w:rsidR="00F15CE6">
        <w:rPr>
          <w:lang w:val="en-GB"/>
        </w:rPr>
        <w:t xml:space="preserve">. </w:t>
      </w:r>
    </w:p>
    <w:p w14:paraId="1F2D0C4A" w14:textId="77777777" w:rsidR="00F67054" w:rsidRPr="001835E5" w:rsidRDefault="00F67054" w:rsidP="00F67054">
      <w:r w:rsidRPr="001835E5">
        <w:t>A package of gas market reforms being progressed by Energy Ministers will also help place downward pressure on domestic gas prices, including by enabling AEMO to identify gas supply risks, seek market responses and avoid critical supply shortages; ensuring domestic gas markets function more efficiently and transparently; and ensuring smaller producers can bring gas to the market, and key storage facilities are fully utilised</w:t>
      </w:r>
      <w:r>
        <w:t>.</w:t>
      </w:r>
    </w:p>
    <w:p w14:paraId="0261819D" w14:textId="2918AB44" w:rsidR="00EE273D" w:rsidRPr="00EE273D" w:rsidRDefault="00EE273D" w:rsidP="00323DB1">
      <w:pPr>
        <w:spacing w:line="276" w:lineRule="auto"/>
      </w:pPr>
      <w:r>
        <w:t xml:space="preserve">Further to the regulatory levers outlined above, </w:t>
      </w:r>
      <w:r>
        <w:rPr>
          <w:bCs/>
        </w:rPr>
        <w:t>the Government is already implementing a range of non-regulatory measures that seek to ensure long</w:t>
      </w:r>
      <w:r w:rsidR="00361FFD">
        <w:rPr>
          <w:bCs/>
        </w:rPr>
        <w:t>-</w:t>
      </w:r>
      <w:r>
        <w:rPr>
          <w:bCs/>
        </w:rPr>
        <w:t xml:space="preserve">term energy supply for Australians while supporting the transition to a renewable-based grid. These include: </w:t>
      </w:r>
    </w:p>
    <w:p w14:paraId="71B62226" w14:textId="3C44F6B1" w:rsidR="00EE273D" w:rsidRPr="008F56F2" w:rsidRDefault="00EE273D" w:rsidP="00C44083">
      <w:pPr>
        <w:pStyle w:val="Bullet"/>
        <w:rPr>
          <w:b/>
        </w:rPr>
      </w:pPr>
      <w:r w:rsidRPr="008F56F2">
        <w:t xml:space="preserve">$20 billion in low-cost finance </w:t>
      </w:r>
      <w:r w:rsidR="004B5DF0">
        <w:t xml:space="preserve">through the Rewiring the Nation policy </w:t>
      </w:r>
      <w:r w:rsidRPr="008F56F2">
        <w:t xml:space="preserve">for the urgent upgrade and expansion of Australia’s electricity grid at lowest cost – to unlock new renewables, increase the security of the grid and drive down power prices. </w:t>
      </w:r>
    </w:p>
    <w:p w14:paraId="7348FBE6" w14:textId="77777777" w:rsidR="00EE273D" w:rsidRPr="008F56F2" w:rsidRDefault="00EE273D" w:rsidP="00C44083">
      <w:pPr>
        <w:pStyle w:val="Bullet"/>
        <w:rPr>
          <w:b/>
        </w:rPr>
      </w:pPr>
      <w:r w:rsidRPr="008F56F2">
        <w:t>Providing $157.9 million over 6 years from 2022–23 to support the implementation of the National Energy Transformation Partnership (NETP) agreed in August by Energy Ministers from each State and Territory, creating policy certainty for the first time and driving much needed investment in transmission and renewable energy projects.</w:t>
      </w:r>
    </w:p>
    <w:p w14:paraId="51F48D48" w14:textId="604C776B" w:rsidR="00EE273D" w:rsidRPr="009F6A72" w:rsidRDefault="00EE273D" w:rsidP="00EE273D">
      <w:pPr>
        <w:pStyle w:val="Dash"/>
      </w:pPr>
      <w:r w:rsidRPr="009F6A72">
        <w:t>This includes delivering critical market reforms, supporting investments in the grid such as large-scale storage, transmission and firming capacity and co-design of a First Nations Clean Energy Strategy</w:t>
      </w:r>
      <w:r w:rsidR="004D534E">
        <w:t xml:space="preserve"> and the development of a National Energy Performance Strategy</w:t>
      </w:r>
      <w:r w:rsidRPr="009F6A72">
        <w:t>.</w:t>
      </w:r>
    </w:p>
    <w:p w14:paraId="2DDCDE32" w14:textId="77777777" w:rsidR="00EE273D" w:rsidRPr="008F56F2" w:rsidRDefault="00EE273D" w:rsidP="00C44083">
      <w:pPr>
        <w:pStyle w:val="Bullet"/>
        <w:rPr>
          <w:b/>
        </w:rPr>
      </w:pPr>
      <w:r w:rsidRPr="008F56F2">
        <w:t>$224.3 million for the Community Batteries for Household Solar grants program, to deploy 400 community-scale batteries for up to 100,000 Australian households.</w:t>
      </w:r>
    </w:p>
    <w:p w14:paraId="0D44F23E" w14:textId="77777777" w:rsidR="00EE273D" w:rsidRPr="008F56F2" w:rsidRDefault="00EE273D" w:rsidP="00C44083">
      <w:pPr>
        <w:pStyle w:val="Bullet"/>
        <w:rPr>
          <w:b/>
        </w:rPr>
      </w:pPr>
      <w:r w:rsidRPr="008F56F2">
        <w:t>$102.2 million for Community Solar Banks for up to 25,000 Australians living in apartments, rentals and low-income households across Australia.</w:t>
      </w:r>
    </w:p>
    <w:p w14:paraId="290DF257" w14:textId="77777777" w:rsidR="00EE273D" w:rsidRPr="008F56F2" w:rsidRDefault="00EE273D" w:rsidP="00C44083">
      <w:pPr>
        <w:pStyle w:val="Bullet"/>
        <w:rPr>
          <w:b/>
        </w:rPr>
      </w:pPr>
      <w:r w:rsidRPr="008F56F2">
        <w:t>$63.9 million to invest in dispatchable storage technologies, such as large-scale battery projects.</w:t>
      </w:r>
    </w:p>
    <w:p w14:paraId="1716C7D4" w14:textId="412EE39C" w:rsidR="00EE273D" w:rsidRPr="008F56F2" w:rsidRDefault="00EE273D" w:rsidP="00C44083">
      <w:pPr>
        <w:pStyle w:val="Bullet"/>
        <w:rPr>
          <w:b/>
        </w:rPr>
      </w:pPr>
      <w:r w:rsidRPr="008F56F2">
        <w:t>$62.6 million for an energy efficiency grants program for small and medium-sized enterprises to reduce energy use and lower energy bills.</w:t>
      </w:r>
    </w:p>
    <w:p w14:paraId="5FFCC9C9" w14:textId="77777777" w:rsidR="00EE273D" w:rsidRPr="008F56F2" w:rsidRDefault="00EE273D" w:rsidP="00C44083">
      <w:pPr>
        <w:pStyle w:val="Bullet"/>
        <w:rPr>
          <w:b/>
        </w:rPr>
      </w:pPr>
      <w:r w:rsidRPr="008F56F2">
        <w:t>$83.8 million to develop and deploy First Nations Community Microgrid projects to ensure remote communities benefit from improved security and affordability of energy supply.</w:t>
      </w:r>
    </w:p>
    <w:p w14:paraId="404B957F" w14:textId="3A378490" w:rsidR="00A020DA" w:rsidRDefault="00EE273D" w:rsidP="00C154EB">
      <w:r>
        <w:rPr>
          <w:bCs/>
        </w:rPr>
        <w:lastRenderedPageBreak/>
        <w:t xml:space="preserve">These measures all seek to fulfill the Government’s long-term priorities and commitments on energy, including the transition to a renewable based grid and commitments to </w:t>
      </w:r>
      <w:r w:rsidR="00A76E72">
        <w:rPr>
          <w:bCs/>
        </w:rPr>
        <w:t xml:space="preserve">improve affordability and </w:t>
      </w:r>
      <w:r>
        <w:t xml:space="preserve">reduce greenhouse gas emissions by 43 per cent below 2005 levels by 2030 and reach net zero emissions by 2050. </w:t>
      </w:r>
      <w:r w:rsidR="00C46E74">
        <w:t xml:space="preserve">While they will contribute to reducing the price of energy in the long-term, their implementation time means they won’t address the immediate problem that is being resolved. </w:t>
      </w:r>
    </w:p>
    <w:p w14:paraId="39813C0B" w14:textId="40A1B9FD" w:rsidR="00A80988" w:rsidRPr="00E01FCA" w:rsidRDefault="00A80988" w:rsidP="00A80988">
      <w:pPr>
        <w:pStyle w:val="Heading3"/>
      </w:pPr>
      <w:bookmarkStart w:id="10" w:name="_Toc121406865"/>
      <w:r>
        <w:t>Key stakeholder groups</w:t>
      </w:r>
      <w:bookmarkEnd w:id="10"/>
      <w:r>
        <w:t xml:space="preserve"> </w:t>
      </w:r>
    </w:p>
    <w:p w14:paraId="2DE9349C" w14:textId="003475B2" w:rsidR="00A80988" w:rsidRDefault="00A80988" w:rsidP="00A80988">
      <w:r>
        <w:t>Australia’s energy markets involve a num</w:t>
      </w:r>
      <w:r w:rsidR="001B04D2">
        <w:t>b</w:t>
      </w:r>
      <w:r>
        <w:t>er of p</w:t>
      </w:r>
      <w:r w:rsidR="00B40EBD">
        <w:t>articipants</w:t>
      </w:r>
      <w:r>
        <w:t xml:space="preserve">. The following </w:t>
      </w:r>
      <w:r w:rsidR="00B40EBD">
        <w:t>participants and other</w:t>
      </w:r>
      <w:r>
        <w:t xml:space="preserve"> stakeholders are considered in this </w:t>
      </w:r>
      <w:r w:rsidR="001B04D2">
        <w:t xml:space="preserve">Impact Analysis </w:t>
      </w:r>
      <w:r>
        <w:t xml:space="preserve">in determining the impacts of options to address short-term energy prices. </w:t>
      </w:r>
    </w:p>
    <w:p w14:paraId="6B61155C" w14:textId="5C0BE4FF" w:rsidR="00806426" w:rsidRPr="00806426" w:rsidRDefault="00806426" w:rsidP="00C154EB">
      <w:pPr>
        <w:keepNext/>
      </w:pPr>
      <w:r>
        <w:rPr>
          <w:b/>
          <w:bCs/>
        </w:rPr>
        <w:t>Table 1</w:t>
      </w:r>
      <w:r w:rsidRPr="000D409D">
        <w:rPr>
          <w:b/>
          <w:bCs/>
        </w:rPr>
        <w:t xml:space="preserve">: </w:t>
      </w:r>
      <w:r>
        <w:rPr>
          <w:b/>
          <w:bCs/>
        </w:rPr>
        <w:t>Relevant stakeholder groups and their impact on energy price relief options</w:t>
      </w:r>
    </w:p>
    <w:tbl>
      <w:tblPr>
        <w:tblStyle w:val="PMCDefaultTableStyle"/>
        <w:tblW w:w="0" w:type="auto"/>
        <w:tblLook w:val="04A0" w:firstRow="1" w:lastRow="0" w:firstColumn="1" w:lastColumn="0" w:noHBand="0" w:noVBand="1"/>
      </w:tblPr>
      <w:tblGrid>
        <w:gridCol w:w="2830"/>
        <w:gridCol w:w="6230"/>
      </w:tblGrid>
      <w:tr w:rsidR="00A80988" w14:paraId="09F3C7ED" w14:textId="77777777" w:rsidTr="000B2407">
        <w:trPr>
          <w:cnfStyle w:val="100000000000" w:firstRow="1" w:lastRow="0" w:firstColumn="0" w:lastColumn="0" w:oddVBand="0" w:evenVBand="0" w:oddHBand="0" w:evenHBand="0" w:firstRowFirstColumn="0" w:firstRowLastColumn="0" w:lastRowFirstColumn="0" w:lastRowLastColumn="0"/>
        </w:trPr>
        <w:tc>
          <w:tcPr>
            <w:tcW w:w="2830" w:type="dxa"/>
          </w:tcPr>
          <w:p w14:paraId="66940A81" w14:textId="1CA78A09" w:rsidR="00A80988" w:rsidRPr="002E2609" w:rsidRDefault="00A80988" w:rsidP="00C154EB">
            <w:pPr>
              <w:keepNext/>
              <w:rPr>
                <w:b w:val="0"/>
              </w:rPr>
            </w:pPr>
            <w:r>
              <w:t>Stakeholder group</w:t>
            </w:r>
          </w:p>
        </w:tc>
        <w:tc>
          <w:tcPr>
            <w:tcW w:w="6230" w:type="dxa"/>
          </w:tcPr>
          <w:p w14:paraId="5863DBCA" w14:textId="77777777" w:rsidR="00A80988" w:rsidRPr="002E2609" w:rsidRDefault="00A80988" w:rsidP="00C154EB">
            <w:pPr>
              <w:keepNext/>
              <w:rPr>
                <w:b w:val="0"/>
              </w:rPr>
            </w:pPr>
            <w:r>
              <w:t>Role in the problem</w:t>
            </w:r>
          </w:p>
        </w:tc>
      </w:tr>
      <w:tr w:rsidR="00A80988" w14:paraId="1846A044" w14:textId="77777777" w:rsidTr="000B2407">
        <w:trPr>
          <w:cnfStyle w:val="000000100000" w:firstRow="0" w:lastRow="0" w:firstColumn="0" w:lastColumn="0" w:oddVBand="0" w:evenVBand="0" w:oddHBand="1" w:evenHBand="0" w:firstRowFirstColumn="0" w:firstRowLastColumn="0" w:lastRowFirstColumn="0" w:lastRowLastColumn="0"/>
        </w:trPr>
        <w:tc>
          <w:tcPr>
            <w:tcW w:w="2830" w:type="dxa"/>
          </w:tcPr>
          <w:p w14:paraId="68498605" w14:textId="77777777" w:rsidR="00A80988" w:rsidRDefault="00A80988" w:rsidP="00A217B6">
            <w:r>
              <w:t xml:space="preserve">Domestic gas producers </w:t>
            </w:r>
          </w:p>
        </w:tc>
        <w:tc>
          <w:tcPr>
            <w:tcW w:w="6230" w:type="dxa"/>
          </w:tcPr>
          <w:p w14:paraId="41568FC7" w14:textId="189D3C09" w:rsidR="00A80988" w:rsidRDefault="00A80988" w:rsidP="00A217B6">
            <w:pPr>
              <w:rPr>
                <w:color w:val="auto"/>
              </w:rPr>
            </w:pPr>
            <w:r w:rsidRPr="002E2609">
              <w:rPr>
                <w:color w:val="auto"/>
              </w:rPr>
              <w:t>Domestic gas producers are companies that develop</w:t>
            </w:r>
            <w:r w:rsidR="00F06B5F">
              <w:rPr>
                <w:color w:val="auto"/>
              </w:rPr>
              <w:t>,</w:t>
            </w:r>
            <w:r w:rsidRPr="002E2609">
              <w:rPr>
                <w:color w:val="auto"/>
              </w:rPr>
              <w:t xml:space="preserve"> operate </w:t>
            </w:r>
            <w:r w:rsidR="00F06B5F">
              <w:rPr>
                <w:color w:val="auto"/>
              </w:rPr>
              <w:t xml:space="preserve">or have equity in </w:t>
            </w:r>
            <w:r w:rsidRPr="002E2609">
              <w:rPr>
                <w:color w:val="auto"/>
              </w:rPr>
              <w:t>gas projects throughout Australia. They can produce gas from geological reserves, either using conventional extraction methods or unconventional methods (such as coal seam gas). Domestic gas producers can sell to domestic buyers (e.g. through domestic gas supply agreements or the short</w:t>
            </w:r>
            <w:r w:rsidR="005A6231" w:rsidRPr="002E2609">
              <w:rPr>
                <w:color w:val="auto"/>
              </w:rPr>
              <w:t>-</w:t>
            </w:r>
            <w:r w:rsidRPr="002E2609">
              <w:rPr>
                <w:color w:val="auto"/>
              </w:rPr>
              <w:t>term market), or can sell gas to LNG exporters for sale into international markets. This includes gas production by projects owned and operated by joint venture partners in LNG exporters.</w:t>
            </w:r>
          </w:p>
          <w:p w14:paraId="67A74D20" w14:textId="6619E2C0" w:rsidR="00A80988" w:rsidRPr="002E2609" w:rsidRDefault="00B40EBD" w:rsidP="00A217B6">
            <w:pPr>
              <w:rPr>
                <w:color w:val="auto"/>
              </w:rPr>
            </w:pPr>
            <w:r>
              <w:rPr>
                <w:color w:val="auto"/>
              </w:rPr>
              <w:t xml:space="preserve">Any impact to gas producers (particularly in relation to revenue) </w:t>
            </w:r>
            <w:r w:rsidR="00F06B5F">
              <w:rPr>
                <w:color w:val="auto"/>
              </w:rPr>
              <w:t>will likely</w:t>
            </w:r>
            <w:r>
              <w:rPr>
                <w:color w:val="auto"/>
              </w:rPr>
              <w:t xml:space="preserve"> have a flow-on impact to the shareholders of these companies. </w:t>
            </w:r>
          </w:p>
        </w:tc>
      </w:tr>
      <w:tr w:rsidR="00A80988" w14:paraId="2D31BFB5" w14:textId="77777777" w:rsidTr="000B2407">
        <w:trPr>
          <w:cnfStyle w:val="000000010000" w:firstRow="0" w:lastRow="0" w:firstColumn="0" w:lastColumn="0" w:oddVBand="0" w:evenVBand="0" w:oddHBand="0" w:evenHBand="1" w:firstRowFirstColumn="0" w:firstRowLastColumn="0" w:lastRowFirstColumn="0" w:lastRowLastColumn="0"/>
        </w:trPr>
        <w:tc>
          <w:tcPr>
            <w:tcW w:w="2830" w:type="dxa"/>
          </w:tcPr>
          <w:p w14:paraId="687F09CC" w14:textId="77777777" w:rsidR="00A80988" w:rsidRDefault="00A80988" w:rsidP="00A217B6">
            <w:r>
              <w:t>LNG exporters</w:t>
            </w:r>
          </w:p>
        </w:tc>
        <w:tc>
          <w:tcPr>
            <w:tcW w:w="6230" w:type="dxa"/>
          </w:tcPr>
          <w:p w14:paraId="7A97D0CA" w14:textId="4793CF91" w:rsidR="00A80988" w:rsidRPr="002E2609" w:rsidRDefault="00A80988" w:rsidP="00647122">
            <w:pPr>
              <w:rPr>
                <w:lang w:val="en-GB"/>
              </w:rPr>
            </w:pPr>
            <w:r w:rsidRPr="00E20F1B">
              <w:rPr>
                <w:rFonts w:ascii="Calibri" w:eastAsia="Calibri" w:hAnsi="Calibri" w:cs="Mangal"/>
                <w:color w:val="262626"/>
                <w:lang w:val="en-GB"/>
              </w:rPr>
              <w:t xml:space="preserve">LNG exporters </w:t>
            </w:r>
            <w:r w:rsidR="00F06B5F">
              <w:rPr>
                <w:rFonts w:ascii="Calibri" w:eastAsia="Calibri" w:hAnsi="Calibri" w:cs="Mangal"/>
                <w:color w:val="262626"/>
                <w:lang w:val="en-GB"/>
              </w:rPr>
              <w:t xml:space="preserve">develop, produce and </w:t>
            </w:r>
            <w:r w:rsidRPr="00E20F1B">
              <w:rPr>
                <w:rFonts w:ascii="Calibri" w:eastAsia="Calibri" w:hAnsi="Calibri" w:cs="Mangal"/>
                <w:color w:val="262626"/>
                <w:lang w:val="en-GB"/>
              </w:rPr>
              <w:t xml:space="preserve">process natural gas </w:t>
            </w:r>
            <w:r w:rsidR="00F06B5F">
              <w:rPr>
                <w:rFonts w:ascii="Calibri" w:eastAsia="Calibri" w:hAnsi="Calibri" w:cs="Mangal"/>
                <w:color w:val="262626"/>
                <w:lang w:val="en-GB"/>
              </w:rPr>
              <w:t>prior to</w:t>
            </w:r>
            <w:r w:rsidR="00080CC8">
              <w:rPr>
                <w:rFonts w:ascii="Calibri" w:eastAsia="Calibri" w:hAnsi="Calibri" w:cs="Mangal"/>
                <w:color w:val="262626"/>
                <w:lang w:val="en-GB"/>
              </w:rPr>
              <w:t xml:space="preserve"> liquefy</w:t>
            </w:r>
            <w:r w:rsidR="00F06B5F">
              <w:rPr>
                <w:rFonts w:ascii="Calibri" w:eastAsia="Calibri" w:hAnsi="Calibri" w:cs="Mangal"/>
                <w:color w:val="262626"/>
                <w:lang w:val="en-GB"/>
              </w:rPr>
              <w:t>ing</w:t>
            </w:r>
            <w:r w:rsidR="00080CC8">
              <w:rPr>
                <w:rFonts w:ascii="Calibri" w:eastAsia="Calibri" w:hAnsi="Calibri" w:cs="Mangal"/>
                <w:color w:val="262626"/>
                <w:lang w:val="en-GB"/>
              </w:rPr>
              <w:t xml:space="preserve"> it </w:t>
            </w:r>
            <w:r w:rsidR="00F06B5F">
              <w:rPr>
                <w:rFonts w:ascii="Calibri" w:eastAsia="Calibri" w:hAnsi="Calibri" w:cs="Mangal"/>
                <w:color w:val="262626"/>
                <w:lang w:val="en-GB"/>
              </w:rPr>
              <w:t>a</w:t>
            </w:r>
            <w:r w:rsidR="002006F7">
              <w:rPr>
                <w:rFonts w:ascii="Calibri" w:eastAsia="Calibri" w:hAnsi="Calibri" w:cs="Mangal"/>
                <w:color w:val="262626"/>
                <w:lang w:val="en-GB"/>
              </w:rPr>
              <w:t>n</w:t>
            </w:r>
            <w:r w:rsidR="00F06B5F">
              <w:rPr>
                <w:rFonts w:ascii="Calibri" w:eastAsia="Calibri" w:hAnsi="Calibri" w:cs="Mangal"/>
                <w:color w:val="262626"/>
                <w:lang w:val="en-GB"/>
              </w:rPr>
              <w:t>d selling LNG Free on Board (FOB) or on a delivered basis to international buyers</w:t>
            </w:r>
            <w:r w:rsidRPr="00E20F1B">
              <w:rPr>
                <w:rFonts w:ascii="Calibri" w:eastAsia="Calibri" w:hAnsi="Calibri" w:cs="Mangal"/>
                <w:color w:val="262626"/>
                <w:lang w:val="en-GB"/>
              </w:rPr>
              <w:t xml:space="preserve">. There are 10 LNG export projects across </w:t>
            </w:r>
            <w:r w:rsidR="00274996">
              <w:rPr>
                <w:rFonts w:ascii="Calibri" w:eastAsia="Calibri" w:hAnsi="Calibri" w:cs="Mangal"/>
                <w:color w:val="262626"/>
                <w:lang w:val="en-GB"/>
              </w:rPr>
              <w:t>WA</w:t>
            </w:r>
            <w:r w:rsidRPr="00E20F1B">
              <w:rPr>
                <w:rFonts w:ascii="Calibri" w:eastAsia="Calibri" w:hAnsi="Calibri" w:cs="Mangal"/>
                <w:color w:val="262626"/>
                <w:lang w:val="en-GB"/>
              </w:rPr>
              <w:t xml:space="preserve">, Queensland and the Northern Territory. </w:t>
            </w:r>
            <w:r w:rsidR="00B40EBD">
              <w:rPr>
                <w:rFonts w:ascii="Calibri" w:eastAsia="Calibri" w:hAnsi="Calibri" w:cs="Mangal"/>
                <w:color w:val="262626"/>
                <w:lang w:val="en-GB"/>
              </w:rPr>
              <w:t>I</w:t>
            </w:r>
            <w:r>
              <w:rPr>
                <w:rFonts w:ascii="Calibri" w:eastAsia="Calibri" w:hAnsi="Calibri" w:cs="Mangal"/>
                <w:color w:val="262626"/>
                <w:lang w:val="en-GB"/>
              </w:rPr>
              <w:t>n the east coast gas market</w:t>
            </w:r>
            <w:r w:rsidR="00274996">
              <w:rPr>
                <w:rFonts w:ascii="Calibri" w:eastAsia="Calibri" w:hAnsi="Calibri" w:cs="Mangal"/>
                <w:color w:val="262626"/>
                <w:lang w:val="en-GB"/>
              </w:rPr>
              <w:t>,</w:t>
            </w:r>
            <w:r w:rsidRPr="00E20F1B">
              <w:rPr>
                <w:rFonts w:ascii="Calibri" w:eastAsia="Calibri" w:hAnsi="Calibri" w:cs="Mangal"/>
                <w:color w:val="262626"/>
                <w:lang w:val="en-GB"/>
              </w:rPr>
              <w:t xml:space="preserve"> </w:t>
            </w:r>
            <w:r w:rsidR="00B40EBD">
              <w:rPr>
                <w:rFonts w:ascii="Calibri" w:eastAsia="Calibri" w:hAnsi="Calibri" w:cs="Mangal"/>
                <w:color w:val="262626"/>
                <w:lang w:val="en-GB"/>
              </w:rPr>
              <w:t xml:space="preserve">the most relevant </w:t>
            </w:r>
            <w:r w:rsidRPr="00E20F1B">
              <w:rPr>
                <w:rFonts w:ascii="Calibri" w:eastAsia="Calibri" w:hAnsi="Calibri" w:cs="Mangal"/>
                <w:color w:val="262626"/>
                <w:lang w:val="en-GB"/>
              </w:rPr>
              <w:t xml:space="preserve">are the three LNG exporters in Queensland, being Australia Pacific LNG (APLNG), </w:t>
            </w:r>
            <w:r w:rsidR="0087360C">
              <w:rPr>
                <w:rFonts w:ascii="Calibri" w:eastAsia="Calibri" w:hAnsi="Calibri" w:cs="Mangal"/>
                <w:color w:val="262626"/>
                <w:lang w:val="en-GB"/>
              </w:rPr>
              <w:t>Queensland Curtis LNG (</w:t>
            </w:r>
            <w:r w:rsidRPr="00E20F1B">
              <w:rPr>
                <w:rFonts w:ascii="Calibri" w:eastAsia="Calibri" w:hAnsi="Calibri" w:cs="Mangal"/>
                <w:color w:val="262626"/>
                <w:lang w:val="en-GB"/>
              </w:rPr>
              <w:t>Q</w:t>
            </w:r>
            <w:r w:rsidR="00080CC8">
              <w:rPr>
                <w:rFonts w:ascii="Calibri" w:eastAsia="Calibri" w:hAnsi="Calibri" w:cs="Mangal"/>
                <w:color w:val="262626"/>
                <w:lang w:val="en-GB"/>
              </w:rPr>
              <w:t>CLNG</w:t>
            </w:r>
            <w:r w:rsidR="0087360C">
              <w:rPr>
                <w:rFonts w:ascii="Calibri" w:eastAsia="Calibri" w:hAnsi="Calibri" w:cs="Mangal"/>
                <w:color w:val="262626"/>
                <w:lang w:val="en-GB"/>
              </w:rPr>
              <w:t>)</w:t>
            </w:r>
            <w:r w:rsidRPr="00E20F1B">
              <w:rPr>
                <w:rFonts w:ascii="Calibri" w:eastAsia="Calibri" w:hAnsi="Calibri" w:cs="Mangal"/>
                <w:color w:val="262626"/>
                <w:lang w:val="en-GB"/>
              </w:rPr>
              <w:t xml:space="preserve">, and Gladstone LNG (GLNG). </w:t>
            </w:r>
          </w:p>
        </w:tc>
      </w:tr>
      <w:tr w:rsidR="00EE136A" w14:paraId="254BC23D" w14:textId="77777777" w:rsidTr="000B2407">
        <w:trPr>
          <w:cnfStyle w:val="000000100000" w:firstRow="0" w:lastRow="0" w:firstColumn="0" w:lastColumn="0" w:oddVBand="0" w:evenVBand="0" w:oddHBand="1" w:evenHBand="0" w:firstRowFirstColumn="0" w:firstRowLastColumn="0" w:lastRowFirstColumn="0" w:lastRowLastColumn="0"/>
        </w:trPr>
        <w:tc>
          <w:tcPr>
            <w:tcW w:w="2830" w:type="dxa"/>
          </w:tcPr>
          <w:p w14:paraId="78E00470" w14:textId="34AB30CC" w:rsidR="00EE136A" w:rsidRDefault="00EE136A" w:rsidP="00A217B6">
            <w:r>
              <w:t xml:space="preserve">Electricity </w:t>
            </w:r>
            <w:r w:rsidR="00B67DC4">
              <w:t>g</w:t>
            </w:r>
            <w:r>
              <w:t>enerators</w:t>
            </w:r>
          </w:p>
        </w:tc>
        <w:tc>
          <w:tcPr>
            <w:tcW w:w="6230" w:type="dxa"/>
          </w:tcPr>
          <w:p w14:paraId="45A6F5FE" w14:textId="0333E011" w:rsidR="00EE136A" w:rsidRDefault="004A76DE" w:rsidP="006926A5">
            <w:pPr>
              <w:spacing w:line="240" w:lineRule="auto"/>
            </w:pPr>
            <w:r>
              <w:t>Electricity generators are companies which</w:t>
            </w:r>
            <w:r w:rsidR="00A020DA">
              <w:t xml:space="preserve"> use inputs (e.g. fuel, renewables) to</w:t>
            </w:r>
            <w:r>
              <w:t xml:space="preserve"> generate electricity and then</w:t>
            </w:r>
            <w:r w:rsidR="00A020DA">
              <w:t xml:space="preserve"> offer to</w:t>
            </w:r>
            <w:r>
              <w:t xml:space="preserve"> supply the </w:t>
            </w:r>
            <w:r w:rsidR="000A6606">
              <w:t xml:space="preserve">wholesale </w:t>
            </w:r>
            <w:r>
              <w:t>market with a certain volume of electricity for a bid price</w:t>
            </w:r>
            <w:r w:rsidR="00A020DA">
              <w:t xml:space="preserve">. </w:t>
            </w:r>
            <w:r w:rsidR="00F06B5F">
              <w:t>The highest bid price which is dispatched sets the market price</w:t>
            </w:r>
            <w:r>
              <w:t>.</w:t>
            </w:r>
            <w:r w:rsidR="00A020DA">
              <w:t xml:space="preserve"> Many generators are vertically integrated and act as retailers as well, these are know</w:t>
            </w:r>
            <w:r w:rsidR="00957271">
              <w:t>n</w:t>
            </w:r>
            <w:r w:rsidR="00A020DA">
              <w:t xml:space="preserve"> as ‘gentailers’.</w:t>
            </w:r>
          </w:p>
          <w:p w14:paraId="45172DFB" w14:textId="46C16680" w:rsidR="00EE136A" w:rsidRDefault="00C46E74" w:rsidP="006926A5">
            <w:pPr>
              <w:spacing w:line="240" w:lineRule="auto"/>
            </w:pPr>
            <w:r>
              <w:t xml:space="preserve">Electricity generators include both public and private sector participants. </w:t>
            </w:r>
          </w:p>
        </w:tc>
      </w:tr>
      <w:tr w:rsidR="00A80988" w14:paraId="64E08636" w14:textId="77777777" w:rsidTr="000B2407">
        <w:trPr>
          <w:cnfStyle w:val="000000010000" w:firstRow="0" w:lastRow="0" w:firstColumn="0" w:lastColumn="0" w:oddVBand="0" w:evenVBand="0" w:oddHBand="0" w:evenHBand="1" w:firstRowFirstColumn="0" w:firstRowLastColumn="0" w:lastRowFirstColumn="0" w:lastRowLastColumn="0"/>
        </w:trPr>
        <w:tc>
          <w:tcPr>
            <w:tcW w:w="2830" w:type="dxa"/>
          </w:tcPr>
          <w:p w14:paraId="68945300" w14:textId="77777777" w:rsidR="00A80988" w:rsidRDefault="00A80988" w:rsidP="00A217B6">
            <w:r>
              <w:t>Retail energy companies</w:t>
            </w:r>
          </w:p>
        </w:tc>
        <w:tc>
          <w:tcPr>
            <w:tcW w:w="6230" w:type="dxa"/>
          </w:tcPr>
          <w:p w14:paraId="1D411572" w14:textId="3272DF7A" w:rsidR="00A80988" w:rsidRDefault="00A80988" w:rsidP="00A217B6">
            <w:r>
              <w:t>Energy retailers sell electricity and gas services to residential and business customers. The retail sector is the final link in the electricity and gas supply chains, providing energy services and final retail energy bills to end-use</w:t>
            </w:r>
            <w:r w:rsidR="00761D26">
              <w:t>r</w:t>
            </w:r>
            <w:r>
              <w:t xml:space="preserve"> customers. </w:t>
            </w:r>
            <w:r w:rsidR="00080CC8">
              <w:t xml:space="preserve"> The retail market is concentrated in a small number of businesses with large customer bases, but smaller retailers provide competitive tension through innovation and price competition.</w:t>
            </w:r>
          </w:p>
        </w:tc>
      </w:tr>
      <w:tr w:rsidR="00A80988" w14:paraId="1E237F53" w14:textId="77777777" w:rsidTr="000B2407">
        <w:trPr>
          <w:cnfStyle w:val="000000100000" w:firstRow="0" w:lastRow="0" w:firstColumn="0" w:lastColumn="0" w:oddVBand="0" w:evenVBand="0" w:oddHBand="1" w:evenHBand="0" w:firstRowFirstColumn="0" w:firstRowLastColumn="0" w:lastRowFirstColumn="0" w:lastRowLastColumn="0"/>
        </w:trPr>
        <w:tc>
          <w:tcPr>
            <w:tcW w:w="2830" w:type="dxa"/>
          </w:tcPr>
          <w:p w14:paraId="1489B09E" w14:textId="77777777" w:rsidR="00A80988" w:rsidRDefault="00A80988" w:rsidP="00A217B6">
            <w:r>
              <w:t>Domestic energy consumers (households, small business and industrial users)</w:t>
            </w:r>
          </w:p>
        </w:tc>
        <w:tc>
          <w:tcPr>
            <w:tcW w:w="6230" w:type="dxa"/>
          </w:tcPr>
          <w:p w14:paraId="01495F90" w14:textId="31217F37" w:rsidR="00A80988" w:rsidRDefault="00A80988" w:rsidP="00A217B6">
            <w:r>
              <w:t xml:space="preserve">Realised and forecast increases in retail electricity and gas bills are contributing to cost-of-living pressures for many Australian households and are risking the viability of exposed businesses. </w:t>
            </w:r>
          </w:p>
          <w:p w14:paraId="76E3D9B2" w14:textId="4B7141B6" w:rsidR="00A80988" w:rsidRDefault="00A80988" w:rsidP="00A217B6">
            <w:r>
              <w:rPr>
                <w:rFonts w:ascii="Calibri" w:eastAsia="Calibri" w:hAnsi="Calibri" w:cs="Mangal"/>
                <w:color w:val="262626"/>
                <w:lang w:val="en-GB"/>
              </w:rPr>
              <w:t xml:space="preserve">In the </w:t>
            </w:r>
            <w:r w:rsidR="00F54CC3">
              <w:rPr>
                <w:rFonts w:ascii="Calibri" w:eastAsia="Calibri" w:hAnsi="Calibri" w:cs="Mangal"/>
                <w:color w:val="262626"/>
                <w:lang w:val="en-GB"/>
              </w:rPr>
              <w:t>e</w:t>
            </w:r>
            <w:r>
              <w:rPr>
                <w:rFonts w:ascii="Calibri" w:eastAsia="Calibri" w:hAnsi="Calibri" w:cs="Mangal"/>
                <w:color w:val="262626"/>
                <w:lang w:val="en-GB"/>
              </w:rPr>
              <w:t xml:space="preserve">ast </w:t>
            </w:r>
            <w:r w:rsidR="00F54CC3">
              <w:rPr>
                <w:rFonts w:ascii="Calibri" w:eastAsia="Calibri" w:hAnsi="Calibri" w:cs="Mangal"/>
                <w:color w:val="262626"/>
                <w:lang w:val="en-GB"/>
              </w:rPr>
              <w:t>c</w:t>
            </w:r>
            <w:r>
              <w:rPr>
                <w:rFonts w:ascii="Calibri" w:eastAsia="Calibri" w:hAnsi="Calibri" w:cs="Mangal"/>
                <w:color w:val="262626"/>
                <w:lang w:val="en-GB"/>
              </w:rPr>
              <w:t xml:space="preserve">oast gas market, just under half of gas produced for domestic use is consumed by industrial customers, either as a fuel for industrial heat or as a </w:t>
            </w:r>
            <w:r>
              <w:rPr>
                <w:rFonts w:ascii="Calibri" w:eastAsia="Calibri" w:hAnsi="Calibri" w:cs="Mangal"/>
                <w:color w:val="262626"/>
                <w:lang w:val="en-GB"/>
              </w:rPr>
              <w:lastRenderedPageBreak/>
              <w:t>chemical feedstock in industries such as chemicals</w:t>
            </w:r>
            <w:r w:rsidR="00B40EBD">
              <w:rPr>
                <w:rFonts w:ascii="Calibri" w:eastAsia="Calibri" w:hAnsi="Calibri" w:cs="Mangal"/>
                <w:color w:val="262626"/>
                <w:lang w:val="en-GB"/>
              </w:rPr>
              <w:t>, plastics</w:t>
            </w:r>
            <w:r>
              <w:rPr>
                <w:rFonts w:ascii="Calibri" w:eastAsia="Calibri" w:hAnsi="Calibri" w:cs="Mangal"/>
                <w:color w:val="262626"/>
                <w:lang w:val="en-GB"/>
              </w:rPr>
              <w:t xml:space="preserve"> and fertiliser manufacturing.</w:t>
            </w:r>
          </w:p>
        </w:tc>
      </w:tr>
      <w:tr w:rsidR="00A80988" w14:paraId="70CDAB18" w14:textId="77777777" w:rsidTr="000B2407">
        <w:trPr>
          <w:cnfStyle w:val="000000010000" w:firstRow="0" w:lastRow="0" w:firstColumn="0" w:lastColumn="0" w:oddVBand="0" w:evenVBand="0" w:oddHBand="0" w:evenHBand="1" w:firstRowFirstColumn="0" w:firstRowLastColumn="0" w:lastRowFirstColumn="0" w:lastRowLastColumn="0"/>
        </w:trPr>
        <w:tc>
          <w:tcPr>
            <w:tcW w:w="2830" w:type="dxa"/>
          </w:tcPr>
          <w:p w14:paraId="52D84355" w14:textId="77777777" w:rsidR="00A80988" w:rsidRDefault="00A80988" w:rsidP="00A217B6">
            <w:r>
              <w:lastRenderedPageBreak/>
              <w:t>International trading partners and investors</w:t>
            </w:r>
          </w:p>
        </w:tc>
        <w:tc>
          <w:tcPr>
            <w:tcW w:w="6230" w:type="dxa"/>
          </w:tcPr>
          <w:p w14:paraId="4D9BE5DA" w14:textId="633AF00C" w:rsidR="00A80988" w:rsidRDefault="00A80988" w:rsidP="00A217B6">
            <w:r w:rsidRPr="002E2609">
              <w:rPr>
                <w:rFonts w:ascii="Calibri" w:eastAsia="Calibri" w:hAnsi="Calibri" w:cs="Mangal"/>
                <w:color w:val="262626"/>
                <w:lang w:val="en-GB"/>
              </w:rPr>
              <w:t>Australia is a trusted and reliable energy exporter</w:t>
            </w:r>
            <w:r>
              <w:rPr>
                <w:rFonts w:ascii="Calibri" w:eastAsia="Calibri" w:hAnsi="Calibri" w:cs="Mangal"/>
                <w:color w:val="262626"/>
                <w:lang w:val="en-GB"/>
              </w:rPr>
              <w:t xml:space="preserve"> </w:t>
            </w:r>
            <w:r w:rsidRPr="000003B7">
              <w:rPr>
                <w:lang w:val="en-GB"/>
              </w:rPr>
              <w:t>to our major trading partners across the world and in our region</w:t>
            </w:r>
            <w:r>
              <w:rPr>
                <w:lang w:val="en-GB"/>
              </w:rPr>
              <w:t xml:space="preserve">, with Australia’s exports of iron ore, coal and natural gas making up our top three exports overall in </w:t>
            </w:r>
            <w:r w:rsidR="00080CC8">
              <w:rPr>
                <w:lang w:val="en-GB"/>
              </w:rPr>
              <w:t>2021-22</w:t>
            </w:r>
            <w:r>
              <w:rPr>
                <w:lang w:val="en-GB"/>
              </w:rPr>
              <w:t xml:space="preserve">. </w:t>
            </w:r>
            <w:r w:rsidR="00112833">
              <w:rPr>
                <w:lang w:val="en-GB"/>
              </w:rPr>
              <w:t>Investors from a range of partner countries have made substantial investments in Australia’s resources sector.</w:t>
            </w:r>
          </w:p>
        </w:tc>
      </w:tr>
    </w:tbl>
    <w:p w14:paraId="0A0B8645" w14:textId="55C20903" w:rsidR="00E77FB3" w:rsidRDefault="004A76DE" w:rsidP="00A80988">
      <w:pPr>
        <w:pStyle w:val="BodyText"/>
      </w:pPr>
      <w:r>
        <w:t>Further information on the east coast electricity market is provided at Appendix A.</w:t>
      </w:r>
    </w:p>
    <w:p w14:paraId="346D07B2" w14:textId="77777777" w:rsidR="00993506" w:rsidRDefault="00993506">
      <w:pPr>
        <w:spacing w:line="276" w:lineRule="auto"/>
        <w:rPr>
          <w:rFonts w:asciiTheme="majorHAnsi" w:hAnsiTheme="majorHAnsi"/>
          <w:b/>
          <w:color w:val="5F5F5F" w:themeColor="text2"/>
          <w:sz w:val="60"/>
          <w:szCs w:val="60"/>
        </w:rPr>
      </w:pPr>
      <w:r>
        <w:br w:type="page"/>
      </w:r>
    </w:p>
    <w:p w14:paraId="64609E98" w14:textId="738AF1D9" w:rsidR="00EA5697" w:rsidRDefault="002950F6" w:rsidP="007835B0">
      <w:pPr>
        <w:pStyle w:val="Heading1"/>
      </w:pPr>
      <w:bookmarkStart w:id="11" w:name="_Toc121406866"/>
      <w:r>
        <w:lastRenderedPageBreak/>
        <w:t>Why is Government action needed?</w:t>
      </w:r>
      <w:bookmarkEnd w:id="11"/>
    </w:p>
    <w:p w14:paraId="7C91E4B2" w14:textId="6D3977E8" w:rsidR="009575AD" w:rsidRDefault="00A76E72" w:rsidP="00312DC7">
      <w:pPr>
        <w:pStyle w:val="Heading3"/>
      </w:pPr>
      <w:bookmarkStart w:id="12" w:name="_Toc121406867"/>
      <w:r>
        <w:t>Global energy market disruptions are leading to large price increases for households and businesses</w:t>
      </w:r>
      <w:bookmarkEnd w:id="12"/>
    </w:p>
    <w:p w14:paraId="3D12E697" w14:textId="13DC8D80" w:rsidR="00652F82" w:rsidRDefault="001A090E" w:rsidP="002A74CB">
      <w:r>
        <w:t>Th</w:t>
      </w:r>
      <w:r w:rsidR="006233BB">
        <w:t>e</w:t>
      </w:r>
      <w:r>
        <w:t xml:space="preserve"> pressures </w:t>
      </w:r>
      <w:r w:rsidR="00417DCA">
        <w:t>outlined</w:t>
      </w:r>
      <w:r w:rsidR="006233BB">
        <w:t xml:space="preserve"> above</w:t>
      </w:r>
      <w:r>
        <w:t xml:space="preserve"> have </w:t>
      </w:r>
      <w:r w:rsidR="00D92E80">
        <w:t>resulted in</w:t>
      </w:r>
      <w:r w:rsidR="00662999">
        <w:t xml:space="preserve"> </w:t>
      </w:r>
      <w:r w:rsidR="00697C68">
        <w:t>s</w:t>
      </w:r>
      <w:r w:rsidR="008937FD" w:rsidRPr="00644EE0">
        <w:t xml:space="preserve">ignificant volatility </w:t>
      </w:r>
      <w:r w:rsidR="00697C68">
        <w:t xml:space="preserve">in the </w:t>
      </w:r>
      <w:r w:rsidR="00D92E80">
        <w:t>east coast</w:t>
      </w:r>
      <w:r w:rsidR="00ED24C4">
        <w:t xml:space="preserve"> </w:t>
      </w:r>
      <w:r w:rsidR="00697C68">
        <w:t>gas market</w:t>
      </w:r>
      <w:r w:rsidR="00817A8F">
        <w:t>.</w:t>
      </w:r>
      <w:r w:rsidR="008937FD" w:rsidRPr="00644EE0">
        <w:t xml:space="preserve"> </w:t>
      </w:r>
      <w:r w:rsidRPr="00644EE0">
        <w:t xml:space="preserve">While high international prices persist, domestic prices are expected to </w:t>
      </w:r>
      <w:r w:rsidR="00A76E72">
        <w:t xml:space="preserve">be unacceptably high </w:t>
      </w:r>
      <w:r w:rsidRPr="00644EE0">
        <w:t>in the absence of intervention.</w:t>
      </w:r>
      <w:r w:rsidR="002A74CB" w:rsidRPr="002A74CB">
        <w:t xml:space="preserve"> </w:t>
      </w:r>
    </w:p>
    <w:p w14:paraId="39CAAF35" w14:textId="65B983E2" w:rsidR="00652F82" w:rsidRDefault="00652F82" w:rsidP="00652F82">
      <w:r>
        <w:t xml:space="preserve">High retail energy prices </w:t>
      </w:r>
      <w:r w:rsidR="005D0F74">
        <w:t>are</w:t>
      </w:r>
      <w:r w:rsidR="00D92E80">
        <w:t xml:space="preserve"> forecast to contribut</w:t>
      </w:r>
      <w:r w:rsidR="005D0F74">
        <w:t>e</w:t>
      </w:r>
      <w:r w:rsidR="00D92E80">
        <w:t xml:space="preserve"> to </w:t>
      </w:r>
      <w:r w:rsidRPr="00644EE0">
        <w:t xml:space="preserve">high </w:t>
      </w:r>
      <w:r>
        <w:t xml:space="preserve">inflation </w:t>
      </w:r>
      <w:r w:rsidRPr="00644EE0">
        <w:t>across the economy</w:t>
      </w:r>
      <w:r>
        <w:t>.</w:t>
      </w:r>
      <w:r w:rsidRPr="00644EE0">
        <w:t xml:space="preserve"> </w:t>
      </w:r>
      <w:r>
        <w:t xml:space="preserve">Rising prices are reducing the real incomes of many Australian households, particularly lower income working households, and </w:t>
      </w:r>
      <w:r w:rsidR="00205B3E">
        <w:t xml:space="preserve">affects </w:t>
      </w:r>
      <w:r>
        <w:t xml:space="preserve">the viability and profitability of many businesses. </w:t>
      </w:r>
      <w:r w:rsidR="00A76E72">
        <w:t>These outcomes are unsustainable and will likely l</w:t>
      </w:r>
      <w:r>
        <w:t xml:space="preserve">ead to an </w:t>
      </w:r>
      <w:r w:rsidR="00A76E72">
        <w:t>in</w:t>
      </w:r>
      <w:r>
        <w:t>efficient allocation of resources in the longer term.</w:t>
      </w:r>
    </w:p>
    <w:p w14:paraId="099C9E71" w14:textId="54F7EA27" w:rsidR="00524C34" w:rsidRDefault="00524C34" w:rsidP="00524C34">
      <w:r>
        <w:t>The forecast status quo increases in retail energy prices will continue to contribute to inflationary pressures. Continued inflationary pressures will erode the living standards of Australians. Around 8 million Australian homes built before 2005 are estimated to have an average energy efficiency rating of under two NatHERS (Nationwide House Energy Rating Scheme) stars out of 10. Energy-inefficient housing can be stifling during summer and freezing in winter, increasing energy consumption and energy bills. Unaffordable energy prices will particularly impact low-income Australians who are high energy users</w:t>
      </w:r>
      <w:r w:rsidR="00EC1EB8">
        <w:t xml:space="preserve"> with limited ability to reduce their demand</w:t>
      </w:r>
      <w:r>
        <w:t xml:space="preserve">, including those residing in energy-inefficient housing. </w:t>
      </w:r>
      <w:r w:rsidR="00D92E80">
        <w:t>Further energy price pressures are likely to exacerbate these existing issues.</w:t>
      </w:r>
    </w:p>
    <w:p w14:paraId="6D80850A" w14:textId="273F2227" w:rsidR="00EC675D" w:rsidRDefault="00F90205" w:rsidP="002A74CB">
      <w:r>
        <w:t>T</w:t>
      </w:r>
      <w:r w:rsidR="005D45F8">
        <w:t xml:space="preserve">he rising cost of electricity </w:t>
      </w:r>
      <w:r>
        <w:t xml:space="preserve">is also </w:t>
      </w:r>
      <w:r w:rsidR="005D45F8">
        <w:t>increasing the cost to manufacture goods and operate businesses</w:t>
      </w:r>
      <w:r w:rsidR="00C10B7E">
        <w:t>, which is</w:t>
      </w:r>
      <w:r w:rsidR="005D45F8">
        <w:t xml:space="preserve"> flowing to prices</w:t>
      </w:r>
      <w:r w:rsidR="007A4B0E">
        <w:t>.</w:t>
      </w:r>
      <w:r w:rsidR="008C48CD">
        <w:t xml:space="preserve"> Timely and targeted intervention</w:t>
      </w:r>
      <w:r w:rsidR="001A090E">
        <w:t xml:space="preserve"> </w:t>
      </w:r>
      <w:r w:rsidR="008C48CD">
        <w:t xml:space="preserve">will be able to </w:t>
      </w:r>
      <w:r w:rsidR="00B068FA">
        <w:t xml:space="preserve">limit these price rises and </w:t>
      </w:r>
      <w:r w:rsidR="00B738B3">
        <w:t>its</w:t>
      </w:r>
      <w:r w:rsidR="00B068FA">
        <w:t xml:space="preserve"> effect on </w:t>
      </w:r>
      <w:r w:rsidR="00C42E3B">
        <w:t>consumers.</w:t>
      </w:r>
    </w:p>
    <w:p w14:paraId="352A870F" w14:textId="45DEB85A" w:rsidR="003A54E0" w:rsidRDefault="00EC675D" w:rsidP="007A4B0E">
      <w:r>
        <w:t>Finally</w:t>
      </w:r>
      <w:r w:rsidR="00B068FA">
        <w:t>, wholesale electricity contracts for the 2023-24 financial year are currently being negotiated</w:t>
      </w:r>
      <w:r w:rsidDel="00B068FA">
        <w:t>,</w:t>
      </w:r>
      <w:r w:rsidR="00B068FA">
        <w:t xml:space="preserve"> with electricity retailers </w:t>
      </w:r>
      <w:r w:rsidR="00B738B3">
        <w:t>looking</w:t>
      </w:r>
      <w:r w:rsidR="00B068FA">
        <w:t xml:space="preserve"> to lock in the wholesale cost of electricity they expect to purchase for their customers. </w:t>
      </w:r>
      <w:r w:rsidR="00100438">
        <w:t>Many r</w:t>
      </w:r>
      <w:r w:rsidR="00B068FA">
        <w:t xml:space="preserve">etail </w:t>
      </w:r>
      <w:r w:rsidR="00100438">
        <w:t xml:space="preserve">contracts have </w:t>
      </w:r>
      <w:r w:rsidR="00B738B3">
        <w:t xml:space="preserve">already </w:t>
      </w:r>
      <w:r w:rsidR="00B068FA">
        <w:t xml:space="preserve">locked in </w:t>
      </w:r>
      <w:r w:rsidR="00100438">
        <w:t xml:space="preserve">retail prices </w:t>
      </w:r>
      <w:r w:rsidR="00B068FA">
        <w:t>for 2022-23</w:t>
      </w:r>
      <w:r w:rsidR="00C95987">
        <w:t>,</w:t>
      </w:r>
      <w:r w:rsidR="00B068FA">
        <w:t xml:space="preserve"> </w:t>
      </w:r>
      <w:r w:rsidR="00252CDA">
        <w:t>h</w:t>
      </w:r>
      <w:r w:rsidR="00524C34">
        <w:t>owever</w:t>
      </w:r>
      <w:r w:rsidR="0022282F">
        <w:t>,</w:t>
      </w:r>
      <w:r w:rsidR="00B068FA">
        <w:t xml:space="preserve"> </w:t>
      </w:r>
      <w:r w:rsidR="00F06B5F">
        <w:t xml:space="preserve">intervention now </w:t>
      </w:r>
      <w:r w:rsidR="008713F7">
        <w:t>will start</w:t>
      </w:r>
      <w:r w:rsidR="00F06B5F">
        <w:t xml:space="preserve"> to </w:t>
      </w:r>
      <w:r w:rsidR="000552A5">
        <w:t xml:space="preserve">limit price increases </w:t>
      </w:r>
      <w:r w:rsidR="00F06B5F">
        <w:t>in the 2023-24</w:t>
      </w:r>
      <w:r w:rsidR="00F06B5F" w:rsidDel="00B068FA">
        <w:t xml:space="preserve"> </w:t>
      </w:r>
      <w:r w:rsidR="00F06B5F">
        <w:t>financial year</w:t>
      </w:r>
      <w:r w:rsidR="00D92E80">
        <w:t xml:space="preserve">.  As such, there is </w:t>
      </w:r>
      <w:r w:rsidR="0034482A">
        <w:t>an urgent need</w:t>
      </w:r>
      <w:r w:rsidR="00D92E80">
        <w:t xml:space="preserve"> for </w:t>
      </w:r>
      <w:r w:rsidR="00E4235F">
        <w:t>swift</w:t>
      </w:r>
      <w:r w:rsidR="0022282F">
        <w:t xml:space="preserve"> Government </w:t>
      </w:r>
      <w:r w:rsidR="00D92E80">
        <w:t xml:space="preserve">action </w:t>
      </w:r>
      <w:r w:rsidR="0022282F">
        <w:t xml:space="preserve">to </w:t>
      </w:r>
      <w:r w:rsidR="00D92E80">
        <w:t xml:space="preserve">address </w:t>
      </w:r>
      <w:r w:rsidR="00E4235F">
        <w:t>current and forecast high</w:t>
      </w:r>
      <w:r w:rsidR="00D92E80">
        <w:t xml:space="preserve"> </w:t>
      </w:r>
      <w:r w:rsidR="00E4235F">
        <w:t>future energy</w:t>
      </w:r>
      <w:r w:rsidR="00D92E80">
        <w:t xml:space="preserve"> prices. </w:t>
      </w:r>
    </w:p>
    <w:p w14:paraId="1B8A93E9" w14:textId="4B440646" w:rsidR="003A5DE5" w:rsidRPr="00636FD4" w:rsidRDefault="00DF31A8" w:rsidP="00312DC7">
      <w:pPr>
        <w:pStyle w:val="Heading3"/>
      </w:pPr>
      <w:bookmarkStart w:id="13" w:name="_Toc121406868"/>
      <w:r>
        <w:t>Government capacity to intervene</w:t>
      </w:r>
      <w:bookmarkEnd w:id="13"/>
    </w:p>
    <w:p w14:paraId="0F617DA4" w14:textId="65187B66" w:rsidR="003267D0" w:rsidRDefault="00F96E1B" w:rsidP="00AD0DAF">
      <w:r>
        <w:t xml:space="preserve">There are several </w:t>
      </w:r>
      <w:r w:rsidR="001A090E">
        <w:t>ways the</w:t>
      </w:r>
      <w:r>
        <w:t xml:space="preserve"> </w:t>
      </w:r>
      <w:r w:rsidR="00B9356F">
        <w:t>Government</w:t>
      </w:r>
      <w:r w:rsidR="00042BF8">
        <w:t xml:space="preserve"> </w:t>
      </w:r>
      <w:r w:rsidR="0075202F">
        <w:t>can</w:t>
      </w:r>
      <w:r w:rsidR="00042BF8">
        <w:t xml:space="preserve"> intervene to </w:t>
      </w:r>
      <w:r w:rsidR="00697C68">
        <w:t>moderate energy prices for consumers</w:t>
      </w:r>
      <w:r w:rsidR="00890EF3">
        <w:t xml:space="preserve"> but depending on the point of intervention these can have </w:t>
      </w:r>
      <w:r w:rsidR="00C426B3">
        <w:t xml:space="preserve">differing impacts </w:t>
      </w:r>
      <w:r w:rsidR="00890EF3">
        <w:t>along the supply chain</w:t>
      </w:r>
      <w:r w:rsidR="007F7B3D">
        <w:t xml:space="preserve">. </w:t>
      </w:r>
      <w:r w:rsidR="009D2F43">
        <w:t>T</w:t>
      </w:r>
      <w:r w:rsidR="00484D80">
        <w:t xml:space="preserve">he Government could seek to reduce the price of wholesale electricity – either through directly targeting wholesale electricity prices or </w:t>
      </w:r>
      <w:r w:rsidR="00E11C0C">
        <w:t xml:space="preserve">targeting the prices of </w:t>
      </w:r>
      <w:r w:rsidR="00484D80">
        <w:t>input</w:t>
      </w:r>
      <w:r w:rsidR="00E11C0C">
        <w:t>s</w:t>
      </w:r>
      <w:r w:rsidR="00484D80">
        <w:t xml:space="preserve"> to electricity generation</w:t>
      </w:r>
      <w:r w:rsidR="003F04E1">
        <w:t xml:space="preserve">. </w:t>
      </w:r>
      <w:r w:rsidR="002450FC">
        <w:t xml:space="preserve">The Government could also seek to reduce the price of wholesale gas for consumers who use gas directly as a source of energy. </w:t>
      </w:r>
    </w:p>
    <w:p w14:paraId="58A0517B" w14:textId="1C74E7E6" w:rsidR="0071581D" w:rsidRDefault="0071581D" w:rsidP="00D678A9">
      <w:r>
        <w:t>Limitations to the Commonwealth</w:t>
      </w:r>
      <w:r w:rsidR="008D501B">
        <w:t>’s</w:t>
      </w:r>
      <w:r>
        <w:t xml:space="preserve"> legal powers and the </w:t>
      </w:r>
      <w:r w:rsidR="00E60594">
        <w:t xml:space="preserve">fragmented </w:t>
      </w:r>
      <w:r>
        <w:t>structure of the coal market (</w:t>
      </w:r>
      <w:r w:rsidR="00D92E80">
        <w:t>with</w:t>
      </w:r>
      <w:r>
        <w:t xml:space="preserve"> different </w:t>
      </w:r>
      <w:r w:rsidR="00D92E80">
        <w:t>grades</w:t>
      </w:r>
      <w:r>
        <w:t xml:space="preserve"> of coal </w:t>
      </w:r>
      <w:r w:rsidR="00D92E80">
        <w:t>produced</w:t>
      </w:r>
      <w:r w:rsidR="00F50823">
        <w:t xml:space="preserve"> </w:t>
      </w:r>
      <w:r>
        <w:t>for different purposes</w:t>
      </w:r>
      <w:r w:rsidR="008A3E15">
        <w:t xml:space="preserve"> and markets</w:t>
      </w:r>
      <w:r>
        <w:t>), mean that intervention</w:t>
      </w:r>
      <w:r w:rsidR="002450FC">
        <w:t xml:space="preserve"> </w:t>
      </w:r>
      <w:r w:rsidR="002450FC">
        <w:lastRenderedPageBreak/>
        <w:t>on wholesale coal prices</w:t>
      </w:r>
      <w:r>
        <w:t xml:space="preserve"> at the </w:t>
      </w:r>
      <w:r w:rsidR="00D92E80">
        <w:t>s</w:t>
      </w:r>
      <w:r>
        <w:t xml:space="preserve">tate level </w:t>
      </w:r>
      <w:r w:rsidR="00ED527A">
        <w:t xml:space="preserve">will </w:t>
      </w:r>
      <w:r>
        <w:t xml:space="preserve">be </w:t>
      </w:r>
      <w:r w:rsidR="00ED527A">
        <w:t xml:space="preserve">more </w:t>
      </w:r>
      <w:r>
        <w:t>effective</w:t>
      </w:r>
      <w:r w:rsidR="00ED527A">
        <w:t xml:space="preserve"> and able to be targeted to where it is needed</w:t>
      </w:r>
      <w:r w:rsidR="002450FC">
        <w:t xml:space="preserve">. </w:t>
      </w:r>
    </w:p>
    <w:p w14:paraId="4EEE3FDF" w14:textId="7742DDE1" w:rsidR="00D678A9" w:rsidRDefault="002450FC" w:rsidP="00AD0DAF">
      <w:r>
        <w:t xml:space="preserve">Another </w:t>
      </w:r>
      <w:r w:rsidR="00D92E80">
        <w:t>pathway</w:t>
      </w:r>
      <w:r>
        <w:t xml:space="preserve"> to </w:t>
      </w:r>
      <w:r w:rsidR="00F5023F">
        <w:t xml:space="preserve">put downward pressure on </w:t>
      </w:r>
      <w:r>
        <w:t xml:space="preserve">domestic wholesale electricity prices is </w:t>
      </w:r>
      <w:r w:rsidR="00D92E80">
        <w:t>through measures which</w:t>
      </w:r>
      <w:r>
        <w:t xml:space="preserve"> reduce the price of domestic wholesale gas. </w:t>
      </w:r>
      <w:r w:rsidR="00D678A9">
        <w:t>While gas-powered generation accounts for a</w:t>
      </w:r>
      <w:r w:rsidR="00267540">
        <w:t>n apparently</w:t>
      </w:r>
      <w:r w:rsidR="00D678A9">
        <w:t xml:space="preserve"> small share of electricity output (around 5 per cent), it is an important fuel in driving competition and </w:t>
      </w:r>
      <w:r w:rsidR="008A3E15">
        <w:t xml:space="preserve">setting </w:t>
      </w:r>
      <w:r w:rsidR="00D678A9">
        <w:t>prices in the NEM.</w:t>
      </w:r>
      <w:r w:rsidR="00D678A9" w:rsidRPr="00D678A9">
        <w:t xml:space="preserve"> </w:t>
      </w:r>
      <w:r w:rsidR="00D678A9">
        <w:t xml:space="preserve">Between </w:t>
      </w:r>
      <w:r w:rsidR="008D501B">
        <w:t>Q</w:t>
      </w:r>
      <w:r w:rsidR="00D678A9">
        <w:t>1 and</w:t>
      </w:r>
      <w:r w:rsidR="00D678A9" w:rsidDel="008D501B">
        <w:t xml:space="preserve"> </w:t>
      </w:r>
      <w:r w:rsidR="008D501B">
        <w:t>Q</w:t>
      </w:r>
      <w:r w:rsidR="00D678A9">
        <w:t xml:space="preserve">2 of 2022, more costly marginal fuels such as gas </w:t>
      </w:r>
      <w:r w:rsidR="008A3E15">
        <w:t xml:space="preserve">and hydro (which often shadows gas) </w:t>
      </w:r>
      <w:r w:rsidR="00D678A9">
        <w:t>set the price of electricity in the NEM more regularly</w:t>
      </w:r>
      <w:r w:rsidR="00D92E80">
        <w:t xml:space="preserve"> than in previous periods</w:t>
      </w:r>
      <w:r w:rsidR="00D678A9">
        <w:t xml:space="preserve">, and the frequency of </w:t>
      </w:r>
      <w:r w:rsidR="008D501B">
        <w:t xml:space="preserve">coal-fired generation setting prices </w:t>
      </w:r>
      <w:r w:rsidR="00D678A9">
        <w:t>declined from 48 per cent of the time to 27 per cent of the time.</w:t>
      </w:r>
    </w:p>
    <w:p w14:paraId="6ECFC815" w14:textId="29ED1D42" w:rsidR="00D678A9" w:rsidRDefault="002450FC" w:rsidP="00AD0DAF">
      <w:r>
        <w:t xml:space="preserve">There is scope for the Commonwealth to enforce price caps on </w:t>
      </w:r>
      <w:r w:rsidR="00F06B5F">
        <w:t xml:space="preserve">uncontracted gas markets </w:t>
      </w:r>
      <w:r>
        <w:t xml:space="preserve">through </w:t>
      </w:r>
      <w:r w:rsidR="00D678A9">
        <w:t>legislation</w:t>
      </w:r>
      <w:r>
        <w:t xml:space="preserve">. Further, the Commonwealth already </w:t>
      </w:r>
      <w:r w:rsidR="008D501B">
        <w:t xml:space="preserve">has </w:t>
      </w:r>
      <w:r>
        <w:t xml:space="preserve">a number of </w:t>
      </w:r>
      <w:r w:rsidR="004A7A50">
        <w:t xml:space="preserve">regulatory and non-regulatory </w:t>
      </w:r>
      <w:r>
        <w:t xml:space="preserve">levers to encourage supply to domestic gas markets – for example, the HoA and </w:t>
      </w:r>
      <w:r w:rsidR="00D678A9">
        <w:t xml:space="preserve">the </w:t>
      </w:r>
      <w:r>
        <w:t>ADGS</w:t>
      </w:r>
      <w:r w:rsidR="00A26534">
        <w:t>M</w:t>
      </w:r>
      <w:r w:rsidR="00D678A9">
        <w:t xml:space="preserve"> – which are already explored in the </w:t>
      </w:r>
      <w:r>
        <w:rPr>
          <w:i/>
          <w:iCs/>
        </w:rPr>
        <w:t>Current Government frameworks could be strengthened</w:t>
      </w:r>
      <w:r w:rsidR="00A26534">
        <w:t xml:space="preserve"> section</w:t>
      </w:r>
      <w:r>
        <w:rPr>
          <w:i/>
          <w:iCs/>
        </w:rPr>
        <w:t xml:space="preserve">. </w:t>
      </w:r>
      <w:r w:rsidR="00D678A9">
        <w:t>There is scope to strengthen these Commonwealth levers to ensure domestic supply</w:t>
      </w:r>
      <w:r w:rsidR="00D92E80">
        <w:t>, together</w:t>
      </w:r>
      <w:r w:rsidR="00D678A9">
        <w:t xml:space="preserve"> with </w:t>
      </w:r>
      <w:r w:rsidR="00D92E80">
        <w:t>the implementation of</w:t>
      </w:r>
      <w:r w:rsidR="00D678A9">
        <w:t xml:space="preserve"> a Commonwealth price cap on uncontracted domestic wholesale gas. This </w:t>
      </w:r>
      <w:r w:rsidR="000659C3">
        <w:t>would be expected</w:t>
      </w:r>
      <w:r w:rsidR="00D678A9">
        <w:t xml:space="preserve"> to </w:t>
      </w:r>
      <w:r w:rsidR="000659C3">
        <w:t>flow through</w:t>
      </w:r>
      <w:r w:rsidR="00D678A9">
        <w:t xml:space="preserve"> to </w:t>
      </w:r>
      <w:r w:rsidR="008037C6">
        <w:t>minimise</w:t>
      </w:r>
      <w:r w:rsidR="00D678A9">
        <w:t xml:space="preserve"> wholesale electricity prices as the price set by gas-fired generators is reduced, as well as reducing prices </w:t>
      </w:r>
      <w:r w:rsidR="00E77B95">
        <w:t>faced</w:t>
      </w:r>
      <w:r w:rsidR="00D678A9">
        <w:t xml:space="preserve"> by industrial consumers</w:t>
      </w:r>
      <w:r w:rsidR="000659C3">
        <w:t xml:space="preserve"> and gas retailers (which, in turn, supply gas to</w:t>
      </w:r>
      <w:r w:rsidR="00D678A9">
        <w:t xml:space="preserve"> small businesses and households that use gas as a direct source of energy</w:t>
      </w:r>
      <w:r w:rsidR="000659C3">
        <w:t>)</w:t>
      </w:r>
      <w:r w:rsidR="00D678A9">
        <w:t xml:space="preserve">. </w:t>
      </w:r>
    </w:p>
    <w:p w14:paraId="21FB9FA6" w14:textId="223D4816" w:rsidR="00E77B95" w:rsidRDefault="002450FC" w:rsidP="00AD0DAF">
      <w:r>
        <w:t>Finally,</w:t>
      </w:r>
      <w:r w:rsidR="00FD2563">
        <w:t xml:space="preserve"> governments could directly alleviate the final retail energy price faced by consumers. </w:t>
      </w:r>
      <w:r>
        <w:t xml:space="preserve"> </w:t>
      </w:r>
      <w:r w:rsidR="00FD2563">
        <w:t>T</w:t>
      </w:r>
      <w:r>
        <w:t xml:space="preserve">he AER and the ACCC could utilise their regulatory powers to </w:t>
      </w:r>
      <w:r w:rsidR="00D92E80">
        <w:t>monitor the impact of measures which put</w:t>
      </w:r>
      <w:r>
        <w:t xml:space="preserve"> downward pressure on future prices</w:t>
      </w:r>
      <w:r w:rsidR="00D92E80">
        <w:t xml:space="preserve"> and monitor the behaviour of the market participants</w:t>
      </w:r>
      <w:r>
        <w:t xml:space="preserve">. The ACCC can enforce provisions in Part XICA of the </w:t>
      </w:r>
      <w:r w:rsidR="002F09B0">
        <w:t>CCA</w:t>
      </w:r>
      <w:r>
        <w:rPr>
          <w:i/>
        </w:rPr>
        <w:t xml:space="preserve"> </w:t>
      </w:r>
      <w:r>
        <w:t xml:space="preserve">that </w:t>
      </w:r>
      <w:r w:rsidRPr="005A3DEF">
        <w:t xml:space="preserve">require electricity retailers to </w:t>
      </w:r>
      <w:r>
        <w:t xml:space="preserve">reasonably </w:t>
      </w:r>
      <w:r w:rsidRPr="005A3DEF">
        <w:t>adjust their prices to reflect sustained and substantial cost savings</w:t>
      </w:r>
      <w:r w:rsidR="00FD2563">
        <w:t xml:space="preserve">. </w:t>
      </w:r>
    </w:p>
    <w:p w14:paraId="1E26B6A1" w14:textId="66D84B39" w:rsidR="0071581D" w:rsidRDefault="00E77B95" w:rsidP="00AD0DAF">
      <w:r>
        <w:t>States and territories also maintain existing schemes which deliver energy bill rebates to recipients of various concessions. Unlike the states, the Commonwealth does not have existing administrative arrangements in place w</w:t>
      </w:r>
      <w:r w:rsidRPr="00B73EEB">
        <w:t xml:space="preserve">ith </w:t>
      </w:r>
      <w:r w:rsidR="000D23E0" w:rsidRPr="00B73EEB">
        <w:t>energy</w:t>
      </w:r>
      <w:r w:rsidRPr="00B73EEB">
        <w:t xml:space="preserve"> </w:t>
      </w:r>
      <w:r>
        <w:t>retailers</w:t>
      </w:r>
      <w:r w:rsidR="00D92E80">
        <w:t xml:space="preserve"> or</w:t>
      </w:r>
      <w:r w:rsidR="007B436F">
        <w:t xml:space="preserve"> </w:t>
      </w:r>
      <w:r>
        <w:t>have a clear constitutional power to unilaterally deliver a universal concession scheme to households and businesses for the purpose of providing retail energy price relief. Thus, states and ter</w:t>
      </w:r>
      <w:r w:rsidR="003601D1">
        <w:t xml:space="preserve">ritories are </w:t>
      </w:r>
      <w:r w:rsidR="003601D1" w:rsidDel="00A26534">
        <w:t>best</w:t>
      </w:r>
      <w:r w:rsidR="00A26534">
        <w:t xml:space="preserve"> placed</w:t>
      </w:r>
      <w:r w:rsidR="003601D1">
        <w:t xml:space="preserve"> to provide </w:t>
      </w:r>
      <w:r>
        <w:t xml:space="preserve">direct retail energy bill support </w:t>
      </w:r>
      <w:r w:rsidR="003601D1">
        <w:t xml:space="preserve">to consumers. </w:t>
      </w:r>
    </w:p>
    <w:p w14:paraId="69C285CB" w14:textId="0CB8E73B" w:rsidR="003601D1" w:rsidRDefault="003601D1" w:rsidP="00AD0DAF">
      <w:r>
        <w:t xml:space="preserve">The capacity for the Commonwealth to reduce </w:t>
      </w:r>
      <w:r w:rsidR="00080CC8">
        <w:t>underlying drivers of consumer</w:t>
      </w:r>
      <w:r>
        <w:t xml:space="preserve"> energy prices largely </w:t>
      </w:r>
      <w:r w:rsidR="00785DF3">
        <w:t>resides in the targeting of domestic wholesale gas markets. For this reason, Government action considered in this Impact Analysis largely focus</w:t>
      </w:r>
      <w:r w:rsidR="003B1134">
        <w:t>es</w:t>
      </w:r>
      <w:r w:rsidR="00785DF3">
        <w:t xml:space="preserve"> on these markets. </w:t>
      </w:r>
    </w:p>
    <w:p w14:paraId="3DAD5597" w14:textId="16EACF92" w:rsidR="004E0AE7" w:rsidRDefault="002B66D3" w:rsidP="00312DC7">
      <w:pPr>
        <w:pStyle w:val="Heading3"/>
      </w:pPr>
      <w:bookmarkStart w:id="14" w:name="_Toc121406869"/>
      <w:r>
        <w:t>Alternatives to Government action</w:t>
      </w:r>
      <w:bookmarkEnd w:id="14"/>
    </w:p>
    <w:p w14:paraId="7177B3F8" w14:textId="1FEC2B74" w:rsidR="00B10181" w:rsidRDefault="00F62D7C" w:rsidP="004E0AE7">
      <w:r>
        <w:t>T</w:t>
      </w:r>
      <w:r w:rsidR="003A096A">
        <w:t xml:space="preserve">here are </w:t>
      </w:r>
      <w:r w:rsidR="00B90B7E">
        <w:t>a</w:t>
      </w:r>
      <w:r w:rsidR="003A096A">
        <w:t xml:space="preserve"> handful of existing mechanisms which </w:t>
      </w:r>
      <w:r w:rsidR="00D56268">
        <w:t xml:space="preserve">will </w:t>
      </w:r>
      <w:r w:rsidR="00D92E80">
        <w:t xml:space="preserve">assist in </w:t>
      </w:r>
      <w:r w:rsidR="00D56268">
        <w:t xml:space="preserve">maintaining the </w:t>
      </w:r>
      <w:r w:rsidR="00D92E80">
        <w:t>supply adequacy</w:t>
      </w:r>
      <w:r w:rsidR="00D61978">
        <w:t xml:space="preserve"> </w:t>
      </w:r>
      <w:r w:rsidR="003A096A">
        <w:t xml:space="preserve">of gas </w:t>
      </w:r>
      <w:r w:rsidR="00093929">
        <w:t>in</w:t>
      </w:r>
      <w:r w:rsidR="003A096A">
        <w:t xml:space="preserve"> the </w:t>
      </w:r>
      <w:r w:rsidR="00D63C13">
        <w:t xml:space="preserve">domestic </w:t>
      </w:r>
      <w:r w:rsidR="003A096A">
        <w:t>market</w:t>
      </w:r>
      <w:r w:rsidR="00A51D8B">
        <w:t xml:space="preserve"> and support consumers facing energy cost pressures</w:t>
      </w:r>
      <w:r w:rsidR="003A096A">
        <w:t xml:space="preserve">. </w:t>
      </w:r>
    </w:p>
    <w:p w14:paraId="2A7A33D1" w14:textId="359BA337" w:rsidR="00BC70DA" w:rsidRDefault="00BC70DA" w:rsidP="00BC70DA">
      <w:r>
        <w:t>For example, the Government could rely on existing schemes operated by the states designed to provide relief to households. Th</w:t>
      </w:r>
      <w:r w:rsidR="00D92E80">
        <w:t>e designs</w:t>
      </w:r>
      <w:r>
        <w:t xml:space="preserve"> of these schemes var</w:t>
      </w:r>
      <w:r w:rsidR="00D92E80">
        <w:t>y</w:t>
      </w:r>
      <w:r>
        <w:t xml:space="preserve"> across states, </w:t>
      </w:r>
      <w:r w:rsidRPr="00101161">
        <w:t>but</w:t>
      </w:r>
      <w:r>
        <w:t xml:space="preserve"> most target vulnerable consumers with rebates directly to their bills. There is a concern, however, the level of these rebates will not </w:t>
      </w:r>
      <w:r w:rsidR="00D92E80">
        <w:t>address</w:t>
      </w:r>
      <w:r>
        <w:t xml:space="preserve"> the needs of consumers and businesses</w:t>
      </w:r>
      <w:r w:rsidR="00D92E80">
        <w:t xml:space="preserve"> in the face of forecast energy prices</w:t>
      </w:r>
      <w:r w:rsidR="005A0162">
        <w:t>.</w:t>
      </w:r>
      <w:r>
        <w:t xml:space="preserve"> </w:t>
      </w:r>
    </w:p>
    <w:p w14:paraId="21CD2A0F" w14:textId="5B900F1A" w:rsidR="00A51D8B" w:rsidRDefault="00524C34" w:rsidP="00524C34">
      <w:r>
        <w:lastRenderedPageBreak/>
        <w:t xml:space="preserve">The Government could also rely on the HoA with </w:t>
      </w:r>
      <w:r w:rsidR="00287987">
        <w:t>proponents</w:t>
      </w:r>
      <w:r w:rsidR="00D92E80">
        <w:t xml:space="preserve"> of Queensland-based</w:t>
      </w:r>
      <w:r>
        <w:t xml:space="preserve"> LNG </w:t>
      </w:r>
      <w:r w:rsidR="00EE6B0D">
        <w:t>e</w:t>
      </w:r>
      <w:r>
        <w:t xml:space="preserve">xport </w:t>
      </w:r>
      <w:r w:rsidR="00D92E80">
        <w:t>projects</w:t>
      </w:r>
      <w:r>
        <w:t xml:space="preserve"> to ensure sufficient gas is supplied to the domestic market – </w:t>
      </w:r>
      <w:r w:rsidR="00F06B5F">
        <w:t xml:space="preserve">however, this mechanism alone would not directly address rising prices. </w:t>
      </w:r>
      <w:r>
        <w:t xml:space="preserve">Through negotiations for a new HoA (which was announced in September 2022), and in response to the ACCC’s forecasted shortfall of 56 PJ in 2023, the Government secured </w:t>
      </w:r>
      <w:r w:rsidR="00080CC8">
        <w:t>agreement from LNG exporters t</w:t>
      </w:r>
      <w:r w:rsidR="00876EE7">
        <w:t>o</w:t>
      </w:r>
      <w:r w:rsidR="00080CC8">
        <w:t xml:space="preserve"> supply </w:t>
      </w:r>
      <w:r>
        <w:t xml:space="preserve">157 PJ of gas for the east coast domestic market. </w:t>
      </w:r>
      <w:r w:rsidR="00D92E80">
        <w:t xml:space="preserve">Under this agreement, </w:t>
      </w:r>
      <w:r>
        <w:t xml:space="preserve">LNG exporters on the east coast have committed to first offer uncontracted gas domestically </w:t>
      </w:r>
      <w:r w:rsidR="0043586E">
        <w:t xml:space="preserve">and </w:t>
      </w:r>
      <w:r>
        <w:t xml:space="preserve">to comply with the annexed voluntary </w:t>
      </w:r>
      <w:r w:rsidR="00A70772">
        <w:t>C</w:t>
      </w:r>
      <w:r>
        <w:t xml:space="preserve">ode of </w:t>
      </w:r>
      <w:r w:rsidR="00A70772">
        <w:t>C</w:t>
      </w:r>
      <w:r>
        <w:t xml:space="preserve">onduct. </w:t>
      </w:r>
    </w:p>
    <w:p w14:paraId="3504E64F" w14:textId="0CA61B89" w:rsidR="00524C34" w:rsidRPr="008937FD" w:rsidRDefault="008713F7" w:rsidP="00524C34">
      <w:r>
        <w:t xml:space="preserve">It </w:t>
      </w:r>
      <w:r w:rsidR="00C426B3">
        <w:t xml:space="preserve">is unclear whether </w:t>
      </w:r>
      <w:r w:rsidR="00A913F2">
        <w:t>it</w:t>
      </w:r>
      <w:r w:rsidR="00C426B3">
        <w:t xml:space="preserve"> </w:t>
      </w:r>
      <w:r w:rsidR="00A913F2">
        <w:t>is</w:t>
      </w:r>
      <w:r>
        <w:t xml:space="preserve"> possible</w:t>
      </w:r>
      <w:r w:rsidR="00F06B5F">
        <w:t xml:space="preserve"> to strengthen this commitment to ensure that offers are made and structured in ways that better support the needs of domestic customers, and thus improve the operation of domestic markets.</w:t>
      </w:r>
      <w:r w:rsidR="00F06B5F" w:rsidDel="00C426B3">
        <w:t xml:space="preserve"> </w:t>
      </w:r>
      <w:r w:rsidR="00096B51">
        <w:t xml:space="preserve">  </w:t>
      </w:r>
      <w:r w:rsidR="00524C34">
        <w:t xml:space="preserve"> </w:t>
      </w:r>
    </w:p>
    <w:p w14:paraId="3DB96596" w14:textId="63AC9B0E" w:rsidR="004E0AE7" w:rsidRDefault="002B66D3" w:rsidP="00312DC7">
      <w:pPr>
        <w:pStyle w:val="Heading3"/>
      </w:pPr>
      <w:bookmarkStart w:id="15" w:name="_Toc121406870"/>
      <w:r>
        <w:t>Objectives of Government action</w:t>
      </w:r>
      <w:bookmarkEnd w:id="15"/>
    </w:p>
    <w:p w14:paraId="18621CF8" w14:textId="68AD7163" w:rsidR="006F6813" w:rsidRDefault="008A3365" w:rsidP="006F6813">
      <w:pPr>
        <w:shd w:val="clear" w:color="auto" w:fill="FFFFFF"/>
        <w:rPr>
          <w:rFonts w:eastAsia="Times New Roman" w:cstheme="minorHAnsi"/>
          <w:color w:val="000000"/>
          <w:shd w:val="clear" w:color="auto" w:fill="FFFFFF"/>
          <w:lang w:eastAsia="en-GB"/>
        </w:rPr>
      </w:pPr>
      <w:r>
        <w:t xml:space="preserve">At the </w:t>
      </w:r>
      <w:r w:rsidR="006F6813">
        <w:t>28 October</w:t>
      </w:r>
      <w:r>
        <w:t xml:space="preserve"> 2022 Energy Ministers Meeting, </w:t>
      </w:r>
      <w:r w:rsidR="006F6813" w:rsidRPr="006F6813">
        <w:rPr>
          <w:rFonts w:eastAsia="Times New Roman" w:cstheme="minorHAnsi"/>
        </w:rPr>
        <w:t xml:space="preserve">Energy </w:t>
      </w:r>
      <w:r w:rsidRPr="006F6813">
        <w:rPr>
          <w:rFonts w:eastAsia="Times New Roman" w:cstheme="minorHAnsi"/>
        </w:rPr>
        <w:t xml:space="preserve">Ministers </w:t>
      </w:r>
      <w:r w:rsidR="006F6813" w:rsidRPr="006F6813">
        <w:rPr>
          <w:rFonts w:eastAsia="Times New Roman" w:cstheme="minorHAnsi"/>
        </w:rPr>
        <w:t>committed to consider all options to take strong action as a matter of urgency</w:t>
      </w:r>
      <w:r w:rsidR="006F6813">
        <w:rPr>
          <w:rFonts w:eastAsia="Times New Roman" w:cstheme="minorHAnsi"/>
        </w:rPr>
        <w:t xml:space="preserve"> to bring down power prices for Australian households and businesses</w:t>
      </w:r>
      <w:r w:rsidR="00AD5C44">
        <w:rPr>
          <w:rFonts w:eastAsia="Times New Roman" w:cstheme="minorHAnsi"/>
        </w:rPr>
        <w:t xml:space="preserve"> and</w:t>
      </w:r>
      <w:r>
        <w:rPr>
          <w:rFonts w:eastAsia="Times New Roman" w:cstheme="minorHAnsi"/>
        </w:rPr>
        <w:t xml:space="preserve"> </w:t>
      </w:r>
      <w:r>
        <w:rPr>
          <w:rFonts w:ascii="Calibri" w:hAnsi="Calibri" w:cs="Calibri"/>
          <w:color w:val="000000"/>
        </w:rPr>
        <w:t xml:space="preserve">that deeper action is needed to drive further stability and address price pressures. Ministers also concurrently recognised </w:t>
      </w:r>
      <w:r w:rsidR="006F6813">
        <w:rPr>
          <w:rFonts w:ascii="Calibri" w:hAnsi="Calibri" w:cs="Calibri"/>
          <w:color w:val="000000"/>
        </w:rPr>
        <w:t>that a</w:t>
      </w:r>
      <w:r w:rsidR="006F6813">
        <w:rPr>
          <w:rFonts w:eastAsia="Times New Roman" w:cstheme="minorHAnsi"/>
          <w:color w:val="000000"/>
          <w:shd w:val="clear" w:color="auto" w:fill="FFFFFF"/>
          <w:lang w:eastAsia="en-GB"/>
        </w:rPr>
        <w:t xml:space="preserve"> transition to renewable energy not only reduces emissions but also increases our resilience and protects consumers from such global price shocks. </w:t>
      </w:r>
    </w:p>
    <w:p w14:paraId="07302E94" w14:textId="7ED4BE7D" w:rsidR="00524C34" w:rsidRPr="00F562C6" w:rsidRDefault="008A3365" w:rsidP="00524C34">
      <w:pPr>
        <w:pStyle w:val="BodyText"/>
      </w:pPr>
      <w:r>
        <w:t>To this end, t</w:t>
      </w:r>
      <w:r w:rsidR="00524C34">
        <w:t xml:space="preserve">he following objectives for any </w:t>
      </w:r>
      <w:r>
        <w:t xml:space="preserve">Australian </w:t>
      </w:r>
      <w:r w:rsidR="00524C34">
        <w:t>Government action to address short</w:t>
      </w:r>
      <w:r w:rsidR="00216A8D">
        <w:t>-</w:t>
      </w:r>
      <w:r w:rsidR="00524C34">
        <w:t xml:space="preserve">term energy prices were developed following consultation across </w:t>
      </w:r>
      <w:r>
        <w:t xml:space="preserve">Australian </w:t>
      </w:r>
      <w:r w:rsidR="00524C34">
        <w:t xml:space="preserve">Government Departments. These objectives </w:t>
      </w:r>
      <w:r w:rsidR="00D92E80">
        <w:t>and principles</w:t>
      </w:r>
      <w:r w:rsidR="00524C34">
        <w:t xml:space="preserve"> will be used to assess the options considered in this Impact Analysis and will be used to reveal a recommended option following analysis. O</w:t>
      </w:r>
      <w:r w:rsidR="00524C34" w:rsidRPr="00F562C6">
        <w:t>bjectives</w:t>
      </w:r>
      <w:r w:rsidR="00524C34">
        <w:t xml:space="preserve"> of government action would be to</w:t>
      </w:r>
      <w:r w:rsidR="00524C34" w:rsidRPr="00F562C6">
        <w:t>:</w:t>
      </w:r>
    </w:p>
    <w:p w14:paraId="5E779824" w14:textId="5B7B08AC" w:rsidR="00001B6F" w:rsidRDefault="00524C34" w:rsidP="00001B6F">
      <w:pPr>
        <w:pStyle w:val="Bullet"/>
      </w:pPr>
      <w:bookmarkStart w:id="16" w:name="_Hlk121086305"/>
      <w:r w:rsidRPr="00C44083">
        <w:t xml:space="preserve">Put downward pressure on </w:t>
      </w:r>
      <w:r w:rsidR="00C426B3">
        <w:t>wholesale</w:t>
      </w:r>
      <w:r w:rsidR="00C426B3" w:rsidRPr="00C44083">
        <w:t xml:space="preserve"> </w:t>
      </w:r>
      <w:r w:rsidRPr="00C44083">
        <w:t xml:space="preserve">electricity and gas prices. </w:t>
      </w:r>
    </w:p>
    <w:p w14:paraId="5A430293" w14:textId="66A1C504" w:rsidR="007D7573" w:rsidRDefault="00C81EBE">
      <w:pPr>
        <w:pStyle w:val="Dash"/>
      </w:pPr>
      <w:r>
        <w:t xml:space="preserve">This can be measured against wholesale electricity prices in the NEM and east coast gas prices. Additionally, the ACCC’s monitoring of market performance </w:t>
      </w:r>
      <w:r w:rsidR="004F1660">
        <w:t xml:space="preserve">in </w:t>
      </w:r>
      <w:r>
        <w:t xml:space="preserve">its Gas Inquiry will provide information on gas prices being paid under contract. </w:t>
      </w:r>
    </w:p>
    <w:p w14:paraId="04F2093F" w14:textId="543A6BA2" w:rsidR="00524C34" w:rsidRDefault="00C426B3" w:rsidP="00C44083">
      <w:pPr>
        <w:pStyle w:val="Bullet"/>
      </w:pPr>
      <w:r>
        <w:t>Put downward pressure on</w:t>
      </w:r>
      <w:r w:rsidRPr="00E73297">
        <w:t xml:space="preserve"> </w:t>
      </w:r>
      <w:r w:rsidR="00524C34" w:rsidRPr="00E73297">
        <w:t>consumer energy bills.</w:t>
      </w:r>
    </w:p>
    <w:p w14:paraId="5A373D88" w14:textId="56260BD2" w:rsidR="00444F6F" w:rsidRDefault="00444F6F" w:rsidP="00524C34">
      <w:pPr>
        <w:pStyle w:val="Dash"/>
      </w:pPr>
      <w:r>
        <w:t>This could be measured against residential and small business e</w:t>
      </w:r>
      <w:r w:rsidR="009674A9">
        <w:t xml:space="preserve">nergy </w:t>
      </w:r>
      <w:r>
        <w:t>retail bills</w:t>
      </w:r>
      <w:r w:rsidR="009674A9">
        <w:t xml:space="preserve"> in the </w:t>
      </w:r>
      <w:r w:rsidR="00A7409B">
        <w:t>NEM</w:t>
      </w:r>
      <w:r w:rsidR="009674A9">
        <w:t xml:space="preserve"> and east coast gas markets</w:t>
      </w:r>
      <w:r>
        <w:t>. Impact would depend on the regulation of retail electricity markets in jurisdictions, as well as</w:t>
      </w:r>
      <w:r w:rsidR="009674A9">
        <w:t xml:space="preserve"> </w:t>
      </w:r>
      <w:r>
        <w:t xml:space="preserve">their exposure to the current price shock. </w:t>
      </w:r>
    </w:p>
    <w:p w14:paraId="02AC87FE" w14:textId="6C4AEEF5" w:rsidR="00444F6F" w:rsidRDefault="00444F6F" w:rsidP="00524C34">
      <w:pPr>
        <w:pStyle w:val="Dash"/>
      </w:pPr>
      <w:r>
        <w:t xml:space="preserve">However, wholesale </w:t>
      </w:r>
      <w:r w:rsidR="009674A9">
        <w:t>cost</w:t>
      </w:r>
      <w:r>
        <w:t xml:space="preserve">s only make up around a third of an average consumers’ retail </w:t>
      </w:r>
      <w:r w:rsidR="009674A9">
        <w:t xml:space="preserve">electricity </w:t>
      </w:r>
      <w:r>
        <w:t>bill, which may create a challenge in isolating the impact of government action against other factors</w:t>
      </w:r>
      <w:r w:rsidR="009674A9">
        <w:t xml:space="preserve"> in the retail cost stack</w:t>
      </w:r>
      <w:r>
        <w:t xml:space="preserve"> influencing price</w:t>
      </w:r>
      <w:r w:rsidR="009674A9">
        <w:t>.</w:t>
      </w:r>
    </w:p>
    <w:bookmarkEnd w:id="16"/>
    <w:p w14:paraId="6B5E9C3D" w14:textId="4211679F" w:rsidR="004225CE" w:rsidRPr="00763B1F" w:rsidRDefault="00FE2D5D" w:rsidP="00C44083">
      <w:pPr>
        <w:pStyle w:val="Bullet"/>
      </w:pPr>
      <w:r w:rsidRPr="0035373F">
        <w:t xml:space="preserve">Enhance transparency and processes that support competitive pricing for electricity and </w:t>
      </w:r>
      <w:r w:rsidR="00867D36">
        <w:t>gas</w:t>
      </w:r>
      <w:r w:rsidR="004F55FD" w:rsidRPr="0035373F">
        <w:t xml:space="preserve"> </w:t>
      </w:r>
      <w:r w:rsidRPr="003D36DF">
        <w:t>consumers.</w:t>
      </w:r>
    </w:p>
    <w:p w14:paraId="1413A449" w14:textId="45C198C1" w:rsidR="00524C34" w:rsidRPr="00763B1F" w:rsidRDefault="00E11C0C" w:rsidP="00524C34">
      <w:pPr>
        <w:pStyle w:val="Dash"/>
      </w:pPr>
      <w:r>
        <w:t>This would result in a</w:t>
      </w:r>
      <w:r w:rsidR="0017531F">
        <w:t xml:space="preserve"> positive shift in behaviour by suppliers and producers in their negotiations of electricity and fuel contracts, monitored where possible by the ACCC. </w:t>
      </w:r>
    </w:p>
    <w:p w14:paraId="59BA093F" w14:textId="264E791D" w:rsidR="00E11C0C" w:rsidRPr="00763B1F" w:rsidRDefault="00E11C0C" w:rsidP="00524C34">
      <w:pPr>
        <w:pStyle w:val="Dash"/>
      </w:pPr>
      <w:r>
        <w:t>This may be measured by ongoing monitoring and reporting by the ACCC, including through the ACCC</w:t>
      </w:r>
      <w:r w:rsidR="003C2E4F">
        <w:t>’s ongoing inquiries into gas and electricity markets</w:t>
      </w:r>
      <w:r>
        <w:t xml:space="preserve">. </w:t>
      </w:r>
    </w:p>
    <w:p w14:paraId="4DAEEA86" w14:textId="38EE963B" w:rsidR="004225CE" w:rsidRPr="00F562C6" w:rsidRDefault="004225CE" w:rsidP="00312DC7">
      <w:pPr>
        <w:pStyle w:val="BodyText"/>
      </w:pPr>
      <w:r>
        <w:lastRenderedPageBreak/>
        <w:t xml:space="preserve">In addition to </w:t>
      </w:r>
      <w:r w:rsidR="00D92E80">
        <w:t>the objectives,</w:t>
      </w:r>
      <w:r w:rsidR="00D92E80" w:rsidDel="00F04DFA">
        <w:t xml:space="preserve"> </w:t>
      </w:r>
      <w:r w:rsidR="00523416">
        <w:t>the following principles were identified as outcomes that must be considered, balanced and met by any relevant reform options:</w:t>
      </w:r>
    </w:p>
    <w:p w14:paraId="72333B7A" w14:textId="2B266A0C" w:rsidR="004E327B" w:rsidRPr="00E73297" w:rsidRDefault="004E327B" w:rsidP="00C44083">
      <w:pPr>
        <w:pStyle w:val="Bullet"/>
      </w:pPr>
      <w:r w:rsidRPr="00E73297">
        <w:t>Minimise</w:t>
      </w:r>
      <w:r w:rsidR="00097EA6">
        <w:t xml:space="preserve"> any</w:t>
      </w:r>
      <w:r w:rsidRPr="00E73297">
        <w:t xml:space="preserve"> unintended consequences </w:t>
      </w:r>
      <w:r w:rsidR="007649F7" w:rsidRPr="00E73297">
        <w:t>in</w:t>
      </w:r>
      <w:r w:rsidRPr="00E73297">
        <w:t xml:space="preserve"> </w:t>
      </w:r>
      <w:r w:rsidR="00736355" w:rsidRPr="00E73297">
        <w:t xml:space="preserve">the </w:t>
      </w:r>
      <w:r w:rsidRPr="00E73297">
        <w:t>national energy market</w:t>
      </w:r>
      <w:r w:rsidR="00662F17" w:rsidRPr="00E73297">
        <w:t>.</w:t>
      </w:r>
    </w:p>
    <w:p w14:paraId="27AA7980" w14:textId="0187E4F0" w:rsidR="00844B0F" w:rsidRPr="00E73297" w:rsidRDefault="00E43DE8" w:rsidP="00A44E95">
      <w:pPr>
        <w:pStyle w:val="Dash"/>
      </w:pPr>
      <w:r>
        <w:t>Any m</w:t>
      </w:r>
      <w:r w:rsidR="008E6012">
        <w:t xml:space="preserve">arket interventions </w:t>
      </w:r>
      <w:r>
        <w:t xml:space="preserve">can </w:t>
      </w:r>
      <w:r w:rsidR="008E6012">
        <w:t xml:space="preserve">have </w:t>
      </w:r>
      <w:r w:rsidR="00463846">
        <w:t>unintended consequences</w:t>
      </w:r>
      <w:r w:rsidR="00BB449A">
        <w:t xml:space="preserve">. </w:t>
      </w:r>
      <w:r w:rsidR="00DC5D92">
        <w:t>E</w:t>
      </w:r>
      <w:r w:rsidR="00844B0F">
        <w:t xml:space="preserve">nergy price relief measures </w:t>
      </w:r>
      <w:r>
        <w:t xml:space="preserve">have been considered with the intention of </w:t>
      </w:r>
      <w:r w:rsidR="00BB449A">
        <w:t>ensur</w:t>
      </w:r>
      <w:r>
        <w:t>ing</w:t>
      </w:r>
      <w:r w:rsidR="00BB449A">
        <w:t xml:space="preserve"> reliable supply and </w:t>
      </w:r>
      <w:r w:rsidR="00844B0F">
        <w:t>minimis</w:t>
      </w:r>
      <w:r>
        <w:t>ing</w:t>
      </w:r>
      <w:r w:rsidR="00844B0F">
        <w:t xml:space="preserve"> the risk of </w:t>
      </w:r>
      <w:r w:rsidR="00BB449A">
        <w:t>distorting the efficient operation of the national energy market</w:t>
      </w:r>
      <w:r w:rsidR="00844B0F">
        <w:t xml:space="preserve">, including </w:t>
      </w:r>
      <w:r w:rsidR="00402BB4">
        <w:t xml:space="preserve">through </w:t>
      </w:r>
      <w:r w:rsidR="00844B0F">
        <w:t xml:space="preserve">close monitoring of market dynamics and participant behaviour. </w:t>
      </w:r>
    </w:p>
    <w:p w14:paraId="550F14F6" w14:textId="556674FF" w:rsidR="001261CC" w:rsidRPr="00E73297" w:rsidRDefault="00CF3B95" w:rsidP="00C44083">
      <w:pPr>
        <w:pStyle w:val="Bullet"/>
      </w:pPr>
      <w:r>
        <w:t>Maintain incentives for</w:t>
      </w:r>
      <w:r w:rsidRPr="00077F89">
        <w:t xml:space="preserve"> investment</w:t>
      </w:r>
      <w:r w:rsidR="001261CC" w:rsidRPr="00E73297">
        <w:t>.</w:t>
      </w:r>
    </w:p>
    <w:p w14:paraId="63557124" w14:textId="56A3421D" w:rsidR="00062E88" w:rsidRDefault="008E754D">
      <w:pPr>
        <w:pStyle w:val="Dash"/>
      </w:pPr>
      <w:r>
        <w:t xml:space="preserve">Short-term measures to provide price relief </w:t>
      </w:r>
      <w:r w:rsidR="00E43DE8">
        <w:t xml:space="preserve">are intended to </w:t>
      </w:r>
      <w:r>
        <w:t>be delivered in the context of the Government’s broader commitment to Australia’s clean energy transitio</w:t>
      </w:r>
      <w:r w:rsidR="00062E88">
        <w:t xml:space="preserve">n. </w:t>
      </w:r>
    </w:p>
    <w:p w14:paraId="3FC7CAA8" w14:textId="4140E028" w:rsidR="00DD41D7" w:rsidRPr="00E73297" w:rsidRDefault="00062E88" w:rsidP="00A44E95">
      <w:pPr>
        <w:pStyle w:val="Dash"/>
      </w:pPr>
      <w:r>
        <w:t>Option</w:t>
      </w:r>
      <w:r w:rsidR="00402BB4">
        <w:t xml:space="preserve"> </w:t>
      </w:r>
      <w:r>
        <w:t>implement</w:t>
      </w:r>
      <w:r w:rsidR="00402BB4">
        <w:t xml:space="preserve">ation </w:t>
      </w:r>
      <w:r w:rsidR="00E43DE8">
        <w:t xml:space="preserve">is intended to </w:t>
      </w:r>
      <w:r>
        <w:t xml:space="preserve">ensure the longer-term </w:t>
      </w:r>
      <w:r w:rsidR="00402BB4">
        <w:t xml:space="preserve">supply of domestic </w:t>
      </w:r>
      <w:r w:rsidR="00522C02">
        <w:t>energy</w:t>
      </w:r>
      <w:r w:rsidR="00402BB4">
        <w:t xml:space="preserve"> is </w:t>
      </w:r>
      <w:r>
        <w:t xml:space="preserve">reliable and </w:t>
      </w:r>
      <w:r w:rsidR="004F4B6F">
        <w:t>reasonably priced</w:t>
      </w:r>
      <w:r>
        <w:t xml:space="preserve">, </w:t>
      </w:r>
      <w:r w:rsidR="008E6012">
        <w:t>without</w:t>
      </w:r>
      <w:r>
        <w:t xml:space="preserve"> undermining </w:t>
      </w:r>
      <w:r w:rsidR="00463846">
        <w:t>Australia’s</w:t>
      </w:r>
      <w:r>
        <w:t xml:space="preserve"> transition to net zero</w:t>
      </w:r>
      <w:r w:rsidR="00463846">
        <w:t>,</w:t>
      </w:r>
      <w:r>
        <w:t xml:space="preserve"> or driving away additional investment in renewables. </w:t>
      </w:r>
    </w:p>
    <w:p w14:paraId="1570F4A1" w14:textId="7A959897" w:rsidR="00BA01DD" w:rsidRPr="00E73297" w:rsidRDefault="00BA01DD" w:rsidP="00C44083">
      <w:pPr>
        <w:pStyle w:val="Bullet"/>
      </w:pPr>
      <w:r w:rsidRPr="00E73297">
        <w:t xml:space="preserve">Ensure sufficient domestic </w:t>
      </w:r>
      <w:r w:rsidR="004F55FD" w:rsidRPr="00E73297">
        <w:t>electricity and</w:t>
      </w:r>
      <w:r w:rsidRPr="00E73297">
        <w:t xml:space="preserve"> gas supply and minimise risk</w:t>
      </w:r>
      <w:r w:rsidR="008D2202" w:rsidRPr="00E73297">
        <w:t>s</w:t>
      </w:r>
      <w:r w:rsidRPr="00E73297">
        <w:t xml:space="preserve"> to supply</w:t>
      </w:r>
      <w:r w:rsidR="00662F17" w:rsidRPr="00E73297">
        <w:t>.</w:t>
      </w:r>
    </w:p>
    <w:p w14:paraId="324CBA86" w14:textId="13E0856A" w:rsidR="00AD5C44" w:rsidRPr="00E73297" w:rsidRDefault="00442BCC" w:rsidP="00A44E95">
      <w:pPr>
        <w:pStyle w:val="Dash"/>
      </w:pPr>
      <w:r>
        <w:t xml:space="preserve">Continued access to gas supply remains critical to meet electricity demand during peak demand periods, and for commercial and industrial users reliant on gas as a critical input to production. </w:t>
      </w:r>
      <w:r w:rsidR="004314F0">
        <w:t xml:space="preserve"> </w:t>
      </w:r>
    </w:p>
    <w:p w14:paraId="5EEA1153" w14:textId="4DE6A3CB" w:rsidR="000C75B5" w:rsidRPr="00E73297" w:rsidDel="00AE3A6C" w:rsidRDefault="00172150" w:rsidP="00C44083">
      <w:pPr>
        <w:pStyle w:val="Bullet"/>
      </w:pPr>
      <w:r>
        <w:t>Minimise</w:t>
      </w:r>
      <w:r w:rsidR="00C23236">
        <w:t xml:space="preserve"> </w:t>
      </w:r>
      <w:r w:rsidR="00D32F47">
        <w:t xml:space="preserve">impacts on </w:t>
      </w:r>
      <w:r w:rsidR="00AE3A6C" w:rsidRPr="00E73297">
        <w:t xml:space="preserve">international </w:t>
      </w:r>
      <w:r w:rsidR="00D32F47">
        <w:t xml:space="preserve">trading partners and </w:t>
      </w:r>
      <w:r w:rsidR="00AE3A6C" w:rsidRPr="00E73297">
        <w:t xml:space="preserve">international </w:t>
      </w:r>
      <w:r w:rsidR="00D32F47">
        <w:t>investment</w:t>
      </w:r>
      <w:r w:rsidR="00AD7A08">
        <w:t xml:space="preserve">. </w:t>
      </w:r>
    </w:p>
    <w:p w14:paraId="4C1C6326" w14:textId="2426782B" w:rsidR="004164E2" w:rsidRDefault="00454A1D" w:rsidP="00A31253">
      <w:pPr>
        <w:pStyle w:val="Dash"/>
      </w:pPr>
      <w:r>
        <w:t>Australia is committed to remaining a reliable supplier and trading partner</w:t>
      </w:r>
      <w:r w:rsidR="009647AE">
        <w:t xml:space="preserve"> and</w:t>
      </w:r>
      <w:r w:rsidR="004B0107">
        <w:t xml:space="preserve"> any action to </w:t>
      </w:r>
      <w:r w:rsidR="00E36D08">
        <w:t xml:space="preserve">put downward pressure on </w:t>
      </w:r>
      <w:r w:rsidR="004B0107">
        <w:t xml:space="preserve">prices </w:t>
      </w:r>
      <w:r w:rsidR="00407E5A">
        <w:t>should be coupled</w:t>
      </w:r>
      <w:r w:rsidR="004B0107">
        <w:t xml:space="preserve"> with </w:t>
      </w:r>
      <w:r w:rsidR="00407E5A">
        <w:t>clear messaging to</w:t>
      </w:r>
      <w:r w:rsidR="004B0107">
        <w:t xml:space="preserve"> key trading partners</w:t>
      </w:r>
      <w:r w:rsidR="00407E5A">
        <w:t xml:space="preserve"> that Australia does not intend to reduce international gas supply</w:t>
      </w:r>
      <w:r>
        <w:t xml:space="preserve">. </w:t>
      </w:r>
    </w:p>
    <w:p w14:paraId="3FB3F748" w14:textId="77777777" w:rsidR="004164E2" w:rsidRDefault="004164E2" w:rsidP="004164E2">
      <w:pPr>
        <w:pStyle w:val="Dash"/>
      </w:pPr>
      <w:r>
        <w:t xml:space="preserve">The policy is designed to allow producers to continue to meet their existing contractual obligations including with international partners by applying only to uncontracted gas and clear forward guidance. </w:t>
      </w:r>
    </w:p>
    <w:p w14:paraId="4025749A" w14:textId="48FF05F8" w:rsidR="00454A1D" w:rsidRPr="00E73297" w:rsidDel="00AE3A6C" w:rsidRDefault="001D21B6" w:rsidP="00A31253">
      <w:pPr>
        <w:pStyle w:val="Dash"/>
      </w:pPr>
      <w:r>
        <w:t xml:space="preserve">Actions to </w:t>
      </w:r>
      <w:r w:rsidR="004164E2">
        <w:t xml:space="preserve">further </w:t>
      </w:r>
      <w:r>
        <w:t xml:space="preserve">minimise this risk may involve early engagement to provide reassurance of supply, which could also reduce the impact of Australia being </w:t>
      </w:r>
      <w:r w:rsidR="00D6483E">
        <w:t xml:space="preserve">seen as </w:t>
      </w:r>
      <w:r>
        <w:t xml:space="preserve">less attractive a destination for foreign investment. </w:t>
      </w:r>
      <w:r w:rsidR="00454A1D">
        <w:t xml:space="preserve"> </w:t>
      </w:r>
    </w:p>
    <w:p w14:paraId="2316C329" w14:textId="51AE506C" w:rsidR="004225CE" w:rsidRDefault="008937FD" w:rsidP="00C44083">
      <w:pPr>
        <w:pStyle w:val="Bullet"/>
      </w:pPr>
      <w:r w:rsidRPr="0035373F">
        <w:t>Minimise implementation costs and complexity for government and industry</w:t>
      </w:r>
      <w:r w:rsidR="008D2202" w:rsidRPr="0035373F">
        <w:t>.</w:t>
      </w:r>
      <w:r w:rsidR="008D2202">
        <w:t xml:space="preserve"> </w:t>
      </w:r>
    </w:p>
    <w:p w14:paraId="2F6A2EF1" w14:textId="0B265122" w:rsidR="00DD41D7" w:rsidRDefault="00ED050F" w:rsidP="00A44E95">
      <w:pPr>
        <w:pStyle w:val="Dash"/>
      </w:pPr>
      <w:r>
        <w:t xml:space="preserve">Short-term reforms need to be implemented quickly to </w:t>
      </w:r>
      <w:r w:rsidR="000217F9">
        <w:t>provide</w:t>
      </w:r>
      <w:r>
        <w:t xml:space="preserve"> </w:t>
      </w:r>
      <w:r w:rsidR="005471A2">
        <w:t xml:space="preserve">timely relief to </w:t>
      </w:r>
      <w:r>
        <w:t xml:space="preserve">businesses and households. </w:t>
      </w:r>
      <w:r w:rsidR="006F6224">
        <w:t>I</w:t>
      </w:r>
      <w:r>
        <w:t xml:space="preserve">mplementation </w:t>
      </w:r>
      <w:r w:rsidR="008B37D0">
        <w:t>may</w:t>
      </w:r>
      <w:r w:rsidR="002E1E90">
        <w:t xml:space="preserve"> therefore</w:t>
      </w:r>
      <w:r>
        <w:t xml:space="preserve"> require careful </w:t>
      </w:r>
      <w:r w:rsidR="000217F9">
        <w:t xml:space="preserve">targeted </w:t>
      </w:r>
      <w:r>
        <w:t xml:space="preserve">consultation </w:t>
      </w:r>
      <w:r w:rsidR="008B37D0">
        <w:t xml:space="preserve">with </w:t>
      </w:r>
      <w:r w:rsidR="000217F9">
        <w:t>stakeholders</w:t>
      </w:r>
      <w:r w:rsidR="008B37D0">
        <w:t xml:space="preserve">, to ensure that measures are delivered efficiently and effectively.  </w:t>
      </w:r>
    </w:p>
    <w:p w14:paraId="49DA8A3A" w14:textId="114E5EB8" w:rsidR="00CE48C7" w:rsidRDefault="00523416" w:rsidP="0080506D">
      <w:pPr>
        <w:rPr>
          <w:rFonts w:asciiTheme="majorHAnsi" w:hAnsiTheme="majorHAnsi"/>
          <w:b/>
          <w:color w:val="5F5F5F" w:themeColor="text2"/>
          <w:sz w:val="60"/>
          <w:szCs w:val="60"/>
        </w:rPr>
      </w:pPr>
      <w:r>
        <w:t>Options considered target</w:t>
      </w:r>
      <w:r w:rsidR="004C48B4">
        <w:t xml:space="preserve"> both </w:t>
      </w:r>
      <w:r w:rsidR="00EF395E">
        <w:t xml:space="preserve">current </w:t>
      </w:r>
      <w:r>
        <w:t xml:space="preserve">high prices </w:t>
      </w:r>
      <w:r w:rsidR="00EF395E">
        <w:t xml:space="preserve">and </w:t>
      </w:r>
      <w:r>
        <w:t xml:space="preserve">forecast </w:t>
      </w:r>
      <w:r w:rsidR="00EF395E">
        <w:t xml:space="preserve">future </w:t>
      </w:r>
      <w:r w:rsidR="004C48B4">
        <w:t xml:space="preserve">prices </w:t>
      </w:r>
      <w:r>
        <w:t xml:space="preserve">rises </w:t>
      </w:r>
      <w:r w:rsidR="00EF395E">
        <w:t xml:space="preserve">in </w:t>
      </w:r>
      <w:r w:rsidR="004C48B4">
        <w:t xml:space="preserve">the wholesale </w:t>
      </w:r>
      <w:r w:rsidR="00EF395E">
        <w:t xml:space="preserve">and retail </w:t>
      </w:r>
      <w:r w:rsidR="004C48B4">
        <w:t>energy market</w:t>
      </w:r>
      <w:r w:rsidR="002C3DA7">
        <w:t xml:space="preserve"> </w:t>
      </w:r>
      <w:r>
        <w:t xml:space="preserve">stemming from the impacts of Russia’s war in Ukraine, </w:t>
      </w:r>
      <w:r w:rsidR="002C3DA7">
        <w:t>to provide immediate relief to industry and consumers</w:t>
      </w:r>
      <w:r w:rsidR="004C48B4">
        <w:t xml:space="preserve">. </w:t>
      </w:r>
      <w:r>
        <w:t>Suitable options will be able to be implemented swiftly and likely be short</w:t>
      </w:r>
      <w:r w:rsidR="009471DC">
        <w:t>-</w:t>
      </w:r>
      <w:r>
        <w:t>term, but adaptable to future outcomes</w:t>
      </w:r>
      <w:r w:rsidR="000F2694">
        <w:t xml:space="preserve">. </w:t>
      </w:r>
    </w:p>
    <w:p w14:paraId="0F90A6ED" w14:textId="638D6A2F" w:rsidR="00524C34" w:rsidDel="00CE48C7" w:rsidRDefault="004A676A" w:rsidP="00524C34">
      <w:pPr>
        <w:pStyle w:val="Heading3"/>
      </w:pPr>
      <w:bookmarkStart w:id="17" w:name="_Hlk121386390"/>
      <w:bookmarkStart w:id="18" w:name="_Toc121406871"/>
      <w:r>
        <w:lastRenderedPageBreak/>
        <w:t>Consideration of risks</w:t>
      </w:r>
      <w:bookmarkEnd w:id="18"/>
    </w:p>
    <w:p w14:paraId="318C5F6C" w14:textId="77777777" w:rsidR="00DA64A3" w:rsidRDefault="00DA64A3" w:rsidP="00DA64A3">
      <w:r>
        <w:t xml:space="preserve">Potential risks have been considered carefully in assessing intervention options open to Government. Energy markets are complex, and options to address rising energy prices have been developed with consideration of impacts to all stakeholders.  </w:t>
      </w:r>
    </w:p>
    <w:p w14:paraId="713579A3" w14:textId="7734259F" w:rsidR="00DA64A3" w:rsidRDefault="00DA64A3" w:rsidP="00DA64A3">
      <w:pPr>
        <w:pStyle w:val="BodyText"/>
      </w:pPr>
      <w:r>
        <w:t xml:space="preserve">The government has placed an emphasis on the importance of maintaining Australia’s attractiveness as a destination for investment in gas production. As such, the policies being considered ensure intervention takes into account a reasonable return </w:t>
      </w:r>
      <w:r w:rsidR="00794677">
        <w:t xml:space="preserve">on capital for </w:t>
      </w:r>
      <w:r>
        <w:t>investors. A key objective is to maintain Australia’s reputation as a desirable destination for foreign investment and Australia’s positive relationships with its trading partners while complying with its obligations. The Government recognises that this could be damaged if there were changes to existing contracts or prolonged policy uncertainty and has developed the proposals to ensure that this is not the case.</w:t>
      </w:r>
    </w:p>
    <w:p w14:paraId="2B886664" w14:textId="0DCABDA8" w:rsidR="00DA64A3" w:rsidRDefault="00DA64A3" w:rsidP="00DA64A3">
      <w:pPr>
        <w:pStyle w:val="BodyText"/>
      </w:pPr>
      <w:r>
        <w:t>Price regulation also carries the potential for a range of risks to the wholesale gas market, as well as downstream and related markets which rely on gas. As gas plays an important role in the energy transition, ensuring that the price is at a level that supports this transition (too high and the transition is more costly and reliant on more carbon intensive fuel; too low and the transition to renewables is slower). The significant increase in gas prices over 2022 has created an additional incentive to accelerate the transition to lower emission sources of generation, such as pumped hydro and battery storage, which provide similar ‘peaking’ services. The government has worked to ensure that normalising domestic gas prices is coupled with measures to support the energy transition would offset this impact.</w:t>
      </w:r>
    </w:p>
    <w:p w14:paraId="2ACCCDB1" w14:textId="432F83FC" w:rsidR="00DA64A3" w:rsidRDefault="00DA64A3" w:rsidP="00DA64A3">
      <w:pPr>
        <w:spacing w:line="276" w:lineRule="auto"/>
      </w:pPr>
      <w:r>
        <w:t xml:space="preserve">Another risk with efforts to </w:t>
      </w:r>
      <w:r w:rsidR="004164E2">
        <w:t>put downward pressure on</w:t>
      </w:r>
      <w:r>
        <w:t xml:space="preserve"> prices in a complex system – either at the fuel input level or at the wholesale energy market level – is that those price reductions may not flow through to price reductions or adequate consumer relief for final end-users. These risks are addressed through the ACCC’s price monitoring powers under the CCA and the AER’s powers under the national energy framework.</w:t>
      </w:r>
    </w:p>
    <w:p w14:paraId="4B69E10A" w14:textId="77777777" w:rsidR="004164E2" w:rsidRDefault="004164E2" w:rsidP="004164E2">
      <w:r>
        <w:t>Influencing the price of any fuel input may affect their price relativities and competitiveness against other fuels, which could have flow on impacts to the operation and efficiency of related markets such as wholesale electricity markets.</w:t>
      </w:r>
    </w:p>
    <w:p w14:paraId="3F85729E" w14:textId="05128C43" w:rsidR="00993506" w:rsidRPr="0080506D" w:rsidDel="00CE48C7" w:rsidRDefault="00DA64A3">
      <w:pPr>
        <w:spacing w:line="276" w:lineRule="auto"/>
      </w:pPr>
      <w:r>
        <w:t>These risks have been considered in the following assessment of policy options.</w:t>
      </w:r>
      <w:r w:rsidR="009E2D7D" w:rsidDel="00CE48C7">
        <w:t xml:space="preserve"> </w:t>
      </w:r>
      <w:bookmarkEnd w:id="17"/>
      <w:r w:rsidR="00993506" w:rsidDel="00CE48C7">
        <w:br w:type="page"/>
      </w:r>
    </w:p>
    <w:p w14:paraId="02BBD5BB" w14:textId="262A4AD4" w:rsidR="00EA5697" w:rsidRDefault="004C6CD5" w:rsidP="007835B0">
      <w:pPr>
        <w:pStyle w:val="Heading1"/>
      </w:pPr>
      <w:bookmarkStart w:id="19" w:name="_Toc121406872"/>
      <w:r>
        <w:lastRenderedPageBreak/>
        <w:t>What p</w:t>
      </w:r>
      <w:r w:rsidR="00EA5697">
        <w:t>olicy options</w:t>
      </w:r>
      <w:r>
        <w:t xml:space="preserve"> are you considering?</w:t>
      </w:r>
      <w:bookmarkEnd w:id="19"/>
    </w:p>
    <w:p w14:paraId="594BA7E2" w14:textId="503D18EC" w:rsidR="00825826" w:rsidRDefault="002450FC">
      <w:r>
        <w:t xml:space="preserve">As explored in the </w:t>
      </w:r>
      <w:r>
        <w:rPr>
          <w:i/>
          <w:iCs/>
        </w:rPr>
        <w:t xml:space="preserve">Capacity for Government intervention </w:t>
      </w:r>
      <w:r>
        <w:t xml:space="preserve">section, </w:t>
      </w:r>
      <w:r w:rsidR="001835E5">
        <w:t xml:space="preserve">Commonwealth </w:t>
      </w:r>
      <w:r w:rsidR="00F953A1">
        <w:t xml:space="preserve">levers </w:t>
      </w:r>
      <w:r w:rsidR="001835E5">
        <w:t>to address current and anticipated energy prices</w:t>
      </w:r>
      <w:r>
        <w:t xml:space="preserve"> are</w:t>
      </w:r>
      <w:r w:rsidR="00F953A1">
        <w:t xml:space="preserve"> largely</w:t>
      </w:r>
      <w:r w:rsidR="001835E5">
        <w:t xml:space="preserve"> focused on the wholesale gas market. </w:t>
      </w:r>
      <w:r>
        <w:t>Thus,</w:t>
      </w:r>
      <w:r w:rsidR="00960456">
        <w:t xml:space="preserve"> the Government has explored</w:t>
      </w:r>
      <w:r>
        <w:t xml:space="preserve"> p</w:t>
      </w:r>
      <w:r w:rsidR="00B00C3A">
        <w:t>olicy options</w:t>
      </w:r>
      <w:r w:rsidR="00960456">
        <w:t xml:space="preserve"> </w:t>
      </w:r>
      <w:r w:rsidR="00B00C3A">
        <w:t xml:space="preserve">to </w:t>
      </w:r>
      <w:r w:rsidR="003A47F0">
        <w:t xml:space="preserve">temporarily </w:t>
      </w:r>
      <w:r w:rsidR="00B00C3A">
        <w:t>address current and anticipated electricity price</w:t>
      </w:r>
      <w:r w:rsidR="0008116C">
        <w:t>s</w:t>
      </w:r>
      <w:r w:rsidR="00B00C3A">
        <w:t xml:space="preserve"> </w:t>
      </w:r>
      <w:r>
        <w:t>target the gas market</w:t>
      </w:r>
      <w:r w:rsidR="00376B79">
        <w:t>. Those being progresse</w:t>
      </w:r>
      <w:r w:rsidR="007E4587">
        <w:t>d</w:t>
      </w:r>
      <w:r w:rsidR="00376B79">
        <w:t xml:space="preserve"> are</w:t>
      </w:r>
      <w:r>
        <w:t>:</w:t>
      </w:r>
    </w:p>
    <w:p w14:paraId="1B957A1E" w14:textId="64A10991" w:rsidR="009B6BF0" w:rsidRDefault="00080A79" w:rsidP="00487A71">
      <w:pPr>
        <w:rPr>
          <w:b/>
        </w:rPr>
      </w:pPr>
      <w:r w:rsidRPr="00080A79">
        <w:rPr>
          <w:b/>
        </w:rPr>
        <w:t>Regulatory reform</w:t>
      </w:r>
      <w:r w:rsidR="00747168">
        <w:rPr>
          <w:b/>
        </w:rPr>
        <w:t>s</w:t>
      </w:r>
      <w:r w:rsidRPr="00080A79">
        <w:rPr>
          <w:b/>
        </w:rPr>
        <w:t xml:space="preserve"> </w:t>
      </w:r>
      <w:r w:rsidR="00747168">
        <w:rPr>
          <w:b/>
        </w:rPr>
        <w:t>that seek to reduce the price of gas:</w:t>
      </w:r>
    </w:p>
    <w:p w14:paraId="5A6606E4" w14:textId="15F9DDBC" w:rsidR="00E36FC1" w:rsidRPr="00647122" w:rsidRDefault="00E36FC1" w:rsidP="004F4ABE">
      <w:pPr>
        <w:pStyle w:val="Bullet"/>
      </w:pPr>
      <w:r>
        <w:t>A0 – Maintain the status quo</w:t>
      </w:r>
    </w:p>
    <w:p w14:paraId="2FDEEABD" w14:textId="52F1F9EA" w:rsidR="009A1BC3" w:rsidRPr="00E63C9A" w:rsidRDefault="009A1BC3" w:rsidP="004F4ABE">
      <w:pPr>
        <w:pStyle w:val="Bullet"/>
      </w:pPr>
      <w:r>
        <w:rPr>
          <w:bCs/>
        </w:rPr>
        <w:t>A1</w:t>
      </w:r>
      <w:r w:rsidR="00F60524">
        <w:rPr>
          <w:bCs/>
        </w:rPr>
        <w:t xml:space="preserve"> </w:t>
      </w:r>
      <w:r w:rsidR="00F60524">
        <w:t>–</w:t>
      </w:r>
      <w:r w:rsidR="00F60524">
        <w:rPr>
          <w:bCs/>
        </w:rPr>
        <w:t xml:space="preserve"> </w:t>
      </w:r>
      <w:r>
        <w:t xml:space="preserve">Legislate a new framework for the making of </w:t>
      </w:r>
      <w:r w:rsidR="00F41135">
        <w:t xml:space="preserve">gas </w:t>
      </w:r>
      <w:r>
        <w:t xml:space="preserve">market codes within the </w:t>
      </w:r>
      <w:r w:rsidR="007F441D" w:rsidRPr="007F441D">
        <w:t>CCA</w:t>
      </w:r>
      <w:r>
        <w:t xml:space="preserve">, and prescribe a </w:t>
      </w:r>
      <w:r w:rsidR="00344928">
        <w:t>m</w:t>
      </w:r>
      <w:r>
        <w:t xml:space="preserve">andatory Code </w:t>
      </w:r>
      <w:r w:rsidRPr="00E63C9A">
        <w:t xml:space="preserve">of </w:t>
      </w:r>
      <w:r>
        <w:t>C</w:t>
      </w:r>
      <w:r w:rsidRPr="00E63C9A">
        <w:t xml:space="preserve">onduct </w:t>
      </w:r>
      <w:r>
        <w:t xml:space="preserve">for wholesale gas markets </w:t>
      </w:r>
    </w:p>
    <w:p w14:paraId="38CE6D28" w14:textId="45F4108F" w:rsidR="003D7736" w:rsidDel="00E26AA0" w:rsidRDefault="00E26AA0" w:rsidP="004F4ABE">
      <w:pPr>
        <w:pStyle w:val="Bullet"/>
      </w:pPr>
      <w:r>
        <w:t xml:space="preserve">A2 – Prescribe a </w:t>
      </w:r>
      <w:r w:rsidR="00B23502">
        <w:t>m</w:t>
      </w:r>
      <w:r w:rsidRPr="00E63C9A">
        <w:t xml:space="preserve">andatory </w:t>
      </w:r>
      <w:r>
        <w:t>C</w:t>
      </w:r>
      <w:r w:rsidRPr="00E63C9A">
        <w:t xml:space="preserve">ode of </w:t>
      </w:r>
      <w:r>
        <w:t>C</w:t>
      </w:r>
      <w:r w:rsidRPr="00E63C9A">
        <w:t xml:space="preserve">onduct </w:t>
      </w:r>
      <w:r>
        <w:t xml:space="preserve">for wholesale gas markets under the existing industry codes framework (Part IVB of the </w:t>
      </w:r>
      <w:r w:rsidRPr="00945CA6">
        <w:t>CCA</w:t>
      </w:r>
      <w:r>
        <w:t>)</w:t>
      </w:r>
      <w:r w:rsidR="003D7736">
        <w:t xml:space="preserve"> </w:t>
      </w:r>
    </w:p>
    <w:p w14:paraId="7B4AEAF3" w14:textId="12A8AA23" w:rsidR="003D7736" w:rsidRDefault="003D7736" w:rsidP="004F4ABE">
      <w:pPr>
        <w:pStyle w:val="Bullet"/>
      </w:pPr>
      <w:r w:rsidRPr="00945CA6">
        <w:t xml:space="preserve">A3 – </w:t>
      </w:r>
      <w:r w:rsidR="006E70DD">
        <w:t>Work with industry to strengthen the existing voluntary Code of Conduct</w:t>
      </w:r>
    </w:p>
    <w:p w14:paraId="0A2B51C0" w14:textId="4E7CBD02" w:rsidR="001F1525" w:rsidRDefault="003D7736" w:rsidP="004F4ABE">
      <w:pPr>
        <w:pStyle w:val="Bullet"/>
      </w:pPr>
      <w:r>
        <w:t>A4 – Temporary 12-month g</w:t>
      </w:r>
      <w:r w:rsidR="00747168" w:rsidRPr="00E63C9A">
        <w:t>as price cap</w:t>
      </w:r>
    </w:p>
    <w:p w14:paraId="693032E1" w14:textId="45D123A2" w:rsidR="00D611BB" w:rsidRPr="008656C1" w:rsidRDefault="00D611BB" w:rsidP="004F4ABE">
      <w:pPr>
        <w:pStyle w:val="Bullet"/>
        <w:rPr>
          <w:bCs/>
        </w:rPr>
      </w:pPr>
      <w:r>
        <w:t>A</w:t>
      </w:r>
      <w:r w:rsidR="00A912BC">
        <w:t>5</w:t>
      </w:r>
      <w:r>
        <w:t xml:space="preserve"> – Bringing forward </w:t>
      </w:r>
      <w:r w:rsidR="00B27B46">
        <w:t>commencement</w:t>
      </w:r>
      <w:r>
        <w:t xml:space="preserve"> of reforms to the Australian Domestic Gas Security Mechanism</w:t>
      </w:r>
      <w:r w:rsidR="00B27B46">
        <w:t xml:space="preserve"> (ADGSM)</w:t>
      </w:r>
    </w:p>
    <w:p w14:paraId="7528FD8A" w14:textId="21732326" w:rsidR="00AE7456" w:rsidRDefault="00EE273D">
      <w:pPr>
        <w:rPr>
          <w:bCs/>
        </w:rPr>
      </w:pPr>
      <w:r>
        <w:rPr>
          <w:b/>
        </w:rPr>
        <w:t>Non-r</w:t>
      </w:r>
      <w:r w:rsidRPr="00080A79">
        <w:rPr>
          <w:b/>
        </w:rPr>
        <w:t>egulatory</w:t>
      </w:r>
      <w:r>
        <w:rPr>
          <w:b/>
        </w:rPr>
        <w:t xml:space="preserve"> measures</w:t>
      </w:r>
      <w:r w:rsidRPr="00080A79">
        <w:rPr>
          <w:b/>
        </w:rPr>
        <w:t xml:space="preserve"> </w:t>
      </w:r>
      <w:r>
        <w:rPr>
          <w:b/>
        </w:rPr>
        <w:t>that seek to reduce the price of gas:</w:t>
      </w:r>
    </w:p>
    <w:p w14:paraId="2A0CACF0" w14:textId="11732EB3" w:rsidR="00244F6A" w:rsidRDefault="009F6A72">
      <w:pPr>
        <w:rPr>
          <w:bCs/>
        </w:rPr>
      </w:pPr>
      <w:r>
        <w:rPr>
          <w:bCs/>
        </w:rPr>
        <w:t>Further to the regulatory reforms considered in this I</w:t>
      </w:r>
      <w:r w:rsidR="00AE7456">
        <w:rPr>
          <w:bCs/>
        </w:rPr>
        <w:t xml:space="preserve">mpact </w:t>
      </w:r>
      <w:r>
        <w:rPr>
          <w:bCs/>
        </w:rPr>
        <w:t>A</w:t>
      </w:r>
      <w:r w:rsidR="00AE7456">
        <w:rPr>
          <w:bCs/>
        </w:rPr>
        <w:t>nalysis</w:t>
      </w:r>
      <w:r>
        <w:rPr>
          <w:bCs/>
        </w:rPr>
        <w:t xml:space="preserve">, the Government is already implementing a range of non-regulatory measures that seek to ensure </w:t>
      </w:r>
      <w:r w:rsidR="00AE7456">
        <w:rPr>
          <w:bCs/>
        </w:rPr>
        <w:t>long</w:t>
      </w:r>
      <w:r w:rsidR="00361FFD">
        <w:rPr>
          <w:bCs/>
        </w:rPr>
        <w:t>-</w:t>
      </w:r>
      <w:r w:rsidR="00AE7456">
        <w:rPr>
          <w:bCs/>
        </w:rPr>
        <w:t xml:space="preserve">term </w:t>
      </w:r>
      <w:r>
        <w:rPr>
          <w:bCs/>
        </w:rPr>
        <w:t>energy supply for Australians</w:t>
      </w:r>
      <w:r w:rsidR="00AE7456">
        <w:rPr>
          <w:bCs/>
        </w:rPr>
        <w:t xml:space="preserve"> while supporting the transition to a renewable-based grid</w:t>
      </w:r>
      <w:r>
        <w:rPr>
          <w:bCs/>
        </w:rPr>
        <w:t xml:space="preserve">. These </w:t>
      </w:r>
      <w:r w:rsidR="00EE273D">
        <w:rPr>
          <w:bCs/>
        </w:rPr>
        <w:t xml:space="preserve">are highlighted in the </w:t>
      </w:r>
      <w:r w:rsidR="00F67054">
        <w:rPr>
          <w:bCs/>
          <w:i/>
          <w:iCs/>
        </w:rPr>
        <w:t xml:space="preserve">Current Government frameworks could be strengthened </w:t>
      </w:r>
      <w:r w:rsidR="00F67054">
        <w:rPr>
          <w:bCs/>
        </w:rPr>
        <w:t xml:space="preserve">section. </w:t>
      </w:r>
      <w:r>
        <w:rPr>
          <w:bCs/>
        </w:rPr>
        <w:t xml:space="preserve"> </w:t>
      </w:r>
    </w:p>
    <w:p w14:paraId="1F5D138A" w14:textId="670B9F84" w:rsidR="00F67054" w:rsidRDefault="00F67054">
      <w:r>
        <w:rPr>
          <w:bCs/>
        </w:rPr>
        <w:t xml:space="preserve">As </w:t>
      </w:r>
      <w:r w:rsidR="009E2797">
        <w:rPr>
          <w:bCs/>
        </w:rPr>
        <w:t>noted above</w:t>
      </w:r>
      <w:r>
        <w:rPr>
          <w:bCs/>
        </w:rPr>
        <w:t>, t</w:t>
      </w:r>
      <w:r w:rsidR="00AE7456">
        <w:rPr>
          <w:bCs/>
        </w:rPr>
        <w:t>hese measures all seek to fulfill the Government’s long</w:t>
      </w:r>
      <w:r w:rsidR="00EE273D">
        <w:rPr>
          <w:bCs/>
        </w:rPr>
        <w:t>-</w:t>
      </w:r>
      <w:r w:rsidR="00AE7456">
        <w:rPr>
          <w:bCs/>
        </w:rPr>
        <w:t xml:space="preserve">term priorities and commitments on energy, including the transition to a renewable based grid and commitments to </w:t>
      </w:r>
      <w:r w:rsidR="00AE7456">
        <w:t xml:space="preserve">reduce greenhouse gas emissions by 43 per cent below 2005 levels by 2030 and reach net zero emissions by 2050. </w:t>
      </w:r>
      <w:r w:rsidR="00EE273D">
        <w:t xml:space="preserve">While they will contribute to reducing the price of energy for consumers in the long-term, these measures </w:t>
      </w:r>
      <w:r>
        <w:t>have long implementation times due to the nature, for example, of building transmission infra</w:t>
      </w:r>
      <w:r w:rsidR="0045146F">
        <w:t>stru</w:t>
      </w:r>
      <w:r>
        <w:t xml:space="preserve">cture and bringing online new renewable generation and storage. As such, the impacts of these non-regulatory measures will take some time to be realised. </w:t>
      </w:r>
    </w:p>
    <w:p w14:paraId="00492566" w14:textId="0350C530" w:rsidR="009F6A72" w:rsidRDefault="00F67054">
      <w:pPr>
        <w:rPr>
          <w:bCs/>
        </w:rPr>
      </w:pPr>
      <w:r>
        <w:t xml:space="preserve">In addition to these </w:t>
      </w:r>
      <w:r w:rsidR="00CF04C1">
        <w:t>current measures, further non-regulatory measures</w:t>
      </w:r>
      <w:r w:rsidR="00F04603">
        <w:t xml:space="preserve"> </w:t>
      </w:r>
      <w:r w:rsidR="00AC2203">
        <w:t>could be implemented</w:t>
      </w:r>
      <w:r w:rsidR="00F04603">
        <w:t xml:space="preserve"> </w:t>
      </w:r>
      <w:r w:rsidR="005F1878">
        <w:t xml:space="preserve">– such as </w:t>
      </w:r>
      <w:r w:rsidR="00F04603">
        <w:t>policies that result in more electricity</w:t>
      </w:r>
      <w:r w:rsidR="005F1878">
        <w:t xml:space="preserve"> generation and storage</w:t>
      </w:r>
      <w:r w:rsidR="00F04603">
        <w:t xml:space="preserve"> capacity</w:t>
      </w:r>
      <w:r w:rsidR="00A65D91">
        <w:t>.</w:t>
      </w:r>
      <w:r w:rsidR="005F1878">
        <w:t xml:space="preserve"> </w:t>
      </w:r>
      <w:r>
        <w:t xml:space="preserve">While </w:t>
      </w:r>
      <w:r w:rsidR="005F1878">
        <w:t>such</w:t>
      </w:r>
      <w:r>
        <w:t xml:space="preserve"> measures </w:t>
      </w:r>
      <w:r w:rsidR="005F1878">
        <w:t>may assist</w:t>
      </w:r>
      <w:r>
        <w:t xml:space="preserve"> in achieving the long</w:t>
      </w:r>
      <w:r w:rsidR="0045146F">
        <w:t>-</w:t>
      </w:r>
      <w:r>
        <w:t xml:space="preserve">term transition to renewables and in ensuring adequate supply in the long run, they are unlikely to address the current and forecast elevated energy prices over the next few years. </w:t>
      </w:r>
      <w:r w:rsidR="005F1878">
        <w:t>Measures to reduce demand for energy may also help alleviate pressures in the event of inadequate supply</w:t>
      </w:r>
      <w:r w:rsidR="00A65D91">
        <w:t xml:space="preserve">. This could be considered for example through providing support to consumers to invest in more energy efficient appliances and housing, or by creating energy demand </w:t>
      </w:r>
      <w:r w:rsidR="00A65D91">
        <w:lastRenderedPageBreak/>
        <w:t>targets. Given the scale of the international price shock however, these measures</w:t>
      </w:r>
      <w:r w:rsidR="005F1878">
        <w:t xml:space="preserve"> are unlikely to </w:t>
      </w:r>
      <w:r w:rsidR="00A65D91">
        <w:t>provide</w:t>
      </w:r>
      <w:r w:rsidR="005F1878">
        <w:t xml:space="preserve"> immediate </w:t>
      </w:r>
      <w:r w:rsidR="00A65D91">
        <w:t>or substantial</w:t>
      </w:r>
      <w:r w:rsidR="005F1878">
        <w:t xml:space="preserve"> price </w:t>
      </w:r>
      <w:r w:rsidR="00A65D91">
        <w:t xml:space="preserve">relief. </w:t>
      </w:r>
    </w:p>
    <w:p w14:paraId="6556C51D" w14:textId="78FB3647" w:rsidR="002352F6" w:rsidRPr="003A389A" w:rsidRDefault="00805457" w:rsidP="00312DC7">
      <w:pPr>
        <w:pStyle w:val="Heading3"/>
      </w:pPr>
      <w:bookmarkStart w:id="20" w:name="_Toc121406873"/>
      <w:r w:rsidRPr="003A389A">
        <w:t>S</w:t>
      </w:r>
      <w:r w:rsidR="00A00729" w:rsidRPr="003A389A">
        <w:t xml:space="preserve">tatus quo </w:t>
      </w:r>
      <w:r w:rsidR="00E36FC1">
        <w:t>(Option A0)</w:t>
      </w:r>
      <w:bookmarkEnd w:id="20"/>
    </w:p>
    <w:p w14:paraId="658ED09D" w14:textId="1AA036B0" w:rsidR="00E470B5" w:rsidRDefault="00853960" w:rsidP="00487A71">
      <w:r>
        <w:t xml:space="preserve">The status quo option would involve no </w:t>
      </w:r>
      <w:r w:rsidR="008A04F1">
        <w:t>regulatory</w:t>
      </w:r>
      <w:r>
        <w:t xml:space="preserve"> intervention </w:t>
      </w:r>
      <w:r w:rsidR="00BD7AEB">
        <w:t>by</w:t>
      </w:r>
      <w:r>
        <w:t xml:space="preserve"> the Government</w:t>
      </w:r>
      <w:r w:rsidR="001A63F1">
        <w:t xml:space="preserve"> in the energy market</w:t>
      </w:r>
      <w:r w:rsidR="000B2131">
        <w:t>.</w:t>
      </w:r>
      <w:r w:rsidR="00570563">
        <w:t xml:space="preserve"> </w:t>
      </w:r>
      <w:r w:rsidR="003A5DE5">
        <w:t>Absent any price regulation</w:t>
      </w:r>
      <w:r w:rsidR="001C5A8A">
        <w:t xml:space="preserve"> or other intervention</w:t>
      </w:r>
      <w:r w:rsidR="003A5DE5">
        <w:t>, sustained high energy prices</w:t>
      </w:r>
      <w:r w:rsidR="0039067A">
        <w:t>, including further price increases, are likely</w:t>
      </w:r>
      <w:r w:rsidR="0039067A" w:rsidDel="001F0DC7">
        <w:t xml:space="preserve"> </w:t>
      </w:r>
      <w:r w:rsidR="003A5DE5">
        <w:t>to continue impact</w:t>
      </w:r>
      <w:r w:rsidR="0039067A">
        <w:t>ing</w:t>
      </w:r>
      <w:r w:rsidR="003A5DE5">
        <w:t xml:space="preserve"> Australian businesses and households. </w:t>
      </w:r>
    </w:p>
    <w:p w14:paraId="1C0A5564" w14:textId="60C4D9B2" w:rsidR="00E340B3" w:rsidRPr="00853960" w:rsidRDefault="00A5361F" w:rsidP="00487A71">
      <w:r>
        <w:t xml:space="preserve">Under the status quo, </w:t>
      </w:r>
      <w:r w:rsidR="009F6CB5">
        <w:t>behaviour</w:t>
      </w:r>
      <w:r w:rsidR="003A44AE">
        <w:t>al</w:t>
      </w:r>
      <w:r w:rsidR="009F6CB5">
        <w:t xml:space="preserve"> standards of dealings between gas producers and customers in the east coast will continue to be </w:t>
      </w:r>
      <w:r w:rsidR="003A44AE">
        <w:t>governed under</w:t>
      </w:r>
      <w:r w:rsidR="009F6CB5">
        <w:t xml:space="preserve"> </w:t>
      </w:r>
      <w:r>
        <w:t>t</w:t>
      </w:r>
      <w:r w:rsidR="00A313A4">
        <w:t xml:space="preserve">he </w:t>
      </w:r>
      <w:r w:rsidR="0039067A">
        <w:t>existing</w:t>
      </w:r>
      <w:r w:rsidR="002B6E81">
        <w:t xml:space="preserve"> </w:t>
      </w:r>
      <w:r w:rsidR="00A313A4">
        <w:t>voluntary Code of Conduct</w:t>
      </w:r>
      <w:r w:rsidR="00161B95">
        <w:t xml:space="preserve">, which only applies to gas suppliers who choose to opt in. </w:t>
      </w:r>
      <w:r w:rsidR="004B0107">
        <w:t xml:space="preserve">Accepting the status quo option may see limited improvement in the systemic, behavioural issues present in the wholesale gas market. </w:t>
      </w:r>
    </w:p>
    <w:p w14:paraId="30EA8385" w14:textId="2373602E" w:rsidR="00645F3D" w:rsidRPr="003A389A" w:rsidRDefault="00645F3D" w:rsidP="00312DC7">
      <w:pPr>
        <w:pStyle w:val="Heading3"/>
      </w:pPr>
      <w:bookmarkStart w:id="21" w:name="_Toc121406874"/>
      <w:r w:rsidRPr="003A389A">
        <w:t>Regulatory reforms that seek to reduce the price of gas</w:t>
      </w:r>
      <w:bookmarkEnd w:id="21"/>
    </w:p>
    <w:p w14:paraId="5DCE6CFB" w14:textId="7D2231AE" w:rsidR="0026192A" w:rsidRPr="00312DC7" w:rsidRDefault="0026192A" w:rsidP="00312DC7">
      <w:pPr>
        <w:pStyle w:val="HeaderOdd"/>
      </w:pPr>
      <w:r w:rsidRPr="00312DC7">
        <w:t xml:space="preserve">Mandatory </w:t>
      </w:r>
      <w:r w:rsidR="00A70772">
        <w:t>C</w:t>
      </w:r>
      <w:r w:rsidR="002E357A" w:rsidRPr="00312DC7">
        <w:t xml:space="preserve">ode of </w:t>
      </w:r>
      <w:r w:rsidR="00A70772">
        <w:t>C</w:t>
      </w:r>
      <w:r w:rsidR="002E357A" w:rsidRPr="00312DC7">
        <w:t>onduct for the wholesale gas market</w:t>
      </w:r>
      <w:r w:rsidR="002E357A" w:rsidRPr="00312DC7" w:rsidDel="002E357A">
        <w:t xml:space="preserve"> </w:t>
      </w:r>
      <w:r w:rsidR="00AC227E">
        <w:t>(Options A1, A2)</w:t>
      </w:r>
    </w:p>
    <w:p w14:paraId="1AB5FCA3" w14:textId="211B31E6" w:rsidR="00401B18" w:rsidRDefault="00BD7AEB" w:rsidP="00245D89">
      <w:r>
        <w:t>Options A1 and A2</w:t>
      </w:r>
      <w:r w:rsidR="008A5E09">
        <w:t xml:space="preserve"> </w:t>
      </w:r>
      <w:r w:rsidR="00E526BB">
        <w:t xml:space="preserve">involve developing a </w:t>
      </w:r>
      <w:r w:rsidR="00B23502">
        <w:t>m</w:t>
      </w:r>
      <w:r w:rsidR="00E526BB">
        <w:t xml:space="preserve">andatory </w:t>
      </w:r>
      <w:r w:rsidR="00D757D6">
        <w:t>C</w:t>
      </w:r>
      <w:r w:rsidR="00E526BB">
        <w:t xml:space="preserve">ode of </w:t>
      </w:r>
      <w:r w:rsidR="00D757D6">
        <w:t>C</w:t>
      </w:r>
      <w:r w:rsidR="00E526BB">
        <w:t xml:space="preserve">onduct that would </w:t>
      </w:r>
      <w:r w:rsidR="00B47F78">
        <w:t>set</w:t>
      </w:r>
      <w:r w:rsidR="00E526BB">
        <w:t xml:space="preserve"> minimum standards </w:t>
      </w:r>
      <w:r w:rsidR="001613C2">
        <w:t xml:space="preserve">of behaviour </w:t>
      </w:r>
      <w:r w:rsidR="00E526BB">
        <w:t xml:space="preserve">for dealings between east coast gas producers and </w:t>
      </w:r>
      <w:r w:rsidR="00B47F78">
        <w:t xml:space="preserve">wholesale </w:t>
      </w:r>
      <w:r w:rsidR="00E526BB">
        <w:t xml:space="preserve">customers in </w:t>
      </w:r>
      <w:r w:rsidR="00B47F78">
        <w:t xml:space="preserve">the negotiation of gas supply contracts. </w:t>
      </w:r>
    </w:p>
    <w:p w14:paraId="5799A885" w14:textId="0A0BF8A9" w:rsidR="00F84844" w:rsidRDefault="00E526BB" w:rsidP="00DD5653">
      <w:r>
        <w:t xml:space="preserve">The mandatory </w:t>
      </w:r>
      <w:r w:rsidR="003E5603">
        <w:t>C</w:t>
      </w:r>
      <w:r>
        <w:t>ode</w:t>
      </w:r>
      <w:r w:rsidR="003E5603">
        <w:t xml:space="preserve"> of Conduct</w:t>
      </w:r>
      <w:r>
        <w:t xml:space="preserve"> would be </w:t>
      </w:r>
      <w:r w:rsidR="00787224">
        <w:t xml:space="preserve">a </w:t>
      </w:r>
      <w:r w:rsidR="009E44F3">
        <w:t>strengthened version of the</w:t>
      </w:r>
      <w:r>
        <w:t xml:space="preserve"> </w:t>
      </w:r>
      <w:r w:rsidR="00D54D81">
        <w:t xml:space="preserve">existing voluntary Code of Conduct annexed to the </w:t>
      </w:r>
      <w:r w:rsidR="002A77B9">
        <w:t>HoA</w:t>
      </w:r>
      <w:r w:rsidR="00D54D81">
        <w:t xml:space="preserve"> between the Government and east coast LNG exporters</w:t>
      </w:r>
      <w:r w:rsidR="00002A89">
        <w:t>, and the advice provided by the ACCC to the Government</w:t>
      </w:r>
      <w:r w:rsidR="00401B18">
        <w:t xml:space="preserve">. </w:t>
      </w:r>
      <w:r w:rsidR="00CA56D8">
        <w:t>Broadly</w:t>
      </w:r>
      <w:r w:rsidR="00203DE7">
        <w:t xml:space="preserve">, the mandatory </w:t>
      </w:r>
      <w:r w:rsidR="003E5603">
        <w:t>C</w:t>
      </w:r>
      <w:r w:rsidR="00203DE7">
        <w:t>ode</w:t>
      </w:r>
      <w:r w:rsidR="003E5603">
        <w:t xml:space="preserve"> of Conduct</w:t>
      </w:r>
      <w:r w:rsidR="00203DE7">
        <w:t xml:space="preserve"> would </w:t>
      </w:r>
      <w:r w:rsidR="00890A70">
        <w:t xml:space="preserve">build upon and strengthen the voluntary </w:t>
      </w:r>
      <w:r w:rsidR="00332C95">
        <w:t xml:space="preserve">Code of Conduct </w:t>
      </w:r>
      <w:r w:rsidR="00203DE7">
        <w:t>by</w:t>
      </w:r>
      <w:r w:rsidR="00BD7AEB" w:rsidRPr="00BD7AEB">
        <w:t xml:space="preserve"> </w:t>
      </w:r>
      <w:r w:rsidR="00203DE7">
        <w:t>strengthening transparency, reporting, pricing and the negotiating environment</w:t>
      </w:r>
      <w:r w:rsidR="00BD7AEB">
        <w:t xml:space="preserve">. The </w:t>
      </w:r>
      <w:r w:rsidR="00D40DC7">
        <w:t>provisions of</w:t>
      </w:r>
      <w:r w:rsidR="00BD7AEB">
        <w:t xml:space="preserve"> the mandatory </w:t>
      </w:r>
      <w:r w:rsidR="003E5603">
        <w:t>C</w:t>
      </w:r>
      <w:r w:rsidR="00BD7AEB">
        <w:t>ode</w:t>
      </w:r>
      <w:r w:rsidR="003E5603">
        <w:t xml:space="preserve"> of Conduct</w:t>
      </w:r>
      <w:r w:rsidR="00BD7AEB">
        <w:t xml:space="preserve"> will depend upon the implementation mechanism (A1 or A2). </w:t>
      </w:r>
      <w:r w:rsidR="00D40DC7">
        <w:t>For example, under Option A1, the maximum available penalties for non</w:t>
      </w:r>
      <w:r w:rsidR="00D40DC7">
        <w:noBreakHyphen/>
        <w:t xml:space="preserve">compliance would be significantly higher than under Option A2. </w:t>
      </w:r>
      <w:r w:rsidR="00203DE7">
        <w:t xml:space="preserve"> </w:t>
      </w:r>
    </w:p>
    <w:p w14:paraId="7D9933B5" w14:textId="64BA1203" w:rsidR="0026192A" w:rsidRDefault="00DF1DAB" w:rsidP="0026192A">
      <w:r w:rsidDel="00E1054D">
        <w:t xml:space="preserve">The ACCC would </w:t>
      </w:r>
      <w:r w:rsidR="00002A89">
        <w:t xml:space="preserve">administer and enforce compliance with the mandatory </w:t>
      </w:r>
      <w:r w:rsidR="003E5603">
        <w:t>C</w:t>
      </w:r>
      <w:r w:rsidR="00002A89">
        <w:t>ode</w:t>
      </w:r>
      <w:r w:rsidR="003E5603">
        <w:t xml:space="preserve"> of Conduct</w:t>
      </w:r>
      <w:r w:rsidR="00002A89">
        <w:t xml:space="preserve">. </w:t>
      </w:r>
      <w:r w:rsidR="00287C57">
        <w:t xml:space="preserve">The ACCC would also monitor and report on the impact of the mandatory </w:t>
      </w:r>
      <w:r w:rsidR="003E5603">
        <w:t>C</w:t>
      </w:r>
      <w:r w:rsidR="00287C57">
        <w:t>ode</w:t>
      </w:r>
      <w:r w:rsidR="003E5603">
        <w:t xml:space="preserve"> of Conduct</w:t>
      </w:r>
      <w:r w:rsidR="00287C57">
        <w:t xml:space="preserve"> on electricity and gas markets, through its existing price inquiries into electricity and gas markets.</w:t>
      </w:r>
      <w:r w:rsidDel="00E1054D">
        <w:t xml:space="preserve"> </w:t>
      </w:r>
    </w:p>
    <w:p w14:paraId="64CCED33" w14:textId="084F2132" w:rsidR="00A047F5" w:rsidRPr="00297880" w:rsidRDefault="00C949AB" w:rsidP="0026192A">
      <w:r>
        <w:t>A</w:t>
      </w:r>
      <w:r w:rsidR="00EB0B9F">
        <w:t xml:space="preserve"> review of the </w:t>
      </w:r>
      <w:r w:rsidR="003E5603">
        <w:t>mandatory C</w:t>
      </w:r>
      <w:r w:rsidR="00EB0B9F">
        <w:t>ode</w:t>
      </w:r>
      <w:r w:rsidR="003E5603">
        <w:t xml:space="preserve"> of Conduct</w:t>
      </w:r>
      <w:r w:rsidR="00EB0B9F">
        <w:t xml:space="preserve"> would be conducted </w:t>
      </w:r>
      <w:r>
        <w:t xml:space="preserve">after an appropriate period (such as a year), once its impacts have been observed, </w:t>
      </w:r>
      <w:r w:rsidR="00A047F5">
        <w:t xml:space="preserve">to consider </w:t>
      </w:r>
      <w:r w:rsidRPr="00C949AB">
        <w:t xml:space="preserve">any necessary refinements or improvements to the </w:t>
      </w:r>
      <w:r w:rsidR="00332C95">
        <w:t>Code of Conduct</w:t>
      </w:r>
      <w:r w:rsidRPr="00C949AB">
        <w:t xml:space="preserve">, including its coverage. </w:t>
      </w:r>
      <w:r w:rsidR="00A047F5">
        <w:t xml:space="preserve"> </w:t>
      </w:r>
    </w:p>
    <w:p w14:paraId="6DCF89A6" w14:textId="5BCDBA25" w:rsidR="00945CA6" w:rsidRDefault="00AC227E" w:rsidP="0026192A">
      <w:r>
        <w:t xml:space="preserve">Options to </w:t>
      </w:r>
      <w:r w:rsidR="00890A70">
        <w:t>implement</w:t>
      </w:r>
      <w:r>
        <w:t xml:space="preserve"> </w:t>
      </w:r>
      <w:r w:rsidR="00C20137">
        <w:t xml:space="preserve">a </w:t>
      </w:r>
      <w:r w:rsidR="00B23502">
        <w:t>m</w:t>
      </w:r>
      <w:r w:rsidR="00BD7AEB">
        <w:t>andatory</w:t>
      </w:r>
      <w:r>
        <w:t xml:space="preserve"> </w:t>
      </w:r>
      <w:r w:rsidR="00D757D6">
        <w:t>C</w:t>
      </w:r>
      <w:r>
        <w:t xml:space="preserve">ode of </w:t>
      </w:r>
      <w:r w:rsidR="00D757D6">
        <w:t>C</w:t>
      </w:r>
      <w:r>
        <w:t>onduct are:</w:t>
      </w:r>
    </w:p>
    <w:p w14:paraId="18EB7020" w14:textId="4CA972EA" w:rsidR="00AC227E" w:rsidRDefault="007F441D" w:rsidP="00687349">
      <w:pPr>
        <w:pStyle w:val="Bullet"/>
      </w:pPr>
      <w:bookmarkStart w:id="22" w:name="_Hlk120362588"/>
      <w:r>
        <w:rPr>
          <w:bCs/>
        </w:rPr>
        <w:t>A1</w:t>
      </w:r>
      <w:r w:rsidR="00332C95">
        <w:rPr>
          <w:bCs/>
        </w:rPr>
        <w:t xml:space="preserve"> </w:t>
      </w:r>
      <w:r w:rsidR="00332C95" w:rsidDel="00E26AA0">
        <w:t>–</w:t>
      </w:r>
      <w:r>
        <w:rPr>
          <w:bCs/>
        </w:rPr>
        <w:t xml:space="preserve"> </w:t>
      </w:r>
      <w:r>
        <w:t xml:space="preserve">Legislate a new framework for the making of </w:t>
      </w:r>
      <w:r w:rsidR="00A601D1">
        <w:t xml:space="preserve">gas </w:t>
      </w:r>
      <w:r>
        <w:t xml:space="preserve">market codes within the </w:t>
      </w:r>
      <w:r w:rsidRPr="008C58CF">
        <w:t>CCA</w:t>
      </w:r>
      <w:r>
        <w:t xml:space="preserve">, and prescribe a mandatory Code </w:t>
      </w:r>
      <w:r w:rsidRPr="00E63C9A">
        <w:t xml:space="preserve">of </w:t>
      </w:r>
      <w:r>
        <w:t>C</w:t>
      </w:r>
      <w:r w:rsidRPr="00E63C9A">
        <w:t xml:space="preserve">onduct </w:t>
      </w:r>
      <w:r>
        <w:t>for wholesale gas markets</w:t>
      </w:r>
      <w:r w:rsidR="009A1BC3">
        <w:t>.</w:t>
      </w:r>
    </w:p>
    <w:p w14:paraId="6ACBA833" w14:textId="586E43CE" w:rsidR="00AC227E" w:rsidDel="00E26AA0" w:rsidRDefault="00AC227E" w:rsidP="00687349">
      <w:pPr>
        <w:pStyle w:val="Bullet"/>
      </w:pPr>
      <w:r w:rsidDel="00E26AA0">
        <w:t xml:space="preserve">A2 – </w:t>
      </w:r>
      <w:r w:rsidR="00890A70" w:rsidDel="00E26AA0">
        <w:t>Prescribe</w:t>
      </w:r>
      <w:r w:rsidDel="00E26AA0">
        <w:t xml:space="preserve"> a </w:t>
      </w:r>
      <w:r w:rsidR="00890A70">
        <w:t>m</w:t>
      </w:r>
      <w:r w:rsidRPr="00E63C9A">
        <w:t xml:space="preserve">andatory </w:t>
      </w:r>
      <w:r w:rsidR="00D757D6">
        <w:t>C</w:t>
      </w:r>
      <w:r w:rsidRPr="00E63C9A">
        <w:t>ode</w:t>
      </w:r>
      <w:r w:rsidRPr="00E63C9A" w:rsidDel="00E26AA0">
        <w:t xml:space="preserve"> of </w:t>
      </w:r>
      <w:r w:rsidR="00D757D6">
        <w:t>C</w:t>
      </w:r>
      <w:r w:rsidRPr="00E63C9A">
        <w:t>onduct</w:t>
      </w:r>
      <w:r w:rsidRPr="00E63C9A" w:rsidDel="00E26AA0">
        <w:t xml:space="preserve"> </w:t>
      </w:r>
      <w:r w:rsidDel="00E26AA0">
        <w:t xml:space="preserve">for </w:t>
      </w:r>
      <w:r w:rsidR="00890A70" w:rsidDel="00E26AA0">
        <w:t xml:space="preserve">wholesale gas markets under the existing industry codes framework (Part IVB of the </w:t>
      </w:r>
      <w:r w:rsidR="00890A70" w:rsidRPr="00945CA6" w:rsidDel="00E26AA0">
        <w:t>CCA</w:t>
      </w:r>
      <w:r w:rsidR="00890A70" w:rsidDel="00E26AA0">
        <w:t>)</w:t>
      </w:r>
      <w:r w:rsidR="00027453" w:rsidDel="00E26AA0">
        <w:t>.</w:t>
      </w:r>
    </w:p>
    <w:p w14:paraId="40B25159" w14:textId="5C65F07D" w:rsidR="00BD7AEB" w:rsidRPr="00297880" w:rsidRDefault="00BD7AEB" w:rsidP="0026192A">
      <w:r>
        <w:t xml:space="preserve">A further option for </w:t>
      </w:r>
      <w:r w:rsidR="006E7BEE">
        <w:t xml:space="preserve">a </w:t>
      </w:r>
      <w:r w:rsidR="00D757D6">
        <w:t>C</w:t>
      </w:r>
      <w:r w:rsidR="006E7BEE">
        <w:t xml:space="preserve">ode of </w:t>
      </w:r>
      <w:r w:rsidR="00D757D6">
        <w:t>C</w:t>
      </w:r>
      <w:r w:rsidR="006E7BEE">
        <w:t xml:space="preserve">onduct, over and above the existing voluntary </w:t>
      </w:r>
      <w:r w:rsidR="00A70772">
        <w:t>C</w:t>
      </w:r>
      <w:r w:rsidR="006E7BEE">
        <w:t xml:space="preserve">ode of </w:t>
      </w:r>
      <w:r w:rsidR="00A70772">
        <w:t>C</w:t>
      </w:r>
      <w:r w:rsidR="006E7BEE">
        <w:t xml:space="preserve">onduct (Option A0) but short of a </w:t>
      </w:r>
      <w:r w:rsidR="00B23502">
        <w:t>m</w:t>
      </w:r>
      <w:r w:rsidR="006E7BEE">
        <w:t xml:space="preserve">andatory </w:t>
      </w:r>
      <w:r w:rsidR="00A70772">
        <w:t>C</w:t>
      </w:r>
      <w:r w:rsidR="006E7BEE">
        <w:t xml:space="preserve">ode of </w:t>
      </w:r>
      <w:r w:rsidR="00A70772">
        <w:t>C</w:t>
      </w:r>
      <w:r w:rsidR="006E7BEE">
        <w:t>onduct is:</w:t>
      </w:r>
    </w:p>
    <w:p w14:paraId="702CC6B4" w14:textId="164B91B2" w:rsidR="006E70DD" w:rsidRDefault="00DF4920" w:rsidP="00687349">
      <w:pPr>
        <w:pStyle w:val="Bullet"/>
      </w:pPr>
      <w:r>
        <w:t>A3 –</w:t>
      </w:r>
      <w:r w:rsidDel="006E70DD">
        <w:t xml:space="preserve"> </w:t>
      </w:r>
      <w:r w:rsidR="006E70DD">
        <w:t>Work with industry to strengthen the existing voluntary Code of Conduct</w:t>
      </w:r>
    </w:p>
    <w:bookmarkEnd w:id="22"/>
    <w:p w14:paraId="6A0909FC" w14:textId="77777777" w:rsidR="007B4E67" w:rsidRDefault="007B4E67" w:rsidP="001D5EC4"/>
    <w:p w14:paraId="40C6E53E" w14:textId="70D00F83" w:rsidR="00645F3D" w:rsidRPr="00312DC7" w:rsidRDefault="00645F3D" w:rsidP="00312DC7">
      <w:pPr>
        <w:pStyle w:val="HeaderOdd"/>
      </w:pPr>
      <w:r w:rsidRPr="00312DC7">
        <w:lastRenderedPageBreak/>
        <w:t>Gas price cap</w:t>
      </w:r>
      <w:r w:rsidR="00D23951">
        <w:t xml:space="preserve"> </w:t>
      </w:r>
      <w:r w:rsidR="00AC227E">
        <w:t>(</w:t>
      </w:r>
      <w:r w:rsidR="00172963">
        <w:t>O</w:t>
      </w:r>
      <w:r w:rsidR="00D23951">
        <w:t>ption</w:t>
      </w:r>
      <w:r w:rsidR="000215D8" w:rsidDel="00172963">
        <w:t xml:space="preserve"> </w:t>
      </w:r>
      <w:r w:rsidR="000215D8">
        <w:t>A4)</w:t>
      </w:r>
    </w:p>
    <w:p w14:paraId="6818503A" w14:textId="16DAE0B2" w:rsidR="00645F3D" w:rsidRDefault="00E045EA" w:rsidP="00645F3D">
      <w:r>
        <w:t xml:space="preserve">This </w:t>
      </w:r>
      <w:r w:rsidR="00205685">
        <w:t>option</w:t>
      </w:r>
      <w:r>
        <w:t xml:space="preserve"> </w:t>
      </w:r>
      <w:r w:rsidR="00205685">
        <w:t xml:space="preserve">would involve </w:t>
      </w:r>
      <w:r w:rsidR="00205685" w:rsidRPr="00A77FCA">
        <w:t>implement</w:t>
      </w:r>
      <w:r w:rsidR="00205685">
        <w:t xml:space="preserve">ing a temporary, emergency price cap </w:t>
      </w:r>
      <w:r w:rsidR="000539FF">
        <w:t>reflecti</w:t>
      </w:r>
      <w:r w:rsidR="008B33AB">
        <w:t>ng</w:t>
      </w:r>
      <w:r w:rsidR="000539FF">
        <w:t xml:space="preserve"> costs </w:t>
      </w:r>
      <w:r w:rsidR="00CB156A">
        <w:t>of gas production</w:t>
      </w:r>
      <w:r w:rsidR="000539FF">
        <w:t xml:space="preserve">, </w:t>
      </w:r>
      <w:r w:rsidR="00C22FA2">
        <w:t xml:space="preserve">including </w:t>
      </w:r>
      <w:r w:rsidR="000539FF">
        <w:t xml:space="preserve">a reasonable </w:t>
      </w:r>
      <w:r w:rsidR="00C22FA2">
        <w:t>return on capital</w:t>
      </w:r>
      <w:r w:rsidR="000539FF">
        <w:t>,</w:t>
      </w:r>
      <w:r w:rsidR="00205685" w:rsidRPr="00A77FCA">
        <w:t xml:space="preserve"> applying </w:t>
      </w:r>
      <w:r w:rsidR="00205685">
        <w:t xml:space="preserve">to </w:t>
      </w:r>
      <w:r w:rsidR="00CB156A">
        <w:t xml:space="preserve">wholesale </w:t>
      </w:r>
      <w:r w:rsidR="00205685">
        <w:t>sales of gas</w:t>
      </w:r>
      <w:r w:rsidR="00CB156A">
        <w:t xml:space="preserve"> by producers</w:t>
      </w:r>
      <w:r w:rsidR="00205685">
        <w:t xml:space="preserve"> in the domestic wholesale market, </w:t>
      </w:r>
      <w:r w:rsidR="00CB156A" w:rsidRPr="007D0B7F">
        <w:t xml:space="preserve">excluding WA, spot market transactions and </w:t>
      </w:r>
      <w:r w:rsidR="00CB156A">
        <w:t xml:space="preserve">undeveloped </w:t>
      </w:r>
      <w:r w:rsidR="004164E2">
        <w:t>field</w:t>
      </w:r>
      <w:r w:rsidR="00CB156A">
        <w:t>s</w:t>
      </w:r>
      <w:r w:rsidR="00205685">
        <w:t>.</w:t>
      </w:r>
      <w:r w:rsidR="00A82F54">
        <w:t xml:space="preserve"> </w:t>
      </w:r>
      <w:r w:rsidR="00A77FCA" w:rsidRPr="006623CF">
        <w:t>While</w:t>
      </w:r>
      <w:r w:rsidR="00671DB5" w:rsidRPr="006623CF">
        <w:t xml:space="preserve"> the price cap would </w:t>
      </w:r>
      <w:r w:rsidR="00A77FCA" w:rsidRPr="006623CF">
        <w:t xml:space="preserve">be temporary, different </w:t>
      </w:r>
      <w:r>
        <w:t xml:space="preserve">design </w:t>
      </w:r>
      <w:r w:rsidR="001B39F5">
        <w:t>specifications</w:t>
      </w:r>
      <w:r w:rsidRPr="006623CF">
        <w:t xml:space="preserve"> </w:t>
      </w:r>
      <w:r w:rsidR="00A77FCA" w:rsidRPr="006623CF">
        <w:t>were considered for the length of time this cap should be in place</w:t>
      </w:r>
      <w:r w:rsidR="009F283B">
        <w:t>.</w:t>
      </w:r>
    </w:p>
    <w:p w14:paraId="77C0D40E" w14:textId="48ABA24F" w:rsidR="0056699A" w:rsidRDefault="00645F3D" w:rsidP="00645F3D">
      <w:r w:rsidRPr="00A864ED">
        <w:t xml:space="preserve">The price cap would </w:t>
      </w:r>
      <w:r w:rsidR="0056699A">
        <w:t>apply where the following conditions are met:</w:t>
      </w:r>
    </w:p>
    <w:p w14:paraId="29952870" w14:textId="77777777" w:rsidR="0056699A" w:rsidRDefault="0056699A" w:rsidP="004F1660">
      <w:pPr>
        <w:pStyle w:val="Bullet"/>
        <w:numPr>
          <w:ilvl w:val="0"/>
          <w:numId w:val="135"/>
        </w:numPr>
      </w:pPr>
      <w:r>
        <w:t>The seller is a gas producer (including sales made on behalf of gas producers by a related entity or other affiliate, such as an agent);</w:t>
      </w:r>
    </w:p>
    <w:p w14:paraId="5A3D0716" w14:textId="445CF601" w:rsidR="0056699A" w:rsidRDefault="0056699A" w:rsidP="004F1660">
      <w:pPr>
        <w:pStyle w:val="Bullet"/>
        <w:numPr>
          <w:ilvl w:val="0"/>
          <w:numId w:val="135"/>
        </w:numPr>
      </w:pPr>
      <w:r>
        <w:t>The gas is sold via</w:t>
      </w:r>
      <w:r w:rsidR="00CB156A">
        <w:t xml:space="preserve"> wholesale</w:t>
      </w:r>
      <w:r>
        <w:t xml:space="preserve"> contract (either directly negotiated between the parties or reached following a trade through the Gas Supply Hub);</w:t>
      </w:r>
    </w:p>
    <w:p w14:paraId="7245ABE2" w14:textId="5A13CEE9" w:rsidR="0056699A" w:rsidRDefault="0056699A" w:rsidP="004F1660">
      <w:pPr>
        <w:pStyle w:val="Bullet"/>
        <w:numPr>
          <w:ilvl w:val="0"/>
          <w:numId w:val="135"/>
        </w:numPr>
      </w:pPr>
      <w:r>
        <w:t>The contract is agreed, and the gas is to be supplied, while the price cap is in effect (that is, the price cap would not impact on existing contracts); and</w:t>
      </w:r>
    </w:p>
    <w:p w14:paraId="75DFF595" w14:textId="6398CE40" w:rsidR="0056699A" w:rsidRDefault="0056699A" w:rsidP="004F1660">
      <w:pPr>
        <w:pStyle w:val="Bullet"/>
        <w:numPr>
          <w:ilvl w:val="0"/>
          <w:numId w:val="135"/>
        </w:numPr>
      </w:pPr>
      <w:r>
        <w:t xml:space="preserve">The gas to be supplied is immediately available supply sourced from </w:t>
      </w:r>
      <w:r w:rsidR="0084382A">
        <w:t>developed</w:t>
      </w:r>
      <w:r w:rsidDel="003F0C08">
        <w:t xml:space="preserve"> </w:t>
      </w:r>
      <w:r>
        <w:t xml:space="preserve">fields.   </w:t>
      </w:r>
    </w:p>
    <w:p w14:paraId="47545E01" w14:textId="6635AC32" w:rsidR="00645F3D" w:rsidRDefault="00D50123" w:rsidP="00645F3D">
      <w:r w:rsidRPr="008833D9">
        <w:t xml:space="preserve">The price cap would not apply to gas sold on retail markets (for example, </w:t>
      </w:r>
      <w:r>
        <w:t xml:space="preserve">gas sold by retailers </w:t>
      </w:r>
      <w:r w:rsidRPr="008833D9">
        <w:t>to residential or small business customers</w:t>
      </w:r>
      <w:r w:rsidRPr="008833D9" w:rsidDel="00116F9A">
        <w:t>)</w:t>
      </w:r>
      <w:r w:rsidR="00993506">
        <w:t xml:space="preserve"> or</w:t>
      </w:r>
      <w:r w:rsidR="00645F3D">
        <w:t xml:space="preserve"> to non-producers, such as retailers</w:t>
      </w:r>
      <w:r w:rsidR="00A77FCA">
        <w:t>, where they sell</w:t>
      </w:r>
      <w:r w:rsidR="00645F3D">
        <w:t xml:space="preserve"> gas via bilateral contract at the wholesale level</w:t>
      </w:r>
      <w:r w:rsidRPr="00D50123">
        <w:t>.</w:t>
      </w:r>
    </w:p>
    <w:p w14:paraId="2B2D2EDA" w14:textId="21EE5BAA" w:rsidR="00993506" w:rsidRDefault="00A77FCA" w:rsidP="006139A8">
      <w:r>
        <w:t xml:space="preserve">The cap would be set at a level which reflects the costs of </w:t>
      </w:r>
      <w:r w:rsidR="00322114">
        <w:t>gas production</w:t>
      </w:r>
      <w:r>
        <w:t xml:space="preserve">, </w:t>
      </w:r>
      <w:r w:rsidR="00322114">
        <w:t xml:space="preserve">including </w:t>
      </w:r>
      <w:r>
        <w:t xml:space="preserve">a reasonable </w:t>
      </w:r>
      <w:r w:rsidR="00322114">
        <w:t>return on capital</w:t>
      </w:r>
      <w:r w:rsidR="00463EB0">
        <w:t>,</w:t>
      </w:r>
      <w:r>
        <w:t xml:space="preserve"> for gas available for immediate supply from </w:t>
      </w:r>
      <w:r w:rsidR="00A42F7C">
        <w:t>developed</w:t>
      </w:r>
      <w:r>
        <w:t xml:space="preserve"> fields, while excluding the extreme inflation in energy prices which has occurred in response to the Ukraine war and resulting global energy shock. </w:t>
      </w:r>
    </w:p>
    <w:p w14:paraId="213FCB68" w14:textId="7506C686" w:rsidR="00352A6C" w:rsidRDefault="00414322" w:rsidP="006139A8">
      <w:r>
        <w:t>The ACCC has advised it considers a price of $12</w:t>
      </w:r>
      <w:r w:rsidR="00621C96">
        <w:t>/</w:t>
      </w:r>
      <w:r>
        <w:t xml:space="preserve">GJ reflects the costs of </w:t>
      </w:r>
      <w:r w:rsidR="00C52104">
        <w:t>gas production, including a reasonable return on capital</w:t>
      </w:r>
      <w:r>
        <w:t xml:space="preserve"> for gas sourced from </w:t>
      </w:r>
      <w:r w:rsidR="0084382A">
        <w:t>developed</w:t>
      </w:r>
      <w:r w:rsidR="009E44F3">
        <w:t xml:space="preserve"> fields capable of supply during the period in which the emergency price rule is of application</w:t>
      </w:r>
      <w:r>
        <w:t xml:space="preserve"> fields</w:t>
      </w:r>
      <w:r w:rsidR="00352A6C">
        <w:t xml:space="preserve">. While the cost of production from </w:t>
      </w:r>
      <w:r w:rsidR="005C5E7E">
        <w:t>undeveloped</w:t>
      </w:r>
      <w:r w:rsidR="00352A6C">
        <w:t xml:space="preserve"> fields could differ from this level, these fields are not included within the scope of the price cap</w:t>
      </w:r>
      <w:r>
        <w:t xml:space="preserve">. </w:t>
      </w:r>
    </w:p>
    <w:p w14:paraId="527312B3" w14:textId="533E89F8" w:rsidR="00671DB5" w:rsidRDefault="00414322" w:rsidP="006139A8">
      <w:r>
        <w:t xml:space="preserve">In arriving at this price, the ACCC considered the prices that were offered on the east coast in 2021, for supply in 2023, prior to international prices increasing in late 2021 in response to overseas factors. </w:t>
      </w:r>
      <w:bookmarkStart w:id="23" w:name="_Hlk120969289"/>
      <w:r>
        <w:t xml:space="preserve">Over 2021, there were 289 domestic offers made by producers and retailers, with </w:t>
      </w:r>
      <w:r>
        <w:rPr>
          <w:rFonts w:cs="Arial"/>
        </w:rPr>
        <w:t>96 per cent of offers made below $12</w:t>
      </w:r>
      <w:r w:rsidR="00621C96">
        <w:rPr>
          <w:rFonts w:cs="Arial"/>
        </w:rPr>
        <w:t>/</w:t>
      </w:r>
      <w:r>
        <w:rPr>
          <w:rFonts w:cs="Arial"/>
        </w:rPr>
        <w:t>GJ and an average price of $9.20</w:t>
      </w:r>
      <w:r w:rsidR="00282870">
        <w:rPr>
          <w:rFonts w:cs="Arial"/>
        </w:rPr>
        <w:t>/</w:t>
      </w:r>
      <w:r>
        <w:rPr>
          <w:rFonts w:cs="Arial"/>
        </w:rPr>
        <w:t>GJ</w:t>
      </w:r>
      <w:bookmarkEnd w:id="23"/>
      <w:r>
        <w:rPr>
          <w:rFonts w:cs="Arial"/>
        </w:rPr>
        <w:t>.</w:t>
      </w:r>
      <w:r w:rsidR="006139A8">
        <w:rPr>
          <w:rFonts w:cs="Arial"/>
        </w:rPr>
        <w:t xml:space="preserve"> </w:t>
      </w:r>
      <w:r w:rsidR="00205685">
        <w:t>The level of the price cap will be confirmed following a brief, targeted consultation which would enable the Government to gather more information on costs and prices from buyers and sellers.</w:t>
      </w:r>
    </w:p>
    <w:p w14:paraId="42A43907" w14:textId="5B3ADBD0" w:rsidR="00645F3D" w:rsidRDefault="00645F3D" w:rsidP="00645F3D">
      <w:r w:rsidDel="00E1054D">
        <w:t xml:space="preserve">The ACCC would </w:t>
      </w:r>
      <w:r>
        <w:t xml:space="preserve">administer, and enforce compliance with, the price cap. The ACCC would also monitor and report on the impact of the price cap on electricity and gas markets, through its existing price inquiries into electricity and gas markets. </w:t>
      </w:r>
    </w:p>
    <w:p w14:paraId="78DADAFF" w14:textId="1FFAEC2E" w:rsidR="00811C0D" w:rsidRDefault="00811C0D" w:rsidP="00645F3D">
      <w:r>
        <w:t xml:space="preserve">A review would be conducted </w:t>
      </w:r>
      <w:r w:rsidR="00B33544">
        <w:t xml:space="preserve">following implementation, </w:t>
      </w:r>
      <w:r>
        <w:t xml:space="preserve">to ensure the price cap is having the intended effect and to consider whether it is necessary to </w:t>
      </w:r>
      <w:r w:rsidR="00E105EB">
        <w:t>alter</w:t>
      </w:r>
      <w:r>
        <w:t xml:space="preserve"> the cap.</w:t>
      </w:r>
    </w:p>
    <w:p w14:paraId="2FB81A43" w14:textId="77777777" w:rsidR="00300319" w:rsidRDefault="00300319" w:rsidP="00645F3D"/>
    <w:p w14:paraId="3B91A86F" w14:textId="77777777" w:rsidR="009F283B" w:rsidRPr="008656C1" w:rsidRDefault="009F283B" w:rsidP="00AF3356">
      <w:pPr>
        <w:rPr>
          <w:bCs/>
        </w:rPr>
      </w:pPr>
      <w:bookmarkStart w:id="24" w:name="_Hlk120362601"/>
    </w:p>
    <w:bookmarkEnd w:id="24"/>
    <w:p w14:paraId="42E904D9" w14:textId="77777777" w:rsidR="007B4E67" w:rsidRDefault="007B4E67" w:rsidP="0080506D"/>
    <w:p w14:paraId="34C74BF3" w14:textId="4D43A5A3" w:rsidR="00B27B46" w:rsidRDefault="00B27B46" w:rsidP="00B27B46">
      <w:pPr>
        <w:pStyle w:val="HeaderOdd"/>
      </w:pPr>
      <w:r>
        <w:t>Bringing forward commencement of reforms to the ADGSM</w:t>
      </w:r>
      <w:r w:rsidR="00497B39">
        <w:t xml:space="preserve"> (Option A</w:t>
      </w:r>
      <w:r w:rsidR="000D294B">
        <w:t>5</w:t>
      </w:r>
      <w:r w:rsidR="00497B39">
        <w:t>)</w:t>
      </w:r>
    </w:p>
    <w:p w14:paraId="28CB6D16" w14:textId="37363FD9" w:rsidR="00A52979" w:rsidRDefault="00B27B46" w:rsidP="00B27B46">
      <w:r>
        <w:t xml:space="preserve">On 25 October 2022, the </w:t>
      </w:r>
      <w:r w:rsidR="009E3222">
        <w:t xml:space="preserve">Government </w:t>
      </w:r>
      <w:r>
        <w:t xml:space="preserve">announced the ADGSM would be reformed to give the Minister for Resources greater flexibility to protect domestic gas supplies. </w:t>
      </w:r>
      <w:r w:rsidR="00A52979">
        <w:t xml:space="preserve">The reforms </w:t>
      </w:r>
      <w:r w:rsidR="00A46EA4">
        <w:t xml:space="preserve">will </w:t>
      </w:r>
      <w:r w:rsidR="00A52979">
        <w:t>strengthen the ADGSM by:</w:t>
      </w:r>
    </w:p>
    <w:p w14:paraId="05071103" w14:textId="48669CB6" w:rsidR="00A52979" w:rsidRPr="00025905" w:rsidRDefault="00025905" w:rsidP="00C44083">
      <w:pPr>
        <w:pStyle w:val="Bullet"/>
        <w:rPr>
          <w:b/>
        </w:rPr>
      </w:pPr>
      <w:r>
        <w:t>m</w:t>
      </w:r>
      <w:r w:rsidR="00A52979" w:rsidRPr="00025905">
        <w:t>oving from the current ‘calendar year’ model of activation to a quarterly cycle to improve speed and flexibility</w:t>
      </w:r>
    </w:p>
    <w:p w14:paraId="34BD32BE" w14:textId="65194F6D" w:rsidR="00A52979" w:rsidRPr="00025905" w:rsidRDefault="00025905" w:rsidP="00C44083">
      <w:pPr>
        <w:pStyle w:val="Bullet"/>
        <w:rPr>
          <w:b/>
        </w:rPr>
      </w:pPr>
      <w:r>
        <w:t>m</w:t>
      </w:r>
      <w:r w:rsidR="00A52979" w:rsidRPr="00025905">
        <w:t>oving from the current ‘net deficit’ model of allocating volume shortfalls to exporters to:</w:t>
      </w:r>
    </w:p>
    <w:p w14:paraId="18698CC6" w14:textId="133F2A99" w:rsidR="00A52979" w:rsidRDefault="000805D6" w:rsidP="00A52979">
      <w:pPr>
        <w:pStyle w:val="Dash"/>
      </w:pPr>
      <w:r>
        <w:t>splitting the TMSO equally across all exporters in the market in shortfall, and</w:t>
      </w:r>
    </w:p>
    <w:p w14:paraId="7EBE236A" w14:textId="72ED18CD" w:rsidR="00A52979" w:rsidRDefault="00025905" w:rsidP="00A52979">
      <w:pPr>
        <w:pStyle w:val="Dash"/>
      </w:pPr>
      <w:r>
        <w:t>m</w:t>
      </w:r>
      <w:r w:rsidR="00A52979">
        <w:t>aking export permissions tradable between exporters</w:t>
      </w:r>
    </w:p>
    <w:p w14:paraId="219E4FE2" w14:textId="528AB51D" w:rsidR="005577A0" w:rsidRDefault="00025905" w:rsidP="00502A06">
      <w:pPr>
        <w:pStyle w:val="Dash"/>
      </w:pPr>
      <w:r>
        <w:t>n</w:t>
      </w:r>
      <w:r w:rsidR="008A1422">
        <w:t xml:space="preserve">o longer including </w:t>
      </w:r>
      <w:r w:rsidR="005577A0" w:rsidRPr="00502A06">
        <w:t xml:space="preserve">long-term foundational contracts underpinning investments in Australia’s gas industry </w:t>
      </w:r>
      <w:r w:rsidR="008A1422">
        <w:t>as subject to</w:t>
      </w:r>
      <w:r w:rsidR="005577A0" w:rsidRPr="00502A06">
        <w:t xml:space="preserve"> the ADGSM</w:t>
      </w:r>
      <w:r w:rsidR="008A1422">
        <w:t>.</w:t>
      </w:r>
    </w:p>
    <w:p w14:paraId="09748606" w14:textId="373C354F" w:rsidR="00A46EA4" w:rsidRDefault="00A46EA4" w:rsidP="00B27B46">
      <w:r>
        <w:t xml:space="preserve">The </w:t>
      </w:r>
      <w:r w:rsidR="005E1B86">
        <w:t>G</w:t>
      </w:r>
      <w:r>
        <w:t>overnment is consulting with companies subject to the ADGSM regulations and market advisory bodies on ADGSM reform implementation.</w:t>
      </w:r>
      <w:r w:rsidR="001973EB">
        <w:t xml:space="preserve"> Under the current implementation schedule, the reforms will commence 1 July 2023, which will enable </w:t>
      </w:r>
      <w:r w:rsidR="008E5588">
        <w:t>an assessment of whether a gas shortfall is expected for the</w:t>
      </w:r>
      <w:r w:rsidR="00E34AF5">
        <w:t xml:space="preserve"> September</w:t>
      </w:r>
      <w:r w:rsidR="008E5588">
        <w:t xml:space="preserve"> 2023 quarter. </w:t>
      </w:r>
    </w:p>
    <w:p w14:paraId="21A9E5CA" w14:textId="1833A61A" w:rsidR="00A46EA4" w:rsidRDefault="00A46EA4" w:rsidP="00B27B46">
      <w:r>
        <w:t>This option would bring forward the commencement date of these reforms from 1 July 2023 to 1 April 2023</w:t>
      </w:r>
      <w:r w:rsidR="008E5588">
        <w:t xml:space="preserve">, enabling an assessment of whether a gas shortfall is expected for the </w:t>
      </w:r>
      <w:r w:rsidR="00D319EE">
        <w:t>September</w:t>
      </w:r>
      <w:r w:rsidR="008E5588">
        <w:t xml:space="preserve"> 2023 quarter</w:t>
      </w:r>
      <w:r w:rsidR="00F121B8">
        <w:t>, and could remain in effect for up to 12 months,</w:t>
      </w:r>
      <w:r w:rsidR="002A62E6">
        <w:t xml:space="preserve"> to provide greater certainty about domestic gas supply security for the full 2023-24 financial year. </w:t>
      </w:r>
    </w:p>
    <w:p w14:paraId="40BD9483" w14:textId="77777777" w:rsidR="001D718D" w:rsidRDefault="001D718D">
      <w:pPr>
        <w:spacing w:line="276" w:lineRule="auto"/>
        <w:rPr>
          <w:rFonts w:asciiTheme="majorHAnsi" w:hAnsiTheme="majorHAnsi"/>
          <w:b/>
          <w:color w:val="5F5F5F" w:themeColor="text2"/>
          <w:sz w:val="60"/>
          <w:szCs w:val="60"/>
        </w:rPr>
      </w:pPr>
      <w:r>
        <w:br w:type="page"/>
      </w:r>
    </w:p>
    <w:p w14:paraId="19188A32" w14:textId="798A1110" w:rsidR="00FC794D" w:rsidRDefault="00FC794D" w:rsidP="00745D7A">
      <w:pPr>
        <w:pStyle w:val="Heading1"/>
        <w:spacing w:after="0"/>
      </w:pPr>
      <w:bookmarkStart w:id="25" w:name="_Toc121406875"/>
      <w:r>
        <w:lastRenderedPageBreak/>
        <w:t>What is the likely net benefit of each option?</w:t>
      </w:r>
      <w:bookmarkEnd w:id="25"/>
    </w:p>
    <w:p w14:paraId="1503B7FC" w14:textId="7410D0AC" w:rsidR="005E77D9" w:rsidRDefault="005E77D9" w:rsidP="00312DC7">
      <w:pPr>
        <w:pStyle w:val="HeaderOdd"/>
      </w:pPr>
    </w:p>
    <w:p w14:paraId="44224860" w14:textId="74D57767" w:rsidR="005E77D9" w:rsidRDefault="005E77D9" w:rsidP="005E77D9">
      <w:pPr>
        <w:pStyle w:val="HeaderOdd"/>
      </w:pPr>
      <w:r>
        <w:t>Basis of analysis</w:t>
      </w:r>
    </w:p>
    <w:p w14:paraId="44AF16D8" w14:textId="5FE515F6" w:rsidR="00F04C6A" w:rsidRDefault="00235E3D">
      <w:pPr>
        <w:pStyle w:val="BodyText"/>
      </w:pPr>
      <w:r>
        <w:t>Due to the broad nature and complex interactions of the proposed reform options</w:t>
      </w:r>
      <w:r w:rsidR="00D37B23">
        <w:t xml:space="preserve">, </w:t>
      </w:r>
      <w:r>
        <w:t xml:space="preserve">a full quantitative cost benefit analysis has not been completed as a part of this impact assessment. </w:t>
      </w:r>
      <w:r w:rsidR="00E163C8">
        <w:t xml:space="preserve">Our assessment </w:t>
      </w:r>
      <w:r w:rsidR="00D20024">
        <w:t xml:space="preserve">of the broader impacts of these options on aggregate prices </w:t>
      </w:r>
      <w:r w:rsidR="00BF377B">
        <w:t xml:space="preserve">involved </w:t>
      </w:r>
      <w:r w:rsidR="00D20024">
        <w:t>quantitative analysis including</w:t>
      </w:r>
      <w:r w:rsidR="00E163C8">
        <w:t xml:space="preserve"> modelling where possible to measure the impacts of </w:t>
      </w:r>
      <w:r w:rsidR="00F322D3">
        <w:t xml:space="preserve">individual </w:t>
      </w:r>
      <w:r w:rsidR="00E163C8">
        <w:t>proposed options</w:t>
      </w:r>
      <w:r w:rsidR="00621300">
        <w:t>.</w:t>
      </w:r>
      <w:r w:rsidR="00E163C8">
        <w:t xml:space="preserve"> </w:t>
      </w:r>
    </w:p>
    <w:p w14:paraId="3C52A42D" w14:textId="78A7FE32" w:rsidR="005E77D9" w:rsidRPr="005E77D9" w:rsidRDefault="00D20024">
      <w:pPr>
        <w:pStyle w:val="BodyText"/>
      </w:pPr>
      <w:r>
        <w:t>D</w:t>
      </w:r>
      <w:r w:rsidR="00E163C8">
        <w:t xml:space="preserve">ue to constraints around market sensitivity and the potential market impacts of communication prior to a decision being made, many of the impacts on </w:t>
      </w:r>
      <w:r>
        <w:t xml:space="preserve">specific stakeholders including </w:t>
      </w:r>
      <w:r w:rsidR="00E163C8">
        <w:t>indu</w:t>
      </w:r>
      <w:r w:rsidR="00204069">
        <w:t xml:space="preserve">stry have </w:t>
      </w:r>
      <w:r w:rsidR="00F322D3">
        <w:t xml:space="preserve">been </w:t>
      </w:r>
      <w:r w:rsidR="00204069">
        <w:t>examined using qualitative frameworks and assessments</w:t>
      </w:r>
      <w:r w:rsidR="00F322D3">
        <w:t xml:space="preserve">. </w:t>
      </w:r>
    </w:p>
    <w:p w14:paraId="6B129916" w14:textId="666776FE" w:rsidR="00F322D3" w:rsidRPr="005E77D9" w:rsidRDefault="009A5893" w:rsidP="00323DB1">
      <w:pPr>
        <w:pStyle w:val="BodyText"/>
      </w:pPr>
      <w:r>
        <w:t>Each</w:t>
      </w:r>
      <w:r w:rsidR="00F322D3">
        <w:t xml:space="preserve"> option is assessed again</w:t>
      </w:r>
      <w:r w:rsidR="006F2755">
        <w:t>s</w:t>
      </w:r>
      <w:r w:rsidR="00F322D3">
        <w:t>t the objectives and principles of Government action which were highlighted at the start of the document</w:t>
      </w:r>
      <w:r w:rsidR="004E1C0B">
        <w:t xml:space="preserve"> and are considered in the context of impacts to individual stakeholder groups. The key impacts to stakeholder groups, in relation to the objectives and principles, are highlighted under each option. </w:t>
      </w:r>
      <w:r w:rsidR="00F322D3">
        <w:t xml:space="preserve"> </w:t>
      </w:r>
    </w:p>
    <w:p w14:paraId="0E8AF03A" w14:textId="77777777" w:rsidR="005E77D9" w:rsidRDefault="005E77D9" w:rsidP="00312DC7">
      <w:pPr>
        <w:pStyle w:val="HeaderOdd"/>
      </w:pPr>
    </w:p>
    <w:p w14:paraId="2C0D08F2" w14:textId="4FB7E7D3" w:rsidR="00FC794D" w:rsidRDefault="00FC794D" w:rsidP="00312DC7">
      <w:pPr>
        <w:pStyle w:val="HeaderOdd"/>
      </w:pPr>
      <w:r>
        <w:t>Status quo</w:t>
      </w:r>
      <w:r w:rsidR="00854B27">
        <w:t xml:space="preserve"> (Option A0)</w:t>
      </w:r>
    </w:p>
    <w:p w14:paraId="2FDF29B4" w14:textId="75129FD2" w:rsidR="008F2976" w:rsidRDefault="008F2976" w:rsidP="00FC794D">
      <w:r>
        <w:t>Under the status quo, there will be no additional regulatory costs or savings.</w:t>
      </w:r>
    </w:p>
    <w:p w14:paraId="6E9BA686" w14:textId="0933E071" w:rsidR="00FC794D" w:rsidRDefault="00EA31D4" w:rsidP="00FC794D">
      <w:r>
        <w:t>However, t</w:t>
      </w:r>
      <w:r w:rsidR="00FC794D">
        <w:t xml:space="preserve">he status quo is unlikely to be a viable option to meet the Government’s energy price relief objectives. Under a status quo scenario, sustained elevated energy prices will likely continue to impact Australian households and businesses. </w:t>
      </w:r>
      <w:r w:rsidR="005377C1">
        <w:t>Wholesale domestic prices are not expected to fall without intervention w</w:t>
      </w:r>
      <w:r w:rsidR="00FC794D">
        <w:t xml:space="preserve">hile global prices remain elevated. </w:t>
      </w:r>
      <w:r w:rsidR="005377C1">
        <w:t>H</w:t>
      </w:r>
      <w:r w:rsidR="00FC794D">
        <w:t xml:space="preserve">igh energy prices across the economy </w:t>
      </w:r>
      <w:r w:rsidR="005377C1">
        <w:t>would</w:t>
      </w:r>
      <w:r w:rsidR="00FC794D">
        <w:t xml:space="preserve"> flow through to retail price rises for households and businesses. The status quo scenario may also result in an effective shortfall of gas supply due to </w:t>
      </w:r>
      <w:r w:rsidR="00172DFA">
        <w:t>an insufficient amount of gas</w:t>
      </w:r>
      <w:r w:rsidR="00FC794D">
        <w:t xml:space="preserve"> being offered </w:t>
      </w:r>
      <w:r w:rsidR="00FC794D" w:rsidDel="000272D2">
        <w:t xml:space="preserve">at </w:t>
      </w:r>
      <w:r w:rsidR="000272D2">
        <w:t xml:space="preserve">affordable prices </w:t>
      </w:r>
      <w:r w:rsidR="00FC794D">
        <w:t xml:space="preserve">to domestic consumers. </w:t>
      </w:r>
    </w:p>
    <w:p w14:paraId="64504788" w14:textId="6224D576" w:rsidR="00FC794D" w:rsidRDefault="00FC794D" w:rsidP="00FC794D">
      <w:r>
        <w:t xml:space="preserve">The </w:t>
      </w:r>
      <w:r w:rsidR="00BD2303">
        <w:t>existing</w:t>
      </w:r>
      <w:r>
        <w:t xml:space="preserve"> voluntary industry </w:t>
      </w:r>
      <w:r w:rsidR="00A70772">
        <w:t>C</w:t>
      </w:r>
      <w:r>
        <w:t xml:space="preserve">ode of </w:t>
      </w:r>
      <w:r w:rsidR="00A70772">
        <w:t>C</w:t>
      </w:r>
      <w:r>
        <w:t>onduct is expected to have limited impact, with only a f</w:t>
      </w:r>
      <w:r w:rsidRPr="00FE0857">
        <w:t xml:space="preserve">ew gas producers </w:t>
      </w:r>
      <w:r>
        <w:t>being</w:t>
      </w:r>
      <w:r w:rsidRPr="00FE0857">
        <w:t xml:space="preserve"> signatories to the voluntary code</w:t>
      </w:r>
      <w:r>
        <w:t>. T</w:t>
      </w:r>
      <w:r w:rsidRPr="00FE0857">
        <w:t xml:space="preserve">he ACCC has raised concerns that the </w:t>
      </w:r>
      <w:r>
        <w:t>current</w:t>
      </w:r>
      <w:r w:rsidRPr="00FE0857">
        <w:t xml:space="preserve"> code is broad, not capable of enforcement, lacks meaningful obligations on suppliers, contains ambiguous pricing provisions and does not provide for an appropriate dispute resolution process or penalties.</w:t>
      </w:r>
    </w:p>
    <w:p w14:paraId="2915C757" w14:textId="022E9175" w:rsidR="00273DB1" w:rsidRPr="00745D7A" w:rsidRDefault="00806426" w:rsidP="00FC794D">
      <w:pPr>
        <w:rPr>
          <w:b/>
          <w:bCs/>
        </w:rPr>
      </w:pPr>
      <w:r w:rsidRPr="00806426">
        <w:rPr>
          <w:b/>
          <w:bCs/>
        </w:rPr>
        <w:t xml:space="preserve">Table </w:t>
      </w:r>
      <w:r>
        <w:rPr>
          <w:b/>
          <w:bCs/>
        </w:rPr>
        <w:t>2</w:t>
      </w:r>
      <w:r w:rsidRPr="00806426">
        <w:rPr>
          <w:b/>
          <w:bCs/>
        </w:rPr>
        <w:t xml:space="preserve">: </w:t>
      </w:r>
      <w:r w:rsidR="00273DB1">
        <w:rPr>
          <w:b/>
          <w:bCs/>
        </w:rPr>
        <w:t>Stakeholder Impacts</w:t>
      </w:r>
      <w:r w:rsidR="00C644DD">
        <w:rPr>
          <w:b/>
          <w:bCs/>
        </w:rPr>
        <w:t xml:space="preserve"> of Option A0</w:t>
      </w:r>
    </w:p>
    <w:tbl>
      <w:tblPr>
        <w:tblStyle w:val="PMCDefaultTableStyle"/>
        <w:tblW w:w="0" w:type="auto"/>
        <w:tblLook w:val="04A0" w:firstRow="1" w:lastRow="0" w:firstColumn="1" w:lastColumn="0" w:noHBand="0" w:noVBand="1"/>
      </w:tblPr>
      <w:tblGrid>
        <w:gridCol w:w="2972"/>
        <w:gridCol w:w="6088"/>
      </w:tblGrid>
      <w:tr w:rsidR="009D08B2" w:rsidRPr="002E2609" w14:paraId="74384D53" w14:textId="77777777" w:rsidTr="000B2407">
        <w:trPr>
          <w:cnfStyle w:val="100000000000" w:firstRow="1" w:lastRow="0" w:firstColumn="0" w:lastColumn="0" w:oddVBand="0" w:evenVBand="0" w:oddHBand="0" w:evenHBand="0" w:firstRowFirstColumn="0" w:firstRowLastColumn="0" w:lastRowFirstColumn="0" w:lastRowLastColumn="0"/>
        </w:trPr>
        <w:tc>
          <w:tcPr>
            <w:tcW w:w="2972" w:type="dxa"/>
          </w:tcPr>
          <w:p w14:paraId="2A1F8693" w14:textId="77777777" w:rsidR="009D08B2" w:rsidRPr="002E2609" w:rsidRDefault="009D08B2" w:rsidP="0004133B">
            <w:pPr>
              <w:rPr>
                <w:b w:val="0"/>
              </w:rPr>
            </w:pPr>
            <w:r>
              <w:t>Stakeholder group</w:t>
            </w:r>
          </w:p>
        </w:tc>
        <w:tc>
          <w:tcPr>
            <w:tcW w:w="6088" w:type="dxa"/>
          </w:tcPr>
          <w:p w14:paraId="167A7DC9" w14:textId="77777777" w:rsidR="009D08B2" w:rsidRPr="002E2609" w:rsidRDefault="009D08B2" w:rsidP="0004133B">
            <w:pPr>
              <w:rPr>
                <w:b w:val="0"/>
              </w:rPr>
            </w:pPr>
            <w:r>
              <w:t>Impact</w:t>
            </w:r>
          </w:p>
        </w:tc>
      </w:tr>
      <w:tr w:rsidR="009D08B2" w:rsidRPr="002E2609" w14:paraId="18612D57"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2EFB6A08" w14:textId="77777777" w:rsidR="009D08B2" w:rsidRDefault="009D08B2" w:rsidP="0004133B">
            <w:r>
              <w:t xml:space="preserve">Domestic gas producers </w:t>
            </w:r>
          </w:p>
        </w:tc>
        <w:tc>
          <w:tcPr>
            <w:tcW w:w="6088" w:type="dxa"/>
          </w:tcPr>
          <w:p w14:paraId="7E1F7890" w14:textId="4017A29F" w:rsidR="009D08B2" w:rsidRPr="002E2609" w:rsidRDefault="00EE136A" w:rsidP="0004133B">
            <w:pPr>
              <w:rPr>
                <w:color w:val="auto"/>
              </w:rPr>
            </w:pPr>
            <w:r>
              <w:rPr>
                <w:color w:val="auto"/>
              </w:rPr>
              <w:t xml:space="preserve">Nil. </w:t>
            </w:r>
          </w:p>
        </w:tc>
      </w:tr>
      <w:tr w:rsidR="00EE136A" w:rsidRPr="002E2609" w14:paraId="1C7A8031"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6315345A" w14:textId="77777777" w:rsidR="00EE136A" w:rsidRDefault="00EE136A" w:rsidP="00EE136A">
            <w:r>
              <w:t>LNG exporters</w:t>
            </w:r>
          </w:p>
        </w:tc>
        <w:tc>
          <w:tcPr>
            <w:tcW w:w="6088" w:type="dxa"/>
          </w:tcPr>
          <w:p w14:paraId="3F86410E" w14:textId="0AE5A0C9" w:rsidR="00EE136A" w:rsidRPr="002E2609" w:rsidRDefault="00EE136A" w:rsidP="00EE136A">
            <w:pPr>
              <w:rPr>
                <w:lang w:val="en-GB"/>
              </w:rPr>
            </w:pPr>
            <w:r>
              <w:rPr>
                <w:color w:val="auto"/>
              </w:rPr>
              <w:t xml:space="preserve">Nil. </w:t>
            </w:r>
          </w:p>
        </w:tc>
      </w:tr>
      <w:tr w:rsidR="009606D4" w14:paraId="38B96B71"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15779104" w14:textId="15ED792E" w:rsidR="009606D4" w:rsidRDefault="009606D4" w:rsidP="00EE136A">
            <w:r>
              <w:t>Generators</w:t>
            </w:r>
          </w:p>
        </w:tc>
        <w:tc>
          <w:tcPr>
            <w:tcW w:w="6088" w:type="dxa"/>
          </w:tcPr>
          <w:p w14:paraId="2702FD3A" w14:textId="51708B23" w:rsidR="009606D4" w:rsidRDefault="009606D4" w:rsidP="00EE136A">
            <w:r>
              <w:t>Nil. Generators will continue to purchase fuel at higher prices and include this cost in their price bid.</w:t>
            </w:r>
          </w:p>
        </w:tc>
      </w:tr>
      <w:tr w:rsidR="00EE136A" w14:paraId="2CC068A6"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2294A3EE" w14:textId="77777777" w:rsidR="00EE136A" w:rsidRDefault="00EE136A" w:rsidP="00EE136A">
            <w:r>
              <w:lastRenderedPageBreak/>
              <w:t>Retail energy companies</w:t>
            </w:r>
          </w:p>
        </w:tc>
        <w:tc>
          <w:tcPr>
            <w:tcW w:w="6088" w:type="dxa"/>
          </w:tcPr>
          <w:p w14:paraId="3B61A9EB" w14:textId="6DE63204" w:rsidR="00EE136A" w:rsidRDefault="00EE136A" w:rsidP="00EE136A">
            <w:r>
              <w:rPr>
                <w:color w:val="auto"/>
              </w:rPr>
              <w:t>Nil. Retail suppliers will continue to pay higher prices for fuel input</w:t>
            </w:r>
            <w:r w:rsidR="009606D4">
              <w:rPr>
                <w:color w:val="auto"/>
              </w:rPr>
              <w:t xml:space="preserve"> and pass this on to consumers</w:t>
            </w:r>
            <w:r w:rsidR="00273DB1">
              <w:rPr>
                <w:color w:val="auto"/>
              </w:rPr>
              <w:t>.</w:t>
            </w:r>
          </w:p>
        </w:tc>
      </w:tr>
      <w:tr w:rsidR="00EE136A" w14:paraId="33D705F5"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6C7B7EB2" w14:textId="77777777" w:rsidR="00EE136A" w:rsidRDefault="00EE136A" w:rsidP="00EE136A">
            <w:r>
              <w:t>Domestic energy consumers (households, small business and industrial users)</w:t>
            </w:r>
          </w:p>
        </w:tc>
        <w:tc>
          <w:tcPr>
            <w:tcW w:w="6088" w:type="dxa"/>
          </w:tcPr>
          <w:p w14:paraId="58B85D10" w14:textId="28607D64" w:rsidR="00EE136A" w:rsidRDefault="009606D4" w:rsidP="00EE136A">
            <w:r>
              <w:t>Nil. Retail customers and industrial users will continue to purchase electricity at higher prices</w:t>
            </w:r>
            <w:r w:rsidR="00273DB1">
              <w:t>.</w:t>
            </w:r>
          </w:p>
        </w:tc>
      </w:tr>
      <w:tr w:rsidR="00EE136A" w14:paraId="570C9790"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5B0C44FF" w14:textId="77777777" w:rsidR="00EE136A" w:rsidRDefault="00EE136A" w:rsidP="00EE136A">
            <w:r>
              <w:t>International trading partners and investors</w:t>
            </w:r>
          </w:p>
        </w:tc>
        <w:tc>
          <w:tcPr>
            <w:tcW w:w="6088" w:type="dxa"/>
          </w:tcPr>
          <w:p w14:paraId="00BFBEEF" w14:textId="32F1BCE8" w:rsidR="00EE136A" w:rsidRDefault="00273DB1" w:rsidP="00EE136A">
            <w:r>
              <w:t>Nil.</w:t>
            </w:r>
          </w:p>
        </w:tc>
      </w:tr>
    </w:tbl>
    <w:p w14:paraId="7445049A" w14:textId="77777777" w:rsidR="009D08B2" w:rsidRDefault="009D08B2" w:rsidP="00312DC7">
      <w:pPr>
        <w:pStyle w:val="HeaderOdd"/>
      </w:pPr>
    </w:p>
    <w:p w14:paraId="22325B9E" w14:textId="77777777" w:rsidR="00535CA5" w:rsidRDefault="00535CA5" w:rsidP="00312DC7">
      <w:pPr>
        <w:pStyle w:val="HeaderOdd"/>
      </w:pPr>
    </w:p>
    <w:p w14:paraId="2AE9F998" w14:textId="26560275" w:rsidR="00FC794D" w:rsidRDefault="00FC794D" w:rsidP="00312DC7">
      <w:pPr>
        <w:pStyle w:val="HeaderOdd"/>
      </w:pPr>
      <w:r>
        <w:t xml:space="preserve">Option </w:t>
      </w:r>
      <w:r w:rsidR="007F441D">
        <w:rPr>
          <w:bCs/>
        </w:rPr>
        <w:t xml:space="preserve">A1: </w:t>
      </w:r>
      <w:r w:rsidR="007F441D">
        <w:t xml:space="preserve">Legislate a new framework for the making of </w:t>
      </w:r>
      <w:r w:rsidR="00A42F7C">
        <w:t>gas</w:t>
      </w:r>
      <w:r w:rsidR="007F441D">
        <w:t xml:space="preserve"> market codes within the </w:t>
      </w:r>
      <w:r w:rsidR="007F441D" w:rsidRPr="008C58CF">
        <w:t>CCA</w:t>
      </w:r>
      <w:r w:rsidR="007F441D">
        <w:t xml:space="preserve">, and prescribe a mandatory Code </w:t>
      </w:r>
      <w:r w:rsidR="007F441D" w:rsidRPr="00E63C9A">
        <w:t xml:space="preserve">of </w:t>
      </w:r>
      <w:r w:rsidR="007F441D">
        <w:t>C</w:t>
      </w:r>
      <w:r w:rsidR="007F441D" w:rsidRPr="00E63C9A">
        <w:t xml:space="preserve">onduct </w:t>
      </w:r>
      <w:r w:rsidR="007F441D">
        <w:t xml:space="preserve">for wholesale gas markets </w:t>
      </w:r>
    </w:p>
    <w:p w14:paraId="41F94241" w14:textId="77777777" w:rsidR="00110818" w:rsidRDefault="00110818" w:rsidP="00FC794D">
      <w:pPr>
        <w:rPr>
          <w:b/>
        </w:rPr>
      </w:pPr>
    </w:p>
    <w:p w14:paraId="3DF946AD" w14:textId="2816D255" w:rsidR="002F4965" w:rsidRPr="00312DC7" w:rsidRDefault="00AE0BE6" w:rsidP="00FC794D">
      <w:pPr>
        <w:rPr>
          <w:b/>
        </w:rPr>
      </w:pPr>
      <w:r w:rsidRPr="00312DC7">
        <w:rPr>
          <w:b/>
        </w:rPr>
        <w:t>Improving the operation of the</w:t>
      </w:r>
      <w:r w:rsidR="002F4965" w:rsidRPr="00312DC7">
        <w:rPr>
          <w:b/>
        </w:rPr>
        <w:t xml:space="preserve"> voluntary Code of Conduct</w:t>
      </w:r>
    </w:p>
    <w:p w14:paraId="271BAB54" w14:textId="4CA90843" w:rsidR="00BB756C" w:rsidRDefault="00FC794D" w:rsidP="00FC794D">
      <w:r>
        <w:t xml:space="preserve">Under this option, </w:t>
      </w:r>
      <w:r w:rsidDel="001F1C80">
        <w:t>a</w:t>
      </w:r>
      <w:r w:rsidRPr="001123B2" w:rsidDel="001F1C80">
        <w:t xml:space="preserve"> </w:t>
      </w:r>
      <w:r w:rsidR="00B80F28">
        <w:t>m</w:t>
      </w:r>
      <w:r w:rsidRPr="001123B2" w:rsidDel="001F1C80">
        <w:t xml:space="preserve">andatory </w:t>
      </w:r>
      <w:r w:rsidR="00A70772">
        <w:t>C</w:t>
      </w:r>
      <w:r w:rsidRPr="001123B2" w:rsidDel="001F1C80">
        <w:t xml:space="preserve">ode </w:t>
      </w:r>
      <w:r w:rsidR="001F1C80">
        <w:t xml:space="preserve">of </w:t>
      </w:r>
      <w:r w:rsidR="00A70772">
        <w:t>C</w:t>
      </w:r>
      <w:r w:rsidR="001F1C80">
        <w:t>onduct</w:t>
      </w:r>
      <w:r w:rsidR="009279CC">
        <w:t xml:space="preserve"> </w:t>
      </w:r>
      <w:r w:rsidR="00110818">
        <w:t>for wholesale gas markets can be prescribed</w:t>
      </w:r>
      <w:r w:rsidR="00110818" w:rsidDel="00110818">
        <w:rPr>
          <w:bCs/>
        </w:rPr>
        <w:t xml:space="preserve"> </w:t>
      </w:r>
      <w:r w:rsidR="009E14BE">
        <w:rPr>
          <w:bCs/>
        </w:rPr>
        <w:t>under a new ‘</w:t>
      </w:r>
      <w:r w:rsidR="00572640">
        <w:rPr>
          <w:bCs/>
        </w:rPr>
        <w:t>gas</w:t>
      </w:r>
      <w:r w:rsidR="009E14BE">
        <w:rPr>
          <w:bCs/>
        </w:rPr>
        <w:t xml:space="preserve"> market codes’ framework to be added to the CCA. This option </w:t>
      </w:r>
      <w:r w:rsidR="00110818">
        <w:t>c</w:t>
      </w:r>
      <w:r w:rsidR="009279CC">
        <w:t>ould</w:t>
      </w:r>
      <w:r w:rsidRPr="001123B2">
        <w:t xml:space="preserve"> </w:t>
      </w:r>
      <w:r w:rsidR="00BB756C">
        <w:t>address</w:t>
      </w:r>
      <w:r w:rsidR="00591BEB">
        <w:t xml:space="preserve"> current</w:t>
      </w:r>
      <w:r w:rsidR="00BB756C">
        <w:t xml:space="preserve"> </w:t>
      </w:r>
      <w:r w:rsidR="00107C0B">
        <w:t>limitations</w:t>
      </w:r>
      <w:r w:rsidR="00591BEB">
        <w:t xml:space="preserve"> in the </w:t>
      </w:r>
      <w:r w:rsidR="00BB756C">
        <w:t>voluntary code</w:t>
      </w:r>
      <w:r w:rsidR="002622AC">
        <w:t>, as previously identified by the ACCC</w:t>
      </w:r>
      <w:r w:rsidR="00BB756C">
        <w:t xml:space="preserve">. The mandatory </w:t>
      </w:r>
      <w:r w:rsidR="007C34F9">
        <w:t>C</w:t>
      </w:r>
      <w:r w:rsidR="00BB756C">
        <w:t>ode</w:t>
      </w:r>
      <w:r w:rsidR="007C34F9">
        <w:t xml:space="preserve"> of Conduct</w:t>
      </w:r>
      <w:r w:rsidR="00BB756C">
        <w:t xml:space="preserve"> would </w:t>
      </w:r>
      <w:r w:rsidRPr="001123B2">
        <w:t>create well-defined</w:t>
      </w:r>
      <w:r w:rsidR="0028493E">
        <w:t xml:space="preserve"> and</w:t>
      </w:r>
      <w:r w:rsidRPr="001123B2">
        <w:t xml:space="preserve"> enforceable obligations</w:t>
      </w:r>
      <w:r w:rsidR="0028493E">
        <w:t xml:space="preserve"> that would</w:t>
      </w:r>
      <w:r w:rsidRPr="001123B2">
        <w:t xml:space="preserve"> </w:t>
      </w:r>
      <w:r w:rsidR="009279CC">
        <w:t>appl</w:t>
      </w:r>
      <w:r w:rsidR="0028493E">
        <w:t>y</w:t>
      </w:r>
      <w:r w:rsidR="009279CC">
        <w:t xml:space="preserve"> </w:t>
      </w:r>
      <w:r w:rsidRPr="001123B2">
        <w:t xml:space="preserve">to gas producers </w:t>
      </w:r>
      <w:r w:rsidR="001F1C80">
        <w:t>and customers</w:t>
      </w:r>
      <w:r w:rsidR="0024498C">
        <w:t>.</w:t>
      </w:r>
      <w:r w:rsidR="00BB756C">
        <w:t xml:space="preserve"> </w:t>
      </w:r>
    </w:p>
    <w:p w14:paraId="6BD17E12" w14:textId="0D7D1EC0" w:rsidR="00602CC5" w:rsidRDefault="00591BEB" w:rsidP="00FC794D">
      <w:r>
        <w:t>In particular, t</w:t>
      </w:r>
      <w:r w:rsidR="00FC794D" w:rsidRPr="009D79D1">
        <w:t xml:space="preserve">he </w:t>
      </w:r>
      <w:r w:rsidR="00C62335">
        <w:t>mandatory</w:t>
      </w:r>
      <w:r w:rsidR="00FC794D" w:rsidRPr="009D79D1">
        <w:t xml:space="preserve"> </w:t>
      </w:r>
      <w:r w:rsidR="00C62335">
        <w:t>Code of Conduct</w:t>
      </w:r>
      <w:r w:rsidR="00FC794D" w:rsidRPr="009D79D1">
        <w:t xml:space="preserve"> would</w:t>
      </w:r>
      <w:r w:rsidR="00BB756C" w:rsidDel="0028493E">
        <w:t xml:space="preserve"> </w:t>
      </w:r>
      <w:r w:rsidR="00FC794D" w:rsidRPr="009D79D1">
        <w:t xml:space="preserve">enhance the effectiveness and operation of the </w:t>
      </w:r>
      <w:r w:rsidR="00BD2303">
        <w:t>existing</w:t>
      </w:r>
      <w:r w:rsidR="00BD2303" w:rsidRPr="009D79D1">
        <w:t xml:space="preserve"> </w:t>
      </w:r>
      <w:r w:rsidR="00FC794D" w:rsidRPr="009D79D1">
        <w:t xml:space="preserve">voluntary </w:t>
      </w:r>
      <w:r w:rsidR="00C62335">
        <w:t>Code of Conduct</w:t>
      </w:r>
      <w:r w:rsidR="00FC794D" w:rsidRPr="009D79D1">
        <w:t xml:space="preserve">, including strengthening requirements related to transparency, reporting, timeframes for negotiating and dispute resolution. </w:t>
      </w:r>
      <w:r w:rsidR="00AF4233">
        <w:t>In addition, t</w:t>
      </w:r>
      <w:r w:rsidR="00602CC5">
        <w:t xml:space="preserve">he </w:t>
      </w:r>
      <w:r w:rsidR="00BB71AA">
        <w:t>enforcement role of the ACCC and the availability of civil</w:t>
      </w:r>
      <w:r w:rsidR="00602CC5">
        <w:t xml:space="preserve"> penalties is likely to provide the necessary incentive for gas producers and customers to comply with its terms</w:t>
      </w:r>
      <w:r w:rsidR="00B86A0B">
        <w:t>, thereby supporting a more effective and efficient negotiating environment</w:t>
      </w:r>
      <w:r w:rsidR="001A2685">
        <w:t xml:space="preserve"> for all market participants. </w:t>
      </w:r>
    </w:p>
    <w:p w14:paraId="1D4D6814" w14:textId="675D3D5A" w:rsidR="00613F56" w:rsidRDefault="00613F56" w:rsidP="00FC794D">
      <w:r>
        <w:t xml:space="preserve">The </w:t>
      </w:r>
      <w:r w:rsidR="00B23502">
        <w:t>m</w:t>
      </w:r>
      <w:r>
        <w:t xml:space="preserve">andatory </w:t>
      </w:r>
      <w:r w:rsidR="00E42399">
        <w:t>C</w:t>
      </w:r>
      <w:r>
        <w:t xml:space="preserve">ode of </w:t>
      </w:r>
      <w:r w:rsidR="00E42399">
        <w:t>C</w:t>
      </w:r>
      <w:r>
        <w:t xml:space="preserve">onduct would support increased transparency in the wholesale gas market, which would be beneficial for </w:t>
      </w:r>
      <w:r w:rsidR="00BB71AA">
        <w:t xml:space="preserve">large gas users (such as commercial and industry customers and energy retailers) </w:t>
      </w:r>
      <w:r>
        <w:t>when negotiating supply contracts</w:t>
      </w:r>
      <w:r w:rsidR="00BB71AA">
        <w:t xml:space="preserve">. </w:t>
      </w:r>
    </w:p>
    <w:p w14:paraId="7F07A4D8" w14:textId="7C4392F9" w:rsidR="005C52BF" w:rsidRDefault="005C52BF" w:rsidP="00FC794D">
      <w:r>
        <w:t xml:space="preserve">The </w:t>
      </w:r>
      <w:r w:rsidR="00C62335">
        <w:t>mandatory Code of Conduct</w:t>
      </w:r>
      <w:r>
        <w:t xml:space="preserve"> would a</w:t>
      </w:r>
      <w:r w:rsidR="00D43AE1">
        <w:t xml:space="preserve">lso set out a longer-term framework to ensure reasonable cost-based pricing, which could be put in place alongside a price cap (see Option A4) and </w:t>
      </w:r>
      <w:r w:rsidR="009532D0">
        <w:t xml:space="preserve">apply to both </w:t>
      </w:r>
      <w:r w:rsidR="0084382A">
        <w:t>developed and undeveloped</w:t>
      </w:r>
      <w:r w:rsidR="009532D0">
        <w:t xml:space="preserve"> fields upon expiry of</w:t>
      </w:r>
      <w:r w:rsidR="00D43AE1">
        <w:t xml:space="preserve"> the price cap</w:t>
      </w:r>
      <w:r w:rsidR="009532D0">
        <w:t>.</w:t>
      </w:r>
      <w:r w:rsidR="009532D0" w:rsidDel="001E2784">
        <w:t xml:space="preserve"> </w:t>
      </w:r>
    </w:p>
    <w:p w14:paraId="6D18FC0E" w14:textId="6E87D34B" w:rsidR="00FC794D" w:rsidRDefault="00163E43" w:rsidP="00FC794D">
      <w:r>
        <w:t>The</w:t>
      </w:r>
      <w:r w:rsidR="00FC794D">
        <w:t xml:space="preserve"> benefits of the code </w:t>
      </w:r>
      <w:r>
        <w:t>are expected</w:t>
      </w:r>
      <w:r w:rsidR="00FC794D" w:rsidDel="00163E43">
        <w:t xml:space="preserve"> </w:t>
      </w:r>
      <w:r>
        <w:t>to</w:t>
      </w:r>
      <w:r w:rsidR="00FC794D">
        <w:t xml:space="preserve"> flow through to downstream market participants in the supply chain</w:t>
      </w:r>
      <w:r w:rsidR="00BB71AA">
        <w:t xml:space="preserve"> and ultimately to households</w:t>
      </w:r>
      <w:r w:rsidR="00FC794D">
        <w:t>.</w:t>
      </w:r>
    </w:p>
    <w:p w14:paraId="00496949" w14:textId="476A63A7" w:rsidR="00ED558E" w:rsidRDefault="00ED558E" w:rsidP="00FC794D">
      <w:r>
        <w:t>This option would require new legislation to be passed through parliament.</w:t>
      </w:r>
    </w:p>
    <w:p w14:paraId="5E7E9E77" w14:textId="77D6C117" w:rsidR="002F4965" w:rsidRPr="00312DC7" w:rsidRDefault="002F4965" w:rsidP="00FC794D">
      <w:pPr>
        <w:rPr>
          <w:b/>
        </w:rPr>
      </w:pPr>
      <w:r w:rsidRPr="00312DC7">
        <w:rPr>
          <w:b/>
        </w:rPr>
        <w:t xml:space="preserve">Increased regulatory burden </w:t>
      </w:r>
    </w:p>
    <w:p w14:paraId="728A9BFF" w14:textId="7FA33FBB" w:rsidR="00FC794D" w:rsidRDefault="00FC794D" w:rsidP="00FC794D">
      <w:r>
        <w:t xml:space="preserve">Gas producers may face a </w:t>
      </w:r>
      <w:r w:rsidR="001C0906">
        <w:t xml:space="preserve">temporary </w:t>
      </w:r>
      <w:r>
        <w:t xml:space="preserve">increased regulatory burden under the mandatory </w:t>
      </w:r>
      <w:r w:rsidR="007C34F9">
        <w:t>C</w:t>
      </w:r>
      <w:r>
        <w:t>ode</w:t>
      </w:r>
      <w:r w:rsidR="007C34F9">
        <w:t xml:space="preserve"> of Conduct</w:t>
      </w:r>
      <w:r w:rsidR="00574A2D">
        <w:t>;</w:t>
      </w:r>
      <w:r>
        <w:t xml:space="preserve"> however</w:t>
      </w:r>
      <w:r w:rsidR="0036327A">
        <w:t>,</w:t>
      </w:r>
      <w:r>
        <w:t xml:space="preserve"> this burden may</w:t>
      </w:r>
      <w:r w:rsidR="00492D17">
        <w:t xml:space="preserve"> </w:t>
      </w:r>
      <w:r>
        <w:t>be limited to the extent producers are already signator</w:t>
      </w:r>
      <w:r w:rsidR="00BB756C">
        <w:t>ies</w:t>
      </w:r>
      <w:r>
        <w:t xml:space="preserve"> to </w:t>
      </w:r>
      <w:r w:rsidR="00F40D36">
        <w:t xml:space="preserve">(or otherwise </w:t>
      </w:r>
      <w:r w:rsidR="00676D41">
        <w:t>compliant with</w:t>
      </w:r>
      <w:r w:rsidR="00F40D36">
        <w:t>)</w:t>
      </w:r>
      <w:r w:rsidR="00BB756C">
        <w:t xml:space="preserve"> </w:t>
      </w:r>
      <w:r>
        <w:t xml:space="preserve">the obligations in the voluntary </w:t>
      </w:r>
      <w:r w:rsidR="00C62335">
        <w:t>Code of Conduct</w:t>
      </w:r>
      <w:r>
        <w:t xml:space="preserve">. </w:t>
      </w:r>
    </w:p>
    <w:p w14:paraId="5116018B" w14:textId="10345601" w:rsidR="00A87335" w:rsidRDefault="00A87335" w:rsidP="00FC794D">
      <w:r>
        <w:lastRenderedPageBreak/>
        <w:t xml:space="preserve">Industry would face higher regulatory burden under this option as it introduces greater enforcement action and </w:t>
      </w:r>
      <w:r w:rsidR="00ED558E">
        <w:t xml:space="preserve">binding </w:t>
      </w:r>
      <w:r>
        <w:t>arbitration processes.</w:t>
      </w:r>
    </w:p>
    <w:p w14:paraId="150528AA" w14:textId="1C0487B0" w:rsidR="00273DB1" w:rsidRPr="00745D7A" w:rsidRDefault="00C644DD" w:rsidP="00AF4790">
      <w:pPr>
        <w:keepNext/>
        <w:keepLines/>
        <w:rPr>
          <w:b/>
          <w:bCs/>
        </w:rPr>
      </w:pPr>
      <w:r w:rsidRPr="00C644DD">
        <w:rPr>
          <w:b/>
          <w:bCs/>
        </w:rPr>
        <w:t xml:space="preserve">Table </w:t>
      </w:r>
      <w:r>
        <w:rPr>
          <w:b/>
          <w:bCs/>
        </w:rPr>
        <w:t>3</w:t>
      </w:r>
      <w:r w:rsidRPr="00C644DD">
        <w:rPr>
          <w:b/>
          <w:bCs/>
        </w:rPr>
        <w:t xml:space="preserve">: </w:t>
      </w:r>
      <w:r w:rsidR="00273DB1">
        <w:rPr>
          <w:b/>
          <w:bCs/>
        </w:rPr>
        <w:t>Stakeholder Impacts</w:t>
      </w:r>
      <w:r w:rsidRPr="00C644DD">
        <w:rPr>
          <w:b/>
          <w:bCs/>
        </w:rPr>
        <w:t xml:space="preserve"> of </w:t>
      </w:r>
      <w:r>
        <w:rPr>
          <w:b/>
          <w:bCs/>
        </w:rPr>
        <w:t>Option A1</w:t>
      </w:r>
    </w:p>
    <w:tbl>
      <w:tblPr>
        <w:tblStyle w:val="PMCDefaultTableStyle"/>
        <w:tblW w:w="0" w:type="auto"/>
        <w:tblLook w:val="04A0" w:firstRow="1" w:lastRow="0" w:firstColumn="1" w:lastColumn="0" w:noHBand="0" w:noVBand="1"/>
      </w:tblPr>
      <w:tblGrid>
        <w:gridCol w:w="2972"/>
        <w:gridCol w:w="6088"/>
      </w:tblGrid>
      <w:tr w:rsidR="009D08B2" w:rsidRPr="002E2609" w14:paraId="493BE23C" w14:textId="77777777" w:rsidTr="000B2407">
        <w:trPr>
          <w:cnfStyle w:val="100000000000" w:firstRow="1" w:lastRow="0" w:firstColumn="0" w:lastColumn="0" w:oddVBand="0" w:evenVBand="0" w:oddHBand="0" w:evenHBand="0" w:firstRowFirstColumn="0" w:firstRowLastColumn="0" w:lastRowFirstColumn="0" w:lastRowLastColumn="0"/>
        </w:trPr>
        <w:tc>
          <w:tcPr>
            <w:tcW w:w="2972" w:type="dxa"/>
          </w:tcPr>
          <w:p w14:paraId="73EECA81" w14:textId="77777777" w:rsidR="009D08B2" w:rsidRPr="002E2609" w:rsidRDefault="009D08B2" w:rsidP="00AF4790">
            <w:pPr>
              <w:keepNext/>
              <w:keepLines/>
              <w:rPr>
                <w:b w:val="0"/>
              </w:rPr>
            </w:pPr>
            <w:r>
              <w:t>Stakeholder group</w:t>
            </w:r>
          </w:p>
        </w:tc>
        <w:tc>
          <w:tcPr>
            <w:tcW w:w="6088" w:type="dxa"/>
          </w:tcPr>
          <w:p w14:paraId="2ADBB1AC" w14:textId="77777777" w:rsidR="009D08B2" w:rsidRPr="002E2609" w:rsidRDefault="009D08B2" w:rsidP="00AF4790">
            <w:pPr>
              <w:keepNext/>
              <w:keepLines/>
              <w:rPr>
                <w:b w:val="0"/>
              </w:rPr>
            </w:pPr>
            <w:r>
              <w:t>Impact</w:t>
            </w:r>
          </w:p>
        </w:tc>
      </w:tr>
      <w:tr w:rsidR="009D08B2" w:rsidRPr="002E2609" w14:paraId="2D0C5837"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1962EDF8" w14:textId="0A4E328F" w:rsidR="009D08B2" w:rsidRDefault="009D08B2" w:rsidP="00AF4790">
            <w:pPr>
              <w:keepLines/>
            </w:pPr>
            <w:r>
              <w:t xml:space="preserve">Domestic gas producers </w:t>
            </w:r>
          </w:p>
        </w:tc>
        <w:tc>
          <w:tcPr>
            <w:tcW w:w="6088" w:type="dxa"/>
          </w:tcPr>
          <w:p w14:paraId="034FF23A" w14:textId="34B455C6" w:rsidR="009D08B2" w:rsidRPr="002E2609" w:rsidRDefault="000805D6" w:rsidP="00AF4790">
            <w:pPr>
              <w:keepLines/>
              <w:rPr>
                <w:color w:val="auto"/>
              </w:rPr>
            </w:pPr>
            <w:r>
              <w:t xml:space="preserve">The mandatory </w:t>
            </w:r>
            <w:r w:rsidR="0090202A">
              <w:t>C</w:t>
            </w:r>
            <w:r>
              <w:t>ode</w:t>
            </w:r>
            <w:r w:rsidR="0090202A">
              <w:t xml:space="preserve"> of Conduct</w:t>
            </w:r>
            <w:r>
              <w:t xml:space="preserve"> would </w:t>
            </w:r>
            <w:r w:rsidRPr="001C0906">
              <w:rPr>
                <w:b/>
              </w:rPr>
              <w:t>support increased transparency</w:t>
            </w:r>
            <w:r>
              <w:rPr>
                <w:b/>
              </w:rPr>
              <w:t xml:space="preserve"> </w:t>
            </w:r>
            <w:r>
              <w:rPr>
                <w:b/>
                <w:bCs/>
              </w:rPr>
              <w:t>and competition</w:t>
            </w:r>
            <w:r w:rsidRPr="001C0906">
              <w:rPr>
                <w:b/>
                <w:bCs/>
              </w:rPr>
              <w:t xml:space="preserve"> </w:t>
            </w:r>
            <w:r w:rsidRPr="001C0906">
              <w:rPr>
                <w:b/>
              </w:rPr>
              <w:t>in the wholesale gas market</w:t>
            </w:r>
            <w:r>
              <w:t xml:space="preserve">. Gas producers may also face an increased regulatory burden under the proposed mandatory </w:t>
            </w:r>
            <w:r w:rsidR="00533D73">
              <w:t>C</w:t>
            </w:r>
            <w:r>
              <w:t>ode</w:t>
            </w:r>
            <w:r w:rsidR="00533D73">
              <w:t xml:space="preserve"> of Conduct</w:t>
            </w:r>
            <w:r>
              <w:t xml:space="preserve"> as they seek legal advice and transition their business practices to comply, however, this burden may be limited to the extent producers are already signatories to (or otherwise compliant with) the obligations in the voluntary </w:t>
            </w:r>
            <w:r w:rsidR="00474A82">
              <w:t>C</w:t>
            </w:r>
            <w:r>
              <w:t>ode</w:t>
            </w:r>
            <w:r w:rsidR="00474A82">
              <w:t xml:space="preserve"> of Conduct</w:t>
            </w:r>
            <w:r>
              <w:t xml:space="preserve"> and to the extent that information transparency requirements will target information that is already available to producers.</w:t>
            </w:r>
          </w:p>
        </w:tc>
      </w:tr>
      <w:tr w:rsidR="009D08B2" w:rsidRPr="002E2609" w14:paraId="4F1306CA"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4DA0F1DA" w14:textId="74F660A0" w:rsidR="009D08B2" w:rsidRDefault="009D08B2" w:rsidP="00AF4790">
            <w:pPr>
              <w:keepLines/>
            </w:pPr>
            <w:r>
              <w:t>LNG exporters</w:t>
            </w:r>
          </w:p>
        </w:tc>
        <w:tc>
          <w:tcPr>
            <w:tcW w:w="6088" w:type="dxa"/>
          </w:tcPr>
          <w:p w14:paraId="326B07B2" w14:textId="336B001F" w:rsidR="009D08B2" w:rsidRPr="002E2609" w:rsidRDefault="000805D6" w:rsidP="00AF4790">
            <w:pPr>
              <w:keepLines/>
              <w:rPr>
                <w:lang w:val="en-GB"/>
              </w:rPr>
            </w:pPr>
            <w:r>
              <w:t xml:space="preserve">The mandatory </w:t>
            </w:r>
            <w:r w:rsidR="0090202A">
              <w:t>C</w:t>
            </w:r>
            <w:r>
              <w:t>ode</w:t>
            </w:r>
            <w:r w:rsidR="0090202A">
              <w:t xml:space="preserve"> of Conduct</w:t>
            </w:r>
            <w:r>
              <w:t xml:space="preserve"> would </w:t>
            </w:r>
            <w:r w:rsidRPr="001C0906">
              <w:rPr>
                <w:b/>
              </w:rPr>
              <w:t>support increased transparency</w:t>
            </w:r>
            <w:r>
              <w:rPr>
                <w:b/>
              </w:rPr>
              <w:t xml:space="preserve"> </w:t>
            </w:r>
            <w:r>
              <w:rPr>
                <w:b/>
                <w:bCs/>
              </w:rPr>
              <w:t>and competition</w:t>
            </w:r>
            <w:r w:rsidRPr="001C0906">
              <w:rPr>
                <w:b/>
                <w:bCs/>
              </w:rPr>
              <w:t xml:space="preserve"> </w:t>
            </w:r>
            <w:r w:rsidRPr="001C0906">
              <w:rPr>
                <w:b/>
              </w:rPr>
              <w:t xml:space="preserve">in the </w:t>
            </w:r>
            <w:r>
              <w:rPr>
                <w:b/>
                <w:bCs/>
              </w:rPr>
              <w:t>domestic</w:t>
            </w:r>
            <w:r w:rsidRPr="001C0906">
              <w:rPr>
                <w:b/>
                <w:bCs/>
              </w:rPr>
              <w:t xml:space="preserve"> </w:t>
            </w:r>
            <w:r w:rsidRPr="001C0906">
              <w:rPr>
                <w:b/>
              </w:rPr>
              <w:t>wholesale gas market</w:t>
            </w:r>
            <w:r>
              <w:t xml:space="preserve">. LNG exporters may also face a temporary increased regulatory burden under the proposed mandatory </w:t>
            </w:r>
            <w:r w:rsidR="00533D73">
              <w:t>C</w:t>
            </w:r>
            <w:r>
              <w:t>ode</w:t>
            </w:r>
            <w:r w:rsidR="00533D73">
              <w:t xml:space="preserve"> of Conduct</w:t>
            </w:r>
            <w:r>
              <w:t xml:space="preserve"> as they seek legal advice and transition their business practices to comply, however, this burden may be limited to the extent producers are already signatories to (or otherwise compliant with) the obligations in the voluntary code.</w:t>
            </w:r>
          </w:p>
        </w:tc>
      </w:tr>
      <w:tr w:rsidR="009606D4" w14:paraId="387A4AB4"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12331A2C" w14:textId="7300F1C6" w:rsidR="009606D4" w:rsidRDefault="00273DB1" w:rsidP="00AF4790">
            <w:pPr>
              <w:keepLines/>
            </w:pPr>
            <w:r>
              <w:t>Generators</w:t>
            </w:r>
          </w:p>
        </w:tc>
        <w:tc>
          <w:tcPr>
            <w:tcW w:w="6088" w:type="dxa"/>
          </w:tcPr>
          <w:p w14:paraId="4D7FBCC9" w14:textId="7A8555F8" w:rsidR="009606D4" w:rsidRDefault="00A97C74" w:rsidP="00AF4790">
            <w:pPr>
              <w:keepLines/>
            </w:pPr>
            <w:r>
              <w:t xml:space="preserve">Generators would likely see lower </w:t>
            </w:r>
            <w:r w:rsidRPr="00323DB1">
              <w:rPr>
                <w:b/>
              </w:rPr>
              <w:t xml:space="preserve">wholesale </w:t>
            </w:r>
            <w:r w:rsidR="001764DC" w:rsidRPr="00323DB1">
              <w:rPr>
                <w:b/>
              </w:rPr>
              <w:t>gas</w:t>
            </w:r>
            <w:r w:rsidRPr="00323DB1">
              <w:rPr>
                <w:b/>
              </w:rPr>
              <w:t xml:space="preserve"> prices</w:t>
            </w:r>
            <w:r>
              <w:t xml:space="preserve"> through </w:t>
            </w:r>
            <w:r w:rsidR="00E77ED4" w:rsidRPr="001C0906">
              <w:rPr>
                <w:b/>
              </w:rPr>
              <w:t>greater transparency</w:t>
            </w:r>
            <w:r w:rsidR="00E77ED4">
              <w:t xml:space="preserve"> and </w:t>
            </w:r>
            <w:r>
              <w:t>minimum standards in the negotiation of gas supply contracts.</w:t>
            </w:r>
          </w:p>
        </w:tc>
      </w:tr>
      <w:tr w:rsidR="009D08B2" w14:paraId="68EB8E1F"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27F84608" w14:textId="2AE5E1AC" w:rsidR="009D08B2" w:rsidRDefault="009D08B2" w:rsidP="00AF4790">
            <w:pPr>
              <w:keepLines/>
            </w:pPr>
            <w:r>
              <w:t>Retail energy companies</w:t>
            </w:r>
          </w:p>
        </w:tc>
        <w:tc>
          <w:tcPr>
            <w:tcW w:w="6088" w:type="dxa"/>
          </w:tcPr>
          <w:p w14:paraId="7AA361CA" w14:textId="2A747EA9" w:rsidR="009D08B2" w:rsidRDefault="00A97C74" w:rsidP="00AF4790">
            <w:pPr>
              <w:keepLines/>
            </w:pPr>
            <w:r>
              <w:t xml:space="preserve">Retailers would benefit to the extent they are </w:t>
            </w:r>
            <w:r w:rsidRPr="00323DB1">
              <w:rPr>
                <w:b/>
              </w:rPr>
              <w:t xml:space="preserve">able to access </w:t>
            </w:r>
            <w:r w:rsidR="00BD4DE4">
              <w:rPr>
                <w:b/>
              </w:rPr>
              <w:t>wholesale</w:t>
            </w:r>
            <w:r w:rsidRPr="00323DB1">
              <w:rPr>
                <w:b/>
              </w:rPr>
              <w:t xml:space="preserve"> electricity at prices lower than the current </w:t>
            </w:r>
            <w:r w:rsidR="00BD4DE4">
              <w:rPr>
                <w:b/>
              </w:rPr>
              <w:t xml:space="preserve">wholesale </w:t>
            </w:r>
            <w:r w:rsidRPr="00323DB1">
              <w:rPr>
                <w:b/>
              </w:rPr>
              <w:t>market price.</w:t>
            </w:r>
          </w:p>
        </w:tc>
      </w:tr>
      <w:tr w:rsidR="009D08B2" w14:paraId="749CA1A5"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2FB83253" w14:textId="500F4D96" w:rsidR="009D08B2" w:rsidRDefault="009D08B2" w:rsidP="00AF4790">
            <w:pPr>
              <w:keepLines/>
            </w:pPr>
            <w:r>
              <w:t>Domestic energy consumers (households, small business and industrial users)</w:t>
            </w:r>
          </w:p>
        </w:tc>
        <w:tc>
          <w:tcPr>
            <w:tcW w:w="6088" w:type="dxa"/>
          </w:tcPr>
          <w:p w14:paraId="3C0607EE" w14:textId="77777777" w:rsidR="00A97C74" w:rsidRDefault="00A97C74" w:rsidP="00AF4790">
            <w:pPr>
              <w:keepLines/>
            </w:pPr>
            <w:r>
              <w:t xml:space="preserve">Industrial users would likely see </w:t>
            </w:r>
            <w:r w:rsidRPr="00323DB1">
              <w:rPr>
                <w:b/>
              </w:rPr>
              <w:t>lower wholesale prices</w:t>
            </w:r>
            <w:r>
              <w:t xml:space="preserve"> through minimum standards in the negotiation of gas supply contracts.</w:t>
            </w:r>
          </w:p>
          <w:p w14:paraId="4E6AF6B9" w14:textId="577DC79F" w:rsidR="00A97C74" w:rsidRPr="00B00A8A" w:rsidRDefault="00A97C74" w:rsidP="00AF4790">
            <w:pPr>
              <w:pStyle w:val="BodyText"/>
              <w:keepLines/>
            </w:pPr>
            <w:r>
              <w:t xml:space="preserve">Retail customers would benefit from </w:t>
            </w:r>
            <w:r w:rsidRPr="00323DB1">
              <w:rPr>
                <w:b/>
              </w:rPr>
              <w:t xml:space="preserve">reduced </w:t>
            </w:r>
            <w:r w:rsidR="00DC0F65">
              <w:rPr>
                <w:b/>
              </w:rPr>
              <w:t>growth in</w:t>
            </w:r>
            <w:r w:rsidR="00FD7DA6">
              <w:rPr>
                <w:b/>
              </w:rPr>
              <w:t xml:space="preserve"> their</w:t>
            </w:r>
            <w:r w:rsidRPr="00323DB1">
              <w:rPr>
                <w:b/>
              </w:rPr>
              <w:t xml:space="preserve"> </w:t>
            </w:r>
            <w:r w:rsidR="001764DC" w:rsidRPr="00323DB1">
              <w:rPr>
                <w:b/>
              </w:rPr>
              <w:t>energy bills</w:t>
            </w:r>
            <w:r>
              <w:t>.</w:t>
            </w:r>
          </w:p>
          <w:p w14:paraId="486F65AE" w14:textId="77777777" w:rsidR="009D08B2" w:rsidRDefault="009D08B2" w:rsidP="00AF4790">
            <w:pPr>
              <w:keepLines/>
            </w:pPr>
          </w:p>
        </w:tc>
      </w:tr>
      <w:tr w:rsidR="009D08B2" w14:paraId="77C24353"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37F22430" w14:textId="4704DFFF" w:rsidR="009D08B2" w:rsidRDefault="009D08B2" w:rsidP="00AF4790">
            <w:pPr>
              <w:keepLines/>
            </w:pPr>
            <w:r>
              <w:t>International trading partners and investors</w:t>
            </w:r>
          </w:p>
        </w:tc>
        <w:tc>
          <w:tcPr>
            <w:tcW w:w="6088" w:type="dxa"/>
          </w:tcPr>
          <w:p w14:paraId="5F6318FB" w14:textId="46E1C494" w:rsidR="009D08B2" w:rsidRDefault="006D7E7B" w:rsidP="00AF4790">
            <w:pPr>
              <w:keepLines/>
            </w:pPr>
            <w:r>
              <w:t xml:space="preserve">A mandatory </w:t>
            </w:r>
            <w:r w:rsidR="00DA5C56">
              <w:t>C</w:t>
            </w:r>
            <w:r>
              <w:t>ode</w:t>
            </w:r>
            <w:r w:rsidR="00DA5C56">
              <w:t xml:space="preserve"> of Conduct</w:t>
            </w:r>
            <w:r>
              <w:t xml:space="preserve"> is </w:t>
            </w:r>
            <w:r w:rsidRPr="001C0906">
              <w:rPr>
                <w:b/>
              </w:rPr>
              <w:t>unlikely to affect the volume of commodities exported to Australia’s trading partners</w:t>
            </w:r>
            <w:r>
              <w:t xml:space="preserve">. Increased transparency is </w:t>
            </w:r>
            <w:r w:rsidRPr="001C0906">
              <w:rPr>
                <w:b/>
              </w:rPr>
              <w:t>unlikely to cause significant concerns for international investors</w:t>
            </w:r>
            <w:r w:rsidR="00842EFE">
              <w:t>, but investors may share the concerns of the LNG exporters about an increased regulatory burden</w:t>
            </w:r>
            <w:r>
              <w:t xml:space="preserve">. </w:t>
            </w:r>
          </w:p>
        </w:tc>
      </w:tr>
    </w:tbl>
    <w:p w14:paraId="2F78256F" w14:textId="099F3D24" w:rsidR="001764DC" w:rsidRDefault="001764DC" w:rsidP="00FC794D"/>
    <w:p w14:paraId="79335DA7" w14:textId="7F74A956" w:rsidR="00FD2EA1" w:rsidRDefault="00FD2EA1" w:rsidP="00FD2EA1">
      <w:pPr>
        <w:rPr>
          <w:b/>
          <w:bCs/>
        </w:rPr>
      </w:pPr>
      <w:r>
        <w:rPr>
          <w:b/>
          <w:bCs/>
        </w:rPr>
        <w:t>Regulatory burden costings</w:t>
      </w:r>
      <w:r w:rsidR="005F2D74">
        <w:rPr>
          <w:b/>
          <w:bCs/>
        </w:rPr>
        <w:t>:</w:t>
      </w:r>
    </w:p>
    <w:p w14:paraId="429CD1AB" w14:textId="49EAA471" w:rsidR="00FD2EA1" w:rsidRDefault="00FD2EA1" w:rsidP="00FD2EA1">
      <w:r>
        <w:t xml:space="preserve">This option is expected to carry regulatory compliance costs, insofar as gas producers subject to the mandatory </w:t>
      </w:r>
      <w:r w:rsidR="006139A8">
        <w:t>C</w:t>
      </w:r>
      <w:r>
        <w:t>ode</w:t>
      </w:r>
      <w:r w:rsidR="006139A8">
        <w:t xml:space="preserve"> of Conduct</w:t>
      </w:r>
      <w:r>
        <w:t xml:space="preserve"> will need to learn about their obligations under the code and adjust their processes to be compliant with the code. Additionally, this option opens the possibility of arbitration proceedings to resolve disputes where negotiations between gas producers and their customers break down. In the event arbitration is required, this would carry additional costs for both producers and their customers. </w:t>
      </w:r>
    </w:p>
    <w:p w14:paraId="15246CA8" w14:textId="51977DE3" w:rsidR="00FD2EA1" w:rsidRDefault="00FD2EA1" w:rsidP="00FD2EA1">
      <w:r>
        <w:t xml:space="preserve">In total, it is expected that this option will create approximately $800,000 in regulatory costs. See </w:t>
      </w:r>
      <w:r w:rsidRPr="007E776D">
        <w:t>A</w:t>
      </w:r>
      <w:r w:rsidRPr="00CB4D42">
        <w:t xml:space="preserve">ppendix </w:t>
      </w:r>
      <w:r w:rsidR="007E776D" w:rsidRPr="000E58FD">
        <w:t>B</w:t>
      </w:r>
      <w:r w:rsidRPr="007E776D">
        <w:t xml:space="preserve"> </w:t>
      </w:r>
      <w:r w:rsidRPr="00CB4D42">
        <w:t>for more detailed</w:t>
      </w:r>
      <w:r>
        <w:t xml:space="preserve"> calculations and the assumptions made in these costings.</w:t>
      </w:r>
    </w:p>
    <w:p w14:paraId="31693336" w14:textId="52197A00" w:rsidR="00FD2EA1" w:rsidRPr="00A44E95" w:rsidRDefault="00FD2EA1" w:rsidP="001B29E5">
      <w:pPr>
        <w:keepNext/>
        <w:rPr>
          <w:b/>
          <w:bCs/>
        </w:rPr>
      </w:pPr>
      <w:r w:rsidRPr="00A44E95">
        <w:rPr>
          <w:b/>
          <w:bCs/>
        </w:rPr>
        <w:lastRenderedPageBreak/>
        <w:t xml:space="preserve">Table </w:t>
      </w:r>
      <w:r w:rsidR="00C644DD" w:rsidRPr="00502A06">
        <w:rPr>
          <w:b/>
          <w:bCs/>
        </w:rPr>
        <w:t>4</w:t>
      </w:r>
      <w:r w:rsidRPr="00A44E95">
        <w:rPr>
          <w:b/>
          <w:bCs/>
        </w:rPr>
        <w:t xml:space="preserve">: Regulatory burden estimate (RBE) table (Option A1) </w:t>
      </w:r>
    </w:p>
    <w:tbl>
      <w:tblPr>
        <w:tblW w:w="8942" w:type="dxa"/>
        <w:tblInd w:w="108" w:type="dxa"/>
        <w:tblCellMar>
          <w:left w:w="0" w:type="dxa"/>
          <w:right w:w="0" w:type="dxa"/>
        </w:tblCellMar>
        <w:tblLook w:val="04A0" w:firstRow="1" w:lastRow="0" w:firstColumn="1" w:lastColumn="0" w:noHBand="0" w:noVBand="1"/>
        <w:tblCaption w:val="Regulatory burden estimate table"/>
        <w:tblDescription w:val="Template for the Regulatory burden estimate table"/>
      </w:tblPr>
      <w:tblGrid>
        <w:gridCol w:w="1789"/>
        <w:gridCol w:w="1788"/>
        <w:gridCol w:w="1788"/>
        <w:gridCol w:w="1788"/>
        <w:gridCol w:w="1789"/>
      </w:tblGrid>
      <w:tr w:rsidR="006949CF" w14:paraId="2ED1210A" w14:textId="77777777" w:rsidTr="00502A06">
        <w:trPr>
          <w:trHeight w:val="300"/>
          <w:tblHeader/>
        </w:trPr>
        <w:tc>
          <w:tcPr>
            <w:tcW w:w="8942" w:type="dxa"/>
            <w:gridSpan w:val="5"/>
            <w:tcBorders>
              <w:top w:val="single" w:sz="8" w:space="0" w:color="ED7D31"/>
              <w:left w:val="single" w:sz="8" w:space="0" w:color="ED7D31"/>
              <w:bottom w:val="single" w:sz="8" w:space="0" w:color="ED7D31"/>
              <w:right w:val="single" w:sz="8" w:space="0" w:color="ED7D31"/>
            </w:tcBorders>
            <w:shd w:val="clear" w:color="auto" w:fill="CD0920"/>
            <w:noWrap/>
            <w:tcMar>
              <w:top w:w="0" w:type="dxa"/>
              <w:left w:w="108" w:type="dxa"/>
              <w:bottom w:w="0" w:type="dxa"/>
              <w:right w:w="108" w:type="dxa"/>
            </w:tcMar>
            <w:hideMark/>
          </w:tcPr>
          <w:p w14:paraId="67191F42" w14:textId="77777777" w:rsidR="00FD2EA1" w:rsidRPr="00D27B0B" w:rsidRDefault="00FD2EA1" w:rsidP="008C58CF">
            <w:pPr>
              <w:spacing w:before="120" w:after="120"/>
              <w:rPr>
                <w:rFonts w:cstheme="minorHAnsi"/>
                <w:b/>
                <w:color w:val="FFFFFF"/>
                <w:sz w:val="20"/>
                <w:szCs w:val="20"/>
              </w:rPr>
            </w:pPr>
            <w:r w:rsidRPr="001E02AD">
              <w:rPr>
                <w:rFonts w:cstheme="minorHAnsi"/>
                <w:b/>
                <w:color w:val="FFFFFF"/>
                <w:sz w:val="20"/>
                <w:szCs w:val="20"/>
              </w:rPr>
              <w:t>Avera</w:t>
            </w:r>
            <w:r w:rsidRPr="009F0387">
              <w:rPr>
                <w:rFonts w:cstheme="minorHAnsi"/>
                <w:b/>
                <w:color w:val="FFFFFF"/>
                <w:sz w:val="20"/>
                <w:szCs w:val="20"/>
              </w:rPr>
              <w:t>ge annual regulatory costs (from business as usual)</w:t>
            </w:r>
          </w:p>
        </w:tc>
      </w:tr>
      <w:tr w:rsidR="00D339FA" w14:paraId="24DF63AE" w14:textId="77777777" w:rsidTr="00502A06">
        <w:trPr>
          <w:trHeight w:val="300"/>
        </w:trPr>
        <w:tc>
          <w:tcPr>
            <w:tcW w:w="1789" w:type="dxa"/>
            <w:tcBorders>
              <w:top w:val="nil"/>
              <w:left w:val="single" w:sz="8" w:space="0" w:color="ED7D31"/>
              <w:bottom w:val="single" w:sz="8" w:space="0" w:color="ED7D31"/>
              <w:right w:val="single" w:sz="8" w:space="0" w:color="ED7D31"/>
            </w:tcBorders>
            <w:noWrap/>
            <w:tcMar>
              <w:top w:w="0" w:type="dxa"/>
              <w:left w:w="108" w:type="dxa"/>
              <w:bottom w:w="0" w:type="dxa"/>
              <w:right w:w="108" w:type="dxa"/>
            </w:tcMar>
            <w:hideMark/>
          </w:tcPr>
          <w:p w14:paraId="17080EDC" w14:textId="77777777" w:rsidR="00FD2EA1" w:rsidRPr="000F114E" w:rsidRDefault="00FD2EA1" w:rsidP="008C58CF">
            <w:pPr>
              <w:pStyle w:val="TableText"/>
              <w:rPr>
                <w:rFonts w:asciiTheme="minorHAnsi" w:hAnsiTheme="minorHAnsi" w:cstheme="minorHAnsi"/>
              </w:rPr>
            </w:pPr>
            <w:r w:rsidRPr="00A44E95">
              <w:rPr>
                <w:rFonts w:asciiTheme="minorHAnsi" w:hAnsiTheme="minorHAnsi" w:cstheme="minorHAnsi"/>
              </w:rPr>
              <w:t>Change in costs ($ million)</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2B2ED82D" w14:textId="77777777" w:rsidR="00FD2EA1" w:rsidRPr="000F114E" w:rsidRDefault="00FD2EA1" w:rsidP="008C58CF">
            <w:pPr>
              <w:pStyle w:val="TableText"/>
              <w:rPr>
                <w:rFonts w:asciiTheme="minorHAnsi" w:hAnsiTheme="minorHAnsi" w:cstheme="minorHAnsi"/>
              </w:rPr>
            </w:pPr>
            <w:r w:rsidRPr="00A44E95">
              <w:rPr>
                <w:rFonts w:asciiTheme="minorHAnsi" w:hAnsiTheme="minorHAnsi" w:cstheme="minorHAnsi"/>
              </w:rPr>
              <w:t>Business</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3F281069" w14:textId="77777777" w:rsidR="00FD2EA1" w:rsidRPr="005F2D74" w:rsidRDefault="00FD2EA1" w:rsidP="008C58CF">
            <w:pPr>
              <w:spacing w:before="120" w:after="120"/>
              <w:rPr>
                <w:rFonts w:cstheme="minorHAnsi"/>
                <w:sz w:val="20"/>
                <w:szCs w:val="20"/>
              </w:rPr>
            </w:pPr>
            <w:r w:rsidRPr="005F2D74">
              <w:rPr>
                <w:rFonts w:cstheme="minorHAnsi"/>
                <w:sz w:val="20"/>
                <w:szCs w:val="20"/>
              </w:rPr>
              <w:t>Community organisations</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7F0A72B8" w14:textId="77777777" w:rsidR="00FD2EA1" w:rsidRPr="005F2D74" w:rsidRDefault="00FD2EA1" w:rsidP="008C58CF">
            <w:pPr>
              <w:spacing w:before="120" w:after="120"/>
              <w:rPr>
                <w:rFonts w:cstheme="minorHAnsi"/>
                <w:sz w:val="20"/>
                <w:szCs w:val="20"/>
              </w:rPr>
            </w:pPr>
            <w:r w:rsidRPr="005F2D74">
              <w:rPr>
                <w:rFonts w:cstheme="minorHAnsi"/>
                <w:sz w:val="20"/>
                <w:szCs w:val="20"/>
              </w:rPr>
              <w:t>Individuals</w:t>
            </w:r>
          </w:p>
        </w:tc>
        <w:tc>
          <w:tcPr>
            <w:tcW w:w="1789"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4EDFF03C" w14:textId="77777777" w:rsidR="00FD2EA1" w:rsidRPr="005F2D74" w:rsidRDefault="00FD2EA1" w:rsidP="008C58CF">
            <w:pPr>
              <w:spacing w:before="120" w:after="120"/>
              <w:rPr>
                <w:rFonts w:cstheme="minorHAnsi"/>
                <w:sz w:val="20"/>
                <w:szCs w:val="20"/>
              </w:rPr>
            </w:pPr>
            <w:r w:rsidRPr="005F2D74">
              <w:rPr>
                <w:rFonts w:cstheme="minorHAnsi"/>
                <w:sz w:val="20"/>
                <w:szCs w:val="20"/>
              </w:rPr>
              <w:t>Total change in costs</w:t>
            </w:r>
          </w:p>
        </w:tc>
      </w:tr>
      <w:tr w:rsidR="00D339FA" w14:paraId="3715442C" w14:textId="77777777" w:rsidTr="00502A06">
        <w:trPr>
          <w:trHeight w:val="300"/>
        </w:trPr>
        <w:tc>
          <w:tcPr>
            <w:tcW w:w="1789" w:type="dxa"/>
            <w:tcBorders>
              <w:top w:val="nil"/>
              <w:left w:val="single" w:sz="8" w:space="0" w:color="ED7D31"/>
              <w:bottom w:val="single" w:sz="8" w:space="0" w:color="ED7D31"/>
              <w:right w:val="single" w:sz="8" w:space="0" w:color="ED7D31"/>
            </w:tcBorders>
            <w:noWrap/>
            <w:tcMar>
              <w:top w:w="0" w:type="dxa"/>
              <w:left w:w="108" w:type="dxa"/>
              <w:bottom w:w="0" w:type="dxa"/>
              <w:right w:w="108" w:type="dxa"/>
            </w:tcMar>
            <w:hideMark/>
          </w:tcPr>
          <w:p w14:paraId="000FFD26" w14:textId="77777777" w:rsidR="00FD2EA1" w:rsidRPr="005F2D74" w:rsidRDefault="00FD2EA1" w:rsidP="008C58CF">
            <w:pPr>
              <w:spacing w:before="120" w:after="120"/>
              <w:rPr>
                <w:rFonts w:cstheme="minorHAnsi"/>
                <w:sz w:val="20"/>
                <w:szCs w:val="20"/>
              </w:rPr>
            </w:pPr>
            <w:r w:rsidRPr="005F2D74">
              <w:rPr>
                <w:rFonts w:cstheme="minorHAnsi"/>
                <w:sz w:val="20"/>
                <w:szCs w:val="20"/>
              </w:rPr>
              <w:t>Total, by sector</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006F5BFF" w14:textId="77777777" w:rsidR="00FD2EA1" w:rsidRPr="005F2D74" w:rsidRDefault="00FD2EA1" w:rsidP="008C58CF">
            <w:pPr>
              <w:spacing w:before="120" w:after="120"/>
              <w:rPr>
                <w:rFonts w:cstheme="minorHAnsi"/>
                <w:sz w:val="20"/>
                <w:szCs w:val="20"/>
              </w:rPr>
            </w:pPr>
            <w:r w:rsidRPr="005F2D74">
              <w:rPr>
                <w:rFonts w:cstheme="minorHAnsi"/>
                <w:sz w:val="20"/>
                <w:szCs w:val="20"/>
              </w:rPr>
              <w:t>$803,459</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4B28FA2A" w14:textId="0F600352" w:rsidR="00FD2EA1" w:rsidRPr="005F2D74" w:rsidRDefault="000527E2" w:rsidP="008C58CF">
            <w:pPr>
              <w:spacing w:before="120" w:after="120"/>
              <w:rPr>
                <w:rFonts w:cstheme="minorHAnsi"/>
                <w:sz w:val="20"/>
                <w:szCs w:val="20"/>
              </w:rPr>
            </w:pPr>
            <w:r>
              <w:rPr>
                <w:rFonts w:cstheme="minorHAnsi"/>
                <w:sz w:val="20"/>
                <w:szCs w:val="20"/>
              </w:rPr>
              <w:t>-</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7E11EB0C" w14:textId="716C0B1F" w:rsidR="00FD2EA1" w:rsidRPr="005F2D74" w:rsidRDefault="00FD2EA1" w:rsidP="008C58CF">
            <w:pPr>
              <w:spacing w:before="120" w:after="120"/>
              <w:rPr>
                <w:rFonts w:cstheme="minorHAnsi"/>
                <w:sz w:val="20"/>
                <w:szCs w:val="20"/>
              </w:rPr>
            </w:pPr>
          </w:p>
        </w:tc>
        <w:tc>
          <w:tcPr>
            <w:tcW w:w="1789"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107332D5" w14:textId="77777777" w:rsidR="00FD2EA1" w:rsidRPr="005F2D74" w:rsidRDefault="00FD2EA1" w:rsidP="008C58CF">
            <w:pPr>
              <w:spacing w:before="120" w:after="120"/>
              <w:rPr>
                <w:rFonts w:cstheme="minorHAnsi"/>
                <w:sz w:val="20"/>
                <w:szCs w:val="20"/>
              </w:rPr>
            </w:pPr>
            <w:r w:rsidRPr="005F2D74">
              <w:rPr>
                <w:rFonts w:cstheme="minorHAnsi"/>
                <w:sz w:val="20"/>
                <w:szCs w:val="20"/>
              </w:rPr>
              <w:t>$803,459</w:t>
            </w:r>
          </w:p>
        </w:tc>
      </w:tr>
    </w:tbl>
    <w:p w14:paraId="0F74FF5C" w14:textId="1E6573E7" w:rsidR="00413CB9" w:rsidRDefault="00413CB9" w:rsidP="00FC794D"/>
    <w:p w14:paraId="351C1FD0" w14:textId="4B8D6FA0" w:rsidR="00413CB9" w:rsidRDefault="00413CB9" w:rsidP="00745D7A">
      <w:pPr>
        <w:pStyle w:val="HeaderOdd"/>
        <w:rPr>
          <w:bCs/>
        </w:rPr>
      </w:pPr>
      <w:r w:rsidRPr="00186E13">
        <w:rPr>
          <w:bCs/>
        </w:rPr>
        <w:t xml:space="preserve">Option </w:t>
      </w:r>
      <w:r>
        <w:rPr>
          <w:bCs/>
        </w:rPr>
        <w:t xml:space="preserve">A2: </w:t>
      </w:r>
      <w:r w:rsidR="00BA1322">
        <w:t xml:space="preserve">Prescribe a </w:t>
      </w:r>
      <w:r w:rsidR="00B23502">
        <w:t>m</w:t>
      </w:r>
      <w:r w:rsidR="00BA1322" w:rsidRPr="00E63C9A">
        <w:t xml:space="preserve">andatory </w:t>
      </w:r>
      <w:r w:rsidR="00A70772">
        <w:t>C</w:t>
      </w:r>
      <w:r w:rsidR="00BA1322" w:rsidRPr="00E63C9A">
        <w:t xml:space="preserve">ode of </w:t>
      </w:r>
      <w:r w:rsidR="00A70772">
        <w:t>C</w:t>
      </w:r>
      <w:r w:rsidR="00BA1322" w:rsidRPr="00E63C9A">
        <w:t xml:space="preserve">onduct </w:t>
      </w:r>
      <w:r w:rsidR="00BA1322">
        <w:t xml:space="preserve">for wholesale gas markets under the existing industry codes framework (Part IVB of the </w:t>
      </w:r>
      <w:r w:rsidR="00BA1322" w:rsidRPr="0004133B">
        <w:t>CCA</w:t>
      </w:r>
      <w:r w:rsidR="00BA1322">
        <w:t>)</w:t>
      </w:r>
    </w:p>
    <w:p w14:paraId="7439E83C" w14:textId="77777777" w:rsidR="00BA1322" w:rsidRPr="00312DC7" w:rsidRDefault="00BA1322" w:rsidP="00BA1322">
      <w:pPr>
        <w:rPr>
          <w:b/>
        </w:rPr>
      </w:pPr>
      <w:r w:rsidRPr="00312DC7">
        <w:rPr>
          <w:b/>
        </w:rPr>
        <w:t>Improving the operation of the voluntary Code of Conduct</w:t>
      </w:r>
    </w:p>
    <w:p w14:paraId="4F4169C2" w14:textId="6014C840" w:rsidR="00BA1322" w:rsidRDefault="00BA1322" w:rsidP="00BA1322">
      <w:r>
        <w:t xml:space="preserve">Under this option, </w:t>
      </w:r>
      <w:r w:rsidDel="001F1C80">
        <w:t>a</w:t>
      </w:r>
      <w:r w:rsidRPr="001123B2" w:rsidDel="001F1C80">
        <w:t xml:space="preserve"> </w:t>
      </w:r>
      <w:r w:rsidR="00B23502">
        <w:t>m</w:t>
      </w:r>
      <w:r w:rsidRPr="001123B2" w:rsidDel="001F1C80">
        <w:t xml:space="preserve">andatory </w:t>
      </w:r>
      <w:r w:rsidR="00A70772">
        <w:t>C</w:t>
      </w:r>
      <w:r w:rsidRPr="001123B2" w:rsidDel="001F1C80">
        <w:t xml:space="preserve">ode </w:t>
      </w:r>
      <w:r>
        <w:t xml:space="preserve">of </w:t>
      </w:r>
      <w:r w:rsidR="00A70772">
        <w:t>C</w:t>
      </w:r>
      <w:r>
        <w:t>onduct for wholesale gas markets can be prescribed</w:t>
      </w:r>
      <w:r w:rsidDel="00110818">
        <w:rPr>
          <w:bCs/>
        </w:rPr>
        <w:t xml:space="preserve"> </w:t>
      </w:r>
      <w:r>
        <w:rPr>
          <w:bCs/>
        </w:rPr>
        <w:t xml:space="preserve">which </w:t>
      </w:r>
      <w:r>
        <w:t>could</w:t>
      </w:r>
      <w:r w:rsidRPr="001123B2">
        <w:t xml:space="preserve"> </w:t>
      </w:r>
      <w:r>
        <w:t xml:space="preserve">address current limitations in the voluntary </w:t>
      </w:r>
      <w:r w:rsidR="005B4DE3">
        <w:t>C</w:t>
      </w:r>
      <w:r>
        <w:t>ode</w:t>
      </w:r>
      <w:r w:rsidR="005B4DE3">
        <w:t xml:space="preserve"> of Conduct</w:t>
      </w:r>
      <w:r>
        <w:t xml:space="preserve">, as previously identified by the ACCC. The mandatory </w:t>
      </w:r>
      <w:r w:rsidR="005B4DE3">
        <w:t>C</w:t>
      </w:r>
      <w:r>
        <w:t>ode</w:t>
      </w:r>
      <w:r w:rsidR="005B4DE3">
        <w:t xml:space="preserve"> of Conduct</w:t>
      </w:r>
      <w:r>
        <w:t xml:space="preserve"> would </w:t>
      </w:r>
      <w:r w:rsidRPr="001123B2">
        <w:t>create well-defined</w:t>
      </w:r>
      <w:r>
        <w:t xml:space="preserve"> and</w:t>
      </w:r>
      <w:r w:rsidRPr="001123B2">
        <w:t xml:space="preserve"> enforceable obligations</w:t>
      </w:r>
      <w:r>
        <w:t xml:space="preserve"> that would</w:t>
      </w:r>
      <w:r w:rsidRPr="001123B2">
        <w:t xml:space="preserve"> </w:t>
      </w:r>
      <w:r>
        <w:t xml:space="preserve">apply </w:t>
      </w:r>
      <w:r w:rsidRPr="001123B2">
        <w:t xml:space="preserve">to gas producers </w:t>
      </w:r>
      <w:r>
        <w:t xml:space="preserve">and customers.  </w:t>
      </w:r>
    </w:p>
    <w:p w14:paraId="0C8A58F3" w14:textId="5D8D8F40" w:rsidR="00700D7D" w:rsidRDefault="00BA1322" w:rsidP="00700D7D">
      <w:r>
        <w:t>In particular, t</w:t>
      </w:r>
      <w:r w:rsidRPr="009D79D1">
        <w:t xml:space="preserve">he </w:t>
      </w:r>
      <w:r w:rsidR="00C62335">
        <w:t>mandatory Code of Conduct</w:t>
      </w:r>
      <w:r w:rsidR="00C62335" w:rsidRPr="009D79D1">
        <w:t xml:space="preserve"> </w:t>
      </w:r>
      <w:r w:rsidRPr="009D79D1">
        <w:t>would</w:t>
      </w:r>
      <w:r w:rsidDel="0028493E">
        <w:t xml:space="preserve"> </w:t>
      </w:r>
      <w:r w:rsidRPr="009D79D1">
        <w:t xml:space="preserve">enhance the effectiveness and operation of the </w:t>
      </w:r>
      <w:r w:rsidR="00BD2303">
        <w:t>existing</w:t>
      </w:r>
      <w:r w:rsidR="00BD2303" w:rsidRPr="009D79D1">
        <w:t xml:space="preserve"> </w:t>
      </w:r>
      <w:r w:rsidRPr="009D79D1">
        <w:t>voluntary code, including strengthening requirements related to transparency, reporting, timeframes for negotiating and dispute resolution.</w:t>
      </w:r>
      <w:r w:rsidR="00700D7D">
        <w:t xml:space="preserve"> </w:t>
      </w:r>
      <w:r w:rsidR="007B654D">
        <w:t xml:space="preserve">The maximum penalties under this option would be limited to 600 penalty units (around $133,000), significantly lower than those available for other breaches of the CCA (up to $50 million or more) and insufficient to provide a strong deterrent against non-compliance, where the benefits of non-compliance could be millions of dollars. </w:t>
      </w:r>
    </w:p>
    <w:p w14:paraId="505AA1BC" w14:textId="7280EC10" w:rsidR="00700D7D" w:rsidRDefault="00700D7D" w:rsidP="00BA1322">
      <w:r>
        <w:t xml:space="preserve">The </w:t>
      </w:r>
      <w:r w:rsidR="00B23502">
        <w:t>m</w:t>
      </w:r>
      <w:r>
        <w:t xml:space="preserve">andatory </w:t>
      </w:r>
      <w:r w:rsidR="00E42399">
        <w:t>C</w:t>
      </w:r>
      <w:r>
        <w:t xml:space="preserve">ode of </w:t>
      </w:r>
      <w:r w:rsidR="00E42399">
        <w:t>C</w:t>
      </w:r>
      <w:r>
        <w:t>onduct would support increased transparency in the wholesale gas market, which would be beneficial for large gas users (such as commercial and industry customers and energy retailers) when negotiating supply contracts.</w:t>
      </w:r>
    </w:p>
    <w:p w14:paraId="04322E43" w14:textId="2D8BF7B5" w:rsidR="00071735" w:rsidRDefault="00071735" w:rsidP="00BA1322">
      <w:r>
        <w:t>This option would be faster to implement compared to Option A1 as it would not require new legislation to be passed through the parliament.</w:t>
      </w:r>
    </w:p>
    <w:p w14:paraId="4AE6A85E" w14:textId="77777777" w:rsidR="000F32D5" w:rsidRPr="00312DC7" w:rsidRDefault="000F32D5" w:rsidP="000F32D5">
      <w:pPr>
        <w:rPr>
          <w:b/>
        </w:rPr>
      </w:pPr>
      <w:r w:rsidRPr="00312DC7">
        <w:rPr>
          <w:b/>
        </w:rPr>
        <w:t xml:space="preserve">Increased regulatory burden </w:t>
      </w:r>
    </w:p>
    <w:p w14:paraId="0DD6034E" w14:textId="002326D0" w:rsidR="000F32D5" w:rsidRDefault="000F32D5" w:rsidP="000F32D5">
      <w:r>
        <w:t xml:space="preserve">Gas producers may face an increased regulatory burden under the mandatory </w:t>
      </w:r>
      <w:r w:rsidR="00C62335">
        <w:t>Code of Conduct</w:t>
      </w:r>
      <w:r w:rsidR="00834AFA">
        <w:t>;</w:t>
      </w:r>
      <w:r>
        <w:t xml:space="preserve"> however, this burden may be limited to the extent producers are already signatories to (or otherwise compliant with) the obligations in the voluntary </w:t>
      </w:r>
      <w:r w:rsidR="00C62335">
        <w:t>Code of Conduct</w:t>
      </w:r>
      <w:r>
        <w:t xml:space="preserve">. </w:t>
      </w:r>
    </w:p>
    <w:p w14:paraId="1B778EE7" w14:textId="67CB6DF6" w:rsidR="00071735" w:rsidRDefault="00071735" w:rsidP="000F32D5">
      <w:r>
        <w:t>Under this option, industry would face less regula</w:t>
      </w:r>
      <w:r w:rsidR="00D20348">
        <w:t>tor</w:t>
      </w:r>
      <w:r>
        <w:t xml:space="preserve">y burden compared to Option A1 due to reduced enforcement and </w:t>
      </w:r>
      <w:r w:rsidR="00ED558E">
        <w:t>lack of binding</w:t>
      </w:r>
      <w:r>
        <w:t xml:space="preserve"> arbitration requirements.</w:t>
      </w:r>
    </w:p>
    <w:p w14:paraId="556DDC41" w14:textId="22DBF035" w:rsidR="00273DB1" w:rsidRPr="00745D7A" w:rsidRDefault="00C644DD" w:rsidP="000B2407">
      <w:pPr>
        <w:keepNext/>
        <w:rPr>
          <w:b/>
          <w:bCs/>
        </w:rPr>
      </w:pPr>
      <w:r w:rsidRPr="00C644DD">
        <w:rPr>
          <w:b/>
          <w:bCs/>
        </w:rPr>
        <w:lastRenderedPageBreak/>
        <w:t xml:space="preserve">Table </w:t>
      </w:r>
      <w:r>
        <w:rPr>
          <w:b/>
          <w:bCs/>
        </w:rPr>
        <w:t>5</w:t>
      </w:r>
      <w:r w:rsidRPr="00C644DD">
        <w:rPr>
          <w:b/>
          <w:bCs/>
        </w:rPr>
        <w:t xml:space="preserve">: Stakeholder Impacts of </w:t>
      </w:r>
      <w:r>
        <w:rPr>
          <w:b/>
          <w:bCs/>
        </w:rPr>
        <w:t>Option A2</w:t>
      </w:r>
    </w:p>
    <w:tbl>
      <w:tblPr>
        <w:tblStyle w:val="PMCDefaultTableStyle"/>
        <w:tblW w:w="0" w:type="auto"/>
        <w:tblLook w:val="04A0" w:firstRow="1" w:lastRow="0" w:firstColumn="1" w:lastColumn="0" w:noHBand="0" w:noVBand="1"/>
      </w:tblPr>
      <w:tblGrid>
        <w:gridCol w:w="2972"/>
        <w:gridCol w:w="6088"/>
      </w:tblGrid>
      <w:tr w:rsidR="009D08B2" w:rsidRPr="002E2609" w14:paraId="28607D64" w14:textId="77777777" w:rsidTr="000B2407">
        <w:trPr>
          <w:cnfStyle w:val="100000000000" w:firstRow="1" w:lastRow="0" w:firstColumn="0" w:lastColumn="0" w:oddVBand="0" w:evenVBand="0" w:oddHBand="0" w:evenHBand="0" w:firstRowFirstColumn="0" w:firstRowLastColumn="0" w:lastRowFirstColumn="0" w:lastRowLastColumn="0"/>
        </w:trPr>
        <w:tc>
          <w:tcPr>
            <w:tcW w:w="2972" w:type="dxa"/>
          </w:tcPr>
          <w:p w14:paraId="0738E150" w14:textId="77777777" w:rsidR="009D08B2" w:rsidRPr="002E2609" w:rsidRDefault="009D08B2" w:rsidP="000B2407">
            <w:pPr>
              <w:keepNext/>
              <w:rPr>
                <w:b w:val="0"/>
              </w:rPr>
            </w:pPr>
            <w:r>
              <w:t>Stakeholder group</w:t>
            </w:r>
          </w:p>
        </w:tc>
        <w:tc>
          <w:tcPr>
            <w:tcW w:w="6088" w:type="dxa"/>
          </w:tcPr>
          <w:p w14:paraId="2C287D6D" w14:textId="77777777" w:rsidR="009D08B2" w:rsidRPr="002E2609" w:rsidRDefault="009D08B2" w:rsidP="000B2407">
            <w:pPr>
              <w:keepNext/>
              <w:rPr>
                <w:b w:val="0"/>
              </w:rPr>
            </w:pPr>
            <w:r>
              <w:t>Impact</w:t>
            </w:r>
          </w:p>
        </w:tc>
      </w:tr>
      <w:tr w:rsidR="009D08B2" w:rsidRPr="002E2609" w14:paraId="54DA9C97"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18B7210C" w14:textId="575E18D7" w:rsidR="009D08B2" w:rsidRDefault="009D08B2" w:rsidP="000B2407">
            <w:pPr>
              <w:keepNext/>
            </w:pPr>
            <w:r>
              <w:t xml:space="preserve">Domestic gas producers </w:t>
            </w:r>
          </w:p>
        </w:tc>
        <w:tc>
          <w:tcPr>
            <w:tcW w:w="6088" w:type="dxa"/>
          </w:tcPr>
          <w:p w14:paraId="447B9A48" w14:textId="5AB9ED58" w:rsidR="009D08B2" w:rsidRPr="002E2609" w:rsidRDefault="00D1729D" w:rsidP="000B2407">
            <w:pPr>
              <w:keepNext/>
              <w:rPr>
                <w:color w:val="auto"/>
              </w:rPr>
            </w:pPr>
            <w:r>
              <w:t xml:space="preserve">The mandatory </w:t>
            </w:r>
            <w:r w:rsidR="00DC5662">
              <w:t>C</w:t>
            </w:r>
            <w:r>
              <w:t>ode</w:t>
            </w:r>
            <w:r w:rsidR="00DC5662">
              <w:t xml:space="preserve"> of Conduct</w:t>
            </w:r>
            <w:r>
              <w:t xml:space="preserve"> would support</w:t>
            </w:r>
            <w:r w:rsidRPr="00A44E95">
              <w:rPr>
                <w:b/>
              </w:rPr>
              <w:t xml:space="preserve"> increased transparency in the wholesale gas market. </w:t>
            </w:r>
            <w:r>
              <w:t>Gas producers may also face a</w:t>
            </w:r>
            <w:r w:rsidR="00E77ED4">
              <w:t xml:space="preserve"> temporary</w:t>
            </w:r>
            <w:r>
              <w:t xml:space="preserve"> increased regulatory burden under the proposed mandatory </w:t>
            </w:r>
            <w:r w:rsidR="00DC5662">
              <w:t>C</w:t>
            </w:r>
            <w:r>
              <w:t>ode</w:t>
            </w:r>
            <w:r w:rsidR="00DC5662">
              <w:t xml:space="preserve"> of Conduct</w:t>
            </w:r>
            <w:r w:rsidR="00E77ED4">
              <w:t xml:space="preserve"> as they seek legal advice </w:t>
            </w:r>
            <w:r w:rsidR="00EB36F4">
              <w:t>and</w:t>
            </w:r>
            <w:r w:rsidR="00E77ED4">
              <w:t xml:space="preserve"> transition </w:t>
            </w:r>
            <w:r w:rsidR="00EB36F4">
              <w:t>their business practices</w:t>
            </w:r>
            <w:r w:rsidR="00E77ED4">
              <w:t xml:space="preserve"> to comply</w:t>
            </w:r>
            <w:r>
              <w:t xml:space="preserve">, however, this burden may be limited to the extent producers are already signatories to (or otherwise compliant with) the obligations in the voluntary </w:t>
            </w:r>
            <w:r w:rsidR="00DC5662">
              <w:t>C</w:t>
            </w:r>
            <w:r>
              <w:t>ode</w:t>
            </w:r>
            <w:r w:rsidR="00DC5662">
              <w:t xml:space="preserve"> of Conduct</w:t>
            </w:r>
            <w:r w:rsidR="00BD4DE4">
              <w:t xml:space="preserve"> and to the extent that information transparency requirements will target information that is already available to producers</w:t>
            </w:r>
            <w:r>
              <w:t>.</w:t>
            </w:r>
          </w:p>
        </w:tc>
      </w:tr>
      <w:tr w:rsidR="009D08B2" w:rsidRPr="002E2609" w14:paraId="7B09F36C"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61B61DED" w14:textId="4FEBD662" w:rsidR="009D08B2" w:rsidRDefault="009D08B2" w:rsidP="0004133B">
            <w:r>
              <w:t>LNG exporters</w:t>
            </w:r>
          </w:p>
        </w:tc>
        <w:tc>
          <w:tcPr>
            <w:tcW w:w="6088" w:type="dxa"/>
          </w:tcPr>
          <w:p w14:paraId="22A6FB78" w14:textId="742C3A4F" w:rsidR="009D08B2" w:rsidRPr="002E2609" w:rsidRDefault="00D1729D" w:rsidP="0004133B">
            <w:pPr>
              <w:rPr>
                <w:lang w:val="en-GB"/>
              </w:rPr>
            </w:pPr>
            <w:r>
              <w:t xml:space="preserve">The mandatory </w:t>
            </w:r>
            <w:r w:rsidR="00DC5662">
              <w:t>C</w:t>
            </w:r>
            <w:r>
              <w:t>ode</w:t>
            </w:r>
            <w:r w:rsidR="00DC5662">
              <w:t xml:space="preserve"> of Conduct</w:t>
            </w:r>
            <w:r>
              <w:t xml:space="preserve"> would support </w:t>
            </w:r>
            <w:r w:rsidRPr="00A44E95">
              <w:rPr>
                <w:b/>
              </w:rPr>
              <w:t>increased transparency in the wholesale gas market</w:t>
            </w:r>
            <w:r>
              <w:t xml:space="preserve">. </w:t>
            </w:r>
            <w:r w:rsidR="00A60C0A">
              <w:t>LNG exporters</w:t>
            </w:r>
            <w:r w:rsidR="00E77ED4">
              <w:t xml:space="preserve"> may also face a temporary increased regulatory burden under the proposed mandatory </w:t>
            </w:r>
            <w:r w:rsidR="00DC5662">
              <w:t>C</w:t>
            </w:r>
            <w:r w:rsidR="00E77ED4">
              <w:t>ode</w:t>
            </w:r>
            <w:r w:rsidR="00DC5662">
              <w:t xml:space="preserve"> of Conduct</w:t>
            </w:r>
            <w:r w:rsidR="00E77ED4">
              <w:t xml:space="preserve"> as they seek legal advice a</w:t>
            </w:r>
            <w:r w:rsidR="00EB36F4">
              <w:t>nd</w:t>
            </w:r>
            <w:r w:rsidR="00E77ED4">
              <w:t xml:space="preserve"> transition </w:t>
            </w:r>
            <w:r w:rsidR="00EB36F4">
              <w:t>their</w:t>
            </w:r>
            <w:r w:rsidR="00E77ED4">
              <w:t xml:space="preserve"> business </w:t>
            </w:r>
            <w:r w:rsidR="00EB36F4">
              <w:t>practices</w:t>
            </w:r>
            <w:r w:rsidR="00E77ED4">
              <w:t xml:space="preserve"> to comply, however, this burden may be limited to the extent producers are already signatories to (or otherwise compliant with) the obligations in the voluntary </w:t>
            </w:r>
            <w:r w:rsidR="00031EAC">
              <w:t>C</w:t>
            </w:r>
            <w:r w:rsidR="00E77ED4">
              <w:t>ode</w:t>
            </w:r>
            <w:r w:rsidR="00031EAC">
              <w:t xml:space="preserve"> of Conduct</w:t>
            </w:r>
            <w:r w:rsidR="00E77ED4">
              <w:t>.</w:t>
            </w:r>
          </w:p>
        </w:tc>
      </w:tr>
      <w:tr w:rsidR="009606D4" w14:paraId="0FB77066"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1D36E8BA" w14:textId="3193B2E0" w:rsidR="009606D4" w:rsidRDefault="00273DB1" w:rsidP="0004133B">
            <w:r>
              <w:t>Generators</w:t>
            </w:r>
          </w:p>
        </w:tc>
        <w:tc>
          <w:tcPr>
            <w:tcW w:w="6088" w:type="dxa"/>
          </w:tcPr>
          <w:p w14:paraId="5E8AD919" w14:textId="790E803A" w:rsidR="009606D4" w:rsidRDefault="00D1729D" w:rsidP="0004133B">
            <w:r>
              <w:t xml:space="preserve">Generators would likely see </w:t>
            </w:r>
            <w:r w:rsidRPr="00A44E95">
              <w:rPr>
                <w:b/>
              </w:rPr>
              <w:t>lower wholesale prices</w:t>
            </w:r>
            <w:r>
              <w:t xml:space="preserve"> through </w:t>
            </w:r>
            <w:r w:rsidR="00E77ED4" w:rsidRPr="00A44E95">
              <w:rPr>
                <w:b/>
                <w:bCs/>
              </w:rPr>
              <w:t>greater transparency</w:t>
            </w:r>
            <w:r w:rsidR="00E77ED4">
              <w:t xml:space="preserve"> and </w:t>
            </w:r>
            <w:r>
              <w:t>minimum standards in the negotiation of gas supply contracts.</w:t>
            </w:r>
          </w:p>
        </w:tc>
      </w:tr>
      <w:tr w:rsidR="009D08B2" w14:paraId="7FAACB9B"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47CC655A" w14:textId="258C5C1F" w:rsidR="009D08B2" w:rsidRDefault="009D08B2" w:rsidP="0004133B">
            <w:r>
              <w:t>Retail energy companies</w:t>
            </w:r>
          </w:p>
        </w:tc>
        <w:tc>
          <w:tcPr>
            <w:tcW w:w="6088" w:type="dxa"/>
          </w:tcPr>
          <w:p w14:paraId="075915ED" w14:textId="6D2EE4F9" w:rsidR="009D08B2" w:rsidRDefault="00D1729D" w:rsidP="0004133B">
            <w:r>
              <w:t xml:space="preserve">Retailers would </w:t>
            </w:r>
            <w:r w:rsidR="00A97C74">
              <w:t xml:space="preserve">benefit to the extent they are </w:t>
            </w:r>
            <w:r w:rsidR="00A97C74" w:rsidRPr="00A44E95">
              <w:rPr>
                <w:b/>
              </w:rPr>
              <w:t xml:space="preserve">able to access </w:t>
            </w:r>
            <w:r w:rsidR="00BD4DE4">
              <w:rPr>
                <w:b/>
                <w:bCs/>
              </w:rPr>
              <w:t xml:space="preserve">wholesale </w:t>
            </w:r>
            <w:r w:rsidR="00A97C74" w:rsidRPr="00A44E95">
              <w:rPr>
                <w:b/>
              </w:rPr>
              <w:t>electricity at prices lower than the current</w:t>
            </w:r>
            <w:r w:rsidR="00A97C74">
              <w:rPr>
                <w:b/>
              </w:rPr>
              <w:t xml:space="preserve"> </w:t>
            </w:r>
            <w:r w:rsidR="00BD4DE4">
              <w:rPr>
                <w:b/>
                <w:bCs/>
              </w:rPr>
              <w:t>wholesale</w:t>
            </w:r>
            <w:r w:rsidR="00A97C74" w:rsidRPr="00A44E95">
              <w:rPr>
                <w:b/>
                <w:bCs/>
              </w:rPr>
              <w:t xml:space="preserve"> </w:t>
            </w:r>
            <w:r w:rsidR="00A97C74" w:rsidRPr="00A44E95">
              <w:rPr>
                <w:b/>
              </w:rPr>
              <w:t>market price</w:t>
            </w:r>
            <w:r w:rsidR="00A97C74">
              <w:t>.</w:t>
            </w:r>
          </w:p>
        </w:tc>
      </w:tr>
      <w:tr w:rsidR="009D08B2" w14:paraId="784FFB43"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56520772" w14:textId="14B6E808" w:rsidR="009D08B2" w:rsidRDefault="009D08B2" w:rsidP="0004133B">
            <w:r>
              <w:t>Domestic energy consumers (households, small business and industrial users)</w:t>
            </w:r>
          </w:p>
        </w:tc>
        <w:tc>
          <w:tcPr>
            <w:tcW w:w="6088" w:type="dxa"/>
          </w:tcPr>
          <w:p w14:paraId="1535A4E0" w14:textId="3EE39F2F" w:rsidR="00D1729D" w:rsidRDefault="00D1729D" w:rsidP="00D1729D">
            <w:r>
              <w:t xml:space="preserve">Industrial users would likely see </w:t>
            </w:r>
            <w:r w:rsidRPr="00A44E95">
              <w:rPr>
                <w:b/>
              </w:rPr>
              <w:t>lower wholesale prices</w:t>
            </w:r>
            <w:r>
              <w:t xml:space="preserve"> through </w:t>
            </w:r>
            <w:r w:rsidR="00E77ED4" w:rsidRPr="00A44E95">
              <w:rPr>
                <w:b/>
                <w:bCs/>
              </w:rPr>
              <w:t>greater transparency</w:t>
            </w:r>
            <w:r w:rsidR="00E77ED4">
              <w:t xml:space="preserve"> and </w:t>
            </w:r>
            <w:r>
              <w:t>minimum standards in the negotiation of gas supply contracts.</w:t>
            </w:r>
          </w:p>
          <w:p w14:paraId="23F49049" w14:textId="13D4339B" w:rsidR="009D08B2" w:rsidRDefault="00A97C74" w:rsidP="00A77550">
            <w:pPr>
              <w:pStyle w:val="BodyText"/>
            </w:pPr>
            <w:r>
              <w:t xml:space="preserve">Retail customers would benefit from </w:t>
            </w:r>
            <w:r w:rsidRPr="0080506D">
              <w:rPr>
                <w:b/>
                <w:bCs/>
              </w:rPr>
              <w:t xml:space="preserve">reduced </w:t>
            </w:r>
            <w:r w:rsidR="00FD7DA6" w:rsidRPr="0080506D">
              <w:rPr>
                <w:b/>
                <w:bCs/>
              </w:rPr>
              <w:t>growth in their</w:t>
            </w:r>
            <w:r w:rsidR="00FD7DA6">
              <w:t xml:space="preserve"> </w:t>
            </w:r>
            <w:r w:rsidR="00E77ED4" w:rsidRPr="0004133B">
              <w:rPr>
                <w:b/>
                <w:bCs/>
              </w:rPr>
              <w:t>energy bills</w:t>
            </w:r>
            <w:r>
              <w:t>.</w:t>
            </w:r>
          </w:p>
        </w:tc>
      </w:tr>
      <w:tr w:rsidR="00FB36B5" w14:paraId="75767B1E"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2F6722C4" w14:textId="662460C5" w:rsidR="00FB36B5" w:rsidRDefault="00FB36B5" w:rsidP="00FB36B5">
            <w:r>
              <w:t>International trading partners and investors</w:t>
            </w:r>
          </w:p>
        </w:tc>
        <w:tc>
          <w:tcPr>
            <w:tcW w:w="6088" w:type="dxa"/>
          </w:tcPr>
          <w:p w14:paraId="22AD828F" w14:textId="42A2F3F2" w:rsidR="00FB36B5" w:rsidRDefault="00FB36B5" w:rsidP="00FB36B5">
            <w:r>
              <w:t xml:space="preserve">A mandatory </w:t>
            </w:r>
            <w:r w:rsidR="000A7245">
              <w:t>C</w:t>
            </w:r>
            <w:r>
              <w:t>ode</w:t>
            </w:r>
            <w:r w:rsidR="000A7245">
              <w:t xml:space="preserve"> of Conduct</w:t>
            </w:r>
            <w:r>
              <w:t xml:space="preserve"> is </w:t>
            </w:r>
            <w:r w:rsidRPr="00A44E95">
              <w:rPr>
                <w:b/>
              </w:rPr>
              <w:t>unlikely to affect the volume of commodities exported to Australia’s trading partners</w:t>
            </w:r>
            <w:r>
              <w:t xml:space="preserve">. Increased transparency is </w:t>
            </w:r>
            <w:r w:rsidRPr="00A44E95">
              <w:rPr>
                <w:b/>
              </w:rPr>
              <w:t>unlikely to cause significant concerns for international investors</w:t>
            </w:r>
            <w:r w:rsidR="00842EFE">
              <w:t xml:space="preserve">, but investors may share the concerns of the LNG exporters about an increased regulatory burden. </w:t>
            </w:r>
            <w:r>
              <w:t xml:space="preserve"> </w:t>
            </w:r>
          </w:p>
        </w:tc>
      </w:tr>
    </w:tbl>
    <w:p w14:paraId="79913B64" w14:textId="77777777" w:rsidR="005F2D74" w:rsidRDefault="005F2D74" w:rsidP="005F2D74">
      <w:pPr>
        <w:rPr>
          <w:b/>
          <w:bCs/>
        </w:rPr>
      </w:pPr>
    </w:p>
    <w:p w14:paraId="4E498938" w14:textId="77777777" w:rsidR="005F2D74" w:rsidRDefault="005F2D74" w:rsidP="005F2D74">
      <w:pPr>
        <w:rPr>
          <w:b/>
          <w:bCs/>
        </w:rPr>
      </w:pPr>
      <w:r>
        <w:rPr>
          <w:b/>
          <w:bCs/>
        </w:rPr>
        <w:t>Regulatory burden costings:</w:t>
      </w:r>
    </w:p>
    <w:p w14:paraId="7621F70B" w14:textId="5726B944" w:rsidR="005F2D74" w:rsidRDefault="005F2D74" w:rsidP="005F2D74">
      <w:r>
        <w:t xml:space="preserve">This option is expected to carry regulatory compliance costs, insofar as gas producers subject to the mandatory </w:t>
      </w:r>
      <w:r w:rsidR="000A7245">
        <w:t>C</w:t>
      </w:r>
      <w:r>
        <w:t>ode</w:t>
      </w:r>
      <w:r w:rsidR="000A7245">
        <w:t xml:space="preserve"> of Conduct</w:t>
      </w:r>
      <w:r>
        <w:t xml:space="preserve"> will need to learn about their obligations under the code and adjust their processes to be compliant with the code. </w:t>
      </w:r>
    </w:p>
    <w:p w14:paraId="100F48B3" w14:textId="328FFBB6" w:rsidR="005F2D74" w:rsidRDefault="005F2D74" w:rsidP="005F2D74">
      <w:r>
        <w:t xml:space="preserve">In total, it is expected that this option will create approximately $370,000 in regulatory costs. See </w:t>
      </w:r>
      <w:r w:rsidRPr="007E776D">
        <w:t>A</w:t>
      </w:r>
      <w:r w:rsidRPr="00CB4D42">
        <w:t xml:space="preserve">ppendix </w:t>
      </w:r>
      <w:r w:rsidR="007E776D" w:rsidRPr="00CB4D42">
        <w:t xml:space="preserve">B </w:t>
      </w:r>
      <w:r w:rsidRPr="00CB4D42">
        <w:t>for</w:t>
      </w:r>
      <w:r>
        <w:t xml:space="preserve"> more detailed calculations and the assumptions made in these costings.</w:t>
      </w:r>
    </w:p>
    <w:p w14:paraId="3564BD7D" w14:textId="2A084795" w:rsidR="005F2D74" w:rsidRPr="008C58CF" w:rsidRDefault="005F2D74" w:rsidP="00B766DD">
      <w:pPr>
        <w:keepNext/>
        <w:rPr>
          <w:b/>
          <w:bCs/>
        </w:rPr>
      </w:pPr>
      <w:r w:rsidRPr="008C58CF">
        <w:rPr>
          <w:b/>
          <w:bCs/>
        </w:rPr>
        <w:lastRenderedPageBreak/>
        <w:t xml:space="preserve">Table </w:t>
      </w:r>
      <w:r w:rsidR="00C644DD">
        <w:rPr>
          <w:b/>
          <w:bCs/>
        </w:rPr>
        <w:t>6</w:t>
      </w:r>
      <w:r w:rsidRPr="008C58CF">
        <w:rPr>
          <w:b/>
          <w:bCs/>
        </w:rPr>
        <w:t>: Regulatory burden estimate (RBE) table (Option A</w:t>
      </w:r>
      <w:r>
        <w:rPr>
          <w:b/>
          <w:bCs/>
        </w:rPr>
        <w:t>2</w:t>
      </w:r>
      <w:r w:rsidRPr="008C58CF">
        <w:rPr>
          <w:b/>
          <w:bCs/>
        </w:rPr>
        <w:t xml:space="preserve">) </w:t>
      </w:r>
    </w:p>
    <w:tbl>
      <w:tblPr>
        <w:tblW w:w="8942" w:type="dxa"/>
        <w:tblInd w:w="108" w:type="dxa"/>
        <w:tblCellMar>
          <w:left w:w="0" w:type="dxa"/>
          <w:right w:w="0" w:type="dxa"/>
        </w:tblCellMar>
        <w:tblLook w:val="04A0" w:firstRow="1" w:lastRow="0" w:firstColumn="1" w:lastColumn="0" w:noHBand="0" w:noVBand="1"/>
        <w:tblCaption w:val="Regulatory burden estimate table"/>
        <w:tblDescription w:val="Template for the Regulatory burden estimate table"/>
      </w:tblPr>
      <w:tblGrid>
        <w:gridCol w:w="1789"/>
        <w:gridCol w:w="1788"/>
        <w:gridCol w:w="1788"/>
        <w:gridCol w:w="1788"/>
        <w:gridCol w:w="1789"/>
      </w:tblGrid>
      <w:tr w:rsidR="006949CF" w14:paraId="5A000229" w14:textId="77777777" w:rsidTr="00397F9E">
        <w:trPr>
          <w:trHeight w:val="300"/>
          <w:tblHeader/>
        </w:trPr>
        <w:tc>
          <w:tcPr>
            <w:tcW w:w="8942" w:type="dxa"/>
            <w:gridSpan w:val="5"/>
            <w:tcBorders>
              <w:top w:val="single" w:sz="8" w:space="0" w:color="ED7D31"/>
              <w:left w:val="single" w:sz="8" w:space="0" w:color="ED7D31"/>
              <w:bottom w:val="single" w:sz="8" w:space="0" w:color="ED7D31"/>
              <w:right w:val="single" w:sz="8" w:space="0" w:color="ED7D31"/>
            </w:tcBorders>
            <w:shd w:val="clear" w:color="auto" w:fill="CD0920"/>
            <w:noWrap/>
            <w:tcMar>
              <w:top w:w="0" w:type="dxa"/>
              <w:left w:w="108" w:type="dxa"/>
              <w:bottom w:w="0" w:type="dxa"/>
              <w:right w:w="108" w:type="dxa"/>
            </w:tcMar>
            <w:hideMark/>
          </w:tcPr>
          <w:p w14:paraId="2B862F9D" w14:textId="77777777" w:rsidR="005F2D74" w:rsidRPr="008C58CF" w:rsidRDefault="005F2D74" w:rsidP="00B766DD">
            <w:pPr>
              <w:keepNext/>
              <w:spacing w:before="120" w:after="120"/>
              <w:rPr>
                <w:rFonts w:cstheme="minorHAnsi"/>
                <w:b/>
                <w:bCs/>
                <w:color w:val="FFFFFF"/>
                <w:sz w:val="20"/>
                <w:szCs w:val="20"/>
              </w:rPr>
            </w:pPr>
            <w:r w:rsidRPr="005F2D74">
              <w:rPr>
                <w:rFonts w:cstheme="minorHAnsi"/>
                <w:b/>
                <w:color w:val="FFFFFF"/>
                <w:sz w:val="20"/>
                <w:szCs w:val="20"/>
              </w:rPr>
              <w:t>Average annual regulatory costs (from business as usual)</w:t>
            </w:r>
          </w:p>
        </w:tc>
      </w:tr>
      <w:tr w:rsidR="00D339FA" w14:paraId="34BBED2B" w14:textId="77777777" w:rsidTr="00397F9E">
        <w:trPr>
          <w:trHeight w:val="300"/>
        </w:trPr>
        <w:tc>
          <w:tcPr>
            <w:tcW w:w="1789" w:type="dxa"/>
            <w:tcBorders>
              <w:top w:val="nil"/>
              <w:left w:val="single" w:sz="8" w:space="0" w:color="ED7D31"/>
              <w:bottom w:val="single" w:sz="8" w:space="0" w:color="ED7D31"/>
              <w:right w:val="single" w:sz="8" w:space="0" w:color="ED7D31"/>
            </w:tcBorders>
            <w:noWrap/>
            <w:tcMar>
              <w:top w:w="0" w:type="dxa"/>
              <w:left w:w="108" w:type="dxa"/>
              <w:bottom w:w="0" w:type="dxa"/>
              <w:right w:w="108" w:type="dxa"/>
            </w:tcMar>
            <w:hideMark/>
          </w:tcPr>
          <w:p w14:paraId="440D2452" w14:textId="77777777" w:rsidR="005F2D74" w:rsidRPr="008C58CF" w:rsidRDefault="005F2D74" w:rsidP="00A77550">
            <w:pPr>
              <w:pStyle w:val="TableText"/>
              <w:keepNext/>
              <w:rPr>
                <w:rFonts w:asciiTheme="minorHAnsi" w:hAnsiTheme="minorHAnsi" w:cstheme="minorHAnsi"/>
              </w:rPr>
            </w:pPr>
            <w:r w:rsidRPr="008C58CF">
              <w:rPr>
                <w:rFonts w:asciiTheme="minorHAnsi" w:hAnsiTheme="minorHAnsi" w:cstheme="minorHAnsi"/>
              </w:rPr>
              <w:t>Change in costs ($ million)</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47373203" w14:textId="77777777" w:rsidR="005F2D74" w:rsidRPr="008C58CF" w:rsidRDefault="005F2D74" w:rsidP="00A77550">
            <w:pPr>
              <w:pStyle w:val="TableText"/>
              <w:keepNext/>
              <w:rPr>
                <w:rFonts w:asciiTheme="minorHAnsi" w:hAnsiTheme="minorHAnsi" w:cstheme="minorHAnsi"/>
              </w:rPr>
            </w:pPr>
            <w:r w:rsidRPr="008C58CF">
              <w:rPr>
                <w:rFonts w:asciiTheme="minorHAnsi" w:hAnsiTheme="minorHAnsi" w:cstheme="minorHAnsi"/>
              </w:rPr>
              <w:t>Business</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2B86653F" w14:textId="77777777" w:rsidR="005F2D74" w:rsidRPr="005F2D74" w:rsidRDefault="005F2D74" w:rsidP="00A77550">
            <w:pPr>
              <w:keepNext/>
              <w:spacing w:before="120" w:after="120"/>
              <w:rPr>
                <w:rFonts w:cstheme="minorHAnsi"/>
                <w:sz w:val="20"/>
                <w:szCs w:val="20"/>
              </w:rPr>
            </w:pPr>
            <w:r w:rsidRPr="005F2D74">
              <w:rPr>
                <w:rFonts w:cstheme="minorHAnsi"/>
                <w:sz w:val="20"/>
                <w:szCs w:val="20"/>
              </w:rPr>
              <w:t>Community organisations</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5DE6F8A7" w14:textId="77777777" w:rsidR="005F2D74" w:rsidRPr="005F2D74" w:rsidRDefault="005F2D74" w:rsidP="00A77550">
            <w:pPr>
              <w:keepNext/>
              <w:spacing w:before="120" w:after="120"/>
              <w:rPr>
                <w:rFonts w:cstheme="minorHAnsi"/>
                <w:sz w:val="20"/>
                <w:szCs w:val="20"/>
              </w:rPr>
            </w:pPr>
            <w:r w:rsidRPr="005F2D74">
              <w:rPr>
                <w:rFonts w:cstheme="minorHAnsi"/>
                <w:sz w:val="20"/>
                <w:szCs w:val="20"/>
              </w:rPr>
              <w:t>Individuals</w:t>
            </w:r>
          </w:p>
        </w:tc>
        <w:tc>
          <w:tcPr>
            <w:tcW w:w="1789"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00DE058C" w14:textId="77777777" w:rsidR="005F2D74" w:rsidRPr="005F2D74" w:rsidRDefault="005F2D74" w:rsidP="00A77550">
            <w:pPr>
              <w:keepNext/>
              <w:spacing w:before="120" w:after="120"/>
              <w:rPr>
                <w:rFonts w:cstheme="minorHAnsi"/>
                <w:sz w:val="20"/>
                <w:szCs w:val="20"/>
              </w:rPr>
            </w:pPr>
            <w:r w:rsidRPr="005F2D74">
              <w:rPr>
                <w:rFonts w:cstheme="minorHAnsi"/>
                <w:sz w:val="20"/>
                <w:szCs w:val="20"/>
              </w:rPr>
              <w:t>Total change in costs</w:t>
            </w:r>
          </w:p>
        </w:tc>
      </w:tr>
      <w:tr w:rsidR="00D339FA" w14:paraId="1D28650E" w14:textId="77777777" w:rsidTr="00397F9E">
        <w:trPr>
          <w:trHeight w:val="300"/>
        </w:trPr>
        <w:tc>
          <w:tcPr>
            <w:tcW w:w="1789" w:type="dxa"/>
            <w:tcBorders>
              <w:top w:val="nil"/>
              <w:left w:val="single" w:sz="8" w:space="0" w:color="ED7D31"/>
              <w:bottom w:val="single" w:sz="8" w:space="0" w:color="ED7D31"/>
              <w:right w:val="single" w:sz="8" w:space="0" w:color="ED7D31"/>
            </w:tcBorders>
            <w:noWrap/>
            <w:tcMar>
              <w:top w:w="0" w:type="dxa"/>
              <w:left w:w="108" w:type="dxa"/>
              <w:bottom w:w="0" w:type="dxa"/>
              <w:right w:w="108" w:type="dxa"/>
            </w:tcMar>
            <w:hideMark/>
          </w:tcPr>
          <w:p w14:paraId="60878E65" w14:textId="77777777" w:rsidR="005F2D74" w:rsidRPr="005F2D74" w:rsidRDefault="005F2D74" w:rsidP="00A77550">
            <w:pPr>
              <w:keepNext/>
              <w:spacing w:before="120" w:after="120"/>
              <w:rPr>
                <w:rFonts w:cstheme="minorHAnsi"/>
                <w:sz w:val="20"/>
                <w:szCs w:val="20"/>
              </w:rPr>
            </w:pPr>
            <w:r w:rsidRPr="005F2D74">
              <w:rPr>
                <w:rFonts w:cstheme="minorHAnsi"/>
                <w:sz w:val="20"/>
                <w:szCs w:val="20"/>
              </w:rPr>
              <w:t>Total, by sector</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4B6E9DEC" w14:textId="77777777" w:rsidR="005F2D74" w:rsidRPr="005F2D74" w:rsidRDefault="005F2D74" w:rsidP="00A77550">
            <w:pPr>
              <w:keepNext/>
              <w:spacing w:before="120" w:after="120"/>
              <w:rPr>
                <w:rFonts w:cstheme="minorHAnsi"/>
                <w:sz w:val="20"/>
                <w:szCs w:val="20"/>
              </w:rPr>
            </w:pPr>
            <w:r w:rsidRPr="005F2D74">
              <w:rPr>
                <w:rFonts w:cstheme="minorHAnsi"/>
                <w:sz w:val="20"/>
                <w:szCs w:val="20"/>
              </w:rPr>
              <w:t>$</w:t>
            </w:r>
            <w:r>
              <w:rPr>
                <w:rFonts w:cstheme="minorHAnsi"/>
                <w:sz w:val="20"/>
                <w:szCs w:val="20"/>
              </w:rPr>
              <w:t>371,459</w:t>
            </w: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6DAD34E2" w14:textId="4ECC8831" w:rsidR="005F2D74" w:rsidRPr="005F2D74" w:rsidRDefault="005F2D74" w:rsidP="00A77550">
            <w:pPr>
              <w:keepNext/>
              <w:spacing w:before="120" w:after="120"/>
              <w:rPr>
                <w:rFonts w:cstheme="minorHAnsi"/>
                <w:sz w:val="20"/>
                <w:szCs w:val="20"/>
              </w:rPr>
            </w:pPr>
          </w:p>
        </w:tc>
        <w:tc>
          <w:tcPr>
            <w:tcW w:w="1788"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28D2AD40" w14:textId="17919333" w:rsidR="005F2D74" w:rsidRPr="005F2D74" w:rsidRDefault="005F2D74" w:rsidP="00A77550">
            <w:pPr>
              <w:keepNext/>
              <w:spacing w:before="120" w:after="120"/>
              <w:rPr>
                <w:rFonts w:cstheme="minorHAnsi"/>
                <w:sz w:val="20"/>
                <w:szCs w:val="20"/>
              </w:rPr>
            </w:pPr>
          </w:p>
        </w:tc>
        <w:tc>
          <w:tcPr>
            <w:tcW w:w="1789"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354D4080" w14:textId="77777777" w:rsidR="005F2D74" w:rsidRPr="005F2D74" w:rsidRDefault="005F2D74" w:rsidP="00A77550">
            <w:pPr>
              <w:keepNext/>
              <w:spacing w:before="120" w:after="120"/>
              <w:rPr>
                <w:rFonts w:cstheme="minorHAnsi"/>
                <w:sz w:val="20"/>
                <w:szCs w:val="20"/>
              </w:rPr>
            </w:pPr>
            <w:r w:rsidRPr="005F2D74">
              <w:rPr>
                <w:rFonts w:cstheme="minorHAnsi"/>
                <w:sz w:val="20"/>
                <w:szCs w:val="20"/>
              </w:rPr>
              <w:t>$</w:t>
            </w:r>
            <w:r>
              <w:rPr>
                <w:rFonts w:cstheme="minorHAnsi"/>
                <w:sz w:val="20"/>
                <w:szCs w:val="20"/>
              </w:rPr>
              <w:t>371,459</w:t>
            </w:r>
          </w:p>
        </w:tc>
      </w:tr>
    </w:tbl>
    <w:p w14:paraId="75A2AED1" w14:textId="77777777" w:rsidR="00E77ED4" w:rsidRDefault="00E77ED4" w:rsidP="00FC794D">
      <w:pPr>
        <w:rPr>
          <w:bCs/>
        </w:rPr>
      </w:pPr>
    </w:p>
    <w:p w14:paraId="382B0DA7" w14:textId="2BB63F63" w:rsidR="00413CB9" w:rsidRDefault="00413CB9" w:rsidP="00413CB9">
      <w:pPr>
        <w:pStyle w:val="HeaderOdd"/>
        <w:rPr>
          <w:bCs/>
        </w:rPr>
      </w:pPr>
      <w:r w:rsidRPr="00A217B6">
        <w:rPr>
          <w:bCs/>
        </w:rPr>
        <w:t xml:space="preserve">Option </w:t>
      </w:r>
      <w:r w:rsidR="006E70DD" w:rsidRPr="006E70DD">
        <w:rPr>
          <w:bCs/>
        </w:rPr>
        <w:t xml:space="preserve">A3 – Work with industry to strengthen the existing voluntary Code of </w:t>
      </w:r>
      <w:r w:rsidDel="006E70DD">
        <w:rPr>
          <w:bCs/>
        </w:rPr>
        <w:t>Conduct</w:t>
      </w:r>
    </w:p>
    <w:p w14:paraId="6B2E93F5" w14:textId="77777777" w:rsidR="000F32D5" w:rsidRPr="00312DC7" w:rsidRDefault="000F32D5" w:rsidP="000F32D5">
      <w:pPr>
        <w:rPr>
          <w:b/>
        </w:rPr>
      </w:pPr>
      <w:r w:rsidRPr="00312DC7">
        <w:rPr>
          <w:b/>
        </w:rPr>
        <w:t>Improving the operation of the voluntary Code of Conduct</w:t>
      </w:r>
    </w:p>
    <w:p w14:paraId="629DE8DD" w14:textId="388E3E71" w:rsidR="00413CB9" w:rsidRDefault="000F32D5" w:rsidP="00FC794D">
      <w:pPr>
        <w:rPr>
          <w:bCs/>
        </w:rPr>
      </w:pPr>
      <w:r>
        <w:t xml:space="preserve">Under this option, the Government </w:t>
      </w:r>
      <w:r w:rsidR="00BD4DE4">
        <w:t>w</w:t>
      </w:r>
      <w:r>
        <w:t xml:space="preserve">ould work with industry to </w:t>
      </w:r>
      <w:r w:rsidR="002326D7">
        <w:t xml:space="preserve">increase </w:t>
      </w:r>
      <w:r w:rsidR="00BD4DE4">
        <w:t>participation in</w:t>
      </w:r>
      <w:r w:rsidR="002326D7">
        <w:t xml:space="preserve"> and </w:t>
      </w:r>
      <w:r>
        <w:t xml:space="preserve">amend </w:t>
      </w:r>
      <w:r w:rsidR="002326D7">
        <w:t>the existing voluntary</w:t>
      </w:r>
      <w:r w:rsidRPr="001123B2" w:rsidDel="001F1C80">
        <w:t xml:space="preserve"> </w:t>
      </w:r>
      <w:r w:rsidR="00E42399">
        <w:t>C</w:t>
      </w:r>
      <w:r w:rsidRPr="001123B2" w:rsidDel="001F1C80">
        <w:t xml:space="preserve">ode </w:t>
      </w:r>
      <w:r>
        <w:t xml:space="preserve">of </w:t>
      </w:r>
      <w:r w:rsidR="00E42399">
        <w:t>C</w:t>
      </w:r>
      <w:r>
        <w:t xml:space="preserve">onduct for wholesale gas markets </w:t>
      </w:r>
      <w:r w:rsidR="0045146F">
        <w:t>to</w:t>
      </w:r>
      <w:r>
        <w:t xml:space="preserve"> address current limitations in the voluntary </w:t>
      </w:r>
      <w:r w:rsidR="00C62335">
        <w:t>Code of Conduct</w:t>
      </w:r>
      <w:r>
        <w:t>, as previously identified by the ACCC.</w:t>
      </w:r>
      <w:r w:rsidR="000A6374">
        <w:t xml:space="preserve"> The extent to which this option would meet the objectives set out in this document is dependent on the results of any negotiations and uptake by industry members.</w:t>
      </w:r>
    </w:p>
    <w:p w14:paraId="00E3268C" w14:textId="43B1561C" w:rsidR="00273DB1" w:rsidRDefault="00C644DD" w:rsidP="000F32D5">
      <w:r w:rsidRPr="00C644DD">
        <w:rPr>
          <w:b/>
          <w:bCs/>
        </w:rPr>
        <w:t xml:space="preserve">Table </w:t>
      </w:r>
      <w:r>
        <w:rPr>
          <w:b/>
          <w:bCs/>
        </w:rPr>
        <w:t>7</w:t>
      </w:r>
      <w:r w:rsidRPr="00C644DD">
        <w:rPr>
          <w:b/>
          <w:bCs/>
        </w:rPr>
        <w:t>: Stakeholder Impacts of</w:t>
      </w:r>
      <w:r>
        <w:rPr>
          <w:b/>
          <w:bCs/>
        </w:rPr>
        <w:t xml:space="preserve"> Option</w:t>
      </w:r>
      <w:r w:rsidRPr="00C644DD">
        <w:rPr>
          <w:b/>
          <w:bCs/>
        </w:rPr>
        <w:t xml:space="preserve"> </w:t>
      </w:r>
      <w:r>
        <w:rPr>
          <w:b/>
          <w:bCs/>
        </w:rPr>
        <w:t>A3</w:t>
      </w:r>
    </w:p>
    <w:tbl>
      <w:tblPr>
        <w:tblStyle w:val="PMCDefaultTableStyle"/>
        <w:tblW w:w="0" w:type="auto"/>
        <w:tblLook w:val="04A0" w:firstRow="1" w:lastRow="0" w:firstColumn="1" w:lastColumn="0" w:noHBand="0" w:noVBand="1"/>
      </w:tblPr>
      <w:tblGrid>
        <w:gridCol w:w="2972"/>
        <w:gridCol w:w="6088"/>
      </w:tblGrid>
      <w:tr w:rsidR="009D08B2" w:rsidRPr="002E2609" w14:paraId="4C5C34E2" w14:textId="77777777" w:rsidTr="000B2407">
        <w:trPr>
          <w:cnfStyle w:val="100000000000" w:firstRow="1" w:lastRow="0" w:firstColumn="0" w:lastColumn="0" w:oddVBand="0" w:evenVBand="0" w:oddHBand="0" w:evenHBand="0" w:firstRowFirstColumn="0" w:firstRowLastColumn="0" w:lastRowFirstColumn="0" w:lastRowLastColumn="0"/>
        </w:trPr>
        <w:tc>
          <w:tcPr>
            <w:tcW w:w="2972" w:type="dxa"/>
          </w:tcPr>
          <w:p w14:paraId="4B6D33B5" w14:textId="77777777" w:rsidR="009D08B2" w:rsidRPr="002E2609" w:rsidRDefault="009D08B2" w:rsidP="0004133B">
            <w:pPr>
              <w:rPr>
                <w:b w:val="0"/>
              </w:rPr>
            </w:pPr>
            <w:r>
              <w:t>Stakeholder group</w:t>
            </w:r>
          </w:p>
        </w:tc>
        <w:tc>
          <w:tcPr>
            <w:tcW w:w="6088" w:type="dxa"/>
          </w:tcPr>
          <w:p w14:paraId="376582EB" w14:textId="77777777" w:rsidR="009D08B2" w:rsidRPr="002E2609" w:rsidRDefault="009D08B2" w:rsidP="0004133B">
            <w:pPr>
              <w:rPr>
                <w:b w:val="0"/>
              </w:rPr>
            </w:pPr>
            <w:r>
              <w:t>Impact</w:t>
            </w:r>
          </w:p>
        </w:tc>
      </w:tr>
      <w:tr w:rsidR="009D08B2" w:rsidRPr="002E2609" w14:paraId="1D69873C"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08658ED5" w14:textId="1CA14ACC" w:rsidR="009D08B2" w:rsidRDefault="009D08B2" w:rsidP="0004133B">
            <w:r>
              <w:t xml:space="preserve">Domestic gas producers </w:t>
            </w:r>
          </w:p>
        </w:tc>
        <w:tc>
          <w:tcPr>
            <w:tcW w:w="6088" w:type="dxa"/>
          </w:tcPr>
          <w:p w14:paraId="3B2534DB" w14:textId="310D921A" w:rsidR="009D08B2" w:rsidRPr="002E2609" w:rsidRDefault="00E44724" w:rsidP="0004133B">
            <w:pPr>
              <w:rPr>
                <w:color w:val="auto"/>
              </w:rPr>
            </w:pPr>
            <w:r w:rsidRPr="0004133B">
              <w:rPr>
                <w:b/>
                <w:color w:val="auto"/>
              </w:rPr>
              <w:t>Minimal</w:t>
            </w:r>
            <w:r w:rsidR="008A2BDE" w:rsidRPr="0004133B">
              <w:rPr>
                <w:b/>
                <w:bCs/>
                <w:color w:val="auto"/>
              </w:rPr>
              <w:t xml:space="preserve"> but </w:t>
            </w:r>
            <w:r w:rsidR="008A2BDE">
              <w:rPr>
                <w:b/>
                <w:bCs/>
                <w:color w:val="auto"/>
              </w:rPr>
              <w:t>some</w:t>
            </w:r>
            <w:r w:rsidR="008A2BDE" w:rsidRPr="0004133B">
              <w:rPr>
                <w:b/>
                <w:bCs/>
                <w:color w:val="auto"/>
              </w:rPr>
              <w:t xml:space="preserve"> </w:t>
            </w:r>
            <w:r w:rsidR="00EB36F4">
              <w:rPr>
                <w:b/>
                <w:bCs/>
                <w:color w:val="auto"/>
              </w:rPr>
              <w:t>potential</w:t>
            </w:r>
            <w:r w:rsidR="008A2BDE" w:rsidRPr="0004133B">
              <w:rPr>
                <w:b/>
                <w:bCs/>
                <w:color w:val="auto"/>
              </w:rPr>
              <w:t xml:space="preserve"> impact </w:t>
            </w:r>
            <w:r w:rsidR="00C960A1" w:rsidRPr="00A44E95">
              <w:rPr>
                <w:b/>
                <w:bCs/>
              </w:rPr>
              <w:t>on the processes for wholesale pricing</w:t>
            </w:r>
            <w:r w:rsidR="00C01EA0" w:rsidRPr="0080506D">
              <w:t xml:space="preserve"> if producers opt in to a stronger voluntary code</w:t>
            </w:r>
            <w:r w:rsidR="00746EB3">
              <w:rPr>
                <w:color w:val="auto"/>
              </w:rPr>
              <w:t xml:space="preserve">. </w:t>
            </w:r>
            <w:r w:rsidR="00C01EA0">
              <w:rPr>
                <w:color w:val="auto"/>
              </w:rPr>
              <w:t>Any additional uptake would be voluntary.</w:t>
            </w:r>
            <w:r w:rsidR="00746EB3">
              <w:rPr>
                <w:color w:val="auto"/>
              </w:rPr>
              <w:t xml:space="preserve"> </w:t>
            </w:r>
          </w:p>
        </w:tc>
      </w:tr>
      <w:tr w:rsidR="009D08B2" w:rsidRPr="002E2609" w14:paraId="72D8927D"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7475BBD2" w14:textId="72BF36CB" w:rsidR="009D08B2" w:rsidRDefault="009D08B2" w:rsidP="0004133B">
            <w:r>
              <w:t>LNG exporters</w:t>
            </w:r>
          </w:p>
        </w:tc>
        <w:tc>
          <w:tcPr>
            <w:tcW w:w="6088" w:type="dxa"/>
          </w:tcPr>
          <w:p w14:paraId="63B35BE0" w14:textId="2C434013" w:rsidR="009D08B2" w:rsidRPr="002E2609" w:rsidRDefault="00E44724" w:rsidP="0004133B">
            <w:pPr>
              <w:rPr>
                <w:lang w:val="en-GB"/>
              </w:rPr>
            </w:pPr>
            <w:r w:rsidRPr="00A44E95">
              <w:rPr>
                <w:b/>
              </w:rPr>
              <w:t>Minimal</w:t>
            </w:r>
            <w:r w:rsidR="00E17A20" w:rsidRPr="00A44E95">
              <w:rPr>
                <w:b/>
                <w:bCs/>
              </w:rPr>
              <w:t xml:space="preserve"> but </w:t>
            </w:r>
            <w:r w:rsidR="008A2BDE">
              <w:rPr>
                <w:b/>
                <w:bCs/>
                <w:color w:val="auto"/>
              </w:rPr>
              <w:t>some</w:t>
            </w:r>
            <w:r w:rsidR="00E17A20">
              <w:rPr>
                <w:b/>
                <w:color w:val="auto"/>
              </w:rPr>
              <w:t xml:space="preserve"> </w:t>
            </w:r>
            <w:r w:rsidR="00EB36F4">
              <w:rPr>
                <w:b/>
                <w:bCs/>
                <w:color w:val="auto"/>
              </w:rPr>
              <w:t>potential</w:t>
            </w:r>
            <w:r w:rsidR="00E17A20" w:rsidRPr="00A44E95">
              <w:rPr>
                <w:b/>
              </w:rPr>
              <w:t xml:space="preserve"> </w:t>
            </w:r>
            <w:r w:rsidR="00E17A20" w:rsidRPr="00A44E95">
              <w:rPr>
                <w:b/>
                <w:bCs/>
              </w:rPr>
              <w:t>impact on the processes for wholesale pricing</w:t>
            </w:r>
            <w:r w:rsidR="00C01EA0">
              <w:rPr>
                <w:b/>
                <w:bCs/>
              </w:rPr>
              <w:t xml:space="preserve"> if LNG exporters opt in to a stronger voluntary code</w:t>
            </w:r>
            <w:r w:rsidR="00C01EA0">
              <w:rPr>
                <w:color w:val="auto"/>
              </w:rPr>
              <w:t>.</w:t>
            </w:r>
          </w:p>
        </w:tc>
      </w:tr>
      <w:tr w:rsidR="009606D4" w14:paraId="0137D82B"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130531EF" w14:textId="6B50E0DB" w:rsidR="009606D4" w:rsidRDefault="00273DB1" w:rsidP="0004133B">
            <w:r>
              <w:t>Generators</w:t>
            </w:r>
          </w:p>
        </w:tc>
        <w:tc>
          <w:tcPr>
            <w:tcW w:w="6088" w:type="dxa"/>
          </w:tcPr>
          <w:p w14:paraId="4959484F" w14:textId="688FA7F5" w:rsidR="009606D4" w:rsidRDefault="00E17A20" w:rsidP="0004133B">
            <w:r w:rsidRPr="00A44E95">
              <w:rPr>
                <w:b/>
                <w:bCs/>
              </w:rPr>
              <w:t>Likely nil or minimal impact on domestic fuel prices</w:t>
            </w:r>
            <w:r w:rsidR="00746EB3">
              <w:t>. Generators will continue to purchase fuel at higher prices and include this cost in their price bid.</w:t>
            </w:r>
          </w:p>
        </w:tc>
      </w:tr>
      <w:tr w:rsidR="009D08B2" w14:paraId="2FD2D830"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7978B7BF" w14:textId="76E45786" w:rsidR="009D08B2" w:rsidRDefault="009D08B2" w:rsidP="0004133B">
            <w:r>
              <w:t>Retail energy companies</w:t>
            </w:r>
          </w:p>
        </w:tc>
        <w:tc>
          <w:tcPr>
            <w:tcW w:w="6088" w:type="dxa"/>
          </w:tcPr>
          <w:p w14:paraId="272E21C9" w14:textId="18AEF31E" w:rsidR="009D08B2" w:rsidRDefault="00E17A20" w:rsidP="0004133B">
            <w:r w:rsidRPr="00A44E95">
              <w:rPr>
                <w:b/>
                <w:bCs/>
              </w:rPr>
              <w:t>Likely nil or minimal impact on domestic energy prices</w:t>
            </w:r>
            <w:r w:rsidR="00746EB3">
              <w:rPr>
                <w:color w:val="auto"/>
              </w:rPr>
              <w:t xml:space="preserve">. Retail suppliers will continue to pay higher prices for </w:t>
            </w:r>
            <w:r>
              <w:rPr>
                <w:color w:val="auto"/>
              </w:rPr>
              <w:t>electricity</w:t>
            </w:r>
            <w:r w:rsidR="00746EB3">
              <w:rPr>
                <w:color w:val="auto"/>
              </w:rPr>
              <w:t xml:space="preserve"> and pass this on to consumers.</w:t>
            </w:r>
          </w:p>
        </w:tc>
      </w:tr>
      <w:tr w:rsidR="009D08B2" w14:paraId="6FA7D899"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46BC7DCF" w14:textId="30FEAA90" w:rsidR="009D08B2" w:rsidRDefault="009D08B2" w:rsidP="0004133B">
            <w:r>
              <w:t>Domestic energy consumers (households, small business and industrial users)</w:t>
            </w:r>
          </w:p>
        </w:tc>
        <w:tc>
          <w:tcPr>
            <w:tcW w:w="6088" w:type="dxa"/>
          </w:tcPr>
          <w:p w14:paraId="3E00759E" w14:textId="2813C60A" w:rsidR="00E17A20" w:rsidRDefault="00E17A20" w:rsidP="00E17A20">
            <w:r>
              <w:t xml:space="preserve">Industrial users are </w:t>
            </w:r>
            <w:r w:rsidRPr="00A44E95">
              <w:rPr>
                <w:b/>
                <w:bCs/>
              </w:rPr>
              <w:t>unlikely to see significantly</w:t>
            </w:r>
            <w:r>
              <w:t xml:space="preserve"> </w:t>
            </w:r>
            <w:r w:rsidRPr="0004133B">
              <w:rPr>
                <w:b/>
                <w:bCs/>
              </w:rPr>
              <w:t>lower wholesale prices</w:t>
            </w:r>
            <w:r>
              <w:t xml:space="preserve"> under this option.</w:t>
            </w:r>
          </w:p>
          <w:p w14:paraId="483335E8" w14:textId="75CF482F" w:rsidR="009D08B2" w:rsidRDefault="00E17A20" w:rsidP="0004133B">
            <w:r w:rsidRPr="00A44E95">
              <w:rPr>
                <w:b/>
                <w:bCs/>
              </w:rPr>
              <w:t>Likely nil or minimal impact on retail energy bills</w:t>
            </w:r>
            <w:r w:rsidR="00746EB3">
              <w:t>. Retail customers and industrial users will continue to purchase electricity at higher prices.</w:t>
            </w:r>
            <w:r>
              <w:t xml:space="preserve"> </w:t>
            </w:r>
          </w:p>
        </w:tc>
      </w:tr>
      <w:tr w:rsidR="009D08B2" w14:paraId="66656D6F"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152D6530" w14:textId="34E22BF5" w:rsidR="009D08B2" w:rsidRDefault="009D08B2" w:rsidP="0004133B">
            <w:r>
              <w:t>International trading partners and investors</w:t>
            </w:r>
          </w:p>
        </w:tc>
        <w:tc>
          <w:tcPr>
            <w:tcW w:w="6088" w:type="dxa"/>
          </w:tcPr>
          <w:p w14:paraId="098FA2CE" w14:textId="2DC1377F" w:rsidR="009D08B2" w:rsidRDefault="00E17A20" w:rsidP="0004133B">
            <w:r>
              <w:t xml:space="preserve">An amended voluntary code is </w:t>
            </w:r>
            <w:r w:rsidRPr="001C0906">
              <w:rPr>
                <w:b/>
                <w:bCs/>
              </w:rPr>
              <w:t>unlikely to affect the volume of commodities exported to Australia’s trading partners</w:t>
            </w:r>
            <w:r>
              <w:t xml:space="preserve"> </w:t>
            </w:r>
            <w:r w:rsidRPr="00A44E95">
              <w:rPr>
                <w:b/>
                <w:bCs/>
              </w:rPr>
              <w:t xml:space="preserve">or </w:t>
            </w:r>
            <w:r w:rsidRPr="001C0906">
              <w:rPr>
                <w:b/>
                <w:bCs/>
              </w:rPr>
              <w:t>cause significant concerns for international investors</w:t>
            </w:r>
            <w:r w:rsidR="00842EFE">
              <w:t xml:space="preserve">, but investors may share the concerns of the LNG exporters about an increased regulatory burden. </w:t>
            </w:r>
            <w:r>
              <w:t xml:space="preserve"> </w:t>
            </w:r>
          </w:p>
        </w:tc>
      </w:tr>
    </w:tbl>
    <w:p w14:paraId="1FA9F5FE" w14:textId="77777777" w:rsidR="005F2D74" w:rsidRDefault="005F2D74" w:rsidP="00FC794D">
      <w:pPr>
        <w:rPr>
          <w:b/>
          <w:bCs/>
        </w:rPr>
      </w:pPr>
    </w:p>
    <w:p w14:paraId="203C72FE" w14:textId="77777777" w:rsidR="005F2D74" w:rsidRDefault="005F2D74" w:rsidP="00FF7CEC">
      <w:pPr>
        <w:keepNext/>
        <w:rPr>
          <w:b/>
          <w:bCs/>
        </w:rPr>
      </w:pPr>
      <w:r>
        <w:rPr>
          <w:b/>
          <w:bCs/>
        </w:rPr>
        <w:t>Regulatory burden costings:</w:t>
      </w:r>
    </w:p>
    <w:p w14:paraId="4A143026" w14:textId="577821DF" w:rsidR="005F2D74" w:rsidRDefault="005F2D74" w:rsidP="005F2D74">
      <w:r>
        <w:t xml:space="preserve">This option does not impose any regulatory burden as businesses are not compelled to comply with a voluntary </w:t>
      </w:r>
      <w:r w:rsidR="00E42399">
        <w:t>C</w:t>
      </w:r>
      <w:r>
        <w:t xml:space="preserve">ode of </w:t>
      </w:r>
      <w:r w:rsidR="00E42399">
        <w:t>C</w:t>
      </w:r>
      <w:r>
        <w:t>onduct.</w:t>
      </w:r>
    </w:p>
    <w:p w14:paraId="2F7A75FE" w14:textId="6DDB7259" w:rsidR="00874B08" w:rsidRDefault="00C9024A" w:rsidP="0080506D">
      <w:pPr>
        <w:pStyle w:val="HeaderOdd"/>
        <w:keepNext/>
      </w:pPr>
      <w:r>
        <w:lastRenderedPageBreak/>
        <w:t>Option A</w:t>
      </w:r>
      <w:r w:rsidR="00413CB9">
        <w:t>4</w:t>
      </w:r>
      <w:r w:rsidR="00874B08">
        <w:rPr>
          <w:bCs/>
        </w:rPr>
        <w:t xml:space="preserve">: </w:t>
      </w:r>
      <w:r w:rsidR="00413CB9">
        <w:rPr>
          <w:bCs/>
        </w:rPr>
        <w:t>Temporary 12-month g</w:t>
      </w:r>
      <w:r w:rsidR="00874B08">
        <w:rPr>
          <w:bCs/>
        </w:rPr>
        <w:t xml:space="preserve">as price cap </w:t>
      </w:r>
    </w:p>
    <w:p w14:paraId="080D5516" w14:textId="77777777" w:rsidR="00874B08" w:rsidRPr="00312DC7" w:rsidRDefault="00874B08" w:rsidP="00874B08">
      <w:pPr>
        <w:rPr>
          <w:b/>
        </w:rPr>
      </w:pPr>
      <w:r w:rsidRPr="00312DC7">
        <w:rPr>
          <w:b/>
        </w:rPr>
        <w:t xml:space="preserve">Price reduction benefits </w:t>
      </w:r>
    </w:p>
    <w:p w14:paraId="06833173" w14:textId="2C21E781" w:rsidR="00D71614" w:rsidRDefault="0091792F" w:rsidP="00376F56">
      <w:r>
        <w:t>The impact</w:t>
      </w:r>
      <w:r w:rsidR="00D71614">
        <w:t>s</w:t>
      </w:r>
      <w:r>
        <w:t xml:space="preserve"> of a price cap on prices and on stakeholders </w:t>
      </w:r>
      <w:r w:rsidR="00D71614">
        <w:t>is</w:t>
      </w:r>
      <w:r>
        <w:t xml:space="preserve"> dependent on the level at which </w:t>
      </w:r>
      <w:r w:rsidR="00D71614">
        <w:t xml:space="preserve">it </w:t>
      </w:r>
      <w:r>
        <w:t>is</w:t>
      </w:r>
      <w:r w:rsidR="00D71614">
        <w:t xml:space="preserve"> set</w:t>
      </w:r>
      <w:r>
        <w:t xml:space="preserve"> </w:t>
      </w:r>
      <w:r w:rsidR="00D71614">
        <w:t>– a cap which is too high will not put downward pressure on prices, while a cap which is too low will affect investor confidence and the viability of future</w:t>
      </w:r>
      <w:r w:rsidR="0084382A">
        <w:t xml:space="preserve"> investments</w:t>
      </w:r>
      <w:r w:rsidR="00D71614">
        <w:t xml:space="preserve">. </w:t>
      </w:r>
      <w:r w:rsidR="000805D6">
        <w:t>Based on their analysis, the ACCC has advised that it considers a price of $12</w:t>
      </w:r>
      <w:r w:rsidR="001B05B9">
        <w:t>/</w:t>
      </w:r>
      <w:r w:rsidR="000805D6">
        <w:t xml:space="preserve">GJ reflects the costs of </w:t>
      </w:r>
      <w:r w:rsidR="00793105">
        <w:t>gas production</w:t>
      </w:r>
      <w:r w:rsidR="000805D6">
        <w:t xml:space="preserve">, </w:t>
      </w:r>
      <w:r w:rsidR="0084382A">
        <w:t xml:space="preserve">including </w:t>
      </w:r>
      <w:r w:rsidR="000805D6">
        <w:t xml:space="preserve">a reasonable </w:t>
      </w:r>
      <w:r w:rsidR="0084382A">
        <w:t>return on capital</w:t>
      </w:r>
      <w:r w:rsidR="000805D6">
        <w:t xml:space="preserve"> for gas sourced from </w:t>
      </w:r>
      <w:r w:rsidR="00775135">
        <w:t>developed fields</w:t>
      </w:r>
      <w:r w:rsidR="000805D6">
        <w:t xml:space="preserve"> </w:t>
      </w:r>
      <w:r w:rsidR="009E44F3">
        <w:t xml:space="preserve">capable of supply during the period in which the emergency price rule is of application </w:t>
      </w:r>
      <w:r w:rsidR="000805D6">
        <w:t xml:space="preserve">(noting that the costs associated with </w:t>
      </w:r>
      <w:r w:rsidR="005C5E7E">
        <w:t xml:space="preserve">undeveloped </w:t>
      </w:r>
      <w:r w:rsidR="000805D6">
        <w:t xml:space="preserve">fields </w:t>
      </w:r>
      <w:r w:rsidR="0055741F">
        <w:t>may</w:t>
      </w:r>
      <w:r w:rsidR="000805D6">
        <w:t xml:space="preserve"> be higher</w:t>
      </w:r>
      <w:r w:rsidR="0055741F">
        <w:t xml:space="preserve"> and are therefore excluded from the cap</w:t>
      </w:r>
      <w:r w:rsidR="000805D6">
        <w:t xml:space="preserve">). </w:t>
      </w:r>
    </w:p>
    <w:p w14:paraId="52A936E1" w14:textId="6E35C2D8" w:rsidR="00376F56" w:rsidRDefault="00376F56" w:rsidP="00376F56">
      <w:pPr>
        <w:rPr>
          <w:rFonts w:cs="Arial"/>
        </w:rPr>
      </w:pPr>
      <w:r>
        <w:t>In arriving at this price, the ACCC considered the prices that were offered on the east coast in 2021, for supply in 2023, prior to international prices increasing in late 2021</w:t>
      </w:r>
      <w:r w:rsidR="00793105">
        <w:t xml:space="preserve"> and data on the costs of gas production</w:t>
      </w:r>
      <w:r>
        <w:t xml:space="preserve">. Over 2021, there were 289 domestic offers made by producers and retailers, with </w:t>
      </w:r>
      <w:r>
        <w:rPr>
          <w:rFonts w:cs="Arial"/>
        </w:rPr>
        <w:t>96 per cent of offers made below $12</w:t>
      </w:r>
      <w:r w:rsidR="001B05B9">
        <w:rPr>
          <w:rFonts w:cs="Arial"/>
        </w:rPr>
        <w:t>/</w:t>
      </w:r>
      <w:r>
        <w:rPr>
          <w:rFonts w:cs="Arial"/>
        </w:rPr>
        <w:t>GJ and an average price of $9.20</w:t>
      </w:r>
      <w:r w:rsidR="001B05B9">
        <w:rPr>
          <w:rFonts w:cs="Arial"/>
        </w:rPr>
        <w:t>/</w:t>
      </w:r>
      <w:r>
        <w:rPr>
          <w:rFonts w:cs="Arial"/>
        </w:rPr>
        <w:t>GJ.</w:t>
      </w:r>
    </w:p>
    <w:p w14:paraId="4F432CE9" w14:textId="4A3F59DE" w:rsidR="00376F56" w:rsidRDefault="00D71614" w:rsidP="003B6663">
      <w:pPr>
        <w:rPr>
          <w:highlight w:val="yellow"/>
        </w:rPr>
      </w:pPr>
      <w:r>
        <w:t>While the level of a final price cap would be subject to consultation, we have assumed this price of $12</w:t>
      </w:r>
      <w:r w:rsidR="001B05B9">
        <w:t>/</w:t>
      </w:r>
      <w:r>
        <w:t xml:space="preserve">GJ reflects a fair price and proceeded with the </w:t>
      </w:r>
      <w:r w:rsidR="005D0A26">
        <w:t>I</w:t>
      </w:r>
      <w:r>
        <w:t xml:space="preserve">mpact </w:t>
      </w:r>
      <w:r w:rsidR="005D0A26">
        <w:t>A</w:t>
      </w:r>
      <w:r>
        <w:t>nalysis on this basis.</w:t>
      </w:r>
    </w:p>
    <w:p w14:paraId="34F54719" w14:textId="0EAFD4D1" w:rsidR="003E5FAE" w:rsidRDefault="005F6B8F" w:rsidP="003B6663">
      <w:r>
        <w:t>A</w:t>
      </w:r>
      <w:r w:rsidR="00922E1F">
        <w:t>ssuming</w:t>
      </w:r>
      <w:r w:rsidR="000B5C01">
        <w:t>, for the purposes of the modelling, that under</w:t>
      </w:r>
      <w:r w:rsidR="00922E1F">
        <w:t xml:space="preserve"> </w:t>
      </w:r>
      <w:r>
        <w:t>the cap</w:t>
      </w:r>
      <w:r w:rsidR="00922E1F">
        <w:t xml:space="preserve"> </w:t>
      </w:r>
      <w:r w:rsidR="000B5C01">
        <w:t>new contracts are priced at $12/GJ</w:t>
      </w:r>
      <w:r w:rsidR="00922E1F">
        <w:t xml:space="preserve"> from 1 January 2023,</w:t>
      </w:r>
      <w:r>
        <w:t xml:space="preserve"> </w:t>
      </w:r>
      <w:r w:rsidRPr="00C00831">
        <w:t xml:space="preserve">Treasury </w:t>
      </w:r>
      <w:r w:rsidR="00E26B97">
        <w:t>estimates</w:t>
      </w:r>
      <w:r w:rsidRPr="00C00831">
        <w:t xml:space="preserve"> that</w:t>
      </w:r>
      <w:r w:rsidR="00462193" w:rsidRPr="00C00831">
        <w:t xml:space="preserve"> a</w:t>
      </w:r>
      <w:r w:rsidR="00874B08" w:rsidRPr="00C00831">
        <w:t xml:space="preserve"> </w:t>
      </w:r>
      <w:r w:rsidR="00DB0763" w:rsidRPr="00C00831">
        <w:t>temporary</w:t>
      </w:r>
      <w:r w:rsidR="00874B08" w:rsidRPr="00C00831">
        <w:t xml:space="preserve"> </w:t>
      </w:r>
      <w:r w:rsidR="000F3925" w:rsidRPr="00C00831">
        <w:t xml:space="preserve">cap </w:t>
      </w:r>
      <w:r w:rsidR="00874B08" w:rsidRPr="00C00831">
        <w:t xml:space="preserve">on uncontracted gas </w:t>
      </w:r>
      <w:r w:rsidR="00462193" w:rsidRPr="00C00831">
        <w:t>will</w:t>
      </w:r>
      <w:r w:rsidR="00874B08" w:rsidRPr="00C00831">
        <w:t xml:space="preserve"> reduce retail gas price growth</w:t>
      </w:r>
      <w:r w:rsidR="000F3925" w:rsidRPr="00C00831">
        <w:t xml:space="preserve"> from 20 per cent to 1</w:t>
      </w:r>
      <w:r w:rsidR="00313CFB">
        <w:t>8</w:t>
      </w:r>
      <w:r w:rsidR="000F3925" w:rsidRPr="00C00831">
        <w:t xml:space="preserve"> per cent in 2022-23, and </w:t>
      </w:r>
      <w:r w:rsidR="000F3925" w:rsidRPr="001613C2">
        <w:t xml:space="preserve">from 20 per cent to </w:t>
      </w:r>
      <w:r w:rsidR="00425AC7">
        <w:t>4</w:t>
      </w:r>
      <w:r w:rsidR="00831A3B" w:rsidRPr="001613C2">
        <w:t xml:space="preserve"> per cent</w:t>
      </w:r>
      <w:r w:rsidR="000F3925" w:rsidRPr="001613C2">
        <w:t xml:space="preserve"> in 2023-24.</w:t>
      </w:r>
      <w:r w:rsidR="00874B08" w:rsidRPr="001613C2">
        <w:t xml:space="preserve"> </w:t>
      </w:r>
      <w:r w:rsidR="003005E4" w:rsidRPr="001613C2">
        <w:t xml:space="preserve">The cap will only apply to available supply from </w:t>
      </w:r>
      <w:r w:rsidR="0084382A">
        <w:t>developed</w:t>
      </w:r>
      <w:r w:rsidR="0084382A" w:rsidRPr="001613C2">
        <w:t xml:space="preserve"> </w:t>
      </w:r>
      <w:r w:rsidR="003005E4" w:rsidRPr="001613C2">
        <w:t>fields to limit impacts on future investment decisions.</w:t>
      </w:r>
      <w:r w:rsidR="00874B08" w:rsidRPr="001613C2">
        <w:t xml:space="preserve"> </w:t>
      </w:r>
      <w:r w:rsidR="00462193" w:rsidRPr="001613C2">
        <w:t xml:space="preserve">This is a </w:t>
      </w:r>
      <w:r w:rsidR="00313CFB" w:rsidRPr="001613C2">
        <w:t>2</w:t>
      </w:r>
      <w:r w:rsidR="005A6231" w:rsidRPr="001613C2">
        <w:t>-</w:t>
      </w:r>
      <w:r w:rsidR="00462193" w:rsidRPr="001613C2">
        <w:t xml:space="preserve">percentage point decline in the expected increase in </w:t>
      </w:r>
      <w:r w:rsidR="00DC4EE2" w:rsidRPr="001613C2">
        <w:t>gas</w:t>
      </w:r>
      <w:r w:rsidR="00462193" w:rsidRPr="001613C2">
        <w:t xml:space="preserve"> prices</w:t>
      </w:r>
      <w:r w:rsidR="00462193">
        <w:t xml:space="preserve"> in 2022-23, and a 1</w:t>
      </w:r>
      <w:r w:rsidR="00425AC7">
        <w:t>6</w:t>
      </w:r>
      <w:r w:rsidR="005A6231">
        <w:t>-</w:t>
      </w:r>
      <w:r w:rsidR="00462193">
        <w:t xml:space="preserve">percentage point decline in 2023-24. </w:t>
      </w:r>
    </w:p>
    <w:p w14:paraId="0285EF3C" w14:textId="3CA0FD38" w:rsidR="00874B08" w:rsidRDefault="00ED2E34" w:rsidP="00874B08">
      <w:r>
        <w:t xml:space="preserve">Major gas customers would be able to access gas at lower prices compared to the current market price, provided there is sufficient supply at the capped price. </w:t>
      </w:r>
      <w:r w:rsidR="00874B08">
        <w:t xml:space="preserve">The benefits of the price cap are also expected to flow through to wholesale electricity prices, </w:t>
      </w:r>
      <w:r w:rsidR="00874B08" w:rsidDel="00E90AAC">
        <w:t xml:space="preserve">and </w:t>
      </w:r>
      <w:r w:rsidR="00874B08">
        <w:t xml:space="preserve">ultimately to retail electricity prices, slowing the growth of energy bills for Australian households and businesses. </w:t>
      </w:r>
    </w:p>
    <w:p w14:paraId="673773C9" w14:textId="47C3A5BA" w:rsidR="00874B08" w:rsidRDefault="00ED2E34" w:rsidP="00874B08">
      <w:r>
        <w:t xml:space="preserve">The price cap would also help to put downward pressure on electricity spot prices by providing a lower cost source of uncontracted gas, which are relied on by gas-powered electricity generators. </w:t>
      </w:r>
      <w:r w:rsidR="00874B08">
        <w:t xml:space="preserve">While the temporary price cap on its own may not be sufficient to influence the price of electricity contracts for future years, it mitigates short-term risks associated with wholesale electricity prices and complements other longer-term measures explored in this Impact Analysis. </w:t>
      </w:r>
    </w:p>
    <w:p w14:paraId="0C4D70F9" w14:textId="17A20C47" w:rsidR="00CA3E80" w:rsidRDefault="00874B08" w:rsidP="00874B08">
      <w:r>
        <w:t>The lower domestic</w:t>
      </w:r>
      <w:r w:rsidR="00C57FF2">
        <w:t xml:space="preserve"> wholesale</w:t>
      </w:r>
      <w:r>
        <w:t xml:space="preserve"> gas prices would significantly benefit large and intensive energy users reliant on gas for their production processes (e.g. plastics, fertiliser manufacturers). The lower production costs would have downstream benefits for any users of goods produced by these firms. A reduction of domestic gas prices would also improve the international competitiveness of these firms operating in Australia.</w:t>
      </w:r>
    </w:p>
    <w:p w14:paraId="33F0B3E6" w14:textId="0DDD563D" w:rsidR="00804D09" w:rsidRDefault="00772CF3" w:rsidP="00804D09">
      <w:r>
        <w:t>I</w:t>
      </w:r>
      <w:r w:rsidR="00804D09">
        <w:t xml:space="preserve">mplementation of a price cap would need to be carefully managed to ensure Australia maintains its positive relationships with key trading and investment partners and to continue to progress towards its renewable energy and emissions reduction goals. </w:t>
      </w:r>
      <w:r w:rsidR="001A420F" w:rsidRPr="001A420F">
        <w:t xml:space="preserve">A </w:t>
      </w:r>
      <w:r w:rsidR="005C5E7E">
        <w:t>temporary price cap is less</w:t>
      </w:r>
      <w:r w:rsidR="001A420F" w:rsidRPr="001A420F">
        <w:t xml:space="preserve"> likely to have a dampening effect on investor confidence, distort</w:t>
      </w:r>
      <w:r w:rsidR="005C5E7E">
        <w:t xml:space="preserve"> </w:t>
      </w:r>
      <w:r w:rsidR="001A420F" w:rsidRPr="001A420F">
        <w:t xml:space="preserve">investment incentives for producers, generators and consumers, and </w:t>
      </w:r>
      <w:r w:rsidR="0097395C">
        <w:t xml:space="preserve">less likely to </w:t>
      </w:r>
      <w:r w:rsidR="001A420F" w:rsidRPr="001A420F">
        <w:t xml:space="preserve">pose risks to domestic supply </w:t>
      </w:r>
      <w:r w:rsidR="0097395C">
        <w:t>relative to an ongoing price cap</w:t>
      </w:r>
      <w:r w:rsidR="001A420F" w:rsidRPr="001A420F">
        <w:t>.</w:t>
      </w:r>
    </w:p>
    <w:p w14:paraId="62E1B3C7" w14:textId="05442031" w:rsidR="00273DB1" w:rsidRPr="007A3338" w:rsidRDefault="00C644DD" w:rsidP="008255F7">
      <w:pPr>
        <w:keepNext/>
        <w:rPr>
          <w:b/>
        </w:rPr>
      </w:pPr>
      <w:r w:rsidRPr="00C644DD">
        <w:rPr>
          <w:b/>
          <w:bCs/>
        </w:rPr>
        <w:t xml:space="preserve">Table </w:t>
      </w:r>
      <w:r>
        <w:rPr>
          <w:b/>
          <w:bCs/>
        </w:rPr>
        <w:t>8</w:t>
      </w:r>
      <w:r w:rsidRPr="00C644DD">
        <w:rPr>
          <w:b/>
          <w:bCs/>
        </w:rPr>
        <w:t xml:space="preserve">: Stakeholder Impacts of </w:t>
      </w:r>
      <w:r>
        <w:rPr>
          <w:b/>
          <w:bCs/>
        </w:rPr>
        <w:t>Option A4</w:t>
      </w:r>
    </w:p>
    <w:tbl>
      <w:tblPr>
        <w:tblStyle w:val="PMCDefaultTableStyle"/>
        <w:tblW w:w="0" w:type="auto"/>
        <w:tblLook w:val="04A0" w:firstRow="1" w:lastRow="0" w:firstColumn="1" w:lastColumn="0" w:noHBand="0" w:noVBand="1"/>
      </w:tblPr>
      <w:tblGrid>
        <w:gridCol w:w="2972"/>
        <w:gridCol w:w="6088"/>
      </w:tblGrid>
      <w:tr w:rsidR="00AF0D43" w:rsidRPr="002E2609" w14:paraId="013238E1" w14:textId="77777777" w:rsidTr="000B2407">
        <w:trPr>
          <w:cnfStyle w:val="100000000000" w:firstRow="1" w:lastRow="0" w:firstColumn="0" w:lastColumn="0" w:oddVBand="0" w:evenVBand="0" w:oddHBand="0" w:evenHBand="0" w:firstRowFirstColumn="0" w:firstRowLastColumn="0" w:lastRowFirstColumn="0" w:lastRowLastColumn="0"/>
        </w:trPr>
        <w:tc>
          <w:tcPr>
            <w:tcW w:w="2972" w:type="dxa"/>
          </w:tcPr>
          <w:p w14:paraId="2363A6DD" w14:textId="77777777" w:rsidR="00AF0D43" w:rsidRPr="002E2609" w:rsidRDefault="00AF0D43" w:rsidP="0004133B">
            <w:pPr>
              <w:rPr>
                <w:b w:val="0"/>
              </w:rPr>
            </w:pPr>
            <w:r>
              <w:lastRenderedPageBreak/>
              <w:t>Stakeholder group</w:t>
            </w:r>
          </w:p>
        </w:tc>
        <w:tc>
          <w:tcPr>
            <w:tcW w:w="6088" w:type="dxa"/>
          </w:tcPr>
          <w:p w14:paraId="41053E42" w14:textId="77777777" w:rsidR="00AF0D43" w:rsidRPr="002E2609" w:rsidRDefault="00AF0D43" w:rsidP="0004133B">
            <w:pPr>
              <w:rPr>
                <w:b w:val="0"/>
              </w:rPr>
            </w:pPr>
            <w:r>
              <w:t>Impact</w:t>
            </w:r>
          </w:p>
        </w:tc>
      </w:tr>
      <w:tr w:rsidR="00AF0D43" w:rsidRPr="002E2609" w14:paraId="70E124B1"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7EBCCD7A" w14:textId="35389380" w:rsidR="00AF0D43" w:rsidRDefault="00AF0D43" w:rsidP="0004133B">
            <w:r>
              <w:t xml:space="preserve">Domestic gas producers </w:t>
            </w:r>
          </w:p>
        </w:tc>
        <w:tc>
          <w:tcPr>
            <w:tcW w:w="6088" w:type="dxa"/>
          </w:tcPr>
          <w:p w14:paraId="2C23B4F0" w14:textId="7F422A76" w:rsidR="00AF0D43" w:rsidRPr="00745D7A" w:rsidRDefault="001C074E" w:rsidP="00745D7A">
            <w:pPr>
              <w:pStyle w:val="BodyText"/>
            </w:pPr>
            <w:r w:rsidRPr="00B00A8A">
              <w:t xml:space="preserve">Where gas producers supply gas </w:t>
            </w:r>
            <w:r>
              <w:t>to domestic wholesale markets through bilateral contracts</w:t>
            </w:r>
            <w:r w:rsidRPr="00B00A8A">
              <w:t xml:space="preserve">, they </w:t>
            </w:r>
            <w:r>
              <w:t>would be expected to receive lower prices compared with what they could otherwise secure</w:t>
            </w:r>
            <w:r w:rsidR="007940EA">
              <w:t>, for example</w:t>
            </w:r>
            <w:r>
              <w:t xml:space="preserve"> on the export market </w:t>
            </w:r>
            <w:r w:rsidR="007940EA">
              <w:t xml:space="preserve">for gas exporters, </w:t>
            </w:r>
            <w:r>
              <w:t xml:space="preserve">or in the absence of price regulation. </w:t>
            </w:r>
          </w:p>
        </w:tc>
      </w:tr>
      <w:tr w:rsidR="00AF0D43" w:rsidRPr="002E2609" w14:paraId="35C97089"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08497B69" w14:textId="567F74CF" w:rsidR="00AF0D43" w:rsidRDefault="00AF0D43" w:rsidP="0004133B">
            <w:r>
              <w:t>LNG exporters</w:t>
            </w:r>
          </w:p>
        </w:tc>
        <w:tc>
          <w:tcPr>
            <w:tcW w:w="6088" w:type="dxa"/>
          </w:tcPr>
          <w:p w14:paraId="06102E36" w14:textId="7C97DA0A" w:rsidR="00AF0D43" w:rsidRPr="002E2609" w:rsidRDefault="00561EDE" w:rsidP="0004133B">
            <w:pPr>
              <w:rPr>
                <w:lang w:val="en-GB"/>
              </w:rPr>
            </w:pPr>
            <w:r>
              <w:rPr>
                <w:lang w:val="en-GB"/>
              </w:rPr>
              <w:t xml:space="preserve">A </w:t>
            </w:r>
            <w:r w:rsidRPr="00025962">
              <w:rPr>
                <w:lang w:val="en-GB"/>
              </w:rPr>
              <w:t xml:space="preserve">domestic price cap is unlikely to have </w:t>
            </w:r>
            <w:r>
              <w:rPr>
                <w:lang w:val="en-GB"/>
              </w:rPr>
              <w:t xml:space="preserve">other </w:t>
            </w:r>
            <w:r w:rsidRPr="00025962">
              <w:rPr>
                <w:lang w:val="en-GB"/>
              </w:rPr>
              <w:t>significant impacts on LNG exporters</w:t>
            </w:r>
            <w:r>
              <w:rPr>
                <w:lang w:val="en-GB"/>
              </w:rPr>
              <w:t xml:space="preserve">, </w:t>
            </w:r>
            <w:r w:rsidRPr="00025962">
              <w:rPr>
                <w:lang w:val="en-GB"/>
              </w:rPr>
              <w:t>except where they are also producers and selling to the domestic market</w:t>
            </w:r>
            <w:r>
              <w:rPr>
                <w:lang w:val="en-GB"/>
              </w:rPr>
              <w:t xml:space="preserve">. </w:t>
            </w:r>
            <w:r w:rsidR="00025962">
              <w:rPr>
                <w:lang w:val="en-GB"/>
              </w:rPr>
              <w:t xml:space="preserve">In this case, the impacts </w:t>
            </w:r>
            <w:r w:rsidR="00C01EA0">
              <w:rPr>
                <w:lang w:val="en-GB"/>
              </w:rPr>
              <w:t xml:space="preserve">for their domestic interests </w:t>
            </w:r>
            <w:r w:rsidR="00025962">
              <w:rPr>
                <w:lang w:val="en-GB"/>
              </w:rPr>
              <w:t>would be the same as above.</w:t>
            </w:r>
          </w:p>
        </w:tc>
      </w:tr>
      <w:tr w:rsidR="009606D4" w14:paraId="112D77FE"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508BEBD8" w14:textId="45759833" w:rsidR="009606D4" w:rsidRDefault="00273DB1" w:rsidP="0004133B">
            <w:r>
              <w:t>Generators</w:t>
            </w:r>
          </w:p>
        </w:tc>
        <w:tc>
          <w:tcPr>
            <w:tcW w:w="6088" w:type="dxa"/>
          </w:tcPr>
          <w:p w14:paraId="22E39DE7" w14:textId="3A2FA6A5" w:rsidR="009606D4" w:rsidRDefault="00746EB3" w:rsidP="00A44E95">
            <w:pPr>
              <w:pStyle w:val="BodyText"/>
            </w:pPr>
            <w:r>
              <w:t xml:space="preserve">Major gas customers such as generators would benefit to the extent </w:t>
            </w:r>
            <w:r w:rsidR="00025962">
              <w:t xml:space="preserve">that </w:t>
            </w:r>
            <w:r>
              <w:t xml:space="preserve">they are able to access gas at </w:t>
            </w:r>
            <w:r w:rsidRPr="00A44E95">
              <w:rPr>
                <w:b/>
              </w:rPr>
              <w:t>prices lower than the current</w:t>
            </w:r>
            <w:r>
              <w:rPr>
                <w:b/>
              </w:rPr>
              <w:t xml:space="preserve"> </w:t>
            </w:r>
            <w:r w:rsidR="00BD4DE4">
              <w:rPr>
                <w:b/>
                <w:bCs/>
              </w:rPr>
              <w:t>wholesale</w:t>
            </w:r>
            <w:r w:rsidRPr="00A44E95">
              <w:rPr>
                <w:b/>
                <w:bCs/>
              </w:rPr>
              <w:t xml:space="preserve"> </w:t>
            </w:r>
            <w:r w:rsidRPr="00A44E95">
              <w:rPr>
                <w:b/>
              </w:rPr>
              <w:t>market price.</w:t>
            </w:r>
          </w:p>
        </w:tc>
      </w:tr>
      <w:tr w:rsidR="00AF0D43" w14:paraId="7DDE4441"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0BEF03FA" w14:textId="72B104D5" w:rsidR="00AF0D43" w:rsidRDefault="00AF0D43" w:rsidP="0004133B">
            <w:r>
              <w:t>Retail energy companies</w:t>
            </w:r>
          </w:p>
        </w:tc>
        <w:tc>
          <w:tcPr>
            <w:tcW w:w="6088" w:type="dxa"/>
          </w:tcPr>
          <w:p w14:paraId="6B7836E1" w14:textId="46FAB0F6" w:rsidR="00AF0D43" w:rsidRDefault="00BD4DE4" w:rsidP="0004133B">
            <w:r>
              <w:t xml:space="preserve">Retailers would likely benefit to the extent they are able to access </w:t>
            </w:r>
            <w:r w:rsidRPr="00A44E95">
              <w:rPr>
                <w:b/>
                <w:bCs/>
              </w:rPr>
              <w:t>wholesale electricity at prices lower than the current wholesale market price.</w:t>
            </w:r>
          </w:p>
        </w:tc>
      </w:tr>
      <w:tr w:rsidR="00AF0D43" w14:paraId="043B8B38" w14:textId="77777777" w:rsidTr="000B2407">
        <w:trPr>
          <w:cnfStyle w:val="000000100000" w:firstRow="0" w:lastRow="0" w:firstColumn="0" w:lastColumn="0" w:oddVBand="0" w:evenVBand="0" w:oddHBand="1" w:evenHBand="0" w:firstRowFirstColumn="0" w:firstRowLastColumn="0" w:lastRowFirstColumn="0" w:lastRowLastColumn="0"/>
        </w:trPr>
        <w:tc>
          <w:tcPr>
            <w:tcW w:w="2972" w:type="dxa"/>
          </w:tcPr>
          <w:p w14:paraId="52ED6ED1" w14:textId="5F1E3F40" w:rsidR="00AF0D43" w:rsidRDefault="00AF0D43" w:rsidP="0004133B">
            <w:r>
              <w:t>Domestic energy consumers (households, small business and industrial users)</w:t>
            </w:r>
          </w:p>
        </w:tc>
        <w:tc>
          <w:tcPr>
            <w:tcW w:w="6088" w:type="dxa"/>
          </w:tcPr>
          <w:p w14:paraId="62CD4BA0" w14:textId="0C18569E" w:rsidR="00746EB3" w:rsidRDefault="00746EB3" w:rsidP="00746EB3">
            <w:pPr>
              <w:pStyle w:val="BodyText"/>
            </w:pPr>
            <w:r>
              <w:t xml:space="preserve">Major gas customers such as industrial users would benefit to the extent they are able to access </w:t>
            </w:r>
            <w:r w:rsidRPr="00A44E95">
              <w:rPr>
                <w:b/>
              </w:rPr>
              <w:t xml:space="preserve">gas at prices lower than the current </w:t>
            </w:r>
            <w:r w:rsidR="00BD4DE4">
              <w:rPr>
                <w:b/>
                <w:bCs/>
              </w:rPr>
              <w:t xml:space="preserve">wholesale </w:t>
            </w:r>
            <w:r w:rsidRPr="00A44E95">
              <w:rPr>
                <w:b/>
              </w:rPr>
              <w:t>market price.</w:t>
            </w:r>
          </w:p>
          <w:p w14:paraId="79C135D8" w14:textId="15134B9B" w:rsidR="00AF0D43" w:rsidRDefault="00746EB3" w:rsidP="008A2BDE">
            <w:pPr>
              <w:pStyle w:val="BodyText"/>
            </w:pPr>
            <w:r>
              <w:t xml:space="preserve">Retail customers </w:t>
            </w:r>
            <w:r w:rsidRPr="00A44E95">
              <w:rPr>
                <w:b/>
              </w:rPr>
              <w:t xml:space="preserve">would benefit from reduced </w:t>
            </w:r>
            <w:r w:rsidR="00C01EA0">
              <w:rPr>
                <w:b/>
              </w:rPr>
              <w:t xml:space="preserve">growth in their </w:t>
            </w:r>
            <w:r w:rsidR="008A2BDE" w:rsidRPr="00A44E95">
              <w:rPr>
                <w:b/>
              </w:rPr>
              <w:t>energy bills</w:t>
            </w:r>
            <w:r w:rsidRPr="00A44E95">
              <w:rPr>
                <w:b/>
              </w:rPr>
              <w:t>.</w:t>
            </w:r>
          </w:p>
        </w:tc>
      </w:tr>
      <w:tr w:rsidR="00AF0D43" w14:paraId="0305068A" w14:textId="77777777" w:rsidTr="000B2407">
        <w:trPr>
          <w:cnfStyle w:val="000000010000" w:firstRow="0" w:lastRow="0" w:firstColumn="0" w:lastColumn="0" w:oddVBand="0" w:evenVBand="0" w:oddHBand="0" w:evenHBand="1" w:firstRowFirstColumn="0" w:firstRowLastColumn="0" w:lastRowFirstColumn="0" w:lastRowLastColumn="0"/>
        </w:trPr>
        <w:tc>
          <w:tcPr>
            <w:tcW w:w="2972" w:type="dxa"/>
          </w:tcPr>
          <w:p w14:paraId="7B589E9C" w14:textId="266D5F68" w:rsidR="00AF0D43" w:rsidRDefault="00AF0D43" w:rsidP="0004133B">
            <w:r>
              <w:t>International trading partners and investors</w:t>
            </w:r>
          </w:p>
        </w:tc>
        <w:tc>
          <w:tcPr>
            <w:tcW w:w="6088" w:type="dxa"/>
          </w:tcPr>
          <w:p w14:paraId="11C9BA84" w14:textId="3DF9A406" w:rsidR="00AF0D43" w:rsidRDefault="00025962" w:rsidP="0004133B">
            <w:r>
              <w:t xml:space="preserve">A </w:t>
            </w:r>
            <w:r w:rsidR="008A2BDE">
              <w:t>temporary domestic price cap on gas</w:t>
            </w:r>
            <w:r>
              <w:t xml:space="preserve"> </w:t>
            </w:r>
            <w:r w:rsidR="0071403F">
              <w:t>need not</w:t>
            </w:r>
            <w:r w:rsidRPr="0004133B">
              <w:rPr>
                <w:b/>
                <w:bCs/>
              </w:rPr>
              <w:t xml:space="preserve"> affect the volume of commodities exported to Australia’s trading partners</w:t>
            </w:r>
            <w:r>
              <w:t xml:space="preserve">. </w:t>
            </w:r>
            <w:r w:rsidR="008A2BDE">
              <w:t xml:space="preserve">A temporary, appropriately set price cap </w:t>
            </w:r>
            <w:r w:rsidR="00A14809">
              <w:t xml:space="preserve">in response to an international crisis </w:t>
            </w:r>
            <w:r>
              <w:t xml:space="preserve">is </w:t>
            </w:r>
            <w:r w:rsidR="0071403F">
              <w:t>also</w:t>
            </w:r>
            <w:r>
              <w:t xml:space="preserve"> </w:t>
            </w:r>
            <w:r w:rsidRPr="0004133B">
              <w:rPr>
                <w:b/>
                <w:bCs/>
              </w:rPr>
              <w:t>unlikely to cause significant concerns for international investors</w:t>
            </w:r>
            <w:r w:rsidR="00842EFE">
              <w:t>, to the extent that they are affected by reduced earnings from domestic gas sales</w:t>
            </w:r>
            <w:r>
              <w:t xml:space="preserve">. </w:t>
            </w:r>
          </w:p>
        </w:tc>
      </w:tr>
    </w:tbl>
    <w:p w14:paraId="52271876" w14:textId="7F25DA03" w:rsidR="00874B08" w:rsidRDefault="00874B08" w:rsidP="00874B08"/>
    <w:p w14:paraId="799402B6" w14:textId="77777777" w:rsidR="005F2D74" w:rsidRDefault="005F2D74" w:rsidP="005F2D74">
      <w:pPr>
        <w:rPr>
          <w:b/>
          <w:bCs/>
        </w:rPr>
      </w:pPr>
      <w:r>
        <w:rPr>
          <w:b/>
          <w:bCs/>
        </w:rPr>
        <w:t>Regulatory burden costings:</w:t>
      </w:r>
    </w:p>
    <w:p w14:paraId="3E3909E9" w14:textId="1EEDC83D" w:rsidR="005F2D74" w:rsidRDefault="005F2D74" w:rsidP="005F2D74">
      <w:r>
        <w:t xml:space="preserve">This option is expected to carry regulatory compliance costs, insofar as the introduction of a price cap will require gas producers to adjust </w:t>
      </w:r>
      <w:r w:rsidR="003B6043">
        <w:t>their</w:t>
      </w:r>
      <w:r>
        <w:t xml:space="preserve"> offers to the market to comply with the price cap. </w:t>
      </w:r>
      <w:r w:rsidR="003B6043">
        <w:t xml:space="preserve">A similar exercise will be required when the price cap expires 12 months </w:t>
      </w:r>
      <w:r w:rsidR="002C434E">
        <w:t xml:space="preserve">later. </w:t>
      </w:r>
      <w:r>
        <w:t xml:space="preserve"> </w:t>
      </w:r>
    </w:p>
    <w:p w14:paraId="2D3E0AFC" w14:textId="60ABE950" w:rsidR="005F2D74" w:rsidRDefault="005F2D74" w:rsidP="005F2D74">
      <w:r>
        <w:t>In total, it is expected that this option will create approximately $</w:t>
      </w:r>
      <w:r w:rsidR="003B6043">
        <w:t>16</w:t>
      </w:r>
      <w:r>
        <w:t xml:space="preserve">0,000 in regulatory costs. See Appendix </w:t>
      </w:r>
      <w:r w:rsidR="007E776D">
        <w:t xml:space="preserve">B </w:t>
      </w:r>
      <w:r>
        <w:t>for more detailed calculations and the assumptions made in these costings.</w:t>
      </w:r>
    </w:p>
    <w:p w14:paraId="40382922" w14:textId="707A4CE9" w:rsidR="005F2D74" w:rsidRPr="008C58CF" w:rsidRDefault="005F2D74" w:rsidP="00425AC7">
      <w:pPr>
        <w:keepNext/>
        <w:rPr>
          <w:b/>
          <w:bCs/>
        </w:rPr>
      </w:pPr>
      <w:r w:rsidRPr="008C58CF">
        <w:rPr>
          <w:b/>
          <w:bCs/>
        </w:rPr>
        <w:t xml:space="preserve">Table </w:t>
      </w:r>
      <w:r w:rsidR="00C644DD" w:rsidRPr="00297CDF">
        <w:rPr>
          <w:b/>
          <w:bCs/>
        </w:rPr>
        <w:t>9</w:t>
      </w:r>
      <w:r w:rsidRPr="008C58CF">
        <w:rPr>
          <w:b/>
          <w:bCs/>
        </w:rPr>
        <w:t>: Regulatory burden estimate (RBE) table (Option A</w:t>
      </w:r>
      <w:r w:rsidR="003B6043">
        <w:rPr>
          <w:b/>
          <w:bCs/>
        </w:rPr>
        <w:t>4</w:t>
      </w:r>
      <w:r w:rsidRPr="008C58CF">
        <w:rPr>
          <w:b/>
          <w:bCs/>
        </w:rPr>
        <w:t xml:space="preserve">) </w:t>
      </w:r>
    </w:p>
    <w:tbl>
      <w:tblPr>
        <w:tblW w:w="8942" w:type="dxa"/>
        <w:tblInd w:w="108" w:type="dxa"/>
        <w:tblCellMar>
          <w:left w:w="0" w:type="dxa"/>
          <w:right w:w="0" w:type="dxa"/>
        </w:tblCellMar>
        <w:tblLook w:val="04A0" w:firstRow="1" w:lastRow="0" w:firstColumn="1" w:lastColumn="0" w:noHBand="0" w:noVBand="1"/>
        <w:tblCaption w:val="Regulatory burden estimate table"/>
        <w:tblDescription w:val="Template for the Regulatory burden estimate table"/>
      </w:tblPr>
      <w:tblGrid>
        <w:gridCol w:w="1769"/>
        <w:gridCol w:w="1793"/>
        <w:gridCol w:w="1793"/>
        <w:gridCol w:w="1793"/>
        <w:gridCol w:w="1794"/>
      </w:tblGrid>
      <w:tr w:rsidR="00CA2057" w14:paraId="5CD0D890" w14:textId="77777777" w:rsidTr="007E776D">
        <w:trPr>
          <w:trHeight w:val="300"/>
          <w:tblHeader/>
        </w:trPr>
        <w:tc>
          <w:tcPr>
            <w:tcW w:w="8599" w:type="dxa"/>
            <w:gridSpan w:val="5"/>
            <w:tcBorders>
              <w:top w:val="single" w:sz="8" w:space="0" w:color="ED7D31"/>
              <w:left w:val="single" w:sz="8" w:space="0" w:color="ED7D31"/>
              <w:bottom w:val="single" w:sz="8" w:space="0" w:color="ED7D31"/>
              <w:right w:val="single" w:sz="8" w:space="0" w:color="ED7D31"/>
            </w:tcBorders>
            <w:shd w:val="clear" w:color="auto" w:fill="CD0920"/>
            <w:noWrap/>
            <w:tcMar>
              <w:top w:w="0" w:type="dxa"/>
              <w:left w:w="108" w:type="dxa"/>
              <w:bottom w:w="0" w:type="dxa"/>
              <w:right w:w="108" w:type="dxa"/>
            </w:tcMar>
            <w:hideMark/>
          </w:tcPr>
          <w:p w14:paraId="458ED10C" w14:textId="77777777" w:rsidR="005F2D74" w:rsidRPr="008C58CF" w:rsidRDefault="005F2D74" w:rsidP="00425AC7">
            <w:pPr>
              <w:keepNext/>
              <w:spacing w:before="120" w:after="120"/>
              <w:rPr>
                <w:rFonts w:cstheme="minorHAnsi"/>
                <w:b/>
                <w:bCs/>
                <w:color w:val="FFFFFF"/>
                <w:sz w:val="20"/>
                <w:szCs w:val="20"/>
              </w:rPr>
            </w:pPr>
            <w:r w:rsidRPr="005F2D74">
              <w:rPr>
                <w:rFonts w:cstheme="minorHAnsi"/>
                <w:b/>
                <w:color w:val="FFFFFF"/>
                <w:sz w:val="20"/>
                <w:szCs w:val="20"/>
              </w:rPr>
              <w:t>Average annual regulatory costs (from business as usual)</w:t>
            </w:r>
          </w:p>
        </w:tc>
      </w:tr>
      <w:tr w:rsidR="00C90DBB" w14:paraId="185102B4" w14:textId="77777777" w:rsidTr="007E776D">
        <w:trPr>
          <w:trHeight w:val="300"/>
        </w:trPr>
        <w:tc>
          <w:tcPr>
            <w:tcW w:w="1702" w:type="dxa"/>
            <w:tcBorders>
              <w:top w:val="nil"/>
              <w:left w:val="single" w:sz="8" w:space="0" w:color="ED7D31"/>
              <w:bottom w:val="single" w:sz="8" w:space="0" w:color="ED7D31"/>
              <w:right w:val="single" w:sz="8" w:space="0" w:color="ED7D31"/>
            </w:tcBorders>
            <w:noWrap/>
            <w:tcMar>
              <w:top w:w="0" w:type="dxa"/>
              <w:left w:w="108" w:type="dxa"/>
              <w:bottom w:w="0" w:type="dxa"/>
              <w:right w:w="108" w:type="dxa"/>
            </w:tcMar>
            <w:hideMark/>
          </w:tcPr>
          <w:p w14:paraId="17DBC451" w14:textId="77777777" w:rsidR="005F2D74" w:rsidRPr="008C58CF" w:rsidRDefault="005F2D74" w:rsidP="00425AC7">
            <w:pPr>
              <w:pStyle w:val="TableText"/>
              <w:keepNext/>
              <w:rPr>
                <w:rFonts w:asciiTheme="minorHAnsi" w:hAnsiTheme="minorHAnsi" w:cstheme="minorHAnsi"/>
                <w:b/>
                <w:bCs/>
              </w:rPr>
            </w:pPr>
            <w:r w:rsidRPr="008C58CF">
              <w:rPr>
                <w:rFonts w:asciiTheme="minorHAnsi" w:hAnsiTheme="minorHAnsi" w:cstheme="minorHAnsi"/>
              </w:rPr>
              <w:t>Change in costs ($ million)</w:t>
            </w:r>
          </w:p>
        </w:tc>
        <w:tc>
          <w:tcPr>
            <w:tcW w:w="1724"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650706EE" w14:textId="77777777" w:rsidR="005F2D74" w:rsidRPr="008C58CF" w:rsidRDefault="005F2D74" w:rsidP="00425AC7">
            <w:pPr>
              <w:pStyle w:val="TableText"/>
              <w:keepNext/>
              <w:rPr>
                <w:rFonts w:asciiTheme="minorHAnsi" w:hAnsiTheme="minorHAnsi" w:cstheme="minorHAnsi"/>
              </w:rPr>
            </w:pPr>
            <w:r w:rsidRPr="008C58CF">
              <w:rPr>
                <w:rFonts w:asciiTheme="minorHAnsi" w:hAnsiTheme="minorHAnsi" w:cstheme="minorHAnsi"/>
              </w:rPr>
              <w:t>Business</w:t>
            </w:r>
          </w:p>
        </w:tc>
        <w:tc>
          <w:tcPr>
            <w:tcW w:w="1724"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59A1B871" w14:textId="77777777" w:rsidR="005F2D74" w:rsidRPr="005F2D74" w:rsidRDefault="005F2D74" w:rsidP="00425AC7">
            <w:pPr>
              <w:keepNext/>
              <w:spacing w:before="120" w:after="120"/>
              <w:rPr>
                <w:rFonts w:cstheme="minorHAnsi"/>
                <w:sz w:val="20"/>
                <w:szCs w:val="20"/>
              </w:rPr>
            </w:pPr>
            <w:r w:rsidRPr="005F2D74">
              <w:rPr>
                <w:rFonts w:cstheme="minorHAnsi"/>
                <w:sz w:val="20"/>
                <w:szCs w:val="20"/>
              </w:rPr>
              <w:t>Community organisations</w:t>
            </w:r>
          </w:p>
        </w:tc>
        <w:tc>
          <w:tcPr>
            <w:tcW w:w="1724"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2C2DBB0B" w14:textId="77777777" w:rsidR="005F2D74" w:rsidRPr="005F2D74" w:rsidRDefault="005F2D74" w:rsidP="00425AC7">
            <w:pPr>
              <w:keepNext/>
              <w:spacing w:before="120" w:after="120"/>
              <w:rPr>
                <w:rFonts w:cstheme="minorHAnsi"/>
                <w:sz w:val="20"/>
                <w:szCs w:val="20"/>
              </w:rPr>
            </w:pPr>
            <w:r w:rsidRPr="005F2D74">
              <w:rPr>
                <w:rFonts w:cstheme="minorHAnsi"/>
                <w:sz w:val="20"/>
                <w:szCs w:val="20"/>
              </w:rPr>
              <w:t>Individuals</w:t>
            </w:r>
          </w:p>
        </w:tc>
        <w:tc>
          <w:tcPr>
            <w:tcW w:w="1725"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716D4F5D" w14:textId="77777777" w:rsidR="005F2D74" w:rsidRPr="005F2D74" w:rsidRDefault="005F2D74" w:rsidP="00425AC7">
            <w:pPr>
              <w:keepNext/>
              <w:spacing w:before="120" w:after="120"/>
              <w:rPr>
                <w:rFonts w:cstheme="minorHAnsi"/>
                <w:sz w:val="20"/>
                <w:szCs w:val="20"/>
              </w:rPr>
            </w:pPr>
            <w:r w:rsidRPr="005F2D74">
              <w:rPr>
                <w:rFonts w:cstheme="minorHAnsi"/>
                <w:sz w:val="20"/>
                <w:szCs w:val="20"/>
              </w:rPr>
              <w:t>Total change in costs</w:t>
            </w:r>
          </w:p>
        </w:tc>
      </w:tr>
      <w:tr w:rsidR="00C90DBB" w14:paraId="4EBB8383" w14:textId="77777777" w:rsidTr="007E776D">
        <w:trPr>
          <w:trHeight w:val="300"/>
        </w:trPr>
        <w:tc>
          <w:tcPr>
            <w:tcW w:w="1702" w:type="dxa"/>
            <w:tcBorders>
              <w:top w:val="nil"/>
              <w:left w:val="single" w:sz="8" w:space="0" w:color="ED7D31"/>
              <w:bottom w:val="single" w:sz="8" w:space="0" w:color="ED7D31"/>
              <w:right w:val="single" w:sz="8" w:space="0" w:color="ED7D31"/>
            </w:tcBorders>
            <w:noWrap/>
            <w:tcMar>
              <w:top w:w="0" w:type="dxa"/>
              <w:left w:w="108" w:type="dxa"/>
              <w:bottom w:w="0" w:type="dxa"/>
              <w:right w:w="108" w:type="dxa"/>
            </w:tcMar>
            <w:hideMark/>
          </w:tcPr>
          <w:p w14:paraId="23B8D6F8" w14:textId="77777777" w:rsidR="005F2D74" w:rsidRPr="005F2D74" w:rsidRDefault="005F2D74" w:rsidP="008C58CF">
            <w:pPr>
              <w:spacing w:before="120" w:after="120"/>
              <w:rPr>
                <w:rFonts w:cstheme="minorHAnsi"/>
                <w:sz w:val="20"/>
                <w:szCs w:val="20"/>
              </w:rPr>
            </w:pPr>
            <w:r w:rsidRPr="005F2D74">
              <w:rPr>
                <w:rFonts w:cstheme="minorHAnsi"/>
                <w:sz w:val="20"/>
                <w:szCs w:val="20"/>
              </w:rPr>
              <w:t>Total, by sector</w:t>
            </w:r>
          </w:p>
        </w:tc>
        <w:tc>
          <w:tcPr>
            <w:tcW w:w="1724"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051BC05D" w14:textId="6F21CE5D" w:rsidR="005F2D74" w:rsidRPr="005F2D74" w:rsidRDefault="005F2D74" w:rsidP="008C58CF">
            <w:pPr>
              <w:spacing w:before="120" w:after="120"/>
              <w:rPr>
                <w:rFonts w:cstheme="minorHAnsi"/>
                <w:sz w:val="20"/>
                <w:szCs w:val="20"/>
              </w:rPr>
            </w:pPr>
            <w:r w:rsidRPr="005F2D74">
              <w:rPr>
                <w:rFonts w:cstheme="minorHAnsi"/>
                <w:sz w:val="20"/>
                <w:szCs w:val="20"/>
              </w:rPr>
              <w:t>$</w:t>
            </w:r>
            <w:r w:rsidR="003B6043">
              <w:rPr>
                <w:rFonts w:cstheme="minorHAnsi"/>
                <w:sz w:val="20"/>
                <w:szCs w:val="20"/>
              </w:rPr>
              <w:t>158,889</w:t>
            </w:r>
          </w:p>
        </w:tc>
        <w:tc>
          <w:tcPr>
            <w:tcW w:w="1724"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14AF6237" w14:textId="204845AA" w:rsidR="005F2D74" w:rsidRPr="005F2D74" w:rsidRDefault="005F2D74" w:rsidP="008C58CF">
            <w:pPr>
              <w:spacing w:before="120" w:after="120"/>
              <w:rPr>
                <w:rFonts w:cstheme="minorHAnsi"/>
                <w:sz w:val="20"/>
                <w:szCs w:val="20"/>
              </w:rPr>
            </w:pPr>
          </w:p>
        </w:tc>
        <w:tc>
          <w:tcPr>
            <w:tcW w:w="1724"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275794D3" w14:textId="0FA541C2" w:rsidR="005F2D74" w:rsidRPr="005F2D74" w:rsidRDefault="005F2D74" w:rsidP="008C58CF">
            <w:pPr>
              <w:spacing w:before="120" w:after="120"/>
              <w:rPr>
                <w:rFonts w:cstheme="minorHAnsi"/>
                <w:sz w:val="20"/>
                <w:szCs w:val="20"/>
              </w:rPr>
            </w:pPr>
          </w:p>
        </w:tc>
        <w:tc>
          <w:tcPr>
            <w:tcW w:w="1725" w:type="dxa"/>
            <w:tcBorders>
              <w:top w:val="nil"/>
              <w:left w:val="nil"/>
              <w:bottom w:val="single" w:sz="8" w:space="0" w:color="ED7D31"/>
              <w:right w:val="single" w:sz="8" w:space="0" w:color="ED7D31"/>
            </w:tcBorders>
            <w:noWrap/>
            <w:tcMar>
              <w:top w:w="0" w:type="dxa"/>
              <w:left w:w="108" w:type="dxa"/>
              <w:bottom w:w="0" w:type="dxa"/>
              <w:right w:w="108" w:type="dxa"/>
            </w:tcMar>
            <w:hideMark/>
          </w:tcPr>
          <w:p w14:paraId="65F52902" w14:textId="46ED40A6" w:rsidR="005F2D74" w:rsidRPr="005F2D74" w:rsidRDefault="005F2D74" w:rsidP="008C58CF">
            <w:pPr>
              <w:spacing w:before="120" w:after="120"/>
              <w:rPr>
                <w:rFonts w:cstheme="minorHAnsi"/>
                <w:sz w:val="20"/>
                <w:szCs w:val="20"/>
              </w:rPr>
            </w:pPr>
            <w:r w:rsidRPr="005F2D74">
              <w:rPr>
                <w:rFonts w:cstheme="minorHAnsi"/>
                <w:sz w:val="20"/>
                <w:szCs w:val="20"/>
              </w:rPr>
              <w:t>$</w:t>
            </w:r>
            <w:r w:rsidR="003B6043">
              <w:rPr>
                <w:rFonts w:cstheme="minorHAnsi"/>
                <w:sz w:val="20"/>
                <w:szCs w:val="20"/>
              </w:rPr>
              <w:t>158,889</w:t>
            </w:r>
          </w:p>
        </w:tc>
      </w:tr>
    </w:tbl>
    <w:p w14:paraId="3350FFB8" w14:textId="77B49C91" w:rsidR="005F2D74" w:rsidRDefault="005F2D74" w:rsidP="00874B08"/>
    <w:p w14:paraId="4E54206B" w14:textId="1AA3D4B7" w:rsidR="009D008C" w:rsidRDefault="009D008C" w:rsidP="0080506D">
      <w:pPr>
        <w:pStyle w:val="HeaderOdd"/>
        <w:keepNext/>
      </w:pPr>
      <w:r>
        <w:t>Option A</w:t>
      </w:r>
      <w:r w:rsidR="00BB4E4C">
        <w:t>5</w:t>
      </w:r>
      <w:r>
        <w:t>: Bringing forward commencement of reforms to the ADGSM</w:t>
      </w:r>
    </w:p>
    <w:p w14:paraId="0DD748F6" w14:textId="77594160" w:rsidR="009D008C" w:rsidRDefault="00C876C3" w:rsidP="00701929">
      <w:pPr>
        <w:pStyle w:val="BodyText"/>
      </w:pPr>
      <w:r>
        <w:t xml:space="preserve">Bringing forward the implementation of the ADGSM reforms from July 2023 to April 2023 would allow </w:t>
      </w:r>
      <w:r w:rsidR="00FC387B">
        <w:t xml:space="preserve">earlier </w:t>
      </w:r>
      <w:r>
        <w:t xml:space="preserve">assessment of whether a gas shortfall is expected </w:t>
      </w:r>
      <w:r w:rsidR="00FC387B">
        <w:t>to occur</w:t>
      </w:r>
      <w:r>
        <w:t>.</w:t>
      </w:r>
    </w:p>
    <w:p w14:paraId="4BA7BC15" w14:textId="7ED71BC1" w:rsidR="00776303" w:rsidRDefault="00755C3C" w:rsidP="00776303">
      <w:pPr>
        <w:rPr>
          <w:b/>
        </w:rPr>
      </w:pPr>
      <w:r>
        <w:rPr>
          <w:b/>
        </w:rPr>
        <w:t>Impact of quarterly ADGSM activation</w:t>
      </w:r>
    </w:p>
    <w:p w14:paraId="78B6CF24" w14:textId="4E55F82F" w:rsidR="00755C3C" w:rsidRDefault="008535B4" w:rsidP="00776303">
      <w:pPr>
        <w:rPr>
          <w:bCs/>
          <w:lang w:val="en-GB"/>
        </w:rPr>
      </w:pPr>
      <w:r>
        <w:rPr>
          <w:lang w:val="en-GB"/>
        </w:rPr>
        <w:lastRenderedPageBreak/>
        <w:t>Quarterly activation will lead to m</w:t>
      </w:r>
      <w:r w:rsidR="00776303">
        <w:rPr>
          <w:lang w:val="en-GB"/>
        </w:rPr>
        <w:t>ore flexible decision-making and shorter activation timelines</w:t>
      </w:r>
      <w:r w:rsidR="007B2942">
        <w:rPr>
          <w:lang w:val="en-GB"/>
        </w:rPr>
        <w:t>,</w:t>
      </w:r>
      <w:r w:rsidR="00776303">
        <w:rPr>
          <w:lang w:val="en-GB"/>
        </w:rPr>
        <w:t xml:space="preserve"> improv</w:t>
      </w:r>
      <w:r>
        <w:rPr>
          <w:lang w:val="en-GB"/>
        </w:rPr>
        <w:t>ing</w:t>
      </w:r>
      <w:r w:rsidR="00776303">
        <w:rPr>
          <w:lang w:val="en-GB"/>
        </w:rPr>
        <w:t xml:space="preserve"> the Minister’s ability to address shortfall risks. </w:t>
      </w:r>
      <w:r w:rsidR="00755C3C">
        <w:rPr>
          <w:bCs/>
          <w:lang w:val="en-GB"/>
        </w:rPr>
        <w:t>Increased flexibility allows the Minister to quickly enact export controls and more often, alleviating shortfalls in a shorter timeframe and put</w:t>
      </w:r>
      <w:r w:rsidR="007B2942">
        <w:rPr>
          <w:bCs/>
          <w:lang w:val="en-GB"/>
        </w:rPr>
        <w:t>ting</w:t>
      </w:r>
      <w:r w:rsidR="00755C3C">
        <w:rPr>
          <w:bCs/>
          <w:lang w:val="en-GB"/>
        </w:rPr>
        <w:t xml:space="preserve"> downward pressure on gas prices earlier.</w:t>
      </w:r>
      <w:r w:rsidR="00CB465C">
        <w:rPr>
          <w:bCs/>
          <w:lang w:val="en-GB"/>
        </w:rPr>
        <w:t xml:space="preserve"> </w:t>
      </w:r>
      <w:r w:rsidR="00755C3C">
        <w:rPr>
          <w:bCs/>
          <w:lang w:val="en-GB"/>
        </w:rPr>
        <w:t>It will also allow the Minister to assess, determine and communicate assessment of a projected shortfall on a regular basis, and can increase overall system transparency</w:t>
      </w:r>
      <w:r w:rsidR="00CB465C">
        <w:rPr>
          <w:bCs/>
          <w:lang w:val="en-GB"/>
        </w:rPr>
        <w:t xml:space="preserve"> if information is collated and shared. </w:t>
      </w:r>
    </w:p>
    <w:p w14:paraId="73A6000E" w14:textId="2026DA52" w:rsidR="00CB465C" w:rsidRDefault="00CB465C" w:rsidP="00776303">
      <w:pPr>
        <w:rPr>
          <w:bCs/>
          <w:lang w:val="en-GB"/>
        </w:rPr>
      </w:pPr>
      <w:r>
        <w:rPr>
          <w:bCs/>
          <w:lang w:val="en-GB"/>
        </w:rPr>
        <w:t>However, more frequent decision-making and shorter activation timelines will increase system complexity. Government and other agencies need to be prepared to provide information and assess the possibility of a projected shortfall at multiple times in a year and if necessary, allocate export controls.</w:t>
      </w:r>
    </w:p>
    <w:p w14:paraId="0D924213" w14:textId="481B7CF6" w:rsidR="00F41CDA" w:rsidRPr="00F41CDA" w:rsidRDefault="00F41CDA" w:rsidP="00776303">
      <w:pPr>
        <w:rPr>
          <w:b/>
          <w:lang w:val="en-GB"/>
        </w:rPr>
      </w:pPr>
      <w:r>
        <w:rPr>
          <w:b/>
          <w:lang w:val="en-GB"/>
        </w:rPr>
        <w:t>Impact of splitting the TMSO equally across all LNG exporters</w:t>
      </w:r>
    </w:p>
    <w:p w14:paraId="1D65B71D" w14:textId="642149CE" w:rsidR="00D76BEF" w:rsidRDefault="00F865CB" w:rsidP="00776303">
      <w:pPr>
        <w:rPr>
          <w:lang w:val="en-GB"/>
        </w:rPr>
      </w:pPr>
      <w:r>
        <w:rPr>
          <w:bCs/>
          <w:lang w:val="en-GB"/>
        </w:rPr>
        <w:t>Splitting the TMSO equally across all LNG exporters</w:t>
      </w:r>
      <w:r w:rsidR="00F202B6">
        <w:rPr>
          <w:bCs/>
          <w:lang w:val="en-GB"/>
        </w:rPr>
        <w:t xml:space="preserve"> </w:t>
      </w:r>
      <w:r w:rsidR="00D76BEF">
        <w:rPr>
          <w:bCs/>
          <w:lang w:val="en-GB"/>
        </w:rPr>
        <w:t xml:space="preserve">will give greater certainty that in the event of the ADGSM being activated, it would restrict LNG exports by the full amount of the anticipated domestic shortfall. </w:t>
      </w:r>
    </w:p>
    <w:p w14:paraId="29232560" w14:textId="46A3C182" w:rsidR="00F17379" w:rsidRDefault="00F17379" w:rsidP="00776303">
      <w:pPr>
        <w:rPr>
          <w:bCs/>
          <w:lang w:val="en-GB"/>
        </w:rPr>
      </w:pPr>
      <w:r>
        <w:rPr>
          <w:bCs/>
          <w:lang w:val="en-GB"/>
        </w:rPr>
        <w:t>Changing the TMSO methodology to an equal split approach could reduce potential impacts to trust</w:t>
      </w:r>
      <w:r w:rsidR="007B2942">
        <w:rPr>
          <w:bCs/>
          <w:lang w:val="en-GB"/>
        </w:rPr>
        <w:t>ed</w:t>
      </w:r>
      <w:r>
        <w:rPr>
          <w:bCs/>
          <w:lang w:val="en-GB"/>
        </w:rPr>
        <w:t xml:space="preserve"> trading partners</w:t>
      </w:r>
      <w:r w:rsidR="007B2942">
        <w:rPr>
          <w:bCs/>
          <w:lang w:val="en-GB"/>
        </w:rPr>
        <w:t>,</w:t>
      </w:r>
      <w:r>
        <w:rPr>
          <w:bCs/>
          <w:lang w:val="en-GB"/>
        </w:rPr>
        <w:t xml:space="preserve"> as this approach is expected to reduce the exposure of a net deficit exporter’s long-term export contracts to potential export restrictions. This approach would also require minimal changes to the existing ADGSM arrangements, making it relatively simple to implement and administer.</w:t>
      </w:r>
    </w:p>
    <w:p w14:paraId="3F2104A8" w14:textId="081FFE51" w:rsidR="0060715E" w:rsidRDefault="0060715E" w:rsidP="00776303">
      <w:pPr>
        <w:rPr>
          <w:bCs/>
          <w:lang w:val="en-GB"/>
        </w:rPr>
      </w:pPr>
      <w:r>
        <w:rPr>
          <w:bCs/>
          <w:lang w:val="en-GB"/>
        </w:rPr>
        <w:t>Implementing tradeable export permissions reduces the economic cost to the overall system as the net deficit exporter no longer needs to incur additional costs to meet long-term contracts while complying with export controls.</w:t>
      </w:r>
    </w:p>
    <w:p w14:paraId="535841F6" w14:textId="77777777" w:rsidR="00084309" w:rsidRDefault="00084309" w:rsidP="00084309">
      <w:pPr>
        <w:rPr>
          <w:bCs/>
          <w:lang w:val="en-GB"/>
        </w:rPr>
      </w:pPr>
      <w:r>
        <w:rPr>
          <w:bCs/>
          <w:lang w:val="en-GB"/>
        </w:rPr>
        <w:t>Full consideration of these reforms is outlined in the ADGSM Regulatory Impact Statement.</w:t>
      </w:r>
    </w:p>
    <w:p w14:paraId="55F900B1" w14:textId="382016F7" w:rsidR="00082B67" w:rsidRDefault="00082B67" w:rsidP="00776303">
      <w:pPr>
        <w:rPr>
          <w:b/>
          <w:lang w:val="en-GB"/>
        </w:rPr>
      </w:pPr>
      <w:r>
        <w:rPr>
          <w:b/>
          <w:lang w:val="en-GB"/>
        </w:rPr>
        <w:t>Impact of bringing forward the commencement date of reforms by one quarter</w:t>
      </w:r>
    </w:p>
    <w:p w14:paraId="53DAD1E1" w14:textId="42D1E653" w:rsidR="00082B67" w:rsidRPr="00082B67" w:rsidRDefault="00082B67" w:rsidP="00776303">
      <w:pPr>
        <w:rPr>
          <w:bCs/>
          <w:lang w:val="en-GB"/>
        </w:rPr>
      </w:pPr>
      <w:r>
        <w:rPr>
          <w:bCs/>
          <w:lang w:val="en-GB"/>
        </w:rPr>
        <w:t xml:space="preserve">Implementing the ADGSM reforms on an expedited schedule will bring the benefits outlined above one quarter earlier. </w:t>
      </w:r>
      <w:r w:rsidR="00002628">
        <w:rPr>
          <w:bCs/>
          <w:lang w:val="en-GB"/>
        </w:rPr>
        <w:t xml:space="preserve">Condensing the implementation period for reforms, when other market reforms may be implemented simultaneously, will increase the </w:t>
      </w:r>
      <w:r w:rsidR="0066271F">
        <w:rPr>
          <w:bCs/>
          <w:lang w:val="en-GB"/>
        </w:rPr>
        <w:t xml:space="preserve">costs, </w:t>
      </w:r>
      <w:r w:rsidR="00002628">
        <w:rPr>
          <w:bCs/>
          <w:lang w:val="en-GB"/>
        </w:rPr>
        <w:t>complexity and burden faced by industry</w:t>
      </w:r>
      <w:r w:rsidR="0066271F">
        <w:rPr>
          <w:bCs/>
          <w:lang w:val="en-GB"/>
        </w:rPr>
        <w:t>, and reduces the period for consultation</w:t>
      </w:r>
      <w:r w:rsidR="00002628">
        <w:rPr>
          <w:bCs/>
          <w:lang w:val="en-GB"/>
        </w:rPr>
        <w:t xml:space="preserve">. Key design features of the reforms, in particular the tradability of export permissions among producers will require careful consideration alongside the $12/GJ price cap to avoid </w:t>
      </w:r>
      <w:r w:rsidR="00097EA6">
        <w:rPr>
          <w:bCs/>
          <w:lang w:val="en-GB"/>
        </w:rPr>
        <w:t xml:space="preserve">any </w:t>
      </w:r>
      <w:r w:rsidR="00002628">
        <w:rPr>
          <w:bCs/>
          <w:lang w:val="en-GB"/>
        </w:rPr>
        <w:t xml:space="preserve">unintended consequences.   Expedited implementation will support </w:t>
      </w:r>
      <w:r w:rsidR="00940B94">
        <w:rPr>
          <w:bCs/>
          <w:lang w:val="en-GB"/>
        </w:rPr>
        <w:t>stability and security for domestic gas users.</w:t>
      </w:r>
    </w:p>
    <w:p w14:paraId="271D79E6" w14:textId="2B6ED03C" w:rsidR="00273DB1" w:rsidRPr="00745D7A" w:rsidRDefault="00C644DD" w:rsidP="004200CD">
      <w:pPr>
        <w:keepNext/>
        <w:rPr>
          <w:bCs/>
          <w:lang w:val="en-GB"/>
        </w:rPr>
      </w:pPr>
      <w:bookmarkStart w:id="26" w:name="_Hlk120545117"/>
      <w:r>
        <w:rPr>
          <w:b/>
          <w:bCs/>
        </w:rPr>
        <w:lastRenderedPageBreak/>
        <w:t>Table 1</w:t>
      </w:r>
      <w:r w:rsidR="00804EE2">
        <w:rPr>
          <w:b/>
          <w:bCs/>
        </w:rPr>
        <w:t>0</w:t>
      </w:r>
      <w:r>
        <w:rPr>
          <w:b/>
          <w:bCs/>
        </w:rPr>
        <w:t xml:space="preserve">: </w:t>
      </w:r>
      <w:r w:rsidR="00273DB1">
        <w:rPr>
          <w:b/>
          <w:bCs/>
        </w:rPr>
        <w:t>Stakeholder Impacts</w:t>
      </w:r>
      <w:r>
        <w:rPr>
          <w:b/>
          <w:bCs/>
        </w:rPr>
        <w:t xml:space="preserve"> of Option A</w:t>
      </w:r>
      <w:r w:rsidR="001E70CE">
        <w:rPr>
          <w:b/>
          <w:bCs/>
        </w:rPr>
        <w:t>5</w:t>
      </w:r>
    </w:p>
    <w:tbl>
      <w:tblPr>
        <w:tblStyle w:val="PMCDefaultTableStyle"/>
        <w:tblW w:w="0" w:type="auto"/>
        <w:tblLook w:val="04A0" w:firstRow="1" w:lastRow="0" w:firstColumn="1" w:lastColumn="0" w:noHBand="0" w:noVBand="1"/>
      </w:tblPr>
      <w:tblGrid>
        <w:gridCol w:w="2972"/>
        <w:gridCol w:w="6088"/>
      </w:tblGrid>
      <w:tr w:rsidR="00AF0D43" w:rsidRPr="002E2609" w14:paraId="42A6C510" w14:textId="77777777" w:rsidTr="00845616">
        <w:trPr>
          <w:cnfStyle w:val="100000000000" w:firstRow="1" w:lastRow="0" w:firstColumn="0" w:lastColumn="0" w:oddVBand="0" w:evenVBand="0" w:oddHBand="0" w:evenHBand="0" w:firstRowFirstColumn="0" w:firstRowLastColumn="0" w:lastRowFirstColumn="0" w:lastRowLastColumn="0"/>
        </w:trPr>
        <w:tc>
          <w:tcPr>
            <w:tcW w:w="2972" w:type="dxa"/>
          </w:tcPr>
          <w:bookmarkEnd w:id="26"/>
          <w:p w14:paraId="52DDEF8E" w14:textId="77777777" w:rsidR="00AF0D43" w:rsidRPr="002E2609" w:rsidRDefault="00AF0D43" w:rsidP="004200CD">
            <w:pPr>
              <w:keepNext/>
              <w:rPr>
                <w:b w:val="0"/>
              </w:rPr>
            </w:pPr>
            <w:r>
              <w:t>Stakeholder group</w:t>
            </w:r>
          </w:p>
        </w:tc>
        <w:tc>
          <w:tcPr>
            <w:tcW w:w="6088" w:type="dxa"/>
          </w:tcPr>
          <w:p w14:paraId="273BF806" w14:textId="77777777" w:rsidR="00AF0D43" w:rsidRPr="002E2609" w:rsidRDefault="00AF0D43" w:rsidP="004200CD">
            <w:pPr>
              <w:keepNext/>
              <w:rPr>
                <w:b w:val="0"/>
              </w:rPr>
            </w:pPr>
            <w:r>
              <w:t>Impact</w:t>
            </w:r>
          </w:p>
        </w:tc>
      </w:tr>
      <w:tr w:rsidR="00AF0D43" w:rsidRPr="002E2609" w14:paraId="01E71867" w14:textId="77777777" w:rsidTr="00845616">
        <w:trPr>
          <w:cnfStyle w:val="000000100000" w:firstRow="0" w:lastRow="0" w:firstColumn="0" w:lastColumn="0" w:oddVBand="0" w:evenVBand="0" w:oddHBand="1" w:evenHBand="0" w:firstRowFirstColumn="0" w:firstRowLastColumn="0" w:lastRowFirstColumn="0" w:lastRowLastColumn="0"/>
        </w:trPr>
        <w:tc>
          <w:tcPr>
            <w:tcW w:w="2972" w:type="dxa"/>
          </w:tcPr>
          <w:p w14:paraId="12E2CA36" w14:textId="4896778A" w:rsidR="00AF0D43" w:rsidRDefault="00AF0D43" w:rsidP="004200CD">
            <w:pPr>
              <w:keepNext/>
            </w:pPr>
            <w:r>
              <w:t xml:space="preserve">Domestic gas producers </w:t>
            </w:r>
          </w:p>
        </w:tc>
        <w:tc>
          <w:tcPr>
            <w:tcW w:w="6088" w:type="dxa"/>
          </w:tcPr>
          <w:p w14:paraId="21743377" w14:textId="518C858B" w:rsidR="00AF0D43" w:rsidRPr="002E2609" w:rsidRDefault="0059030F" w:rsidP="004200CD">
            <w:pPr>
              <w:keepNext/>
              <w:rPr>
                <w:color w:val="auto"/>
              </w:rPr>
            </w:pPr>
            <w:r>
              <w:rPr>
                <w:color w:val="auto"/>
              </w:rPr>
              <w:t xml:space="preserve">The regulatory impact on domestic gas producers is unchanged </w:t>
            </w:r>
            <w:r w:rsidR="004349F5">
              <w:rPr>
                <w:color w:val="auto"/>
              </w:rPr>
              <w:t>from the</w:t>
            </w:r>
            <w:r w:rsidR="00146CAF">
              <w:rPr>
                <w:color w:val="auto"/>
              </w:rPr>
              <w:t xml:space="preserve"> </w:t>
            </w:r>
            <w:r w:rsidR="00482C39">
              <w:rPr>
                <w:color w:val="auto"/>
              </w:rPr>
              <w:t xml:space="preserve">recent, </w:t>
            </w:r>
            <w:r w:rsidR="00146CAF">
              <w:rPr>
                <w:color w:val="auto"/>
              </w:rPr>
              <w:t xml:space="preserve">previously </w:t>
            </w:r>
            <w:r w:rsidR="0065581D">
              <w:rPr>
                <w:color w:val="auto"/>
              </w:rPr>
              <w:t xml:space="preserve">analysed reforms </w:t>
            </w:r>
            <w:r w:rsidR="00146CAF">
              <w:rPr>
                <w:color w:val="auto"/>
              </w:rPr>
              <w:t>to the</w:t>
            </w:r>
            <w:r w:rsidR="0065581D">
              <w:rPr>
                <w:color w:val="auto"/>
              </w:rPr>
              <w:t xml:space="preserve"> </w:t>
            </w:r>
            <w:r w:rsidR="0065581D" w:rsidRPr="0065581D">
              <w:rPr>
                <w:color w:val="auto"/>
              </w:rPr>
              <w:t>ADGSM - Refining the Australian Domestic Gas Security Mechanism</w:t>
            </w:r>
            <w:r w:rsidR="0065581D">
              <w:rPr>
                <w:rStyle w:val="FootnoteReference"/>
                <w:color w:val="auto"/>
              </w:rPr>
              <w:footnoteReference w:id="12"/>
            </w:r>
            <w:r w:rsidR="0065581D">
              <w:rPr>
                <w:color w:val="auto"/>
              </w:rPr>
              <w:t xml:space="preserve">, with the </w:t>
            </w:r>
            <w:r w:rsidR="00002628">
              <w:rPr>
                <w:color w:val="auto"/>
              </w:rPr>
              <w:t>main</w:t>
            </w:r>
            <w:r w:rsidR="0065581D">
              <w:rPr>
                <w:color w:val="auto"/>
              </w:rPr>
              <w:t xml:space="preserve"> impact of the measure bringing forward these reforms</w:t>
            </w:r>
            <w:r w:rsidR="00002628">
              <w:rPr>
                <w:color w:val="auto"/>
              </w:rPr>
              <w:t xml:space="preserve"> (</w:t>
            </w:r>
            <w:r w:rsidR="00002628">
              <w:rPr>
                <w:color w:val="1F497D"/>
              </w:rPr>
              <w:t>OBPR22-02706 refers)</w:t>
            </w:r>
            <w:r w:rsidR="0065581D">
              <w:rPr>
                <w:color w:val="auto"/>
              </w:rPr>
              <w:t>.</w:t>
            </w:r>
          </w:p>
        </w:tc>
      </w:tr>
      <w:tr w:rsidR="00AF0D43" w:rsidRPr="002E2609" w14:paraId="50B960A9" w14:textId="77777777" w:rsidTr="00845616">
        <w:trPr>
          <w:cnfStyle w:val="000000010000" w:firstRow="0" w:lastRow="0" w:firstColumn="0" w:lastColumn="0" w:oddVBand="0" w:evenVBand="0" w:oddHBand="0" w:evenHBand="1" w:firstRowFirstColumn="0" w:firstRowLastColumn="0" w:lastRowFirstColumn="0" w:lastRowLastColumn="0"/>
        </w:trPr>
        <w:tc>
          <w:tcPr>
            <w:tcW w:w="2972" w:type="dxa"/>
          </w:tcPr>
          <w:p w14:paraId="199FD56D" w14:textId="4F74D002" w:rsidR="00AF0D43" w:rsidRDefault="00AF0D43" w:rsidP="0004133B">
            <w:r>
              <w:t>LNG exporters</w:t>
            </w:r>
          </w:p>
        </w:tc>
        <w:tc>
          <w:tcPr>
            <w:tcW w:w="6088" w:type="dxa"/>
          </w:tcPr>
          <w:p w14:paraId="23CB7E4F" w14:textId="38F4E8B8" w:rsidR="00AF0D43" w:rsidRPr="002E2609" w:rsidRDefault="0073247B" w:rsidP="0004133B">
            <w:pPr>
              <w:rPr>
                <w:lang w:val="en-GB"/>
              </w:rPr>
            </w:pPr>
            <w:r>
              <w:rPr>
                <w:color w:val="auto"/>
              </w:rPr>
              <w:t xml:space="preserve">Increases in </w:t>
            </w:r>
            <w:r w:rsidR="0065581D">
              <w:rPr>
                <w:color w:val="auto"/>
              </w:rPr>
              <w:t xml:space="preserve">regulatory impact on LNG exporters </w:t>
            </w:r>
            <w:r>
              <w:rPr>
                <w:color w:val="auto"/>
              </w:rPr>
              <w:t>are expected to be minimal but</w:t>
            </w:r>
            <w:r w:rsidR="0065581D">
              <w:rPr>
                <w:color w:val="auto"/>
              </w:rPr>
              <w:t xml:space="preserve"> </w:t>
            </w:r>
            <w:r w:rsidR="00002628">
              <w:rPr>
                <w:color w:val="auto"/>
              </w:rPr>
              <w:t xml:space="preserve">may increase as less time is available to settle key design parameters. Baseline impacts of the reforms were considered through </w:t>
            </w:r>
            <w:r w:rsidR="0065581D" w:rsidRPr="00A44E95">
              <w:rPr>
                <w:i/>
              </w:rPr>
              <w:t>ADGSM - Refining the Australian Domestic Gas Security Mechanism</w:t>
            </w:r>
            <w:r w:rsidR="00845616">
              <w:rPr>
                <w:i/>
              </w:rPr>
              <w:t xml:space="preserve"> </w:t>
            </w:r>
            <w:r w:rsidR="00002628">
              <w:rPr>
                <w:color w:val="auto"/>
              </w:rPr>
              <w:t>(</w:t>
            </w:r>
            <w:r w:rsidR="00002628">
              <w:rPr>
                <w:color w:val="1F497D"/>
              </w:rPr>
              <w:t>OBPR22-02706 refers)</w:t>
            </w:r>
            <w:r w:rsidR="0065581D">
              <w:rPr>
                <w:color w:val="auto"/>
              </w:rPr>
              <w:t>.</w:t>
            </w:r>
          </w:p>
        </w:tc>
      </w:tr>
      <w:tr w:rsidR="009606D4" w14:paraId="4FD0C995" w14:textId="77777777" w:rsidTr="00845616">
        <w:trPr>
          <w:cnfStyle w:val="000000100000" w:firstRow="0" w:lastRow="0" w:firstColumn="0" w:lastColumn="0" w:oddVBand="0" w:evenVBand="0" w:oddHBand="1" w:evenHBand="0" w:firstRowFirstColumn="0" w:firstRowLastColumn="0" w:lastRowFirstColumn="0" w:lastRowLastColumn="0"/>
        </w:trPr>
        <w:tc>
          <w:tcPr>
            <w:tcW w:w="2972" w:type="dxa"/>
          </w:tcPr>
          <w:p w14:paraId="5F49831C" w14:textId="12C21542" w:rsidR="009606D4" w:rsidRDefault="00273DB1" w:rsidP="0004133B">
            <w:r>
              <w:t>Generators</w:t>
            </w:r>
          </w:p>
        </w:tc>
        <w:tc>
          <w:tcPr>
            <w:tcW w:w="6088" w:type="dxa"/>
          </w:tcPr>
          <w:p w14:paraId="2237C016" w14:textId="3AA98C2B" w:rsidR="009606D4" w:rsidRDefault="00157C3C" w:rsidP="0004133B">
            <w:r>
              <w:t>Nil.</w:t>
            </w:r>
          </w:p>
        </w:tc>
      </w:tr>
      <w:tr w:rsidR="00AF0D43" w14:paraId="371AE12A" w14:textId="77777777" w:rsidTr="00845616">
        <w:trPr>
          <w:cnfStyle w:val="000000010000" w:firstRow="0" w:lastRow="0" w:firstColumn="0" w:lastColumn="0" w:oddVBand="0" w:evenVBand="0" w:oddHBand="0" w:evenHBand="1" w:firstRowFirstColumn="0" w:firstRowLastColumn="0" w:lastRowFirstColumn="0" w:lastRowLastColumn="0"/>
        </w:trPr>
        <w:tc>
          <w:tcPr>
            <w:tcW w:w="2972" w:type="dxa"/>
          </w:tcPr>
          <w:p w14:paraId="72BE0391" w14:textId="4F5CC5A0" w:rsidR="00AF0D43" w:rsidRDefault="00AF0D43" w:rsidP="0004133B">
            <w:r>
              <w:t>Retail energy companies</w:t>
            </w:r>
          </w:p>
        </w:tc>
        <w:tc>
          <w:tcPr>
            <w:tcW w:w="6088" w:type="dxa"/>
          </w:tcPr>
          <w:p w14:paraId="7E9BB926" w14:textId="5898441A" w:rsidR="00AF0D43" w:rsidRDefault="00157C3C" w:rsidP="0004133B">
            <w:r>
              <w:t>Nil.</w:t>
            </w:r>
          </w:p>
        </w:tc>
      </w:tr>
      <w:tr w:rsidR="00AF0D43" w14:paraId="59D948B6" w14:textId="77777777" w:rsidTr="00845616">
        <w:trPr>
          <w:cnfStyle w:val="000000100000" w:firstRow="0" w:lastRow="0" w:firstColumn="0" w:lastColumn="0" w:oddVBand="0" w:evenVBand="0" w:oddHBand="1" w:evenHBand="0" w:firstRowFirstColumn="0" w:firstRowLastColumn="0" w:lastRowFirstColumn="0" w:lastRowLastColumn="0"/>
        </w:trPr>
        <w:tc>
          <w:tcPr>
            <w:tcW w:w="2972" w:type="dxa"/>
          </w:tcPr>
          <w:p w14:paraId="1D3CD390" w14:textId="38E115BF" w:rsidR="00AF0D43" w:rsidRDefault="00AF0D43" w:rsidP="0004133B">
            <w:r>
              <w:t>Domestic energy consumers (households, small business and industrial users)</w:t>
            </w:r>
          </w:p>
        </w:tc>
        <w:tc>
          <w:tcPr>
            <w:tcW w:w="6088" w:type="dxa"/>
          </w:tcPr>
          <w:p w14:paraId="418D03D8" w14:textId="7538F9A8" w:rsidR="00AF0D43" w:rsidRDefault="00157C3C" w:rsidP="0004133B">
            <w:r>
              <w:t>Nil.</w:t>
            </w:r>
          </w:p>
        </w:tc>
      </w:tr>
      <w:tr w:rsidR="00AF0D43" w14:paraId="4D42EE60" w14:textId="77777777" w:rsidTr="00845616">
        <w:trPr>
          <w:cnfStyle w:val="000000010000" w:firstRow="0" w:lastRow="0" w:firstColumn="0" w:lastColumn="0" w:oddVBand="0" w:evenVBand="0" w:oddHBand="0" w:evenHBand="1" w:firstRowFirstColumn="0" w:firstRowLastColumn="0" w:lastRowFirstColumn="0" w:lastRowLastColumn="0"/>
        </w:trPr>
        <w:tc>
          <w:tcPr>
            <w:tcW w:w="2972" w:type="dxa"/>
          </w:tcPr>
          <w:p w14:paraId="7FC766C0" w14:textId="2E0C0D31" w:rsidR="00AF0D43" w:rsidRDefault="00AF0D43" w:rsidP="0004133B">
            <w:r>
              <w:t>International trading partners and investors</w:t>
            </w:r>
          </w:p>
        </w:tc>
        <w:tc>
          <w:tcPr>
            <w:tcW w:w="6088" w:type="dxa"/>
          </w:tcPr>
          <w:p w14:paraId="1FBDBE86" w14:textId="49B88C2A" w:rsidR="00AF0D43" w:rsidRDefault="00FD7A03" w:rsidP="0004133B">
            <w:r>
              <w:t xml:space="preserve">Bringing forward the ADGSM reforms </w:t>
            </w:r>
            <w:r w:rsidR="004162DC" w:rsidRPr="008B73A4">
              <w:rPr>
                <w:b/>
                <w:bCs/>
              </w:rPr>
              <w:t>may cause concerns for Australia’s trading partners and international investors,</w:t>
            </w:r>
            <w:r w:rsidR="004162DC">
              <w:t xml:space="preserve"> to the extent it raises concerns that the ADGSM may be triggered sooner.</w:t>
            </w:r>
          </w:p>
        </w:tc>
      </w:tr>
    </w:tbl>
    <w:p w14:paraId="0A416915" w14:textId="77777777" w:rsidR="003B6043" w:rsidRDefault="003B6043" w:rsidP="00B261A4">
      <w:pPr>
        <w:keepNext/>
        <w:rPr>
          <w:b/>
          <w:bCs/>
        </w:rPr>
      </w:pPr>
      <w:r>
        <w:rPr>
          <w:b/>
          <w:bCs/>
        </w:rPr>
        <w:t>Regulatory burden costings:</w:t>
      </w:r>
    </w:p>
    <w:p w14:paraId="0A68F7BD" w14:textId="58574CA1" w:rsidR="003B6043" w:rsidRDefault="003B6043" w:rsidP="003B6043">
      <w:r>
        <w:t xml:space="preserve">This option does not impose any regulatory costs as any regulatory burden from the ADGSM reforms are also </w:t>
      </w:r>
      <w:r w:rsidR="008246D0">
        <w:t>present</w:t>
      </w:r>
      <w:r>
        <w:t xml:space="preserve"> under the status quo base case. </w:t>
      </w:r>
    </w:p>
    <w:p w14:paraId="060DCD6C" w14:textId="257411E6" w:rsidR="003B6043" w:rsidRDefault="0049464F" w:rsidP="0049464F">
      <w:pPr>
        <w:pStyle w:val="HeaderOdd"/>
      </w:pPr>
      <w:r>
        <w:t>Comparison of Options against Objectives</w:t>
      </w:r>
    </w:p>
    <w:p w14:paraId="70DF79D2" w14:textId="6422094C" w:rsidR="0049464F" w:rsidRDefault="0049464F" w:rsidP="0049464F">
      <w:pPr>
        <w:pStyle w:val="HeaderOdd"/>
      </w:pPr>
    </w:p>
    <w:p w14:paraId="3C2A9706" w14:textId="5C94ED6A" w:rsidR="00EC0369" w:rsidRPr="00BD53EB" w:rsidRDefault="000B7276" w:rsidP="00A44E95">
      <w:pPr>
        <w:pStyle w:val="BodyText"/>
      </w:pPr>
      <w:r>
        <w:t>Table 1</w:t>
      </w:r>
      <w:r w:rsidR="009257EA">
        <w:t>1</w:t>
      </w:r>
      <w:r w:rsidR="00C93A98">
        <w:t xml:space="preserve"> below compares the different options considered and </w:t>
      </w:r>
      <w:r w:rsidR="00BD53EB">
        <w:t>assesses</w:t>
      </w:r>
      <w:r w:rsidR="00C93A98">
        <w:t xml:space="preserve"> them against the objectives </w:t>
      </w:r>
      <w:r w:rsidR="00BD53EB">
        <w:t>and principles</w:t>
      </w:r>
      <w:r w:rsidR="00C93A98">
        <w:t xml:space="preserve"> outlined above.</w:t>
      </w:r>
      <w:r w:rsidR="00AA12F0">
        <w:t xml:space="preserve"> Based on </w:t>
      </w:r>
      <w:r w:rsidR="002F0923">
        <w:t>an</w:t>
      </w:r>
      <w:r w:rsidR="00AA12F0">
        <w:t xml:space="preserve"> assessment of </w:t>
      </w:r>
      <w:r w:rsidR="00F12025">
        <w:t>each</w:t>
      </w:r>
      <w:r w:rsidR="00AA12F0">
        <w:t xml:space="preserve"> option against the objectives and compared to the status quo</w:t>
      </w:r>
      <w:r w:rsidR="002F0923">
        <w:t xml:space="preserve"> scenario</w:t>
      </w:r>
      <w:r w:rsidR="00AA12F0">
        <w:t>, the options are colour coded in a ‘traffic light’ system according to the following key:</w:t>
      </w:r>
    </w:p>
    <w:tbl>
      <w:tblPr>
        <w:tblStyle w:val="TableGrid"/>
        <w:tblW w:w="0" w:type="auto"/>
        <w:tblLook w:val="04A0" w:firstRow="1" w:lastRow="0" w:firstColumn="1" w:lastColumn="0" w:noHBand="0" w:noVBand="1"/>
      </w:tblPr>
      <w:tblGrid>
        <w:gridCol w:w="567"/>
        <w:gridCol w:w="3686"/>
      </w:tblGrid>
      <w:tr w:rsidR="0049464F" w14:paraId="43D5B494" w14:textId="77777777" w:rsidTr="00BD53EB">
        <w:tc>
          <w:tcPr>
            <w:tcW w:w="4253" w:type="dxa"/>
            <w:gridSpan w:val="2"/>
          </w:tcPr>
          <w:p w14:paraId="41A3CBFE" w14:textId="77777777" w:rsidR="0049464F" w:rsidRPr="00A44E95" w:rsidRDefault="0049464F" w:rsidP="00612518">
            <w:pPr>
              <w:pStyle w:val="BodyText"/>
              <w:rPr>
                <w:rFonts w:asciiTheme="majorHAnsi" w:hAnsiTheme="majorHAnsi"/>
                <w:b/>
                <w:bCs/>
              </w:rPr>
            </w:pPr>
            <w:r w:rsidRPr="00A44E95">
              <w:rPr>
                <w:rFonts w:asciiTheme="majorHAnsi" w:hAnsiTheme="majorHAnsi"/>
                <w:b/>
                <w:bCs/>
                <w:color w:val="2C384A" w:themeColor="accent1"/>
              </w:rPr>
              <w:t>Key</w:t>
            </w:r>
          </w:p>
        </w:tc>
      </w:tr>
      <w:tr w:rsidR="0049464F" w14:paraId="4CFB2057" w14:textId="77777777" w:rsidTr="00BD53EB">
        <w:tc>
          <w:tcPr>
            <w:tcW w:w="567" w:type="dxa"/>
            <w:shd w:val="clear" w:color="auto" w:fill="92D050"/>
          </w:tcPr>
          <w:p w14:paraId="787D5B6B" w14:textId="77777777" w:rsidR="0049464F" w:rsidRDefault="0049464F" w:rsidP="00612518">
            <w:pPr>
              <w:pStyle w:val="BodyText"/>
            </w:pPr>
          </w:p>
        </w:tc>
        <w:tc>
          <w:tcPr>
            <w:tcW w:w="3686" w:type="dxa"/>
          </w:tcPr>
          <w:p w14:paraId="7C2906E9" w14:textId="5725F3FC" w:rsidR="0049464F" w:rsidRPr="00A44E95" w:rsidRDefault="005B1D10" w:rsidP="00612518">
            <w:pPr>
              <w:pStyle w:val="BodyText"/>
              <w:rPr>
                <w:rFonts w:ascii="Times New Roman" w:hAnsi="Times New Roman" w:cs="Times New Roman"/>
                <w:color w:val="auto"/>
              </w:rPr>
            </w:pPr>
            <w:r>
              <w:rPr>
                <w:rFonts w:ascii="Times New Roman" w:hAnsi="Times New Roman" w:cs="Times New Roman"/>
              </w:rPr>
              <w:t>I</w:t>
            </w:r>
            <w:r w:rsidR="0049464F" w:rsidRPr="00A44E95">
              <w:rPr>
                <w:rFonts w:ascii="Times New Roman" w:hAnsi="Times New Roman" w:cs="Times New Roman"/>
              </w:rPr>
              <w:t>mprovement against status quo</w:t>
            </w:r>
          </w:p>
        </w:tc>
      </w:tr>
      <w:tr w:rsidR="0049464F" w14:paraId="616EFE01" w14:textId="77777777" w:rsidTr="00BD53EB">
        <w:tc>
          <w:tcPr>
            <w:tcW w:w="567" w:type="dxa"/>
            <w:shd w:val="clear" w:color="auto" w:fill="FFFF00"/>
          </w:tcPr>
          <w:p w14:paraId="591481A5" w14:textId="77777777" w:rsidR="0049464F" w:rsidRDefault="0049464F" w:rsidP="00612518">
            <w:pPr>
              <w:pStyle w:val="BodyText"/>
            </w:pPr>
          </w:p>
        </w:tc>
        <w:tc>
          <w:tcPr>
            <w:tcW w:w="3686" w:type="dxa"/>
          </w:tcPr>
          <w:p w14:paraId="02BE8132" w14:textId="003FE597" w:rsidR="0049464F" w:rsidRPr="00A44E95" w:rsidRDefault="005B1D10" w:rsidP="00612518">
            <w:pPr>
              <w:pStyle w:val="BodyText"/>
              <w:rPr>
                <w:rFonts w:ascii="Times New Roman" w:hAnsi="Times New Roman" w:cs="Times New Roman"/>
                <w:color w:val="auto"/>
              </w:rPr>
            </w:pPr>
            <w:r>
              <w:rPr>
                <w:rFonts w:ascii="Times New Roman" w:hAnsi="Times New Roman" w:cs="Times New Roman"/>
              </w:rPr>
              <w:t>Negligible</w:t>
            </w:r>
            <w:r w:rsidR="0049464F" w:rsidRPr="00A44E95">
              <w:rPr>
                <w:rFonts w:ascii="Times New Roman" w:hAnsi="Times New Roman" w:cs="Times New Roman"/>
              </w:rPr>
              <w:t xml:space="preserve"> against status quo</w:t>
            </w:r>
          </w:p>
        </w:tc>
      </w:tr>
      <w:tr w:rsidR="0049464F" w14:paraId="6939903C" w14:textId="77777777" w:rsidTr="00BD53EB">
        <w:trPr>
          <w:trHeight w:val="70"/>
        </w:trPr>
        <w:tc>
          <w:tcPr>
            <w:tcW w:w="567" w:type="dxa"/>
            <w:shd w:val="clear" w:color="auto" w:fill="FF0000"/>
          </w:tcPr>
          <w:p w14:paraId="7A1357F6" w14:textId="77777777" w:rsidR="0049464F" w:rsidRDefault="0049464F" w:rsidP="00612518">
            <w:pPr>
              <w:pStyle w:val="BodyText"/>
            </w:pPr>
          </w:p>
        </w:tc>
        <w:tc>
          <w:tcPr>
            <w:tcW w:w="3686" w:type="dxa"/>
          </w:tcPr>
          <w:p w14:paraId="532262EA" w14:textId="4E8A4E78" w:rsidR="0049464F" w:rsidRPr="00A44E95" w:rsidRDefault="005B1D10" w:rsidP="00612518">
            <w:pPr>
              <w:pStyle w:val="BodyText"/>
              <w:rPr>
                <w:rFonts w:ascii="Times New Roman" w:hAnsi="Times New Roman" w:cs="Times New Roman"/>
                <w:color w:val="auto"/>
              </w:rPr>
            </w:pPr>
            <w:r>
              <w:rPr>
                <w:rFonts w:ascii="Times New Roman" w:hAnsi="Times New Roman" w:cs="Times New Roman"/>
              </w:rPr>
              <w:t>Deterioration</w:t>
            </w:r>
            <w:r w:rsidR="0049464F" w:rsidRPr="00A44E95">
              <w:rPr>
                <w:rFonts w:ascii="Times New Roman" w:hAnsi="Times New Roman" w:cs="Times New Roman"/>
              </w:rPr>
              <w:t xml:space="preserve"> against status quo</w:t>
            </w:r>
          </w:p>
        </w:tc>
      </w:tr>
      <w:tr w:rsidR="0049464F" w14:paraId="7440FAA8" w14:textId="77777777" w:rsidTr="00BD53EB">
        <w:tc>
          <w:tcPr>
            <w:tcW w:w="567" w:type="dxa"/>
            <w:shd w:val="clear" w:color="auto" w:fill="EEEEEE" w:themeFill="background2"/>
          </w:tcPr>
          <w:p w14:paraId="605F36D8" w14:textId="77777777" w:rsidR="0049464F" w:rsidRDefault="0049464F" w:rsidP="00612518">
            <w:pPr>
              <w:pStyle w:val="BodyText"/>
            </w:pPr>
          </w:p>
        </w:tc>
        <w:tc>
          <w:tcPr>
            <w:tcW w:w="3686" w:type="dxa"/>
          </w:tcPr>
          <w:p w14:paraId="3FC7EFA2" w14:textId="77777777" w:rsidR="0049464F" w:rsidRPr="00A44E95" w:rsidRDefault="0049464F" w:rsidP="00612518">
            <w:pPr>
              <w:pStyle w:val="BodyText"/>
              <w:rPr>
                <w:rFonts w:ascii="Times New Roman" w:hAnsi="Times New Roman" w:cs="Times New Roman"/>
                <w:color w:val="auto"/>
              </w:rPr>
            </w:pPr>
            <w:r w:rsidRPr="00A44E95">
              <w:rPr>
                <w:rFonts w:ascii="Times New Roman" w:hAnsi="Times New Roman" w:cs="Times New Roman"/>
              </w:rPr>
              <w:t>Status Quo</w:t>
            </w:r>
          </w:p>
        </w:tc>
      </w:tr>
    </w:tbl>
    <w:p w14:paraId="283FE6E6" w14:textId="77777777" w:rsidR="0049464F" w:rsidRDefault="0049464F" w:rsidP="00A44E95">
      <w:pPr>
        <w:pStyle w:val="BodyText"/>
        <w:rPr>
          <w:b/>
          <w:bCs/>
        </w:rPr>
      </w:pPr>
    </w:p>
    <w:p w14:paraId="7D032D88" w14:textId="3A3142FD" w:rsidR="00AA12F0" w:rsidRPr="00BD53EB" w:rsidRDefault="00AA12F0" w:rsidP="00A44E95">
      <w:pPr>
        <w:pStyle w:val="BodyText"/>
        <w:sectPr w:rsidR="00AA12F0" w:rsidRPr="00BD53EB" w:rsidSect="00C0677A">
          <w:headerReference w:type="default" r:id="rId24"/>
          <w:footerReference w:type="default" r:id="rId25"/>
          <w:headerReference w:type="first" r:id="rId26"/>
          <w:footerReference w:type="first" r:id="rId27"/>
          <w:pgSz w:w="11906" w:h="16838"/>
          <w:pgMar w:top="1418" w:right="1418" w:bottom="1418" w:left="1418" w:header="709" w:footer="709" w:gutter="0"/>
          <w:pgNumType w:start="1"/>
          <w:cols w:space="708"/>
          <w:titlePg/>
          <w:docGrid w:linePitch="360"/>
        </w:sectPr>
      </w:pPr>
      <w:r>
        <w:t xml:space="preserve">This tool is helpful in comparing the different options directly </w:t>
      </w:r>
      <w:r w:rsidR="002F0923">
        <w:t>and to determine whether</w:t>
      </w:r>
      <w:r>
        <w:t xml:space="preserve"> </w:t>
      </w:r>
      <w:r w:rsidR="002F0923">
        <w:t xml:space="preserve">a combination of options would </w:t>
      </w:r>
      <w:r>
        <w:t xml:space="preserve">achieve the desired outcomes. </w:t>
      </w:r>
      <w:r w:rsidR="00933DEA">
        <w:t xml:space="preserve"> </w:t>
      </w:r>
    </w:p>
    <w:p w14:paraId="7AD0B4CC" w14:textId="62A6099E" w:rsidR="00380F83" w:rsidRPr="00C00831" w:rsidRDefault="002D56E8" w:rsidP="00380F83">
      <w:pPr>
        <w:pStyle w:val="HeaderOdd"/>
        <w:rPr>
          <w:sz w:val="20"/>
          <w:szCs w:val="16"/>
        </w:rPr>
      </w:pPr>
      <w:r>
        <w:rPr>
          <w:sz w:val="20"/>
          <w:szCs w:val="16"/>
        </w:rPr>
        <w:lastRenderedPageBreak/>
        <w:t xml:space="preserve">Table </w:t>
      </w:r>
      <w:r w:rsidR="00C644DD">
        <w:rPr>
          <w:sz w:val="20"/>
          <w:szCs w:val="16"/>
        </w:rPr>
        <w:t>1</w:t>
      </w:r>
      <w:r w:rsidR="00804EE2">
        <w:rPr>
          <w:sz w:val="20"/>
          <w:szCs w:val="16"/>
        </w:rPr>
        <w:t>1</w:t>
      </w:r>
      <w:r>
        <w:rPr>
          <w:sz w:val="20"/>
          <w:szCs w:val="16"/>
        </w:rPr>
        <w:t xml:space="preserve">: </w:t>
      </w:r>
      <w:r w:rsidR="00380F83" w:rsidRPr="00B3128A">
        <w:rPr>
          <w:sz w:val="20"/>
          <w:szCs w:val="16"/>
        </w:rPr>
        <w:t xml:space="preserve">Summary </w:t>
      </w:r>
      <w:r w:rsidR="00380F83" w:rsidRPr="00C00831">
        <w:rPr>
          <w:sz w:val="20"/>
          <w:szCs w:val="16"/>
        </w:rPr>
        <w:t>of assessment of all options</w:t>
      </w:r>
      <w:r w:rsidR="008721CA" w:rsidRPr="00C00831">
        <w:rPr>
          <w:sz w:val="20"/>
          <w:szCs w:val="16"/>
        </w:rPr>
        <w:t xml:space="preserve"> against objectives</w:t>
      </w:r>
    </w:p>
    <w:tbl>
      <w:tblPr>
        <w:tblW w:w="545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315"/>
        <w:gridCol w:w="2315"/>
        <w:gridCol w:w="2315"/>
        <w:gridCol w:w="2315"/>
        <w:gridCol w:w="2315"/>
        <w:gridCol w:w="2315"/>
      </w:tblGrid>
      <w:tr w:rsidR="000E749C" w:rsidRPr="00CA78C5" w14:paraId="195A0333" w14:textId="77777777" w:rsidTr="00A16DBE">
        <w:trPr>
          <w:trHeight w:val="469"/>
        </w:trPr>
        <w:tc>
          <w:tcPr>
            <w:tcW w:w="625" w:type="pct"/>
            <w:shd w:val="clear" w:color="auto" w:fill="auto"/>
            <w:vAlign w:val="center"/>
            <w:hideMark/>
          </w:tcPr>
          <w:p w14:paraId="33B4EC33" w14:textId="77777777" w:rsidR="001C599C" w:rsidRPr="00CA78C5" w:rsidRDefault="001C599C" w:rsidP="008C58CF">
            <w:pPr>
              <w:spacing w:after="0" w:line="240" w:lineRule="auto"/>
              <w:rPr>
                <w:rFonts w:ascii="Cambria" w:eastAsia="Times New Roman" w:hAnsi="Cambria" w:cs="Calibri"/>
                <w:b/>
                <w:bCs/>
                <w:color w:val="002C47"/>
                <w:sz w:val="20"/>
                <w:szCs w:val="20"/>
                <w:lang w:eastAsia="en-AU"/>
              </w:rPr>
            </w:pPr>
            <w:r w:rsidRPr="00CA78C5">
              <w:rPr>
                <w:rFonts w:ascii="Cambria" w:eastAsia="Times New Roman" w:hAnsi="Cambria" w:cs="Calibri"/>
                <w:b/>
                <w:bCs/>
                <w:color w:val="002C47"/>
                <w:sz w:val="20"/>
                <w:szCs w:val="18"/>
                <w:lang w:eastAsia="en-AU"/>
              </w:rPr>
              <w:t> </w:t>
            </w:r>
          </w:p>
        </w:tc>
        <w:tc>
          <w:tcPr>
            <w:tcW w:w="729" w:type="pct"/>
            <w:vAlign w:val="center"/>
          </w:tcPr>
          <w:p w14:paraId="277EB9FE" w14:textId="7863098F" w:rsidR="001C599C" w:rsidRPr="005139D9" w:rsidRDefault="001C599C" w:rsidP="00323DB1">
            <w:pPr>
              <w:spacing w:after="0" w:line="240" w:lineRule="auto"/>
              <w:jc w:val="center"/>
              <w:rPr>
                <w:rFonts w:ascii="Cambria" w:eastAsia="Times New Roman" w:hAnsi="Cambria" w:cs="Calibri"/>
                <w:b/>
                <w:color w:val="002C47"/>
                <w:sz w:val="16"/>
                <w:szCs w:val="14"/>
                <w:lang w:eastAsia="en-AU"/>
              </w:rPr>
            </w:pPr>
            <w:r w:rsidRPr="005139D9">
              <w:rPr>
                <w:rFonts w:ascii="Cambria" w:eastAsia="Times New Roman" w:hAnsi="Cambria" w:cs="Calibri"/>
                <w:b/>
                <w:color w:val="002C47"/>
                <w:sz w:val="16"/>
                <w:szCs w:val="14"/>
                <w:lang w:eastAsia="en-AU"/>
              </w:rPr>
              <w:t>A0 – Status quo</w:t>
            </w:r>
          </w:p>
        </w:tc>
        <w:tc>
          <w:tcPr>
            <w:tcW w:w="729" w:type="pct"/>
            <w:vAlign w:val="center"/>
          </w:tcPr>
          <w:p w14:paraId="264812EE" w14:textId="20CC9A42" w:rsidR="001C599C" w:rsidRPr="005139D9" w:rsidRDefault="001C599C" w:rsidP="00323DB1">
            <w:pPr>
              <w:spacing w:after="0" w:line="240" w:lineRule="auto"/>
              <w:jc w:val="center"/>
              <w:rPr>
                <w:rFonts w:ascii="Cambria" w:eastAsia="Times New Roman" w:hAnsi="Cambria" w:cs="Calibri"/>
                <w:b/>
                <w:color w:val="002C47"/>
                <w:sz w:val="16"/>
                <w:szCs w:val="14"/>
                <w:lang w:eastAsia="en-AU"/>
              </w:rPr>
            </w:pPr>
            <w:r w:rsidRPr="005139D9">
              <w:rPr>
                <w:rFonts w:ascii="Cambria" w:eastAsia="Times New Roman" w:hAnsi="Cambria" w:cs="Calibri"/>
                <w:b/>
                <w:color w:val="002C47"/>
                <w:sz w:val="16"/>
                <w:szCs w:val="14"/>
                <w:lang w:eastAsia="en-AU"/>
              </w:rPr>
              <w:t>A1 – Mandatory Code of Conduct (amended legislation)</w:t>
            </w:r>
          </w:p>
        </w:tc>
        <w:tc>
          <w:tcPr>
            <w:tcW w:w="729" w:type="pct"/>
            <w:vAlign w:val="center"/>
          </w:tcPr>
          <w:p w14:paraId="738B1079" w14:textId="5FAD7266" w:rsidR="001C599C" w:rsidRPr="005139D9" w:rsidRDefault="001C599C" w:rsidP="00323DB1">
            <w:pPr>
              <w:spacing w:after="0" w:line="240" w:lineRule="auto"/>
              <w:jc w:val="center"/>
              <w:rPr>
                <w:rFonts w:ascii="Cambria" w:eastAsia="Times New Roman" w:hAnsi="Cambria" w:cs="Calibri"/>
                <w:b/>
                <w:color w:val="002C47"/>
                <w:sz w:val="16"/>
                <w:szCs w:val="14"/>
                <w:lang w:eastAsia="en-AU"/>
              </w:rPr>
            </w:pPr>
            <w:r w:rsidRPr="005139D9">
              <w:rPr>
                <w:rFonts w:ascii="Cambria" w:eastAsia="Times New Roman" w:hAnsi="Cambria" w:cs="Calibri"/>
                <w:b/>
                <w:color w:val="002C47"/>
                <w:sz w:val="16"/>
                <w:szCs w:val="14"/>
                <w:lang w:eastAsia="en-AU"/>
              </w:rPr>
              <w:t xml:space="preserve">A2 – Mandatory Code of Conduct (existing </w:t>
            </w:r>
            <w:r w:rsidR="00CF519B" w:rsidRPr="005139D9">
              <w:rPr>
                <w:rFonts w:ascii="Cambria" w:eastAsia="Times New Roman" w:hAnsi="Cambria" w:cs="Calibri"/>
                <w:b/>
                <w:color w:val="002C47"/>
                <w:sz w:val="16"/>
                <w:szCs w:val="14"/>
                <w:lang w:eastAsia="en-AU"/>
              </w:rPr>
              <w:t>l</w:t>
            </w:r>
            <w:r w:rsidRPr="005139D9">
              <w:rPr>
                <w:rFonts w:ascii="Cambria" w:eastAsia="Times New Roman" w:hAnsi="Cambria" w:cs="Calibri"/>
                <w:b/>
                <w:color w:val="002C47"/>
                <w:sz w:val="16"/>
                <w:szCs w:val="14"/>
                <w:lang w:eastAsia="en-AU"/>
              </w:rPr>
              <w:t>egislation)</w:t>
            </w:r>
          </w:p>
        </w:tc>
        <w:tc>
          <w:tcPr>
            <w:tcW w:w="729" w:type="pct"/>
            <w:shd w:val="clear" w:color="auto" w:fill="auto"/>
            <w:vAlign w:val="center"/>
            <w:hideMark/>
          </w:tcPr>
          <w:p w14:paraId="3ED61E32" w14:textId="46F629F8" w:rsidR="001C599C" w:rsidRPr="005139D9" w:rsidRDefault="001C599C" w:rsidP="00323DB1">
            <w:pPr>
              <w:spacing w:after="0" w:line="240" w:lineRule="auto"/>
              <w:jc w:val="center"/>
              <w:rPr>
                <w:rFonts w:ascii="Cambria" w:eastAsia="Times New Roman" w:hAnsi="Cambria" w:cs="Calibri"/>
                <w:b/>
                <w:color w:val="002C47"/>
                <w:sz w:val="16"/>
                <w:szCs w:val="14"/>
                <w:lang w:eastAsia="en-AU"/>
              </w:rPr>
            </w:pPr>
            <w:r w:rsidRPr="005139D9">
              <w:rPr>
                <w:rFonts w:ascii="Cambria" w:eastAsia="Times New Roman" w:hAnsi="Cambria" w:cs="Calibri"/>
                <w:b/>
                <w:color w:val="002C47"/>
                <w:sz w:val="16"/>
                <w:szCs w:val="14"/>
                <w:lang w:eastAsia="en-AU"/>
              </w:rPr>
              <w:t xml:space="preserve">A3 – Strengthened voluntary </w:t>
            </w:r>
            <w:r w:rsidR="00A70772" w:rsidRPr="005139D9">
              <w:rPr>
                <w:rFonts w:ascii="Cambria" w:eastAsia="Times New Roman" w:hAnsi="Cambria" w:cs="Calibri"/>
                <w:b/>
                <w:color w:val="002C47"/>
                <w:sz w:val="16"/>
                <w:szCs w:val="14"/>
                <w:lang w:eastAsia="en-AU"/>
              </w:rPr>
              <w:t>C</w:t>
            </w:r>
            <w:r w:rsidRPr="005139D9">
              <w:rPr>
                <w:rFonts w:ascii="Cambria" w:eastAsia="Times New Roman" w:hAnsi="Cambria" w:cs="Calibri"/>
                <w:b/>
                <w:color w:val="002C47"/>
                <w:sz w:val="16"/>
                <w:szCs w:val="14"/>
                <w:lang w:eastAsia="en-AU"/>
              </w:rPr>
              <w:t xml:space="preserve">ode of </w:t>
            </w:r>
            <w:r w:rsidR="00A70772" w:rsidRPr="005139D9">
              <w:rPr>
                <w:rFonts w:ascii="Cambria" w:eastAsia="Times New Roman" w:hAnsi="Cambria" w:cs="Calibri"/>
                <w:b/>
                <w:color w:val="002C47"/>
                <w:sz w:val="16"/>
                <w:szCs w:val="14"/>
                <w:lang w:eastAsia="en-AU"/>
              </w:rPr>
              <w:t>C</w:t>
            </w:r>
            <w:r w:rsidRPr="005139D9">
              <w:rPr>
                <w:rFonts w:ascii="Cambria" w:eastAsia="Times New Roman" w:hAnsi="Cambria" w:cs="Calibri"/>
                <w:b/>
                <w:color w:val="002C47"/>
                <w:sz w:val="16"/>
                <w:szCs w:val="14"/>
                <w:lang w:eastAsia="en-AU"/>
              </w:rPr>
              <w:t>onduct</w:t>
            </w:r>
          </w:p>
        </w:tc>
        <w:tc>
          <w:tcPr>
            <w:tcW w:w="729" w:type="pct"/>
            <w:shd w:val="clear" w:color="auto" w:fill="auto"/>
            <w:vAlign w:val="center"/>
            <w:hideMark/>
          </w:tcPr>
          <w:p w14:paraId="37512A73" w14:textId="0EA2C6A3" w:rsidR="001C599C" w:rsidRPr="005139D9" w:rsidRDefault="001C599C" w:rsidP="00323DB1">
            <w:pPr>
              <w:spacing w:after="0" w:line="240" w:lineRule="auto"/>
              <w:jc w:val="center"/>
              <w:rPr>
                <w:rFonts w:ascii="Cambria" w:eastAsia="Times New Roman" w:hAnsi="Cambria" w:cs="Calibri"/>
                <w:b/>
                <w:color w:val="002C47"/>
                <w:sz w:val="16"/>
                <w:szCs w:val="14"/>
                <w:lang w:eastAsia="en-AU"/>
              </w:rPr>
            </w:pPr>
            <w:r w:rsidRPr="005139D9">
              <w:rPr>
                <w:rFonts w:ascii="Cambria" w:eastAsia="Times New Roman" w:hAnsi="Cambria" w:cs="Calibri"/>
                <w:b/>
                <w:color w:val="002C47"/>
                <w:sz w:val="16"/>
                <w:szCs w:val="14"/>
                <w:lang w:eastAsia="en-AU"/>
              </w:rPr>
              <w:t>A4 – Gas Price Cap (1 year)</w:t>
            </w:r>
          </w:p>
        </w:tc>
        <w:tc>
          <w:tcPr>
            <w:tcW w:w="729" w:type="pct"/>
            <w:shd w:val="clear" w:color="auto" w:fill="auto"/>
            <w:vAlign w:val="center"/>
            <w:hideMark/>
          </w:tcPr>
          <w:p w14:paraId="3FD63FCA" w14:textId="16CBE7AA" w:rsidR="001C599C" w:rsidRPr="005139D9" w:rsidRDefault="00D01E60" w:rsidP="00323DB1">
            <w:pPr>
              <w:spacing w:after="0" w:line="240" w:lineRule="auto"/>
              <w:jc w:val="center"/>
              <w:rPr>
                <w:rFonts w:ascii="Cambria" w:eastAsia="Times New Roman" w:hAnsi="Cambria" w:cs="Calibri"/>
                <w:b/>
                <w:color w:val="002C47"/>
                <w:sz w:val="16"/>
                <w:szCs w:val="14"/>
                <w:lang w:eastAsia="en-AU"/>
              </w:rPr>
            </w:pPr>
            <w:r w:rsidRPr="005139D9">
              <w:rPr>
                <w:rFonts w:ascii="Cambria" w:eastAsia="Times New Roman" w:hAnsi="Cambria" w:cs="Calibri"/>
                <w:b/>
                <w:color w:val="002C47"/>
                <w:sz w:val="16"/>
                <w:szCs w:val="14"/>
                <w:lang w:eastAsia="en-AU"/>
              </w:rPr>
              <w:t>A</w:t>
            </w:r>
            <w:r w:rsidR="00BB4E4C">
              <w:rPr>
                <w:rFonts w:ascii="Cambria" w:eastAsia="Times New Roman" w:hAnsi="Cambria" w:cs="Calibri"/>
                <w:b/>
                <w:color w:val="002C47"/>
                <w:sz w:val="16"/>
                <w:szCs w:val="14"/>
                <w:lang w:eastAsia="en-AU"/>
              </w:rPr>
              <w:t>5</w:t>
            </w:r>
            <w:r w:rsidRPr="005139D9">
              <w:rPr>
                <w:rFonts w:ascii="Cambria" w:eastAsia="Times New Roman" w:hAnsi="Cambria" w:cs="Calibri"/>
                <w:b/>
                <w:color w:val="002C47"/>
                <w:sz w:val="16"/>
                <w:szCs w:val="14"/>
                <w:lang w:eastAsia="en-AU"/>
              </w:rPr>
              <w:t xml:space="preserve"> – Expedited </w:t>
            </w:r>
            <w:r w:rsidR="001C599C" w:rsidRPr="005139D9">
              <w:rPr>
                <w:rFonts w:ascii="Cambria" w:eastAsia="Times New Roman" w:hAnsi="Cambria" w:cs="Calibri"/>
                <w:b/>
                <w:color w:val="002C47"/>
                <w:sz w:val="16"/>
                <w:szCs w:val="14"/>
                <w:lang w:eastAsia="en-AU"/>
              </w:rPr>
              <w:t>ADGSM Reforms</w:t>
            </w:r>
          </w:p>
        </w:tc>
      </w:tr>
      <w:tr w:rsidR="0012355D" w:rsidRPr="00CA78C5" w14:paraId="18414590" w14:textId="77777777" w:rsidTr="0080506D">
        <w:trPr>
          <w:trHeight w:val="850"/>
        </w:trPr>
        <w:tc>
          <w:tcPr>
            <w:tcW w:w="625" w:type="pct"/>
            <w:shd w:val="clear" w:color="auto" w:fill="auto"/>
            <w:vAlign w:val="center"/>
            <w:hideMark/>
          </w:tcPr>
          <w:p w14:paraId="2D3974B3" w14:textId="4B4353AC" w:rsidR="001C599C" w:rsidRPr="002755A4" w:rsidRDefault="001C599C" w:rsidP="008C58CF">
            <w:pPr>
              <w:spacing w:after="0" w:line="240" w:lineRule="auto"/>
              <w:rPr>
                <w:rFonts w:ascii="Cambria" w:eastAsia="Times New Roman" w:hAnsi="Cambria" w:cs="Calibri"/>
                <w:b/>
                <w:color w:val="002C47"/>
                <w:sz w:val="16"/>
                <w:szCs w:val="14"/>
                <w:lang w:eastAsia="en-AU"/>
              </w:rPr>
            </w:pPr>
            <w:r w:rsidRPr="002755A4">
              <w:rPr>
                <w:rFonts w:ascii="Cambria" w:eastAsia="Times New Roman" w:hAnsi="Cambria" w:cs="Calibri"/>
                <w:b/>
                <w:color w:val="002C47"/>
                <w:sz w:val="16"/>
                <w:szCs w:val="14"/>
                <w:lang w:eastAsia="en-AU"/>
              </w:rPr>
              <w:t xml:space="preserve">Downward pressure on </w:t>
            </w:r>
            <w:r w:rsidR="00A7509D">
              <w:rPr>
                <w:rFonts w:ascii="Cambria" w:eastAsia="Times New Roman" w:hAnsi="Cambria" w:cs="Calibri"/>
                <w:b/>
                <w:color w:val="002C47"/>
                <w:sz w:val="16"/>
                <w:szCs w:val="14"/>
                <w:lang w:eastAsia="en-AU"/>
              </w:rPr>
              <w:t xml:space="preserve">wholesale </w:t>
            </w:r>
            <w:r w:rsidRPr="002755A4">
              <w:rPr>
                <w:rFonts w:ascii="Cambria" w:eastAsia="Times New Roman" w:hAnsi="Cambria" w:cs="Calibri"/>
                <w:b/>
                <w:color w:val="002C47"/>
                <w:sz w:val="16"/>
                <w:szCs w:val="14"/>
                <w:lang w:eastAsia="en-AU"/>
              </w:rPr>
              <w:t>electricity prices</w:t>
            </w:r>
          </w:p>
        </w:tc>
        <w:tc>
          <w:tcPr>
            <w:tcW w:w="729" w:type="pct"/>
            <w:shd w:val="clear" w:color="auto" w:fill="EEEEEE" w:themeFill="background2"/>
            <w:vAlign w:val="center"/>
          </w:tcPr>
          <w:p w14:paraId="1C2E7D70" w14:textId="57309BBF" w:rsidR="001C599C" w:rsidRPr="00633D18" w:rsidRDefault="00E92D85"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The status quo is likely to see continued pressure on wholesale electricity prices</w:t>
            </w:r>
            <w:r w:rsidRPr="58154E94">
              <w:rPr>
                <w:rFonts w:ascii="Times New Roman" w:eastAsia="Times New Roman" w:hAnsi="Times New Roman" w:cs="Times New Roman"/>
                <w:color w:val="262626" w:themeColor="text1" w:themeTint="D9"/>
                <w:sz w:val="16"/>
                <w:szCs w:val="16"/>
                <w:lang w:eastAsia="en-AU"/>
              </w:rPr>
              <w:t>.</w:t>
            </w:r>
          </w:p>
        </w:tc>
        <w:tc>
          <w:tcPr>
            <w:tcW w:w="729" w:type="pct"/>
            <w:shd w:val="clear" w:color="auto" w:fill="92D050"/>
            <w:vAlign w:val="center"/>
          </w:tcPr>
          <w:p w14:paraId="31D5401E" w14:textId="1A6744E2" w:rsidR="001C599C" w:rsidRPr="00633D18" w:rsidRDefault="004C65D9"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Provides ACCC </w:t>
            </w:r>
            <w:r w:rsidR="00080BB4">
              <w:rPr>
                <w:rFonts w:ascii="Times New Roman" w:eastAsia="Times New Roman" w:hAnsi="Times New Roman" w:cs="Times New Roman"/>
                <w:color w:val="262626" w:themeColor="text1" w:themeTint="D9"/>
                <w:sz w:val="16"/>
                <w:szCs w:val="16"/>
                <w:lang w:eastAsia="en-AU"/>
              </w:rPr>
              <w:t xml:space="preserve">additional </w:t>
            </w:r>
            <w:r>
              <w:rPr>
                <w:rFonts w:ascii="Times New Roman" w:eastAsia="Times New Roman" w:hAnsi="Times New Roman" w:cs="Times New Roman"/>
                <w:color w:val="262626" w:themeColor="text1" w:themeTint="D9"/>
                <w:sz w:val="16"/>
                <w:szCs w:val="16"/>
                <w:lang w:eastAsia="en-AU"/>
              </w:rPr>
              <w:t>powers to enforce price decreases from producers to retailers</w:t>
            </w:r>
          </w:p>
        </w:tc>
        <w:tc>
          <w:tcPr>
            <w:tcW w:w="729" w:type="pct"/>
            <w:shd w:val="clear" w:color="auto" w:fill="FFFF00"/>
            <w:vAlign w:val="center"/>
          </w:tcPr>
          <w:p w14:paraId="2B5F4E26" w14:textId="736D8147" w:rsidR="001C599C" w:rsidRPr="00633D18" w:rsidRDefault="004D6CB4"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Existing legislation carries lower penalties compared to amended legislation</w:t>
            </w:r>
          </w:p>
        </w:tc>
        <w:tc>
          <w:tcPr>
            <w:tcW w:w="729" w:type="pct"/>
            <w:shd w:val="clear" w:color="auto" w:fill="FF0000"/>
            <w:vAlign w:val="center"/>
            <w:hideMark/>
          </w:tcPr>
          <w:p w14:paraId="103EC136" w14:textId="061DCC79" w:rsidR="001C599C" w:rsidRPr="00701929" w:rsidRDefault="004314C7"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 No additional powers to </w:t>
            </w:r>
            <w:r w:rsidR="00481146" w:rsidRPr="00481146">
              <w:rPr>
                <w:rFonts w:ascii="Times New Roman" w:eastAsia="Times New Roman" w:hAnsi="Times New Roman" w:cs="Times New Roman"/>
                <w:color w:val="262626" w:themeColor="text1" w:themeTint="D9"/>
                <w:sz w:val="16"/>
                <w:szCs w:val="16"/>
                <w:lang w:eastAsia="en-AU"/>
              </w:rPr>
              <w:t>pass savings</w:t>
            </w:r>
            <w:r>
              <w:rPr>
                <w:rFonts w:ascii="Times New Roman" w:eastAsia="Times New Roman" w:hAnsi="Times New Roman" w:cs="Times New Roman"/>
                <w:color w:val="262626" w:themeColor="text1" w:themeTint="D9"/>
                <w:sz w:val="16"/>
                <w:szCs w:val="16"/>
                <w:lang w:eastAsia="en-AU"/>
              </w:rPr>
              <w:t xml:space="preserve"> down energy supply chain</w:t>
            </w:r>
          </w:p>
        </w:tc>
        <w:tc>
          <w:tcPr>
            <w:tcW w:w="729" w:type="pct"/>
            <w:shd w:val="clear" w:color="auto" w:fill="92D050"/>
            <w:vAlign w:val="center"/>
            <w:hideMark/>
          </w:tcPr>
          <w:p w14:paraId="5286E159" w14:textId="7136B47D" w:rsidR="001C599C" w:rsidRPr="00701929" w:rsidRDefault="00B036C2"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sidRPr="00701929">
              <w:rPr>
                <w:rFonts w:ascii="Times New Roman" w:eastAsia="Times New Roman" w:hAnsi="Times New Roman" w:cs="Times New Roman"/>
                <w:color w:val="262626" w:themeColor="text1" w:themeTint="D9"/>
                <w:sz w:val="16"/>
                <w:szCs w:val="16"/>
                <w:lang w:eastAsia="en-AU"/>
              </w:rPr>
              <w:t>Capping the price of gas has a direct effect on the price of electricity, as gas is often the price setter.</w:t>
            </w:r>
          </w:p>
        </w:tc>
        <w:tc>
          <w:tcPr>
            <w:tcW w:w="729" w:type="pct"/>
            <w:shd w:val="clear" w:color="000000" w:fill="FFFF00"/>
            <w:vAlign w:val="center"/>
            <w:hideMark/>
          </w:tcPr>
          <w:p w14:paraId="1B7FFE08" w14:textId="4ED5046F" w:rsidR="001C599C" w:rsidRPr="00701929" w:rsidRDefault="00BC0076"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sidRPr="00701929">
              <w:rPr>
                <w:rFonts w:ascii="Times New Roman" w:eastAsia="Times New Roman" w:hAnsi="Times New Roman" w:cs="Times New Roman"/>
                <w:color w:val="262626" w:themeColor="text1" w:themeTint="D9"/>
                <w:sz w:val="16"/>
                <w:szCs w:val="16"/>
                <w:lang w:eastAsia="en-AU"/>
              </w:rPr>
              <w:t xml:space="preserve">Ample </w:t>
            </w:r>
            <w:r w:rsidR="00592C6D" w:rsidRPr="00701929">
              <w:rPr>
                <w:rFonts w:ascii="Times New Roman" w:eastAsia="Times New Roman" w:hAnsi="Times New Roman" w:cs="Times New Roman"/>
                <w:color w:val="262626" w:themeColor="text1" w:themeTint="D9"/>
                <w:sz w:val="16"/>
                <w:szCs w:val="16"/>
                <w:lang w:eastAsia="en-AU"/>
              </w:rPr>
              <w:t>supply</w:t>
            </w:r>
            <w:r w:rsidR="00516D96">
              <w:rPr>
                <w:rFonts w:ascii="Times New Roman" w:eastAsia="Times New Roman" w:hAnsi="Times New Roman" w:cs="Times New Roman"/>
                <w:color w:val="262626" w:themeColor="text1" w:themeTint="D9"/>
                <w:sz w:val="16"/>
                <w:szCs w:val="16"/>
                <w:lang w:eastAsia="en-AU"/>
              </w:rPr>
              <w:t xml:space="preserve"> means price is not driven up and</w:t>
            </w:r>
            <w:r w:rsidR="00592C6D" w:rsidRPr="00701929">
              <w:rPr>
                <w:rFonts w:ascii="Times New Roman" w:eastAsia="Times New Roman" w:hAnsi="Times New Roman" w:cs="Times New Roman"/>
                <w:color w:val="262626" w:themeColor="text1" w:themeTint="D9"/>
                <w:sz w:val="16"/>
                <w:szCs w:val="16"/>
                <w:lang w:eastAsia="en-AU"/>
              </w:rPr>
              <w:t xml:space="preserve"> </w:t>
            </w:r>
            <w:r w:rsidRPr="00701929">
              <w:rPr>
                <w:rFonts w:ascii="Times New Roman" w:eastAsia="Times New Roman" w:hAnsi="Times New Roman" w:cs="Times New Roman"/>
                <w:color w:val="262626" w:themeColor="text1" w:themeTint="D9"/>
                <w:sz w:val="16"/>
                <w:szCs w:val="16"/>
                <w:lang w:eastAsia="en-AU"/>
              </w:rPr>
              <w:t>allows</w:t>
            </w:r>
            <w:r w:rsidR="008500FD">
              <w:rPr>
                <w:rFonts w:ascii="Times New Roman" w:eastAsia="Times New Roman" w:hAnsi="Times New Roman" w:cs="Times New Roman"/>
                <w:color w:val="262626" w:themeColor="text1" w:themeTint="D9"/>
                <w:sz w:val="16"/>
                <w:szCs w:val="16"/>
                <w:lang w:eastAsia="en-AU"/>
              </w:rPr>
              <w:t xml:space="preserve"> domestic</w:t>
            </w:r>
            <w:r w:rsidR="00592C6D" w:rsidRPr="00701929">
              <w:rPr>
                <w:rFonts w:ascii="Times New Roman" w:eastAsia="Times New Roman" w:hAnsi="Times New Roman" w:cs="Times New Roman"/>
                <w:color w:val="262626" w:themeColor="text1" w:themeTint="D9"/>
                <w:sz w:val="16"/>
                <w:szCs w:val="16"/>
                <w:lang w:eastAsia="en-AU"/>
              </w:rPr>
              <w:t xml:space="preserve"> </w:t>
            </w:r>
            <w:r w:rsidRPr="00701929">
              <w:rPr>
                <w:rFonts w:ascii="Times New Roman" w:eastAsia="Times New Roman" w:hAnsi="Times New Roman" w:cs="Times New Roman"/>
                <w:color w:val="262626" w:themeColor="text1" w:themeTint="D9"/>
                <w:sz w:val="16"/>
                <w:szCs w:val="16"/>
                <w:lang w:eastAsia="en-AU"/>
              </w:rPr>
              <w:t>price mechanisms to operate</w:t>
            </w:r>
            <w:r>
              <w:rPr>
                <w:rFonts w:ascii="Times New Roman" w:eastAsia="Times New Roman" w:hAnsi="Times New Roman" w:cs="Times New Roman"/>
                <w:color w:val="262626" w:themeColor="text1" w:themeTint="D9"/>
                <w:sz w:val="16"/>
                <w:szCs w:val="16"/>
                <w:lang w:eastAsia="en-AU"/>
              </w:rPr>
              <w:t xml:space="preserve"> </w:t>
            </w:r>
            <w:r w:rsidR="00510FDF">
              <w:rPr>
                <w:rFonts w:ascii="Times New Roman" w:eastAsia="Times New Roman" w:hAnsi="Times New Roman" w:cs="Times New Roman"/>
                <w:color w:val="262626" w:themeColor="text1" w:themeTint="D9"/>
                <w:sz w:val="16"/>
                <w:szCs w:val="16"/>
                <w:lang w:eastAsia="en-AU"/>
              </w:rPr>
              <w:t>effectively</w:t>
            </w:r>
          </w:p>
        </w:tc>
      </w:tr>
      <w:tr w:rsidR="0012355D" w:rsidRPr="00CA78C5" w14:paraId="411DD44C" w14:textId="77777777" w:rsidTr="0080506D">
        <w:trPr>
          <w:trHeight w:val="850"/>
        </w:trPr>
        <w:tc>
          <w:tcPr>
            <w:tcW w:w="625" w:type="pct"/>
            <w:shd w:val="clear" w:color="auto" w:fill="auto"/>
            <w:vAlign w:val="center"/>
            <w:hideMark/>
          </w:tcPr>
          <w:p w14:paraId="1B1651D3" w14:textId="19D53AE3" w:rsidR="001C599C" w:rsidRPr="002755A4" w:rsidRDefault="00EB4AF0" w:rsidP="008C58CF">
            <w:pPr>
              <w:spacing w:after="0" w:line="240" w:lineRule="auto"/>
              <w:rPr>
                <w:rFonts w:ascii="Cambria" w:eastAsia="Times New Roman" w:hAnsi="Cambria" w:cs="Calibri"/>
                <w:b/>
                <w:color w:val="002C47"/>
                <w:sz w:val="16"/>
                <w:szCs w:val="14"/>
                <w:lang w:eastAsia="en-AU"/>
              </w:rPr>
            </w:pPr>
            <w:r>
              <w:rPr>
                <w:rFonts w:ascii="Cambria" w:eastAsia="Times New Roman" w:hAnsi="Cambria" w:cs="Calibri"/>
                <w:b/>
                <w:color w:val="002C47"/>
                <w:sz w:val="16"/>
                <w:szCs w:val="14"/>
                <w:lang w:eastAsia="en-AU"/>
              </w:rPr>
              <w:t>Downward pressure on consumer bills</w:t>
            </w:r>
          </w:p>
        </w:tc>
        <w:tc>
          <w:tcPr>
            <w:tcW w:w="729" w:type="pct"/>
            <w:shd w:val="clear" w:color="auto" w:fill="EEEEEE" w:themeFill="background2"/>
            <w:vAlign w:val="center"/>
          </w:tcPr>
          <w:p w14:paraId="3F2318D9" w14:textId="724431CF" w:rsidR="001C599C" w:rsidRPr="00633D18" w:rsidRDefault="00323DB1" w:rsidP="008C58CF">
            <w:pPr>
              <w:spacing w:after="0" w:line="240" w:lineRule="auto"/>
              <w:jc w:val="center"/>
              <w:rPr>
                <w:rFonts w:ascii="Cambria" w:eastAsia="Times New Roman" w:hAnsi="Cambria" w:cs="Calibri"/>
                <w:b/>
                <w:color w:val="002C47"/>
                <w:sz w:val="16"/>
                <w:szCs w:val="16"/>
                <w:lang w:eastAsia="en-AU"/>
              </w:rPr>
            </w:pPr>
            <w:r w:rsidRPr="00701929">
              <w:rPr>
                <w:rFonts w:ascii="Times New Roman" w:eastAsia="Times New Roman" w:hAnsi="Times New Roman" w:cs="Times New Roman"/>
                <w:color w:val="262626" w:themeColor="text1" w:themeTint="D9"/>
                <w:sz w:val="16"/>
                <w:szCs w:val="16"/>
                <w:lang w:eastAsia="en-AU"/>
              </w:rPr>
              <w:t xml:space="preserve">The </w:t>
            </w:r>
            <w:r w:rsidR="001A7EE1" w:rsidRPr="00701929">
              <w:rPr>
                <w:rFonts w:ascii="Times New Roman" w:eastAsia="Times New Roman" w:hAnsi="Times New Roman" w:cs="Times New Roman"/>
                <w:color w:val="262626" w:themeColor="text1" w:themeTint="D9"/>
                <w:sz w:val="16"/>
                <w:szCs w:val="16"/>
                <w:lang w:eastAsia="en-AU"/>
              </w:rPr>
              <w:t>s</w:t>
            </w:r>
            <w:r w:rsidRPr="00701929">
              <w:rPr>
                <w:rFonts w:ascii="Times New Roman" w:eastAsia="Times New Roman" w:hAnsi="Times New Roman" w:cs="Times New Roman"/>
                <w:color w:val="262626" w:themeColor="text1" w:themeTint="D9"/>
                <w:sz w:val="16"/>
                <w:szCs w:val="16"/>
                <w:lang w:eastAsia="en-AU"/>
              </w:rPr>
              <w:t xml:space="preserve">tatus quo </w:t>
            </w:r>
            <w:r w:rsidR="001A7EE1" w:rsidRPr="00701929">
              <w:rPr>
                <w:rFonts w:ascii="Times New Roman" w:eastAsia="Times New Roman" w:hAnsi="Times New Roman" w:cs="Times New Roman"/>
                <w:color w:val="262626" w:themeColor="text1" w:themeTint="D9"/>
                <w:sz w:val="16"/>
                <w:szCs w:val="16"/>
                <w:lang w:eastAsia="en-AU"/>
              </w:rPr>
              <w:t>option will not change the course of energy bills in the short term.</w:t>
            </w:r>
          </w:p>
        </w:tc>
        <w:tc>
          <w:tcPr>
            <w:tcW w:w="729" w:type="pct"/>
            <w:shd w:val="clear" w:color="auto" w:fill="FFFF00"/>
            <w:vAlign w:val="center"/>
          </w:tcPr>
          <w:p w14:paraId="04C6E907" w14:textId="6BB5ACB1" w:rsidR="001C599C" w:rsidRPr="00701929" w:rsidRDefault="00481146"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sidRPr="00481146">
              <w:rPr>
                <w:rFonts w:ascii="Times New Roman" w:eastAsia="Times New Roman" w:hAnsi="Times New Roman" w:cs="Times New Roman"/>
                <w:color w:val="262626" w:themeColor="text1" w:themeTint="D9"/>
                <w:sz w:val="16"/>
                <w:szCs w:val="16"/>
                <w:lang w:eastAsia="en-AU"/>
              </w:rPr>
              <w:t xml:space="preserve">Enforces price decreases from producers to retailers, does not guarantee </w:t>
            </w:r>
            <w:r w:rsidR="00C0401C">
              <w:rPr>
                <w:rFonts w:ascii="Times New Roman" w:eastAsia="Times New Roman" w:hAnsi="Times New Roman" w:cs="Times New Roman"/>
                <w:color w:val="262626" w:themeColor="text1" w:themeTint="D9"/>
                <w:sz w:val="16"/>
                <w:szCs w:val="16"/>
                <w:lang w:eastAsia="en-AU"/>
              </w:rPr>
              <w:t>reduced</w:t>
            </w:r>
            <w:r w:rsidR="0050031D">
              <w:rPr>
                <w:rFonts w:ascii="Times New Roman" w:eastAsia="Times New Roman" w:hAnsi="Times New Roman" w:cs="Times New Roman"/>
                <w:color w:val="262626" w:themeColor="text1" w:themeTint="D9"/>
                <w:sz w:val="16"/>
                <w:szCs w:val="16"/>
                <w:lang w:eastAsia="en-AU"/>
              </w:rPr>
              <w:t xml:space="preserve"> growth in</w:t>
            </w:r>
            <w:r w:rsidR="00DE513B">
              <w:rPr>
                <w:rFonts w:ascii="Times New Roman" w:eastAsia="Times New Roman" w:hAnsi="Times New Roman" w:cs="Times New Roman"/>
                <w:color w:val="262626" w:themeColor="text1" w:themeTint="D9"/>
                <w:sz w:val="16"/>
                <w:szCs w:val="16"/>
                <w:lang w:eastAsia="en-AU"/>
              </w:rPr>
              <w:t xml:space="preserve"> prices</w:t>
            </w:r>
          </w:p>
        </w:tc>
        <w:tc>
          <w:tcPr>
            <w:tcW w:w="729" w:type="pct"/>
            <w:shd w:val="clear" w:color="auto" w:fill="FFFF00"/>
            <w:vAlign w:val="center"/>
          </w:tcPr>
          <w:p w14:paraId="2744238C" w14:textId="2440D16F" w:rsidR="001C599C" w:rsidRPr="00701929" w:rsidRDefault="004D6CB4"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Existing legislation carries lower penalties compared to amended legislation</w:t>
            </w:r>
          </w:p>
        </w:tc>
        <w:tc>
          <w:tcPr>
            <w:tcW w:w="729" w:type="pct"/>
            <w:shd w:val="clear" w:color="auto" w:fill="FF0000"/>
            <w:vAlign w:val="center"/>
            <w:hideMark/>
          </w:tcPr>
          <w:p w14:paraId="424DBB15" w14:textId="22BA9FA6" w:rsidR="001C599C" w:rsidRPr="00701929" w:rsidRDefault="00481146"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sidRPr="00481146">
              <w:rPr>
                <w:rFonts w:ascii="Times New Roman" w:eastAsia="Times New Roman" w:hAnsi="Times New Roman" w:cs="Times New Roman"/>
                <w:color w:val="262626" w:themeColor="text1" w:themeTint="D9"/>
                <w:sz w:val="16"/>
                <w:szCs w:val="16"/>
                <w:lang w:eastAsia="en-AU"/>
              </w:rPr>
              <w:t>No additional powers to pass savings down energy supply chain</w:t>
            </w:r>
          </w:p>
        </w:tc>
        <w:tc>
          <w:tcPr>
            <w:tcW w:w="729" w:type="pct"/>
            <w:shd w:val="clear" w:color="000000" w:fill="92D050"/>
            <w:vAlign w:val="center"/>
            <w:hideMark/>
          </w:tcPr>
          <w:p w14:paraId="3B0EEDA5" w14:textId="53F37767" w:rsidR="001C599C" w:rsidRPr="00701929" w:rsidRDefault="007B290F"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A price cap is applied to contracts and will have an effect in the short term.</w:t>
            </w:r>
          </w:p>
        </w:tc>
        <w:tc>
          <w:tcPr>
            <w:tcW w:w="729" w:type="pct"/>
            <w:shd w:val="clear" w:color="auto" w:fill="FFFF00"/>
            <w:vAlign w:val="center"/>
            <w:hideMark/>
          </w:tcPr>
          <w:p w14:paraId="46BFA4B0" w14:textId="0F2C5049" w:rsidR="001C599C" w:rsidRPr="00701929" w:rsidRDefault="00BC0076" w:rsidP="00701929">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Allows Government to</w:t>
            </w:r>
            <w:r w:rsidR="00516D96">
              <w:rPr>
                <w:rFonts w:ascii="Times New Roman" w:eastAsia="Times New Roman" w:hAnsi="Times New Roman" w:cs="Times New Roman"/>
                <w:color w:val="262626" w:themeColor="text1" w:themeTint="D9"/>
                <w:sz w:val="16"/>
                <w:szCs w:val="16"/>
                <w:lang w:eastAsia="en-AU"/>
              </w:rPr>
              <w:t xml:space="preserve"> </w:t>
            </w:r>
            <w:r>
              <w:rPr>
                <w:rFonts w:ascii="Times New Roman" w:eastAsia="Times New Roman" w:hAnsi="Times New Roman" w:cs="Times New Roman"/>
                <w:color w:val="262626" w:themeColor="text1" w:themeTint="D9"/>
                <w:sz w:val="16"/>
                <w:szCs w:val="16"/>
                <w:lang w:eastAsia="en-AU"/>
              </w:rPr>
              <w:t xml:space="preserve">secure </w:t>
            </w:r>
            <w:r w:rsidR="008500FD">
              <w:rPr>
                <w:rFonts w:ascii="Times New Roman" w:eastAsia="Times New Roman" w:hAnsi="Times New Roman" w:cs="Times New Roman"/>
                <w:color w:val="262626" w:themeColor="text1" w:themeTint="D9"/>
                <w:sz w:val="16"/>
                <w:szCs w:val="16"/>
                <w:lang w:eastAsia="en-AU"/>
              </w:rPr>
              <w:t xml:space="preserve">domestic </w:t>
            </w:r>
            <w:r>
              <w:rPr>
                <w:rFonts w:ascii="Times New Roman" w:eastAsia="Times New Roman" w:hAnsi="Times New Roman" w:cs="Times New Roman"/>
                <w:color w:val="262626" w:themeColor="text1" w:themeTint="D9"/>
                <w:sz w:val="16"/>
                <w:szCs w:val="16"/>
                <w:lang w:eastAsia="en-AU"/>
              </w:rPr>
              <w:t xml:space="preserve">supply in short term, but not price </w:t>
            </w:r>
          </w:p>
        </w:tc>
      </w:tr>
      <w:tr w:rsidR="0012355D" w:rsidRPr="00CA78C5" w14:paraId="08145740" w14:textId="77777777" w:rsidTr="00A16DBE">
        <w:trPr>
          <w:trHeight w:val="754"/>
        </w:trPr>
        <w:tc>
          <w:tcPr>
            <w:tcW w:w="625" w:type="pct"/>
            <w:tcBorders>
              <w:bottom w:val="double" w:sz="4" w:space="0" w:color="auto"/>
            </w:tcBorders>
            <w:shd w:val="clear" w:color="auto" w:fill="auto"/>
            <w:vAlign w:val="center"/>
            <w:hideMark/>
          </w:tcPr>
          <w:p w14:paraId="306631B7" w14:textId="77777777" w:rsidR="001C599C" w:rsidRPr="009422E9" w:rsidRDefault="001C599C" w:rsidP="008C58CF">
            <w:pPr>
              <w:spacing w:after="0" w:line="240" w:lineRule="auto"/>
              <w:rPr>
                <w:rFonts w:ascii="Cambria" w:eastAsia="Times New Roman" w:hAnsi="Cambria" w:cs="Calibri"/>
                <w:b/>
                <w:color w:val="002C47"/>
                <w:sz w:val="16"/>
                <w:szCs w:val="14"/>
                <w:lang w:eastAsia="en-AU"/>
              </w:rPr>
            </w:pPr>
            <w:r w:rsidRPr="009422E9">
              <w:rPr>
                <w:rFonts w:ascii="Cambria" w:eastAsia="Times New Roman" w:hAnsi="Cambria" w:cs="Calibri"/>
                <w:b/>
                <w:color w:val="002C47"/>
                <w:sz w:val="16"/>
                <w:szCs w:val="14"/>
                <w:lang w:eastAsia="en-AU"/>
              </w:rPr>
              <w:t>Enhances transparency and competitive pricing</w:t>
            </w:r>
          </w:p>
        </w:tc>
        <w:tc>
          <w:tcPr>
            <w:tcW w:w="729" w:type="pct"/>
            <w:tcBorders>
              <w:bottom w:val="double" w:sz="4" w:space="0" w:color="auto"/>
            </w:tcBorders>
            <w:shd w:val="clear" w:color="auto" w:fill="EEEEEE" w:themeFill="background2"/>
            <w:vAlign w:val="center"/>
          </w:tcPr>
          <w:p w14:paraId="35950E9F" w14:textId="1D93248B" w:rsidR="001C599C" w:rsidRPr="00633D18" w:rsidRDefault="001A7EE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The status quo option does not provide any mechanism to enhance transparency or competitive pricing</w:t>
            </w:r>
          </w:p>
        </w:tc>
        <w:tc>
          <w:tcPr>
            <w:tcW w:w="729" w:type="pct"/>
            <w:tcBorders>
              <w:bottom w:val="double" w:sz="4" w:space="0" w:color="auto"/>
            </w:tcBorders>
            <w:shd w:val="clear" w:color="auto" w:fill="92D050"/>
            <w:vAlign w:val="center"/>
          </w:tcPr>
          <w:p w14:paraId="284C744C" w14:textId="7D413342" w:rsidR="001C599C" w:rsidRPr="00633D18" w:rsidRDefault="00481146"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Increase</w:t>
            </w:r>
            <w:r w:rsidR="00080BB4">
              <w:rPr>
                <w:rFonts w:ascii="Times New Roman" w:eastAsia="Times New Roman" w:hAnsi="Times New Roman" w:cs="Times New Roman"/>
                <w:color w:val="262626" w:themeColor="text1" w:themeTint="D9"/>
                <w:sz w:val="16"/>
                <w:szCs w:val="16"/>
                <w:lang w:eastAsia="en-AU"/>
              </w:rPr>
              <w:t>s</w:t>
            </w:r>
            <w:r>
              <w:rPr>
                <w:rFonts w:ascii="Times New Roman" w:eastAsia="Times New Roman" w:hAnsi="Times New Roman" w:cs="Times New Roman"/>
                <w:color w:val="262626" w:themeColor="text1" w:themeTint="D9"/>
                <w:sz w:val="16"/>
                <w:szCs w:val="16"/>
                <w:lang w:eastAsia="en-AU"/>
              </w:rPr>
              <w:t xml:space="preserve"> obligations on producers to be transparent and competitive</w:t>
            </w:r>
          </w:p>
        </w:tc>
        <w:tc>
          <w:tcPr>
            <w:tcW w:w="729" w:type="pct"/>
            <w:tcBorders>
              <w:bottom w:val="double" w:sz="4" w:space="0" w:color="auto"/>
            </w:tcBorders>
            <w:shd w:val="clear" w:color="auto" w:fill="92D050"/>
            <w:vAlign w:val="center"/>
          </w:tcPr>
          <w:p w14:paraId="27C48408" w14:textId="1576351E" w:rsidR="001C599C" w:rsidRPr="00633D18" w:rsidRDefault="00481146"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Increase obligations on producers to be transparent and competitive</w:t>
            </w:r>
          </w:p>
        </w:tc>
        <w:tc>
          <w:tcPr>
            <w:tcW w:w="729" w:type="pct"/>
            <w:tcBorders>
              <w:bottom w:val="double" w:sz="4" w:space="0" w:color="auto"/>
            </w:tcBorders>
            <w:shd w:val="clear" w:color="auto" w:fill="FFFF00"/>
            <w:vAlign w:val="center"/>
            <w:hideMark/>
          </w:tcPr>
          <w:p w14:paraId="5B8E059B" w14:textId="2D8FB107" w:rsidR="001C599C" w:rsidRPr="00701929" w:rsidRDefault="00481146"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I</w:t>
            </w:r>
            <w:r w:rsidR="00080BB4">
              <w:rPr>
                <w:rFonts w:ascii="Times New Roman" w:eastAsia="Times New Roman" w:hAnsi="Times New Roman" w:cs="Times New Roman"/>
                <w:color w:val="262626" w:themeColor="text1" w:themeTint="D9"/>
                <w:sz w:val="16"/>
                <w:szCs w:val="16"/>
                <w:lang w:eastAsia="en-AU"/>
              </w:rPr>
              <w:t>mproves</w:t>
            </w:r>
            <w:r>
              <w:rPr>
                <w:rFonts w:ascii="Times New Roman" w:eastAsia="Times New Roman" w:hAnsi="Times New Roman" w:cs="Times New Roman"/>
                <w:color w:val="262626" w:themeColor="text1" w:themeTint="D9"/>
                <w:sz w:val="16"/>
                <w:szCs w:val="16"/>
                <w:lang w:eastAsia="en-AU"/>
              </w:rPr>
              <w:t xml:space="preserve"> obligations on producers to be transparent and competitive</w:t>
            </w:r>
            <w:r w:rsidR="00080BB4">
              <w:rPr>
                <w:rFonts w:ascii="Times New Roman" w:eastAsia="Times New Roman" w:hAnsi="Times New Roman" w:cs="Times New Roman"/>
                <w:color w:val="262626" w:themeColor="text1" w:themeTint="D9"/>
                <w:sz w:val="16"/>
                <w:szCs w:val="16"/>
                <w:lang w:eastAsia="en-AU"/>
              </w:rPr>
              <w:t>, subjected to industry negotiation</w:t>
            </w:r>
          </w:p>
        </w:tc>
        <w:tc>
          <w:tcPr>
            <w:tcW w:w="729" w:type="pct"/>
            <w:tcBorders>
              <w:bottom w:val="double" w:sz="4" w:space="0" w:color="auto"/>
            </w:tcBorders>
            <w:shd w:val="clear" w:color="000000" w:fill="FFFF00"/>
            <w:vAlign w:val="center"/>
            <w:hideMark/>
          </w:tcPr>
          <w:p w14:paraId="7279FA20" w14:textId="1AD93565" w:rsidR="001C599C" w:rsidRPr="00701929" w:rsidRDefault="00632E82"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T</w:t>
            </w:r>
            <w:r w:rsidR="009F3367">
              <w:rPr>
                <w:rFonts w:ascii="Times New Roman" w:eastAsia="Times New Roman" w:hAnsi="Times New Roman" w:cs="Times New Roman"/>
                <w:color w:val="262626" w:themeColor="text1" w:themeTint="D9"/>
                <w:sz w:val="16"/>
                <w:szCs w:val="16"/>
                <w:lang w:eastAsia="en-AU"/>
              </w:rPr>
              <w:t>ransparently sets a ceiling but has no effect of competition</w:t>
            </w:r>
          </w:p>
        </w:tc>
        <w:tc>
          <w:tcPr>
            <w:tcW w:w="729" w:type="pct"/>
            <w:tcBorders>
              <w:bottom w:val="double" w:sz="4" w:space="0" w:color="auto"/>
            </w:tcBorders>
            <w:shd w:val="clear" w:color="auto" w:fill="92D050"/>
            <w:vAlign w:val="center"/>
            <w:hideMark/>
          </w:tcPr>
          <w:p w14:paraId="4C7D9044" w14:textId="0B1E802D" w:rsidR="001C599C" w:rsidRPr="00633D18" w:rsidRDefault="002E6D9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Expediting r</w:t>
            </w:r>
            <w:r w:rsidR="004C65D9">
              <w:rPr>
                <w:rFonts w:ascii="Times New Roman" w:eastAsia="Times New Roman" w:hAnsi="Times New Roman" w:cs="Times New Roman"/>
                <w:color w:val="262626" w:themeColor="text1" w:themeTint="D9"/>
                <w:sz w:val="16"/>
                <w:szCs w:val="16"/>
                <w:lang w:eastAsia="en-AU"/>
              </w:rPr>
              <w:t xml:space="preserve">eforms </w:t>
            </w:r>
            <w:r w:rsidR="00BE3729">
              <w:rPr>
                <w:rFonts w:ascii="Times New Roman" w:eastAsia="Times New Roman" w:hAnsi="Times New Roman" w:cs="Times New Roman"/>
                <w:color w:val="262626" w:themeColor="text1" w:themeTint="D9"/>
                <w:sz w:val="16"/>
                <w:szCs w:val="16"/>
                <w:lang w:eastAsia="en-AU"/>
              </w:rPr>
              <w:t xml:space="preserve">will </w:t>
            </w:r>
            <w:r>
              <w:rPr>
                <w:rFonts w:ascii="Times New Roman" w:eastAsia="Times New Roman" w:hAnsi="Times New Roman" w:cs="Times New Roman"/>
                <w:color w:val="262626" w:themeColor="text1" w:themeTint="D9"/>
                <w:sz w:val="16"/>
                <w:szCs w:val="16"/>
                <w:lang w:eastAsia="en-AU"/>
              </w:rPr>
              <w:t>accelerate the</w:t>
            </w:r>
            <w:r w:rsidR="004C65D9">
              <w:rPr>
                <w:rFonts w:ascii="Times New Roman" w:eastAsia="Times New Roman" w:hAnsi="Times New Roman" w:cs="Times New Roman"/>
                <w:color w:val="262626" w:themeColor="text1" w:themeTint="D9"/>
                <w:sz w:val="16"/>
                <w:szCs w:val="16"/>
                <w:lang w:eastAsia="en-AU"/>
              </w:rPr>
              <w:t xml:space="preserve"> </w:t>
            </w:r>
            <w:r w:rsidR="00BE3729">
              <w:rPr>
                <w:rFonts w:ascii="Times New Roman" w:eastAsia="Times New Roman" w:hAnsi="Times New Roman" w:cs="Times New Roman"/>
                <w:color w:val="262626" w:themeColor="text1" w:themeTint="D9"/>
                <w:sz w:val="16"/>
                <w:szCs w:val="16"/>
                <w:lang w:eastAsia="en-AU"/>
              </w:rPr>
              <w:t xml:space="preserve">mechanism’s </w:t>
            </w:r>
            <w:r w:rsidR="004C65D9">
              <w:rPr>
                <w:rFonts w:ascii="Times New Roman" w:eastAsia="Times New Roman" w:hAnsi="Times New Roman" w:cs="Times New Roman"/>
                <w:color w:val="262626" w:themeColor="text1" w:themeTint="D9"/>
                <w:sz w:val="16"/>
                <w:szCs w:val="16"/>
                <w:lang w:eastAsia="en-AU"/>
              </w:rPr>
              <w:t>efficien</w:t>
            </w:r>
            <w:r w:rsidR="00BE3729">
              <w:rPr>
                <w:rFonts w:ascii="Times New Roman" w:eastAsia="Times New Roman" w:hAnsi="Times New Roman" w:cs="Times New Roman"/>
                <w:color w:val="262626" w:themeColor="text1" w:themeTint="D9"/>
                <w:sz w:val="16"/>
                <w:szCs w:val="16"/>
                <w:lang w:eastAsia="en-AU"/>
              </w:rPr>
              <w:t>cy and</w:t>
            </w:r>
            <w:r w:rsidR="004C65D9">
              <w:rPr>
                <w:rFonts w:ascii="Times New Roman" w:eastAsia="Times New Roman" w:hAnsi="Times New Roman" w:cs="Times New Roman"/>
                <w:color w:val="262626" w:themeColor="text1" w:themeTint="D9"/>
                <w:sz w:val="16"/>
                <w:szCs w:val="16"/>
                <w:lang w:eastAsia="en-AU"/>
              </w:rPr>
              <w:t xml:space="preserve"> increas</w:t>
            </w:r>
            <w:r w:rsidR="00BE3729">
              <w:rPr>
                <w:rFonts w:ascii="Times New Roman" w:eastAsia="Times New Roman" w:hAnsi="Times New Roman" w:cs="Times New Roman"/>
                <w:color w:val="262626" w:themeColor="text1" w:themeTint="D9"/>
                <w:sz w:val="16"/>
                <w:szCs w:val="16"/>
                <w:lang w:eastAsia="en-AU"/>
              </w:rPr>
              <w:t>ed</w:t>
            </w:r>
            <w:r w:rsidR="004C65D9">
              <w:rPr>
                <w:rFonts w:ascii="Times New Roman" w:eastAsia="Times New Roman" w:hAnsi="Times New Roman" w:cs="Times New Roman"/>
                <w:color w:val="262626" w:themeColor="text1" w:themeTint="D9"/>
                <w:sz w:val="16"/>
                <w:szCs w:val="16"/>
                <w:lang w:eastAsia="en-AU"/>
              </w:rPr>
              <w:t xml:space="preserve"> transparency</w:t>
            </w:r>
          </w:p>
        </w:tc>
      </w:tr>
      <w:tr w:rsidR="0012355D" w:rsidRPr="00CA78C5" w14:paraId="2E985BE2" w14:textId="77777777" w:rsidTr="00A16DBE">
        <w:trPr>
          <w:trHeight w:val="850"/>
        </w:trPr>
        <w:tc>
          <w:tcPr>
            <w:tcW w:w="625" w:type="pct"/>
            <w:tcBorders>
              <w:top w:val="double" w:sz="4" w:space="0" w:color="auto"/>
            </w:tcBorders>
            <w:shd w:val="clear" w:color="auto" w:fill="auto"/>
            <w:vAlign w:val="center"/>
          </w:tcPr>
          <w:p w14:paraId="0F63DDDD" w14:textId="114A272C" w:rsidR="001C599C" w:rsidRPr="009422E9" w:rsidRDefault="001C599C" w:rsidP="008C58CF">
            <w:pPr>
              <w:spacing w:after="0" w:line="240" w:lineRule="auto"/>
              <w:rPr>
                <w:rFonts w:ascii="Cambria" w:eastAsia="Times New Roman" w:hAnsi="Cambria" w:cs="Calibri"/>
                <w:b/>
                <w:color w:val="002C47"/>
                <w:sz w:val="16"/>
                <w:szCs w:val="14"/>
                <w:lang w:eastAsia="en-AU"/>
              </w:rPr>
            </w:pPr>
            <w:r w:rsidRPr="009422E9">
              <w:rPr>
                <w:rFonts w:ascii="Cambria" w:eastAsia="Times New Roman" w:hAnsi="Cambria" w:cs="Calibri"/>
                <w:b/>
                <w:color w:val="002C47"/>
                <w:sz w:val="16"/>
                <w:szCs w:val="14"/>
                <w:lang w:eastAsia="en-AU"/>
              </w:rPr>
              <w:t>Minimi</w:t>
            </w:r>
            <w:r w:rsidR="005139D9">
              <w:rPr>
                <w:rFonts w:ascii="Cambria" w:eastAsia="Times New Roman" w:hAnsi="Cambria" w:cs="Calibri"/>
                <w:b/>
                <w:color w:val="002C47"/>
                <w:sz w:val="16"/>
                <w:szCs w:val="14"/>
                <w:lang w:eastAsia="en-AU"/>
              </w:rPr>
              <w:t>se</w:t>
            </w:r>
            <w:r w:rsidRPr="009422E9">
              <w:rPr>
                <w:rFonts w:ascii="Cambria" w:eastAsia="Times New Roman" w:hAnsi="Cambria" w:cs="Calibri"/>
                <w:b/>
                <w:color w:val="002C47"/>
                <w:sz w:val="16"/>
                <w:szCs w:val="14"/>
                <w:lang w:eastAsia="en-AU"/>
              </w:rPr>
              <w:t xml:space="preserve"> unintended consequences </w:t>
            </w:r>
          </w:p>
        </w:tc>
        <w:tc>
          <w:tcPr>
            <w:tcW w:w="729" w:type="pct"/>
            <w:tcBorders>
              <w:top w:val="double" w:sz="4" w:space="0" w:color="auto"/>
            </w:tcBorders>
            <w:shd w:val="clear" w:color="auto" w:fill="EEEEEE" w:themeFill="background2"/>
            <w:vAlign w:val="center"/>
          </w:tcPr>
          <w:p w14:paraId="4C5C3ED3" w14:textId="48822966" w:rsidR="001C599C" w:rsidRPr="00633D18" w:rsidRDefault="001A7EE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The status quo option will not have any associated unintended consequences</w:t>
            </w:r>
          </w:p>
        </w:tc>
        <w:tc>
          <w:tcPr>
            <w:tcW w:w="729" w:type="pct"/>
            <w:tcBorders>
              <w:top w:val="double" w:sz="4" w:space="0" w:color="auto"/>
            </w:tcBorders>
            <w:shd w:val="clear" w:color="auto" w:fill="92D050"/>
            <w:vAlign w:val="center"/>
          </w:tcPr>
          <w:p w14:paraId="003E3445" w14:textId="0B632975" w:rsidR="001C599C" w:rsidRPr="00633D18" w:rsidRDefault="00757B36"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Regulates producers’ behaviour, based on existing obligations</w:t>
            </w:r>
          </w:p>
        </w:tc>
        <w:tc>
          <w:tcPr>
            <w:tcW w:w="729" w:type="pct"/>
            <w:tcBorders>
              <w:top w:val="double" w:sz="4" w:space="0" w:color="auto"/>
            </w:tcBorders>
            <w:shd w:val="clear" w:color="auto" w:fill="92D050"/>
            <w:vAlign w:val="center"/>
          </w:tcPr>
          <w:p w14:paraId="39BE85E5" w14:textId="4C39B82D" w:rsidR="001C599C" w:rsidRPr="00633D18" w:rsidRDefault="00757B36"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Regulates producers’ behaviour, based on existing obligations</w:t>
            </w:r>
          </w:p>
        </w:tc>
        <w:tc>
          <w:tcPr>
            <w:tcW w:w="729" w:type="pct"/>
            <w:tcBorders>
              <w:top w:val="double" w:sz="4" w:space="0" w:color="auto"/>
            </w:tcBorders>
            <w:shd w:val="clear" w:color="000000" w:fill="92D050"/>
            <w:vAlign w:val="center"/>
          </w:tcPr>
          <w:p w14:paraId="05430FD3" w14:textId="40F55049" w:rsidR="001C599C" w:rsidRPr="00633D18" w:rsidRDefault="002F27B3"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Minimal changes</w:t>
            </w:r>
            <w:r w:rsidR="00757B36">
              <w:rPr>
                <w:rFonts w:ascii="Times New Roman" w:eastAsia="Times New Roman" w:hAnsi="Times New Roman" w:cs="Times New Roman"/>
                <w:color w:val="262626" w:themeColor="text1" w:themeTint="D9"/>
                <w:sz w:val="16"/>
                <w:szCs w:val="16"/>
                <w:lang w:eastAsia="en-AU"/>
              </w:rPr>
              <w:t xml:space="preserve"> producers’ behaviour, based on existing obligations</w:t>
            </w:r>
          </w:p>
        </w:tc>
        <w:tc>
          <w:tcPr>
            <w:tcW w:w="729" w:type="pct"/>
            <w:tcBorders>
              <w:top w:val="double" w:sz="4" w:space="0" w:color="auto"/>
            </w:tcBorders>
            <w:shd w:val="clear" w:color="000000" w:fill="FFFF00"/>
            <w:vAlign w:val="center"/>
          </w:tcPr>
          <w:p w14:paraId="78C2CF64" w14:textId="09A1537E" w:rsidR="001C599C" w:rsidRPr="00701929" w:rsidRDefault="00CA504A"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Short term cap, mitigates unintended consequ</w:t>
            </w:r>
            <w:r w:rsidR="0084382A">
              <w:rPr>
                <w:rFonts w:ascii="Times New Roman" w:eastAsia="Times New Roman" w:hAnsi="Times New Roman" w:cs="Times New Roman"/>
                <w:color w:val="262626" w:themeColor="text1" w:themeTint="D9"/>
                <w:sz w:val="16"/>
                <w:szCs w:val="16"/>
                <w:lang w:eastAsia="en-AU"/>
              </w:rPr>
              <w:t>e</w:t>
            </w:r>
            <w:r>
              <w:rPr>
                <w:rFonts w:ascii="Times New Roman" w:eastAsia="Times New Roman" w:hAnsi="Times New Roman" w:cs="Times New Roman"/>
                <w:color w:val="262626" w:themeColor="text1" w:themeTint="D9"/>
                <w:sz w:val="16"/>
                <w:szCs w:val="16"/>
                <w:lang w:eastAsia="en-AU"/>
              </w:rPr>
              <w:t>n</w:t>
            </w:r>
            <w:r w:rsidR="0084382A">
              <w:rPr>
                <w:rFonts w:ascii="Times New Roman" w:eastAsia="Times New Roman" w:hAnsi="Times New Roman" w:cs="Times New Roman"/>
                <w:color w:val="262626" w:themeColor="text1" w:themeTint="D9"/>
                <w:sz w:val="16"/>
                <w:szCs w:val="16"/>
                <w:lang w:eastAsia="en-AU"/>
              </w:rPr>
              <w:t>c</w:t>
            </w:r>
            <w:r>
              <w:rPr>
                <w:rFonts w:ascii="Times New Roman" w:eastAsia="Times New Roman" w:hAnsi="Times New Roman" w:cs="Times New Roman"/>
                <w:color w:val="262626" w:themeColor="text1" w:themeTint="D9"/>
                <w:sz w:val="16"/>
                <w:szCs w:val="16"/>
                <w:lang w:eastAsia="en-AU"/>
              </w:rPr>
              <w:t>es</w:t>
            </w:r>
          </w:p>
        </w:tc>
        <w:tc>
          <w:tcPr>
            <w:tcW w:w="729" w:type="pct"/>
            <w:tcBorders>
              <w:top w:val="double" w:sz="4" w:space="0" w:color="auto"/>
            </w:tcBorders>
            <w:shd w:val="clear" w:color="000000" w:fill="FFFF00"/>
            <w:vAlign w:val="center"/>
          </w:tcPr>
          <w:p w14:paraId="649B22F1" w14:textId="0E460A3E" w:rsidR="001C599C" w:rsidRPr="00633D18" w:rsidRDefault="00E8276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Expedited reforms </w:t>
            </w:r>
            <w:r w:rsidR="005A6231">
              <w:rPr>
                <w:rFonts w:ascii="Times New Roman" w:eastAsia="Times New Roman" w:hAnsi="Times New Roman" w:cs="Times New Roman"/>
                <w:color w:val="262626" w:themeColor="text1" w:themeTint="D9"/>
                <w:sz w:val="16"/>
                <w:szCs w:val="16"/>
                <w:lang w:eastAsia="en-AU"/>
              </w:rPr>
              <w:t>increase</w:t>
            </w:r>
            <w:r w:rsidR="00EC5A5D">
              <w:rPr>
                <w:rFonts w:ascii="Times New Roman" w:eastAsia="Times New Roman" w:hAnsi="Times New Roman" w:cs="Times New Roman"/>
                <w:color w:val="262626" w:themeColor="text1" w:themeTint="D9"/>
                <w:sz w:val="16"/>
                <w:szCs w:val="16"/>
                <w:lang w:eastAsia="en-AU"/>
              </w:rPr>
              <w:t xml:space="preserve"> potential</w:t>
            </w:r>
            <w:r>
              <w:rPr>
                <w:rFonts w:ascii="Times New Roman" w:eastAsia="Times New Roman" w:hAnsi="Times New Roman" w:cs="Times New Roman"/>
                <w:color w:val="262626" w:themeColor="text1" w:themeTint="D9"/>
                <w:sz w:val="16"/>
                <w:szCs w:val="16"/>
                <w:lang w:eastAsia="en-AU"/>
              </w:rPr>
              <w:t xml:space="preserve"> for unintended consequences </w:t>
            </w:r>
          </w:p>
        </w:tc>
      </w:tr>
      <w:tr w:rsidR="0012355D" w:rsidRPr="00CA78C5" w14:paraId="2A09557C" w14:textId="77777777" w:rsidTr="0080506D">
        <w:trPr>
          <w:trHeight w:val="1078"/>
        </w:trPr>
        <w:tc>
          <w:tcPr>
            <w:tcW w:w="625" w:type="pct"/>
            <w:shd w:val="clear" w:color="auto" w:fill="auto"/>
            <w:vAlign w:val="center"/>
          </w:tcPr>
          <w:p w14:paraId="2609A8E5" w14:textId="634BF369" w:rsidR="001C599C" w:rsidRPr="009422E9" w:rsidRDefault="00CF3B95" w:rsidP="008C58CF">
            <w:pPr>
              <w:spacing w:after="0" w:line="240" w:lineRule="auto"/>
              <w:rPr>
                <w:rFonts w:ascii="Cambria" w:eastAsia="Times New Roman" w:hAnsi="Cambria" w:cs="Calibri"/>
                <w:b/>
                <w:color w:val="002C47"/>
                <w:sz w:val="16"/>
                <w:szCs w:val="14"/>
                <w:lang w:eastAsia="en-AU"/>
              </w:rPr>
            </w:pPr>
            <w:r w:rsidRPr="009422E9">
              <w:rPr>
                <w:rFonts w:ascii="Cambria" w:eastAsia="Times New Roman" w:hAnsi="Cambria" w:cs="Calibri"/>
                <w:b/>
                <w:color w:val="002C47"/>
                <w:sz w:val="16"/>
                <w:szCs w:val="14"/>
                <w:lang w:eastAsia="en-AU"/>
              </w:rPr>
              <w:t>M</w:t>
            </w:r>
            <w:r>
              <w:rPr>
                <w:rFonts w:ascii="Cambria" w:eastAsia="Times New Roman" w:hAnsi="Cambria" w:cs="Calibri"/>
                <w:b/>
                <w:color w:val="002C47"/>
                <w:sz w:val="16"/>
                <w:szCs w:val="14"/>
                <w:lang w:eastAsia="en-AU"/>
              </w:rPr>
              <w:t>aintain</w:t>
            </w:r>
            <w:r w:rsidRPr="009422E9">
              <w:rPr>
                <w:rFonts w:ascii="Cambria" w:eastAsia="Times New Roman" w:hAnsi="Cambria" w:cs="Calibri"/>
                <w:b/>
                <w:color w:val="002C47"/>
                <w:sz w:val="16"/>
                <w:szCs w:val="14"/>
                <w:lang w:eastAsia="en-AU"/>
              </w:rPr>
              <w:t xml:space="preserve"> </w:t>
            </w:r>
            <w:r>
              <w:rPr>
                <w:rFonts w:ascii="Cambria" w:eastAsia="Times New Roman" w:hAnsi="Cambria" w:cs="Calibri"/>
                <w:b/>
                <w:color w:val="002C47"/>
                <w:sz w:val="16"/>
                <w:szCs w:val="14"/>
                <w:lang w:eastAsia="en-AU"/>
              </w:rPr>
              <w:t>incentives for</w:t>
            </w:r>
            <w:r w:rsidR="001C599C" w:rsidRPr="009422E9">
              <w:rPr>
                <w:rFonts w:ascii="Cambria" w:eastAsia="Times New Roman" w:hAnsi="Cambria" w:cs="Calibri"/>
                <w:b/>
                <w:color w:val="002C47"/>
                <w:sz w:val="16"/>
                <w:szCs w:val="14"/>
                <w:lang w:eastAsia="en-AU"/>
              </w:rPr>
              <w:t xml:space="preserve"> investment</w:t>
            </w:r>
          </w:p>
        </w:tc>
        <w:tc>
          <w:tcPr>
            <w:tcW w:w="729" w:type="pct"/>
            <w:shd w:val="clear" w:color="auto" w:fill="EEEEEE" w:themeFill="background2"/>
            <w:vAlign w:val="center"/>
          </w:tcPr>
          <w:p w14:paraId="52B8303F" w14:textId="2F539B8F" w:rsidR="001C599C" w:rsidRPr="00633D18" w:rsidRDefault="00972568"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The status quo option will not </w:t>
            </w:r>
            <w:r w:rsidR="00885B5E">
              <w:rPr>
                <w:rFonts w:ascii="Times New Roman" w:eastAsia="Times New Roman" w:hAnsi="Times New Roman" w:cs="Times New Roman"/>
                <w:color w:val="262626" w:themeColor="text1" w:themeTint="D9"/>
                <w:sz w:val="16"/>
                <w:szCs w:val="16"/>
                <w:lang w:eastAsia="en-AU"/>
              </w:rPr>
              <w:t xml:space="preserve">cause </w:t>
            </w:r>
            <w:r>
              <w:rPr>
                <w:rFonts w:ascii="Times New Roman" w:eastAsia="Times New Roman" w:hAnsi="Times New Roman" w:cs="Times New Roman"/>
                <w:color w:val="262626" w:themeColor="text1" w:themeTint="D9"/>
                <w:sz w:val="16"/>
                <w:szCs w:val="16"/>
                <w:lang w:eastAsia="en-AU"/>
              </w:rPr>
              <w:t>any distortions to investment.</w:t>
            </w:r>
          </w:p>
        </w:tc>
        <w:tc>
          <w:tcPr>
            <w:tcW w:w="729" w:type="pct"/>
            <w:shd w:val="clear" w:color="auto" w:fill="92D050"/>
            <w:vAlign w:val="center"/>
          </w:tcPr>
          <w:p w14:paraId="2F5E01B7" w14:textId="73C5F449" w:rsidR="001C599C" w:rsidRPr="00633D18" w:rsidRDefault="00B8427E"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A mandatory code is unlikely to </w:t>
            </w:r>
            <w:r w:rsidR="00E92D85">
              <w:rPr>
                <w:rFonts w:ascii="Times New Roman" w:eastAsia="Times New Roman" w:hAnsi="Times New Roman" w:cs="Times New Roman"/>
                <w:color w:val="262626" w:themeColor="text1" w:themeTint="D9"/>
                <w:sz w:val="16"/>
                <w:szCs w:val="16"/>
                <w:lang w:eastAsia="en-AU"/>
              </w:rPr>
              <w:t>impact on</w:t>
            </w:r>
            <w:r>
              <w:rPr>
                <w:rFonts w:ascii="Times New Roman" w:eastAsia="Times New Roman" w:hAnsi="Times New Roman" w:cs="Times New Roman"/>
                <w:color w:val="262626" w:themeColor="text1" w:themeTint="D9"/>
                <w:sz w:val="16"/>
                <w:szCs w:val="16"/>
                <w:lang w:eastAsia="en-AU"/>
              </w:rPr>
              <w:t xml:space="preserve"> investment</w:t>
            </w:r>
            <w:r w:rsidR="00E92D85">
              <w:rPr>
                <w:rFonts w:ascii="Times New Roman" w:eastAsia="Times New Roman" w:hAnsi="Times New Roman" w:cs="Times New Roman"/>
                <w:color w:val="262626" w:themeColor="text1" w:themeTint="D9"/>
                <w:sz w:val="16"/>
                <w:szCs w:val="16"/>
                <w:lang w:eastAsia="en-AU"/>
              </w:rPr>
              <w:t xml:space="preserve"> incentives</w:t>
            </w:r>
          </w:p>
        </w:tc>
        <w:tc>
          <w:tcPr>
            <w:tcW w:w="729" w:type="pct"/>
            <w:shd w:val="clear" w:color="auto" w:fill="92D050"/>
            <w:vAlign w:val="center"/>
          </w:tcPr>
          <w:p w14:paraId="5D3916AF" w14:textId="13E3BECF" w:rsidR="001C599C" w:rsidRPr="00633D18" w:rsidRDefault="00366DA9"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A mandatory code is unlikely to impact on investment incentives</w:t>
            </w:r>
          </w:p>
        </w:tc>
        <w:tc>
          <w:tcPr>
            <w:tcW w:w="729" w:type="pct"/>
            <w:shd w:val="clear" w:color="000000" w:fill="92D050"/>
            <w:vAlign w:val="center"/>
          </w:tcPr>
          <w:p w14:paraId="5BA13115" w14:textId="231BBB75" w:rsidR="001C599C" w:rsidRPr="00633D18" w:rsidRDefault="00366DA9"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A voluntary code is unlikely to impact on investment incentives</w:t>
            </w:r>
          </w:p>
        </w:tc>
        <w:tc>
          <w:tcPr>
            <w:tcW w:w="729" w:type="pct"/>
            <w:shd w:val="clear" w:color="auto" w:fill="FFFF00"/>
            <w:vAlign w:val="center"/>
          </w:tcPr>
          <w:p w14:paraId="51E4CEF1" w14:textId="31EAD428" w:rsidR="001C599C" w:rsidRPr="00701929" w:rsidRDefault="00366DA9" w:rsidP="0080506D">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Short term cap mitigates potential impacts on </w:t>
            </w:r>
            <w:r w:rsidR="004612C4">
              <w:rPr>
                <w:rFonts w:ascii="Times New Roman" w:eastAsia="Times New Roman" w:hAnsi="Times New Roman" w:cs="Times New Roman"/>
                <w:color w:val="262626" w:themeColor="text1" w:themeTint="D9"/>
                <w:sz w:val="16"/>
                <w:szCs w:val="16"/>
                <w:lang w:eastAsia="en-AU"/>
              </w:rPr>
              <w:t xml:space="preserve">investment </w:t>
            </w:r>
            <w:r w:rsidR="0053111F" w:rsidRPr="0053111F">
              <w:rPr>
                <w:rFonts w:ascii="Times New Roman" w:eastAsia="Times New Roman" w:hAnsi="Times New Roman" w:cs="Times New Roman"/>
                <w:color w:val="262626" w:themeColor="text1" w:themeTint="D9"/>
                <w:sz w:val="16"/>
                <w:szCs w:val="16"/>
                <w:lang w:eastAsia="en-AU"/>
              </w:rPr>
              <w:t>incentives for producers</w:t>
            </w:r>
            <w:r w:rsidR="0053111F">
              <w:rPr>
                <w:rFonts w:ascii="Times New Roman" w:eastAsia="Times New Roman" w:hAnsi="Times New Roman" w:cs="Times New Roman"/>
                <w:color w:val="262626" w:themeColor="text1" w:themeTint="D9"/>
                <w:sz w:val="16"/>
                <w:szCs w:val="16"/>
                <w:lang w:eastAsia="en-AU"/>
              </w:rPr>
              <w:t>,</w:t>
            </w:r>
            <w:r w:rsidR="0053111F" w:rsidRPr="0053111F">
              <w:rPr>
                <w:rFonts w:ascii="Times New Roman" w:eastAsia="Times New Roman" w:hAnsi="Times New Roman" w:cs="Times New Roman"/>
                <w:color w:val="262626" w:themeColor="text1" w:themeTint="D9"/>
                <w:sz w:val="16"/>
                <w:szCs w:val="16"/>
                <w:lang w:eastAsia="en-AU"/>
              </w:rPr>
              <w:t xml:space="preserve"> generators</w:t>
            </w:r>
            <w:r w:rsidR="0053111F">
              <w:rPr>
                <w:rFonts w:ascii="Times New Roman" w:eastAsia="Times New Roman" w:hAnsi="Times New Roman" w:cs="Times New Roman"/>
                <w:color w:val="262626" w:themeColor="text1" w:themeTint="D9"/>
                <w:sz w:val="16"/>
                <w:szCs w:val="16"/>
                <w:lang w:eastAsia="en-AU"/>
              </w:rPr>
              <w:t>, and consumers</w:t>
            </w:r>
            <w:r w:rsidR="00E92D85">
              <w:rPr>
                <w:rFonts w:ascii="Times New Roman" w:eastAsia="Times New Roman" w:hAnsi="Times New Roman" w:cs="Times New Roman"/>
                <w:color w:val="262626" w:themeColor="text1" w:themeTint="D9"/>
                <w:sz w:val="16"/>
                <w:szCs w:val="16"/>
                <w:lang w:eastAsia="en-AU"/>
              </w:rPr>
              <w:t>.</w:t>
            </w:r>
          </w:p>
        </w:tc>
        <w:tc>
          <w:tcPr>
            <w:tcW w:w="729" w:type="pct"/>
            <w:shd w:val="clear" w:color="auto" w:fill="FFFF00"/>
            <w:vAlign w:val="center"/>
          </w:tcPr>
          <w:p w14:paraId="51E3C4FF" w14:textId="1232A4BB" w:rsidR="001C599C" w:rsidRPr="00633D18" w:rsidRDefault="00BE3729"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Expediting the</w:t>
            </w:r>
            <w:r w:rsidR="00516D96">
              <w:rPr>
                <w:rFonts w:ascii="Times New Roman" w:eastAsia="Times New Roman" w:hAnsi="Times New Roman" w:cs="Times New Roman"/>
                <w:color w:val="262626" w:themeColor="text1" w:themeTint="D9"/>
                <w:sz w:val="16"/>
                <w:szCs w:val="16"/>
                <w:lang w:eastAsia="en-AU"/>
              </w:rPr>
              <w:t xml:space="preserve"> AD</w:t>
            </w:r>
            <w:r w:rsidR="002B0B44">
              <w:rPr>
                <w:rFonts w:ascii="Times New Roman" w:eastAsia="Times New Roman" w:hAnsi="Times New Roman" w:cs="Times New Roman"/>
                <w:color w:val="262626" w:themeColor="text1" w:themeTint="D9"/>
                <w:sz w:val="16"/>
                <w:szCs w:val="16"/>
                <w:lang w:eastAsia="en-AU"/>
              </w:rPr>
              <w:t>G</w:t>
            </w:r>
            <w:r w:rsidR="00516D96">
              <w:rPr>
                <w:rFonts w:ascii="Times New Roman" w:eastAsia="Times New Roman" w:hAnsi="Times New Roman" w:cs="Times New Roman"/>
                <w:color w:val="262626" w:themeColor="text1" w:themeTint="D9"/>
                <w:sz w:val="16"/>
                <w:szCs w:val="16"/>
                <w:lang w:eastAsia="en-AU"/>
              </w:rPr>
              <w:t xml:space="preserve">SM </w:t>
            </w:r>
            <w:r>
              <w:rPr>
                <w:rFonts w:ascii="Times New Roman" w:eastAsia="Times New Roman" w:hAnsi="Times New Roman" w:cs="Times New Roman"/>
                <w:color w:val="262626" w:themeColor="text1" w:themeTint="D9"/>
                <w:sz w:val="16"/>
                <w:szCs w:val="16"/>
                <w:lang w:eastAsia="en-AU"/>
              </w:rPr>
              <w:t xml:space="preserve">reforms will provide </w:t>
            </w:r>
            <w:r w:rsidR="007C7528">
              <w:rPr>
                <w:rFonts w:ascii="Times New Roman" w:eastAsia="Times New Roman" w:hAnsi="Times New Roman" w:cs="Times New Roman"/>
                <w:color w:val="262626" w:themeColor="text1" w:themeTint="D9"/>
                <w:sz w:val="16"/>
                <w:szCs w:val="16"/>
                <w:lang w:eastAsia="en-AU"/>
              </w:rPr>
              <w:t>for</w:t>
            </w:r>
            <w:r>
              <w:rPr>
                <w:rFonts w:ascii="Times New Roman" w:eastAsia="Times New Roman" w:hAnsi="Times New Roman" w:cs="Times New Roman"/>
                <w:color w:val="262626" w:themeColor="text1" w:themeTint="D9"/>
                <w:sz w:val="16"/>
                <w:szCs w:val="16"/>
                <w:lang w:eastAsia="en-AU"/>
              </w:rPr>
              <w:t xml:space="preserve"> earlier efficiency and less distortionary effects </w:t>
            </w:r>
          </w:p>
        </w:tc>
      </w:tr>
      <w:tr w:rsidR="0012355D" w:rsidRPr="00CA78C5" w14:paraId="4DD625A8" w14:textId="77777777" w:rsidTr="0080506D">
        <w:trPr>
          <w:trHeight w:val="850"/>
        </w:trPr>
        <w:tc>
          <w:tcPr>
            <w:tcW w:w="625" w:type="pct"/>
            <w:shd w:val="clear" w:color="auto" w:fill="auto"/>
            <w:vAlign w:val="center"/>
          </w:tcPr>
          <w:p w14:paraId="432150A3" w14:textId="1C67E823" w:rsidR="001C599C" w:rsidRPr="009422E9" w:rsidRDefault="001C599C" w:rsidP="008C58CF">
            <w:pPr>
              <w:spacing w:after="0" w:line="240" w:lineRule="auto"/>
              <w:rPr>
                <w:rFonts w:ascii="Cambria" w:eastAsia="Times New Roman" w:hAnsi="Cambria" w:cs="Calibri"/>
                <w:b/>
                <w:color w:val="002C47"/>
                <w:sz w:val="16"/>
                <w:szCs w:val="14"/>
                <w:lang w:eastAsia="en-AU"/>
              </w:rPr>
            </w:pPr>
            <w:r w:rsidRPr="009422E9">
              <w:rPr>
                <w:rFonts w:ascii="Cambria" w:eastAsia="Times New Roman" w:hAnsi="Cambria" w:cs="Calibri"/>
                <w:b/>
                <w:color w:val="002C47"/>
                <w:sz w:val="16"/>
                <w:szCs w:val="14"/>
                <w:lang w:eastAsia="en-AU"/>
              </w:rPr>
              <w:t>Ensur</w:t>
            </w:r>
            <w:r w:rsidR="005139D9">
              <w:rPr>
                <w:rFonts w:ascii="Cambria" w:eastAsia="Times New Roman" w:hAnsi="Cambria" w:cs="Calibri"/>
                <w:b/>
                <w:color w:val="002C47"/>
                <w:sz w:val="16"/>
                <w:szCs w:val="14"/>
                <w:lang w:eastAsia="en-AU"/>
              </w:rPr>
              <w:t>e</w:t>
            </w:r>
            <w:r w:rsidRPr="009422E9">
              <w:rPr>
                <w:rFonts w:ascii="Cambria" w:eastAsia="Times New Roman" w:hAnsi="Cambria" w:cs="Calibri"/>
                <w:b/>
                <w:color w:val="002C47"/>
                <w:sz w:val="16"/>
                <w:szCs w:val="14"/>
                <w:lang w:eastAsia="en-AU"/>
              </w:rPr>
              <w:t xml:space="preserve"> domestic electricity and fuel supply</w:t>
            </w:r>
          </w:p>
        </w:tc>
        <w:tc>
          <w:tcPr>
            <w:tcW w:w="729" w:type="pct"/>
            <w:shd w:val="clear" w:color="auto" w:fill="EEEEEE" w:themeFill="background2"/>
            <w:vAlign w:val="center"/>
          </w:tcPr>
          <w:p w14:paraId="649DB3FF" w14:textId="05175B22" w:rsidR="001C599C" w:rsidRPr="00633D18" w:rsidRDefault="00633D18"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The status quo will not provide any further mechanisms to ensure sufficient supply.</w:t>
            </w:r>
          </w:p>
        </w:tc>
        <w:tc>
          <w:tcPr>
            <w:tcW w:w="729" w:type="pct"/>
            <w:shd w:val="clear" w:color="auto" w:fill="FFFF00"/>
            <w:vAlign w:val="center"/>
          </w:tcPr>
          <w:p w14:paraId="01585072" w14:textId="70B2773C" w:rsidR="001C599C" w:rsidRPr="00633D18" w:rsidRDefault="009C2C9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Will not provide further mechanisms to ensure supply</w:t>
            </w:r>
          </w:p>
        </w:tc>
        <w:tc>
          <w:tcPr>
            <w:tcW w:w="729" w:type="pct"/>
            <w:shd w:val="clear" w:color="auto" w:fill="FFFF00"/>
            <w:vAlign w:val="center"/>
          </w:tcPr>
          <w:p w14:paraId="484E5AAC" w14:textId="07063E40" w:rsidR="001C599C" w:rsidRPr="00633D18" w:rsidRDefault="009C2C9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Will not provide further mechanisms to ensure supply</w:t>
            </w:r>
          </w:p>
        </w:tc>
        <w:tc>
          <w:tcPr>
            <w:tcW w:w="729" w:type="pct"/>
            <w:shd w:val="clear" w:color="auto" w:fill="FFFF00"/>
            <w:vAlign w:val="center"/>
          </w:tcPr>
          <w:p w14:paraId="701F47D7" w14:textId="7D0F19FF" w:rsidR="001C599C" w:rsidRPr="00633D18" w:rsidRDefault="009C2C9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Will not provide further mechanisms to ensure supply</w:t>
            </w:r>
          </w:p>
        </w:tc>
        <w:tc>
          <w:tcPr>
            <w:tcW w:w="729" w:type="pct"/>
            <w:shd w:val="clear" w:color="auto" w:fill="FFFF00"/>
            <w:vAlign w:val="center"/>
          </w:tcPr>
          <w:p w14:paraId="7B140002" w14:textId="18D9CB84" w:rsidR="001C599C" w:rsidRPr="00701929" w:rsidRDefault="004D6CB4"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Risk a cap c</w:t>
            </w:r>
            <w:r w:rsidR="00D72EB5">
              <w:rPr>
                <w:rFonts w:ascii="Times New Roman" w:eastAsia="Times New Roman" w:hAnsi="Times New Roman" w:cs="Times New Roman"/>
                <w:color w:val="262626" w:themeColor="text1" w:themeTint="D9"/>
                <w:sz w:val="16"/>
                <w:szCs w:val="16"/>
                <w:lang w:eastAsia="en-AU"/>
              </w:rPr>
              <w:t xml:space="preserve">ould incentivise domestic supplies to </w:t>
            </w:r>
            <w:r w:rsidR="00D72EB5" w:rsidRPr="00D72EB5">
              <w:rPr>
                <w:rFonts w:ascii="Times New Roman" w:eastAsia="Times New Roman" w:hAnsi="Times New Roman" w:cs="Times New Roman"/>
                <w:color w:val="262626" w:themeColor="text1" w:themeTint="D9"/>
                <w:sz w:val="16"/>
                <w:szCs w:val="16"/>
                <w:lang w:eastAsia="en-AU"/>
              </w:rPr>
              <w:t xml:space="preserve">divert supply to </w:t>
            </w:r>
            <w:r w:rsidR="00D72EB5">
              <w:rPr>
                <w:rFonts w:ascii="Times New Roman" w:eastAsia="Times New Roman" w:hAnsi="Times New Roman" w:cs="Times New Roman"/>
                <w:color w:val="262626" w:themeColor="text1" w:themeTint="D9"/>
                <w:sz w:val="16"/>
                <w:szCs w:val="16"/>
                <w:lang w:eastAsia="en-AU"/>
              </w:rPr>
              <w:t xml:space="preserve">storage or </w:t>
            </w:r>
            <w:r w:rsidR="00D72EB5" w:rsidRPr="00D72EB5">
              <w:rPr>
                <w:rFonts w:ascii="Times New Roman" w:eastAsia="Times New Roman" w:hAnsi="Times New Roman" w:cs="Times New Roman"/>
                <w:color w:val="262626" w:themeColor="text1" w:themeTint="D9"/>
                <w:sz w:val="16"/>
                <w:szCs w:val="16"/>
                <w:lang w:eastAsia="en-AU"/>
              </w:rPr>
              <w:t>the export market</w:t>
            </w:r>
          </w:p>
        </w:tc>
        <w:tc>
          <w:tcPr>
            <w:tcW w:w="729" w:type="pct"/>
            <w:shd w:val="clear" w:color="auto" w:fill="92D050"/>
            <w:vAlign w:val="center"/>
          </w:tcPr>
          <w:p w14:paraId="49514523" w14:textId="25B88531" w:rsidR="001C599C" w:rsidRPr="00633D18" w:rsidRDefault="00516D96"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Allows Government to quickly, flexibly</w:t>
            </w:r>
            <w:r w:rsidR="007974BD">
              <w:rPr>
                <w:rFonts w:ascii="Times New Roman" w:eastAsia="Times New Roman" w:hAnsi="Times New Roman" w:cs="Times New Roman"/>
                <w:color w:val="262626" w:themeColor="text1" w:themeTint="D9"/>
                <w:sz w:val="16"/>
                <w:szCs w:val="16"/>
                <w:lang w:eastAsia="en-AU"/>
              </w:rPr>
              <w:t>,</w:t>
            </w:r>
            <w:r>
              <w:rPr>
                <w:rFonts w:ascii="Times New Roman" w:eastAsia="Times New Roman" w:hAnsi="Times New Roman" w:cs="Times New Roman"/>
                <w:color w:val="262626" w:themeColor="text1" w:themeTint="D9"/>
                <w:sz w:val="16"/>
                <w:szCs w:val="16"/>
                <w:lang w:eastAsia="en-AU"/>
              </w:rPr>
              <w:t xml:space="preserve"> and efficiently secure supply</w:t>
            </w:r>
          </w:p>
        </w:tc>
      </w:tr>
      <w:tr w:rsidR="0012355D" w:rsidRPr="00CA78C5" w14:paraId="4AE31E55" w14:textId="77777777" w:rsidTr="00C74CCF">
        <w:trPr>
          <w:trHeight w:val="850"/>
        </w:trPr>
        <w:tc>
          <w:tcPr>
            <w:tcW w:w="625" w:type="pct"/>
            <w:shd w:val="clear" w:color="auto" w:fill="auto"/>
            <w:vAlign w:val="center"/>
          </w:tcPr>
          <w:p w14:paraId="2B6F84FC" w14:textId="75A9536B" w:rsidR="001C599C" w:rsidRPr="006850AD" w:rsidRDefault="00474941" w:rsidP="008C58CF">
            <w:pPr>
              <w:spacing w:after="0" w:line="240" w:lineRule="auto"/>
              <w:rPr>
                <w:rFonts w:ascii="Cambria" w:eastAsia="Times New Roman" w:hAnsi="Cambria" w:cs="Calibri"/>
                <w:b/>
                <w:color w:val="002C47"/>
                <w:sz w:val="16"/>
                <w:szCs w:val="14"/>
                <w:lang w:eastAsia="en-AU"/>
              </w:rPr>
            </w:pPr>
            <w:r w:rsidRPr="006850AD">
              <w:rPr>
                <w:rFonts w:ascii="Cambria" w:eastAsia="Times New Roman" w:hAnsi="Cambria" w:cs="Calibri"/>
                <w:b/>
                <w:color w:val="002C47"/>
                <w:sz w:val="16"/>
                <w:szCs w:val="14"/>
                <w:lang w:eastAsia="en-AU"/>
              </w:rPr>
              <w:t>Minimis</w:t>
            </w:r>
            <w:r w:rsidR="005139D9">
              <w:rPr>
                <w:rFonts w:ascii="Cambria" w:eastAsia="Times New Roman" w:hAnsi="Cambria" w:cs="Calibri"/>
                <w:b/>
                <w:color w:val="002C47"/>
                <w:sz w:val="16"/>
                <w:szCs w:val="14"/>
                <w:lang w:eastAsia="en-AU"/>
              </w:rPr>
              <w:t>e</w:t>
            </w:r>
            <w:r w:rsidRPr="006850AD">
              <w:rPr>
                <w:rFonts w:ascii="Cambria" w:eastAsia="Times New Roman" w:hAnsi="Cambria" w:cs="Calibri"/>
                <w:b/>
                <w:color w:val="002C47"/>
                <w:sz w:val="16"/>
                <w:szCs w:val="14"/>
                <w:lang w:eastAsia="en-AU"/>
              </w:rPr>
              <w:t xml:space="preserve"> impacts on international trading partners and investment.</w:t>
            </w:r>
          </w:p>
        </w:tc>
        <w:tc>
          <w:tcPr>
            <w:tcW w:w="729" w:type="pct"/>
            <w:shd w:val="clear" w:color="auto" w:fill="EEEEEE" w:themeFill="background2"/>
            <w:vAlign w:val="center"/>
          </w:tcPr>
          <w:p w14:paraId="793616EF" w14:textId="691E71DB" w:rsidR="001C599C" w:rsidRPr="00633D18" w:rsidRDefault="00633D18"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The status quo </w:t>
            </w:r>
            <w:r w:rsidR="00EC5A5D">
              <w:rPr>
                <w:rFonts w:ascii="Times New Roman" w:eastAsia="Times New Roman" w:hAnsi="Times New Roman" w:cs="Times New Roman"/>
                <w:color w:val="262626" w:themeColor="text1" w:themeTint="D9"/>
                <w:sz w:val="16"/>
                <w:szCs w:val="16"/>
                <w:lang w:eastAsia="en-AU"/>
              </w:rPr>
              <w:t>has no</w:t>
            </w:r>
            <w:r>
              <w:rPr>
                <w:rFonts w:ascii="Times New Roman" w:eastAsia="Times New Roman" w:hAnsi="Times New Roman" w:cs="Times New Roman"/>
                <w:color w:val="262626" w:themeColor="text1" w:themeTint="D9"/>
                <w:sz w:val="16"/>
                <w:szCs w:val="16"/>
                <w:lang w:eastAsia="en-AU"/>
              </w:rPr>
              <w:t xml:space="preserve"> associated </w:t>
            </w:r>
            <w:r w:rsidR="006F688F">
              <w:rPr>
                <w:rFonts w:ascii="Times New Roman" w:eastAsia="Times New Roman" w:hAnsi="Times New Roman" w:cs="Times New Roman"/>
                <w:color w:val="262626" w:themeColor="text1" w:themeTint="D9"/>
                <w:sz w:val="16"/>
                <w:szCs w:val="16"/>
                <w:lang w:eastAsia="en-AU"/>
              </w:rPr>
              <w:t xml:space="preserve">impacts on </w:t>
            </w:r>
            <w:r>
              <w:rPr>
                <w:rFonts w:ascii="Times New Roman" w:eastAsia="Times New Roman" w:hAnsi="Times New Roman" w:cs="Times New Roman"/>
                <w:color w:val="262626" w:themeColor="text1" w:themeTint="D9"/>
                <w:sz w:val="16"/>
                <w:szCs w:val="16"/>
                <w:lang w:eastAsia="en-AU"/>
              </w:rPr>
              <w:t xml:space="preserve">international </w:t>
            </w:r>
            <w:r w:rsidR="006F688F">
              <w:rPr>
                <w:rFonts w:ascii="Times New Roman" w:eastAsia="Times New Roman" w:hAnsi="Times New Roman" w:cs="Times New Roman"/>
                <w:color w:val="262626" w:themeColor="text1" w:themeTint="D9"/>
                <w:sz w:val="16"/>
                <w:szCs w:val="16"/>
                <w:lang w:eastAsia="en-AU"/>
              </w:rPr>
              <w:t>trading partners and investment</w:t>
            </w:r>
          </w:p>
        </w:tc>
        <w:tc>
          <w:tcPr>
            <w:tcW w:w="729" w:type="pct"/>
            <w:shd w:val="clear" w:color="auto" w:fill="92D050"/>
            <w:vAlign w:val="center"/>
          </w:tcPr>
          <w:p w14:paraId="4113EFC7" w14:textId="19B628AA" w:rsidR="001C599C" w:rsidRPr="00633D18" w:rsidRDefault="009C2C9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A mandatory code </w:t>
            </w:r>
            <w:r w:rsidRPr="00735151">
              <w:rPr>
                <w:rFonts w:ascii="Times New Roman" w:eastAsia="Times New Roman" w:hAnsi="Times New Roman" w:cs="Times New Roman"/>
                <w:color w:val="262626" w:themeColor="text1" w:themeTint="D9"/>
                <w:sz w:val="16"/>
                <w:szCs w:val="16"/>
                <w:lang w:eastAsia="en-AU"/>
              </w:rPr>
              <w:t xml:space="preserve">has minimal </w:t>
            </w:r>
            <w:r w:rsidR="006F688F">
              <w:rPr>
                <w:rFonts w:ascii="Times New Roman" w:eastAsia="Times New Roman" w:hAnsi="Times New Roman" w:cs="Times New Roman"/>
                <w:color w:val="262626" w:themeColor="text1" w:themeTint="D9"/>
                <w:sz w:val="16"/>
                <w:szCs w:val="16"/>
                <w:lang w:eastAsia="en-AU"/>
              </w:rPr>
              <w:t>impacts on international trading partners and investment</w:t>
            </w:r>
            <w:r w:rsidR="006850AD">
              <w:rPr>
                <w:rFonts w:ascii="Times New Roman" w:eastAsia="Times New Roman" w:hAnsi="Times New Roman" w:cs="Times New Roman"/>
                <w:color w:val="262626" w:themeColor="text1" w:themeTint="D9"/>
                <w:sz w:val="16"/>
                <w:szCs w:val="16"/>
                <w:lang w:eastAsia="en-AU"/>
              </w:rPr>
              <w:t xml:space="preserve"> </w:t>
            </w:r>
          </w:p>
        </w:tc>
        <w:tc>
          <w:tcPr>
            <w:tcW w:w="729" w:type="pct"/>
            <w:shd w:val="clear" w:color="auto" w:fill="92D050"/>
            <w:vAlign w:val="center"/>
          </w:tcPr>
          <w:p w14:paraId="042C8559" w14:textId="32CEE05D" w:rsidR="001C599C" w:rsidRPr="00633D18" w:rsidRDefault="009C2C9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A mandatory code </w:t>
            </w:r>
            <w:r w:rsidRPr="00735151">
              <w:rPr>
                <w:rFonts w:ascii="Times New Roman" w:eastAsia="Times New Roman" w:hAnsi="Times New Roman" w:cs="Times New Roman"/>
                <w:color w:val="262626" w:themeColor="text1" w:themeTint="D9"/>
                <w:sz w:val="16"/>
                <w:szCs w:val="16"/>
                <w:lang w:eastAsia="en-AU"/>
              </w:rPr>
              <w:t xml:space="preserve">has minimal </w:t>
            </w:r>
            <w:r w:rsidR="006F688F">
              <w:rPr>
                <w:rFonts w:ascii="Times New Roman" w:eastAsia="Times New Roman" w:hAnsi="Times New Roman" w:cs="Times New Roman"/>
                <w:color w:val="262626" w:themeColor="text1" w:themeTint="D9"/>
                <w:sz w:val="16"/>
                <w:szCs w:val="16"/>
                <w:lang w:eastAsia="en-AU"/>
              </w:rPr>
              <w:t>impacts on international trading partners and investment</w:t>
            </w:r>
          </w:p>
        </w:tc>
        <w:tc>
          <w:tcPr>
            <w:tcW w:w="729" w:type="pct"/>
            <w:shd w:val="clear" w:color="auto" w:fill="92D050"/>
            <w:vAlign w:val="center"/>
          </w:tcPr>
          <w:p w14:paraId="704D810D" w14:textId="09F093EB" w:rsidR="001C599C" w:rsidRPr="00633D18" w:rsidRDefault="009C2C9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A </w:t>
            </w:r>
            <w:r w:rsidR="00510FDF" w:rsidRPr="00510FDF">
              <w:rPr>
                <w:rFonts w:ascii="Times New Roman" w:eastAsia="Times New Roman" w:hAnsi="Times New Roman" w:cs="Times New Roman"/>
                <w:color w:val="262626" w:themeColor="text1" w:themeTint="D9"/>
                <w:sz w:val="16"/>
                <w:szCs w:val="16"/>
                <w:lang w:eastAsia="en-AU"/>
              </w:rPr>
              <w:t>voluntary</w:t>
            </w:r>
            <w:r>
              <w:rPr>
                <w:rFonts w:ascii="Times New Roman" w:eastAsia="Times New Roman" w:hAnsi="Times New Roman" w:cs="Times New Roman"/>
                <w:color w:val="262626" w:themeColor="text1" w:themeTint="D9"/>
                <w:sz w:val="16"/>
                <w:szCs w:val="16"/>
                <w:lang w:eastAsia="en-AU"/>
              </w:rPr>
              <w:t xml:space="preserve"> code </w:t>
            </w:r>
            <w:r w:rsidRPr="00735151">
              <w:rPr>
                <w:rFonts w:ascii="Times New Roman" w:eastAsia="Times New Roman" w:hAnsi="Times New Roman" w:cs="Times New Roman"/>
                <w:color w:val="262626" w:themeColor="text1" w:themeTint="D9"/>
                <w:sz w:val="16"/>
                <w:szCs w:val="16"/>
                <w:lang w:eastAsia="en-AU"/>
              </w:rPr>
              <w:t xml:space="preserve">has minimal </w:t>
            </w:r>
            <w:r w:rsidR="006F688F">
              <w:rPr>
                <w:rFonts w:ascii="Times New Roman" w:eastAsia="Times New Roman" w:hAnsi="Times New Roman" w:cs="Times New Roman"/>
                <w:color w:val="262626" w:themeColor="text1" w:themeTint="D9"/>
                <w:sz w:val="16"/>
                <w:szCs w:val="16"/>
                <w:lang w:eastAsia="en-AU"/>
              </w:rPr>
              <w:t xml:space="preserve">impacts on international trading partners and </w:t>
            </w:r>
            <w:r w:rsidR="006850AD">
              <w:rPr>
                <w:rFonts w:ascii="Times New Roman" w:eastAsia="Times New Roman" w:hAnsi="Times New Roman" w:cs="Times New Roman"/>
                <w:color w:val="262626" w:themeColor="text1" w:themeTint="D9"/>
                <w:sz w:val="16"/>
                <w:szCs w:val="16"/>
                <w:lang w:eastAsia="en-AU"/>
              </w:rPr>
              <w:t>investment</w:t>
            </w:r>
          </w:p>
        </w:tc>
        <w:tc>
          <w:tcPr>
            <w:tcW w:w="729" w:type="pct"/>
            <w:shd w:val="clear" w:color="auto" w:fill="FFFF00"/>
            <w:vAlign w:val="center"/>
          </w:tcPr>
          <w:p w14:paraId="685CB0D4" w14:textId="36D343D6" w:rsidR="001C599C" w:rsidRPr="00701929" w:rsidRDefault="00847258"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A domestic price cap </w:t>
            </w:r>
            <w:r w:rsidR="00DC3F41">
              <w:rPr>
                <w:rFonts w:ascii="Times New Roman" w:eastAsia="Times New Roman" w:hAnsi="Times New Roman" w:cs="Times New Roman"/>
                <w:color w:val="262626" w:themeColor="text1" w:themeTint="D9"/>
                <w:sz w:val="16"/>
                <w:szCs w:val="16"/>
                <w:lang w:eastAsia="en-AU"/>
              </w:rPr>
              <w:t xml:space="preserve">has </w:t>
            </w:r>
            <w:r w:rsidR="00097EA6">
              <w:rPr>
                <w:rFonts w:ascii="Times New Roman" w:eastAsia="Times New Roman" w:hAnsi="Times New Roman" w:cs="Times New Roman"/>
                <w:color w:val="262626" w:themeColor="text1" w:themeTint="D9"/>
                <w:sz w:val="16"/>
                <w:szCs w:val="16"/>
                <w:lang w:eastAsia="en-AU"/>
              </w:rPr>
              <w:t>limited</w:t>
            </w:r>
            <w:r w:rsidR="005B094A">
              <w:rPr>
                <w:rFonts w:ascii="Times New Roman" w:eastAsia="Times New Roman" w:hAnsi="Times New Roman" w:cs="Times New Roman"/>
                <w:color w:val="262626" w:themeColor="text1" w:themeTint="D9"/>
                <w:sz w:val="16"/>
                <w:szCs w:val="16"/>
                <w:lang w:eastAsia="en-AU"/>
              </w:rPr>
              <w:t xml:space="preserve"> </w:t>
            </w:r>
            <w:r w:rsidR="006F688F">
              <w:rPr>
                <w:rFonts w:ascii="Times New Roman" w:eastAsia="Times New Roman" w:hAnsi="Times New Roman" w:cs="Times New Roman"/>
                <w:color w:val="262626" w:themeColor="text1" w:themeTint="D9"/>
                <w:sz w:val="16"/>
                <w:szCs w:val="16"/>
                <w:lang w:eastAsia="en-AU"/>
              </w:rPr>
              <w:t xml:space="preserve">impacts on international trading partners and </w:t>
            </w:r>
            <w:r w:rsidR="006850AD">
              <w:rPr>
                <w:rFonts w:ascii="Times New Roman" w:eastAsia="Times New Roman" w:hAnsi="Times New Roman" w:cs="Times New Roman"/>
                <w:color w:val="262626" w:themeColor="text1" w:themeTint="D9"/>
                <w:sz w:val="16"/>
                <w:szCs w:val="16"/>
                <w:lang w:eastAsia="en-AU"/>
              </w:rPr>
              <w:t>inv</w:t>
            </w:r>
            <w:r w:rsidR="008C0E64">
              <w:rPr>
                <w:rFonts w:ascii="Times New Roman" w:eastAsia="Times New Roman" w:hAnsi="Times New Roman" w:cs="Times New Roman"/>
                <w:color w:val="262626" w:themeColor="text1" w:themeTint="D9"/>
                <w:sz w:val="16"/>
                <w:szCs w:val="16"/>
                <w:lang w:eastAsia="en-AU"/>
              </w:rPr>
              <w:t>e</w:t>
            </w:r>
            <w:r w:rsidR="006850AD">
              <w:rPr>
                <w:rFonts w:ascii="Times New Roman" w:eastAsia="Times New Roman" w:hAnsi="Times New Roman" w:cs="Times New Roman"/>
                <w:color w:val="262626" w:themeColor="text1" w:themeTint="D9"/>
                <w:sz w:val="16"/>
                <w:szCs w:val="16"/>
                <w:lang w:eastAsia="en-AU"/>
              </w:rPr>
              <w:t>stment</w:t>
            </w:r>
          </w:p>
        </w:tc>
        <w:tc>
          <w:tcPr>
            <w:tcW w:w="729" w:type="pct"/>
            <w:shd w:val="clear" w:color="auto" w:fill="FFFF00"/>
            <w:vAlign w:val="center"/>
          </w:tcPr>
          <w:p w14:paraId="46F89E71" w14:textId="3F9884D5" w:rsidR="001C599C" w:rsidRPr="00633D18" w:rsidRDefault="004C65D9"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Intervention affect</w:t>
            </w:r>
            <w:r w:rsidR="00EC5A5D">
              <w:rPr>
                <w:rFonts w:ascii="Times New Roman" w:eastAsia="Times New Roman" w:hAnsi="Times New Roman" w:cs="Times New Roman"/>
                <w:color w:val="262626" w:themeColor="text1" w:themeTint="D9"/>
                <w:sz w:val="16"/>
                <w:szCs w:val="16"/>
                <w:lang w:eastAsia="en-AU"/>
              </w:rPr>
              <w:t>s</w:t>
            </w:r>
            <w:r>
              <w:rPr>
                <w:rFonts w:ascii="Times New Roman" w:eastAsia="Times New Roman" w:hAnsi="Times New Roman" w:cs="Times New Roman"/>
                <w:color w:val="262626" w:themeColor="text1" w:themeTint="D9"/>
                <w:sz w:val="16"/>
                <w:szCs w:val="16"/>
                <w:lang w:eastAsia="en-AU"/>
              </w:rPr>
              <w:t xml:space="preserve"> exporters</w:t>
            </w:r>
            <w:r w:rsidR="00BE3729">
              <w:rPr>
                <w:rFonts w:ascii="Times New Roman" w:eastAsia="Times New Roman" w:hAnsi="Times New Roman" w:cs="Times New Roman"/>
                <w:color w:val="262626" w:themeColor="text1" w:themeTint="D9"/>
                <w:sz w:val="16"/>
                <w:szCs w:val="16"/>
                <w:lang w:eastAsia="en-AU"/>
              </w:rPr>
              <w:t xml:space="preserve"> </w:t>
            </w:r>
            <w:r w:rsidR="00EC5A5D">
              <w:rPr>
                <w:rFonts w:ascii="Times New Roman" w:eastAsia="Times New Roman" w:hAnsi="Times New Roman" w:cs="Times New Roman"/>
                <w:color w:val="262626" w:themeColor="text1" w:themeTint="D9"/>
                <w:sz w:val="16"/>
                <w:szCs w:val="16"/>
                <w:lang w:eastAsia="en-AU"/>
              </w:rPr>
              <w:t>soon</w:t>
            </w:r>
            <w:r w:rsidR="00BE3729">
              <w:rPr>
                <w:rFonts w:ascii="Times New Roman" w:eastAsia="Times New Roman" w:hAnsi="Times New Roman" w:cs="Times New Roman"/>
                <w:color w:val="262626" w:themeColor="text1" w:themeTint="D9"/>
                <w:sz w:val="16"/>
                <w:szCs w:val="16"/>
                <w:lang w:eastAsia="en-AU"/>
              </w:rPr>
              <w:t>er than anticipated</w:t>
            </w:r>
            <w:r>
              <w:rPr>
                <w:rFonts w:ascii="Times New Roman" w:eastAsia="Times New Roman" w:hAnsi="Times New Roman" w:cs="Times New Roman"/>
                <w:color w:val="262626" w:themeColor="text1" w:themeTint="D9"/>
                <w:sz w:val="16"/>
                <w:szCs w:val="16"/>
                <w:lang w:eastAsia="en-AU"/>
              </w:rPr>
              <w:t xml:space="preserve">, </w:t>
            </w:r>
            <w:r w:rsidR="0066612F">
              <w:rPr>
                <w:rFonts w:ascii="Times New Roman" w:eastAsia="Times New Roman" w:hAnsi="Times New Roman" w:cs="Times New Roman"/>
                <w:color w:val="262626" w:themeColor="text1" w:themeTint="D9"/>
                <w:sz w:val="16"/>
                <w:szCs w:val="16"/>
                <w:lang w:eastAsia="en-AU"/>
              </w:rPr>
              <w:t>impact</w:t>
            </w:r>
            <w:r w:rsidR="00E64C6C">
              <w:rPr>
                <w:rFonts w:ascii="Times New Roman" w:eastAsia="Times New Roman" w:hAnsi="Times New Roman" w:cs="Times New Roman"/>
                <w:color w:val="262626" w:themeColor="text1" w:themeTint="D9"/>
                <w:sz w:val="16"/>
                <w:szCs w:val="16"/>
                <w:lang w:eastAsia="en-AU"/>
              </w:rPr>
              <w:t>ing</w:t>
            </w:r>
            <w:r w:rsidR="0066612F">
              <w:rPr>
                <w:rFonts w:ascii="Times New Roman" w:eastAsia="Times New Roman" w:hAnsi="Times New Roman" w:cs="Times New Roman"/>
                <w:color w:val="262626" w:themeColor="text1" w:themeTint="D9"/>
                <w:sz w:val="16"/>
                <w:szCs w:val="16"/>
                <w:lang w:eastAsia="en-AU"/>
              </w:rPr>
              <w:t xml:space="preserve"> international trading partners and </w:t>
            </w:r>
            <w:r w:rsidR="006850AD">
              <w:rPr>
                <w:rFonts w:ascii="Times New Roman" w:eastAsia="Times New Roman" w:hAnsi="Times New Roman" w:cs="Times New Roman"/>
                <w:color w:val="262626" w:themeColor="text1" w:themeTint="D9"/>
                <w:sz w:val="16"/>
                <w:szCs w:val="16"/>
                <w:lang w:eastAsia="en-AU"/>
              </w:rPr>
              <w:t>investment</w:t>
            </w:r>
            <w:r>
              <w:rPr>
                <w:rFonts w:ascii="Times New Roman" w:eastAsia="Times New Roman" w:hAnsi="Times New Roman" w:cs="Times New Roman"/>
                <w:color w:val="262626" w:themeColor="text1" w:themeTint="D9"/>
                <w:sz w:val="16"/>
                <w:szCs w:val="16"/>
                <w:lang w:eastAsia="en-AU"/>
              </w:rPr>
              <w:t>.</w:t>
            </w:r>
          </w:p>
        </w:tc>
      </w:tr>
      <w:tr w:rsidR="0012355D" w:rsidRPr="00CA78C5" w14:paraId="4ACE0BC2" w14:textId="77777777" w:rsidTr="0080506D">
        <w:trPr>
          <w:trHeight w:val="850"/>
        </w:trPr>
        <w:tc>
          <w:tcPr>
            <w:tcW w:w="625" w:type="pct"/>
            <w:shd w:val="clear" w:color="auto" w:fill="auto"/>
            <w:vAlign w:val="center"/>
          </w:tcPr>
          <w:p w14:paraId="060F6F16" w14:textId="2F49F9E9" w:rsidR="001C599C" w:rsidRPr="002755A4" w:rsidRDefault="001C599C" w:rsidP="008C58CF">
            <w:pPr>
              <w:spacing w:after="0" w:line="240" w:lineRule="auto"/>
              <w:rPr>
                <w:rFonts w:ascii="Cambria" w:eastAsia="Times New Roman" w:hAnsi="Cambria" w:cs="Calibri"/>
                <w:b/>
                <w:color w:val="002C47"/>
                <w:sz w:val="16"/>
                <w:szCs w:val="14"/>
                <w:lang w:eastAsia="en-AU"/>
              </w:rPr>
            </w:pPr>
            <w:r w:rsidRPr="002755A4">
              <w:rPr>
                <w:rFonts w:ascii="Cambria" w:eastAsia="Times New Roman" w:hAnsi="Cambria" w:cs="Calibri"/>
                <w:b/>
                <w:color w:val="002C47"/>
                <w:sz w:val="16"/>
                <w:szCs w:val="14"/>
                <w:lang w:eastAsia="en-AU"/>
              </w:rPr>
              <w:t>Minimis</w:t>
            </w:r>
            <w:r w:rsidR="005139D9">
              <w:rPr>
                <w:rFonts w:ascii="Cambria" w:eastAsia="Times New Roman" w:hAnsi="Cambria" w:cs="Calibri"/>
                <w:b/>
                <w:color w:val="002C47"/>
                <w:sz w:val="16"/>
                <w:szCs w:val="14"/>
                <w:lang w:eastAsia="en-AU"/>
              </w:rPr>
              <w:t>e</w:t>
            </w:r>
            <w:r w:rsidRPr="002755A4">
              <w:rPr>
                <w:rFonts w:ascii="Cambria" w:eastAsia="Times New Roman" w:hAnsi="Cambria" w:cs="Calibri"/>
                <w:b/>
                <w:color w:val="002C47"/>
                <w:sz w:val="16"/>
                <w:szCs w:val="14"/>
                <w:lang w:eastAsia="en-AU"/>
              </w:rPr>
              <w:t xml:space="preserve"> implementation costs and complexity</w:t>
            </w:r>
          </w:p>
        </w:tc>
        <w:tc>
          <w:tcPr>
            <w:tcW w:w="729" w:type="pct"/>
            <w:shd w:val="clear" w:color="auto" w:fill="EEEEEE" w:themeFill="background2"/>
            <w:vAlign w:val="center"/>
          </w:tcPr>
          <w:p w14:paraId="578BCAE2" w14:textId="396CF01E" w:rsidR="001C599C" w:rsidRPr="00633D18" w:rsidRDefault="00633D18"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The status quo does not have any implementation costs.</w:t>
            </w:r>
          </w:p>
        </w:tc>
        <w:tc>
          <w:tcPr>
            <w:tcW w:w="729" w:type="pct"/>
            <w:shd w:val="clear" w:color="auto" w:fill="FFFF00"/>
            <w:vAlign w:val="center"/>
          </w:tcPr>
          <w:p w14:paraId="54D496C8" w14:textId="77777777" w:rsidR="001C599C" w:rsidRDefault="009C2C91"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 xml:space="preserve">A mandatory code </w:t>
            </w:r>
            <w:r w:rsidR="009905AF">
              <w:rPr>
                <w:rFonts w:ascii="Times New Roman" w:eastAsia="Times New Roman" w:hAnsi="Times New Roman" w:cs="Times New Roman"/>
                <w:color w:val="262626" w:themeColor="text1" w:themeTint="D9"/>
                <w:sz w:val="16"/>
                <w:szCs w:val="16"/>
                <w:lang w:eastAsia="en-AU"/>
              </w:rPr>
              <w:t>carries some</w:t>
            </w:r>
            <w:r w:rsidRPr="00735151">
              <w:rPr>
                <w:rFonts w:ascii="Times New Roman" w:eastAsia="Times New Roman" w:hAnsi="Times New Roman" w:cs="Times New Roman"/>
                <w:color w:val="262626" w:themeColor="text1" w:themeTint="D9"/>
                <w:sz w:val="16"/>
                <w:szCs w:val="16"/>
                <w:lang w:eastAsia="en-AU"/>
              </w:rPr>
              <w:t xml:space="preserve"> implementation costs and complexity </w:t>
            </w:r>
          </w:p>
          <w:p w14:paraId="664BA21A" w14:textId="1A091613" w:rsidR="001C599C" w:rsidRPr="00A44E95" w:rsidRDefault="00764062" w:rsidP="008C58CF">
            <w:pPr>
              <w:spacing w:after="0" w:line="240" w:lineRule="auto"/>
              <w:jc w:val="center"/>
              <w:rPr>
                <w:rFonts w:ascii="Times New Roman" w:eastAsia="Times New Roman" w:hAnsi="Times New Roman" w:cs="Times New Roman"/>
                <w:b/>
                <w:color w:val="262626" w:themeColor="text1" w:themeTint="D9"/>
                <w:sz w:val="16"/>
                <w:szCs w:val="16"/>
                <w:lang w:eastAsia="en-AU"/>
              </w:rPr>
            </w:pPr>
            <w:r>
              <w:rPr>
                <w:rFonts w:ascii="Times New Roman" w:eastAsia="Times New Roman" w:hAnsi="Times New Roman" w:cs="Times New Roman"/>
                <w:b/>
                <w:bCs/>
                <w:color w:val="262626" w:themeColor="text1" w:themeTint="D9"/>
                <w:sz w:val="16"/>
                <w:szCs w:val="16"/>
                <w:lang w:eastAsia="en-AU"/>
              </w:rPr>
              <w:t>(</w:t>
            </w:r>
            <w:r w:rsidRPr="00764062">
              <w:rPr>
                <w:rFonts w:ascii="Times New Roman" w:eastAsia="Times New Roman" w:hAnsi="Times New Roman" w:cs="Times New Roman"/>
                <w:b/>
                <w:bCs/>
                <w:color w:val="262626" w:themeColor="text1" w:themeTint="D9"/>
                <w:sz w:val="16"/>
                <w:szCs w:val="16"/>
                <w:lang w:eastAsia="en-AU"/>
              </w:rPr>
              <w:t>$803,459</w:t>
            </w:r>
            <w:r>
              <w:rPr>
                <w:rFonts w:ascii="Times New Roman" w:eastAsia="Times New Roman" w:hAnsi="Times New Roman" w:cs="Times New Roman"/>
                <w:b/>
                <w:bCs/>
                <w:color w:val="262626" w:themeColor="text1" w:themeTint="D9"/>
                <w:sz w:val="16"/>
                <w:szCs w:val="16"/>
                <w:lang w:eastAsia="en-AU"/>
              </w:rPr>
              <w:t xml:space="preserve"> per year)</w:t>
            </w:r>
          </w:p>
        </w:tc>
        <w:tc>
          <w:tcPr>
            <w:tcW w:w="729" w:type="pct"/>
            <w:shd w:val="clear" w:color="auto" w:fill="FFFF00"/>
            <w:vAlign w:val="center"/>
          </w:tcPr>
          <w:p w14:paraId="782D93FD" w14:textId="77777777" w:rsidR="00764062" w:rsidRDefault="009905AF"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A mandatory code carries some</w:t>
            </w:r>
            <w:r w:rsidRPr="00735151">
              <w:rPr>
                <w:rFonts w:ascii="Times New Roman" w:eastAsia="Times New Roman" w:hAnsi="Times New Roman" w:cs="Times New Roman"/>
                <w:color w:val="262626" w:themeColor="text1" w:themeTint="D9"/>
                <w:sz w:val="16"/>
                <w:szCs w:val="16"/>
                <w:lang w:eastAsia="en-AU"/>
              </w:rPr>
              <w:t xml:space="preserve"> implementation costs and complexity</w:t>
            </w:r>
          </w:p>
          <w:p w14:paraId="4230578F" w14:textId="7418FA55" w:rsidR="001C599C" w:rsidRPr="00A44E95" w:rsidRDefault="00764062" w:rsidP="008C58CF">
            <w:pPr>
              <w:spacing w:after="0" w:line="240" w:lineRule="auto"/>
              <w:jc w:val="center"/>
              <w:rPr>
                <w:rFonts w:ascii="Times New Roman" w:eastAsia="Times New Roman" w:hAnsi="Times New Roman" w:cs="Times New Roman"/>
                <w:b/>
                <w:color w:val="262626" w:themeColor="text1" w:themeTint="D9"/>
                <w:sz w:val="16"/>
                <w:szCs w:val="16"/>
                <w:lang w:eastAsia="en-AU"/>
              </w:rPr>
            </w:pPr>
            <w:r w:rsidRPr="00A44E95">
              <w:rPr>
                <w:rFonts w:ascii="Times New Roman" w:eastAsia="Times New Roman" w:hAnsi="Times New Roman" w:cs="Times New Roman"/>
                <w:b/>
                <w:bCs/>
                <w:color w:val="262626" w:themeColor="text1" w:themeTint="D9"/>
                <w:sz w:val="16"/>
                <w:szCs w:val="16"/>
                <w:lang w:eastAsia="en-AU"/>
              </w:rPr>
              <w:t>($371,459per year)</w:t>
            </w:r>
          </w:p>
        </w:tc>
        <w:tc>
          <w:tcPr>
            <w:tcW w:w="729" w:type="pct"/>
            <w:shd w:val="clear" w:color="auto" w:fill="92D050"/>
            <w:vAlign w:val="center"/>
          </w:tcPr>
          <w:p w14:paraId="127FAA45" w14:textId="2DE907A8" w:rsidR="002B2572" w:rsidRDefault="000528B9"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Minimal</w:t>
            </w:r>
            <w:r w:rsidR="009C2C91" w:rsidRPr="00735151">
              <w:rPr>
                <w:rFonts w:ascii="Times New Roman" w:eastAsia="Times New Roman" w:hAnsi="Times New Roman" w:cs="Times New Roman"/>
                <w:color w:val="262626" w:themeColor="text1" w:themeTint="D9"/>
                <w:sz w:val="16"/>
                <w:szCs w:val="16"/>
                <w:lang w:eastAsia="en-AU"/>
              </w:rPr>
              <w:t xml:space="preserve"> implementation costs and complexity </w:t>
            </w:r>
            <w:r w:rsidR="00917338">
              <w:rPr>
                <w:rFonts w:ascii="Times New Roman" w:eastAsia="Times New Roman" w:hAnsi="Times New Roman" w:cs="Times New Roman"/>
                <w:color w:val="262626" w:themeColor="text1" w:themeTint="D9"/>
                <w:sz w:val="16"/>
                <w:szCs w:val="16"/>
                <w:lang w:eastAsia="en-AU"/>
              </w:rPr>
              <w:t>(status quo)</w:t>
            </w:r>
          </w:p>
          <w:p w14:paraId="1925480E" w14:textId="4BDBB58C" w:rsidR="001C599C" w:rsidRPr="0015119D" w:rsidRDefault="002B2572" w:rsidP="008C58CF">
            <w:pPr>
              <w:spacing w:after="0" w:line="240" w:lineRule="auto"/>
              <w:jc w:val="center"/>
              <w:rPr>
                <w:rFonts w:ascii="Times New Roman" w:eastAsia="Times New Roman" w:hAnsi="Times New Roman" w:cs="Times New Roman"/>
                <w:b/>
                <w:color w:val="262626" w:themeColor="text1" w:themeTint="D9"/>
                <w:sz w:val="16"/>
                <w:szCs w:val="16"/>
                <w:lang w:eastAsia="en-AU"/>
              </w:rPr>
            </w:pPr>
            <w:r w:rsidRPr="0015119D">
              <w:rPr>
                <w:rFonts w:ascii="Times New Roman" w:eastAsia="Times New Roman" w:hAnsi="Times New Roman" w:cs="Times New Roman"/>
                <w:b/>
                <w:bCs/>
                <w:color w:val="262626" w:themeColor="text1" w:themeTint="D9"/>
                <w:sz w:val="16"/>
                <w:szCs w:val="16"/>
                <w:lang w:eastAsia="en-AU"/>
              </w:rPr>
              <w:t xml:space="preserve"> (n</w:t>
            </w:r>
            <w:r>
              <w:rPr>
                <w:rFonts w:ascii="Times New Roman" w:eastAsia="Times New Roman" w:hAnsi="Times New Roman" w:cs="Times New Roman"/>
                <w:b/>
                <w:bCs/>
                <w:color w:val="262626" w:themeColor="text1" w:themeTint="D9"/>
                <w:sz w:val="16"/>
                <w:szCs w:val="16"/>
                <w:lang w:eastAsia="en-AU"/>
              </w:rPr>
              <w:t>il</w:t>
            </w:r>
            <w:r w:rsidRPr="0015119D">
              <w:rPr>
                <w:rFonts w:ascii="Times New Roman" w:eastAsia="Times New Roman" w:hAnsi="Times New Roman" w:cs="Times New Roman"/>
                <w:b/>
                <w:bCs/>
                <w:color w:val="262626" w:themeColor="text1" w:themeTint="D9"/>
                <w:sz w:val="16"/>
                <w:szCs w:val="16"/>
                <w:lang w:eastAsia="en-AU"/>
              </w:rPr>
              <w:t xml:space="preserve"> regulatory burden if voluntary)</w:t>
            </w:r>
          </w:p>
        </w:tc>
        <w:tc>
          <w:tcPr>
            <w:tcW w:w="729" w:type="pct"/>
            <w:shd w:val="clear" w:color="auto" w:fill="FFFF00"/>
            <w:vAlign w:val="center"/>
          </w:tcPr>
          <w:p w14:paraId="0A177B7C" w14:textId="124160CA" w:rsidR="001C599C" w:rsidRDefault="000528B9"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Pr>
                <w:rFonts w:ascii="Times New Roman" w:eastAsia="Times New Roman" w:hAnsi="Times New Roman" w:cs="Times New Roman"/>
                <w:color w:val="262626" w:themeColor="text1" w:themeTint="D9"/>
                <w:sz w:val="16"/>
                <w:szCs w:val="16"/>
                <w:lang w:eastAsia="en-AU"/>
              </w:rPr>
              <w:t>Some c</w:t>
            </w:r>
            <w:r w:rsidR="00917338" w:rsidRPr="00917338">
              <w:rPr>
                <w:rFonts w:ascii="Times New Roman" w:eastAsia="Times New Roman" w:hAnsi="Times New Roman" w:cs="Times New Roman"/>
                <w:color w:val="262626" w:themeColor="text1" w:themeTint="D9"/>
                <w:sz w:val="16"/>
                <w:szCs w:val="16"/>
                <w:lang w:eastAsia="en-AU"/>
              </w:rPr>
              <w:t>osts</w:t>
            </w:r>
            <w:r w:rsidR="00C55FF6" w:rsidRPr="00917338">
              <w:rPr>
                <w:rFonts w:ascii="Times New Roman" w:eastAsia="Times New Roman" w:hAnsi="Times New Roman" w:cs="Times New Roman"/>
                <w:color w:val="262626" w:themeColor="text1" w:themeTint="D9"/>
                <w:sz w:val="16"/>
                <w:szCs w:val="16"/>
                <w:lang w:eastAsia="en-AU"/>
              </w:rPr>
              <w:t xml:space="preserve"> for government</w:t>
            </w:r>
            <w:r w:rsidR="00917338" w:rsidRPr="00917338">
              <w:rPr>
                <w:rFonts w:ascii="Times New Roman" w:eastAsia="Times New Roman" w:hAnsi="Times New Roman" w:cs="Times New Roman"/>
                <w:color w:val="262626" w:themeColor="text1" w:themeTint="D9"/>
                <w:sz w:val="16"/>
                <w:szCs w:val="16"/>
                <w:lang w:eastAsia="en-AU"/>
              </w:rPr>
              <w:t xml:space="preserve"> (enforcement)</w:t>
            </w:r>
            <w:r w:rsidR="00C55FF6" w:rsidRPr="00917338">
              <w:rPr>
                <w:rFonts w:ascii="Times New Roman" w:eastAsia="Times New Roman" w:hAnsi="Times New Roman" w:cs="Times New Roman"/>
                <w:color w:val="262626" w:themeColor="text1" w:themeTint="D9"/>
                <w:sz w:val="16"/>
                <w:szCs w:val="16"/>
                <w:lang w:eastAsia="en-AU"/>
              </w:rPr>
              <w:t xml:space="preserve"> </w:t>
            </w:r>
            <w:r w:rsidR="00917338" w:rsidRPr="00917338">
              <w:rPr>
                <w:rFonts w:ascii="Times New Roman" w:eastAsia="Times New Roman" w:hAnsi="Times New Roman" w:cs="Times New Roman"/>
                <w:color w:val="262626" w:themeColor="text1" w:themeTint="D9"/>
                <w:sz w:val="16"/>
                <w:szCs w:val="16"/>
                <w:lang w:eastAsia="en-AU"/>
              </w:rPr>
              <w:t>and</w:t>
            </w:r>
            <w:r w:rsidR="00C55FF6" w:rsidRPr="00917338">
              <w:rPr>
                <w:rFonts w:ascii="Times New Roman" w:eastAsia="Times New Roman" w:hAnsi="Times New Roman" w:cs="Times New Roman"/>
                <w:color w:val="262626" w:themeColor="text1" w:themeTint="D9"/>
                <w:sz w:val="16"/>
                <w:szCs w:val="16"/>
                <w:lang w:eastAsia="en-AU"/>
              </w:rPr>
              <w:t xml:space="preserve"> </w:t>
            </w:r>
            <w:r w:rsidR="009905AF" w:rsidRPr="00917338">
              <w:rPr>
                <w:rFonts w:ascii="Times New Roman" w:eastAsia="Times New Roman" w:hAnsi="Times New Roman" w:cs="Times New Roman"/>
                <w:color w:val="262626" w:themeColor="text1" w:themeTint="D9"/>
                <w:sz w:val="16"/>
                <w:szCs w:val="16"/>
                <w:lang w:eastAsia="en-AU"/>
              </w:rPr>
              <w:t>for industry</w:t>
            </w:r>
            <w:r w:rsidR="00917338" w:rsidRPr="00917338">
              <w:rPr>
                <w:rFonts w:ascii="Times New Roman" w:eastAsia="Times New Roman" w:hAnsi="Times New Roman" w:cs="Times New Roman"/>
                <w:color w:val="262626" w:themeColor="text1" w:themeTint="D9"/>
                <w:sz w:val="16"/>
                <w:szCs w:val="16"/>
                <w:lang w:eastAsia="en-AU"/>
              </w:rPr>
              <w:t xml:space="preserve"> (compliance)</w:t>
            </w:r>
          </w:p>
          <w:p w14:paraId="464A093E" w14:textId="62823D72" w:rsidR="001C599C" w:rsidRPr="00A44E95" w:rsidRDefault="00764062" w:rsidP="008C58CF">
            <w:pPr>
              <w:spacing w:after="0" w:line="240" w:lineRule="auto"/>
              <w:jc w:val="center"/>
              <w:rPr>
                <w:rFonts w:ascii="Times New Roman" w:eastAsia="Times New Roman" w:hAnsi="Times New Roman" w:cs="Times New Roman"/>
                <w:b/>
                <w:color w:val="262626" w:themeColor="text1" w:themeTint="D9"/>
                <w:sz w:val="16"/>
                <w:szCs w:val="16"/>
                <w:lang w:eastAsia="en-AU"/>
              </w:rPr>
            </w:pPr>
            <w:r w:rsidRPr="00A44E95">
              <w:rPr>
                <w:rFonts w:ascii="Times New Roman" w:eastAsia="Times New Roman" w:hAnsi="Times New Roman" w:cs="Times New Roman"/>
                <w:b/>
                <w:bCs/>
                <w:color w:val="262626" w:themeColor="text1" w:themeTint="D9"/>
                <w:sz w:val="16"/>
                <w:szCs w:val="16"/>
                <w:lang w:eastAsia="en-AU"/>
              </w:rPr>
              <w:t>($158,889 per year)</w:t>
            </w:r>
          </w:p>
        </w:tc>
        <w:tc>
          <w:tcPr>
            <w:tcW w:w="729" w:type="pct"/>
            <w:shd w:val="clear" w:color="auto" w:fill="92D050"/>
            <w:vAlign w:val="center"/>
          </w:tcPr>
          <w:p w14:paraId="7F25622D" w14:textId="74B38CE6" w:rsidR="001C599C" w:rsidRDefault="00E47DCC" w:rsidP="008C58CF">
            <w:pPr>
              <w:spacing w:after="0" w:line="240" w:lineRule="auto"/>
              <w:jc w:val="center"/>
              <w:rPr>
                <w:rFonts w:ascii="Times New Roman" w:eastAsia="Times New Roman" w:hAnsi="Times New Roman" w:cs="Times New Roman"/>
                <w:color w:val="262626" w:themeColor="text1" w:themeTint="D9"/>
                <w:sz w:val="16"/>
                <w:szCs w:val="16"/>
                <w:lang w:eastAsia="en-AU"/>
              </w:rPr>
            </w:pPr>
            <w:r w:rsidRPr="00BC0076">
              <w:rPr>
                <w:rFonts w:ascii="Times New Roman" w:eastAsia="Times New Roman" w:hAnsi="Times New Roman" w:cs="Times New Roman"/>
                <w:color w:val="262626" w:themeColor="text1" w:themeTint="D9"/>
                <w:sz w:val="16"/>
                <w:szCs w:val="16"/>
                <w:lang w:eastAsia="en-AU"/>
              </w:rPr>
              <w:t xml:space="preserve"> </w:t>
            </w:r>
            <w:r w:rsidR="000528B9">
              <w:rPr>
                <w:rFonts w:ascii="Times New Roman" w:eastAsia="Times New Roman" w:hAnsi="Times New Roman" w:cs="Times New Roman"/>
                <w:color w:val="262626" w:themeColor="text1" w:themeTint="D9"/>
                <w:sz w:val="16"/>
                <w:szCs w:val="16"/>
                <w:lang w:eastAsia="en-AU"/>
              </w:rPr>
              <w:t>M</w:t>
            </w:r>
            <w:r w:rsidR="000C6092">
              <w:rPr>
                <w:rFonts w:ascii="Times New Roman" w:eastAsia="Times New Roman" w:hAnsi="Times New Roman" w:cs="Times New Roman"/>
                <w:color w:val="262626" w:themeColor="text1" w:themeTint="D9"/>
                <w:sz w:val="16"/>
                <w:szCs w:val="16"/>
                <w:lang w:eastAsia="en-AU"/>
              </w:rPr>
              <w:t xml:space="preserve">inimal additional complexity and cost compared to reforms </w:t>
            </w:r>
            <w:r w:rsidR="009422E9" w:rsidRPr="00C92A3A">
              <w:rPr>
                <w:rFonts w:ascii="Times New Roman" w:eastAsia="Times New Roman" w:hAnsi="Times New Roman" w:cs="Times New Roman"/>
                <w:color w:val="262626" w:themeColor="text1" w:themeTint="D9"/>
                <w:sz w:val="16"/>
                <w:szCs w:val="16"/>
                <w:lang w:eastAsia="en-AU"/>
              </w:rPr>
              <w:t xml:space="preserve">scheduled </w:t>
            </w:r>
            <w:r w:rsidR="008500FD">
              <w:rPr>
                <w:rFonts w:ascii="Times New Roman" w:eastAsia="Times New Roman" w:hAnsi="Times New Roman" w:cs="Times New Roman"/>
                <w:color w:val="262626" w:themeColor="text1" w:themeTint="D9"/>
                <w:sz w:val="16"/>
                <w:szCs w:val="16"/>
                <w:lang w:eastAsia="en-AU"/>
              </w:rPr>
              <w:t>to commence</w:t>
            </w:r>
            <w:r w:rsidR="009422E9" w:rsidRPr="00C92A3A">
              <w:rPr>
                <w:rFonts w:ascii="Times New Roman" w:eastAsia="Times New Roman" w:hAnsi="Times New Roman" w:cs="Times New Roman"/>
                <w:color w:val="262626" w:themeColor="text1" w:themeTint="D9"/>
                <w:sz w:val="16"/>
                <w:szCs w:val="16"/>
                <w:lang w:eastAsia="en-AU"/>
              </w:rPr>
              <w:t xml:space="preserve"> July 2023</w:t>
            </w:r>
          </w:p>
          <w:p w14:paraId="2151664B" w14:textId="30708D06" w:rsidR="001C599C" w:rsidRPr="0015119D" w:rsidRDefault="002B2572" w:rsidP="008C58CF">
            <w:pPr>
              <w:spacing w:after="0" w:line="240" w:lineRule="auto"/>
              <w:jc w:val="center"/>
              <w:rPr>
                <w:rFonts w:ascii="Times New Roman" w:eastAsia="Times New Roman" w:hAnsi="Times New Roman" w:cs="Times New Roman"/>
                <w:b/>
                <w:color w:val="262626" w:themeColor="text1" w:themeTint="D9"/>
                <w:sz w:val="16"/>
                <w:szCs w:val="16"/>
                <w:lang w:eastAsia="en-AU"/>
              </w:rPr>
            </w:pPr>
            <w:r w:rsidRPr="0015119D">
              <w:rPr>
                <w:rFonts w:ascii="Times New Roman" w:eastAsia="Times New Roman" w:hAnsi="Times New Roman" w:cs="Times New Roman"/>
                <w:b/>
                <w:bCs/>
                <w:color w:val="262626" w:themeColor="text1" w:themeTint="D9"/>
                <w:sz w:val="16"/>
                <w:szCs w:val="16"/>
                <w:lang w:eastAsia="en-AU"/>
              </w:rPr>
              <w:t>(nil regulatory burden)</w:t>
            </w:r>
          </w:p>
        </w:tc>
      </w:tr>
    </w:tbl>
    <w:p w14:paraId="49AFFCD5" w14:textId="77777777" w:rsidR="001C599C" w:rsidRDefault="001C599C" w:rsidP="00A44E95">
      <w:pPr>
        <w:pStyle w:val="BodyText"/>
      </w:pPr>
    </w:p>
    <w:p w14:paraId="1FA112CC" w14:textId="21F1860A" w:rsidR="001C599C" w:rsidRDefault="001C599C" w:rsidP="00772EE6">
      <w:pPr>
        <w:sectPr w:rsidR="001C599C" w:rsidSect="00772EE6">
          <w:pgSz w:w="16838" w:h="11906" w:orient="landscape"/>
          <w:pgMar w:top="1134" w:right="1134" w:bottom="1134" w:left="1134" w:header="709" w:footer="709" w:gutter="0"/>
          <w:cols w:space="708"/>
          <w:titlePg/>
          <w:docGrid w:linePitch="360"/>
        </w:sectPr>
      </w:pPr>
    </w:p>
    <w:p w14:paraId="7CD415BB" w14:textId="5EFC35FB" w:rsidR="00DC06FC" w:rsidRPr="00312DC7" w:rsidRDefault="004A15D3" w:rsidP="00312DC7">
      <w:pPr>
        <w:pStyle w:val="Heading1"/>
      </w:pPr>
      <w:bookmarkStart w:id="27" w:name="_Toc121406876"/>
      <w:r w:rsidRPr="00312DC7">
        <w:lastRenderedPageBreak/>
        <w:t>Consultation</w:t>
      </w:r>
      <w:bookmarkEnd w:id="27"/>
    </w:p>
    <w:p w14:paraId="7E701816" w14:textId="52C2AA10" w:rsidR="00E7684D" w:rsidRDefault="006F6813" w:rsidP="006F6813">
      <w:r>
        <w:t>The market sensitivities associated with the measures considered in this Impact Analysis, as well as the urgency in which they need to be developed and implemented reduced the viability of extensive, public consultation on specific options for Government action</w:t>
      </w:r>
      <w:r w:rsidR="00E7684D">
        <w:t xml:space="preserve"> thus far</w:t>
      </w:r>
      <w:r>
        <w:t xml:space="preserve">. </w:t>
      </w:r>
      <w:r w:rsidR="00E7684D">
        <w:t xml:space="preserve">There will however be future opportunity to consult stakeholders prior to the implementation of some of the options highlighted in this Impact Analysis. </w:t>
      </w:r>
    </w:p>
    <w:p w14:paraId="202DC940" w14:textId="7759B7EC" w:rsidR="009802F9" w:rsidRDefault="00E7684D" w:rsidP="00943CC3">
      <w:pPr>
        <w:pStyle w:val="BodyText"/>
      </w:pPr>
      <w:r>
        <w:t>Firstly, a brief</w:t>
      </w:r>
      <w:r w:rsidR="00DF66B2">
        <w:t>,</w:t>
      </w:r>
      <w:r w:rsidR="00970B8A">
        <w:t xml:space="preserve"> targeted</w:t>
      </w:r>
      <w:r>
        <w:t xml:space="preserve"> consultation on the $12</w:t>
      </w:r>
      <w:r w:rsidR="001C4C98">
        <w:t>/</w:t>
      </w:r>
      <w:r>
        <w:t xml:space="preserve">GJ cap is expected once the primary amendments are in place – this will enable the </w:t>
      </w:r>
      <w:r w:rsidRPr="001E7D6F">
        <w:t xml:space="preserve">Government to confirm </w:t>
      </w:r>
      <w:r>
        <w:t>this</w:t>
      </w:r>
      <w:r w:rsidRPr="001E7D6F">
        <w:t xml:space="preserve"> is the correct level for the </w:t>
      </w:r>
      <w:r w:rsidRPr="008713F7">
        <w:rPr>
          <w:rFonts w:cstheme="minorHAnsi"/>
        </w:rPr>
        <w:t>cap.</w:t>
      </w:r>
      <w:r w:rsidRPr="00AA47F7">
        <w:rPr>
          <w:rFonts w:cstheme="minorHAnsi"/>
        </w:rPr>
        <w:t xml:space="preserve"> </w:t>
      </w:r>
      <w:r w:rsidR="009802F9" w:rsidRPr="001211EE">
        <w:rPr>
          <w:rFonts w:cstheme="minorHAnsi"/>
        </w:rPr>
        <w:t>The</w:t>
      </w:r>
      <w:r w:rsidR="009802F9" w:rsidRPr="0081137C">
        <w:t xml:space="preserve"> price cap will reflect the key costs of </w:t>
      </w:r>
      <w:r w:rsidR="007A7857">
        <w:t>gas production</w:t>
      </w:r>
      <w:r w:rsidR="009802F9" w:rsidRPr="0081137C">
        <w:t xml:space="preserve"> </w:t>
      </w:r>
      <w:r w:rsidR="0084382A">
        <w:t>including</w:t>
      </w:r>
      <w:r w:rsidR="0084382A" w:rsidRPr="0081137C">
        <w:t xml:space="preserve"> </w:t>
      </w:r>
      <w:r w:rsidR="009802F9" w:rsidRPr="0081137C">
        <w:t xml:space="preserve">a reasonable </w:t>
      </w:r>
      <w:r w:rsidR="007A7857">
        <w:t>return on capi</w:t>
      </w:r>
      <w:r w:rsidR="00661572">
        <w:t>t</w:t>
      </w:r>
      <w:r w:rsidR="007A7857">
        <w:t>al</w:t>
      </w:r>
      <w:r w:rsidR="009802F9" w:rsidRPr="0081137C">
        <w:t xml:space="preserve">. </w:t>
      </w:r>
      <w:r w:rsidR="004A15D3" w:rsidRPr="0081137C">
        <w:t>The ACCC has suggested this could be $12</w:t>
      </w:r>
      <w:r w:rsidR="001C4C98" w:rsidRPr="0081137C">
        <w:t>/GJ</w:t>
      </w:r>
      <w:r w:rsidR="004A15D3" w:rsidRPr="0081137C">
        <w:t>, but this will be confirmed through this brief consultation</w:t>
      </w:r>
      <w:r w:rsidR="004A15D3" w:rsidRPr="008713F7">
        <w:rPr>
          <w:rFonts w:cstheme="minorHAnsi"/>
        </w:rPr>
        <w:t xml:space="preserve"> period.</w:t>
      </w:r>
      <w:r w:rsidR="004A15D3">
        <w:t xml:space="preserve"> </w:t>
      </w:r>
      <w:r w:rsidR="009802F9">
        <w:t xml:space="preserve"> </w:t>
      </w:r>
    </w:p>
    <w:p w14:paraId="4B7C1AFB" w14:textId="7795BBAB" w:rsidR="006F6813" w:rsidRDefault="00E7684D" w:rsidP="00943CC3">
      <w:pPr>
        <w:pStyle w:val="BodyText"/>
      </w:pPr>
      <w:r>
        <w:t xml:space="preserve">Further, the mandatory </w:t>
      </w:r>
      <w:r w:rsidR="000A7245">
        <w:t>C</w:t>
      </w:r>
      <w:r>
        <w:t>ode</w:t>
      </w:r>
      <w:r w:rsidR="000A7245">
        <w:t xml:space="preserve"> of Conduct</w:t>
      </w:r>
      <w:r>
        <w:t xml:space="preserve"> is expected to be released for public consultation before </w:t>
      </w:r>
      <w:r w:rsidR="00BB7C89">
        <w:t>implementation</w:t>
      </w:r>
      <w:r>
        <w:t xml:space="preserve">. </w:t>
      </w:r>
      <w:r w:rsidR="009F599A">
        <w:t xml:space="preserve">The review mechanisms for the options considered, which are described more extensively later this document, will </w:t>
      </w:r>
      <w:r w:rsidR="00DF66B2">
        <w:t xml:space="preserve">also </w:t>
      </w:r>
      <w:r w:rsidR="009F599A">
        <w:t xml:space="preserve">provide opportunity to engage with stakeholders in the future. </w:t>
      </w:r>
      <w:r w:rsidR="00CF313F" w:rsidRPr="00701929">
        <w:t xml:space="preserve">The </w:t>
      </w:r>
      <w:r w:rsidR="00CF313F">
        <w:t>G</w:t>
      </w:r>
      <w:r w:rsidR="00CF313F" w:rsidRPr="00701929">
        <w:t xml:space="preserve">overnment also </w:t>
      </w:r>
      <w:r w:rsidR="00CF313F">
        <w:t xml:space="preserve">previously </w:t>
      </w:r>
      <w:r w:rsidR="00CF313F" w:rsidRPr="00701929">
        <w:t>held consultations on reforms to the ADGSM to improve the mechanism and enable it to be used at short notice in the event of a forecast gas shortfall</w:t>
      </w:r>
      <w:r w:rsidR="00CF313F">
        <w:t>, which are currently scheduled to be introduced on 1 July 2023.</w:t>
      </w:r>
      <w:r w:rsidR="009F599A">
        <w:t xml:space="preserve"> </w:t>
      </w:r>
      <w:r w:rsidR="00202C2B">
        <w:t xml:space="preserve">Stakeholder consultation on the design of the </w:t>
      </w:r>
      <w:r w:rsidR="00B15479">
        <w:t xml:space="preserve">ADGSM </w:t>
      </w:r>
      <w:r w:rsidR="00202C2B">
        <w:t xml:space="preserve">reforms before implementation will also be necessary to avoid early design flaws and any unintended consequences with other options to provide energy price relief. </w:t>
      </w:r>
    </w:p>
    <w:p w14:paraId="57D2F165" w14:textId="3DA072EA" w:rsidR="00943CC3" w:rsidRPr="00BC7C63" w:rsidRDefault="00943CC3" w:rsidP="00943CC3">
      <w:pPr>
        <w:pStyle w:val="BodyText"/>
      </w:pPr>
      <w:r>
        <w:t>It is further proposed that a review of the price cap be completed</w:t>
      </w:r>
      <w:r w:rsidR="00BB7C89">
        <w:t xml:space="preserve"> after implementation</w:t>
      </w:r>
      <w:r>
        <w:t xml:space="preserve">, to ensure the price cap is having the intended effect and consider whether it is necessary to adjust or extend the cap. It is proposed a review of the mandatory </w:t>
      </w:r>
      <w:r w:rsidR="00525449">
        <w:t>C</w:t>
      </w:r>
      <w:r>
        <w:t>ode</w:t>
      </w:r>
      <w:r w:rsidR="00525449">
        <w:t xml:space="preserve"> of Conduct</w:t>
      </w:r>
      <w:r>
        <w:t xml:space="preserve"> </w:t>
      </w:r>
      <w:r w:rsidR="00BB7C89">
        <w:t xml:space="preserve">also </w:t>
      </w:r>
      <w:r>
        <w:t xml:space="preserve">be completed to allow for any necessary refinements or improvements. </w:t>
      </w:r>
    </w:p>
    <w:p w14:paraId="6BBB0D64" w14:textId="27575325" w:rsidR="003A2265" w:rsidRDefault="004A15D3" w:rsidP="003E4B76">
      <w:r>
        <w:t xml:space="preserve">Further to the previous consultation on the ADGSM, and opportunities for future consultation highlighted above, Australian Government departments regularly engage with a range of government agencies, industry bodies and stakeholders to discuss their views on the energy market dynamics. Industry bodies and stakeholders include gas and electricity producers and retailers, market and industry regulators and consumer groups. </w:t>
      </w:r>
      <w:r w:rsidR="00E55C41">
        <w:t xml:space="preserve"> </w:t>
      </w:r>
    </w:p>
    <w:p w14:paraId="53C31726" w14:textId="700E7C55" w:rsidR="00D375E1" w:rsidRDefault="00063FCF" w:rsidP="002C2958">
      <w:r>
        <w:t xml:space="preserve">In the context of broad cost-of-living pressures, Energy Ministers committed </w:t>
      </w:r>
      <w:r w:rsidR="006F6813">
        <w:t>at the</w:t>
      </w:r>
      <w:r>
        <w:t xml:space="preserve"> 28 October</w:t>
      </w:r>
      <w:r w:rsidR="006F6813">
        <w:t xml:space="preserve"> 2022 Energy Ministers Meeting</w:t>
      </w:r>
      <w:r>
        <w:t xml:space="preserve"> to consider all options to bring down power prices for households and businesses, and the Government has publicly stated that it is considering options to bring down energy prices.</w:t>
      </w:r>
      <w:r w:rsidR="006F6813">
        <w:t xml:space="preserve"> </w:t>
      </w:r>
      <w:r w:rsidR="00D0631C">
        <w:t xml:space="preserve">Following Government </w:t>
      </w:r>
      <w:r w:rsidR="006F6813">
        <w:t xml:space="preserve">announcements </w:t>
      </w:r>
      <w:r w:rsidR="00D0631C">
        <w:t>that options were being considered to bring down energy price</w:t>
      </w:r>
      <w:r w:rsidR="004819D1">
        <w:t>s</w:t>
      </w:r>
      <w:r w:rsidR="00D0631C">
        <w:t xml:space="preserve">, </w:t>
      </w:r>
      <w:r w:rsidR="00BA29F7" w:rsidRPr="00323DB1">
        <w:t>many stakeholders sought meetings with the Government</w:t>
      </w:r>
      <w:r w:rsidR="006F6813">
        <w:t xml:space="preserve"> </w:t>
      </w:r>
      <w:r w:rsidR="00D0631C">
        <w:t>i</w:t>
      </w:r>
      <w:r w:rsidR="009360C8">
        <w:t xml:space="preserve">n </w:t>
      </w:r>
      <w:r w:rsidR="00042E7E">
        <w:t>November 2022</w:t>
      </w:r>
      <w:r w:rsidR="00D610EC">
        <w:t xml:space="preserve"> </w:t>
      </w:r>
      <w:r w:rsidR="00034D26">
        <w:t xml:space="preserve">through the </w:t>
      </w:r>
      <w:r w:rsidR="009A6837">
        <w:t>regular engagement</w:t>
      </w:r>
      <w:r w:rsidR="00034D26">
        <w:t xml:space="preserve"> process</w:t>
      </w:r>
      <w:r w:rsidR="00FA244E">
        <w:t>. This included meeting requests</w:t>
      </w:r>
      <w:r w:rsidR="00BA29F7" w:rsidRPr="00323DB1">
        <w:t xml:space="preserve"> with senior public officials or writing to the Minister for Climate Change and Energy </w:t>
      </w:r>
      <w:r w:rsidR="00141E88">
        <w:t>for</w:t>
      </w:r>
      <w:r w:rsidR="006F6813">
        <w:t xml:space="preserve"> views on the energy market. </w:t>
      </w:r>
      <w:r w:rsidR="00491C85">
        <w:t xml:space="preserve"> </w:t>
      </w:r>
    </w:p>
    <w:p w14:paraId="58302C35" w14:textId="4021635B" w:rsidR="00491C85" w:rsidRDefault="00995C46" w:rsidP="00E55C41">
      <w:r w:rsidRPr="00323DB1">
        <w:t>Through regular engagement channel</w:t>
      </w:r>
      <w:r w:rsidR="006F6813">
        <w:t>s</w:t>
      </w:r>
      <w:r w:rsidRPr="00323DB1">
        <w:t xml:space="preserve">, </w:t>
      </w:r>
      <w:r w:rsidR="006F6813">
        <w:t>stakeholders provided views on the drivers of current and forecast high energy prices, energy market dynamics and their views on</w:t>
      </w:r>
      <w:r w:rsidRPr="00323DB1">
        <w:t xml:space="preserve"> policy options for addressing rising energy prices</w:t>
      </w:r>
      <w:r w:rsidR="006F6813">
        <w:t>. This included stakeholder views on what Government responses would</w:t>
      </w:r>
      <w:r w:rsidRPr="00323DB1">
        <w:t xml:space="preserve"> best lower</w:t>
      </w:r>
      <w:r w:rsidR="006F6813">
        <w:t>s</w:t>
      </w:r>
      <w:r w:rsidRPr="00323DB1">
        <w:t xml:space="preserve"> costs</w:t>
      </w:r>
      <w:r w:rsidR="006F6813">
        <w:t xml:space="preserve"> for </w:t>
      </w:r>
      <w:r w:rsidR="00D42F83">
        <w:t>energy</w:t>
      </w:r>
      <w:r w:rsidR="006F6813">
        <w:t xml:space="preserve"> market participants (including consumers)</w:t>
      </w:r>
      <w:r w:rsidRPr="00323DB1">
        <w:t xml:space="preserve">, </w:t>
      </w:r>
      <w:r w:rsidR="006F6813">
        <w:t>would have</w:t>
      </w:r>
      <w:r w:rsidRPr="00323DB1">
        <w:t xml:space="preserve"> the most immediate impact, and ensures energy producers and generators remain profitable.</w:t>
      </w:r>
      <w:r w:rsidRPr="00995C46">
        <w:t xml:space="preserve"> </w:t>
      </w:r>
      <w:r w:rsidR="006F6813">
        <w:t>Stakeholders also provided views on potential unintended consequences of responses highlighted in the media</w:t>
      </w:r>
      <w:r w:rsidR="00D42F83">
        <w:t xml:space="preserve"> as potential </w:t>
      </w:r>
      <w:r w:rsidR="006F6813">
        <w:lastRenderedPageBreak/>
        <w:t xml:space="preserve">Government </w:t>
      </w:r>
      <w:r w:rsidR="00D42F83">
        <w:t xml:space="preserve">courses </w:t>
      </w:r>
      <w:r w:rsidR="009F599A">
        <w:t>of action</w:t>
      </w:r>
      <w:r w:rsidR="006F6813">
        <w:t xml:space="preserve">. </w:t>
      </w:r>
      <w:r w:rsidR="002C2958">
        <w:t xml:space="preserve">For example, </w:t>
      </w:r>
      <w:r w:rsidR="00D0631C">
        <w:t>some producers</w:t>
      </w:r>
      <w:r w:rsidR="002C2958">
        <w:t xml:space="preserve"> </w:t>
      </w:r>
      <w:r w:rsidR="006F6813">
        <w:t>voiced</w:t>
      </w:r>
      <w:r w:rsidR="002C2958">
        <w:t xml:space="preserve"> preference</w:t>
      </w:r>
      <w:r w:rsidR="006F6813">
        <w:t>s for certain types of policy responses – some preferred</w:t>
      </w:r>
      <w:r w:rsidR="002C2958">
        <w:t xml:space="preserve"> price cap</w:t>
      </w:r>
      <w:r w:rsidR="000C2AFA">
        <w:t>s</w:t>
      </w:r>
      <w:r w:rsidR="002C2958">
        <w:t xml:space="preserve"> </w:t>
      </w:r>
      <w:r w:rsidR="006F6813">
        <w:t xml:space="preserve">on </w:t>
      </w:r>
      <w:r w:rsidR="00D42F83">
        <w:t>electricity</w:t>
      </w:r>
      <w:r w:rsidR="006F6813">
        <w:t xml:space="preserve"> and </w:t>
      </w:r>
      <w:r w:rsidR="00D42F83">
        <w:t>input</w:t>
      </w:r>
      <w:r w:rsidR="006F6813">
        <w:t xml:space="preserve"> fuels</w:t>
      </w:r>
      <w:r w:rsidR="00AF2F03">
        <w:t>, with some noting</w:t>
      </w:r>
      <w:r w:rsidR="009F599A">
        <w:t xml:space="preserve"> that the Heads of Agreement was the optimal mechanism through which to implement a price control. </w:t>
      </w:r>
    </w:p>
    <w:p w14:paraId="772F455A" w14:textId="47F1C5E8" w:rsidR="00E55C41" w:rsidRDefault="006F6813" w:rsidP="00E55C41">
      <w:r>
        <w:t xml:space="preserve">These discussions provided insights into the viability of the options raised by stakeholders – some of which are options highlighted in this Impact Analysis. </w:t>
      </w:r>
      <w:r w:rsidR="00661572">
        <w:t>These</w:t>
      </w:r>
      <w:r>
        <w:t xml:space="preserve"> views assisted in highlighting potential unintended consequences of some of the options considered. They have also provided insights into potential industry responses, the viability of swift implementation and their likely success. </w:t>
      </w:r>
    </w:p>
    <w:p w14:paraId="5D710B8A" w14:textId="214221C9" w:rsidR="00263E53" w:rsidRDefault="009F599A" w:rsidP="003E4B76">
      <w:r>
        <w:t>T</w:t>
      </w:r>
      <w:r w:rsidR="005743BC">
        <w:t>he Government has also had consistent discussions with the ACCC, the AER and, to a lesser extent, AEMO</w:t>
      </w:r>
      <w:r>
        <w:t xml:space="preserve">, </w:t>
      </w:r>
      <w:r w:rsidR="007852C5">
        <w:t>regarding</w:t>
      </w:r>
      <w:r>
        <w:t xml:space="preserve"> regulating, monitoring, and reporting of the energy market</w:t>
      </w:r>
      <w:r w:rsidR="005743BC">
        <w:t xml:space="preserve">. </w:t>
      </w:r>
      <w:r w:rsidR="00661572">
        <w:t>Some</w:t>
      </w:r>
      <w:r>
        <w:t xml:space="preserve"> of the options highlighted in this Impact Analysis require these entities to monitor and report on realised outcomes.</w:t>
      </w:r>
      <w:r w:rsidR="005743BC">
        <w:t xml:space="preserve"> </w:t>
      </w:r>
      <w:r w:rsidR="00E7684D">
        <w:t xml:space="preserve">Engagement with these entities, particular with the ACCC, has ensured that there is capacity to complete the </w:t>
      </w:r>
      <w:r w:rsidR="00182B37">
        <w:t xml:space="preserve">monitoring </w:t>
      </w:r>
      <w:r w:rsidR="00E7684D">
        <w:t xml:space="preserve">and reporting requirements. </w:t>
      </w:r>
    </w:p>
    <w:p w14:paraId="6087E1D5" w14:textId="1E70A969" w:rsidR="00E7684D" w:rsidRDefault="00E7684D" w:rsidP="003E4B76">
      <w:r>
        <w:t>As discussed above, there will be further opportunity for consultation with stak</w:t>
      </w:r>
      <w:r w:rsidR="00EE62FB">
        <w:t>e</w:t>
      </w:r>
      <w:r>
        <w:t xml:space="preserve">holders </w:t>
      </w:r>
      <w:r w:rsidR="00EE62FB">
        <w:t>prior to</w:t>
      </w:r>
      <w:r>
        <w:t xml:space="preserve"> implementation </w:t>
      </w:r>
      <w:r w:rsidR="00EE62FB">
        <w:t xml:space="preserve">of the mandatory Code of Contact and proposed price cap </w:t>
      </w:r>
      <w:r>
        <w:t xml:space="preserve">for </w:t>
      </w:r>
      <w:r w:rsidR="00EE62FB">
        <w:t>gas.</w:t>
      </w:r>
      <w:r>
        <w:t xml:space="preserve"> </w:t>
      </w:r>
    </w:p>
    <w:p w14:paraId="70BDE3EC" w14:textId="77777777" w:rsidR="00CA3E80" w:rsidRDefault="00CA3E80" w:rsidP="003E4B76">
      <w:pPr>
        <w:sectPr w:rsidR="00CA3E80" w:rsidSect="00772EE6">
          <w:footerReference w:type="default" r:id="rId28"/>
          <w:pgSz w:w="11906" w:h="16838"/>
          <w:pgMar w:top="1418" w:right="1418" w:bottom="1418" w:left="1418" w:header="709" w:footer="709" w:gutter="0"/>
          <w:cols w:space="708"/>
          <w:titlePg/>
          <w:docGrid w:linePitch="360"/>
        </w:sectPr>
      </w:pPr>
    </w:p>
    <w:p w14:paraId="3FB79795" w14:textId="336FE2AB" w:rsidR="00D557B7" w:rsidRPr="0049000C" w:rsidRDefault="004A15D3" w:rsidP="00D557B7">
      <w:pPr>
        <w:pStyle w:val="Heading1"/>
      </w:pPr>
      <w:bookmarkStart w:id="28" w:name="_Toc121406877"/>
      <w:r>
        <w:lastRenderedPageBreak/>
        <w:t>Option selection</w:t>
      </w:r>
      <w:bookmarkEnd w:id="28"/>
      <w:r>
        <w:t xml:space="preserve"> </w:t>
      </w:r>
      <w:r w:rsidR="00D557B7">
        <w:t xml:space="preserve"> </w:t>
      </w:r>
    </w:p>
    <w:p w14:paraId="579ACCF6" w14:textId="013D8484" w:rsidR="00943CC3" w:rsidRDefault="00943CC3" w:rsidP="00D557B7">
      <w:pPr>
        <w:rPr>
          <w:bCs/>
        </w:rPr>
      </w:pPr>
      <w:r>
        <w:rPr>
          <w:bCs/>
        </w:rPr>
        <w:t>Following analysis of the likely net benefits of each option</w:t>
      </w:r>
      <w:r w:rsidR="000F6AC0">
        <w:rPr>
          <w:bCs/>
        </w:rPr>
        <w:t xml:space="preserve"> and</w:t>
      </w:r>
      <w:r>
        <w:rPr>
          <w:bCs/>
        </w:rPr>
        <w:t xml:space="preserve"> </w:t>
      </w:r>
      <w:r w:rsidR="002B5A4E">
        <w:rPr>
          <w:bCs/>
        </w:rPr>
        <w:t>considering</w:t>
      </w:r>
      <w:r>
        <w:rPr>
          <w:bCs/>
        </w:rPr>
        <w:t xml:space="preserve"> the objectives and principles of Government action outlined above, t</w:t>
      </w:r>
      <w:r w:rsidR="00DF26B8">
        <w:rPr>
          <w:bCs/>
        </w:rPr>
        <w:t>his</w:t>
      </w:r>
      <w:r w:rsidR="00D557B7">
        <w:rPr>
          <w:bCs/>
        </w:rPr>
        <w:t xml:space="preserve"> </w:t>
      </w:r>
      <w:r w:rsidR="00945CA6">
        <w:rPr>
          <w:bCs/>
        </w:rPr>
        <w:t>I</w:t>
      </w:r>
      <w:r w:rsidR="00D557B7">
        <w:rPr>
          <w:bCs/>
        </w:rPr>
        <w:t xml:space="preserve">mpact </w:t>
      </w:r>
      <w:r w:rsidR="00945CA6">
        <w:rPr>
          <w:bCs/>
        </w:rPr>
        <w:t>A</w:t>
      </w:r>
      <w:r w:rsidR="00D557B7">
        <w:rPr>
          <w:bCs/>
        </w:rPr>
        <w:t>nalysis recommend</w:t>
      </w:r>
      <w:r>
        <w:rPr>
          <w:bCs/>
        </w:rPr>
        <w:t>s</w:t>
      </w:r>
      <w:r w:rsidR="00D557B7">
        <w:rPr>
          <w:bCs/>
        </w:rPr>
        <w:t xml:space="preserve"> </w:t>
      </w:r>
      <w:r w:rsidR="00DF26B8">
        <w:rPr>
          <w:bCs/>
        </w:rPr>
        <w:t>options A1, A4 and A</w:t>
      </w:r>
      <w:r w:rsidR="00885989">
        <w:rPr>
          <w:bCs/>
        </w:rPr>
        <w:t>5</w:t>
      </w:r>
      <w:r w:rsidR="00E9582B">
        <w:rPr>
          <w:bCs/>
        </w:rPr>
        <w:t xml:space="preserve"> </w:t>
      </w:r>
      <w:r>
        <w:rPr>
          <w:bCs/>
        </w:rPr>
        <w:t xml:space="preserve">for implementation to address current and forecast future energy prices. </w:t>
      </w:r>
      <w:r w:rsidR="00823845">
        <w:rPr>
          <w:bCs/>
        </w:rPr>
        <w:t>The assessment conducted on the options is summarised at Table 1</w:t>
      </w:r>
      <w:r w:rsidR="00804EE2">
        <w:rPr>
          <w:bCs/>
        </w:rPr>
        <w:t>1</w:t>
      </w:r>
      <w:r w:rsidR="00823845">
        <w:rPr>
          <w:bCs/>
        </w:rPr>
        <w:t xml:space="preserve"> above.</w:t>
      </w:r>
      <w:r>
        <w:rPr>
          <w:bCs/>
        </w:rPr>
        <w:t xml:space="preserve"> As discussed above, the assessment was conducted using both quantitative and qualitative methods. Where there are expected impacts to the prices faced by consumers</w:t>
      </w:r>
      <w:r w:rsidR="003F2120">
        <w:rPr>
          <w:bCs/>
        </w:rPr>
        <w:t>,</w:t>
      </w:r>
      <w:r>
        <w:rPr>
          <w:bCs/>
        </w:rPr>
        <w:t xml:space="preserve"> forecasting conducted by the Treasury was used to quantify the</w:t>
      </w:r>
      <w:r w:rsidR="00E90C9B">
        <w:rPr>
          <w:bCs/>
        </w:rPr>
        <w:t>se</w:t>
      </w:r>
      <w:r>
        <w:rPr>
          <w:bCs/>
        </w:rPr>
        <w:t xml:space="preserve"> impact</w:t>
      </w:r>
      <w:r w:rsidR="00E90C9B">
        <w:rPr>
          <w:bCs/>
        </w:rPr>
        <w:t>s</w:t>
      </w:r>
      <w:r>
        <w:rPr>
          <w:bCs/>
        </w:rPr>
        <w:t xml:space="preserve">. </w:t>
      </w:r>
    </w:p>
    <w:p w14:paraId="013F0873" w14:textId="78838FEC" w:rsidR="00D557B7" w:rsidRDefault="008A115F" w:rsidP="00D557B7">
      <w:pPr>
        <w:rPr>
          <w:bCs/>
        </w:rPr>
      </w:pPr>
      <w:r>
        <w:rPr>
          <w:bCs/>
        </w:rPr>
        <w:t>The Government considers this</w:t>
      </w:r>
      <w:r w:rsidR="00943CC3">
        <w:rPr>
          <w:bCs/>
        </w:rPr>
        <w:t xml:space="preserve"> combination of three responses </w:t>
      </w:r>
      <w:r w:rsidR="00D63DB6">
        <w:rPr>
          <w:bCs/>
        </w:rPr>
        <w:t>presents</w:t>
      </w:r>
      <w:r w:rsidR="00E9582B">
        <w:rPr>
          <w:bCs/>
        </w:rPr>
        <w:t xml:space="preserve"> the greatest benefit </w:t>
      </w:r>
      <w:r w:rsidR="00D557B7">
        <w:rPr>
          <w:bCs/>
        </w:rPr>
        <w:t xml:space="preserve">to </w:t>
      </w:r>
      <w:r w:rsidR="00E9582B">
        <w:rPr>
          <w:bCs/>
        </w:rPr>
        <w:t xml:space="preserve">Australia </w:t>
      </w:r>
      <w:r w:rsidR="00943CC3">
        <w:rPr>
          <w:bCs/>
        </w:rPr>
        <w:t xml:space="preserve">with regard to the objectives and </w:t>
      </w:r>
      <w:r w:rsidR="00525B12">
        <w:rPr>
          <w:bCs/>
        </w:rPr>
        <w:t>principles</w:t>
      </w:r>
      <w:r w:rsidR="00E9582B">
        <w:rPr>
          <w:bCs/>
        </w:rPr>
        <w:t xml:space="preserve"> and should </w:t>
      </w:r>
      <w:r w:rsidR="00D557B7">
        <w:rPr>
          <w:bCs/>
        </w:rPr>
        <w:t>progress to implementation. These are:</w:t>
      </w:r>
    </w:p>
    <w:p w14:paraId="4D0DE91C" w14:textId="3455800D" w:rsidR="009A1BC3" w:rsidRPr="007D5F04" w:rsidRDefault="009A1BC3" w:rsidP="00C44083">
      <w:pPr>
        <w:pStyle w:val="Bullet"/>
        <w:rPr>
          <w:b/>
        </w:rPr>
      </w:pPr>
      <w:r w:rsidRPr="007D5F04">
        <w:t>A1</w:t>
      </w:r>
      <w:r w:rsidR="00CE10A4">
        <w:t xml:space="preserve"> </w:t>
      </w:r>
      <w:r w:rsidR="00CE10A4" w:rsidRPr="003F7F8F">
        <w:t>–</w:t>
      </w:r>
      <w:r w:rsidRPr="007D5F04">
        <w:t xml:space="preserve"> Legislate a new framework for the making of </w:t>
      </w:r>
      <w:r w:rsidR="00CA504A">
        <w:t>gas</w:t>
      </w:r>
      <w:r w:rsidR="00CA504A" w:rsidRPr="007D5F04">
        <w:t xml:space="preserve"> </w:t>
      </w:r>
      <w:r w:rsidRPr="007D5F04">
        <w:t xml:space="preserve">market codes within CCA, and prescribe a </w:t>
      </w:r>
      <w:r w:rsidR="00344928" w:rsidRPr="007D5F04">
        <w:t>m</w:t>
      </w:r>
      <w:r w:rsidRPr="007D5F04">
        <w:t xml:space="preserve">andatory Code of Conduct for wholesale gas markets </w:t>
      </w:r>
    </w:p>
    <w:p w14:paraId="29541074" w14:textId="6A7C0A1C" w:rsidR="009C1B38" w:rsidRPr="003F7F8F" w:rsidRDefault="00172FA5" w:rsidP="009C1B38">
      <w:pPr>
        <w:pStyle w:val="Bullet"/>
        <w:rPr>
          <w:b/>
        </w:rPr>
      </w:pPr>
      <w:r w:rsidRPr="007D5F04">
        <w:t>A4</w:t>
      </w:r>
      <w:r w:rsidR="009C1B38" w:rsidRPr="003F7F8F">
        <w:t xml:space="preserve"> – Temporary 12-month gas price cap</w:t>
      </w:r>
    </w:p>
    <w:p w14:paraId="08BC027E" w14:textId="4F1E4EA9" w:rsidR="00D557B7" w:rsidRPr="007D5F04" w:rsidRDefault="00172FA5" w:rsidP="00C44083">
      <w:pPr>
        <w:pStyle w:val="Bullet"/>
        <w:rPr>
          <w:b/>
        </w:rPr>
      </w:pPr>
      <w:r w:rsidRPr="007D5F04">
        <w:t>A</w:t>
      </w:r>
      <w:r w:rsidR="00885989">
        <w:t>5</w:t>
      </w:r>
      <w:r w:rsidRPr="007D5F04">
        <w:t xml:space="preserve"> – Bringing</w:t>
      </w:r>
      <w:r w:rsidR="00D557B7" w:rsidRPr="007D5F04">
        <w:t xml:space="preserve"> forward commencement of reforms to the ADGSM</w:t>
      </w:r>
      <w:r w:rsidR="001A1FF9" w:rsidRPr="007D5F04">
        <w:t>.</w:t>
      </w:r>
    </w:p>
    <w:p w14:paraId="2FB851CC" w14:textId="39AE822D" w:rsidR="00D557B7" w:rsidRDefault="00D557B7" w:rsidP="00D557B7">
      <w:r>
        <w:t xml:space="preserve">These policies are being progressed as a suite because they work in concert to mitigate the risks present in </w:t>
      </w:r>
      <w:r w:rsidR="00BD4DE4">
        <w:t>individual</w:t>
      </w:r>
      <w:r>
        <w:t xml:space="preserve"> policies</w:t>
      </w:r>
      <w:r w:rsidR="00BD4DE4">
        <w:t xml:space="preserve"> implemented in isolation</w:t>
      </w:r>
      <w:r>
        <w:t xml:space="preserve">. They provide price certainty in the short term, </w:t>
      </w:r>
      <w:r w:rsidR="00BD4DE4">
        <w:t>will enable</w:t>
      </w:r>
      <w:r>
        <w:t xml:space="preserve"> behavioural standards in negotiations</w:t>
      </w:r>
      <w:r w:rsidR="00BD4DE4">
        <w:t xml:space="preserve"> to be enforced</w:t>
      </w:r>
      <w:r>
        <w:t xml:space="preserve">, ensure supply to the domestic market, and place obligations on both sellers and buyers to act in good faith. </w:t>
      </w:r>
    </w:p>
    <w:p w14:paraId="0728AEA0" w14:textId="77777777" w:rsidR="002D5FEE" w:rsidRDefault="008B6389" w:rsidP="00D557B7">
      <w:r>
        <w:t xml:space="preserve">Further, </w:t>
      </w:r>
      <w:r w:rsidR="00132A75">
        <w:t xml:space="preserve">out of the options considered, these policies are likely to achieve the greatest number </w:t>
      </w:r>
      <w:r w:rsidR="00D65350">
        <w:t>of Government action objectives</w:t>
      </w:r>
      <w:r w:rsidR="00202F5D">
        <w:t xml:space="preserve"> in combination</w:t>
      </w:r>
      <w:r w:rsidR="0045203D">
        <w:t xml:space="preserve">, </w:t>
      </w:r>
      <w:r w:rsidR="00196E23">
        <w:t>including minimising potential unintended consequences</w:t>
      </w:r>
      <w:r w:rsidR="0045203D">
        <w:t xml:space="preserve">, largely resulting in either a moderate or significant improvement against the status quo. </w:t>
      </w:r>
    </w:p>
    <w:p w14:paraId="4D26D786" w14:textId="58BC7E5D" w:rsidR="00D557B7" w:rsidRDefault="00AF672C" w:rsidP="00D557B7">
      <w:r>
        <w:t xml:space="preserve">Through a mandatory Code of Conduct, options A1 and A2 </w:t>
      </w:r>
      <w:r w:rsidR="002D5FEE">
        <w:t>would increase</w:t>
      </w:r>
      <w:r>
        <w:t xml:space="preserve"> obligations on gas producers by setting minimum behavioural standards, whereas </w:t>
      </w:r>
      <w:r w:rsidR="006636F7">
        <w:t xml:space="preserve">option </w:t>
      </w:r>
      <w:r>
        <w:t>A3 would only seek to improve existing obligations, without a mechanism to mandate them.</w:t>
      </w:r>
      <w:r w:rsidR="00F063B6">
        <w:t xml:space="preserve"> </w:t>
      </w:r>
      <w:r>
        <w:t>Compared to options A2 and A3, option A1 is also</w:t>
      </w:r>
      <w:r w:rsidR="006636F7">
        <w:t xml:space="preserve"> </w:t>
      </w:r>
      <w:r w:rsidR="005C0E0F">
        <w:t>likely to have a greater impact on putting downward pressure on electricity prices</w:t>
      </w:r>
      <w:r>
        <w:t>,</w:t>
      </w:r>
      <w:r w:rsidR="006636F7">
        <w:t xml:space="preserve"> by</w:t>
      </w:r>
      <w:r w:rsidR="005C0E0F">
        <w:t xml:space="preserve"> providing the ACCC enforcement powers to ensure that price decreases flow through to consumers. </w:t>
      </w:r>
      <w:r w:rsidR="006636F7">
        <w:t>For th</w:t>
      </w:r>
      <w:r w:rsidR="00F063B6">
        <w:t>ese</w:t>
      </w:r>
      <w:r w:rsidR="006636F7">
        <w:t xml:space="preserve"> reason</w:t>
      </w:r>
      <w:r w:rsidR="00F063B6">
        <w:t>s</w:t>
      </w:r>
      <w:r w:rsidR="005C0E0F">
        <w:t xml:space="preserve">, </w:t>
      </w:r>
      <w:r w:rsidR="006636F7">
        <w:t xml:space="preserve">and as demonstrated in the </w:t>
      </w:r>
      <w:r w:rsidR="00EC6307">
        <w:t>above</w:t>
      </w:r>
      <w:r w:rsidR="006636F7">
        <w:t xml:space="preserve"> comparative analysis </w:t>
      </w:r>
      <w:r w:rsidR="00AD7E3A">
        <w:t>at Table 1</w:t>
      </w:r>
      <w:r w:rsidR="009257EA">
        <w:t>1</w:t>
      </w:r>
      <w:r w:rsidR="006636F7">
        <w:t xml:space="preserve">, </w:t>
      </w:r>
      <w:r w:rsidR="00DB33B4">
        <w:t>o</w:t>
      </w:r>
      <w:r w:rsidR="00202F5D">
        <w:t xml:space="preserve">ption A1 is preferred to </w:t>
      </w:r>
      <w:r w:rsidR="006636F7">
        <w:t>option</w:t>
      </w:r>
      <w:r w:rsidR="00F063B6">
        <w:t>s</w:t>
      </w:r>
      <w:r w:rsidR="006636F7">
        <w:t xml:space="preserve"> A2</w:t>
      </w:r>
      <w:r w:rsidR="00F063B6">
        <w:t xml:space="preserve"> and A3</w:t>
      </w:r>
      <w:r w:rsidR="006636F7">
        <w:t>.</w:t>
      </w:r>
      <w:r w:rsidR="00DB33B4">
        <w:t xml:space="preserve"> </w:t>
      </w:r>
      <w:r w:rsidR="00D557B7">
        <w:t xml:space="preserve">The </w:t>
      </w:r>
      <w:r w:rsidR="00B23502">
        <w:t>m</w:t>
      </w:r>
      <w:r w:rsidR="00D557B7">
        <w:t xml:space="preserve">andatory </w:t>
      </w:r>
      <w:r w:rsidR="00E42399">
        <w:t>C</w:t>
      </w:r>
      <w:r w:rsidR="00D557B7">
        <w:t xml:space="preserve">ode of </w:t>
      </w:r>
      <w:r w:rsidR="00E42399">
        <w:t>C</w:t>
      </w:r>
      <w:r w:rsidR="00D557B7">
        <w:t xml:space="preserve">onduct will be key to transparent and competitive pricing in the medium term, </w:t>
      </w:r>
      <w:r w:rsidR="001C5F43">
        <w:t>givin</w:t>
      </w:r>
      <w:r w:rsidR="00D557B7">
        <w:t>g</w:t>
      </w:r>
      <w:r w:rsidR="001C5F43" w:rsidRPr="001C5F43">
        <w:t xml:space="preserve"> </w:t>
      </w:r>
      <w:r w:rsidR="001C5F43">
        <w:t xml:space="preserve">the ACCC </w:t>
      </w:r>
      <w:r w:rsidR="00D557B7">
        <w:t xml:space="preserve">enforcement powers and clarifying obligations for producers established in the voluntary code. The mandatory </w:t>
      </w:r>
      <w:r w:rsidR="00525449">
        <w:t>C</w:t>
      </w:r>
      <w:r w:rsidR="00D557B7">
        <w:t>ode</w:t>
      </w:r>
      <w:r w:rsidR="00525449">
        <w:t xml:space="preserve"> of Conduct</w:t>
      </w:r>
      <w:r w:rsidR="00D557B7">
        <w:t xml:space="preserve"> will set minimum behavioural standards based on the existing voluntary </w:t>
      </w:r>
      <w:r w:rsidR="00A70772">
        <w:t>C</w:t>
      </w:r>
      <w:r w:rsidR="00D557B7">
        <w:t xml:space="preserve">ode of </w:t>
      </w:r>
      <w:r w:rsidR="00A70772">
        <w:t>C</w:t>
      </w:r>
      <w:r w:rsidR="00D557B7">
        <w:t xml:space="preserve">onduct and the advice of the ACCC. </w:t>
      </w:r>
      <w:r w:rsidR="0014609B">
        <w:t xml:space="preserve">In a competitive market, the ACCC expects the benefits of the </w:t>
      </w:r>
      <w:r w:rsidR="00AB36C1">
        <w:t>mandatory C</w:t>
      </w:r>
      <w:r w:rsidR="0014609B">
        <w:t>ode</w:t>
      </w:r>
      <w:r w:rsidR="00AB36C1">
        <w:t xml:space="preserve"> of Conduct</w:t>
      </w:r>
      <w:r w:rsidR="0014609B">
        <w:t xml:space="preserve"> will flow through to downstream and related markets, eventually. </w:t>
      </w:r>
      <w:r w:rsidR="00D557B7">
        <w:t>It will also allow the ACCC to monitor and report on the compliance with the price cap, noting this will somewhat increase regulatory burden.</w:t>
      </w:r>
      <w:r w:rsidR="00D557B7" w:rsidRPr="00E22375">
        <w:t xml:space="preserve"> </w:t>
      </w:r>
      <w:r w:rsidR="0014609B">
        <w:t xml:space="preserve">Overall, this establishes a framework to </w:t>
      </w:r>
      <w:r w:rsidR="004316E1">
        <w:t xml:space="preserve">ensure </w:t>
      </w:r>
      <w:r w:rsidR="009C1B38">
        <w:t xml:space="preserve">a </w:t>
      </w:r>
      <w:r w:rsidR="004316E1">
        <w:t xml:space="preserve">reasonable price </w:t>
      </w:r>
      <w:r w:rsidR="00342C38">
        <w:t xml:space="preserve">for gas </w:t>
      </w:r>
      <w:r w:rsidR="0014609B">
        <w:t>in a sustainable way over the medium to long</w:t>
      </w:r>
      <w:r w:rsidR="00361FFD">
        <w:t>-</w:t>
      </w:r>
      <w:r w:rsidR="0014609B">
        <w:t>term.</w:t>
      </w:r>
    </w:p>
    <w:p w14:paraId="66271668" w14:textId="351986AD" w:rsidR="00D557B7" w:rsidRDefault="004A15D3" w:rsidP="00D557B7">
      <w:r>
        <w:lastRenderedPageBreak/>
        <w:t xml:space="preserve">While </w:t>
      </w:r>
      <w:r w:rsidR="00804EE2">
        <w:t xml:space="preserve">variations on </w:t>
      </w:r>
      <w:r>
        <w:t xml:space="preserve">option A4 </w:t>
      </w:r>
      <w:r w:rsidR="00804EE2">
        <w:t xml:space="preserve">were considered to </w:t>
      </w:r>
      <w:r>
        <w:t xml:space="preserve">reduce </w:t>
      </w:r>
      <w:r w:rsidR="00CC3341">
        <w:t xml:space="preserve">gas </w:t>
      </w:r>
      <w:r>
        <w:t xml:space="preserve">prices and </w:t>
      </w:r>
      <w:r w:rsidR="00CC3341">
        <w:t>slow increases in</w:t>
      </w:r>
      <w:r>
        <w:t xml:space="preserve"> consumer bills in the short term</w:t>
      </w:r>
      <w:r w:rsidR="0097395C">
        <w:t>.</w:t>
      </w:r>
      <w:r>
        <w:t xml:space="preserve"> </w:t>
      </w:r>
      <w:r w:rsidR="0097395C">
        <w:t>An extended price</w:t>
      </w:r>
      <w:r>
        <w:t xml:space="preserve"> cap </w:t>
      </w:r>
      <w:r w:rsidR="00333589">
        <w:t>may be more</w:t>
      </w:r>
      <w:r>
        <w:t xml:space="preserve"> likely to distort investment incentives </w:t>
      </w:r>
      <w:r w:rsidR="00333589">
        <w:t>as it is in place for</w:t>
      </w:r>
      <w:r>
        <w:t xml:space="preserve"> a longer period. </w:t>
      </w:r>
      <w:r w:rsidR="00D557B7">
        <w:t xml:space="preserve">In the short term, the price cap will put downward pressure on the price of contracts and </w:t>
      </w:r>
      <w:r w:rsidR="00AF0D43">
        <w:t>wholesale electricity prices</w:t>
      </w:r>
      <w:r w:rsidR="00D557B7">
        <w:t xml:space="preserve">. </w:t>
      </w:r>
      <w:r w:rsidR="000C076B">
        <w:t>The cap has been recommended by the ACCC to reflect the</w:t>
      </w:r>
      <w:r w:rsidR="00B006CE">
        <w:t xml:space="preserve"> </w:t>
      </w:r>
      <w:r w:rsidR="000C076B">
        <w:t>costs of gas production, including a reasonable return on capital</w:t>
      </w:r>
      <w:r w:rsidR="00B006CE">
        <w:t>,</w:t>
      </w:r>
      <w:r w:rsidR="000C076B">
        <w:t xml:space="preserve"> for gas sourced from developed </w:t>
      </w:r>
      <w:r w:rsidR="0097395C">
        <w:t>fields</w:t>
      </w:r>
      <w:r>
        <w:t xml:space="preserve">. </w:t>
      </w:r>
      <w:r w:rsidR="00CE0B37">
        <w:t>Enforcing a price cap may incentivise producers to store gas or produce less</w:t>
      </w:r>
      <w:r w:rsidR="00C51436">
        <w:t xml:space="preserve"> as it is less profitable</w:t>
      </w:r>
      <w:r w:rsidR="00CE0B37">
        <w:t xml:space="preserve">, noting </w:t>
      </w:r>
      <w:r w:rsidR="00E64BA6">
        <w:t>the ACCC’s advice that</w:t>
      </w:r>
      <w:r w:rsidR="00CE0B37">
        <w:t xml:space="preserve"> 96 per cent </w:t>
      </w:r>
      <w:r w:rsidR="00C51436">
        <w:t>of domestic contracts in 2021 were offered at less than the proposed cap.</w:t>
      </w:r>
    </w:p>
    <w:p w14:paraId="032747F5" w14:textId="6D560B46" w:rsidR="00202F5D" w:rsidRDefault="00D557B7" w:rsidP="00202F5D">
      <w:r>
        <w:t xml:space="preserve">Finally, </w:t>
      </w:r>
      <w:r w:rsidR="00C94B57">
        <w:t>under option A</w:t>
      </w:r>
      <w:r w:rsidR="00650C4B">
        <w:t>5</w:t>
      </w:r>
      <w:r>
        <w:t xml:space="preserve">, bringing forward reforms to the ADGSM will provide the Government more flexibility </w:t>
      </w:r>
      <w:r w:rsidR="00DF1B3A">
        <w:t xml:space="preserve">sooner, </w:t>
      </w:r>
      <w:r>
        <w:t>by allowing the trigger t</w:t>
      </w:r>
      <w:r w:rsidR="00326ACD">
        <w:t>o</w:t>
      </w:r>
      <w:r>
        <w:t xml:space="preserve"> activate on a quarterly basis. </w:t>
      </w:r>
      <w:r w:rsidR="00DF1B3A">
        <w:t>While t</w:t>
      </w:r>
      <w:r>
        <w:t>his increases the complexity of the scheme</w:t>
      </w:r>
      <w:r w:rsidR="00DF1B3A">
        <w:t>,</w:t>
      </w:r>
      <w:r>
        <w:t xml:space="preserve"> </w:t>
      </w:r>
      <w:r w:rsidR="00DF1B3A">
        <w:t>it</w:t>
      </w:r>
      <w:r>
        <w:t xml:space="preserve"> </w:t>
      </w:r>
      <w:r w:rsidR="00C51436">
        <w:t xml:space="preserve">will allow ministers to be more responsive to foreseeable gas shortfalls. </w:t>
      </w:r>
      <w:r w:rsidR="00EC5C1C">
        <w:t xml:space="preserve">This will ensure the </w:t>
      </w:r>
      <w:r w:rsidR="00DF1B3A">
        <w:t>necessary</w:t>
      </w:r>
      <w:r w:rsidR="00EC5C1C">
        <w:t xml:space="preserve"> gas supply to enable both the mandatory </w:t>
      </w:r>
      <w:r w:rsidR="00AB36C1">
        <w:t>C</w:t>
      </w:r>
      <w:r w:rsidR="00EC5C1C">
        <w:t>ode</w:t>
      </w:r>
      <w:r w:rsidR="00AB36C1">
        <w:t xml:space="preserve"> of Conduct</w:t>
      </w:r>
      <w:r w:rsidR="00EC5C1C">
        <w:t xml:space="preserve"> and the price cap to work effectively. </w:t>
      </w:r>
      <w:r w:rsidR="00C51436">
        <w:t>Additionally, changes to the distribution of security obligations and introducing the ability to trade these obligations will make the mechanism more efficient</w:t>
      </w:r>
      <w:r w:rsidR="009B24F1">
        <w:t xml:space="preserve"> and minimise</w:t>
      </w:r>
      <w:r w:rsidR="006A46E8">
        <w:t xml:space="preserve"> distortions in </w:t>
      </w:r>
      <w:r w:rsidR="00B124B1">
        <w:t>investment</w:t>
      </w:r>
      <w:r w:rsidR="00C51436">
        <w:t xml:space="preserve">. </w:t>
      </w:r>
    </w:p>
    <w:p w14:paraId="6E2BD895" w14:textId="18FB8148" w:rsidR="00F652AC" w:rsidRDefault="00202F5D" w:rsidP="00745D7A">
      <w:r>
        <w:t>This set of combined options has also been informed through consultation across government department</w:t>
      </w:r>
      <w:r w:rsidR="00205407">
        <w:t>s</w:t>
      </w:r>
      <w:r>
        <w:t xml:space="preserve"> and agencies. Implementation for options A1 and A4 will depend on the timing of legislative and parliamentary processes, while option </w:t>
      </w:r>
      <w:r w:rsidR="00724A11">
        <w:t xml:space="preserve">A5 </w:t>
      </w:r>
      <w:r>
        <w:t xml:space="preserve">would come into effect from 1 April 2023.  </w:t>
      </w:r>
    </w:p>
    <w:p w14:paraId="270C5C7F" w14:textId="77777777" w:rsidR="00D557B7" w:rsidRDefault="00D557B7" w:rsidP="00D557B7">
      <w:pPr>
        <w:pStyle w:val="HeaderOdd"/>
      </w:pPr>
      <w:r>
        <w:t xml:space="preserve">Stakeholder Feedback </w:t>
      </w:r>
    </w:p>
    <w:p w14:paraId="19FD1559" w14:textId="77777777" w:rsidR="00943CC3" w:rsidRDefault="00D557B7" w:rsidP="00943CC3">
      <w:r>
        <w:t>As noted</w:t>
      </w:r>
      <w:r w:rsidR="00943CC3">
        <w:t xml:space="preserve"> above, the market sensitivities associated with the measures considered in this Impact Analysis, as well as the urgency in which they need to be developed and implemented reduced the viability of extensive, public consultation on specific options for Government action thus far. </w:t>
      </w:r>
    </w:p>
    <w:p w14:paraId="0DF1E82A" w14:textId="68EFDEAD" w:rsidR="00943CC3" w:rsidRDefault="00943CC3" w:rsidP="00943CC3">
      <w:r>
        <w:t>Engagement with stakeholders who approached the Government through usual stakeholder engagement avenues</w:t>
      </w:r>
      <w:r w:rsidR="00525B12">
        <w:t xml:space="preserve"> </w:t>
      </w:r>
      <w:r w:rsidR="00D557B7">
        <w:t>highlight</w:t>
      </w:r>
      <w:r w:rsidR="00F33B4A">
        <w:t>ed</w:t>
      </w:r>
      <w:r w:rsidR="00D557B7">
        <w:t xml:space="preserve"> the risks and sensitivities of the considered measures. Of particular note has been the unintended market effects of price caps, and the varied opinions on how to best to apply any cap. </w:t>
      </w:r>
    </w:p>
    <w:p w14:paraId="483429BF" w14:textId="7E5D32F6" w:rsidR="00943CC3" w:rsidRDefault="00503DD0" w:rsidP="00943CC3">
      <w:r>
        <w:t xml:space="preserve">There will </w:t>
      </w:r>
      <w:r w:rsidR="00943CC3">
        <w:t xml:space="preserve">be future opportunity to consult stakeholders prior to the implementation of some of the options highlighted in this Impact Analysis. Namely, the </w:t>
      </w:r>
      <w:r w:rsidR="00B23502">
        <w:t>m</w:t>
      </w:r>
      <w:r w:rsidR="00943CC3">
        <w:t>andatory Code of Conduct will be released for public consultation, and there will be a consultation period on the $12</w:t>
      </w:r>
      <w:r w:rsidR="001C4C98">
        <w:t>/</w:t>
      </w:r>
      <w:r w:rsidR="00943CC3">
        <w:t>GJ cap on wholesale gas</w:t>
      </w:r>
      <w:r w:rsidR="00B31129">
        <w:t xml:space="preserve"> for 2023</w:t>
      </w:r>
      <w:r w:rsidR="00943CC3">
        <w:t xml:space="preserve">. This includes </w:t>
      </w:r>
      <w:r>
        <w:t xml:space="preserve">further consultation </w:t>
      </w:r>
      <w:r w:rsidR="002755CA">
        <w:t>on the price cap</w:t>
      </w:r>
      <w:r>
        <w:t xml:space="preserve"> </w:t>
      </w:r>
      <w:r w:rsidR="00AF0A98">
        <w:t xml:space="preserve">to balance a </w:t>
      </w:r>
      <w:r w:rsidR="00AF0A98" w:rsidRPr="00AF0A98">
        <w:t>reasonable return to suppliers and</w:t>
      </w:r>
      <w:r w:rsidR="00AF0A98">
        <w:t xml:space="preserve"> ensure</w:t>
      </w:r>
      <w:r w:rsidR="00AF0A98" w:rsidRPr="00AF0A98">
        <w:t xml:space="preserve"> supply on reasonable terms for purchasers. </w:t>
      </w:r>
    </w:p>
    <w:p w14:paraId="6C429E26" w14:textId="669DA0F1" w:rsidR="00D557B7" w:rsidRPr="0049000C" w:rsidRDefault="000D6C11" w:rsidP="00D557B7">
      <w:r>
        <w:t>I</w:t>
      </w:r>
      <w:r w:rsidR="00D557B7">
        <w:t xml:space="preserve">mplementing the suite of proposed options, and negotiating complementary measures with the states, </w:t>
      </w:r>
      <w:r>
        <w:t>will mitigate concerns raised by stakeholders, while delivering the intended benefits to consumers and purchasers</w:t>
      </w:r>
      <w:r w:rsidR="00D557B7">
        <w:t>.</w:t>
      </w:r>
    </w:p>
    <w:p w14:paraId="7B960ED6" w14:textId="66F40EFC" w:rsidR="00EA1D93" w:rsidRPr="00312DC7" w:rsidRDefault="00EA1D93" w:rsidP="00312DC7">
      <w:pPr>
        <w:pStyle w:val="Heading1"/>
      </w:pPr>
      <w:bookmarkStart w:id="29" w:name="_Toc121406878"/>
      <w:r w:rsidRPr="00312DC7">
        <w:lastRenderedPageBreak/>
        <w:t xml:space="preserve">How will you implement </w:t>
      </w:r>
      <w:r w:rsidR="00AA30D9" w:rsidRPr="00312DC7">
        <w:t xml:space="preserve">and </w:t>
      </w:r>
      <w:r w:rsidRPr="00312DC7">
        <w:t>evaluate your chosen option?</w:t>
      </w:r>
      <w:bookmarkEnd w:id="29"/>
    </w:p>
    <w:p w14:paraId="7A29CEB7" w14:textId="396CE549" w:rsidR="00943CC3" w:rsidRDefault="00943CC3" w:rsidP="0048011E">
      <w:bookmarkStart w:id="30" w:name="_Hlk120455881"/>
      <w:r>
        <w:t xml:space="preserve">The following section </w:t>
      </w:r>
      <w:r w:rsidR="00F96DD9">
        <w:t>describes the anticipated implementation paths</w:t>
      </w:r>
      <w:r w:rsidR="00AC2610">
        <w:t xml:space="preserve"> as well as </w:t>
      </w:r>
      <w:r w:rsidR="00F96DD9">
        <w:t>milestones for review or course-correction</w:t>
      </w:r>
      <w:r w:rsidR="006949CF">
        <w:t xml:space="preserve">. </w:t>
      </w:r>
      <w:r w:rsidR="009B5A92">
        <w:t>Further, t</w:t>
      </w:r>
      <w:r w:rsidR="00874671">
        <w:t>he key risks associated with the recommended options are also identified below alongside strategies to mitigate these risks.</w:t>
      </w:r>
    </w:p>
    <w:p w14:paraId="0D4E0841" w14:textId="7A3B8728" w:rsidR="009F79F0" w:rsidRDefault="009B5A92" w:rsidP="0048011E">
      <w:r>
        <w:t>Given the suite of options identified, isolating the impacts of specific options for evaluation may be challenging. T</w:t>
      </w:r>
      <w:r w:rsidR="009F79F0">
        <w:t xml:space="preserve">he success of the </w:t>
      </w:r>
      <w:r>
        <w:t xml:space="preserve">suite of </w:t>
      </w:r>
      <w:r w:rsidR="009F79F0">
        <w:t xml:space="preserve">options </w:t>
      </w:r>
      <w:r>
        <w:t>could</w:t>
      </w:r>
      <w:r w:rsidR="009F79F0">
        <w:t xml:space="preserve"> be collectively evaluated </w:t>
      </w:r>
      <w:r w:rsidR="005458F6">
        <w:t>using</w:t>
      </w:r>
      <w:r w:rsidR="009F79F0">
        <w:t xml:space="preserve"> AER and ACCC data on wholesale and retail energy prices to </w:t>
      </w:r>
      <w:r w:rsidR="006949CF">
        <w:t>monitor</w:t>
      </w:r>
      <w:r w:rsidR="009F79F0">
        <w:t xml:space="preserve"> if there are reductions </w:t>
      </w:r>
      <w:r w:rsidR="006949CF">
        <w:t>to</w:t>
      </w:r>
      <w:r w:rsidR="009F79F0">
        <w:t xml:space="preserve"> </w:t>
      </w:r>
      <w:r w:rsidR="006949CF">
        <w:t xml:space="preserve">consumer </w:t>
      </w:r>
      <w:r w:rsidR="009F79F0">
        <w:t>energy prices</w:t>
      </w:r>
      <w:r w:rsidR="006949CF">
        <w:t xml:space="preserve"> </w:t>
      </w:r>
      <w:r>
        <w:t>and positive shifts in behaviour of energy market participants</w:t>
      </w:r>
      <w:r w:rsidR="006949CF">
        <w:t xml:space="preserve"> </w:t>
      </w:r>
      <w:r w:rsidR="00F54EBA">
        <w:t>following introduction</w:t>
      </w:r>
      <w:r w:rsidR="006949CF">
        <w:t xml:space="preserve"> of the policies</w:t>
      </w:r>
      <w:r w:rsidR="009F79F0">
        <w:t>.</w:t>
      </w:r>
      <w:r w:rsidR="006949CF">
        <w:t xml:space="preserve"> </w:t>
      </w:r>
      <w:r>
        <w:t xml:space="preserve">Energy retail prices can also be compared to </w:t>
      </w:r>
      <w:r w:rsidR="00333589">
        <w:t xml:space="preserve">expected </w:t>
      </w:r>
      <w:r>
        <w:t>future</w:t>
      </w:r>
      <w:r w:rsidR="006949CF">
        <w:t xml:space="preserve"> prices increases forecast in the October 2022-23 Budget </w:t>
      </w:r>
      <w:r>
        <w:t>to assess the relative success of the recommended policies</w:t>
      </w:r>
      <w:r w:rsidR="006949CF">
        <w:t>.</w:t>
      </w:r>
    </w:p>
    <w:p w14:paraId="60B61F51" w14:textId="58BD113A" w:rsidR="009D1EC2" w:rsidRPr="00E27AA4" w:rsidRDefault="009D1EC2" w:rsidP="00312DC7">
      <w:pPr>
        <w:pStyle w:val="HeaderOdd"/>
      </w:pPr>
      <w:r w:rsidRPr="00E27AA4">
        <w:t xml:space="preserve">Option </w:t>
      </w:r>
      <w:r w:rsidR="00304194">
        <w:rPr>
          <w:bCs/>
        </w:rPr>
        <w:t xml:space="preserve">A1: </w:t>
      </w:r>
      <w:r w:rsidR="00304194">
        <w:t xml:space="preserve">Legislate a new framework for the making of </w:t>
      </w:r>
      <w:r w:rsidR="005601B2">
        <w:t>gas</w:t>
      </w:r>
      <w:r w:rsidR="00304194">
        <w:t xml:space="preserve"> market codes within the </w:t>
      </w:r>
      <w:r w:rsidR="00304194" w:rsidRPr="008C58CF">
        <w:t>CCA</w:t>
      </w:r>
      <w:r w:rsidR="00304194">
        <w:t xml:space="preserve">, and prescribe a mandatory Code </w:t>
      </w:r>
      <w:r w:rsidR="00304194" w:rsidRPr="00E63C9A">
        <w:t xml:space="preserve">of </w:t>
      </w:r>
      <w:r w:rsidR="00304194">
        <w:t>C</w:t>
      </w:r>
      <w:r w:rsidR="00304194" w:rsidRPr="00E63C9A">
        <w:t xml:space="preserve">onduct </w:t>
      </w:r>
      <w:r w:rsidR="00304194">
        <w:t xml:space="preserve">for wholesale gas markets </w:t>
      </w:r>
      <w:r w:rsidR="00792C30">
        <w:t xml:space="preserve"> </w:t>
      </w:r>
    </w:p>
    <w:p w14:paraId="22748602" w14:textId="1B42B411" w:rsidR="00685A6B" w:rsidRDefault="00685A6B" w:rsidP="00750AB1">
      <w:r>
        <w:t xml:space="preserve">A </w:t>
      </w:r>
      <w:r w:rsidR="00B23502">
        <w:t>m</w:t>
      </w:r>
      <w:r>
        <w:t xml:space="preserve">andatory Code of Conduct containing the recommended stronger provisions would create a statutory base for improved transparency and reporting. The timeframes for the implementation of a </w:t>
      </w:r>
      <w:r w:rsidR="00B23502">
        <w:t>m</w:t>
      </w:r>
      <w:r w:rsidR="0038040C">
        <w:t>andatory Code of Conduct</w:t>
      </w:r>
      <w:r>
        <w:t xml:space="preserve"> are all subject to the passing of legislation.  </w:t>
      </w:r>
    </w:p>
    <w:p w14:paraId="6D5F5028" w14:textId="451C0015" w:rsidR="00685A6B" w:rsidRDefault="00041314" w:rsidP="00750AB1">
      <w:r>
        <w:rPr>
          <w:i/>
          <w:iCs/>
        </w:rPr>
        <w:t xml:space="preserve">Implementation - </w:t>
      </w:r>
      <w:r w:rsidR="009C5EE5">
        <w:t xml:space="preserve">Implementation of </w:t>
      </w:r>
      <w:r w:rsidR="00A95FC7">
        <w:t>this option</w:t>
      </w:r>
      <w:r w:rsidR="009C5EE5">
        <w:t xml:space="preserve"> will require </w:t>
      </w:r>
      <w:r w:rsidR="00A95FC7">
        <w:t>legislative</w:t>
      </w:r>
      <w:r w:rsidR="009C5EE5">
        <w:t xml:space="preserve"> amendments to the </w:t>
      </w:r>
      <w:r w:rsidR="0051287A" w:rsidRPr="00E40A43">
        <w:t>CCA</w:t>
      </w:r>
      <w:r w:rsidR="009C5EE5">
        <w:t xml:space="preserve">. </w:t>
      </w:r>
      <w:r w:rsidR="00750AB1">
        <w:t>Amendments to primary legislation would be made to establish an enabling framework more suited to this purpose, including imposing penalties for breaching standards or obligations contained in the code. This framework could be drafted broadly, allowing flexibility to develop mandatory codes for other energy markets.</w:t>
      </w:r>
      <w:r w:rsidR="00685A6B">
        <w:t xml:space="preserve"> </w:t>
      </w:r>
    </w:p>
    <w:p w14:paraId="2C198B64" w14:textId="5B58834D" w:rsidR="00685A6B" w:rsidRDefault="00750AB1" w:rsidP="00750AB1">
      <w:r>
        <w:t xml:space="preserve">Following preliminary legislation, the </w:t>
      </w:r>
      <w:r w:rsidR="00B23502">
        <w:t>m</w:t>
      </w:r>
      <w:r>
        <w:t>andatory Code of Conduct could then be released for public consultation</w:t>
      </w:r>
      <w:r w:rsidR="00685A6B">
        <w:t>, after which the code could be implemented through subordinate instruments</w:t>
      </w:r>
      <w:r w:rsidR="000C5925">
        <w:t xml:space="preserve">. </w:t>
      </w:r>
    </w:p>
    <w:p w14:paraId="43BABA33" w14:textId="2EE28210" w:rsidR="00C31E3D" w:rsidRDefault="00ED27E9" w:rsidP="00C31E3D">
      <w:r>
        <w:t xml:space="preserve">A review is </w:t>
      </w:r>
      <w:r w:rsidR="00685A6B">
        <w:t>also</w:t>
      </w:r>
      <w:r>
        <w:t xml:space="preserve"> proposed for the mandatory </w:t>
      </w:r>
      <w:r w:rsidR="00AA643A">
        <w:t xml:space="preserve">Code of Conduct </w:t>
      </w:r>
      <w:r w:rsidR="000C5925">
        <w:t>after implementation</w:t>
      </w:r>
      <w:r>
        <w:t xml:space="preserve"> to allow for any necessary refinements or improvements. </w:t>
      </w:r>
      <w:r w:rsidR="00C31E3D">
        <w:t xml:space="preserve">Compliance with all requirements of the code would be monitored by the ACCC. </w:t>
      </w:r>
      <w:r w:rsidR="00685A6B">
        <w:t>An evaluation of the code could be informed by th</w:t>
      </w:r>
      <w:r w:rsidR="008A00DA">
        <w:t>e</w:t>
      </w:r>
      <w:r w:rsidR="00685A6B">
        <w:t xml:space="preserve"> </w:t>
      </w:r>
      <w:r w:rsidR="00C31E3D">
        <w:t xml:space="preserve">usual monitoring and reporting of energy market participant behaviour conducted by the ACCC – for example through the ACCC’s Gas Inquiry Reports. For the mandatory </w:t>
      </w:r>
      <w:r w:rsidR="00AA643A">
        <w:t>Code of Conduct</w:t>
      </w:r>
      <w:r w:rsidR="00C31E3D">
        <w:t xml:space="preserve"> to be considered successful, a positive shift in behaviour would be observed from gas suppliers in negotiating wholesale gas contracts. </w:t>
      </w:r>
    </w:p>
    <w:p w14:paraId="35F2309C" w14:textId="6C08E5AA" w:rsidR="00C31E3D" w:rsidRDefault="00C31E3D" w:rsidP="00C31E3D">
      <w:r>
        <w:t xml:space="preserve">Further, the ACCC </w:t>
      </w:r>
      <w:r w:rsidR="0019355D">
        <w:t>would</w:t>
      </w:r>
      <w:r w:rsidDel="00627A63">
        <w:t xml:space="preserve"> </w:t>
      </w:r>
      <w:r>
        <w:t xml:space="preserve">use its existing powers as well as being provided with stronger supporting powers under the </w:t>
      </w:r>
      <w:r w:rsidR="0051287A" w:rsidRPr="00E40A43">
        <w:t>CCA</w:t>
      </w:r>
      <w:r>
        <w:rPr>
          <w:i/>
          <w:iCs/>
        </w:rPr>
        <w:t xml:space="preserve"> </w:t>
      </w:r>
      <w:r>
        <w:t xml:space="preserve">to take enforcement action where electricity retailers fail to reasonably adjust their electricity retail offers to reflect supply chain cost savings. </w:t>
      </w:r>
    </w:p>
    <w:p w14:paraId="241A2952" w14:textId="74544E2E" w:rsidR="009C5EE5" w:rsidRDefault="009C5EE5" w:rsidP="00C73DB3">
      <w:r>
        <w:t xml:space="preserve">The steps for implementation </w:t>
      </w:r>
      <w:r w:rsidR="00750AB1">
        <w:t xml:space="preserve">of the </w:t>
      </w:r>
      <w:r w:rsidR="00B23502">
        <w:t>m</w:t>
      </w:r>
      <w:r w:rsidR="00750AB1">
        <w:t>andatory Code of Conduct</w:t>
      </w:r>
      <w:r>
        <w:t xml:space="preserve"> are as follows: </w:t>
      </w:r>
    </w:p>
    <w:p w14:paraId="6F11CDC2" w14:textId="4967223B" w:rsidR="00054FE7" w:rsidRDefault="00054FE7" w:rsidP="00750AB1">
      <w:pPr>
        <w:pStyle w:val="ListParagraph"/>
        <w:numPr>
          <w:ilvl w:val="6"/>
          <w:numId w:val="2"/>
        </w:numPr>
      </w:pPr>
      <w:r>
        <w:t>Release of consultation paper to inform design of the code.</w:t>
      </w:r>
    </w:p>
    <w:p w14:paraId="7BFDBD8D" w14:textId="5AD873CD" w:rsidR="00750AB1" w:rsidRDefault="00750AB1" w:rsidP="00750AB1">
      <w:pPr>
        <w:pStyle w:val="ListParagraph"/>
        <w:numPr>
          <w:ilvl w:val="6"/>
          <w:numId w:val="2"/>
        </w:numPr>
      </w:pPr>
      <w:r>
        <w:t xml:space="preserve">Primary amendments to legislate a framework for </w:t>
      </w:r>
      <w:r w:rsidR="00E40A43">
        <w:t xml:space="preserve">implementing </w:t>
      </w:r>
      <w:r>
        <w:t>the code</w:t>
      </w:r>
      <w:r w:rsidR="0019355D">
        <w:t>.</w:t>
      </w:r>
      <w:r>
        <w:t xml:space="preserve"> </w:t>
      </w:r>
    </w:p>
    <w:p w14:paraId="16E4DC11" w14:textId="3229F8A3" w:rsidR="00C31E3D" w:rsidRDefault="00E21620" w:rsidP="00B347F2">
      <w:pPr>
        <w:pStyle w:val="ListParagraph"/>
        <w:numPr>
          <w:ilvl w:val="6"/>
          <w:numId w:val="2"/>
        </w:numPr>
      </w:pPr>
      <w:r>
        <w:t>Draft</w:t>
      </w:r>
      <w:r w:rsidR="00916F7F">
        <w:t xml:space="preserve"> code released for public consultation</w:t>
      </w:r>
      <w:r w:rsidR="0019355D">
        <w:t>.</w:t>
      </w:r>
    </w:p>
    <w:p w14:paraId="19B17B1D" w14:textId="684AB61C" w:rsidR="00916F7F" w:rsidRDefault="00E21620" w:rsidP="00916F7F">
      <w:pPr>
        <w:pStyle w:val="ListParagraph"/>
        <w:numPr>
          <w:ilvl w:val="6"/>
          <w:numId w:val="2"/>
        </w:numPr>
      </w:pPr>
      <w:r>
        <w:t xml:space="preserve">Implementation of the code through </w:t>
      </w:r>
      <w:r w:rsidR="00C74CCF">
        <w:t xml:space="preserve">a </w:t>
      </w:r>
      <w:r>
        <w:t>subordinate instrument.</w:t>
      </w:r>
      <w:r w:rsidR="00B347F2">
        <w:t xml:space="preserve"> </w:t>
      </w:r>
    </w:p>
    <w:p w14:paraId="35B0539B" w14:textId="4F830A70" w:rsidR="00E24567" w:rsidRPr="00BC7C63" w:rsidRDefault="00E21620" w:rsidP="00E24567">
      <w:pPr>
        <w:pStyle w:val="ListParagraph"/>
        <w:numPr>
          <w:ilvl w:val="6"/>
          <w:numId w:val="2"/>
        </w:numPr>
      </w:pPr>
      <w:r>
        <w:lastRenderedPageBreak/>
        <w:t>R</w:t>
      </w:r>
      <w:r w:rsidR="009C5EE5">
        <w:t xml:space="preserve">eview of the mandatory </w:t>
      </w:r>
      <w:r w:rsidR="00AB36C1">
        <w:t>C</w:t>
      </w:r>
      <w:r w:rsidR="009C5EE5">
        <w:t>ode</w:t>
      </w:r>
      <w:r w:rsidR="00AB36C1">
        <w:t xml:space="preserve"> of Conduct</w:t>
      </w:r>
      <w:r w:rsidR="009C5EE5">
        <w:t xml:space="preserve"> </w:t>
      </w:r>
      <w:r>
        <w:t>to</w:t>
      </w:r>
      <w:r w:rsidR="009C5EE5">
        <w:t xml:space="preserve"> be completed </w:t>
      </w:r>
      <w:r w:rsidR="000C5925">
        <w:t xml:space="preserve">after implementation </w:t>
      </w:r>
      <w:r w:rsidR="009C5EE5">
        <w:t xml:space="preserve">to allow for any necessary refinements or improvements. </w:t>
      </w:r>
      <w:r w:rsidR="00E24567">
        <w:t>This review would cover the effectiveness of the code</w:t>
      </w:r>
      <w:r w:rsidR="00E24567" w:rsidRPr="00C949AB">
        <w:t xml:space="preserve">, including </w:t>
      </w:r>
      <w:r w:rsidR="00E24567">
        <w:t>whether it is achieving the desired outcome</w:t>
      </w:r>
      <w:r w:rsidR="00240520">
        <w:t>s</w:t>
      </w:r>
      <w:r w:rsidR="00E24567">
        <w:t xml:space="preserve"> and offer an opportunity to course correct</w:t>
      </w:r>
      <w:r w:rsidR="00E24567" w:rsidRPr="00C949AB">
        <w:t xml:space="preserve">. </w:t>
      </w:r>
      <w:r w:rsidR="00E24567">
        <w:t xml:space="preserve"> </w:t>
      </w:r>
    </w:p>
    <w:p w14:paraId="41429A2D" w14:textId="71345648" w:rsidR="008A32F9" w:rsidRPr="00F451E0" w:rsidRDefault="008A32F9" w:rsidP="00F451E0">
      <w:pPr>
        <w:rPr>
          <w:lang w:val="en-GB"/>
        </w:rPr>
      </w:pPr>
      <w:bookmarkStart w:id="31" w:name="_Hlk120545317"/>
      <w:r>
        <w:rPr>
          <w:b/>
          <w:bCs/>
        </w:rPr>
        <w:t>Table 1</w:t>
      </w:r>
      <w:r w:rsidR="00260EF8">
        <w:rPr>
          <w:b/>
          <w:bCs/>
        </w:rPr>
        <w:t>2</w:t>
      </w:r>
      <w:r>
        <w:rPr>
          <w:b/>
          <w:bCs/>
        </w:rPr>
        <w:t xml:space="preserve">: Risk </w:t>
      </w:r>
      <w:r w:rsidR="009C1B38">
        <w:rPr>
          <w:b/>
          <w:bCs/>
        </w:rPr>
        <w:t>m</w:t>
      </w:r>
      <w:r>
        <w:rPr>
          <w:b/>
          <w:bCs/>
        </w:rPr>
        <w:t>itigation for Option A1</w:t>
      </w:r>
    </w:p>
    <w:tbl>
      <w:tblPr>
        <w:tblStyle w:val="PMCDefaultTableStyle"/>
        <w:tblW w:w="0" w:type="auto"/>
        <w:tblLook w:val="04A0" w:firstRow="1" w:lastRow="0" w:firstColumn="1" w:lastColumn="0" w:noHBand="0" w:noVBand="1"/>
      </w:tblPr>
      <w:tblGrid>
        <w:gridCol w:w="2547"/>
        <w:gridCol w:w="3310"/>
        <w:gridCol w:w="3203"/>
      </w:tblGrid>
      <w:tr w:rsidR="005739ED" w14:paraId="4C5F6BCC" w14:textId="77777777" w:rsidTr="004663FF">
        <w:trPr>
          <w:cnfStyle w:val="100000000000" w:firstRow="1" w:lastRow="0" w:firstColumn="0" w:lastColumn="0" w:oddVBand="0" w:evenVBand="0" w:oddHBand="0" w:evenHBand="0" w:firstRowFirstColumn="0" w:firstRowLastColumn="0" w:lastRowFirstColumn="0" w:lastRowLastColumn="0"/>
        </w:trPr>
        <w:tc>
          <w:tcPr>
            <w:tcW w:w="2547" w:type="dxa"/>
          </w:tcPr>
          <w:bookmarkEnd w:id="31"/>
          <w:p w14:paraId="69639422" w14:textId="10483199" w:rsidR="005739ED" w:rsidRDefault="005739ED" w:rsidP="00B261A4">
            <w:pPr>
              <w:pStyle w:val="Bullet"/>
              <w:numPr>
                <w:ilvl w:val="0"/>
                <w:numId w:val="0"/>
              </w:numPr>
            </w:pPr>
            <w:r>
              <w:t>Risk</w:t>
            </w:r>
          </w:p>
        </w:tc>
        <w:tc>
          <w:tcPr>
            <w:tcW w:w="3310" w:type="dxa"/>
          </w:tcPr>
          <w:p w14:paraId="4992CE6C" w14:textId="33EB84F6" w:rsidR="004E6D35" w:rsidRDefault="004E6D35" w:rsidP="0080506D">
            <w:pPr>
              <w:pStyle w:val="Bullet"/>
              <w:numPr>
                <w:ilvl w:val="0"/>
                <w:numId w:val="0"/>
              </w:numPr>
              <w:ind w:left="520"/>
            </w:pPr>
            <w:r>
              <w:t>Assessment</w:t>
            </w:r>
          </w:p>
        </w:tc>
        <w:tc>
          <w:tcPr>
            <w:tcW w:w="3203" w:type="dxa"/>
          </w:tcPr>
          <w:p w14:paraId="2C36C63A" w14:textId="2A4FF8BD" w:rsidR="005739ED" w:rsidRDefault="005739ED" w:rsidP="0080506D">
            <w:pPr>
              <w:pStyle w:val="Bullet"/>
              <w:numPr>
                <w:ilvl w:val="0"/>
                <w:numId w:val="0"/>
              </w:numPr>
              <w:ind w:left="520"/>
            </w:pPr>
            <w:r>
              <w:t>Mitigation</w:t>
            </w:r>
            <w:r w:rsidR="00ED1D94">
              <w:t xml:space="preserve"> steps</w:t>
            </w:r>
          </w:p>
        </w:tc>
      </w:tr>
      <w:tr w:rsidR="005739ED" w14:paraId="3D60CCAB" w14:textId="77777777" w:rsidTr="004663FF">
        <w:trPr>
          <w:cnfStyle w:val="000000100000" w:firstRow="0" w:lastRow="0" w:firstColumn="0" w:lastColumn="0" w:oddVBand="0" w:evenVBand="0" w:oddHBand="1" w:evenHBand="0" w:firstRowFirstColumn="0" w:firstRowLastColumn="0" w:lastRowFirstColumn="0" w:lastRowLastColumn="0"/>
        </w:trPr>
        <w:tc>
          <w:tcPr>
            <w:tcW w:w="2547" w:type="dxa"/>
          </w:tcPr>
          <w:p w14:paraId="03B74AF4" w14:textId="0F576B39" w:rsidR="005739ED" w:rsidRPr="00725383" w:rsidRDefault="005739ED" w:rsidP="004663FF">
            <w:pPr>
              <w:rPr>
                <w:sz w:val="22"/>
                <w:szCs w:val="22"/>
              </w:rPr>
            </w:pPr>
            <w:r w:rsidRPr="00725383">
              <w:t xml:space="preserve">Mandatory </w:t>
            </w:r>
            <w:r w:rsidR="00AB36C1">
              <w:t>C</w:t>
            </w:r>
            <w:r w:rsidRPr="00725383">
              <w:t>ode</w:t>
            </w:r>
            <w:r w:rsidR="00AB36C1">
              <w:t xml:space="preserve"> of Conduct</w:t>
            </w:r>
            <w:r w:rsidRPr="00725383">
              <w:t xml:space="preserve"> is ineffective at addressing </w:t>
            </w:r>
            <w:r w:rsidR="004E6D35" w:rsidRPr="00725383">
              <w:t xml:space="preserve">the </w:t>
            </w:r>
            <w:r w:rsidRPr="00725383">
              <w:t>problem</w:t>
            </w:r>
          </w:p>
        </w:tc>
        <w:tc>
          <w:tcPr>
            <w:tcW w:w="3310" w:type="dxa"/>
          </w:tcPr>
          <w:p w14:paraId="0789044A" w14:textId="45C8BB17" w:rsidR="004E6D35" w:rsidRPr="00725383" w:rsidRDefault="00D70388" w:rsidP="004663FF">
            <w:r w:rsidRPr="00725383">
              <w:t>Likelihood: Moderate</w:t>
            </w:r>
            <w:r w:rsidR="009F0387" w:rsidRPr="00725383">
              <w:t xml:space="preserve"> – </w:t>
            </w:r>
            <w:r w:rsidR="00FD5197">
              <w:t>A</w:t>
            </w:r>
            <w:r w:rsidR="009F0387" w:rsidRPr="00725383">
              <w:t xml:space="preserve"> mandatory Code </w:t>
            </w:r>
            <w:r w:rsidR="00AB36C1">
              <w:t>of Conduct</w:t>
            </w:r>
            <w:r w:rsidR="009F0387" w:rsidRPr="00725383">
              <w:t xml:space="preserve"> only addresses some of the issues driving price and supply issues in energy markets.</w:t>
            </w:r>
          </w:p>
          <w:p w14:paraId="777A49B2" w14:textId="56DD4FDA" w:rsidR="004E6D35" w:rsidRPr="00725383" w:rsidRDefault="00D70388" w:rsidP="004663FF">
            <w:r w:rsidRPr="00725383">
              <w:t>Impact: High</w:t>
            </w:r>
            <w:r w:rsidR="009F0387" w:rsidRPr="00725383">
              <w:t xml:space="preserve"> – Not resolving issues will see </w:t>
            </w:r>
            <w:r w:rsidR="00D059E4" w:rsidRPr="00725383">
              <w:t>h</w:t>
            </w:r>
            <w:r w:rsidR="009E41DE" w:rsidRPr="00725383">
              <w:t xml:space="preserve">igh energy prices persist. </w:t>
            </w:r>
          </w:p>
        </w:tc>
        <w:tc>
          <w:tcPr>
            <w:tcW w:w="3203" w:type="dxa"/>
          </w:tcPr>
          <w:p w14:paraId="2906CBE9" w14:textId="5F0BB7BE" w:rsidR="005739ED" w:rsidRPr="004663FF" w:rsidRDefault="005739ED" w:rsidP="00C44083">
            <w:pPr>
              <w:pStyle w:val="Bullet"/>
              <w:rPr>
                <w:b/>
                <w:sz w:val="22"/>
                <w:szCs w:val="22"/>
              </w:rPr>
            </w:pPr>
            <w:r w:rsidRPr="004663FF">
              <w:t xml:space="preserve">Other measures (including those proposed in this </w:t>
            </w:r>
            <w:r w:rsidR="00F45BE3" w:rsidRPr="004663FF">
              <w:t>IA</w:t>
            </w:r>
            <w:r w:rsidRPr="004663FF">
              <w:t>) are taken to address problem.</w:t>
            </w:r>
          </w:p>
          <w:p w14:paraId="6C68ED6C" w14:textId="64AF010B" w:rsidR="00ED1D94" w:rsidRPr="004663FF" w:rsidRDefault="00ED1D94" w:rsidP="00C44083">
            <w:pPr>
              <w:pStyle w:val="Bullet"/>
              <w:rPr>
                <w:b/>
                <w:sz w:val="22"/>
                <w:szCs w:val="22"/>
              </w:rPr>
            </w:pPr>
            <w:r w:rsidRPr="004663FF">
              <w:t>ACCC monitor and enforce compliance.</w:t>
            </w:r>
          </w:p>
          <w:p w14:paraId="29C31DF3" w14:textId="6E4279E2" w:rsidR="005739ED" w:rsidRPr="004663FF" w:rsidRDefault="000C5925" w:rsidP="00C44083">
            <w:pPr>
              <w:pStyle w:val="Bullet"/>
              <w:rPr>
                <w:b/>
                <w:sz w:val="22"/>
                <w:szCs w:val="22"/>
              </w:rPr>
            </w:pPr>
            <w:r w:rsidRPr="004663FF">
              <w:t xml:space="preserve">Review of Code of Conduct to address performance, with additional refinements </w:t>
            </w:r>
            <w:r>
              <w:t>implemented following review.</w:t>
            </w:r>
          </w:p>
        </w:tc>
      </w:tr>
      <w:tr w:rsidR="005739ED" w14:paraId="6A8BAD98" w14:textId="77777777" w:rsidTr="004663FF">
        <w:trPr>
          <w:cnfStyle w:val="000000010000" w:firstRow="0" w:lastRow="0" w:firstColumn="0" w:lastColumn="0" w:oddVBand="0" w:evenVBand="0" w:oddHBand="0" w:evenHBand="1" w:firstRowFirstColumn="0" w:firstRowLastColumn="0" w:lastRowFirstColumn="0" w:lastRowLastColumn="0"/>
        </w:trPr>
        <w:tc>
          <w:tcPr>
            <w:tcW w:w="2547" w:type="dxa"/>
          </w:tcPr>
          <w:p w14:paraId="67120695" w14:textId="70E81C59" w:rsidR="005739ED" w:rsidRPr="004663FF" w:rsidRDefault="005739ED" w:rsidP="004663FF">
            <w:r w:rsidRPr="00725383">
              <w:t xml:space="preserve">Lack of support from </w:t>
            </w:r>
            <w:r w:rsidR="00ED1D94" w:rsidRPr="00725383">
              <w:t xml:space="preserve">stakeholders </w:t>
            </w:r>
          </w:p>
        </w:tc>
        <w:tc>
          <w:tcPr>
            <w:tcW w:w="3310" w:type="dxa"/>
          </w:tcPr>
          <w:p w14:paraId="77BD7952" w14:textId="0F0B46C9" w:rsidR="004E6D35" w:rsidRPr="00725383" w:rsidRDefault="00D70388" w:rsidP="004663FF">
            <w:r w:rsidRPr="00725383">
              <w:t xml:space="preserve">Likelihood: </w:t>
            </w:r>
            <w:r w:rsidR="0002088D">
              <w:t>Moderate</w:t>
            </w:r>
            <w:r w:rsidR="0002088D" w:rsidRPr="00725383">
              <w:t xml:space="preserve"> </w:t>
            </w:r>
            <w:r w:rsidR="009F0387" w:rsidRPr="00725383">
              <w:t xml:space="preserve">– </w:t>
            </w:r>
            <w:r w:rsidR="0010435B">
              <w:t>Industry</w:t>
            </w:r>
            <w:r w:rsidR="0002088D">
              <w:t xml:space="preserve"> may </w:t>
            </w:r>
            <w:r w:rsidR="00FD5DF2">
              <w:t>oppose</w:t>
            </w:r>
            <w:r w:rsidR="0002088D">
              <w:t xml:space="preserve"> mandatory </w:t>
            </w:r>
            <w:r w:rsidR="00FD5DF2">
              <w:t>Code</w:t>
            </w:r>
            <w:r w:rsidR="00AB36C1">
              <w:t xml:space="preserve"> of Conduct</w:t>
            </w:r>
            <w:r w:rsidR="00FD5DF2">
              <w:t>.</w:t>
            </w:r>
          </w:p>
          <w:p w14:paraId="3409D143" w14:textId="29A57FB6" w:rsidR="004E6D35" w:rsidRPr="00725383" w:rsidRDefault="00D70388" w:rsidP="004663FF">
            <w:r w:rsidRPr="00725383">
              <w:t>Impact: Moderate</w:t>
            </w:r>
            <w:r w:rsidR="009F0387" w:rsidRPr="00725383">
              <w:t xml:space="preserve"> – Impacts on continuing engagement between industry and Government to address price and supply issues. </w:t>
            </w:r>
          </w:p>
        </w:tc>
        <w:tc>
          <w:tcPr>
            <w:tcW w:w="3203" w:type="dxa"/>
          </w:tcPr>
          <w:p w14:paraId="5EBC5B7B" w14:textId="6B9EE89D" w:rsidR="00ED1D94" w:rsidRPr="004663FF" w:rsidRDefault="00ED1D94" w:rsidP="00C44083">
            <w:pPr>
              <w:pStyle w:val="Bullet"/>
              <w:rPr>
                <w:b/>
                <w:sz w:val="22"/>
                <w:szCs w:val="22"/>
              </w:rPr>
            </w:pPr>
            <w:r w:rsidRPr="004663FF">
              <w:t xml:space="preserve">Mandatory </w:t>
            </w:r>
            <w:r w:rsidR="00FD5DF2">
              <w:t>C</w:t>
            </w:r>
            <w:r w:rsidRPr="004663FF">
              <w:t xml:space="preserve">ode </w:t>
            </w:r>
            <w:r w:rsidR="00AB36C1">
              <w:t>of Conduct</w:t>
            </w:r>
            <w:r w:rsidRPr="004663FF">
              <w:t xml:space="preserve"> is formalising existing voluntary Code</w:t>
            </w:r>
            <w:r w:rsidR="00AB36C1">
              <w:t xml:space="preserve"> of Conduct</w:t>
            </w:r>
            <w:r w:rsidRPr="004663FF">
              <w:t>.</w:t>
            </w:r>
          </w:p>
          <w:p w14:paraId="39937F69" w14:textId="0536A6C2" w:rsidR="005739ED" w:rsidRPr="004663FF" w:rsidRDefault="00ED1D94" w:rsidP="00C44083">
            <w:pPr>
              <w:pStyle w:val="Bullet"/>
              <w:rPr>
                <w:b/>
                <w:sz w:val="22"/>
                <w:szCs w:val="22"/>
              </w:rPr>
            </w:pPr>
            <w:r w:rsidRPr="004663FF">
              <w:t xml:space="preserve">Review of </w:t>
            </w:r>
            <w:r w:rsidR="00AB36C1">
              <w:t xml:space="preserve">mandatory </w:t>
            </w:r>
            <w:r w:rsidRPr="004663FF">
              <w:t xml:space="preserve">Code of Conduct to address performance, with additional refinements </w:t>
            </w:r>
            <w:r w:rsidR="000C5925">
              <w:t xml:space="preserve">implemented following review. </w:t>
            </w:r>
          </w:p>
        </w:tc>
      </w:tr>
      <w:tr w:rsidR="00ED1D94" w14:paraId="4D228D3D" w14:textId="77777777" w:rsidTr="004663FF">
        <w:trPr>
          <w:cnfStyle w:val="000000100000" w:firstRow="0" w:lastRow="0" w:firstColumn="0" w:lastColumn="0" w:oddVBand="0" w:evenVBand="0" w:oddHBand="1" w:evenHBand="0" w:firstRowFirstColumn="0" w:firstRowLastColumn="0" w:lastRowFirstColumn="0" w:lastRowLastColumn="0"/>
        </w:trPr>
        <w:tc>
          <w:tcPr>
            <w:tcW w:w="2547" w:type="dxa"/>
          </w:tcPr>
          <w:p w14:paraId="3BB3209B" w14:textId="716E1D91" w:rsidR="00ED1D94" w:rsidRPr="004663FF" w:rsidRDefault="00ED1D94" w:rsidP="004663FF">
            <w:r w:rsidRPr="00725383">
              <w:t xml:space="preserve">ACCC lack capability to monitor and enforce </w:t>
            </w:r>
            <w:r w:rsidR="00AB36C1">
              <w:t>mandatory</w:t>
            </w:r>
            <w:r w:rsidRPr="00725383">
              <w:t xml:space="preserve"> Code</w:t>
            </w:r>
            <w:r w:rsidR="00AB36C1">
              <w:t xml:space="preserve"> of Conduct</w:t>
            </w:r>
          </w:p>
        </w:tc>
        <w:tc>
          <w:tcPr>
            <w:tcW w:w="3310" w:type="dxa"/>
          </w:tcPr>
          <w:p w14:paraId="182B302A" w14:textId="293D6F6F" w:rsidR="004E6D35" w:rsidRPr="00725383" w:rsidRDefault="00D70388" w:rsidP="004663FF">
            <w:r w:rsidRPr="00725383">
              <w:t>Likelihood: Low</w:t>
            </w:r>
            <w:r w:rsidR="009E41DE" w:rsidRPr="00725383">
              <w:t xml:space="preserve"> – ACCC are an established regulator operating under an existing framework.</w:t>
            </w:r>
          </w:p>
          <w:p w14:paraId="0526F20E" w14:textId="221138B0" w:rsidR="004E6D35" w:rsidRPr="00725383" w:rsidRDefault="00D70388" w:rsidP="004663FF">
            <w:r w:rsidRPr="00725383">
              <w:t>Impact: High</w:t>
            </w:r>
            <w:r w:rsidR="009E41DE" w:rsidRPr="00725383">
              <w:t xml:space="preserve"> – Failure to monitor and enforce </w:t>
            </w:r>
            <w:r w:rsidR="00AB36C1">
              <w:t xml:space="preserve">mandatory </w:t>
            </w:r>
            <w:r w:rsidR="009E41DE" w:rsidRPr="00725383">
              <w:t xml:space="preserve">Code </w:t>
            </w:r>
            <w:r w:rsidR="00AB36C1">
              <w:t>of Conduct</w:t>
            </w:r>
            <w:r w:rsidR="009E41DE" w:rsidRPr="00725383">
              <w:t xml:space="preserve"> will see non-compliance. </w:t>
            </w:r>
          </w:p>
        </w:tc>
        <w:tc>
          <w:tcPr>
            <w:tcW w:w="3203" w:type="dxa"/>
          </w:tcPr>
          <w:p w14:paraId="6D17197E" w14:textId="77777777" w:rsidR="00ED1D94" w:rsidRPr="004663FF" w:rsidRDefault="00ED1D94" w:rsidP="00C44083">
            <w:pPr>
              <w:pStyle w:val="Bullet"/>
              <w:rPr>
                <w:b/>
              </w:rPr>
            </w:pPr>
            <w:r w:rsidRPr="004663FF">
              <w:t>ACCC is utilising its existing capability and powers and receiving additional resourcing (including for its ongoing Gas Inquiry) as announced previous by Government.</w:t>
            </w:r>
          </w:p>
          <w:p w14:paraId="61F69E44" w14:textId="20F80177" w:rsidR="00ED1D94" w:rsidRPr="004663FF" w:rsidRDefault="00D70388" w:rsidP="00C44083">
            <w:pPr>
              <w:pStyle w:val="Bullet"/>
              <w:rPr>
                <w:b/>
                <w:sz w:val="22"/>
                <w:szCs w:val="22"/>
              </w:rPr>
            </w:pPr>
            <w:r w:rsidRPr="004663FF">
              <w:t xml:space="preserve">Additional powers are being provided through the preferred option. </w:t>
            </w:r>
          </w:p>
        </w:tc>
      </w:tr>
    </w:tbl>
    <w:p w14:paraId="70DCEB50" w14:textId="039F76C3" w:rsidR="002D3F0C" w:rsidRDefault="002D3F0C" w:rsidP="00C73DB3"/>
    <w:p w14:paraId="14DD00FC" w14:textId="77777777" w:rsidR="008A32F9" w:rsidRDefault="008A32F9" w:rsidP="00C73DB3"/>
    <w:p w14:paraId="04AE73AF" w14:textId="61CC887A" w:rsidR="00F9179E" w:rsidRDefault="00BE625E" w:rsidP="00312DC7">
      <w:pPr>
        <w:pStyle w:val="HeaderOdd"/>
      </w:pPr>
      <w:r>
        <w:t xml:space="preserve">Option </w:t>
      </w:r>
      <w:r w:rsidR="00AA3A31">
        <w:rPr>
          <w:bCs/>
        </w:rPr>
        <w:t>A</w:t>
      </w:r>
      <w:r w:rsidR="009B5C5F">
        <w:t>4</w:t>
      </w:r>
      <w:r w:rsidR="00F9179E">
        <w:rPr>
          <w:bCs/>
        </w:rPr>
        <w:t>: Gas</w:t>
      </w:r>
      <w:r>
        <w:rPr>
          <w:bCs/>
        </w:rPr>
        <w:t xml:space="preserve"> </w:t>
      </w:r>
      <w:r w:rsidR="00F9179E">
        <w:rPr>
          <w:bCs/>
        </w:rPr>
        <w:t>p</w:t>
      </w:r>
      <w:r w:rsidR="00595944" w:rsidRPr="00636FD4">
        <w:rPr>
          <w:bCs/>
        </w:rPr>
        <w:t>rice cap</w:t>
      </w:r>
    </w:p>
    <w:p w14:paraId="27E38114" w14:textId="12114769" w:rsidR="00BD150D" w:rsidRDefault="00CF6F3B" w:rsidP="00C73DB3">
      <w:bookmarkStart w:id="32" w:name="_Hlk120526658"/>
      <w:r>
        <w:t xml:space="preserve">A price cap on wholesale gas will be set at a level which reflects the costs of </w:t>
      </w:r>
      <w:r w:rsidR="00BD1372">
        <w:t>gas production</w:t>
      </w:r>
      <w:r>
        <w:t xml:space="preserve">, </w:t>
      </w:r>
      <w:r w:rsidR="0084382A">
        <w:t xml:space="preserve">including </w:t>
      </w:r>
      <w:r>
        <w:t xml:space="preserve">a reasonable </w:t>
      </w:r>
      <w:r w:rsidR="00BD1372">
        <w:t>return on capital</w:t>
      </w:r>
      <w:r>
        <w:t xml:space="preserve"> for gas available for immediate supply from </w:t>
      </w:r>
      <w:r w:rsidR="00BD1372">
        <w:t xml:space="preserve">undeveloped </w:t>
      </w:r>
      <w:r w:rsidR="0097395C">
        <w:t>fields</w:t>
      </w:r>
      <w:r w:rsidR="00BD1372">
        <w:t>.</w:t>
      </w:r>
      <w:r w:rsidDel="00BD150D">
        <w:t xml:space="preserve"> </w:t>
      </w:r>
      <w:r w:rsidR="00F96CE9">
        <w:t>Similar</w:t>
      </w:r>
      <w:r w:rsidR="00240520">
        <w:t>ly</w:t>
      </w:r>
      <w:r w:rsidR="004B7911">
        <w:t>,</w:t>
      </w:r>
      <w:r w:rsidR="00F96CE9">
        <w:t xml:space="preserve"> to the mandatory </w:t>
      </w:r>
      <w:r w:rsidR="00BE7727">
        <w:t>C</w:t>
      </w:r>
      <w:r w:rsidR="00F96CE9">
        <w:t>ode</w:t>
      </w:r>
      <w:r w:rsidR="00BE7727">
        <w:t xml:space="preserve"> of Conduct</w:t>
      </w:r>
      <w:r w:rsidR="00F96CE9">
        <w:t>,</w:t>
      </w:r>
      <w:r w:rsidR="00F96CE9" w:rsidRPr="00F96CE9">
        <w:t xml:space="preserve"> </w:t>
      </w:r>
      <w:r w:rsidR="00BD150D">
        <w:t xml:space="preserve">timeframes for the implementation of a price cap on wholesale gas are all subject to the passing of legislation.  </w:t>
      </w:r>
    </w:p>
    <w:p w14:paraId="7BF71333" w14:textId="7369A687" w:rsidR="00BD150D" w:rsidRDefault="00F96CE9" w:rsidP="00C73DB3">
      <w:r w:rsidRPr="00DE1C85" w:rsidDel="00F96CE9">
        <w:t>L</w:t>
      </w:r>
      <w:r w:rsidRPr="00DE1C85">
        <w:t xml:space="preserve">egislation will be required to implement </w:t>
      </w:r>
      <w:r w:rsidRPr="00DE1C85" w:rsidDel="00F96CE9">
        <w:t xml:space="preserve">the </w:t>
      </w:r>
      <w:r>
        <w:t>price cap</w:t>
      </w:r>
      <w:r w:rsidR="00BD150D">
        <w:t xml:space="preserve"> on wholesale gas</w:t>
      </w:r>
      <w:r>
        <w:t>, likely through amendments to</w:t>
      </w:r>
      <w:r w:rsidRPr="00DE1C85">
        <w:t xml:space="preserve"> </w:t>
      </w:r>
      <w:r>
        <w:t>t</w:t>
      </w:r>
      <w:r w:rsidRPr="00DE1C85">
        <w:t xml:space="preserve">he </w:t>
      </w:r>
      <w:r w:rsidR="00244CAB">
        <w:t>CCA</w:t>
      </w:r>
      <w:r>
        <w:t xml:space="preserve">. </w:t>
      </w:r>
      <w:r w:rsidR="00CF6F3B">
        <w:t xml:space="preserve">Legislation would require that gas which is sold via bilateral contract at the wholesale level and sourced from </w:t>
      </w:r>
      <w:r w:rsidR="0084382A">
        <w:t xml:space="preserve">developed </w:t>
      </w:r>
      <w:r w:rsidR="00CF6F3B">
        <w:t xml:space="preserve">gas fields be sold at a ‘reasonable price’, with reasonable prices </w:t>
      </w:r>
      <w:r w:rsidR="00CF6F3B">
        <w:lastRenderedPageBreak/>
        <w:t xml:space="preserve">deemed to be those falling below a cap which would apply on a temporary basis for 12 months. </w:t>
      </w:r>
      <w:r>
        <w:t>A</w:t>
      </w:r>
      <w:r w:rsidR="00B50361">
        <w:t xml:space="preserve">mendments </w:t>
      </w:r>
      <w:r>
        <w:t>to</w:t>
      </w:r>
      <w:r w:rsidR="00F9179E">
        <w:t xml:space="preserve"> ensure the enforceability of the price cap, including imposing penalties for supplying gas above the price cap or breaching standards or obligations contained in the code</w:t>
      </w:r>
      <w:r>
        <w:t xml:space="preserve"> would also be made.  </w:t>
      </w:r>
    </w:p>
    <w:p w14:paraId="75A49B7A" w14:textId="1E7DD50F" w:rsidR="00164EBA" w:rsidRDefault="00CF6F3B" w:rsidP="00C73DB3">
      <w:r>
        <w:t>Following legislative changes, a</w:t>
      </w:r>
      <w:r w:rsidR="006053A5">
        <w:t xml:space="preserve"> brief, targeted consultation on the level of the price cap will provide certainty that $12</w:t>
      </w:r>
      <w:r w:rsidR="001C4C98">
        <w:t>/</w:t>
      </w:r>
      <w:r w:rsidR="006053A5">
        <w:t>GJ accurately reflects producers’ current costs and a reasonable rate of return.</w:t>
      </w:r>
      <w:r>
        <w:t xml:space="preserve"> The price cap can then be </w:t>
      </w:r>
      <w:r w:rsidR="007B03B3">
        <w:t>implemented</w:t>
      </w:r>
      <w:r>
        <w:t xml:space="preserve"> through </w:t>
      </w:r>
      <w:r w:rsidR="007B03B3">
        <w:t>subordinate instruments as soon as possible</w:t>
      </w:r>
      <w:r w:rsidR="00F9179E">
        <w:t xml:space="preserve">. </w:t>
      </w:r>
    </w:p>
    <w:bookmarkEnd w:id="32"/>
    <w:p w14:paraId="002665D7" w14:textId="4EFC653F" w:rsidR="00F77EC3" w:rsidRDefault="00F9179E" w:rsidP="00C73DB3">
      <w:r>
        <w:t xml:space="preserve">The price cap, would be reviewed </w:t>
      </w:r>
      <w:r w:rsidR="00DB4972">
        <w:t xml:space="preserve">after implementation </w:t>
      </w:r>
      <w:r w:rsidR="007B03B3">
        <w:t xml:space="preserve">to ensure </w:t>
      </w:r>
      <w:r w:rsidR="001C3D19">
        <w:t>it</w:t>
      </w:r>
      <w:r w:rsidR="007B03B3">
        <w:t xml:space="preserve"> is having the intended effect and consider whether it is necessary to adjust or extend the cap.</w:t>
      </w:r>
      <w:r>
        <w:t xml:space="preserve"> </w:t>
      </w:r>
      <w:r w:rsidR="00A10E51">
        <w:t xml:space="preserve">The effectiveness of the price cap will be measured by comparing the realised retail energy prices to those forecast by Treasury for the status quo scenario. </w:t>
      </w:r>
      <w:r w:rsidR="001C3D19">
        <w:t>However, i</w:t>
      </w:r>
      <w:r w:rsidR="00A10E51">
        <w:t xml:space="preserve">t is important to note the challenges in isolating the impact of the price cap alone, given the broader range of factors that can influence retail energy prices. </w:t>
      </w:r>
      <w:r w:rsidR="00F77EC3">
        <w:t xml:space="preserve"> </w:t>
      </w:r>
    </w:p>
    <w:p w14:paraId="2C32B983" w14:textId="7104C9C8" w:rsidR="00A10E51" w:rsidRDefault="00A10E51" w:rsidP="00A10E51">
      <w:r>
        <w:t xml:space="preserve">The timeframes and the steps for implementation of the price cap for gas are as follows: </w:t>
      </w:r>
    </w:p>
    <w:p w14:paraId="4BE5E57B" w14:textId="229A298F" w:rsidR="00BB7CAC" w:rsidRDefault="00BB7CAC" w:rsidP="00BB7CAC">
      <w:pPr>
        <w:pStyle w:val="ListParagraph"/>
        <w:numPr>
          <w:ilvl w:val="6"/>
          <w:numId w:val="123"/>
        </w:numPr>
      </w:pPr>
      <w:r>
        <w:t xml:space="preserve">Release of consultation paper to inform design of the </w:t>
      </w:r>
      <w:r w:rsidR="00A532D1">
        <w:t xml:space="preserve">price </w:t>
      </w:r>
      <w:r>
        <w:t>cap.</w:t>
      </w:r>
    </w:p>
    <w:p w14:paraId="0F392766" w14:textId="2E9EC1B0" w:rsidR="00A532D1" w:rsidRDefault="00A532D1" w:rsidP="00BB7CAC">
      <w:pPr>
        <w:pStyle w:val="ListParagraph"/>
        <w:numPr>
          <w:ilvl w:val="6"/>
          <w:numId w:val="123"/>
        </w:numPr>
      </w:pPr>
      <w:r>
        <w:t>Legislation to implement the price cap.</w:t>
      </w:r>
    </w:p>
    <w:p w14:paraId="0E242DB0" w14:textId="7C6F5561" w:rsidR="00BD150D" w:rsidRDefault="00A532D1" w:rsidP="00836C0D">
      <w:pPr>
        <w:pStyle w:val="ListParagraph"/>
        <w:numPr>
          <w:ilvl w:val="6"/>
          <w:numId w:val="2"/>
        </w:numPr>
      </w:pPr>
      <w:r>
        <w:t>A</w:t>
      </w:r>
      <w:r w:rsidR="00A10E51">
        <w:t xml:space="preserve"> review of the price cap will be completed </w:t>
      </w:r>
      <w:r w:rsidR="00DB4972">
        <w:t xml:space="preserve">after </w:t>
      </w:r>
      <w:r w:rsidR="00F67149">
        <w:t xml:space="preserve">6 months </w:t>
      </w:r>
      <w:r w:rsidR="00A10E51">
        <w:t>to ensure the price cap is having the intended effect and consider whether it is necessary to adjust or extend the cap.</w:t>
      </w:r>
      <w:r w:rsidR="00E24567">
        <w:t xml:space="preserve"> The review would also examine any unintended effects and offer an opportunity to course correct.</w:t>
      </w:r>
    </w:p>
    <w:p w14:paraId="24E35C03" w14:textId="37268679" w:rsidR="008A32F9" w:rsidRPr="00AD7E3A" w:rsidRDefault="008A32F9" w:rsidP="00386FE8">
      <w:pPr>
        <w:keepNext/>
        <w:rPr>
          <w:lang w:val="en-GB"/>
        </w:rPr>
      </w:pPr>
      <w:r>
        <w:rPr>
          <w:b/>
          <w:bCs/>
        </w:rPr>
        <w:t>Table 1</w:t>
      </w:r>
      <w:r w:rsidR="00260EF8">
        <w:rPr>
          <w:b/>
          <w:bCs/>
        </w:rPr>
        <w:t>3</w:t>
      </w:r>
      <w:r>
        <w:rPr>
          <w:b/>
          <w:bCs/>
        </w:rPr>
        <w:t xml:space="preserve">: Risk </w:t>
      </w:r>
      <w:r w:rsidR="00C47D73">
        <w:rPr>
          <w:b/>
          <w:bCs/>
        </w:rPr>
        <w:t>m</w:t>
      </w:r>
      <w:r>
        <w:rPr>
          <w:b/>
          <w:bCs/>
        </w:rPr>
        <w:t>itigation for Option A4</w:t>
      </w:r>
    </w:p>
    <w:tbl>
      <w:tblPr>
        <w:tblStyle w:val="PMCDefaultTableStyle"/>
        <w:tblW w:w="0" w:type="auto"/>
        <w:tblLook w:val="04A0" w:firstRow="1" w:lastRow="0" w:firstColumn="1" w:lastColumn="0" w:noHBand="0" w:noVBand="1"/>
      </w:tblPr>
      <w:tblGrid>
        <w:gridCol w:w="3146"/>
        <w:gridCol w:w="2725"/>
        <w:gridCol w:w="3189"/>
      </w:tblGrid>
      <w:tr w:rsidR="004A15D3" w14:paraId="2298650D" w14:textId="77777777" w:rsidTr="00386FE8">
        <w:trPr>
          <w:cnfStyle w:val="100000000000" w:firstRow="1" w:lastRow="0" w:firstColumn="0" w:lastColumn="0" w:oddVBand="0" w:evenVBand="0" w:oddHBand="0" w:evenHBand="0" w:firstRowFirstColumn="0" w:firstRowLastColumn="0" w:lastRowFirstColumn="0" w:lastRowLastColumn="0"/>
        </w:trPr>
        <w:tc>
          <w:tcPr>
            <w:tcW w:w="3146" w:type="dxa"/>
          </w:tcPr>
          <w:p w14:paraId="4142CE2E" w14:textId="77777777" w:rsidR="004A15D3" w:rsidRDefault="004A15D3" w:rsidP="003A69A7">
            <w:pPr>
              <w:pStyle w:val="Bullet"/>
              <w:numPr>
                <w:ilvl w:val="0"/>
                <w:numId w:val="0"/>
              </w:numPr>
              <w:ind w:left="520"/>
            </w:pPr>
            <w:r>
              <w:t>Risk</w:t>
            </w:r>
          </w:p>
        </w:tc>
        <w:tc>
          <w:tcPr>
            <w:tcW w:w="2725" w:type="dxa"/>
          </w:tcPr>
          <w:p w14:paraId="677A5B29" w14:textId="2D531D43" w:rsidR="004A15D3" w:rsidRDefault="004A15D3" w:rsidP="0080506D">
            <w:pPr>
              <w:pStyle w:val="Bullet"/>
              <w:numPr>
                <w:ilvl w:val="0"/>
                <w:numId w:val="0"/>
              </w:numPr>
              <w:ind w:left="520"/>
            </w:pPr>
            <w:r>
              <w:t>Assessment</w:t>
            </w:r>
          </w:p>
        </w:tc>
        <w:tc>
          <w:tcPr>
            <w:tcW w:w="3189" w:type="dxa"/>
          </w:tcPr>
          <w:p w14:paraId="3AEC9EE4" w14:textId="19584306" w:rsidR="004A15D3" w:rsidRDefault="004A15D3" w:rsidP="0080506D">
            <w:pPr>
              <w:pStyle w:val="Bullet"/>
              <w:numPr>
                <w:ilvl w:val="0"/>
                <w:numId w:val="0"/>
              </w:numPr>
              <w:ind w:left="520"/>
            </w:pPr>
            <w:r>
              <w:t>Mitigation steps</w:t>
            </w:r>
          </w:p>
        </w:tc>
      </w:tr>
      <w:tr w:rsidR="004E6D35" w:rsidRPr="005C68A3" w14:paraId="0810AF55" w14:textId="77777777" w:rsidTr="00386FE8">
        <w:trPr>
          <w:cnfStyle w:val="000000100000" w:firstRow="0" w:lastRow="0" w:firstColumn="0" w:lastColumn="0" w:oddVBand="0" w:evenVBand="0" w:oddHBand="1" w:evenHBand="0" w:firstRowFirstColumn="0" w:firstRowLastColumn="0" w:lastRowFirstColumn="0" w:lastRowLastColumn="0"/>
        </w:trPr>
        <w:tc>
          <w:tcPr>
            <w:tcW w:w="3146" w:type="dxa"/>
          </w:tcPr>
          <w:p w14:paraId="4B695D7E" w14:textId="0F5B4061" w:rsidR="004E6D35" w:rsidRPr="00195AFF" w:rsidRDefault="004E6D35" w:rsidP="00386FE8">
            <w:r w:rsidRPr="00195AFF">
              <w:t>Price cap is not set at right level</w:t>
            </w:r>
          </w:p>
        </w:tc>
        <w:tc>
          <w:tcPr>
            <w:tcW w:w="2725" w:type="dxa"/>
          </w:tcPr>
          <w:p w14:paraId="1BB78569" w14:textId="20382051" w:rsidR="004E6D35" w:rsidRPr="00195AFF" w:rsidRDefault="00D70388" w:rsidP="00386FE8">
            <w:r w:rsidRPr="00195AFF">
              <w:t xml:space="preserve">Likelihood: </w:t>
            </w:r>
            <w:r w:rsidR="00621C96">
              <w:t>Moderate</w:t>
            </w:r>
            <w:r w:rsidR="009E41DE" w:rsidRPr="00195AFF">
              <w:t xml:space="preserve"> – </w:t>
            </w:r>
            <w:r w:rsidR="004A15D3" w:rsidRPr="00195AFF">
              <w:t xml:space="preserve">Assessment of price based off long-term production history </w:t>
            </w:r>
            <w:r w:rsidR="009E41DE" w:rsidRPr="00195AFF">
              <w:t xml:space="preserve">and industry consultation. </w:t>
            </w:r>
          </w:p>
          <w:p w14:paraId="20C2611B" w14:textId="475C3025" w:rsidR="004E6D35" w:rsidRPr="00195AFF" w:rsidRDefault="00D70388" w:rsidP="00386FE8">
            <w:r w:rsidRPr="00195AFF">
              <w:t>Impact: High</w:t>
            </w:r>
            <w:r w:rsidR="009E41DE" w:rsidRPr="00195AFF">
              <w:t xml:space="preserve"> – Gas producers would not receive appropriate returns or consumers will pay higher than necessary prices.</w:t>
            </w:r>
          </w:p>
        </w:tc>
        <w:tc>
          <w:tcPr>
            <w:tcW w:w="3189" w:type="dxa"/>
          </w:tcPr>
          <w:p w14:paraId="2D8E3BAD" w14:textId="1EB5E377" w:rsidR="004E6D35" w:rsidRPr="00386FE8" w:rsidRDefault="004E6D35" w:rsidP="00C44083">
            <w:pPr>
              <w:pStyle w:val="Bullet"/>
              <w:rPr>
                <w:b/>
              </w:rPr>
            </w:pPr>
            <w:r w:rsidRPr="00386FE8">
              <w:t>Initial public consultation on level of price cap</w:t>
            </w:r>
            <w:r w:rsidR="00B14511" w:rsidRPr="00386FE8">
              <w:t xml:space="preserve"> (including transparency in setting cap).</w:t>
            </w:r>
          </w:p>
          <w:p w14:paraId="317F7E80" w14:textId="221AA227" w:rsidR="004E6D35" w:rsidRPr="00386FE8" w:rsidRDefault="004E6D35" w:rsidP="00C44083">
            <w:pPr>
              <w:pStyle w:val="Bullet"/>
              <w:rPr>
                <w:b/>
              </w:rPr>
            </w:pPr>
            <w:r w:rsidRPr="00386FE8">
              <w:t xml:space="preserve">Review of price cap </w:t>
            </w:r>
            <w:r w:rsidR="00DB4972">
              <w:t>after implementation</w:t>
            </w:r>
            <w:r w:rsidR="00B14511" w:rsidRPr="00386FE8">
              <w:t>.</w:t>
            </w:r>
          </w:p>
          <w:p w14:paraId="0F564889" w14:textId="5C01AC7E" w:rsidR="004E6D35" w:rsidRPr="00386FE8" w:rsidRDefault="004E6D35" w:rsidP="00C44083">
            <w:pPr>
              <w:pStyle w:val="Bullet"/>
              <w:rPr>
                <w:b/>
              </w:rPr>
            </w:pPr>
            <w:r w:rsidRPr="00386FE8">
              <w:t xml:space="preserve">Only applies to </w:t>
            </w:r>
            <w:r w:rsidR="0084382A">
              <w:t>developed</w:t>
            </w:r>
            <w:r w:rsidR="0084382A" w:rsidRPr="00386FE8">
              <w:t xml:space="preserve"> </w:t>
            </w:r>
            <w:r w:rsidRPr="00386FE8">
              <w:t>gas fields where cost of production is known</w:t>
            </w:r>
            <w:r w:rsidR="00B14511" w:rsidRPr="00386FE8">
              <w:t>.</w:t>
            </w:r>
          </w:p>
          <w:p w14:paraId="736F18A0" w14:textId="65091A50" w:rsidR="004E6D35" w:rsidRPr="00386FE8" w:rsidRDefault="00A80628" w:rsidP="00C44083">
            <w:pPr>
              <w:pStyle w:val="Bullet"/>
              <w:rPr>
                <w:b/>
              </w:rPr>
            </w:pPr>
            <w:r w:rsidRPr="00386FE8">
              <w:t>Initial p</w:t>
            </w:r>
            <w:r w:rsidR="00D70388" w:rsidRPr="00386FE8">
              <w:t xml:space="preserve">rice cap is </w:t>
            </w:r>
            <w:r w:rsidRPr="00386FE8">
              <w:t>set for 12 months.</w:t>
            </w:r>
            <w:r w:rsidR="00D70388" w:rsidRPr="00386FE8">
              <w:t xml:space="preserve"> </w:t>
            </w:r>
            <w:r w:rsidR="00F57FC2" w:rsidRPr="00386FE8">
              <w:t xml:space="preserve"> </w:t>
            </w:r>
          </w:p>
        </w:tc>
      </w:tr>
      <w:tr w:rsidR="004E6D35" w:rsidRPr="005C68A3" w14:paraId="3C6071B9" w14:textId="77777777" w:rsidTr="00386FE8">
        <w:trPr>
          <w:cnfStyle w:val="000000010000" w:firstRow="0" w:lastRow="0" w:firstColumn="0" w:lastColumn="0" w:oddVBand="0" w:evenVBand="0" w:oddHBand="0" w:evenHBand="1" w:firstRowFirstColumn="0" w:firstRowLastColumn="0" w:lastRowFirstColumn="0" w:lastRowLastColumn="0"/>
        </w:trPr>
        <w:tc>
          <w:tcPr>
            <w:tcW w:w="3146" w:type="dxa"/>
          </w:tcPr>
          <w:p w14:paraId="03231771" w14:textId="4E024E6A" w:rsidR="004E6D35" w:rsidRPr="00195AFF" w:rsidRDefault="004E6D35" w:rsidP="00386FE8">
            <w:r w:rsidRPr="00195AFF">
              <w:t>Deters future investment</w:t>
            </w:r>
          </w:p>
        </w:tc>
        <w:tc>
          <w:tcPr>
            <w:tcW w:w="2725" w:type="dxa"/>
          </w:tcPr>
          <w:p w14:paraId="757F6B19" w14:textId="2445262A" w:rsidR="004E6D35" w:rsidRPr="00195AFF" w:rsidRDefault="00D70388" w:rsidP="00386FE8">
            <w:r w:rsidRPr="00195AFF">
              <w:t>Likelihood: Moderate</w:t>
            </w:r>
            <w:r w:rsidR="009E41DE" w:rsidRPr="00195AFF">
              <w:t xml:space="preserve"> – Investors may be wary to make future investments given the precedent value and cap on potential profits.</w:t>
            </w:r>
          </w:p>
          <w:p w14:paraId="32EB6272" w14:textId="44E0AB87" w:rsidR="004E6D35" w:rsidRPr="00195AFF" w:rsidRDefault="00D70388" w:rsidP="00386FE8">
            <w:r w:rsidRPr="00195AFF">
              <w:t>Impact: High</w:t>
            </w:r>
            <w:r w:rsidR="009E41DE" w:rsidRPr="00195AFF">
              <w:t xml:space="preserve"> – Reduces investment and may lead to a long-term reduction in gas supplies provided domestically. </w:t>
            </w:r>
          </w:p>
        </w:tc>
        <w:tc>
          <w:tcPr>
            <w:tcW w:w="3189" w:type="dxa"/>
          </w:tcPr>
          <w:p w14:paraId="5BD18A2A" w14:textId="7EEBF0E6" w:rsidR="004A15D3" w:rsidRPr="00386FE8" w:rsidRDefault="004A15D3" w:rsidP="004A15D3">
            <w:pPr>
              <w:pStyle w:val="Bullet"/>
              <w:rPr>
                <w:b/>
              </w:rPr>
            </w:pPr>
            <w:r w:rsidRPr="00386FE8">
              <w:t xml:space="preserve">Initial price cap is set for 12 months. </w:t>
            </w:r>
          </w:p>
          <w:p w14:paraId="66399204" w14:textId="47434420" w:rsidR="004E6D35" w:rsidRPr="00386FE8" w:rsidRDefault="004E6D35" w:rsidP="00C44083">
            <w:pPr>
              <w:pStyle w:val="Bullet"/>
              <w:rPr>
                <w:b/>
              </w:rPr>
            </w:pPr>
            <w:r w:rsidRPr="00386FE8">
              <w:t xml:space="preserve">Only applies to </w:t>
            </w:r>
            <w:r w:rsidR="0084382A">
              <w:t>developed</w:t>
            </w:r>
            <w:r w:rsidR="0084382A" w:rsidRPr="00386FE8">
              <w:t xml:space="preserve"> </w:t>
            </w:r>
            <w:r w:rsidRPr="00386FE8">
              <w:t>gas fields</w:t>
            </w:r>
            <w:r w:rsidR="00B14511" w:rsidRPr="00386FE8">
              <w:t>.</w:t>
            </w:r>
            <w:r w:rsidR="00DC3640" w:rsidRPr="00386FE8">
              <w:t xml:space="preserve"> </w:t>
            </w:r>
          </w:p>
          <w:p w14:paraId="5F683906" w14:textId="6DCF1DFE" w:rsidR="004E6D35" w:rsidRPr="00386FE8" w:rsidRDefault="00B14511" w:rsidP="00C44083">
            <w:pPr>
              <w:pStyle w:val="Bullet"/>
              <w:rPr>
                <w:b/>
              </w:rPr>
            </w:pPr>
            <w:r w:rsidRPr="00386FE8">
              <w:t>Price cap is set at a level that allows reasonable profit.</w:t>
            </w:r>
            <w:r w:rsidR="00DC3640" w:rsidRPr="00386FE8">
              <w:t xml:space="preserve"> </w:t>
            </w:r>
          </w:p>
        </w:tc>
      </w:tr>
      <w:tr w:rsidR="004E6D35" w:rsidRPr="005C68A3" w14:paraId="7D7CA3C6" w14:textId="77777777" w:rsidTr="00386FE8">
        <w:trPr>
          <w:cnfStyle w:val="000000100000" w:firstRow="0" w:lastRow="0" w:firstColumn="0" w:lastColumn="0" w:oddVBand="0" w:evenVBand="0" w:oddHBand="1" w:evenHBand="0" w:firstRowFirstColumn="0" w:firstRowLastColumn="0" w:lastRowFirstColumn="0" w:lastRowLastColumn="0"/>
        </w:trPr>
        <w:tc>
          <w:tcPr>
            <w:tcW w:w="3146" w:type="dxa"/>
          </w:tcPr>
          <w:p w14:paraId="5AF7982D" w14:textId="44F1017E" w:rsidR="004E6D35" w:rsidRPr="00195AFF" w:rsidRDefault="004E6D35" w:rsidP="00386FE8">
            <w:r w:rsidRPr="00195AFF">
              <w:lastRenderedPageBreak/>
              <w:t>Price cap is ineffective at addressing the problem</w:t>
            </w:r>
          </w:p>
        </w:tc>
        <w:tc>
          <w:tcPr>
            <w:tcW w:w="2725" w:type="dxa"/>
          </w:tcPr>
          <w:p w14:paraId="6A4839F7" w14:textId="60F65108" w:rsidR="004E6D35" w:rsidRPr="00195AFF" w:rsidRDefault="00B14511" w:rsidP="00386FE8">
            <w:r w:rsidRPr="00195AFF">
              <w:t>Likelihood: Low</w:t>
            </w:r>
            <w:r w:rsidR="009E41DE" w:rsidRPr="00195AFF">
              <w:t xml:space="preserve"> – A price cap on gas directly addresses one of the leading causes of the current price shock. </w:t>
            </w:r>
          </w:p>
          <w:p w14:paraId="755C20DA" w14:textId="3559F7AF" w:rsidR="004E6D35" w:rsidRPr="00195AFF" w:rsidRDefault="00B14511" w:rsidP="00386FE8">
            <w:r w:rsidRPr="00195AFF">
              <w:t>Impact: High</w:t>
            </w:r>
            <w:r w:rsidR="009E41DE" w:rsidRPr="00195AFF">
              <w:t xml:space="preserve"> –</w:t>
            </w:r>
            <w:r w:rsidR="00FD5197">
              <w:t xml:space="preserve"> </w:t>
            </w:r>
            <w:r w:rsidR="002274FD" w:rsidRPr="00195AFF">
              <w:t>C</w:t>
            </w:r>
            <w:r w:rsidR="009E41DE" w:rsidRPr="00195AFF">
              <w:t xml:space="preserve">onsumers continue to pay a higher than necessary price for their </w:t>
            </w:r>
            <w:r w:rsidR="002274FD" w:rsidRPr="00195AFF">
              <w:t xml:space="preserve">energy. </w:t>
            </w:r>
          </w:p>
        </w:tc>
        <w:tc>
          <w:tcPr>
            <w:tcW w:w="3189" w:type="dxa"/>
          </w:tcPr>
          <w:p w14:paraId="45656FB0" w14:textId="02403C76" w:rsidR="004E6D35" w:rsidRPr="00386FE8" w:rsidRDefault="004E6D35" w:rsidP="00C44083">
            <w:pPr>
              <w:pStyle w:val="Bullet"/>
              <w:rPr>
                <w:b/>
              </w:rPr>
            </w:pPr>
            <w:r w:rsidRPr="00386FE8">
              <w:t>Other measures (including those proposed in this RIS) are taken to address problem.</w:t>
            </w:r>
          </w:p>
          <w:p w14:paraId="6D298942" w14:textId="77777777" w:rsidR="004E6D35" w:rsidRPr="00386FE8" w:rsidRDefault="004E6D35" w:rsidP="00C44083">
            <w:pPr>
              <w:pStyle w:val="Bullet"/>
              <w:rPr>
                <w:b/>
              </w:rPr>
            </w:pPr>
            <w:r w:rsidRPr="00386FE8">
              <w:t>Evaluation of impact by comparing realised energy prices against Treasury forecasts.</w:t>
            </w:r>
          </w:p>
          <w:p w14:paraId="45A7BA3B" w14:textId="3BBC5369" w:rsidR="00B14511" w:rsidRPr="00386FE8" w:rsidRDefault="00B14511" w:rsidP="00C44083">
            <w:pPr>
              <w:pStyle w:val="Bullet"/>
              <w:rPr>
                <w:b/>
              </w:rPr>
            </w:pPr>
            <w:r w:rsidRPr="00386FE8">
              <w:t>AER monitoring to ensure price reduction is passed on to consumers.</w:t>
            </w:r>
          </w:p>
          <w:p w14:paraId="6795EB9C" w14:textId="32F57A38" w:rsidR="004E6D35" w:rsidRPr="00386FE8" w:rsidRDefault="004E6D35" w:rsidP="00C44083">
            <w:pPr>
              <w:pStyle w:val="Bullet"/>
              <w:rPr>
                <w:b/>
              </w:rPr>
            </w:pPr>
            <w:r w:rsidRPr="00386FE8">
              <w:t xml:space="preserve">Review of price cap </w:t>
            </w:r>
            <w:r w:rsidR="00DB4972">
              <w:t>after implementation</w:t>
            </w:r>
            <w:r w:rsidRPr="00386FE8">
              <w:t>.</w:t>
            </w:r>
          </w:p>
        </w:tc>
      </w:tr>
      <w:tr w:rsidR="0050592C" w:rsidRPr="005C68A3" w14:paraId="57749297" w14:textId="77777777" w:rsidTr="00386FE8">
        <w:trPr>
          <w:cnfStyle w:val="000000010000" w:firstRow="0" w:lastRow="0" w:firstColumn="0" w:lastColumn="0" w:oddVBand="0" w:evenVBand="0" w:oddHBand="0" w:evenHBand="1" w:firstRowFirstColumn="0" w:firstRowLastColumn="0" w:lastRowFirstColumn="0" w:lastRowLastColumn="0"/>
        </w:trPr>
        <w:tc>
          <w:tcPr>
            <w:tcW w:w="3146" w:type="dxa"/>
          </w:tcPr>
          <w:p w14:paraId="5E5F508C" w14:textId="15C77AC4" w:rsidR="00B14511" w:rsidRPr="00195AFF" w:rsidRDefault="00B14511" w:rsidP="00386FE8">
            <w:r w:rsidRPr="00195AFF">
              <w:t>Supply is diverted to export markets</w:t>
            </w:r>
            <w:r w:rsidR="00D419B5">
              <w:t xml:space="preserve"> or</w:t>
            </w:r>
            <w:r w:rsidRPr="00195AFF">
              <w:t xml:space="preserve"> storage</w:t>
            </w:r>
          </w:p>
        </w:tc>
        <w:tc>
          <w:tcPr>
            <w:tcW w:w="2725" w:type="dxa"/>
          </w:tcPr>
          <w:p w14:paraId="770B8E2B" w14:textId="1E37F5E6" w:rsidR="00B14511" w:rsidRPr="00195AFF" w:rsidRDefault="00E465E9" w:rsidP="00386FE8">
            <w:r w:rsidRPr="00195AFF">
              <w:t xml:space="preserve">Likelihood: </w:t>
            </w:r>
            <w:r w:rsidR="00F67149">
              <w:t>Low</w:t>
            </w:r>
            <w:r w:rsidR="00FD5197" w:rsidRPr="00195AFF">
              <w:t xml:space="preserve"> – </w:t>
            </w:r>
            <w:r w:rsidR="002274FD" w:rsidRPr="00195AFF">
              <w:t>Producers have an incentive to divert to higher-price export markets or store for later use once price cap expires.</w:t>
            </w:r>
          </w:p>
          <w:p w14:paraId="09A1FC87" w14:textId="67A6585F" w:rsidR="00E465E9" w:rsidRPr="00195AFF" w:rsidRDefault="00E465E9" w:rsidP="00386FE8">
            <w:r w:rsidRPr="00195AFF">
              <w:t>Impact: High</w:t>
            </w:r>
            <w:r w:rsidR="002274FD" w:rsidRPr="00195AFF">
              <w:t xml:space="preserve"> – Diversion to export markets risks an energy shortfall. </w:t>
            </w:r>
          </w:p>
        </w:tc>
        <w:tc>
          <w:tcPr>
            <w:tcW w:w="3189" w:type="dxa"/>
          </w:tcPr>
          <w:p w14:paraId="2357A13A" w14:textId="49F1052F" w:rsidR="00B14511" w:rsidRPr="00386FE8" w:rsidRDefault="00E465E9" w:rsidP="00C44083">
            <w:pPr>
              <w:pStyle w:val="Bullet"/>
              <w:rPr>
                <w:b/>
              </w:rPr>
            </w:pPr>
            <w:r w:rsidRPr="00386FE8">
              <w:t>Reform</w:t>
            </w:r>
            <w:r w:rsidR="00C17C42" w:rsidRPr="00386FE8">
              <w:t>ed</w:t>
            </w:r>
            <w:r w:rsidRPr="00386FE8">
              <w:t xml:space="preserve"> ADGSM will prevent supply shortfall. </w:t>
            </w:r>
          </w:p>
          <w:p w14:paraId="386FB4F7" w14:textId="5C869D40" w:rsidR="00E465E9" w:rsidRPr="00386FE8" w:rsidRDefault="00E465E9" w:rsidP="00C44083">
            <w:pPr>
              <w:pStyle w:val="Bullet"/>
              <w:rPr>
                <w:b/>
              </w:rPr>
            </w:pPr>
            <w:r w:rsidRPr="00386FE8">
              <w:t>Price cap set to allow reasonable profit.</w:t>
            </w:r>
          </w:p>
          <w:p w14:paraId="26618F93" w14:textId="7C7C2138" w:rsidR="00E465E9" w:rsidRPr="00386FE8" w:rsidRDefault="00A80628" w:rsidP="00C95D98">
            <w:pPr>
              <w:pStyle w:val="Bullet"/>
            </w:pPr>
            <w:r w:rsidRPr="00386FE8">
              <w:t xml:space="preserve">Initial price cap is set for 12 months. </w:t>
            </w:r>
          </w:p>
        </w:tc>
      </w:tr>
      <w:tr w:rsidR="0050592C" w:rsidRPr="005C68A3" w14:paraId="18195B99" w14:textId="77777777" w:rsidTr="00386FE8">
        <w:trPr>
          <w:cnfStyle w:val="000000100000" w:firstRow="0" w:lastRow="0" w:firstColumn="0" w:lastColumn="0" w:oddVBand="0" w:evenVBand="0" w:oddHBand="1" w:evenHBand="0" w:firstRowFirstColumn="0" w:firstRowLastColumn="0" w:lastRowFirstColumn="0" w:lastRowLastColumn="0"/>
        </w:trPr>
        <w:tc>
          <w:tcPr>
            <w:tcW w:w="3146" w:type="dxa"/>
          </w:tcPr>
          <w:p w14:paraId="1E089D12" w14:textId="77551C9E" w:rsidR="00C17C42" w:rsidRPr="00195AFF" w:rsidRDefault="00C17C42" w:rsidP="00386FE8">
            <w:r w:rsidRPr="00195AFF">
              <w:t>Risk to Australia’s reputation as an investment destination.</w:t>
            </w:r>
          </w:p>
        </w:tc>
        <w:tc>
          <w:tcPr>
            <w:tcW w:w="2725" w:type="dxa"/>
          </w:tcPr>
          <w:p w14:paraId="1E1F3498" w14:textId="465D7C25" w:rsidR="00C17C42" w:rsidRPr="00195AFF" w:rsidRDefault="00C17C42" w:rsidP="00386FE8">
            <w:r w:rsidRPr="00195AFF">
              <w:t>Likelihood: Moderate</w:t>
            </w:r>
            <w:r w:rsidR="002274FD" w:rsidRPr="00195AFF">
              <w:t xml:space="preserve"> – Investors may consider a temporary price cap may be a sign of future Government intervention. </w:t>
            </w:r>
          </w:p>
          <w:p w14:paraId="4B7E83EB" w14:textId="0424F830" w:rsidR="00C17C42" w:rsidRPr="00195AFF" w:rsidRDefault="00C17C42" w:rsidP="00386FE8">
            <w:r w:rsidRPr="00195AFF">
              <w:t xml:space="preserve">Impact: </w:t>
            </w:r>
            <w:r w:rsidR="00216267">
              <w:t>Low</w:t>
            </w:r>
            <w:r w:rsidR="00216267" w:rsidRPr="00195AFF">
              <w:t xml:space="preserve"> </w:t>
            </w:r>
            <w:r w:rsidR="002274FD" w:rsidRPr="00195AFF">
              <w:t xml:space="preserve">– </w:t>
            </w:r>
            <w:r w:rsidR="00216267">
              <w:t>Investors</w:t>
            </w:r>
            <w:r w:rsidR="002274FD" w:rsidRPr="00195AFF">
              <w:t xml:space="preserve"> may be less willing to make the significant investments needed to support the energy transition. </w:t>
            </w:r>
          </w:p>
        </w:tc>
        <w:tc>
          <w:tcPr>
            <w:tcW w:w="3189" w:type="dxa"/>
          </w:tcPr>
          <w:p w14:paraId="0310E1E4" w14:textId="77777777" w:rsidR="00A80628" w:rsidRPr="00386FE8" w:rsidRDefault="00A80628" w:rsidP="00C44083">
            <w:pPr>
              <w:pStyle w:val="Bullet"/>
              <w:rPr>
                <w:b/>
              </w:rPr>
            </w:pPr>
            <w:r w:rsidRPr="00386FE8">
              <w:t xml:space="preserve">Initial price cap is set for 12 months. </w:t>
            </w:r>
          </w:p>
          <w:p w14:paraId="7D6B406F" w14:textId="77777777" w:rsidR="00C17C42" w:rsidRPr="00386FE8" w:rsidRDefault="00C17C42" w:rsidP="00C44083">
            <w:pPr>
              <w:pStyle w:val="Bullet"/>
              <w:rPr>
                <w:b/>
              </w:rPr>
            </w:pPr>
            <w:r w:rsidRPr="00386FE8">
              <w:t>Price cap set to allow reasonable profit.</w:t>
            </w:r>
          </w:p>
          <w:p w14:paraId="4F97BA0B" w14:textId="7A995E1B" w:rsidR="00C17C42" w:rsidRPr="00386FE8" w:rsidRDefault="00C17C42" w:rsidP="00C95D98">
            <w:pPr>
              <w:pStyle w:val="Bullet"/>
            </w:pPr>
            <w:r w:rsidRPr="00386FE8">
              <w:t xml:space="preserve">Price cap only applies to </w:t>
            </w:r>
            <w:r w:rsidR="0084382A">
              <w:t>developed</w:t>
            </w:r>
            <w:r w:rsidR="0084382A" w:rsidRPr="00386FE8">
              <w:t xml:space="preserve"> </w:t>
            </w:r>
            <w:r w:rsidRPr="00386FE8">
              <w:t xml:space="preserve">gas fields. </w:t>
            </w:r>
          </w:p>
        </w:tc>
      </w:tr>
      <w:tr w:rsidR="006A68D2" w:rsidRPr="005C68A3" w14:paraId="6BB8819A" w14:textId="77777777" w:rsidTr="00386FE8">
        <w:trPr>
          <w:cnfStyle w:val="000000010000" w:firstRow="0" w:lastRow="0" w:firstColumn="0" w:lastColumn="0" w:oddVBand="0" w:evenVBand="0" w:oddHBand="0" w:evenHBand="1" w:firstRowFirstColumn="0" w:firstRowLastColumn="0" w:lastRowFirstColumn="0" w:lastRowLastColumn="0"/>
        </w:trPr>
        <w:tc>
          <w:tcPr>
            <w:tcW w:w="3146" w:type="dxa"/>
          </w:tcPr>
          <w:p w14:paraId="700DE4E0" w14:textId="4770C75D" w:rsidR="006A68D2" w:rsidRPr="00195AFF" w:rsidRDefault="006A68D2" w:rsidP="00386FE8">
            <w:r>
              <w:t>Unintended or unforeseen consequences of introducing price cap</w:t>
            </w:r>
          </w:p>
        </w:tc>
        <w:tc>
          <w:tcPr>
            <w:tcW w:w="2725" w:type="dxa"/>
          </w:tcPr>
          <w:p w14:paraId="2E292E24" w14:textId="77777777" w:rsidR="006A68D2" w:rsidRDefault="006A68D2" w:rsidP="00386FE8">
            <w:r>
              <w:t>Likelihood: Moderate – Introducing a price cap would be a significant change to the operation of the market.</w:t>
            </w:r>
          </w:p>
          <w:p w14:paraId="60124E6C" w14:textId="289E8996" w:rsidR="006A68D2" w:rsidRPr="00195AFF" w:rsidRDefault="006A68D2" w:rsidP="00386FE8">
            <w:r>
              <w:t>Impact: High –</w:t>
            </w:r>
            <w:r w:rsidR="00FD5197">
              <w:t xml:space="preserve"> A price cap</w:t>
            </w:r>
            <w:r>
              <w:t xml:space="preserve"> could have short- or long-term impact of the operation of market.</w:t>
            </w:r>
          </w:p>
        </w:tc>
        <w:tc>
          <w:tcPr>
            <w:tcW w:w="3189" w:type="dxa"/>
          </w:tcPr>
          <w:p w14:paraId="2FE3C9BC" w14:textId="77777777" w:rsidR="006A68D2" w:rsidRDefault="006A68D2" w:rsidP="00C44083">
            <w:pPr>
              <w:pStyle w:val="Bullet"/>
            </w:pPr>
            <w:r>
              <w:t>Initial price cap is set for 12 months.</w:t>
            </w:r>
          </w:p>
          <w:p w14:paraId="42633343" w14:textId="77777777" w:rsidR="006A68D2" w:rsidRDefault="006A68D2" w:rsidP="00C44083">
            <w:pPr>
              <w:pStyle w:val="Bullet"/>
            </w:pPr>
            <w:r>
              <w:t>Price cap set to allow reasonable profit.</w:t>
            </w:r>
          </w:p>
          <w:p w14:paraId="3957788D" w14:textId="68BC33E2" w:rsidR="006A68D2" w:rsidRPr="00386FE8" w:rsidRDefault="006A68D2" w:rsidP="00C44083">
            <w:pPr>
              <w:pStyle w:val="Bullet"/>
            </w:pPr>
            <w:r>
              <w:t xml:space="preserve">Price cap only applies to </w:t>
            </w:r>
            <w:r w:rsidR="0084382A">
              <w:t xml:space="preserve">developed </w:t>
            </w:r>
            <w:r>
              <w:t>fields.</w:t>
            </w:r>
          </w:p>
        </w:tc>
      </w:tr>
    </w:tbl>
    <w:p w14:paraId="45AE9A71" w14:textId="77777777" w:rsidR="00CB5627" w:rsidRDefault="00CB5627" w:rsidP="00A44E95"/>
    <w:p w14:paraId="5D674D5C" w14:textId="171F4B88" w:rsidR="00DC3453" w:rsidRPr="009F3367" w:rsidRDefault="00DC3453" w:rsidP="00FE30AD">
      <w:pPr>
        <w:pStyle w:val="HeaderOdd"/>
      </w:pPr>
      <w:r w:rsidRPr="009F3367">
        <w:rPr>
          <w:bCs/>
        </w:rPr>
        <w:t>Option A</w:t>
      </w:r>
      <w:r w:rsidR="001D5459">
        <w:rPr>
          <w:bCs/>
        </w:rPr>
        <w:t>5</w:t>
      </w:r>
      <w:r w:rsidRPr="009F3367">
        <w:rPr>
          <w:bCs/>
        </w:rPr>
        <w:t xml:space="preserve">: Bringing forward commencement of reforms to the </w:t>
      </w:r>
      <w:r w:rsidR="00460303">
        <w:rPr>
          <w:bCs/>
        </w:rPr>
        <w:t>ADGSM</w:t>
      </w:r>
    </w:p>
    <w:p w14:paraId="13602FD6" w14:textId="38F3104B" w:rsidR="004B0578" w:rsidRDefault="00627A75" w:rsidP="008A5ADF">
      <w:r>
        <w:t xml:space="preserve">The bringing forward of the ADGSM reforms already scheduled for commencement in July 2023 will complement the price cap on east-coast wholesale gas supplied via bilateral trades, by ensuring domestic supply in the face of price controls in the domestic market. </w:t>
      </w:r>
    </w:p>
    <w:p w14:paraId="7C072969" w14:textId="2570B108" w:rsidR="00A77433" w:rsidRPr="000003B7" w:rsidRDefault="004B0578" w:rsidP="00FE30AD">
      <w:pPr>
        <w:rPr>
          <w:lang w:val="en-GB"/>
        </w:rPr>
      </w:pPr>
      <w:r>
        <w:t>The implementation of reforms to the ADGSM</w:t>
      </w:r>
      <w:r w:rsidR="00A77433">
        <w:t>, as well as evaluation methods</w:t>
      </w:r>
      <w:r w:rsidR="0010435B">
        <w:t>,</w:t>
      </w:r>
      <w:r w:rsidR="00A77433">
        <w:t xml:space="preserve"> </w:t>
      </w:r>
      <w:r>
        <w:t xml:space="preserve">are highlighted in </w:t>
      </w:r>
      <w:r w:rsidR="00A77433">
        <w:t xml:space="preserve">the Impact Analysis </w:t>
      </w:r>
      <w:r w:rsidR="00CF57DF" w:rsidRPr="00CF57DF">
        <w:t>OBPR22-02706</w:t>
      </w:r>
      <w:r w:rsidR="00A77433">
        <w:t xml:space="preserve"> completed in October 2022. </w:t>
      </w:r>
      <w:r w:rsidR="00A77433" w:rsidRPr="000003B7">
        <w:rPr>
          <w:lang w:val="en-GB"/>
        </w:rPr>
        <w:t>Delivering the recommended changes to the ADGSM will require:</w:t>
      </w:r>
    </w:p>
    <w:p w14:paraId="39CC9835" w14:textId="77777777" w:rsidR="00A77433" w:rsidRPr="000003B7" w:rsidRDefault="00A77433" w:rsidP="00A77433">
      <w:pPr>
        <w:pStyle w:val="BodyText"/>
        <w:numPr>
          <w:ilvl w:val="0"/>
          <w:numId w:val="124"/>
        </w:numPr>
        <w:spacing w:after="120" w:line="264" w:lineRule="auto"/>
        <w:rPr>
          <w:lang w:val="en-GB"/>
        </w:rPr>
      </w:pPr>
      <w:r w:rsidRPr="000003B7">
        <w:rPr>
          <w:lang w:val="en-GB"/>
        </w:rPr>
        <w:t>Implementation of changes to the mechanism, including amending legislation</w:t>
      </w:r>
    </w:p>
    <w:p w14:paraId="78F7F4DA" w14:textId="5E4F82DC" w:rsidR="00A77433" w:rsidRPr="000003B7" w:rsidRDefault="00A77433" w:rsidP="00A77433">
      <w:pPr>
        <w:pStyle w:val="BodyText"/>
        <w:numPr>
          <w:ilvl w:val="0"/>
          <w:numId w:val="124"/>
        </w:numPr>
        <w:spacing w:after="120" w:line="264" w:lineRule="auto"/>
        <w:rPr>
          <w:lang w:val="en-GB"/>
        </w:rPr>
      </w:pPr>
      <w:r w:rsidRPr="000003B7">
        <w:rPr>
          <w:lang w:val="en-GB"/>
        </w:rPr>
        <w:lastRenderedPageBreak/>
        <w:t>Ongoing monitoring, evaluation</w:t>
      </w:r>
      <w:r w:rsidR="00FE072F" w:rsidRPr="000003B7">
        <w:rPr>
          <w:lang w:val="en-GB"/>
        </w:rPr>
        <w:t>,</w:t>
      </w:r>
      <w:r w:rsidRPr="000003B7">
        <w:rPr>
          <w:lang w:val="en-GB"/>
        </w:rPr>
        <w:t xml:space="preserve"> and review, both of implemented changes and broader domestic gas security. </w:t>
      </w:r>
    </w:p>
    <w:p w14:paraId="71CAD31E" w14:textId="77777777" w:rsidR="00A77433" w:rsidRDefault="00A77433" w:rsidP="00A77433">
      <w:pPr>
        <w:pStyle w:val="BodyText"/>
      </w:pPr>
      <w:r w:rsidRPr="00995D2B">
        <w:t xml:space="preserve">As a ‘backstop’ measure that is only activated under certain conditions, the ADGSM does not require the same level of monitoring and evaluation of day-to-day operation and impacts as other types of government mechanisms. </w:t>
      </w:r>
      <w:r>
        <w:t>As such, the mechanism would primarily be monitored and evaluated in two ways:</w:t>
      </w:r>
    </w:p>
    <w:p w14:paraId="0D1224E8" w14:textId="77777777" w:rsidR="00A77433" w:rsidRDefault="00A77433" w:rsidP="00A77433">
      <w:pPr>
        <w:pStyle w:val="BodyText"/>
        <w:numPr>
          <w:ilvl w:val="0"/>
          <w:numId w:val="125"/>
        </w:numPr>
        <w:spacing w:after="120" w:line="264" w:lineRule="auto"/>
      </w:pPr>
      <w:r>
        <w:t>Temporary monitoring of the performance of the mechanism during periods it is activated</w:t>
      </w:r>
    </w:p>
    <w:p w14:paraId="0C1E8744" w14:textId="77777777" w:rsidR="00A77433" w:rsidRDefault="00A77433" w:rsidP="00A77433">
      <w:pPr>
        <w:pStyle w:val="BodyText"/>
        <w:numPr>
          <w:ilvl w:val="0"/>
          <w:numId w:val="125"/>
        </w:numPr>
        <w:spacing w:after="120" w:line="264" w:lineRule="auto"/>
      </w:pPr>
      <w:r>
        <w:t xml:space="preserve">Periodic reviews of the longer-run performance of the mechanism (e.g., as a backstop to encourage supplier behaviour). </w:t>
      </w:r>
    </w:p>
    <w:p w14:paraId="6BC509A8" w14:textId="77777777" w:rsidR="00A77433" w:rsidRDefault="00A77433" w:rsidP="00A77433">
      <w:pPr>
        <w:pStyle w:val="BodyText"/>
      </w:pPr>
      <w:r>
        <w:t>To this end, a review has been scheduled for 2025, as part of the extension of the ADGSM until 2030. In the review, the following matters must be addressed:</w:t>
      </w:r>
    </w:p>
    <w:p w14:paraId="011072E9" w14:textId="675D5BD4" w:rsidR="00A77433" w:rsidRDefault="00A77433" w:rsidP="00A77433">
      <w:pPr>
        <w:pStyle w:val="BodyText"/>
        <w:numPr>
          <w:ilvl w:val="0"/>
          <w:numId w:val="126"/>
        </w:numPr>
        <w:spacing w:after="120" w:line="264" w:lineRule="auto"/>
      </w:pPr>
      <w:r>
        <w:t xml:space="preserve">the effectiveness and efficiency of the ADGSM, including its ability to ensure sufficient supply of natural gas for Australian customers and with a minimum of disruption to Australia’s LNG industry. </w:t>
      </w:r>
    </w:p>
    <w:p w14:paraId="6F15184D" w14:textId="77777777" w:rsidR="00A77433" w:rsidRDefault="00A77433" w:rsidP="00A77433">
      <w:pPr>
        <w:pStyle w:val="BodyText"/>
        <w:numPr>
          <w:ilvl w:val="0"/>
          <w:numId w:val="126"/>
        </w:numPr>
        <w:spacing w:after="120" w:line="264" w:lineRule="auto"/>
      </w:pPr>
      <w:r>
        <w:t xml:space="preserve">the impact of the ADGSM on the competitiveness of Australia’s LNG industry, and Australia’s international reputation for quality and reliability and as an investment destination. </w:t>
      </w:r>
    </w:p>
    <w:p w14:paraId="17524301" w14:textId="76A9E20A" w:rsidR="00A77433" w:rsidRDefault="00A77433" w:rsidP="00A77433">
      <w:pPr>
        <w:pStyle w:val="BodyText"/>
        <w:numPr>
          <w:ilvl w:val="0"/>
          <w:numId w:val="126"/>
        </w:numPr>
        <w:spacing w:after="120" w:line="264" w:lineRule="auto"/>
      </w:pPr>
      <w:r>
        <w:t>the impact of the ADGSM on the development of new and additional gas resources and market functions</w:t>
      </w:r>
      <w:r w:rsidR="00A32A56">
        <w:t>.</w:t>
      </w:r>
    </w:p>
    <w:p w14:paraId="49E13423" w14:textId="2443CF34" w:rsidR="00A77433" w:rsidRDefault="00A77433" w:rsidP="00A77433">
      <w:pPr>
        <w:pStyle w:val="BodyText"/>
        <w:numPr>
          <w:ilvl w:val="0"/>
          <w:numId w:val="126"/>
        </w:numPr>
        <w:spacing w:after="120" w:line="264" w:lineRule="auto"/>
      </w:pPr>
      <w:r>
        <w:t>whether improvements can be made to the ADGSM and whether there are appropriate alternative mechanisms to achieve the same objectives that the ADGSM legislation hopes to achieve</w:t>
      </w:r>
      <w:r w:rsidR="00A32A56">
        <w:t>.</w:t>
      </w:r>
    </w:p>
    <w:p w14:paraId="5F99F416" w14:textId="0356DBF5" w:rsidR="00A77433" w:rsidRDefault="00A77433" w:rsidP="00A77433">
      <w:pPr>
        <w:pStyle w:val="BodyText"/>
        <w:numPr>
          <w:ilvl w:val="0"/>
          <w:numId w:val="126"/>
        </w:numPr>
        <w:spacing w:after="120" w:line="264" w:lineRule="auto"/>
      </w:pPr>
      <w:r>
        <w:t>whether the ADGSM legislation should be amended or repealed</w:t>
      </w:r>
      <w:r w:rsidR="00A32A56">
        <w:t>.</w:t>
      </w:r>
    </w:p>
    <w:p w14:paraId="3035D3DF" w14:textId="0398CD1B" w:rsidR="00A77433" w:rsidRDefault="00A77433" w:rsidP="00A77433">
      <w:pPr>
        <w:pStyle w:val="BodyText"/>
        <w:numPr>
          <w:ilvl w:val="0"/>
          <w:numId w:val="126"/>
        </w:numPr>
        <w:spacing w:after="120" w:line="264" w:lineRule="auto"/>
      </w:pPr>
      <w:r>
        <w:t xml:space="preserve">any other considerations the Minister </w:t>
      </w:r>
      <w:r w:rsidR="00A32A56">
        <w:t>for Resources</w:t>
      </w:r>
      <w:r>
        <w:t xml:space="preserve"> considers relevant.</w:t>
      </w:r>
    </w:p>
    <w:p w14:paraId="5A5BD4F8" w14:textId="13F54D9D" w:rsidR="00DD564E" w:rsidRDefault="00DC3640" w:rsidP="00C73DB3">
      <w:r>
        <w:t xml:space="preserve">Risk identification and mitigation were considered as part of the impact assessment for the ADGSM reforms completed in October 2022. </w:t>
      </w:r>
    </w:p>
    <w:p w14:paraId="03B47245" w14:textId="60F30EEB" w:rsidR="007D1A42" w:rsidRDefault="007D1A42" w:rsidP="008A5ADF"/>
    <w:bookmarkEnd w:id="30"/>
    <w:p w14:paraId="6DBEE4D3" w14:textId="7DDAC042" w:rsidR="00042E98" w:rsidRDefault="00042E98" w:rsidP="008A5ADF"/>
    <w:p w14:paraId="6E15327C" w14:textId="77777777" w:rsidR="0036639E" w:rsidRDefault="0036639E" w:rsidP="008A5ADF"/>
    <w:p w14:paraId="610A6238" w14:textId="77777777" w:rsidR="0036639E" w:rsidRDefault="0036639E" w:rsidP="008A5ADF"/>
    <w:p w14:paraId="089B7467" w14:textId="77777777" w:rsidR="00B1773E" w:rsidRDefault="00B1773E">
      <w:pPr>
        <w:spacing w:line="276" w:lineRule="auto"/>
        <w:rPr>
          <w:rFonts w:asciiTheme="majorHAnsi" w:hAnsiTheme="majorHAnsi"/>
          <w:b/>
          <w:color w:val="5F5F5F" w:themeColor="text2"/>
          <w:sz w:val="52"/>
          <w:szCs w:val="52"/>
        </w:rPr>
      </w:pPr>
      <w:r>
        <w:rPr>
          <w:sz w:val="52"/>
          <w:szCs w:val="52"/>
        </w:rPr>
        <w:br w:type="page"/>
      </w:r>
    </w:p>
    <w:p w14:paraId="2D846DDB" w14:textId="5AE9EF43" w:rsidR="005C4C00" w:rsidRPr="00745D7A" w:rsidRDefault="005C4C00" w:rsidP="00017B5D">
      <w:pPr>
        <w:pStyle w:val="Heading1"/>
        <w:rPr>
          <w:b w:val="0"/>
          <w:sz w:val="52"/>
          <w:szCs w:val="52"/>
        </w:rPr>
      </w:pPr>
      <w:bookmarkStart w:id="33" w:name="_Toc121406879"/>
      <w:r w:rsidRPr="00745D7A">
        <w:rPr>
          <w:sz w:val="52"/>
          <w:szCs w:val="52"/>
        </w:rPr>
        <w:lastRenderedPageBreak/>
        <w:t xml:space="preserve">Appendix A: Further Background on the </w:t>
      </w:r>
      <w:r w:rsidR="00E31FE2">
        <w:rPr>
          <w:sz w:val="52"/>
          <w:szCs w:val="52"/>
        </w:rPr>
        <w:t>NEM and ADGSM</w:t>
      </w:r>
      <w:bookmarkEnd w:id="33"/>
    </w:p>
    <w:p w14:paraId="38ABE4B0" w14:textId="57ED76F4" w:rsidR="000F6CE6" w:rsidRDefault="000F6CE6" w:rsidP="000F6CE6">
      <w:pPr>
        <w:pStyle w:val="HeaderOdd"/>
      </w:pPr>
      <w:r>
        <w:t>The National Electricity Market</w:t>
      </w:r>
      <w:r w:rsidR="00E31FE2">
        <w:t xml:space="preserve"> (NEM)</w:t>
      </w:r>
    </w:p>
    <w:p w14:paraId="4C7744D9" w14:textId="4792B402" w:rsidR="005C4C00" w:rsidRPr="00801175" w:rsidRDefault="005C4C00" w:rsidP="005C4C00">
      <w:r>
        <w:t xml:space="preserve">The NEM is a wholesale electricity market connecting the six eastern and southern states and territories. WA </w:t>
      </w:r>
      <w:r w:rsidR="005458F6">
        <w:t>is</w:t>
      </w:r>
      <w:r>
        <w:t xml:space="preserve"> not connected to the NEM as they have their own electricity systems and are governed under separate regulatory arrangements. </w:t>
      </w:r>
    </w:p>
    <w:p w14:paraId="16990DF4" w14:textId="77777777" w:rsidR="005C4C00" w:rsidRPr="000F6CE6" w:rsidRDefault="005C4C00" w:rsidP="000F6CE6">
      <w:pPr>
        <w:rPr>
          <w:b/>
        </w:rPr>
      </w:pPr>
      <w:r w:rsidRPr="000F6CE6">
        <w:rPr>
          <w:b/>
        </w:rPr>
        <w:t xml:space="preserve">How the NEM Spot Market Works </w:t>
      </w:r>
    </w:p>
    <w:p w14:paraId="08B90A4F" w14:textId="18845175" w:rsidR="005C4C00" w:rsidRDefault="005C4C00" w:rsidP="005C4C00">
      <w:pPr>
        <w:spacing w:line="240" w:lineRule="auto"/>
      </w:pPr>
      <w:r>
        <w:t>Generators offer to supply the market with a certain volume of electricity for a bid price</w:t>
      </w:r>
      <w:r w:rsidR="00D32AD2">
        <w:t xml:space="preserve"> for 5-minute periods</w:t>
      </w:r>
      <w:r>
        <w:t>. AEMO accepts those offers from</w:t>
      </w:r>
      <w:r w:rsidDel="007048E4">
        <w:t xml:space="preserve"> the </w:t>
      </w:r>
      <w:r>
        <w:t xml:space="preserve">lowest priced generator up until enough volume has been secured to meet the demand for that time interval. </w:t>
      </w:r>
    </w:p>
    <w:p w14:paraId="3DCD22CF" w14:textId="0A200190" w:rsidR="005C4C00" w:rsidRDefault="005C4C00" w:rsidP="005C4C00">
      <w:pPr>
        <w:spacing w:line="240" w:lineRule="auto"/>
      </w:pPr>
      <w:r>
        <w:t xml:space="preserve">The price of the last highest-priced marginal offer accepted in each </w:t>
      </w:r>
      <w:r w:rsidR="00D32AD2">
        <w:t xml:space="preserve">5-minute </w:t>
      </w:r>
      <w:r>
        <w:t>interval sets the market price. This is known as the price setter and every generator whose energy is dispatched is paid that same ‘dispatch’ price.</w:t>
      </w:r>
    </w:p>
    <w:p w14:paraId="01BD3C30" w14:textId="77777777" w:rsidR="005C4C00" w:rsidRDefault="005C4C00" w:rsidP="005C4C00">
      <w:pPr>
        <w:spacing w:line="240" w:lineRule="auto"/>
      </w:pPr>
      <w:r>
        <w:t xml:space="preserve">The National Electricity Rules (NER) sets a market price cap and cumulative price threshold for the NEM. </w:t>
      </w:r>
    </w:p>
    <w:p w14:paraId="53BAC0DF" w14:textId="77777777" w:rsidR="005C4C00" w:rsidRDefault="005C4C00" w:rsidP="005C4C00">
      <w:pPr>
        <w:spacing w:line="240" w:lineRule="auto"/>
      </w:pPr>
      <w:r>
        <w:t xml:space="preserve">The market price cap is the maximum price that can be reached on the spot market during any dispatch and trading interval. The cumulative price threshold is the maximum price across seven days’ worth of trade.   </w:t>
      </w:r>
    </w:p>
    <w:p w14:paraId="6B0EEF05" w14:textId="77777777" w:rsidR="00155018" w:rsidRPr="00EB690B" w:rsidRDefault="00155018" w:rsidP="00155018">
      <w:pPr>
        <w:keepNext/>
        <w:rPr>
          <w:lang w:val="en-GB"/>
        </w:rPr>
      </w:pPr>
      <w:r>
        <w:rPr>
          <w:b/>
          <w:bCs/>
        </w:rPr>
        <w:t>Table 14: Energy Price Thresholds</w:t>
      </w:r>
    </w:p>
    <w:p w14:paraId="6C046B0B" w14:textId="637109C8" w:rsidR="00843426" w:rsidRPr="00155018" w:rsidRDefault="005C4C00">
      <w:pPr>
        <w:spacing w:line="240" w:lineRule="auto"/>
      </w:pPr>
      <w:r>
        <w:t>The market price cap and cumulative price threshold for the 2022-23 financial year is:</w:t>
      </w:r>
    </w:p>
    <w:tbl>
      <w:tblPr>
        <w:tblStyle w:val="PMCDefaultTableStyle"/>
        <w:tblW w:w="0" w:type="auto"/>
        <w:tblLook w:val="04A0" w:firstRow="1" w:lastRow="0" w:firstColumn="1" w:lastColumn="0" w:noHBand="0" w:noVBand="1"/>
      </w:tblPr>
      <w:tblGrid>
        <w:gridCol w:w="3664"/>
        <w:gridCol w:w="3665"/>
      </w:tblGrid>
      <w:tr w:rsidR="005C4C00" w14:paraId="5D7111C4" w14:textId="77777777" w:rsidTr="00F875CF">
        <w:trPr>
          <w:cnfStyle w:val="100000000000" w:firstRow="1" w:lastRow="0" w:firstColumn="0" w:lastColumn="0" w:oddVBand="0" w:evenVBand="0" w:oddHBand="0" w:evenHBand="0" w:firstRowFirstColumn="0" w:firstRowLastColumn="0" w:lastRowFirstColumn="0" w:lastRowLastColumn="0"/>
          <w:trHeight w:val="270"/>
        </w:trPr>
        <w:tc>
          <w:tcPr>
            <w:tcW w:w="3664" w:type="dxa"/>
          </w:tcPr>
          <w:p w14:paraId="39326851" w14:textId="77777777" w:rsidR="005C4C00" w:rsidRDefault="005C4C00" w:rsidP="0004133B">
            <w:pPr>
              <w:jc w:val="center"/>
            </w:pPr>
          </w:p>
        </w:tc>
        <w:tc>
          <w:tcPr>
            <w:tcW w:w="3665" w:type="dxa"/>
          </w:tcPr>
          <w:p w14:paraId="5DD8B3A8" w14:textId="77777777" w:rsidR="005C4C00" w:rsidRPr="0097038C" w:rsidRDefault="005C4C00" w:rsidP="0004133B">
            <w:pPr>
              <w:jc w:val="center"/>
              <w:rPr>
                <w:b w:val="0"/>
              </w:rPr>
            </w:pPr>
            <w:r w:rsidRPr="0097038C">
              <w:t>1 July 2022 to 30 June 2023</w:t>
            </w:r>
          </w:p>
        </w:tc>
      </w:tr>
      <w:tr w:rsidR="005C4C00" w14:paraId="0A860381" w14:textId="77777777" w:rsidTr="00F875CF">
        <w:trPr>
          <w:cnfStyle w:val="000000100000" w:firstRow="0" w:lastRow="0" w:firstColumn="0" w:lastColumn="0" w:oddVBand="0" w:evenVBand="0" w:oddHBand="1" w:evenHBand="0" w:firstRowFirstColumn="0" w:firstRowLastColumn="0" w:lastRowFirstColumn="0" w:lastRowLastColumn="0"/>
          <w:trHeight w:val="255"/>
        </w:trPr>
        <w:tc>
          <w:tcPr>
            <w:tcW w:w="3664" w:type="dxa"/>
          </w:tcPr>
          <w:p w14:paraId="55C36EF5" w14:textId="77777777" w:rsidR="005C4C00" w:rsidRPr="0097038C" w:rsidRDefault="005C4C00" w:rsidP="0004133B">
            <w:pPr>
              <w:rPr>
                <w:b/>
                <w:bCs/>
              </w:rPr>
            </w:pPr>
            <w:r w:rsidRPr="0097038C">
              <w:rPr>
                <w:b/>
                <w:bCs/>
              </w:rPr>
              <w:t>Market price cap</w:t>
            </w:r>
          </w:p>
        </w:tc>
        <w:tc>
          <w:tcPr>
            <w:tcW w:w="3665" w:type="dxa"/>
          </w:tcPr>
          <w:p w14:paraId="45849647" w14:textId="77777777" w:rsidR="005C4C00" w:rsidRDefault="005C4C00" w:rsidP="0004133B">
            <w:pPr>
              <w:jc w:val="center"/>
            </w:pPr>
            <w:r w:rsidRPr="00C11BF9">
              <w:t>$15,500 / MWh</w:t>
            </w:r>
          </w:p>
        </w:tc>
      </w:tr>
      <w:tr w:rsidR="005C4C00" w14:paraId="10349B0F" w14:textId="77777777" w:rsidTr="00F875CF">
        <w:trPr>
          <w:cnfStyle w:val="000000010000" w:firstRow="0" w:lastRow="0" w:firstColumn="0" w:lastColumn="0" w:oddVBand="0" w:evenVBand="0" w:oddHBand="0" w:evenHBand="1" w:firstRowFirstColumn="0" w:firstRowLastColumn="0" w:lastRowFirstColumn="0" w:lastRowLastColumn="0"/>
          <w:trHeight w:val="255"/>
        </w:trPr>
        <w:tc>
          <w:tcPr>
            <w:tcW w:w="3664" w:type="dxa"/>
          </w:tcPr>
          <w:p w14:paraId="524119F2" w14:textId="77777777" w:rsidR="005C4C00" w:rsidRPr="0097038C" w:rsidRDefault="005C4C00" w:rsidP="0004133B">
            <w:pPr>
              <w:rPr>
                <w:b/>
                <w:bCs/>
              </w:rPr>
            </w:pPr>
            <w:r w:rsidRPr="0097038C">
              <w:rPr>
                <w:b/>
                <w:bCs/>
              </w:rPr>
              <w:t>Cumulative price threshold</w:t>
            </w:r>
          </w:p>
        </w:tc>
        <w:tc>
          <w:tcPr>
            <w:tcW w:w="3665" w:type="dxa"/>
          </w:tcPr>
          <w:p w14:paraId="268D2797" w14:textId="77777777" w:rsidR="005C4C00" w:rsidRDefault="005C4C00" w:rsidP="0004133B">
            <w:pPr>
              <w:jc w:val="center"/>
            </w:pPr>
            <w:r w:rsidRPr="00C11BF9">
              <w:t>$1,398,100</w:t>
            </w:r>
          </w:p>
        </w:tc>
      </w:tr>
    </w:tbl>
    <w:p w14:paraId="4D2D41B3" w14:textId="77777777" w:rsidR="005C4C00" w:rsidRPr="00C855A1" w:rsidRDefault="005C4C00" w:rsidP="005C4C00">
      <w:pPr>
        <w:rPr>
          <w:i/>
          <w:iCs/>
          <w:sz w:val="16"/>
          <w:szCs w:val="16"/>
        </w:rPr>
      </w:pPr>
      <w:r w:rsidRPr="00C855A1">
        <w:rPr>
          <w:i/>
          <w:iCs/>
          <w:sz w:val="16"/>
          <w:szCs w:val="16"/>
        </w:rPr>
        <w:t>Source: AEMC Feb 2022 media release</w:t>
      </w:r>
    </w:p>
    <w:p w14:paraId="5C3E5328" w14:textId="77777777" w:rsidR="005C4C00" w:rsidRDefault="005C4C00" w:rsidP="005C4C00">
      <w:pPr>
        <w:rPr>
          <w:b/>
          <w:bCs/>
        </w:rPr>
      </w:pPr>
      <w:r>
        <w:t>To manage the risks associated with the volatility in the spot market price energy retailers and many large energy users may instead purchase energy through the ‘contract or Power Purchase Agreement (PPA) market’ – where energy retailers and large industrial businesses contract directly with generators to buy particular volumes of energy for an agreed fixed price. Renewable generators also enter into PPAs to give themselves revenue certainty.</w:t>
      </w:r>
    </w:p>
    <w:p w14:paraId="5E090B48" w14:textId="77777777" w:rsidR="005C4C00" w:rsidRPr="000F6CE6" w:rsidRDefault="005C4C00" w:rsidP="000F6CE6">
      <w:pPr>
        <w:rPr>
          <w:b/>
        </w:rPr>
      </w:pPr>
      <w:r w:rsidRPr="000F6CE6">
        <w:rPr>
          <w:b/>
        </w:rPr>
        <w:t>Electricity providers within the NEM:</w:t>
      </w:r>
    </w:p>
    <w:p w14:paraId="1C02BCA0" w14:textId="77777777" w:rsidR="005C4C00" w:rsidRPr="00531863" w:rsidRDefault="005C4C00" w:rsidP="005C4C00">
      <w:r w:rsidRPr="007409B9">
        <w:t>The</w:t>
      </w:r>
      <w:r w:rsidRPr="000035E0">
        <w:t>re are fifty-four retail brands</w:t>
      </w:r>
      <w:r>
        <w:t xml:space="preserve"> </w:t>
      </w:r>
      <w:r>
        <w:rPr>
          <w:bCs/>
        </w:rPr>
        <w:t>that</w:t>
      </w:r>
      <w:r w:rsidRPr="007409B9">
        <w:t xml:space="preserve"> </w:t>
      </w:r>
      <w:r w:rsidRPr="000035E0">
        <w:t xml:space="preserve">sell energy to residential or small business customers in southern and eastern Australia. </w:t>
      </w:r>
      <w:r w:rsidRPr="00360078">
        <w:t>Of these, the retail brands of 3 businesses – AGL Energy, Origin Energy and EnergyAustralia (the ‘big 3’) – supply 64 per cent of small electricity customers.</w:t>
      </w:r>
      <w:r>
        <w:t xml:space="preserve"> These businesses are vertically integrated.</w:t>
      </w:r>
    </w:p>
    <w:p w14:paraId="1CB3C211" w14:textId="75D17E32" w:rsidR="0084092E" w:rsidRDefault="005C4C00" w:rsidP="005C4C00">
      <w:r>
        <w:lastRenderedPageBreak/>
        <w:t xml:space="preserve">NSW has the largest number of active electricity retailers (46), followed by Queensland (45), South Australia (35) and Victoria (30). Electricity markets in south-east Queensland, NSW, Victoria and South Australia have several competitive characteristics, including a diversity of sellers making offers, </w:t>
      </w:r>
      <w:r w:rsidRPr="00677BB9">
        <w:t>reduced exposure to government owned generation and retail businesses</w:t>
      </w:r>
      <w:r>
        <w:t>, intensive marketing activity and customer switching.</w:t>
      </w:r>
    </w:p>
    <w:p w14:paraId="2F8F40B2" w14:textId="77777777" w:rsidR="005C4C00" w:rsidRPr="000F6CE6" w:rsidRDefault="005C4C00" w:rsidP="000F6CE6">
      <w:pPr>
        <w:rPr>
          <w:b/>
        </w:rPr>
      </w:pPr>
      <w:r w:rsidRPr="000F6CE6">
        <w:rPr>
          <w:b/>
        </w:rPr>
        <w:t>Vertical integration:</w:t>
      </w:r>
    </w:p>
    <w:p w14:paraId="25B1C7EE" w14:textId="01831BBD" w:rsidR="005C4C00" w:rsidRPr="00E63C9A" w:rsidRDefault="00D32AD2" w:rsidP="005C4C00">
      <w:r w:rsidRPr="00E63C9A">
        <w:t>Generators and retailers can manage their exposure to volatile wholesale prices using derivatives or power purchase agreements to fix prices for which they will respectively generate and purchase electricity</w:t>
      </w:r>
      <w:r w:rsidRPr="00E63C9A" w:rsidDel="00C41C65">
        <w:t xml:space="preserve"> </w:t>
      </w:r>
      <w:r w:rsidRPr="00E63C9A">
        <w:t xml:space="preserve">for given future periods. </w:t>
      </w:r>
      <w:r w:rsidR="005C4C00" w:rsidRPr="00E63C9A">
        <w:t>Alternatively</w:t>
      </w:r>
      <w:r w:rsidR="005C4C00">
        <w:t>,</w:t>
      </w:r>
      <w:r w:rsidR="005C4C00" w:rsidRPr="00E63C9A" w:rsidDel="002B579D">
        <w:t xml:space="preserve"> </w:t>
      </w:r>
      <w:r w:rsidR="005C4C00" w:rsidRPr="00E63C9A">
        <w:t>some participants internally manage wholesale price risk through vertical integration – operating as both a generator and a retailer</w:t>
      </w:r>
      <w:r w:rsidR="005C4C00" w:rsidRPr="00E63C9A" w:rsidDel="00F25312">
        <w:t xml:space="preserve"> </w:t>
      </w:r>
      <w:r w:rsidR="005C4C00" w:rsidRPr="00E63C9A">
        <w:t>effectively being both a receiver and payer of wholesale prices.</w:t>
      </w:r>
    </w:p>
    <w:p w14:paraId="304FB214" w14:textId="77777777" w:rsidR="005C4C00" w:rsidRPr="00E63C9A" w:rsidRDefault="005C4C00" w:rsidP="005C4C00">
      <w:r w:rsidRPr="00E63C9A">
        <w:t>Vertically integrated firms have less need to hedge their positions in futures (derivatives) markets compared to non-integrated ones. This strategy may be efficient for that business but can reduce overall liquidity in derivatives</w:t>
      </w:r>
      <w:r w:rsidRPr="00E63C9A" w:rsidDel="00440E41">
        <w:t xml:space="preserve"> </w:t>
      </w:r>
      <w:r w:rsidRPr="00E63C9A">
        <w:t>offered by generators, posing a competitive disadvantage and barrier to entry or expansion for retailers that are not vertically integrated.</w:t>
      </w:r>
    </w:p>
    <w:p w14:paraId="7C6F8114" w14:textId="77777777" w:rsidR="005C4C00" w:rsidRPr="00E63C9A" w:rsidRDefault="005C4C00" w:rsidP="005C4C00">
      <w:r w:rsidRPr="00E63C9A">
        <w:t xml:space="preserve">Typically, vertically integrated ‘gentailers’ are largely but imperfectly naturally hedged. Their generation profile can be managed knowing their customer demand profile. For this reason, gentailers participate in contract markets to manage outstanding residual exposures between their generation and customer loads, although usually to a lesser extent than standalone generators and retailers do. </w:t>
      </w:r>
    </w:p>
    <w:p w14:paraId="5CB7D7F9" w14:textId="77777777" w:rsidR="005C4C00" w:rsidRPr="00E63C9A" w:rsidRDefault="005C4C00" w:rsidP="005C4C00">
      <w:r w:rsidRPr="00E63C9A">
        <w:t>Generators who are also retailers in the NEM include AGL Energy, Origin Energy, EnergyAustralia, Snowy Hydro (with retail brands Red Energy and Lumo Energy), Engie (Simply Energy), Alinta Energy, Hydro Tasmania (Momentum), Meridian Energy (Powershop) and Pacific Hydro (Tango).</w:t>
      </w:r>
    </w:p>
    <w:p w14:paraId="13E5411A" w14:textId="77777777" w:rsidR="005C4C00" w:rsidRDefault="005C4C00" w:rsidP="005C4C00">
      <w:pPr>
        <w:pStyle w:val="BodyText"/>
      </w:pPr>
    </w:p>
    <w:p w14:paraId="5CFF4D86" w14:textId="4E3274D8" w:rsidR="005C4C00" w:rsidRPr="00913E50" w:rsidRDefault="008905CF" w:rsidP="005C4C00">
      <w:pPr>
        <w:pStyle w:val="CABBodyTextBold"/>
        <w:keepNext/>
      </w:pPr>
      <w:r>
        <w:lastRenderedPageBreak/>
        <w:t xml:space="preserve">Chart 5: </w:t>
      </w:r>
      <w:r w:rsidR="005C4C00" w:rsidRPr="00913E50">
        <w:t xml:space="preserve">Electricity retail market share (small customers) </w:t>
      </w:r>
    </w:p>
    <w:p w14:paraId="494DE7AB" w14:textId="77777777" w:rsidR="005C4C00" w:rsidRDefault="005C4C00" w:rsidP="00E31FE2">
      <w:pPr>
        <w:pStyle w:val="BodyText"/>
        <w:keepNext/>
      </w:pPr>
      <w:r>
        <w:rPr>
          <w:noProof/>
        </w:rPr>
        <w:drawing>
          <wp:inline distT="0" distB="0" distL="0" distR="0" wp14:anchorId="305D057B" wp14:editId="7BA7FA80">
            <wp:extent cx="6162675" cy="327387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217588" cy="3303051"/>
                    </a:xfrm>
                    <a:prstGeom prst="rect">
                      <a:avLst/>
                    </a:prstGeom>
                  </pic:spPr>
                </pic:pic>
              </a:graphicData>
            </a:graphic>
          </wp:inline>
        </w:drawing>
      </w:r>
    </w:p>
    <w:p w14:paraId="4CBD6ABB" w14:textId="77777777" w:rsidR="005C4C00" w:rsidDel="00361FCF" w:rsidRDefault="005C4C00" w:rsidP="005C4C00">
      <w:pPr>
        <w:pStyle w:val="BodyText"/>
      </w:pPr>
      <w:r>
        <w:rPr>
          <w:noProof/>
        </w:rPr>
        <w:drawing>
          <wp:inline distT="0" distB="0" distL="0" distR="0" wp14:anchorId="7641F0E4" wp14:editId="5AC34659">
            <wp:extent cx="6191250" cy="92807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236677" cy="934879"/>
                    </a:xfrm>
                    <a:prstGeom prst="rect">
                      <a:avLst/>
                    </a:prstGeom>
                  </pic:spPr>
                </pic:pic>
              </a:graphicData>
            </a:graphic>
          </wp:inline>
        </w:drawing>
      </w:r>
    </w:p>
    <w:p w14:paraId="19B45915" w14:textId="77777777" w:rsidR="005C4C00" w:rsidRDefault="005C4C00" w:rsidP="005C4C00">
      <w:pPr>
        <w:pStyle w:val="BodyText"/>
        <w:rPr>
          <w:highlight w:val="yellow"/>
        </w:rPr>
      </w:pPr>
    </w:p>
    <w:p w14:paraId="36CA499B" w14:textId="00E3462B" w:rsidR="005C4C00" w:rsidRPr="00352A6C" w:rsidRDefault="001025CC" w:rsidP="0080506D">
      <w:pPr>
        <w:pStyle w:val="BodyText"/>
      </w:pPr>
      <w:r w:rsidRPr="0080506D">
        <w:rPr>
          <w:b/>
        </w:rPr>
        <w:t>Table</w:t>
      </w:r>
      <w:r w:rsidR="005C4C00" w:rsidRPr="0080506D">
        <w:rPr>
          <w:b/>
        </w:rPr>
        <w:t xml:space="preserve"> </w:t>
      </w:r>
      <w:r w:rsidR="006468DE" w:rsidRPr="0080506D">
        <w:rPr>
          <w:b/>
        </w:rPr>
        <w:t>1</w:t>
      </w:r>
      <w:r w:rsidR="004173B0">
        <w:rPr>
          <w:b/>
        </w:rPr>
        <w:t>5</w:t>
      </w:r>
      <w:r w:rsidR="005C4C00" w:rsidRPr="0080506D">
        <w:rPr>
          <w:b/>
        </w:rPr>
        <w:t xml:space="preserve">: East Coast Gas Consumption – By State and Sector (2021) PJs and % </w:t>
      </w:r>
    </w:p>
    <w:tbl>
      <w:tblPr>
        <w:tblStyle w:val="PMCDefaultTableStyle"/>
        <w:tblW w:w="5000" w:type="pct"/>
        <w:tblLayout w:type="fixed"/>
        <w:tblLook w:val="04A0" w:firstRow="1" w:lastRow="0" w:firstColumn="1" w:lastColumn="0" w:noHBand="0" w:noVBand="1"/>
      </w:tblPr>
      <w:tblGrid>
        <w:gridCol w:w="1964"/>
        <w:gridCol w:w="1814"/>
        <w:gridCol w:w="1513"/>
        <w:gridCol w:w="1814"/>
        <w:gridCol w:w="1965"/>
      </w:tblGrid>
      <w:tr w:rsidR="000B442D" w14:paraId="35CDF192" w14:textId="77777777" w:rsidTr="0080506D">
        <w:trPr>
          <w:cnfStyle w:val="100000000000" w:firstRow="1" w:lastRow="0" w:firstColumn="0" w:lastColumn="0" w:oddVBand="0" w:evenVBand="0" w:oddHBand="0" w:evenHBand="0" w:firstRowFirstColumn="0" w:firstRowLastColumn="0" w:lastRowFirstColumn="0" w:lastRowLastColumn="0"/>
          <w:trHeight w:val="280"/>
        </w:trPr>
        <w:tc>
          <w:tcPr>
            <w:tcW w:w="1083" w:type="pct"/>
            <w:hideMark/>
          </w:tcPr>
          <w:p w14:paraId="09768406" w14:textId="77777777" w:rsidR="005C4C00" w:rsidRDefault="005C4C00" w:rsidP="0004133B">
            <w:pPr>
              <w:spacing w:after="0"/>
              <w:rPr>
                <w:rFonts w:eastAsia="Calibri" w:cs="Arial"/>
              </w:rPr>
            </w:pPr>
            <w:r>
              <w:rPr>
                <w:rFonts w:cs="Arial"/>
              </w:rPr>
              <w:t>State</w:t>
            </w:r>
          </w:p>
        </w:tc>
        <w:tc>
          <w:tcPr>
            <w:tcW w:w="1000" w:type="pct"/>
            <w:hideMark/>
          </w:tcPr>
          <w:p w14:paraId="22B37CF3" w14:textId="77777777" w:rsidR="005C4C00" w:rsidRDefault="005C4C00" w:rsidP="0004133B">
            <w:pPr>
              <w:spacing w:after="0"/>
              <w:jc w:val="center"/>
              <w:rPr>
                <w:rFonts w:cs="Arial"/>
              </w:rPr>
            </w:pPr>
            <w:r>
              <w:rPr>
                <w:rFonts w:cs="Arial"/>
              </w:rPr>
              <w:t>Gas Powered Generation</w:t>
            </w:r>
          </w:p>
        </w:tc>
        <w:tc>
          <w:tcPr>
            <w:tcW w:w="834" w:type="pct"/>
            <w:hideMark/>
          </w:tcPr>
          <w:p w14:paraId="5ACD348B" w14:textId="77777777" w:rsidR="005C4C00" w:rsidRDefault="005C4C00" w:rsidP="0004133B">
            <w:pPr>
              <w:spacing w:after="0"/>
              <w:jc w:val="center"/>
              <w:rPr>
                <w:rFonts w:cs="Arial"/>
              </w:rPr>
            </w:pPr>
            <w:r>
              <w:rPr>
                <w:rFonts w:cs="Arial"/>
              </w:rPr>
              <w:t>Industrial</w:t>
            </w:r>
          </w:p>
        </w:tc>
        <w:tc>
          <w:tcPr>
            <w:tcW w:w="1000" w:type="pct"/>
            <w:hideMark/>
          </w:tcPr>
          <w:p w14:paraId="0D65902A" w14:textId="77777777" w:rsidR="005C4C00" w:rsidRDefault="005C4C00" w:rsidP="0004133B">
            <w:pPr>
              <w:spacing w:after="0"/>
              <w:jc w:val="center"/>
              <w:rPr>
                <w:rFonts w:cs="Arial"/>
              </w:rPr>
            </w:pPr>
            <w:r>
              <w:rPr>
                <w:rFonts w:cs="Arial"/>
              </w:rPr>
              <w:t>Residential &amp; Commercial</w:t>
            </w:r>
          </w:p>
        </w:tc>
        <w:tc>
          <w:tcPr>
            <w:tcW w:w="1083" w:type="pct"/>
            <w:hideMark/>
          </w:tcPr>
          <w:p w14:paraId="0C5862AB" w14:textId="77777777" w:rsidR="005C4C00" w:rsidRDefault="005C4C00" w:rsidP="0004133B">
            <w:pPr>
              <w:spacing w:after="0"/>
              <w:jc w:val="center"/>
              <w:rPr>
                <w:rFonts w:cs="Arial"/>
              </w:rPr>
            </w:pPr>
            <w:r>
              <w:rPr>
                <w:rFonts w:cs="Arial"/>
              </w:rPr>
              <w:t>Total</w:t>
            </w:r>
          </w:p>
        </w:tc>
      </w:tr>
      <w:tr w:rsidR="00524312" w14:paraId="15C45460" w14:textId="77777777" w:rsidTr="0080506D">
        <w:trPr>
          <w:cnfStyle w:val="000000100000" w:firstRow="0" w:lastRow="0" w:firstColumn="0" w:lastColumn="0" w:oddVBand="0" w:evenVBand="0" w:oddHBand="1" w:evenHBand="0" w:firstRowFirstColumn="0" w:firstRowLastColumn="0" w:lastRowFirstColumn="0" w:lastRowLastColumn="0"/>
          <w:trHeight w:val="271"/>
        </w:trPr>
        <w:tc>
          <w:tcPr>
            <w:tcW w:w="1083" w:type="pct"/>
            <w:hideMark/>
          </w:tcPr>
          <w:p w14:paraId="38B93166" w14:textId="77777777" w:rsidR="005C4C00" w:rsidRDefault="005C4C00" w:rsidP="0004133B">
            <w:pPr>
              <w:spacing w:after="0"/>
              <w:rPr>
                <w:rFonts w:cs="Arial"/>
              </w:rPr>
            </w:pPr>
            <w:r>
              <w:rPr>
                <w:rFonts w:cs="Arial"/>
              </w:rPr>
              <w:t>Queensland</w:t>
            </w:r>
          </w:p>
        </w:tc>
        <w:tc>
          <w:tcPr>
            <w:tcW w:w="1000" w:type="pct"/>
            <w:hideMark/>
          </w:tcPr>
          <w:p w14:paraId="33A8FB35" w14:textId="77777777" w:rsidR="005C4C00" w:rsidRDefault="005C4C00" w:rsidP="0004133B">
            <w:pPr>
              <w:spacing w:after="0"/>
              <w:jc w:val="center"/>
              <w:rPr>
                <w:rFonts w:cs="Arial"/>
              </w:rPr>
            </w:pPr>
            <w:r>
              <w:rPr>
                <w:rFonts w:cs="Arial"/>
                <w:color w:val="000000"/>
              </w:rPr>
              <w:t>36.6</w:t>
            </w:r>
            <w:r>
              <w:rPr>
                <w:rFonts w:cs="Arial"/>
                <w:color w:val="000000"/>
              </w:rPr>
              <w:br/>
            </w:r>
            <w:r>
              <w:rPr>
                <w:rFonts w:cs="Arial"/>
                <w:i/>
                <w:color w:val="000000"/>
              </w:rPr>
              <w:t>(24%)</w:t>
            </w:r>
          </w:p>
        </w:tc>
        <w:tc>
          <w:tcPr>
            <w:tcW w:w="834" w:type="pct"/>
            <w:hideMark/>
          </w:tcPr>
          <w:p w14:paraId="74BA0255" w14:textId="77777777" w:rsidR="005C4C00" w:rsidRDefault="005C4C00" w:rsidP="0004133B">
            <w:pPr>
              <w:spacing w:after="0"/>
              <w:jc w:val="center"/>
              <w:rPr>
                <w:rFonts w:cs="Arial"/>
              </w:rPr>
            </w:pPr>
            <w:r>
              <w:rPr>
                <w:rFonts w:cs="Arial"/>
                <w:color w:val="000000"/>
              </w:rPr>
              <w:t>108.6</w:t>
            </w:r>
            <w:r>
              <w:rPr>
                <w:rFonts w:cs="Arial"/>
                <w:color w:val="000000"/>
              </w:rPr>
              <w:br/>
            </w:r>
            <w:r>
              <w:rPr>
                <w:rFonts w:cs="Arial"/>
                <w:i/>
                <w:color w:val="000000"/>
              </w:rPr>
              <w:t>(72%)</w:t>
            </w:r>
          </w:p>
        </w:tc>
        <w:tc>
          <w:tcPr>
            <w:tcW w:w="1000" w:type="pct"/>
            <w:hideMark/>
          </w:tcPr>
          <w:p w14:paraId="1EF86E2B" w14:textId="77777777" w:rsidR="005C4C00" w:rsidRDefault="005C4C00" w:rsidP="0004133B">
            <w:pPr>
              <w:spacing w:after="0"/>
              <w:jc w:val="center"/>
              <w:rPr>
                <w:rFonts w:cs="Arial"/>
              </w:rPr>
            </w:pPr>
            <w:r>
              <w:rPr>
                <w:rFonts w:cs="Arial"/>
                <w:color w:val="000000"/>
              </w:rPr>
              <w:t>5.9</w:t>
            </w:r>
            <w:r>
              <w:rPr>
                <w:rFonts w:cs="Arial"/>
                <w:color w:val="000000"/>
              </w:rPr>
              <w:br/>
            </w:r>
            <w:r>
              <w:rPr>
                <w:rFonts w:cs="Arial"/>
                <w:i/>
                <w:color w:val="000000"/>
              </w:rPr>
              <w:t>(4%)</w:t>
            </w:r>
          </w:p>
        </w:tc>
        <w:tc>
          <w:tcPr>
            <w:tcW w:w="1083" w:type="pct"/>
            <w:hideMark/>
          </w:tcPr>
          <w:p w14:paraId="3BA721B1" w14:textId="77777777" w:rsidR="005C4C00" w:rsidRDefault="005C4C00" w:rsidP="0004133B">
            <w:pPr>
              <w:spacing w:after="0"/>
              <w:jc w:val="center"/>
              <w:rPr>
                <w:rFonts w:cs="Arial"/>
              </w:rPr>
            </w:pPr>
            <w:r>
              <w:rPr>
                <w:rFonts w:cs="Arial"/>
                <w:color w:val="000000"/>
              </w:rPr>
              <w:t>151.1</w:t>
            </w:r>
            <w:r>
              <w:rPr>
                <w:rFonts w:cs="Arial"/>
                <w:color w:val="000000"/>
              </w:rPr>
              <w:br/>
            </w:r>
            <w:r>
              <w:rPr>
                <w:rFonts w:cs="Arial"/>
                <w:i/>
                <w:color w:val="000000"/>
              </w:rPr>
              <w:t>(27%)</w:t>
            </w:r>
          </w:p>
        </w:tc>
      </w:tr>
      <w:tr w:rsidR="00524312" w14:paraId="2AE58EC4" w14:textId="77777777" w:rsidTr="0080506D">
        <w:trPr>
          <w:cnfStyle w:val="000000010000" w:firstRow="0" w:lastRow="0" w:firstColumn="0" w:lastColumn="0" w:oddVBand="0" w:evenVBand="0" w:oddHBand="0" w:evenHBand="1" w:firstRowFirstColumn="0" w:firstRowLastColumn="0" w:lastRowFirstColumn="0" w:lastRowLastColumn="0"/>
          <w:trHeight w:val="280"/>
        </w:trPr>
        <w:tc>
          <w:tcPr>
            <w:tcW w:w="1083" w:type="pct"/>
            <w:hideMark/>
          </w:tcPr>
          <w:p w14:paraId="27E5AEE2" w14:textId="77777777" w:rsidR="005C4C00" w:rsidRDefault="005C4C00" w:rsidP="0004133B">
            <w:pPr>
              <w:spacing w:after="0"/>
              <w:rPr>
                <w:rFonts w:cs="Arial"/>
              </w:rPr>
            </w:pPr>
            <w:r>
              <w:rPr>
                <w:rFonts w:cs="Arial"/>
              </w:rPr>
              <w:t>NSW</w:t>
            </w:r>
          </w:p>
        </w:tc>
        <w:tc>
          <w:tcPr>
            <w:tcW w:w="1000" w:type="pct"/>
            <w:hideMark/>
          </w:tcPr>
          <w:p w14:paraId="3172DCEF" w14:textId="77777777" w:rsidR="005C4C00" w:rsidRDefault="005C4C00" w:rsidP="0004133B">
            <w:pPr>
              <w:spacing w:after="0"/>
              <w:jc w:val="center"/>
              <w:rPr>
                <w:rFonts w:cs="Arial"/>
              </w:rPr>
            </w:pPr>
            <w:r>
              <w:rPr>
                <w:rFonts w:cs="Arial"/>
                <w:color w:val="000000"/>
              </w:rPr>
              <w:t>9.1</w:t>
            </w:r>
            <w:r>
              <w:rPr>
                <w:rFonts w:cs="Arial"/>
                <w:color w:val="000000"/>
              </w:rPr>
              <w:br/>
            </w:r>
            <w:r>
              <w:rPr>
                <w:rFonts w:cs="Arial"/>
                <w:i/>
                <w:color w:val="000000"/>
              </w:rPr>
              <w:t>(8%)</w:t>
            </w:r>
          </w:p>
        </w:tc>
        <w:tc>
          <w:tcPr>
            <w:tcW w:w="834" w:type="pct"/>
            <w:hideMark/>
          </w:tcPr>
          <w:p w14:paraId="1E928595" w14:textId="77777777" w:rsidR="005C4C00" w:rsidRDefault="005C4C00" w:rsidP="0004133B">
            <w:pPr>
              <w:spacing w:after="0"/>
              <w:jc w:val="center"/>
              <w:rPr>
                <w:rFonts w:cs="Arial"/>
              </w:rPr>
            </w:pPr>
            <w:r>
              <w:rPr>
                <w:rFonts w:cs="Arial"/>
                <w:color w:val="000000"/>
              </w:rPr>
              <w:t>54.2</w:t>
            </w:r>
            <w:r>
              <w:rPr>
                <w:rFonts w:cs="Arial"/>
                <w:color w:val="000000"/>
              </w:rPr>
              <w:br/>
            </w:r>
            <w:r>
              <w:rPr>
                <w:rFonts w:cs="Arial"/>
                <w:i/>
                <w:color w:val="000000"/>
              </w:rPr>
              <w:t>(48%)</w:t>
            </w:r>
          </w:p>
        </w:tc>
        <w:tc>
          <w:tcPr>
            <w:tcW w:w="1000" w:type="pct"/>
            <w:hideMark/>
          </w:tcPr>
          <w:p w14:paraId="761B66EA" w14:textId="77777777" w:rsidR="005C4C00" w:rsidRDefault="005C4C00" w:rsidP="0004133B">
            <w:pPr>
              <w:spacing w:after="0"/>
              <w:jc w:val="center"/>
              <w:rPr>
                <w:rFonts w:cs="Arial"/>
              </w:rPr>
            </w:pPr>
            <w:r>
              <w:rPr>
                <w:rFonts w:cs="Arial"/>
                <w:color w:val="000000"/>
              </w:rPr>
              <w:t>50.3</w:t>
            </w:r>
            <w:r>
              <w:rPr>
                <w:rFonts w:cs="Arial"/>
                <w:color w:val="000000"/>
              </w:rPr>
              <w:br/>
            </w:r>
            <w:r>
              <w:rPr>
                <w:rFonts w:cs="Arial"/>
                <w:i/>
                <w:color w:val="000000"/>
              </w:rPr>
              <w:t>(44%)</w:t>
            </w:r>
          </w:p>
        </w:tc>
        <w:tc>
          <w:tcPr>
            <w:tcW w:w="1083" w:type="pct"/>
            <w:hideMark/>
          </w:tcPr>
          <w:p w14:paraId="14480B48" w14:textId="77777777" w:rsidR="005C4C00" w:rsidRDefault="005C4C00" w:rsidP="0004133B">
            <w:pPr>
              <w:spacing w:after="0"/>
              <w:jc w:val="center"/>
              <w:rPr>
                <w:rFonts w:cs="Arial"/>
                <w:i/>
              </w:rPr>
            </w:pPr>
            <w:r>
              <w:rPr>
                <w:rFonts w:cs="Arial"/>
                <w:color w:val="000000"/>
              </w:rPr>
              <w:t>113.6</w:t>
            </w:r>
            <w:r>
              <w:rPr>
                <w:rFonts w:cs="Arial"/>
                <w:color w:val="000000"/>
              </w:rPr>
              <w:br/>
            </w:r>
            <w:r>
              <w:rPr>
                <w:rFonts w:cs="Arial"/>
                <w:i/>
                <w:color w:val="000000"/>
              </w:rPr>
              <w:t>(21%)</w:t>
            </w:r>
          </w:p>
        </w:tc>
      </w:tr>
      <w:tr w:rsidR="00524312" w14:paraId="03477973" w14:textId="77777777" w:rsidTr="0080506D">
        <w:trPr>
          <w:cnfStyle w:val="000000100000" w:firstRow="0" w:lastRow="0" w:firstColumn="0" w:lastColumn="0" w:oddVBand="0" w:evenVBand="0" w:oddHBand="1" w:evenHBand="0" w:firstRowFirstColumn="0" w:firstRowLastColumn="0" w:lastRowFirstColumn="0" w:lastRowLastColumn="0"/>
          <w:trHeight w:val="271"/>
        </w:trPr>
        <w:tc>
          <w:tcPr>
            <w:tcW w:w="1083" w:type="pct"/>
            <w:hideMark/>
          </w:tcPr>
          <w:p w14:paraId="43A2C53A" w14:textId="77777777" w:rsidR="005C4C00" w:rsidRDefault="005C4C00" w:rsidP="0004133B">
            <w:pPr>
              <w:spacing w:after="0"/>
              <w:rPr>
                <w:rFonts w:cs="Arial"/>
              </w:rPr>
            </w:pPr>
            <w:r>
              <w:rPr>
                <w:rFonts w:cs="Arial"/>
              </w:rPr>
              <w:t xml:space="preserve">Victoria </w:t>
            </w:r>
          </w:p>
        </w:tc>
        <w:tc>
          <w:tcPr>
            <w:tcW w:w="1000" w:type="pct"/>
            <w:hideMark/>
          </w:tcPr>
          <w:p w14:paraId="56751B9C" w14:textId="77777777" w:rsidR="005C4C00" w:rsidRDefault="005C4C00" w:rsidP="0004133B">
            <w:pPr>
              <w:spacing w:after="0"/>
              <w:jc w:val="center"/>
              <w:rPr>
                <w:rFonts w:cs="Arial"/>
              </w:rPr>
            </w:pPr>
            <w:r>
              <w:rPr>
                <w:rFonts w:cs="Arial"/>
                <w:color w:val="000000"/>
              </w:rPr>
              <w:t>10.6</w:t>
            </w:r>
            <w:r>
              <w:rPr>
                <w:rFonts w:cs="Arial"/>
                <w:color w:val="000000"/>
              </w:rPr>
              <w:br/>
            </w:r>
            <w:r>
              <w:rPr>
                <w:rFonts w:cs="Arial"/>
                <w:i/>
                <w:color w:val="000000"/>
              </w:rPr>
              <w:t>(5%)</w:t>
            </w:r>
          </w:p>
        </w:tc>
        <w:tc>
          <w:tcPr>
            <w:tcW w:w="834" w:type="pct"/>
            <w:hideMark/>
          </w:tcPr>
          <w:p w14:paraId="65B10BD5" w14:textId="77777777" w:rsidR="005C4C00" w:rsidRDefault="005C4C00" w:rsidP="0004133B">
            <w:pPr>
              <w:spacing w:after="0"/>
              <w:jc w:val="center"/>
              <w:rPr>
                <w:rFonts w:cs="Arial"/>
              </w:rPr>
            </w:pPr>
            <w:r>
              <w:rPr>
                <w:rFonts w:cs="Arial"/>
                <w:color w:val="000000"/>
              </w:rPr>
              <w:t>65.6</w:t>
            </w:r>
            <w:r>
              <w:rPr>
                <w:rFonts w:cs="Arial"/>
                <w:color w:val="000000"/>
              </w:rPr>
              <w:br/>
            </w:r>
            <w:r>
              <w:rPr>
                <w:rFonts w:cs="Arial"/>
                <w:i/>
                <w:color w:val="000000"/>
              </w:rPr>
              <w:t>(32%)</w:t>
            </w:r>
          </w:p>
        </w:tc>
        <w:tc>
          <w:tcPr>
            <w:tcW w:w="1000" w:type="pct"/>
            <w:hideMark/>
          </w:tcPr>
          <w:p w14:paraId="541FD440" w14:textId="77777777" w:rsidR="005C4C00" w:rsidRDefault="005C4C00" w:rsidP="0004133B">
            <w:pPr>
              <w:spacing w:after="0"/>
              <w:jc w:val="center"/>
              <w:rPr>
                <w:rFonts w:cs="Arial"/>
              </w:rPr>
            </w:pPr>
            <w:r>
              <w:rPr>
                <w:rFonts w:cs="Arial"/>
                <w:color w:val="000000"/>
              </w:rPr>
              <w:t>128.4</w:t>
            </w:r>
            <w:r>
              <w:rPr>
                <w:rFonts w:cs="Arial"/>
                <w:color w:val="000000"/>
              </w:rPr>
              <w:br/>
            </w:r>
            <w:r>
              <w:rPr>
                <w:rFonts w:cs="Arial"/>
                <w:i/>
                <w:color w:val="000000"/>
              </w:rPr>
              <w:t>(63%)</w:t>
            </w:r>
          </w:p>
        </w:tc>
        <w:tc>
          <w:tcPr>
            <w:tcW w:w="1083" w:type="pct"/>
            <w:hideMark/>
          </w:tcPr>
          <w:p w14:paraId="641E8E57" w14:textId="77777777" w:rsidR="005C4C00" w:rsidRDefault="005C4C00" w:rsidP="0004133B">
            <w:pPr>
              <w:spacing w:after="0"/>
              <w:jc w:val="center"/>
              <w:rPr>
                <w:rFonts w:cs="Arial"/>
              </w:rPr>
            </w:pPr>
            <w:r>
              <w:rPr>
                <w:rFonts w:cs="Arial"/>
                <w:color w:val="000000"/>
              </w:rPr>
              <w:t>204.6</w:t>
            </w:r>
            <w:r>
              <w:rPr>
                <w:rFonts w:cs="Arial"/>
                <w:color w:val="000000"/>
              </w:rPr>
              <w:br/>
            </w:r>
            <w:r>
              <w:rPr>
                <w:rFonts w:cs="Arial"/>
                <w:i/>
                <w:color w:val="000000"/>
              </w:rPr>
              <w:t>(37%)</w:t>
            </w:r>
          </w:p>
        </w:tc>
      </w:tr>
      <w:tr w:rsidR="00524312" w14:paraId="7538B2A0" w14:textId="77777777" w:rsidTr="0080506D">
        <w:trPr>
          <w:cnfStyle w:val="000000010000" w:firstRow="0" w:lastRow="0" w:firstColumn="0" w:lastColumn="0" w:oddVBand="0" w:evenVBand="0" w:oddHBand="0" w:evenHBand="1" w:firstRowFirstColumn="0" w:firstRowLastColumn="0" w:lastRowFirstColumn="0" w:lastRowLastColumn="0"/>
          <w:trHeight w:val="271"/>
        </w:trPr>
        <w:tc>
          <w:tcPr>
            <w:tcW w:w="1083" w:type="pct"/>
            <w:hideMark/>
          </w:tcPr>
          <w:p w14:paraId="680ADC15" w14:textId="77777777" w:rsidR="005C4C00" w:rsidRDefault="005C4C00" w:rsidP="0004133B">
            <w:pPr>
              <w:spacing w:after="0"/>
              <w:rPr>
                <w:rFonts w:cs="Arial"/>
              </w:rPr>
            </w:pPr>
            <w:r>
              <w:rPr>
                <w:rFonts w:cs="Arial"/>
              </w:rPr>
              <w:t>SA</w:t>
            </w:r>
          </w:p>
        </w:tc>
        <w:tc>
          <w:tcPr>
            <w:tcW w:w="1000" w:type="pct"/>
            <w:hideMark/>
          </w:tcPr>
          <w:p w14:paraId="03AA1163" w14:textId="77777777" w:rsidR="005C4C00" w:rsidRDefault="005C4C00" w:rsidP="0004133B">
            <w:pPr>
              <w:spacing w:after="0"/>
              <w:jc w:val="center"/>
              <w:rPr>
                <w:rFonts w:cs="Arial"/>
              </w:rPr>
            </w:pPr>
            <w:r>
              <w:rPr>
                <w:rFonts w:cs="Arial"/>
                <w:color w:val="000000"/>
              </w:rPr>
              <w:t>41.7</w:t>
            </w:r>
            <w:r>
              <w:rPr>
                <w:rFonts w:cs="Arial"/>
                <w:color w:val="000000"/>
              </w:rPr>
              <w:br/>
            </w:r>
            <w:r>
              <w:rPr>
                <w:rFonts w:cs="Arial"/>
                <w:i/>
                <w:color w:val="000000"/>
              </w:rPr>
              <w:t>(55%)</w:t>
            </w:r>
          </w:p>
        </w:tc>
        <w:tc>
          <w:tcPr>
            <w:tcW w:w="834" w:type="pct"/>
            <w:hideMark/>
          </w:tcPr>
          <w:p w14:paraId="2E69C1D5" w14:textId="77777777" w:rsidR="005C4C00" w:rsidRDefault="005C4C00" w:rsidP="0004133B">
            <w:pPr>
              <w:spacing w:after="0"/>
              <w:jc w:val="center"/>
              <w:rPr>
                <w:rFonts w:cs="Arial"/>
              </w:rPr>
            </w:pPr>
            <w:r>
              <w:rPr>
                <w:rFonts w:cs="Arial"/>
                <w:color w:val="000000"/>
              </w:rPr>
              <w:t>23.9</w:t>
            </w:r>
            <w:r>
              <w:rPr>
                <w:rFonts w:cs="Arial"/>
                <w:color w:val="000000"/>
              </w:rPr>
              <w:br/>
            </w:r>
            <w:r>
              <w:rPr>
                <w:rFonts w:cs="Arial"/>
                <w:i/>
                <w:color w:val="000000"/>
              </w:rPr>
              <w:t>(31%)</w:t>
            </w:r>
          </w:p>
        </w:tc>
        <w:tc>
          <w:tcPr>
            <w:tcW w:w="1000" w:type="pct"/>
            <w:hideMark/>
          </w:tcPr>
          <w:p w14:paraId="2A3DCB11" w14:textId="77777777" w:rsidR="005C4C00" w:rsidRDefault="005C4C00" w:rsidP="0004133B">
            <w:pPr>
              <w:spacing w:after="0"/>
              <w:jc w:val="center"/>
              <w:rPr>
                <w:rFonts w:cs="Arial"/>
              </w:rPr>
            </w:pPr>
            <w:r>
              <w:rPr>
                <w:rFonts w:cs="Arial"/>
                <w:color w:val="000000"/>
              </w:rPr>
              <w:t>10.9</w:t>
            </w:r>
            <w:r>
              <w:rPr>
                <w:rFonts w:cs="Arial"/>
                <w:color w:val="000000"/>
              </w:rPr>
              <w:br/>
            </w:r>
            <w:r>
              <w:rPr>
                <w:rFonts w:cs="Arial"/>
                <w:i/>
                <w:color w:val="000000"/>
              </w:rPr>
              <w:t>(14%)</w:t>
            </w:r>
          </w:p>
        </w:tc>
        <w:tc>
          <w:tcPr>
            <w:tcW w:w="1083" w:type="pct"/>
            <w:hideMark/>
          </w:tcPr>
          <w:p w14:paraId="1FA417FB" w14:textId="77777777" w:rsidR="005C4C00" w:rsidRDefault="005C4C00" w:rsidP="0004133B">
            <w:pPr>
              <w:spacing w:after="0"/>
              <w:jc w:val="center"/>
              <w:rPr>
                <w:rFonts w:cs="Arial"/>
                <w:i/>
              </w:rPr>
            </w:pPr>
            <w:r>
              <w:rPr>
                <w:rFonts w:cs="Arial"/>
                <w:color w:val="000000"/>
              </w:rPr>
              <w:t>76.5</w:t>
            </w:r>
            <w:r>
              <w:rPr>
                <w:rFonts w:cs="Arial"/>
                <w:color w:val="000000"/>
              </w:rPr>
              <w:br/>
            </w:r>
            <w:r>
              <w:rPr>
                <w:rFonts w:cs="Arial"/>
                <w:i/>
                <w:color w:val="000000"/>
              </w:rPr>
              <w:t>(14%)</w:t>
            </w:r>
          </w:p>
        </w:tc>
      </w:tr>
      <w:tr w:rsidR="00524312" w14:paraId="41CCCCFC" w14:textId="77777777" w:rsidTr="0080506D">
        <w:trPr>
          <w:cnfStyle w:val="000000100000" w:firstRow="0" w:lastRow="0" w:firstColumn="0" w:lastColumn="0" w:oddVBand="0" w:evenVBand="0" w:oddHBand="1" w:evenHBand="0" w:firstRowFirstColumn="0" w:firstRowLastColumn="0" w:lastRowFirstColumn="0" w:lastRowLastColumn="0"/>
          <w:trHeight w:val="280"/>
        </w:trPr>
        <w:tc>
          <w:tcPr>
            <w:tcW w:w="1083" w:type="pct"/>
            <w:hideMark/>
          </w:tcPr>
          <w:p w14:paraId="1B29980B" w14:textId="77777777" w:rsidR="005C4C00" w:rsidRDefault="005C4C00" w:rsidP="0004133B">
            <w:pPr>
              <w:spacing w:after="0"/>
              <w:rPr>
                <w:rFonts w:cs="Arial"/>
              </w:rPr>
            </w:pPr>
            <w:r>
              <w:rPr>
                <w:rFonts w:cs="Arial"/>
              </w:rPr>
              <w:t xml:space="preserve">Tasmania </w:t>
            </w:r>
          </w:p>
        </w:tc>
        <w:tc>
          <w:tcPr>
            <w:tcW w:w="1000" w:type="pct"/>
            <w:hideMark/>
          </w:tcPr>
          <w:p w14:paraId="25BA9179" w14:textId="77777777" w:rsidR="005C4C00" w:rsidRDefault="005C4C00" w:rsidP="0004133B">
            <w:pPr>
              <w:spacing w:after="0"/>
              <w:jc w:val="center"/>
              <w:rPr>
                <w:rFonts w:cs="Arial"/>
              </w:rPr>
            </w:pPr>
            <w:r>
              <w:rPr>
                <w:rFonts w:cs="Arial"/>
                <w:color w:val="000000"/>
              </w:rPr>
              <w:t>0.2</w:t>
            </w:r>
            <w:r>
              <w:rPr>
                <w:rFonts w:cs="Arial"/>
                <w:color w:val="000000"/>
              </w:rPr>
              <w:br/>
            </w:r>
            <w:r>
              <w:rPr>
                <w:rFonts w:cs="Arial"/>
                <w:i/>
                <w:color w:val="000000"/>
              </w:rPr>
              <w:t>(3%)</w:t>
            </w:r>
          </w:p>
        </w:tc>
        <w:tc>
          <w:tcPr>
            <w:tcW w:w="834" w:type="pct"/>
            <w:hideMark/>
          </w:tcPr>
          <w:p w14:paraId="016BA0A2" w14:textId="77777777" w:rsidR="005C4C00" w:rsidRDefault="005C4C00" w:rsidP="0004133B">
            <w:pPr>
              <w:spacing w:after="0"/>
              <w:jc w:val="center"/>
              <w:rPr>
                <w:rFonts w:cs="Arial"/>
              </w:rPr>
            </w:pPr>
            <w:r>
              <w:rPr>
                <w:rFonts w:cs="Arial"/>
                <w:color w:val="000000"/>
              </w:rPr>
              <w:t>6.1</w:t>
            </w:r>
            <w:r>
              <w:rPr>
                <w:rFonts w:cs="Arial"/>
                <w:color w:val="000000"/>
              </w:rPr>
              <w:br/>
            </w:r>
            <w:r>
              <w:rPr>
                <w:rFonts w:cs="Arial"/>
                <w:i/>
                <w:color w:val="000000"/>
              </w:rPr>
              <w:t>(86%)</w:t>
            </w:r>
          </w:p>
        </w:tc>
        <w:tc>
          <w:tcPr>
            <w:tcW w:w="1000" w:type="pct"/>
            <w:hideMark/>
          </w:tcPr>
          <w:p w14:paraId="18FE19E1" w14:textId="77777777" w:rsidR="005C4C00" w:rsidRDefault="005C4C00" w:rsidP="0004133B">
            <w:pPr>
              <w:spacing w:after="0"/>
              <w:jc w:val="center"/>
              <w:rPr>
                <w:rFonts w:cs="Arial"/>
              </w:rPr>
            </w:pPr>
            <w:r>
              <w:rPr>
                <w:rFonts w:cs="Arial"/>
                <w:color w:val="000000"/>
              </w:rPr>
              <w:t>0.8</w:t>
            </w:r>
            <w:r>
              <w:rPr>
                <w:rFonts w:cs="Arial"/>
                <w:color w:val="000000"/>
              </w:rPr>
              <w:br/>
            </w:r>
            <w:r>
              <w:rPr>
                <w:rFonts w:cs="Arial"/>
                <w:i/>
                <w:color w:val="000000"/>
              </w:rPr>
              <w:t>(11%)</w:t>
            </w:r>
          </w:p>
        </w:tc>
        <w:tc>
          <w:tcPr>
            <w:tcW w:w="1083" w:type="pct"/>
            <w:hideMark/>
          </w:tcPr>
          <w:p w14:paraId="67339AF6" w14:textId="77777777" w:rsidR="005C4C00" w:rsidRDefault="005C4C00" w:rsidP="0004133B">
            <w:pPr>
              <w:spacing w:after="0"/>
              <w:jc w:val="center"/>
              <w:rPr>
                <w:rFonts w:cs="Arial"/>
                <w:i/>
              </w:rPr>
            </w:pPr>
            <w:r>
              <w:rPr>
                <w:rFonts w:cs="Arial"/>
                <w:color w:val="000000"/>
              </w:rPr>
              <w:t>7.1</w:t>
            </w:r>
            <w:r>
              <w:rPr>
                <w:rFonts w:cs="Arial"/>
                <w:color w:val="000000"/>
              </w:rPr>
              <w:br/>
            </w:r>
            <w:r>
              <w:rPr>
                <w:rFonts w:cs="Arial"/>
                <w:i/>
                <w:color w:val="000000"/>
              </w:rPr>
              <w:t>(1%)</w:t>
            </w:r>
          </w:p>
        </w:tc>
      </w:tr>
      <w:tr w:rsidR="00524312" w14:paraId="3E3B29A1" w14:textId="77777777" w:rsidTr="0080506D">
        <w:trPr>
          <w:cnfStyle w:val="000000010000" w:firstRow="0" w:lastRow="0" w:firstColumn="0" w:lastColumn="0" w:oddVBand="0" w:evenVBand="0" w:oddHBand="0" w:evenHBand="1" w:firstRowFirstColumn="0" w:firstRowLastColumn="0" w:lastRowFirstColumn="0" w:lastRowLastColumn="0"/>
          <w:trHeight w:val="280"/>
        </w:trPr>
        <w:tc>
          <w:tcPr>
            <w:tcW w:w="1083" w:type="pct"/>
            <w:hideMark/>
          </w:tcPr>
          <w:p w14:paraId="68E0BA35" w14:textId="77777777" w:rsidR="005C4C00" w:rsidRDefault="005C4C00" w:rsidP="0004133B">
            <w:pPr>
              <w:spacing w:after="0"/>
              <w:rPr>
                <w:rFonts w:cs="Arial"/>
              </w:rPr>
            </w:pPr>
            <w:r>
              <w:rPr>
                <w:rFonts w:cs="Arial"/>
              </w:rPr>
              <w:t>Total</w:t>
            </w:r>
          </w:p>
        </w:tc>
        <w:tc>
          <w:tcPr>
            <w:tcW w:w="1000" w:type="pct"/>
            <w:hideMark/>
          </w:tcPr>
          <w:p w14:paraId="10547B38" w14:textId="77777777" w:rsidR="005C4C00" w:rsidRDefault="005C4C00" w:rsidP="0004133B">
            <w:pPr>
              <w:spacing w:after="0"/>
              <w:jc w:val="center"/>
              <w:rPr>
                <w:rFonts w:cs="Arial"/>
                <w:i/>
                <w:color w:val="000000"/>
              </w:rPr>
            </w:pPr>
            <w:r>
              <w:rPr>
                <w:rFonts w:cs="Arial"/>
                <w:color w:val="000000"/>
              </w:rPr>
              <w:t>98.2</w:t>
            </w:r>
            <w:r>
              <w:rPr>
                <w:rFonts w:cs="Arial"/>
                <w:color w:val="000000"/>
              </w:rPr>
              <w:br/>
            </w:r>
            <w:r>
              <w:rPr>
                <w:rFonts w:cs="Arial"/>
                <w:i/>
                <w:color w:val="000000"/>
              </w:rPr>
              <w:t>(18%)</w:t>
            </w:r>
          </w:p>
        </w:tc>
        <w:tc>
          <w:tcPr>
            <w:tcW w:w="834" w:type="pct"/>
            <w:hideMark/>
          </w:tcPr>
          <w:p w14:paraId="1407BF68" w14:textId="77777777" w:rsidR="005C4C00" w:rsidRDefault="005C4C00" w:rsidP="0004133B">
            <w:pPr>
              <w:spacing w:after="0"/>
              <w:jc w:val="center"/>
              <w:rPr>
                <w:rFonts w:cs="Arial"/>
                <w:i/>
                <w:color w:val="000000"/>
              </w:rPr>
            </w:pPr>
            <w:r>
              <w:rPr>
                <w:rFonts w:cs="Arial"/>
                <w:color w:val="000000"/>
              </w:rPr>
              <w:t>258.4</w:t>
            </w:r>
            <w:r>
              <w:rPr>
                <w:rFonts w:cs="Arial"/>
                <w:color w:val="000000"/>
              </w:rPr>
              <w:br/>
            </w:r>
            <w:r>
              <w:rPr>
                <w:rFonts w:cs="Arial"/>
                <w:i/>
                <w:color w:val="000000"/>
              </w:rPr>
              <w:t>(47%)</w:t>
            </w:r>
          </w:p>
        </w:tc>
        <w:tc>
          <w:tcPr>
            <w:tcW w:w="1000" w:type="pct"/>
            <w:hideMark/>
          </w:tcPr>
          <w:p w14:paraId="0846A4C5" w14:textId="77777777" w:rsidR="005C4C00" w:rsidRDefault="005C4C00" w:rsidP="0004133B">
            <w:pPr>
              <w:spacing w:after="0"/>
              <w:jc w:val="center"/>
              <w:rPr>
                <w:rFonts w:cs="Arial"/>
                <w:i/>
                <w:color w:val="000000"/>
              </w:rPr>
            </w:pPr>
            <w:r>
              <w:rPr>
                <w:rFonts w:cs="Arial"/>
                <w:color w:val="000000"/>
              </w:rPr>
              <w:t>196.3</w:t>
            </w:r>
            <w:r>
              <w:rPr>
                <w:rFonts w:cs="Arial"/>
                <w:color w:val="000000"/>
              </w:rPr>
              <w:br/>
            </w:r>
            <w:r>
              <w:rPr>
                <w:rFonts w:cs="Arial"/>
                <w:i/>
                <w:color w:val="000000"/>
              </w:rPr>
              <w:t>(36%)</w:t>
            </w:r>
          </w:p>
        </w:tc>
        <w:tc>
          <w:tcPr>
            <w:tcW w:w="1083" w:type="pct"/>
            <w:hideMark/>
          </w:tcPr>
          <w:p w14:paraId="192BBE95" w14:textId="77777777" w:rsidR="005C4C00" w:rsidRDefault="005C4C00" w:rsidP="0004133B">
            <w:pPr>
              <w:spacing w:after="0"/>
              <w:jc w:val="center"/>
              <w:rPr>
                <w:rFonts w:cs="Arial"/>
                <w:color w:val="000000"/>
              </w:rPr>
            </w:pPr>
            <w:r>
              <w:rPr>
                <w:rFonts w:cs="Arial"/>
                <w:color w:val="000000"/>
              </w:rPr>
              <w:t>552.9</w:t>
            </w:r>
          </w:p>
        </w:tc>
      </w:tr>
      <w:tr w:rsidR="00524312" w14:paraId="13C15DAF" w14:textId="77777777" w:rsidTr="0080506D">
        <w:trPr>
          <w:cnfStyle w:val="000000100000" w:firstRow="0" w:lastRow="0" w:firstColumn="0" w:lastColumn="0" w:oddVBand="0" w:evenVBand="0" w:oddHBand="1" w:evenHBand="0" w:firstRowFirstColumn="0" w:firstRowLastColumn="0" w:lastRowFirstColumn="0" w:lastRowLastColumn="0"/>
          <w:trHeight w:val="170"/>
        </w:trPr>
        <w:tc>
          <w:tcPr>
            <w:tcW w:w="5000" w:type="pct"/>
            <w:gridSpan w:val="5"/>
            <w:hideMark/>
          </w:tcPr>
          <w:p w14:paraId="7EB8D49C" w14:textId="77777777" w:rsidR="005C4C00" w:rsidRDefault="005C4C00" w:rsidP="0004133B">
            <w:pPr>
              <w:spacing w:after="0"/>
              <w:rPr>
                <w:rFonts w:cs="Arial"/>
                <w:color w:val="000000"/>
              </w:rPr>
            </w:pPr>
            <w:r>
              <w:rPr>
                <w:rFonts w:cs="Arial"/>
                <w:color w:val="000000"/>
              </w:rPr>
              <w:t xml:space="preserve">Source: AEMO 2022 GSOO </w:t>
            </w:r>
          </w:p>
        </w:tc>
      </w:tr>
    </w:tbl>
    <w:p w14:paraId="7C33C389" w14:textId="77777777" w:rsidR="005C4C00" w:rsidRPr="00906501" w:rsidRDefault="005C4C00" w:rsidP="005C4C00">
      <w:pPr>
        <w:pStyle w:val="BodyText"/>
        <w:rPr>
          <w:highlight w:val="yellow"/>
        </w:rPr>
      </w:pPr>
    </w:p>
    <w:p w14:paraId="19FD7558" w14:textId="2CA951B6" w:rsidR="000557EE" w:rsidRPr="000557EE" w:rsidRDefault="005C4C00" w:rsidP="0062351D">
      <w:pPr>
        <w:pStyle w:val="BodyText"/>
        <w:rPr>
          <w:highlight w:val="yellow"/>
        </w:rPr>
      </w:pPr>
      <w:r>
        <w:t>Industrial loads for gas include industries</w:t>
      </w:r>
      <w:r w:rsidR="001A11F9">
        <w:t>,</w:t>
      </w:r>
      <w:r>
        <w:t xml:space="preserve"> such as aluminium</w:t>
      </w:r>
      <w:r w:rsidR="001A11F9">
        <w:t>,</w:t>
      </w:r>
      <w:r>
        <w:t xml:space="preserve"> and chemical production</w:t>
      </w:r>
      <w:r w:rsidR="001A11F9">
        <w:t>,</w:t>
      </w:r>
      <w:r>
        <w:t xml:space="preserve"> such as fertiliser and manufacturing</w:t>
      </w:r>
      <w:r w:rsidR="0062351D">
        <w:t>.</w:t>
      </w:r>
    </w:p>
    <w:p w14:paraId="260B8A8D" w14:textId="2A0798CB" w:rsidR="005C4C00" w:rsidRPr="007B09B0" w:rsidRDefault="001025CC" w:rsidP="007B09B0">
      <w:pPr>
        <w:pStyle w:val="BodyText"/>
        <w:rPr>
          <w:b/>
        </w:rPr>
      </w:pPr>
      <w:r w:rsidRPr="007B09B0">
        <w:rPr>
          <w:b/>
        </w:rPr>
        <w:lastRenderedPageBreak/>
        <w:t>Table 1</w:t>
      </w:r>
      <w:r w:rsidR="004173B0" w:rsidRPr="007B09B0">
        <w:rPr>
          <w:b/>
        </w:rPr>
        <w:t>6</w:t>
      </w:r>
      <w:r w:rsidR="005C4C00" w:rsidRPr="007B09B0">
        <w:rPr>
          <w:b/>
        </w:rPr>
        <w:t>: Australia’s annual energy generation by fuel type (2020-21)</w:t>
      </w:r>
    </w:p>
    <w:tbl>
      <w:tblPr>
        <w:tblStyle w:val="PMCDefaultTableStyle"/>
        <w:tblW w:w="5000" w:type="pct"/>
        <w:tblLook w:val="04A0" w:firstRow="1" w:lastRow="0" w:firstColumn="1" w:lastColumn="0" w:noHBand="0" w:noVBand="1"/>
      </w:tblPr>
      <w:tblGrid>
        <w:gridCol w:w="1073"/>
        <w:gridCol w:w="1104"/>
        <w:gridCol w:w="1100"/>
        <w:gridCol w:w="1080"/>
        <w:gridCol w:w="1080"/>
        <w:gridCol w:w="1383"/>
        <w:gridCol w:w="1123"/>
        <w:gridCol w:w="1127"/>
      </w:tblGrid>
      <w:tr w:rsidR="005C4C00" w14:paraId="52E87A2E" w14:textId="77777777" w:rsidTr="0080506D">
        <w:trPr>
          <w:cnfStyle w:val="100000000000" w:firstRow="1" w:lastRow="0" w:firstColumn="0" w:lastColumn="0" w:oddVBand="0" w:evenVBand="0" w:oddHBand="0" w:evenHBand="0" w:firstRowFirstColumn="0" w:firstRowLastColumn="0" w:lastRowFirstColumn="0" w:lastRowLastColumn="0"/>
          <w:trHeight w:val="918"/>
        </w:trPr>
        <w:tc>
          <w:tcPr>
            <w:tcW w:w="601" w:type="pct"/>
          </w:tcPr>
          <w:p w14:paraId="23CF1618" w14:textId="77777777" w:rsidR="005C4C00" w:rsidRPr="0086418B" w:rsidRDefault="005C4C00" w:rsidP="0004133B">
            <w:pPr>
              <w:pStyle w:val="BodyText"/>
              <w:spacing w:after="0"/>
              <w:jc w:val="center"/>
              <w:rPr>
                <w:sz w:val="22"/>
                <w:szCs w:val="22"/>
              </w:rPr>
            </w:pPr>
            <w:r w:rsidRPr="0086418B">
              <w:rPr>
                <w:sz w:val="22"/>
                <w:szCs w:val="22"/>
              </w:rPr>
              <w:t>Coal</w:t>
            </w:r>
          </w:p>
        </w:tc>
        <w:tc>
          <w:tcPr>
            <w:tcW w:w="618" w:type="pct"/>
          </w:tcPr>
          <w:p w14:paraId="5A8F6C83" w14:textId="77777777" w:rsidR="005C4C00" w:rsidRPr="0086418B" w:rsidRDefault="005C4C00" w:rsidP="0004133B">
            <w:pPr>
              <w:pStyle w:val="BodyText"/>
              <w:spacing w:after="0"/>
              <w:jc w:val="center"/>
              <w:rPr>
                <w:sz w:val="22"/>
                <w:szCs w:val="22"/>
              </w:rPr>
            </w:pPr>
            <w:r w:rsidRPr="0086418B">
              <w:rPr>
                <w:sz w:val="22"/>
                <w:szCs w:val="22"/>
              </w:rPr>
              <w:t>Gas</w:t>
            </w:r>
          </w:p>
        </w:tc>
        <w:tc>
          <w:tcPr>
            <w:tcW w:w="616" w:type="pct"/>
          </w:tcPr>
          <w:p w14:paraId="4B42B69B" w14:textId="77777777" w:rsidR="005C4C00" w:rsidRPr="0086418B" w:rsidRDefault="005C4C00" w:rsidP="0004133B">
            <w:pPr>
              <w:pStyle w:val="BodyText"/>
              <w:spacing w:after="0"/>
              <w:jc w:val="center"/>
              <w:rPr>
                <w:sz w:val="22"/>
                <w:szCs w:val="22"/>
              </w:rPr>
            </w:pPr>
            <w:r w:rsidRPr="0086418B">
              <w:rPr>
                <w:sz w:val="22"/>
                <w:szCs w:val="22"/>
              </w:rPr>
              <w:t>Wind</w:t>
            </w:r>
          </w:p>
        </w:tc>
        <w:tc>
          <w:tcPr>
            <w:tcW w:w="605" w:type="pct"/>
          </w:tcPr>
          <w:p w14:paraId="59642A0E" w14:textId="77777777" w:rsidR="005C4C00" w:rsidRPr="0086418B" w:rsidRDefault="005C4C00" w:rsidP="0004133B">
            <w:pPr>
              <w:pStyle w:val="BodyText"/>
              <w:spacing w:after="0"/>
              <w:jc w:val="center"/>
              <w:rPr>
                <w:sz w:val="22"/>
                <w:szCs w:val="22"/>
              </w:rPr>
            </w:pPr>
            <w:r w:rsidRPr="0086418B">
              <w:rPr>
                <w:sz w:val="22"/>
                <w:szCs w:val="22"/>
              </w:rPr>
              <w:t>Hydro</w:t>
            </w:r>
          </w:p>
        </w:tc>
        <w:tc>
          <w:tcPr>
            <w:tcW w:w="604" w:type="pct"/>
          </w:tcPr>
          <w:p w14:paraId="72AE3B71" w14:textId="77777777" w:rsidR="005C4C00" w:rsidRPr="0086418B" w:rsidRDefault="005C4C00" w:rsidP="0004133B">
            <w:pPr>
              <w:pStyle w:val="BodyText"/>
              <w:spacing w:after="0"/>
              <w:jc w:val="center"/>
              <w:rPr>
                <w:sz w:val="22"/>
                <w:szCs w:val="22"/>
              </w:rPr>
            </w:pPr>
            <w:r w:rsidRPr="0086418B">
              <w:rPr>
                <w:sz w:val="22"/>
                <w:szCs w:val="22"/>
              </w:rPr>
              <w:t>Grid-scale Solar</w:t>
            </w:r>
          </w:p>
        </w:tc>
        <w:tc>
          <w:tcPr>
            <w:tcW w:w="696" w:type="pct"/>
          </w:tcPr>
          <w:p w14:paraId="212B4E85" w14:textId="77777777" w:rsidR="005C4C00" w:rsidRPr="0086418B" w:rsidRDefault="005C4C00" w:rsidP="0004133B">
            <w:pPr>
              <w:pStyle w:val="BodyText"/>
              <w:spacing w:after="0"/>
              <w:jc w:val="center"/>
              <w:rPr>
                <w:sz w:val="22"/>
                <w:szCs w:val="22"/>
              </w:rPr>
            </w:pPr>
            <w:r w:rsidRPr="0086418B">
              <w:rPr>
                <w:sz w:val="22"/>
                <w:szCs w:val="22"/>
              </w:rPr>
              <w:t>Distributed PV</w:t>
            </w:r>
          </w:p>
        </w:tc>
        <w:tc>
          <w:tcPr>
            <w:tcW w:w="628" w:type="pct"/>
          </w:tcPr>
          <w:p w14:paraId="15701085" w14:textId="77777777" w:rsidR="005C4C00" w:rsidRPr="0086418B" w:rsidRDefault="005C4C00" w:rsidP="0004133B">
            <w:pPr>
              <w:pStyle w:val="BodyText"/>
              <w:spacing w:after="0"/>
              <w:jc w:val="center"/>
              <w:rPr>
                <w:sz w:val="22"/>
                <w:szCs w:val="22"/>
              </w:rPr>
            </w:pPr>
            <w:r w:rsidRPr="0086418B">
              <w:rPr>
                <w:sz w:val="22"/>
                <w:szCs w:val="22"/>
              </w:rPr>
              <w:t>Battery Storage Systems</w:t>
            </w:r>
          </w:p>
        </w:tc>
        <w:tc>
          <w:tcPr>
            <w:tcW w:w="630" w:type="pct"/>
          </w:tcPr>
          <w:p w14:paraId="07368DBF" w14:textId="77777777" w:rsidR="005C4C00" w:rsidRPr="0086418B" w:rsidRDefault="005C4C00" w:rsidP="0004133B">
            <w:pPr>
              <w:pStyle w:val="BodyText"/>
              <w:spacing w:after="0"/>
              <w:jc w:val="center"/>
              <w:rPr>
                <w:sz w:val="22"/>
                <w:szCs w:val="22"/>
              </w:rPr>
            </w:pPr>
            <w:r w:rsidRPr="0086418B">
              <w:rPr>
                <w:sz w:val="22"/>
                <w:szCs w:val="22"/>
              </w:rPr>
              <w:t>Biomass</w:t>
            </w:r>
          </w:p>
        </w:tc>
      </w:tr>
      <w:tr w:rsidR="005C4C00" w14:paraId="4B545764" w14:textId="77777777" w:rsidTr="0080506D">
        <w:trPr>
          <w:cnfStyle w:val="000000100000" w:firstRow="0" w:lastRow="0" w:firstColumn="0" w:lastColumn="0" w:oddVBand="0" w:evenVBand="0" w:oddHBand="1" w:evenHBand="0" w:firstRowFirstColumn="0" w:firstRowLastColumn="0" w:lastRowFirstColumn="0" w:lastRowLastColumn="0"/>
          <w:trHeight w:val="407"/>
        </w:trPr>
        <w:tc>
          <w:tcPr>
            <w:tcW w:w="601" w:type="pct"/>
          </w:tcPr>
          <w:p w14:paraId="3BA40D7A" w14:textId="77777777" w:rsidR="005C4C00" w:rsidRPr="0086418B" w:rsidRDefault="005C4C00" w:rsidP="0004133B">
            <w:pPr>
              <w:pStyle w:val="BodyText"/>
              <w:spacing w:after="0"/>
              <w:jc w:val="center"/>
            </w:pPr>
            <w:r w:rsidRPr="0086418B">
              <w:t>64.67%</w:t>
            </w:r>
          </w:p>
        </w:tc>
        <w:tc>
          <w:tcPr>
            <w:tcW w:w="618" w:type="pct"/>
          </w:tcPr>
          <w:p w14:paraId="1FA5E833" w14:textId="77777777" w:rsidR="005C4C00" w:rsidRPr="0086418B" w:rsidRDefault="005C4C00" w:rsidP="0004133B">
            <w:pPr>
              <w:pStyle w:val="BodyText"/>
              <w:spacing w:after="0"/>
              <w:jc w:val="center"/>
            </w:pPr>
            <w:r w:rsidRPr="0086418B">
              <w:t>6.57%</w:t>
            </w:r>
          </w:p>
        </w:tc>
        <w:tc>
          <w:tcPr>
            <w:tcW w:w="616" w:type="pct"/>
          </w:tcPr>
          <w:p w14:paraId="3AC9AF10" w14:textId="77777777" w:rsidR="005C4C00" w:rsidRPr="0086418B" w:rsidRDefault="005C4C00" w:rsidP="0004133B">
            <w:pPr>
              <w:pStyle w:val="BodyText"/>
              <w:spacing w:after="0"/>
              <w:jc w:val="center"/>
            </w:pPr>
            <w:r w:rsidRPr="0086418B">
              <w:t>10.45%</w:t>
            </w:r>
          </w:p>
        </w:tc>
        <w:tc>
          <w:tcPr>
            <w:tcW w:w="605" w:type="pct"/>
          </w:tcPr>
          <w:p w14:paraId="664DDE0A" w14:textId="77777777" w:rsidR="005C4C00" w:rsidRPr="0086418B" w:rsidRDefault="005C4C00" w:rsidP="0004133B">
            <w:pPr>
              <w:pStyle w:val="BodyText"/>
              <w:spacing w:after="0"/>
              <w:jc w:val="center"/>
            </w:pPr>
            <w:r w:rsidRPr="0086418B">
              <w:t>7.21%</w:t>
            </w:r>
          </w:p>
        </w:tc>
        <w:tc>
          <w:tcPr>
            <w:tcW w:w="604" w:type="pct"/>
          </w:tcPr>
          <w:p w14:paraId="544C0EAE" w14:textId="77777777" w:rsidR="005C4C00" w:rsidRPr="0086418B" w:rsidRDefault="005C4C00" w:rsidP="0004133B">
            <w:pPr>
              <w:pStyle w:val="BodyText"/>
              <w:spacing w:after="0"/>
              <w:jc w:val="center"/>
            </w:pPr>
            <w:r w:rsidRPr="0086418B">
              <w:t>3.85%</w:t>
            </w:r>
          </w:p>
        </w:tc>
        <w:tc>
          <w:tcPr>
            <w:tcW w:w="696" w:type="pct"/>
          </w:tcPr>
          <w:p w14:paraId="04DC1C61" w14:textId="77777777" w:rsidR="005C4C00" w:rsidRPr="0086418B" w:rsidRDefault="005C4C00" w:rsidP="0004133B">
            <w:pPr>
              <w:pStyle w:val="BodyText"/>
              <w:spacing w:after="0"/>
              <w:jc w:val="center"/>
            </w:pPr>
            <w:r w:rsidRPr="0086418B">
              <w:t>7.09%</w:t>
            </w:r>
          </w:p>
        </w:tc>
        <w:tc>
          <w:tcPr>
            <w:tcW w:w="628" w:type="pct"/>
          </w:tcPr>
          <w:p w14:paraId="0B396FB0" w14:textId="77777777" w:rsidR="005C4C00" w:rsidRPr="0086418B" w:rsidRDefault="005C4C00" w:rsidP="0004133B">
            <w:pPr>
              <w:pStyle w:val="BodyText"/>
              <w:spacing w:after="0"/>
              <w:jc w:val="center"/>
            </w:pPr>
            <w:r w:rsidRPr="0086418B">
              <w:t>0.05%</w:t>
            </w:r>
          </w:p>
        </w:tc>
        <w:tc>
          <w:tcPr>
            <w:tcW w:w="630" w:type="pct"/>
          </w:tcPr>
          <w:p w14:paraId="357E5A20" w14:textId="77777777" w:rsidR="005C4C00" w:rsidRPr="0086418B" w:rsidRDefault="005C4C00" w:rsidP="0004133B">
            <w:pPr>
              <w:pStyle w:val="BodyText"/>
              <w:spacing w:after="0"/>
              <w:jc w:val="center"/>
            </w:pPr>
            <w:r w:rsidRPr="0086418B">
              <w:t>0.09%</w:t>
            </w:r>
          </w:p>
        </w:tc>
      </w:tr>
      <w:tr w:rsidR="005C4C00" w14:paraId="40BCE54E" w14:textId="77777777" w:rsidTr="0080506D">
        <w:trPr>
          <w:cnfStyle w:val="000000010000" w:firstRow="0" w:lastRow="0" w:firstColumn="0" w:lastColumn="0" w:oddVBand="0" w:evenVBand="0" w:oddHBand="0" w:evenHBand="1" w:firstRowFirstColumn="0" w:firstRowLastColumn="0" w:lastRowFirstColumn="0" w:lastRowLastColumn="0"/>
          <w:trHeight w:val="656"/>
        </w:trPr>
        <w:tc>
          <w:tcPr>
            <w:tcW w:w="601" w:type="pct"/>
          </w:tcPr>
          <w:p w14:paraId="7DA96207" w14:textId="77777777" w:rsidR="005C4C00" w:rsidRPr="0086418B" w:rsidRDefault="005C4C00" w:rsidP="0004133B">
            <w:pPr>
              <w:pStyle w:val="BodyText"/>
              <w:spacing w:after="0"/>
              <w:jc w:val="center"/>
            </w:pPr>
            <w:r w:rsidRPr="0086418B">
              <w:t>131.27 TWh</w:t>
            </w:r>
          </w:p>
        </w:tc>
        <w:tc>
          <w:tcPr>
            <w:tcW w:w="618" w:type="pct"/>
          </w:tcPr>
          <w:p w14:paraId="6622AA6A" w14:textId="77777777" w:rsidR="005C4C00" w:rsidRPr="0086418B" w:rsidRDefault="005C4C00" w:rsidP="0004133B">
            <w:pPr>
              <w:pStyle w:val="BodyText"/>
              <w:spacing w:after="0"/>
              <w:jc w:val="center"/>
            </w:pPr>
            <w:r w:rsidRPr="0086418B">
              <w:t>13.33 TWh</w:t>
            </w:r>
          </w:p>
        </w:tc>
        <w:tc>
          <w:tcPr>
            <w:tcW w:w="616" w:type="pct"/>
          </w:tcPr>
          <w:p w14:paraId="5AF098B8" w14:textId="77777777" w:rsidR="005C4C00" w:rsidRPr="0086418B" w:rsidRDefault="005C4C00" w:rsidP="0004133B">
            <w:pPr>
              <w:pStyle w:val="BodyText"/>
              <w:spacing w:after="0"/>
              <w:jc w:val="center"/>
            </w:pPr>
            <w:r w:rsidRPr="0086418B">
              <w:t>21.20 TWh</w:t>
            </w:r>
          </w:p>
        </w:tc>
        <w:tc>
          <w:tcPr>
            <w:tcW w:w="605" w:type="pct"/>
          </w:tcPr>
          <w:p w14:paraId="5B1FC07B" w14:textId="77777777" w:rsidR="005C4C00" w:rsidRPr="0086418B" w:rsidRDefault="005C4C00" w:rsidP="0004133B">
            <w:pPr>
              <w:pStyle w:val="BodyText"/>
              <w:spacing w:after="0"/>
              <w:jc w:val="center"/>
            </w:pPr>
            <w:r w:rsidRPr="0086418B">
              <w:t>14.64 TWh</w:t>
            </w:r>
          </w:p>
        </w:tc>
        <w:tc>
          <w:tcPr>
            <w:tcW w:w="604" w:type="pct"/>
          </w:tcPr>
          <w:p w14:paraId="6C280F44" w14:textId="77777777" w:rsidR="005C4C00" w:rsidRPr="0086418B" w:rsidRDefault="005C4C00" w:rsidP="0004133B">
            <w:pPr>
              <w:pStyle w:val="BodyText"/>
              <w:spacing w:after="0"/>
              <w:jc w:val="center"/>
            </w:pPr>
            <w:r w:rsidRPr="0086418B">
              <w:t>7.81 TWh</w:t>
            </w:r>
          </w:p>
        </w:tc>
        <w:tc>
          <w:tcPr>
            <w:tcW w:w="696" w:type="pct"/>
          </w:tcPr>
          <w:p w14:paraId="57DE82B6" w14:textId="77777777" w:rsidR="005C4C00" w:rsidRPr="0086418B" w:rsidRDefault="005C4C00" w:rsidP="0004133B">
            <w:pPr>
              <w:pStyle w:val="BodyText"/>
              <w:spacing w:after="0"/>
              <w:jc w:val="center"/>
            </w:pPr>
            <w:r w:rsidRPr="0086418B">
              <w:t>14.39 TWh</w:t>
            </w:r>
          </w:p>
        </w:tc>
        <w:tc>
          <w:tcPr>
            <w:tcW w:w="628" w:type="pct"/>
          </w:tcPr>
          <w:p w14:paraId="0E49663F" w14:textId="77777777" w:rsidR="005C4C00" w:rsidRPr="0086418B" w:rsidRDefault="005C4C00" w:rsidP="0004133B">
            <w:pPr>
              <w:pStyle w:val="BodyText"/>
              <w:spacing w:after="0"/>
              <w:jc w:val="center"/>
            </w:pPr>
            <w:r w:rsidRPr="0086418B">
              <w:t>0.11 TWh</w:t>
            </w:r>
          </w:p>
        </w:tc>
        <w:tc>
          <w:tcPr>
            <w:tcW w:w="630" w:type="pct"/>
          </w:tcPr>
          <w:p w14:paraId="30E44878" w14:textId="77777777" w:rsidR="005C4C00" w:rsidRPr="0086418B" w:rsidRDefault="005C4C00" w:rsidP="0004133B">
            <w:pPr>
              <w:pStyle w:val="BodyText"/>
              <w:spacing w:after="0"/>
              <w:jc w:val="center"/>
            </w:pPr>
            <w:r w:rsidRPr="0086418B">
              <w:t>0.18 TWh</w:t>
            </w:r>
          </w:p>
        </w:tc>
      </w:tr>
    </w:tbl>
    <w:p w14:paraId="2622B224" w14:textId="77777777" w:rsidR="005C4C00" w:rsidRDefault="005C4C00" w:rsidP="000F6CE6">
      <w:pPr>
        <w:pStyle w:val="HeaderOdd"/>
      </w:pPr>
    </w:p>
    <w:p w14:paraId="095F9A53" w14:textId="77777777" w:rsidR="00D32AD2" w:rsidRDefault="00D32AD2" w:rsidP="00D32AD2">
      <w:pPr>
        <w:pStyle w:val="HeaderOdd"/>
      </w:pPr>
      <w:r>
        <w:t>The Australian Domestic Gas Security Mechanism (ADGSM)</w:t>
      </w:r>
    </w:p>
    <w:p w14:paraId="66379275" w14:textId="0C886128" w:rsidR="000F6CE6" w:rsidRPr="000F6CE6" w:rsidRDefault="000F6CE6" w:rsidP="000F6CE6">
      <w:r w:rsidRPr="000F6CE6">
        <w:t xml:space="preserve">The ADGSM was established in 2017 as </w:t>
      </w:r>
      <w:r w:rsidR="00D808EC">
        <w:t xml:space="preserve">a </w:t>
      </w:r>
      <w:r w:rsidRPr="000F6CE6">
        <w:t xml:space="preserve">framework to restrict </w:t>
      </w:r>
      <w:r w:rsidR="00D808EC">
        <w:t>LNG exports</w:t>
      </w:r>
      <w:r w:rsidRPr="000F6CE6">
        <w:t xml:space="preserve"> where there is a reasonable prospect of a supply shortfall in the east coast domestic </w:t>
      </w:r>
      <w:r w:rsidR="00D808EC">
        <w:t>gas</w:t>
      </w:r>
      <w:r w:rsidRPr="000F6CE6">
        <w:t xml:space="preserve"> market. The assessment period for the ADGSM is currently annual, with reforms announced this year to shift this to a quarterly assessment.  </w:t>
      </w:r>
    </w:p>
    <w:p w14:paraId="7CFA86CA" w14:textId="39BFDA97" w:rsidR="000F6CE6" w:rsidRPr="000F6CE6" w:rsidRDefault="000F6CE6" w:rsidP="000F6CE6">
      <w:r w:rsidRPr="000F6CE6">
        <w:t>The regulatory impact of the ADGSM was considered in the Impact Assessment on the implementation of the scheme in June 2022</w:t>
      </w:r>
      <w:r w:rsidR="00D808EC">
        <w:t xml:space="preserve"> (see A7 in AA22/0197)</w:t>
      </w:r>
      <w:r w:rsidRPr="000F6CE6">
        <w:t>, as well as at the announcement of further reforms (including shift to quarterly assessment) in October 2022.  </w:t>
      </w:r>
    </w:p>
    <w:p w14:paraId="3211EFFD" w14:textId="6847D399" w:rsidR="000F6CE6" w:rsidRPr="000F6CE6" w:rsidRDefault="000F6CE6" w:rsidP="000F6CE6">
      <w:r w:rsidRPr="000F6CE6">
        <w:t xml:space="preserve">During the shortfall assessment period, the Minister </w:t>
      </w:r>
      <w:r w:rsidR="00140447">
        <w:t>for Resources</w:t>
      </w:r>
      <w:r w:rsidRPr="000F6CE6">
        <w:t xml:space="preserve"> determines whether a shortfall is likely. If a shortfall is likely, the Minister will decide how much gas needs to be redirected to the domestic market to prevent the shortfall. Concurrently, the Minister will determine how much gas each LNG producer needs to contribute to this amount. </w:t>
      </w:r>
    </w:p>
    <w:p w14:paraId="647B90C4" w14:textId="00F25030" w:rsidR="000F6CE6" w:rsidRPr="000F6CE6" w:rsidRDefault="00E31FE2" w:rsidP="000F6CE6">
      <w:r>
        <w:t>Under the current version of the ADGSM, i</w:t>
      </w:r>
      <w:r w:rsidR="000F6CE6" w:rsidRPr="000F6CE6">
        <w:t xml:space="preserve">f an LNG producer takes more gas from the domestic market than they supply, that producer is considered to be in net deficit. An LNG producer in net deficit will bear more of the responsibility to redirect gas to the domestic market. As such, if there is only one LNG producer in </w:t>
      </w:r>
      <w:r w:rsidR="000F6CE6" w:rsidRPr="00D808EC">
        <w:t>net deficit</w:t>
      </w:r>
      <w:r w:rsidR="000F6CE6" w:rsidRPr="000F6CE6">
        <w:t>, that producer is solely responsible for preventing the shortfall. If no LNG producers are in net deficit, none of them will be obligated to offer gas to the domestic market. In this situation, the shortfall will not be addressed.</w:t>
      </w:r>
    </w:p>
    <w:p w14:paraId="67AC8A6B" w14:textId="77777777" w:rsidR="00E31FE2" w:rsidRDefault="000F6CE6" w:rsidP="000F6CE6">
      <w:r w:rsidRPr="000F6CE6">
        <w:t xml:space="preserve">The Minister </w:t>
      </w:r>
      <w:r w:rsidR="00E31FE2">
        <w:t xml:space="preserve">for Resources </w:t>
      </w:r>
      <w:r w:rsidRPr="000F6CE6">
        <w:t xml:space="preserve">will issue a public determination notifying </w:t>
      </w:r>
      <w:r w:rsidR="00E31FE2">
        <w:t>the Minister’s</w:t>
      </w:r>
      <w:r w:rsidRPr="000F6CE6">
        <w:t xml:space="preserve"> decision to activate the ADGSM and invoke export controls. </w:t>
      </w:r>
      <w:r w:rsidR="00E31FE2">
        <w:t>This</w:t>
      </w:r>
      <w:r w:rsidRPr="000F6CE6">
        <w:t xml:space="preserve"> will grant LNG producers export permissions, which may be attached with conditions. Export permissions will allow an LNG producer to either export an unlimited amount of gas, or to export only up to a certain amount (for those in net deficit). </w:t>
      </w:r>
    </w:p>
    <w:p w14:paraId="758C4D88" w14:textId="1DBF4E26" w:rsidR="000F6CE6" w:rsidRPr="000F6CE6" w:rsidRDefault="00E31FE2" w:rsidP="000F6CE6">
      <w:r>
        <w:t>The</w:t>
      </w:r>
      <w:r w:rsidR="000F6CE6" w:rsidRPr="000F6CE6">
        <w:t xml:space="preserve"> Minister can revoke a determination of a shortfall year at any time. Within 30 days after the determination is made (the Minister has discretion to shorten this period), LNG producers can provide feedback to the Minister on their export permissions. </w:t>
      </w:r>
    </w:p>
    <w:p w14:paraId="22874914" w14:textId="77777777" w:rsidR="000F6CE6" w:rsidRPr="000F6CE6" w:rsidRDefault="000F6CE6" w:rsidP="000F6CE6">
      <w:r w:rsidRPr="000F6CE6">
        <w:t xml:space="preserve">The export permissions come into effect at the beginning of the shortfall year (at the beginning of 2023). They will last for the duration of the shortfall year. Once an export permission is set, it cannot be reduced unless its conditions have been breached. </w:t>
      </w:r>
    </w:p>
    <w:p w14:paraId="3D924B3C" w14:textId="45B205FA" w:rsidR="005C4C00" w:rsidRDefault="005C4C00" w:rsidP="000F6CE6">
      <w:pPr>
        <w:pStyle w:val="HeaderOdd"/>
        <w:rPr>
          <w:b w:val="0"/>
          <w:color w:val="5F5F5F" w:themeColor="text2"/>
          <w:sz w:val="60"/>
          <w:szCs w:val="60"/>
        </w:rPr>
      </w:pPr>
      <w:r>
        <w:br w:type="page"/>
      </w:r>
    </w:p>
    <w:p w14:paraId="6D3ADD41" w14:textId="3FA90679" w:rsidR="00DF1902" w:rsidRDefault="00DF1902" w:rsidP="00DF1902">
      <w:pPr>
        <w:pStyle w:val="Heading1"/>
        <w:rPr>
          <w:sz w:val="52"/>
          <w:szCs w:val="52"/>
        </w:rPr>
      </w:pPr>
      <w:bookmarkStart w:id="34" w:name="_Toc121406880"/>
      <w:r w:rsidRPr="00745D7A">
        <w:rPr>
          <w:sz w:val="52"/>
          <w:szCs w:val="52"/>
        </w:rPr>
        <w:lastRenderedPageBreak/>
        <w:t xml:space="preserve">Appendix </w:t>
      </w:r>
      <w:r>
        <w:rPr>
          <w:sz w:val="52"/>
          <w:szCs w:val="52"/>
        </w:rPr>
        <w:t>B</w:t>
      </w:r>
      <w:r w:rsidRPr="00745D7A">
        <w:rPr>
          <w:sz w:val="52"/>
          <w:szCs w:val="52"/>
        </w:rPr>
        <w:t xml:space="preserve">: </w:t>
      </w:r>
      <w:r>
        <w:rPr>
          <w:sz w:val="52"/>
          <w:szCs w:val="52"/>
        </w:rPr>
        <w:t>Regulatory Burden Costings</w:t>
      </w:r>
      <w:bookmarkEnd w:id="34"/>
    </w:p>
    <w:p w14:paraId="3A7677B1" w14:textId="007D6DEE" w:rsidR="00DF1902" w:rsidRDefault="00DF1902" w:rsidP="00B1773E">
      <w:pPr>
        <w:pStyle w:val="BodyText"/>
      </w:pPr>
      <w:r>
        <w:t xml:space="preserve">Of the options considered in this Impact Analysis, the following </w:t>
      </w:r>
      <w:r w:rsidR="00724A11">
        <w:t xml:space="preserve">three </w:t>
      </w:r>
      <w:r>
        <w:t>options are expected to create regulatory burdens for businesses:</w:t>
      </w:r>
    </w:p>
    <w:p w14:paraId="581623F7" w14:textId="5B82B323" w:rsidR="00DF1902" w:rsidRPr="00E31FE2" w:rsidRDefault="00DF1902" w:rsidP="00C44083">
      <w:pPr>
        <w:pStyle w:val="Bullet"/>
        <w:rPr>
          <w:b/>
        </w:rPr>
      </w:pPr>
      <w:r w:rsidRPr="00E31FE2">
        <w:t xml:space="preserve">Option </w:t>
      </w:r>
      <w:r w:rsidR="00304194" w:rsidRPr="00E31FE2">
        <w:t xml:space="preserve">A1: Legislate a new framework for the making of energy market codes within the CCA, and prescribe a mandatory Code of Conduct for wholesale gas markets </w:t>
      </w:r>
    </w:p>
    <w:p w14:paraId="419930CA" w14:textId="2DF5C59B" w:rsidR="00E26AA0" w:rsidRPr="00E31FE2" w:rsidRDefault="00DF1902" w:rsidP="00C44083">
      <w:pPr>
        <w:pStyle w:val="Bullet"/>
        <w:rPr>
          <w:b/>
        </w:rPr>
      </w:pPr>
      <w:r w:rsidRPr="00E31FE2">
        <w:t xml:space="preserve">Option </w:t>
      </w:r>
      <w:r w:rsidR="00E26AA0" w:rsidRPr="00E31FE2">
        <w:t xml:space="preserve">A2 – Prescribe a </w:t>
      </w:r>
      <w:r w:rsidR="00B23502" w:rsidRPr="00E31FE2">
        <w:t>m</w:t>
      </w:r>
      <w:r w:rsidR="00E26AA0" w:rsidRPr="00E31FE2">
        <w:t>andatory Code of Conduct for wholesale gas markets under the existing industry codes framework (Part IVB of the CCA)</w:t>
      </w:r>
    </w:p>
    <w:p w14:paraId="4824C0CC" w14:textId="46A20B2D" w:rsidR="00DF1902" w:rsidRPr="00E31FE2" w:rsidRDefault="00DF1902" w:rsidP="00C44083">
      <w:pPr>
        <w:pStyle w:val="Bullet"/>
        <w:rPr>
          <w:b/>
        </w:rPr>
      </w:pPr>
      <w:r w:rsidRPr="00E31FE2">
        <w:t>Option A4 – Temporary 12-month gas price cap</w:t>
      </w:r>
    </w:p>
    <w:p w14:paraId="47692519" w14:textId="33F6CC67" w:rsidR="00DF1902" w:rsidRDefault="00DF1902" w:rsidP="00AD7E3A">
      <w:pPr>
        <w:pStyle w:val="BodyText"/>
      </w:pPr>
      <w:r w:rsidRPr="008C58CF">
        <w:t xml:space="preserve">This </w:t>
      </w:r>
      <w:r>
        <w:t>technical appendix provides further information detailing how regulatory burden costs for each of these options were calculated, including the assumptions made in estimating these costs.</w:t>
      </w:r>
    </w:p>
    <w:p w14:paraId="335F0F00" w14:textId="77777777" w:rsidR="00304194" w:rsidRDefault="00DF1902" w:rsidP="006850BC">
      <w:pPr>
        <w:pStyle w:val="HeaderOdd"/>
      </w:pPr>
      <w:r>
        <w:t xml:space="preserve">Option </w:t>
      </w:r>
      <w:r w:rsidR="00304194">
        <w:rPr>
          <w:bCs/>
        </w:rPr>
        <w:t xml:space="preserve">A1: </w:t>
      </w:r>
      <w:r w:rsidR="00304194">
        <w:t xml:space="preserve">Legislate a new framework for the making of energy market codes within the </w:t>
      </w:r>
      <w:r w:rsidR="00304194" w:rsidRPr="008C58CF">
        <w:t>CCA</w:t>
      </w:r>
      <w:r w:rsidR="00304194">
        <w:t xml:space="preserve">, and prescribe a mandatory Code </w:t>
      </w:r>
      <w:r w:rsidR="00304194" w:rsidRPr="00E63C9A">
        <w:t xml:space="preserve">of </w:t>
      </w:r>
      <w:r w:rsidR="00304194">
        <w:t>C</w:t>
      </w:r>
      <w:r w:rsidR="00304194" w:rsidRPr="00E63C9A">
        <w:t xml:space="preserve">onduct </w:t>
      </w:r>
      <w:r w:rsidR="00304194">
        <w:t xml:space="preserve">for wholesale gas markets </w:t>
      </w:r>
    </w:p>
    <w:p w14:paraId="4DB64E86" w14:textId="2753D126" w:rsidR="00DF1902" w:rsidRDefault="00792C30" w:rsidP="006850BC">
      <w:pPr>
        <w:pStyle w:val="HeaderOdd"/>
      </w:pPr>
      <w:r>
        <w:t xml:space="preserve"> </w:t>
      </w:r>
    </w:p>
    <w:p w14:paraId="408A2E81" w14:textId="64BAAF76" w:rsidR="00A44E95" w:rsidRPr="008C58CF" w:rsidRDefault="001025CC" w:rsidP="00A44E95">
      <w:pPr>
        <w:pStyle w:val="BodyText"/>
        <w:rPr>
          <w:b/>
        </w:rPr>
      </w:pPr>
      <w:r>
        <w:rPr>
          <w:b/>
        </w:rPr>
        <w:t>Table 1</w:t>
      </w:r>
      <w:r w:rsidR="004173B0">
        <w:rPr>
          <w:b/>
        </w:rPr>
        <w:t>7</w:t>
      </w:r>
      <w:r w:rsidR="006468DE">
        <w:rPr>
          <w:b/>
        </w:rPr>
        <w:t xml:space="preserve">: </w:t>
      </w:r>
      <w:r w:rsidR="00A44E95" w:rsidRPr="008C58CF">
        <w:rPr>
          <w:b/>
        </w:rPr>
        <w:t>Summary of regulatory burden calculations</w:t>
      </w:r>
      <w:r w:rsidR="00A44E95">
        <w:rPr>
          <w:b/>
        </w:rPr>
        <w:t>:</w:t>
      </w:r>
    </w:p>
    <w:tbl>
      <w:tblPr>
        <w:tblStyle w:val="PMCDefaultTableStyle"/>
        <w:tblW w:w="0" w:type="auto"/>
        <w:tblLook w:val="04A0" w:firstRow="1" w:lastRow="0" w:firstColumn="1" w:lastColumn="0" w:noHBand="0" w:noVBand="1"/>
      </w:tblPr>
      <w:tblGrid>
        <w:gridCol w:w="3686"/>
        <w:gridCol w:w="2551"/>
        <w:gridCol w:w="2551"/>
      </w:tblGrid>
      <w:tr w:rsidR="00A44E95" w14:paraId="41BBC701" w14:textId="77777777" w:rsidTr="008C58CF">
        <w:trPr>
          <w:cnfStyle w:val="100000000000" w:firstRow="1" w:lastRow="0" w:firstColumn="0" w:lastColumn="0" w:oddVBand="0" w:evenVBand="0" w:oddHBand="0" w:evenHBand="0" w:firstRowFirstColumn="0" w:firstRowLastColumn="0" w:lastRowFirstColumn="0" w:lastRowLastColumn="0"/>
        </w:trPr>
        <w:tc>
          <w:tcPr>
            <w:tcW w:w="3686" w:type="dxa"/>
          </w:tcPr>
          <w:p w14:paraId="1026F1F8" w14:textId="77777777" w:rsidR="00A44E95" w:rsidRDefault="00A44E95" w:rsidP="008C58CF">
            <w:pPr>
              <w:pStyle w:val="BodyText"/>
              <w:rPr>
                <w:bCs/>
              </w:rPr>
            </w:pPr>
            <w:r>
              <w:rPr>
                <w:bCs/>
              </w:rPr>
              <w:t>Cost category</w:t>
            </w:r>
          </w:p>
        </w:tc>
        <w:tc>
          <w:tcPr>
            <w:tcW w:w="2551" w:type="dxa"/>
          </w:tcPr>
          <w:p w14:paraId="411D682C" w14:textId="77777777" w:rsidR="00A44E95" w:rsidRPr="00CA2057" w:rsidRDefault="00A44E95" w:rsidP="008C58CF">
            <w:pPr>
              <w:pStyle w:val="BodyText"/>
              <w:rPr>
                <w:bCs/>
              </w:rPr>
            </w:pPr>
            <w:r>
              <w:rPr>
                <w:bCs/>
              </w:rPr>
              <w:t>Costs over ten years</w:t>
            </w:r>
          </w:p>
        </w:tc>
        <w:tc>
          <w:tcPr>
            <w:tcW w:w="2551" w:type="dxa"/>
          </w:tcPr>
          <w:p w14:paraId="203238DA" w14:textId="77777777" w:rsidR="00A44E95" w:rsidRDefault="00A44E95" w:rsidP="008C58CF">
            <w:pPr>
              <w:pStyle w:val="BodyText"/>
              <w:rPr>
                <w:bCs/>
              </w:rPr>
            </w:pPr>
            <w:r>
              <w:rPr>
                <w:bCs/>
              </w:rPr>
              <w:t>Average costs per year</w:t>
            </w:r>
          </w:p>
        </w:tc>
      </w:tr>
      <w:tr w:rsidR="00A44E95" w14:paraId="418B0B90" w14:textId="77777777" w:rsidTr="008C58CF">
        <w:trPr>
          <w:cnfStyle w:val="000000100000" w:firstRow="0" w:lastRow="0" w:firstColumn="0" w:lastColumn="0" w:oddVBand="0" w:evenVBand="0" w:oddHBand="1" w:evenHBand="0" w:firstRowFirstColumn="0" w:firstRowLastColumn="0" w:lastRowFirstColumn="0" w:lastRowLastColumn="0"/>
        </w:trPr>
        <w:tc>
          <w:tcPr>
            <w:tcW w:w="3686" w:type="dxa"/>
          </w:tcPr>
          <w:p w14:paraId="5BCE59F6" w14:textId="77777777" w:rsidR="00A44E95" w:rsidRDefault="00A44E95" w:rsidP="008C58CF">
            <w:pPr>
              <w:pStyle w:val="BodyText"/>
              <w:rPr>
                <w:bCs/>
              </w:rPr>
            </w:pPr>
            <w:r>
              <w:rPr>
                <w:bCs/>
              </w:rPr>
              <w:t>Adjusting internal processes</w:t>
            </w:r>
          </w:p>
        </w:tc>
        <w:tc>
          <w:tcPr>
            <w:tcW w:w="2551" w:type="dxa"/>
          </w:tcPr>
          <w:p w14:paraId="165E2217" w14:textId="77777777" w:rsidR="00A44E95" w:rsidRDefault="00A44E95" w:rsidP="008C58CF">
            <w:pPr>
              <w:pStyle w:val="BodyText"/>
              <w:rPr>
                <w:bCs/>
              </w:rPr>
            </w:pPr>
            <w:r>
              <w:rPr>
                <w:bCs/>
              </w:rPr>
              <w:t>$1,164,589</w:t>
            </w:r>
          </w:p>
        </w:tc>
        <w:tc>
          <w:tcPr>
            <w:tcW w:w="2551" w:type="dxa"/>
          </w:tcPr>
          <w:p w14:paraId="344E792A" w14:textId="77777777" w:rsidR="00A44E95" w:rsidRDefault="00A44E95" w:rsidP="008C58CF">
            <w:pPr>
              <w:pStyle w:val="BodyText"/>
              <w:rPr>
                <w:bCs/>
              </w:rPr>
            </w:pPr>
            <w:r>
              <w:rPr>
                <w:bCs/>
              </w:rPr>
              <w:t>$116,459</w:t>
            </w:r>
          </w:p>
        </w:tc>
      </w:tr>
      <w:tr w:rsidR="00A44E95" w14:paraId="3C217686" w14:textId="77777777" w:rsidTr="008C58CF">
        <w:trPr>
          <w:cnfStyle w:val="000000010000" w:firstRow="0" w:lastRow="0" w:firstColumn="0" w:lastColumn="0" w:oddVBand="0" w:evenVBand="0" w:oddHBand="0" w:evenHBand="1" w:firstRowFirstColumn="0" w:firstRowLastColumn="0" w:lastRowFirstColumn="0" w:lastRowLastColumn="0"/>
        </w:trPr>
        <w:tc>
          <w:tcPr>
            <w:tcW w:w="3686" w:type="dxa"/>
          </w:tcPr>
          <w:p w14:paraId="0E475BD9" w14:textId="77777777" w:rsidR="00A44E95" w:rsidRDefault="00A44E95" w:rsidP="008C58CF">
            <w:pPr>
              <w:pStyle w:val="BodyText"/>
              <w:rPr>
                <w:bCs/>
              </w:rPr>
            </w:pPr>
            <w:r>
              <w:rPr>
                <w:bCs/>
              </w:rPr>
              <w:t>Legal compliance advice</w:t>
            </w:r>
          </w:p>
        </w:tc>
        <w:tc>
          <w:tcPr>
            <w:tcW w:w="2551" w:type="dxa"/>
          </w:tcPr>
          <w:p w14:paraId="629B40B6" w14:textId="77777777" w:rsidR="00A44E95" w:rsidRPr="00CA2057" w:rsidRDefault="00A44E95" w:rsidP="008C58CF">
            <w:pPr>
              <w:pStyle w:val="BodyText"/>
              <w:rPr>
                <w:bCs/>
              </w:rPr>
            </w:pPr>
            <w:r>
              <w:rPr>
                <w:bCs/>
              </w:rPr>
              <w:t>$2,550,000</w:t>
            </w:r>
          </w:p>
        </w:tc>
        <w:tc>
          <w:tcPr>
            <w:tcW w:w="2551" w:type="dxa"/>
          </w:tcPr>
          <w:p w14:paraId="790E7EC0" w14:textId="77777777" w:rsidR="00A44E95" w:rsidRPr="00CA2057" w:rsidRDefault="00A44E95" w:rsidP="008C58CF">
            <w:pPr>
              <w:pStyle w:val="BodyText"/>
              <w:rPr>
                <w:bCs/>
              </w:rPr>
            </w:pPr>
            <w:r>
              <w:rPr>
                <w:bCs/>
              </w:rPr>
              <w:t>$255,000</w:t>
            </w:r>
          </w:p>
        </w:tc>
      </w:tr>
      <w:tr w:rsidR="00A44E95" w14:paraId="2B227193" w14:textId="77777777" w:rsidTr="008C58CF">
        <w:trPr>
          <w:cnfStyle w:val="000000100000" w:firstRow="0" w:lastRow="0" w:firstColumn="0" w:lastColumn="0" w:oddVBand="0" w:evenVBand="0" w:oddHBand="1" w:evenHBand="0" w:firstRowFirstColumn="0" w:firstRowLastColumn="0" w:lastRowFirstColumn="0" w:lastRowLastColumn="0"/>
        </w:trPr>
        <w:tc>
          <w:tcPr>
            <w:tcW w:w="3686" w:type="dxa"/>
          </w:tcPr>
          <w:p w14:paraId="6ACCC65F" w14:textId="77777777" w:rsidR="00A44E95" w:rsidRDefault="00A44E95" w:rsidP="008C58CF">
            <w:pPr>
              <w:pStyle w:val="BodyText"/>
              <w:rPr>
                <w:bCs/>
              </w:rPr>
            </w:pPr>
            <w:r>
              <w:rPr>
                <w:bCs/>
              </w:rPr>
              <w:t xml:space="preserve">Arbitration </w:t>
            </w:r>
          </w:p>
        </w:tc>
        <w:tc>
          <w:tcPr>
            <w:tcW w:w="2551" w:type="dxa"/>
          </w:tcPr>
          <w:p w14:paraId="4CE32698" w14:textId="77777777" w:rsidR="00A44E95" w:rsidRPr="00CA2057" w:rsidRDefault="00A44E95" w:rsidP="008C58CF">
            <w:pPr>
              <w:pStyle w:val="BodyText"/>
              <w:rPr>
                <w:bCs/>
              </w:rPr>
            </w:pPr>
            <w:r w:rsidRPr="008C58CF">
              <w:rPr>
                <w:bCs/>
              </w:rPr>
              <w:t>$4,320,000</w:t>
            </w:r>
          </w:p>
        </w:tc>
        <w:tc>
          <w:tcPr>
            <w:tcW w:w="2551" w:type="dxa"/>
          </w:tcPr>
          <w:p w14:paraId="414C6744" w14:textId="77777777" w:rsidR="00A44E95" w:rsidRPr="00CA2057" w:rsidRDefault="00A44E95" w:rsidP="008C58CF">
            <w:pPr>
              <w:pStyle w:val="BodyText"/>
              <w:rPr>
                <w:bCs/>
              </w:rPr>
            </w:pPr>
            <w:r>
              <w:rPr>
                <w:bCs/>
              </w:rPr>
              <w:t>$432,000</w:t>
            </w:r>
          </w:p>
        </w:tc>
      </w:tr>
      <w:tr w:rsidR="00A44E95" w14:paraId="54549B9F" w14:textId="77777777" w:rsidTr="008C58CF">
        <w:trPr>
          <w:cnfStyle w:val="000000010000" w:firstRow="0" w:lastRow="0" w:firstColumn="0" w:lastColumn="0" w:oddVBand="0" w:evenVBand="0" w:oddHBand="0" w:evenHBand="1" w:firstRowFirstColumn="0" w:firstRowLastColumn="0" w:lastRowFirstColumn="0" w:lastRowLastColumn="0"/>
        </w:trPr>
        <w:tc>
          <w:tcPr>
            <w:tcW w:w="3686" w:type="dxa"/>
          </w:tcPr>
          <w:p w14:paraId="636BCE05" w14:textId="77777777" w:rsidR="00A44E95" w:rsidRPr="008C58CF" w:rsidRDefault="00A44E95" w:rsidP="008C58CF">
            <w:pPr>
              <w:pStyle w:val="BodyText"/>
              <w:rPr>
                <w:b/>
              </w:rPr>
            </w:pPr>
            <w:r w:rsidRPr="008C58CF">
              <w:rPr>
                <w:b/>
              </w:rPr>
              <w:t>Total</w:t>
            </w:r>
          </w:p>
        </w:tc>
        <w:tc>
          <w:tcPr>
            <w:tcW w:w="2551" w:type="dxa"/>
          </w:tcPr>
          <w:p w14:paraId="39CB89CE" w14:textId="77777777" w:rsidR="00A44E95" w:rsidRPr="008C58CF" w:rsidRDefault="00A44E95" w:rsidP="008C58CF">
            <w:pPr>
              <w:pStyle w:val="BodyText"/>
              <w:rPr>
                <w:b/>
              </w:rPr>
            </w:pPr>
            <w:r w:rsidRPr="008C58CF">
              <w:rPr>
                <w:b/>
              </w:rPr>
              <w:t>$8,034,589</w:t>
            </w:r>
          </w:p>
        </w:tc>
        <w:tc>
          <w:tcPr>
            <w:tcW w:w="2551" w:type="dxa"/>
          </w:tcPr>
          <w:p w14:paraId="50728491" w14:textId="77777777" w:rsidR="00A44E95" w:rsidRPr="008C58CF" w:rsidRDefault="00A44E95" w:rsidP="008C58CF">
            <w:pPr>
              <w:pStyle w:val="BodyText"/>
              <w:rPr>
                <w:b/>
              </w:rPr>
            </w:pPr>
            <w:r w:rsidRPr="008C58CF">
              <w:rPr>
                <w:b/>
              </w:rPr>
              <w:t>$803,459</w:t>
            </w:r>
          </w:p>
        </w:tc>
      </w:tr>
    </w:tbl>
    <w:p w14:paraId="312BBFBB" w14:textId="4F97C6BC" w:rsidR="00DF1902" w:rsidRPr="002B793A" w:rsidRDefault="00DF1902" w:rsidP="00DF1902">
      <w:pPr>
        <w:pStyle w:val="HeaderOdd"/>
      </w:pPr>
    </w:p>
    <w:p w14:paraId="6FF4714A" w14:textId="2F181F2A" w:rsidR="00DF1902" w:rsidRDefault="00DF1902" w:rsidP="006850BC">
      <w:pPr>
        <w:rPr>
          <w:b/>
          <w:bCs/>
        </w:rPr>
      </w:pPr>
      <w:r>
        <w:rPr>
          <w:b/>
          <w:bCs/>
        </w:rPr>
        <w:t>Number of businesses impacted</w:t>
      </w:r>
    </w:p>
    <w:p w14:paraId="147AA5D3" w14:textId="793B54A7" w:rsidR="00DF1902" w:rsidRDefault="00DF1902" w:rsidP="006850BC">
      <w:r>
        <w:t xml:space="preserve">This impact analysis assumes that businesses selling gas in the wholesale gas market will be affected by the mandatory </w:t>
      </w:r>
      <w:r w:rsidR="00724A11">
        <w:t xml:space="preserve">Code of Conduct </w:t>
      </w:r>
      <w:r>
        <w:t>and face regulatory costs. This includes gas producers operating in the east coast market and other businesses selling into the wholesale contract market such as gas retailers. Based on information in a recent ACCC report</w:t>
      </w:r>
      <w:r>
        <w:rPr>
          <w:rStyle w:val="FootnoteReference"/>
        </w:rPr>
        <w:footnoteReference w:id="13"/>
      </w:r>
      <w:r>
        <w:t>, we assume there are 21 gas producers operating in the east coast gas market. We also assume there are 44 gas retailers operating in the east coast gas market based on the AER’s public register of authorised gas retailers.</w:t>
      </w:r>
      <w:r>
        <w:rPr>
          <w:rStyle w:val="FootnoteReference"/>
        </w:rPr>
        <w:footnoteReference w:id="14"/>
      </w:r>
      <w:r>
        <w:t xml:space="preserve"> This adds up to 65 businesses affected by the mandatory </w:t>
      </w:r>
      <w:r w:rsidR="00724A11">
        <w:t>Code of Conduct</w:t>
      </w:r>
      <w:r>
        <w:t>.</w:t>
      </w:r>
    </w:p>
    <w:p w14:paraId="12E96E80" w14:textId="738B9D4A" w:rsidR="00DF1902" w:rsidRDefault="00DF1902" w:rsidP="0080506D">
      <w:pPr>
        <w:pStyle w:val="BodyText"/>
        <w:keepNext/>
        <w:rPr>
          <w:b/>
        </w:rPr>
      </w:pPr>
      <w:r>
        <w:rPr>
          <w:b/>
        </w:rPr>
        <w:lastRenderedPageBreak/>
        <w:t>Hourly wage rate</w:t>
      </w:r>
    </w:p>
    <w:p w14:paraId="4E1E0D94" w14:textId="51D8F31D" w:rsidR="00DF1902" w:rsidRDefault="00DF1902" w:rsidP="006850BC">
      <w:pPr>
        <w:pStyle w:val="BodyText"/>
        <w:rPr>
          <w:bCs/>
        </w:rPr>
      </w:pPr>
      <w:r>
        <w:rPr>
          <w:bCs/>
        </w:rPr>
        <w:t>We use the Office of Impact Analysis’ default hourly wage rate for businesses of $79.63 per hour.</w:t>
      </w:r>
    </w:p>
    <w:p w14:paraId="0AF38A29" w14:textId="5699F17C" w:rsidR="00DF1902" w:rsidRDefault="00DF1902" w:rsidP="006850BC">
      <w:pPr>
        <w:pStyle w:val="BodyText"/>
        <w:rPr>
          <w:b/>
        </w:rPr>
      </w:pPr>
      <w:r>
        <w:rPr>
          <w:b/>
        </w:rPr>
        <w:t>Hourly cost of legal advice</w:t>
      </w:r>
    </w:p>
    <w:p w14:paraId="6AD1F823" w14:textId="3D53BA0A" w:rsidR="00DF1902" w:rsidRDefault="00DF1902" w:rsidP="006850BC">
      <w:pPr>
        <w:pStyle w:val="BodyText"/>
        <w:rPr>
          <w:bCs/>
        </w:rPr>
      </w:pPr>
      <w:r>
        <w:rPr>
          <w:bCs/>
        </w:rPr>
        <w:t>We assume a standard blended junior and senior hourly cost of legal advice of $500 per hour.</w:t>
      </w:r>
    </w:p>
    <w:p w14:paraId="47ECEAA4" w14:textId="14CBAB53" w:rsidR="00DF1902" w:rsidRDefault="00DF1902" w:rsidP="00A44E95">
      <w:pPr>
        <w:pStyle w:val="BodyText"/>
        <w:keepNext/>
        <w:rPr>
          <w:b/>
        </w:rPr>
      </w:pPr>
      <w:r>
        <w:rPr>
          <w:b/>
        </w:rPr>
        <w:t>Arbitration fees</w:t>
      </w:r>
    </w:p>
    <w:p w14:paraId="647845A0" w14:textId="17215EC3" w:rsidR="00DF1902" w:rsidRPr="008C58CF" w:rsidRDefault="00DF1902" w:rsidP="006850BC">
      <w:pPr>
        <w:pStyle w:val="BodyText"/>
        <w:rPr>
          <w:bCs/>
        </w:rPr>
      </w:pPr>
      <w:r>
        <w:rPr>
          <w:bCs/>
        </w:rPr>
        <w:t>We assume that the average amount in dispute in arbitration proceedings is $6,000,000. This corresponds to $20,000 in arbitrator fees per arbitration.</w:t>
      </w:r>
      <w:r>
        <w:rPr>
          <w:rStyle w:val="FootnoteReference"/>
          <w:bCs/>
        </w:rPr>
        <w:footnoteReference w:id="15"/>
      </w:r>
    </w:p>
    <w:p w14:paraId="5014EDB8" w14:textId="59DB2A26" w:rsidR="00DF1902" w:rsidRDefault="00DF1902" w:rsidP="006850BC">
      <w:pPr>
        <w:pStyle w:val="BodyText"/>
        <w:rPr>
          <w:b/>
        </w:rPr>
      </w:pPr>
      <w:r>
        <w:rPr>
          <w:b/>
        </w:rPr>
        <w:t>Staff time to adjust internal processes</w:t>
      </w:r>
    </w:p>
    <w:p w14:paraId="1D8BD1DB" w14:textId="20BC58EF" w:rsidR="00DF1902" w:rsidRDefault="00DF1902" w:rsidP="006850BC">
      <w:pPr>
        <w:pStyle w:val="BodyText"/>
        <w:rPr>
          <w:bCs/>
        </w:rPr>
      </w:pPr>
      <w:r>
        <w:rPr>
          <w:bCs/>
        </w:rPr>
        <w:t>There is likely to be some variability in the amount of time different businesses require to adjust internal processes to the mandatory code. We assume this could take between 50 and 400 hours and so we take an average of 225 hours for the calculations.</w:t>
      </w:r>
    </w:p>
    <w:p w14:paraId="74AC9A58" w14:textId="0C09D678" w:rsidR="00DF1902" w:rsidRDefault="00DF1902" w:rsidP="006850BC">
      <w:pPr>
        <w:pStyle w:val="BodyText"/>
        <w:rPr>
          <w:b/>
        </w:rPr>
      </w:pPr>
      <w:r>
        <w:rPr>
          <w:b/>
        </w:rPr>
        <w:t>Hours of legal compliance advice</w:t>
      </w:r>
    </w:p>
    <w:p w14:paraId="70756367" w14:textId="4E8F77D8" w:rsidR="00DF1902" w:rsidRDefault="00DF1902" w:rsidP="006850BC">
      <w:pPr>
        <w:pStyle w:val="BodyText"/>
        <w:rPr>
          <w:bCs/>
        </w:rPr>
      </w:pPr>
      <w:r>
        <w:rPr>
          <w:bCs/>
        </w:rPr>
        <w:t>Businesses will require legal advice to assist with complying with the mandatory code. Given the three east coast LNG exporters hold a significant market share in the east coast gas market, we assume that they are likely to invest more in legal advice than other businesses. Therefore, we assume these three businesses will pay for 150 hours of legal compliance advice and the other 62 businesses will pay for 75 hours of legal compliance advice.</w:t>
      </w:r>
    </w:p>
    <w:p w14:paraId="70F58058" w14:textId="198123D6" w:rsidR="00DF1902" w:rsidRDefault="00DF1902" w:rsidP="006850BC">
      <w:pPr>
        <w:pStyle w:val="BodyText"/>
        <w:rPr>
          <w:b/>
        </w:rPr>
      </w:pPr>
      <w:r>
        <w:rPr>
          <w:b/>
        </w:rPr>
        <w:t>Hours of legal advice for arbitration</w:t>
      </w:r>
    </w:p>
    <w:p w14:paraId="0A4877E0" w14:textId="14216889" w:rsidR="00DF1902" w:rsidRPr="009D4C59" w:rsidRDefault="00DF1902" w:rsidP="006850BC">
      <w:pPr>
        <w:pStyle w:val="BodyText"/>
        <w:rPr>
          <w:bCs/>
        </w:rPr>
      </w:pPr>
      <w:r>
        <w:rPr>
          <w:bCs/>
        </w:rPr>
        <w:t>It is assumed that each business involved in arbitration proceedings will pay for 250 hours of legal services.</w:t>
      </w:r>
    </w:p>
    <w:p w14:paraId="5F88BB05" w14:textId="2B3E3D5D" w:rsidR="00DF1902" w:rsidRDefault="00DF1902" w:rsidP="006850BC">
      <w:pPr>
        <w:pStyle w:val="BodyText"/>
        <w:rPr>
          <w:b/>
        </w:rPr>
      </w:pPr>
      <w:r>
        <w:rPr>
          <w:b/>
        </w:rPr>
        <w:t>Number of arbitration proceedings</w:t>
      </w:r>
    </w:p>
    <w:p w14:paraId="0DC4D88D" w14:textId="3F043F88" w:rsidR="00DF1902" w:rsidRDefault="00DF1902" w:rsidP="006850BC">
      <w:pPr>
        <w:pStyle w:val="BodyText"/>
        <w:rPr>
          <w:bCs/>
        </w:rPr>
      </w:pPr>
      <w:r>
        <w:rPr>
          <w:bCs/>
        </w:rPr>
        <w:t xml:space="preserve">It is assumed that there will only be one arbitration required (2 businesses affected) in the first year under the code because a price cap would limit reasons for arbitration being required. This would increase to 4 arbitrations (8 businesses affected) in the second year once the price cap expires before tapering down to 3 arbitrations in the third year (6 businesses affected), 2 arbitrations in the fourth year (4 businesses affected) and 1 arbitration each year for years 5-10 (2 businesses affected) as the possibility of arbitration improves negotiations between businesses. </w:t>
      </w:r>
    </w:p>
    <w:p w14:paraId="5DBAF740" w14:textId="1AE2C30E" w:rsidR="00DF1902" w:rsidRDefault="00DF1902" w:rsidP="006850BC">
      <w:pPr>
        <w:pStyle w:val="BodyText"/>
        <w:rPr>
          <w:b/>
        </w:rPr>
      </w:pPr>
      <w:r>
        <w:rPr>
          <w:b/>
        </w:rPr>
        <w:t>Calculations</w:t>
      </w:r>
    </w:p>
    <w:p w14:paraId="0E21015F" w14:textId="742B9309" w:rsidR="00DF1902" w:rsidRPr="00CF57DF" w:rsidRDefault="001025CC" w:rsidP="00DF1902">
      <w:pPr>
        <w:pStyle w:val="BodyText"/>
        <w:rPr>
          <w:b/>
        </w:rPr>
      </w:pPr>
      <w:r>
        <w:rPr>
          <w:b/>
        </w:rPr>
        <w:t>Table 1</w:t>
      </w:r>
      <w:r w:rsidR="004173B0">
        <w:rPr>
          <w:b/>
        </w:rPr>
        <w:t>8</w:t>
      </w:r>
      <w:r w:rsidR="006468DE" w:rsidRPr="00CF57DF">
        <w:rPr>
          <w:b/>
        </w:rPr>
        <w:t xml:space="preserve">: </w:t>
      </w:r>
      <w:r w:rsidR="00DF1902" w:rsidRPr="00CF57DF">
        <w:rPr>
          <w:b/>
        </w:rPr>
        <w:t>Costs of adjusting internal processes (one-off cost in year 1)</w:t>
      </w:r>
      <w:r w:rsidR="0018004C" w:rsidRPr="00CF57DF">
        <w:rPr>
          <w:b/>
        </w:rPr>
        <w:t>:</w:t>
      </w:r>
    </w:p>
    <w:p w14:paraId="392D91AB" w14:textId="77777777" w:rsidR="00DF1902" w:rsidRPr="009D4C59" w:rsidRDefault="00DF1902" w:rsidP="00DF1902">
      <w:pPr>
        <w:pStyle w:val="BodyText"/>
        <w:rPr>
          <w:rFonts w:eastAsiaTheme="minorEastAsia"/>
          <w:bCs/>
        </w:rPr>
      </w:pPr>
      <m:oMathPara>
        <m:oMath>
          <m:r>
            <w:rPr>
              <w:rFonts w:ascii="Cambria Math" w:hAnsi="Cambria Math"/>
            </w:rPr>
            <m:t>Costs of adjusting internal processes = Number of businesses impacted * Adjustment time * Hourly wage rate</m:t>
          </m:r>
        </m:oMath>
      </m:oMathPara>
    </w:p>
    <w:tbl>
      <w:tblPr>
        <w:tblStyle w:val="PMCDefaultTableStyle"/>
        <w:tblW w:w="0" w:type="auto"/>
        <w:tblLook w:val="04A0" w:firstRow="1" w:lastRow="0" w:firstColumn="1" w:lastColumn="0" w:noHBand="0" w:noVBand="1"/>
      </w:tblPr>
      <w:tblGrid>
        <w:gridCol w:w="2265"/>
        <w:gridCol w:w="2265"/>
        <w:gridCol w:w="2265"/>
        <w:gridCol w:w="2265"/>
      </w:tblGrid>
      <w:tr w:rsidR="00DF1902" w14:paraId="2DE1DC47" w14:textId="77777777" w:rsidTr="008C58CF">
        <w:trPr>
          <w:cnfStyle w:val="100000000000" w:firstRow="1" w:lastRow="0" w:firstColumn="0" w:lastColumn="0" w:oddVBand="0" w:evenVBand="0" w:oddHBand="0" w:evenHBand="0" w:firstRowFirstColumn="0" w:firstRowLastColumn="0" w:lastRowFirstColumn="0" w:lastRowLastColumn="0"/>
        </w:trPr>
        <w:tc>
          <w:tcPr>
            <w:tcW w:w="2265" w:type="dxa"/>
          </w:tcPr>
          <w:p w14:paraId="1B7530BB" w14:textId="262DFEB0" w:rsidR="00DF1902" w:rsidRDefault="00DF1902" w:rsidP="008C58CF">
            <w:pPr>
              <w:pStyle w:val="BodyText"/>
              <w:rPr>
                <w:bCs/>
              </w:rPr>
            </w:pPr>
            <w:r>
              <w:rPr>
                <w:bCs/>
              </w:rPr>
              <w:t>Number of businesses impacted</w:t>
            </w:r>
          </w:p>
        </w:tc>
        <w:tc>
          <w:tcPr>
            <w:tcW w:w="2265" w:type="dxa"/>
          </w:tcPr>
          <w:p w14:paraId="79DB44AE" w14:textId="53E4EBF5" w:rsidR="00DF1902" w:rsidRDefault="00DF1902" w:rsidP="008C58CF">
            <w:pPr>
              <w:pStyle w:val="BodyText"/>
              <w:rPr>
                <w:bCs/>
              </w:rPr>
            </w:pPr>
            <w:r>
              <w:rPr>
                <w:bCs/>
              </w:rPr>
              <w:t>Ad</w:t>
            </w:r>
            <w:r w:rsidR="0031138E">
              <w:rPr>
                <w:bCs/>
              </w:rPr>
              <w:t>j</w:t>
            </w:r>
            <w:r>
              <w:rPr>
                <w:bCs/>
              </w:rPr>
              <w:t>ustment time</w:t>
            </w:r>
          </w:p>
        </w:tc>
        <w:tc>
          <w:tcPr>
            <w:tcW w:w="2265" w:type="dxa"/>
          </w:tcPr>
          <w:p w14:paraId="6BE6C3BD" w14:textId="6D40B5F9" w:rsidR="00DF1902" w:rsidRDefault="00DF1902" w:rsidP="008C58CF">
            <w:pPr>
              <w:pStyle w:val="BodyText"/>
              <w:rPr>
                <w:bCs/>
              </w:rPr>
            </w:pPr>
            <w:r>
              <w:rPr>
                <w:bCs/>
              </w:rPr>
              <w:t>Hourly wage rate</w:t>
            </w:r>
          </w:p>
        </w:tc>
        <w:tc>
          <w:tcPr>
            <w:tcW w:w="2265" w:type="dxa"/>
          </w:tcPr>
          <w:p w14:paraId="0EF025AB" w14:textId="2B5003A4" w:rsidR="00DF1902" w:rsidRDefault="00DF1902" w:rsidP="008C58CF">
            <w:pPr>
              <w:pStyle w:val="BodyText"/>
              <w:rPr>
                <w:bCs/>
              </w:rPr>
            </w:pPr>
            <w:r>
              <w:rPr>
                <w:bCs/>
              </w:rPr>
              <w:t>Cost</w:t>
            </w:r>
          </w:p>
        </w:tc>
      </w:tr>
      <w:tr w:rsidR="00DF1902" w14:paraId="7AF7E915" w14:textId="77777777" w:rsidTr="008C58CF">
        <w:trPr>
          <w:cnfStyle w:val="000000100000" w:firstRow="0" w:lastRow="0" w:firstColumn="0" w:lastColumn="0" w:oddVBand="0" w:evenVBand="0" w:oddHBand="1" w:evenHBand="0" w:firstRowFirstColumn="0" w:firstRowLastColumn="0" w:lastRowFirstColumn="0" w:lastRowLastColumn="0"/>
        </w:trPr>
        <w:tc>
          <w:tcPr>
            <w:tcW w:w="2265" w:type="dxa"/>
          </w:tcPr>
          <w:p w14:paraId="4CCC4A63" w14:textId="4B24C70E" w:rsidR="00DF1902" w:rsidRDefault="00DF1902" w:rsidP="008C58CF">
            <w:pPr>
              <w:pStyle w:val="BodyText"/>
              <w:rPr>
                <w:bCs/>
              </w:rPr>
            </w:pPr>
            <w:r>
              <w:rPr>
                <w:bCs/>
              </w:rPr>
              <w:t>65</w:t>
            </w:r>
          </w:p>
        </w:tc>
        <w:tc>
          <w:tcPr>
            <w:tcW w:w="2265" w:type="dxa"/>
          </w:tcPr>
          <w:p w14:paraId="544E9374" w14:textId="02187B8C" w:rsidR="00DF1902" w:rsidRDefault="00DF1902" w:rsidP="008C58CF">
            <w:pPr>
              <w:pStyle w:val="BodyText"/>
              <w:rPr>
                <w:bCs/>
              </w:rPr>
            </w:pPr>
            <w:r>
              <w:rPr>
                <w:bCs/>
              </w:rPr>
              <w:t>225</w:t>
            </w:r>
          </w:p>
        </w:tc>
        <w:tc>
          <w:tcPr>
            <w:tcW w:w="2265" w:type="dxa"/>
          </w:tcPr>
          <w:p w14:paraId="657B9AA9" w14:textId="0B3B0683" w:rsidR="00DF1902" w:rsidRDefault="00DF1902" w:rsidP="008C58CF">
            <w:pPr>
              <w:pStyle w:val="BodyText"/>
              <w:rPr>
                <w:bCs/>
              </w:rPr>
            </w:pPr>
            <w:r>
              <w:rPr>
                <w:bCs/>
              </w:rPr>
              <w:t>$79.63</w:t>
            </w:r>
          </w:p>
        </w:tc>
        <w:tc>
          <w:tcPr>
            <w:tcW w:w="2265" w:type="dxa"/>
          </w:tcPr>
          <w:p w14:paraId="51E93736" w14:textId="751933C5" w:rsidR="00DF1902" w:rsidRDefault="00DF1902" w:rsidP="008C58CF">
            <w:pPr>
              <w:pStyle w:val="BodyText"/>
              <w:rPr>
                <w:bCs/>
              </w:rPr>
            </w:pPr>
            <w:r>
              <w:rPr>
                <w:bCs/>
              </w:rPr>
              <w:t>$1,164,589</w:t>
            </w:r>
          </w:p>
        </w:tc>
      </w:tr>
    </w:tbl>
    <w:p w14:paraId="2021AA3E" w14:textId="2D9474A4" w:rsidR="00DF1902" w:rsidRDefault="00DF1902" w:rsidP="00DF1902">
      <w:pPr>
        <w:pStyle w:val="BodyText"/>
        <w:rPr>
          <w:bCs/>
        </w:rPr>
      </w:pPr>
    </w:p>
    <w:p w14:paraId="334B7E3D" w14:textId="46B4B096" w:rsidR="00DF1902" w:rsidRPr="00CF57DF" w:rsidRDefault="001025CC" w:rsidP="00DF1902">
      <w:pPr>
        <w:pStyle w:val="BodyText"/>
        <w:rPr>
          <w:b/>
        </w:rPr>
      </w:pPr>
      <w:r>
        <w:rPr>
          <w:b/>
        </w:rPr>
        <w:lastRenderedPageBreak/>
        <w:t xml:space="preserve">Table </w:t>
      </w:r>
      <w:r w:rsidR="00260EF8">
        <w:rPr>
          <w:b/>
        </w:rPr>
        <w:t>1</w:t>
      </w:r>
      <w:r w:rsidR="004173B0">
        <w:rPr>
          <w:b/>
        </w:rPr>
        <w:t>9</w:t>
      </w:r>
      <w:r w:rsidR="006468DE" w:rsidRPr="00CF57DF">
        <w:rPr>
          <w:b/>
        </w:rPr>
        <w:t xml:space="preserve">: </w:t>
      </w:r>
      <w:r w:rsidR="00DF1902" w:rsidRPr="00CF57DF">
        <w:rPr>
          <w:b/>
        </w:rPr>
        <w:t>Costs of legal compliance advice (one-off cost in year 1)</w:t>
      </w:r>
      <w:r w:rsidR="0018004C" w:rsidRPr="00CF57DF">
        <w:rPr>
          <w:b/>
        </w:rPr>
        <w:t>:</w:t>
      </w:r>
    </w:p>
    <w:p w14:paraId="1C33F4CB" w14:textId="251C8339" w:rsidR="00DF1902" w:rsidRPr="00CA2057" w:rsidRDefault="00DF1902" w:rsidP="006850BC">
      <w:pPr>
        <w:pStyle w:val="BodyText"/>
        <w:rPr>
          <w:rFonts w:eastAsiaTheme="minorEastAsia"/>
          <w:bCs/>
        </w:rPr>
      </w:pPr>
      <m:oMathPara>
        <m:oMath>
          <m:r>
            <w:rPr>
              <w:rFonts w:ascii="Cambria Math" w:eastAsiaTheme="minorEastAsia" w:hAnsi="Cambria Math"/>
            </w:rPr>
            <m:t>Costs of legal compliance advice =Number of businesses impacted*Hours of legal advice per business*Hourly cost of legal advice</m:t>
          </m:r>
        </m:oMath>
      </m:oMathPara>
    </w:p>
    <w:tbl>
      <w:tblPr>
        <w:tblStyle w:val="PMCDefaultTableStyle"/>
        <w:tblW w:w="0" w:type="auto"/>
        <w:tblLook w:val="04A0" w:firstRow="1" w:lastRow="0" w:firstColumn="1" w:lastColumn="0" w:noHBand="0" w:noVBand="1"/>
      </w:tblPr>
      <w:tblGrid>
        <w:gridCol w:w="2265"/>
        <w:gridCol w:w="2265"/>
        <w:gridCol w:w="2265"/>
        <w:gridCol w:w="2265"/>
      </w:tblGrid>
      <w:tr w:rsidR="00DF1902" w14:paraId="477F3951" w14:textId="77777777" w:rsidTr="008C58CF">
        <w:trPr>
          <w:cnfStyle w:val="100000000000" w:firstRow="1" w:lastRow="0" w:firstColumn="0" w:lastColumn="0" w:oddVBand="0" w:evenVBand="0" w:oddHBand="0" w:evenHBand="0" w:firstRowFirstColumn="0" w:firstRowLastColumn="0" w:lastRowFirstColumn="0" w:lastRowLastColumn="0"/>
        </w:trPr>
        <w:tc>
          <w:tcPr>
            <w:tcW w:w="2265" w:type="dxa"/>
          </w:tcPr>
          <w:p w14:paraId="785CFC83" w14:textId="77777777" w:rsidR="00DF1902" w:rsidRDefault="00DF1902" w:rsidP="008C58CF">
            <w:pPr>
              <w:pStyle w:val="BodyText"/>
              <w:rPr>
                <w:bCs/>
              </w:rPr>
            </w:pPr>
            <w:r>
              <w:rPr>
                <w:bCs/>
              </w:rPr>
              <w:t>Number of businesses impacted</w:t>
            </w:r>
          </w:p>
        </w:tc>
        <w:tc>
          <w:tcPr>
            <w:tcW w:w="2265" w:type="dxa"/>
          </w:tcPr>
          <w:p w14:paraId="22503630" w14:textId="09D4E606" w:rsidR="00DF1902" w:rsidRDefault="00DF1902" w:rsidP="008C58CF">
            <w:pPr>
              <w:pStyle w:val="BodyText"/>
              <w:rPr>
                <w:bCs/>
              </w:rPr>
            </w:pPr>
            <w:r>
              <w:rPr>
                <w:bCs/>
              </w:rPr>
              <w:t>Hours of legal advice per business</w:t>
            </w:r>
          </w:p>
        </w:tc>
        <w:tc>
          <w:tcPr>
            <w:tcW w:w="2265" w:type="dxa"/>
          </w:tcPr>
          <w:p w14:paraId="7A3B8801" w14:textId="46726E55" w:rsidR="00DF1902" w:rsidRDefault="00DF1902" w:rsidP="008C58CF">
            <w:pPr>
              <w:pStyle w:val="BodyText"/>
              <w:rPr>
                <w:bCs/>
              </w:rPr>
            </w:pPr>
            <w:r>
              <w:rPr>
                <w:bCs/>
              </w:rPr>
              <w:t>Hourly costs of legal advice</w:t>
            </w:r>
          </w:p>
        </w:tc>
        <w:tc>
          <w:tcPr>
            <w:tcW w:w="2265" w:type="dxa"/>
          </w:tcPr>
          <w:p w14:paraId="58DD93E2" w14:textId="77777777" w:rsidR="00DF1902" w:rsidRDefault="00DF1902" w:rsidP="008C58CF">
            <w:pPr>
              <w:pStyle w:val="BodyText"/>
              <w:rPr>
                <w:bCs/>
              </w:rPr>
            </w:pPr>
            <w:r>
              <w:rPr>
                <w:bCs/>
              </w:rPr>
              <w:t>Cost</w:t>
            </w:r>
          </w:p>
        </w:tc>
      </w:tr>
      <w:tr w:rsidR="00DF1902" w14:paraId="1C74FF14" w14:textId="77777777" w:rsidTr="008C58CF">
        <w:trPr>
          <w:cnfStyle w:val="000000100000" w:firstRow="0" w:lastRow="0" w:firstColumn="0" w:lastColumn="0" w:oddVBand="0" w:evenVBand="0" w:oddHBand="1" w:evenHBand="0" w:firstRowFirstColumn="0" w:firstRowLastColumn="0" w:lastRowFirstColumn="0" w:lastRowLastColumn="0"/>
        </w:trPr>
        <w:tc>
          <w:tcPr>
            <w:tcW w:w="2265" w:type="dxa"/>
          </w:tcPr>
          <w:p w14:paraId="76C6A7B2" w14:textId="1B7F3991" w:rsidR="00DF1902" w:rsidRDefault="00DF1902" w:rsidP="008C58CF">
            <w:pPr>
              <w:pStyle w:val="BodyText"/>
              <w:rPr>
                <w:bCs/>
              </w:rPr>
            </w:pPr>
            <w:r>
              <w:rPr>
                <w:bCs/>
              </w:rPr>
              <w:t>3</w:t>
            </w:r>
          </w:p>
        </w:tc>
        <w:tc>
          <w:tcPr>
            <w:tcW w:w="2265" w:type="dxa"/>
          </w:tcPr>
          <w:p w14:paraId="3E1C5E9C" w14:textId="789519F2" w:rsidR="00DF1902" w:rsidRDefault="00DF1902" w:rsidP="008C58CF">
            <w:pPr>
              <w:pStyle w:val="BodyText"/>
              <w:rPr>
                <w:bCs/>
              </w:rPr>
            </w:pPr>
            <w:r>
              <w:rPr>
                <w:bCs/>
              </w:rPr>
              <w:t>150</w:t>
            </w:r>
          </w:p>
        </w:tc>
        <w:tc>
          <w:tcPr>
            <w:tcW w:w="2265" w:type="dxa"/>
          </w:tcPr>
          <w:p w14:paraId="616665C1" w14:textId="1AC64779" w:rsidR="00DF1902" w:rsidRDefault="00DF1902" w:rsidP="008C58CF">
            <w:pPr>
              <w:pStyle w:val="BodyText"/>
              <w:rPr>
                <w:bCs/>
              </w:rPr>
            </w:pPr>
            <w:r>
              <w:rPr>
                <w:bCs/>
              </w:rPr>
              <w:t>$500</w:t>
            </w:r>
          </w:p>
        </w:tc>
        <w:tc>
          <w:tcPr>
            <w:tcW w:w="2265" w:type="dxa"/>
          </w:tcPr>
          <w:p w14:paraId="305A8A36" w14:textId="3ACE994B" w:rsidR="00DF1902" w:rsidRDefault="00DF1902" w:rsidP="008C58CF">
            <w:pPr>
              <w:pStyle w:val="BodyText"/>
              <w:rPr>
                <w:bCs/>
              </w:rPr>
            </w:pPr>
            <w:r>
              <w:rPr>
                <w:bCs/>
              </w:rPr>
              <w:t>$225,000</w:t>
            </w:r>
          </w:p>
        </w:tc>
      </w:tr>
      <w:tr w:rsidR="00DF1902" w14:paraId="113C3FBD" w14:textId="77777777" w:rsidTr="008C58CF">
        <w:trPr>
          <w:cnfStyle w:val="000000010000" w:firstRow="0" w:lastRow="0" w:firstColumn="0" w:lastColumn="0" w:oddVBand="0" w:evenVBand="0" w:oddHBand="0" w:evenHBand="1" w:firstRowFirstColumn="0" w:firstRowLastColumn="0" w:lastRowFirstColumn="0" w:lastRowLastColumn="0"/>
        </w:trPr>
        <w:tc>
          <w:tcPr>
            <w:tcW w:w="2265" w:type="dxa"/>
          </w:tcPr>
          <w:p w14:paraId="11B6F439" w14:textId="425C622A" w:rsidR="00DF1902" w:rsidRDefault="00DF1902" w:rsidP="008C58CF">
            <w:pPr>
              <w:pStyle w:val="BodyText"/>
              <w:rPr>
                <w:bCs/>
              </w:rPr>
            </w:pPr>
            <w:r>
              <w:rPr>
                <w:bCs/>
              </w:rPr>
              <w:t>62</w:t>
            </w:r>
          </w:p>
        </w:tc>
        <w:tc>
          <w:tcPr>
            <w:tcW w:w="2265" w:type="dxa"/>
          </w:tcPr>
          <w:p w14:paraId="32C3E2A2" w14:textId="33030712" w:rsidR="00DF1902" w:rsidRDefault="00DF1902" w:rsidP="008C58CF">
            <w:pPr>
              <w:pStyle w:val="BodyText"/>
              <w:rPr>
                <w:bCs/>
              </w:rPr>
            </w:pPr>
            <w:r>
              <w:rPr>
                <w:bCs/>
              </w:rPr>
              <w:t>75</w:t>
            </w:r>
          </w:p>
        </w:tc>
        <w:tc>
          <w:tcPr>
            <w:tcW w:w="2265" w:type="dxa"/>
          </w:tcPr>
          <w:p w14:paraId="1FDA35F9" w14:textId="041CDECB" w:rsidR="00DF1902" w:rsidRDefault="00DF1902" w:rsidP="008C58CF">
            <w:pPr>
              <w:pStyle w:val="BodyText"/>
              <w:rPr>
                <w:bCs/>
              </w:rPr>
            </w:pPr>
            <w:r>
              <w:rPr>
                <w:bCs/>
              </w:rPr>
              <w:t>$500</w:t>
            </w:r>
          </w:p>
        </w:tc>
        <w:tc>
          <w:tcPr>
            <w:tcW w:w="2265" w:type="dxa"/>
          </w:tcPr>
          <w:p w14:paraId="11555220" w14:textId="7FE70469" w:rsidR="00DF1902" w:rsidRDefault="00DF1902" w:rsidP="008C58CF">
            <w:pPr>
              <w:pStyle w:val="BodyText"/>
              <w:rPr>
                <w:bCs/>
              </w:rPr>
            </w:pPr>
            <w:r>
              <w:rPr>
                <w:bCs/>
              </w:rPr>
              <w:t>$2,325,000</w:t>
            </w:r>
          </w:p>
        </w:tc>
      </w:tr>
      <w:tr w:rsidR="00DF1902" w14:paraId="6E62F001" w14:textId="77777777" w:rsidTr="008C58CF">
        <w:trPr>
          <w:cnfStyle w:val="000000100000" w:firstRow="0" w:lastRow="0" w:firstColumn="0" w:lastColumn="0" w:oddVBand="0" w:evenVBand="0" w:oddHBand="1" w:evenHBand="0" w:firstRowFirstColumn="0" w:firstRowLastColumn="0" w:lastRowFirstColumn="0" w:lastRowLastColumn="0"/>
        </w:trPr>
        <w:tc>
          <w:tcPr>
            <w:tcW w:w="2265" w:type="dxa"/>
          </w:tcPr>
          <w:p w14:paraId="16E8AB25" w14:textId="1E52B5AF" w:rsidR="00DF1902" w:rsidRPr="008C58CF" w:rsidRDefault="00DF1902" w:rsidP="008C58CF">
            <w:pPr>
              <w:pStyle w:val="BodyText"/>
              <w:rPr>
                <w:b/>
              </w:rPr>
            </w:pPr>
            <w:r w:rsidRPr="008C58CF">
              <w:rPr>
                <w:b/>
              </w:rPr>
              <w:t>Total</w:t>
            </w:r>
          </w:p>
        </w:tc>
        <w:tc>
          <w:tcPr>
            <w:tcW w:w="2265" w:type="dxa"/>
          </w:tcPr>
          <w:p w14:paraId="76FA78D1" w14:textId="77777777" w:rsidR="00DF1902" w:rsidRPr="008C58CF" w:rsidRDefault="00DF1902" w:rsidP="008C58CF">
            <w:pPr>
              <w:pStyle w:val="BodyText"/>
              <w:rPr>
                <w:b/>
              </w:rPr>
            </w:pPr>
          </w:p>
        </w:tc>
        <w:tc>
          <w:tcPr>
            <w:tcW w:w="2265" w:type="dxa"/>
          </w:tcPr>
          <w:p w14:paraId="01F9CF1F" w14:textId="77777777" w:rsidR="00DF1902" w:rsidRPr="008C58CF" w:rsidRDefault="00DF1902" w:rsidP="008C58CF">
            <w:pPr>
              <w:pStyle w:val="BodyText"/>
              <w:rPr>
                <w:b/>
              </w:rPr>
            </w:pPr>
          </w:p>
        </w:tc>
        <w:tc>
          <w:tcPr>
            <w:tcW w:w="2265" w:type="dxa"/>
          </w:tcPr>
          <w:p w14:paraId="678B8464" w14:textId="100D1971" w:rsidR="00DF1902" w:rsidRPr="008C58CF" w:rsidRDefault="00DF1902" w:rsidP="008C58CF">
            <w:pPr>
              <w:pStyle w:val="BodyText"/>
              <w:rPr>
                <w:b/>
              </w:rPr>
            </w:pPr>
            <w:r w:rsidRPr="008C58CF">
              <w:rPr>
                <w:b/>
              </w:rPr>
              <w:t>$2</w:t>
            </w:r>
            <w:r>
              <w:rPr>
                <w:b/>
              </w:rPr>
              <w:t>,550,000</w:t>
            </w:r>
          </w:p>
        </w:tc>
      </w:tr>
    </w:tbl>
    <w:p w14:paraId="44B0363E" w14:textId="764045E0" w:rsidR="00DF1902" w:rsidRDefault="00DF1902" w:rsidP="00DF1902">
      <w:pPr>
        <w:pStyle w:val="BodyText"/>
        <w:rPr>
          <w:rFonts w:eastAsiaTheme="minorEastAsia"/>
          <w:bCs/>
        </w:rPr>
      </w:pPr>
    </w:p>
    <w:p w14:paraId="1AC590F9" w14:textId="70D32FED" w:rsidR="00DF1902" w:rsidRPr="00CF57DF" w:rsidRDefault="001025CC" w:rsidP="00DF1902">
      <w:pPr>
        <w:pStyle w:val="BodyText"/>
        <w:rPr>
          <w:rFonts w:eastAsiaTheme="minorEastAsia"/>
          <w:b/>
        </w:rPr>
      </w:pPr>
      <w:r>
        <w:rPr>
          <w:rFonts w:eastAsiaTheme="minorEastAsia"/>
          <w:b/>
        </w:rPr>
        <w:t xml:space="preserve">Table </w:t>
      </w:r>
      <w:r w:rsidR="004173B0">
        <w:rPr>
          <w:rFonts w:eastAsiaTheme="minorEastAsia"/>
          <w:b/>
        </w:rPr>
        <w:t>20</w:t>
      </w:r>
      <w:r w:rsidR="006468DE" w:rsidRPr="00CF57DF">
        <w:rPr>
          <w:rFonts w:eastAsiaTheme="minorEastAsia"/>
          <w:b/>
        </w:rPr>
        <w:t xml:space="preserve">: </w:t>
      </w:r>
      <w:r w:rsidR="00DF1902" w:rsidRPr="00CF57DF">
        <w:rPr>
          <w:rFonts w:eastAsiaTheme="minorEastAsia"/>
          <w:b/>
        </w:rPr>
        <w:t>Arbitration costs</w:t>
      </w:r>
      <w:r w:rsidR="0018004C" w:rsidRPr="00CF57DF">
        <w:rPr>
          <w:rFonts w:eastAsiaTheme="minorEastAsia"/>
          <w:b/>
        </w:rPr>
        <w:t>:</w:t>
      </w:r>
    </w:p>
    <w:p w14:paraId="6B53CD7E" w14:textId="2D109527" w:rsidR="00DF1902" w:rsidRPr="009D4C59" w:rsidRDefault="00DF1902" w:rsidP="006850BC">
      <w:pPr>
        <w:pStyle w:val="BodyText"/>
        <w:rPr>
          <w:rFonts w:eastAsiaTheme="minorEastAsia"/>
          <w:bCs/>
        </w:rPr>
      </w:pPr>
      <m:oMathPara>
        <m:oMath>
          <m:r>
            <w:rPr>
              <w:rFonts w:ascii="Cambria Math" w:eastAsiaTheme="minorEastAsia" w:hAnsi="Cambria Math"/>
            </w:rPr>
            <m:t>Costs per arbitration=Number of businesses involved in arbitration*Hours of legal advice per business*Hourly cost of legal advice+Arbitrator fees</m:t>
          </m:r>
        </m:oMath>
      </m:oMathPara>
    </w:p>
    <w:tbl>
      <w:tblPr>
        <w:tblStyle w:val="PMCDefaultTableStyle"/>
        <w:tblW w:w="0" w:type="auto"/>
        <w:tblLook w:val="04A0" w:firstRow="1" w:lastRow="0" w:firstColumn="1" w:lastColumn="0" w:noHBand="0" w:noVBand="1"/>
      </w:tblPr>
      <w:tblGrid>
        <w:gridCol w:w="1404"/>
        <w:gridCol w:w="1668"/>
        <w:gridCol w:w="1673"/>
        <w:gridCol w:w="1497"/>
        <w:gridCol w:w="1202"/>
        <w:gridCol w:w="1626"/>
      </w:tblGrid>
      <w:tr w:rsidR="00DF1902" w14:paraId="521A24D0" w14:textId="77777777" w:rsidTr="008C58CF">
        <w:trPr>
          <w:cnfStyle w:val="100000000000" w:firstRow="1" w:lastRow="0" w:firstColumn="0" w:lastColumn="0" w:oddVBand="0" w:evenVBand="0" w:oddHBand="0" w:evenHBand="0" w:firstRowFirstColumn="0" w:firstRowLastColumn="0" w:lastRowFirstColumn="0" w:lastRowLastColumn="0"/>
        </w:trPr>
        <w:tc>
          <w:tcPr>
            <w:tcW w:w="1404" w:type="dxa"/>
          </w:tcPr>
          <w:p w14:paraId="259A2F91" w14:textId="12705B1F" w:rsidR="00DF1902" w:rsidRDefault="00DF1902" w:rsidP="008C58CF">
            <w:pPr>
              <w:pStyle w:val="BodyText"/>
              <w:rPr>
                <w:bCs/>
              </w:rPr>
            </w:pPr>
            <w:r>
              <w:rPr>
                <w:bCs/>
              </w:rPr>
              <w:t>Year</w:t>
            </w:r>
          </w:p>
        </w:tc>
        <w:tc>
          <w:tcPr>
            <w:tcW w:w="1668" w:type="dxa"/>
          </w:tcPr>
          <w:p w14:paraId="48DAF93E" w14:textId="6CF59D23" w:rsidR="00DF1902" w:rsidRDefault="00DF1902" w:rsidP="008C58CF">
            <w:pPr>
              <w:pStyle w:val="BodyText"/>
              <w:rPr>
                <w:bCs/>
              </w:rPr>
            </w:pPr>
            <w:r>
              <w:rPr>
                <w:bCs/>
              </w:rPr>
              <w:t>Number of businesses impacted</w:t>
            </w:r>
          </w:p>
        </w:tc>
        <w:tc>
          <w:tcPr>
            <w:tcW w:w="1673" w:type="dxa"/>
          </w:tcPr>
          <w:p w14:paraId="13988E6D" w14:textId="0E458CE4" w:rsidR="00DF1902" w:rsidRDefault="00DF1902" w:rsidP="008C58CF">
            <w:pPr>
              <w:pStyle w:val="BodyText"/>
              <w:rPr>
                <w:bCs/>
              </w:rPr>
            </w:pPr>
            <w:r>
              <w:rPr>
                <w:bCs/>
              </w:rPr>
              <w:t>Hours of legal advice per business</w:t>
            </w:r>
          </w:p>
        </w:tc>
        <w:tc>
          <w:tcPr>
            <w:tcW w:w="1497" w:type="dxa"/>
          </w:tcPr>
          <w:p w14:paraId="5E9CA956" w14:textId="77823C53" w:rsidR="00DF1902" w:rsidRDefault="00DF1902" w:rsidP="008C58CF">
            <w:pPr>
              <w:pStyle w:val="BodyText"/>
              <w:rPr>
                <w:bCs/>
              </w:rPr>
            </w:pPr>
            <w:r>
              <w:rPr>
                <w:bCs/>
              </w:rPr>
              <w:t>Hourly costs of legal advice</w:t>
            </w:r>
          </w:p>
        </w:tc>
        <w:tc>
          <w:tcPr>
            <w:tcW w:w="1202" w:type="dxa"/>
          </w:tcPr>
          <w:p w14:paraId="65974253" w14:textId="2760EC0E" w:rsidR="00DF1902" w:rsidRDefault="00DF1902" w:rsidP="008C58CF">
            <w:pPr>
              <w:pStyle w:val="BodyText"/>
              <w:rPr>
                <w:bCs/>
              </w:rPr>
            </w:pPr>
            <w:r>
              <w:rPr>
                <w:bCs/>
              </w:rPr>
              <w:t>Arbitrator fees</w:t>
            </w:r>
          </w:p>
        </w:tc>
        <w:tc>
          <w:tcPr>
            <w:tcW w:w="1626" w:type="dxa"/>
          </w:tcPr>
          <w:p w14:paraId="3B193BDB" w14:textId="5F41423F" w:rsidR="00DF1902" w:rsidRDefault="00DF1902" w:rsidP="008C58CF">
            <w:pPr>
              <w:pStyle w:val="BodyText"/>
              <w:rPr>
                <w:bCs/>
              </w:rPr>
            </w:pPr>
            <w:r>
              <w:rPr>
                <w:bCs/>
              </w:rPr>
              <w:t>Cost</w:t>
            </w:r>
          </w:p>
        </w:tc>
      </w:tr>
      <w:tr w:rsidR="00DF1902" w14:paraId="31C3A16E" w14:textId="77777777" w:rsidTr="008C58CF">
        <w:trPr>
          <w:cnfStyle w:val="000000100000" w:firstRow="0" w:lastRow="0" w:firstColumn="0" w:lastColumn="0" w:oddVBand="0" w:evenVBand="0" w:oddHBand="1" w:evenHBand="0" w:firstRowFirstColumn="0" w:firstRowLastColumn="0" w:lastRowFirstColumn="0" w:lastRowLastColumn="0"/>
        </w:trPr>
        <w:tc>
          <w:tcPr>
            <w:tcW w:w="1404" w:type="dxa"/>
          </w:tcPr>
          <w:p w14:paraId="7D7FC809" w14:textId="7B487FF2" w:rsidR="00DF1902" w:rsidRDefault="00DF1902" w:rsidP="008C58CF">
            <w:pPr>
              <w:pStyle w:val="BodyText"/>
              <w:rPr>
                <w:bCs/>
              </w:rPr>
            </w:pPr>
            <w:r>
              <w:rPr>
                <w:bCs/>
              </w:rPr>
              <w:t>1</w:t>
            </w:r>
          </w:p>
        </w:tc>
        <w:tc>
          <w:tcPr>
            <w:tcW w:w="1668" w:type="dxa"/>
          </w:tcPr>
          <w:p w14:paraId="50031AC0" w14:textId="35ECD845" w:rsidR="00DF1902" w:rsidRDefault="00DF1902" w:rsidP="008C58CF">
            <w:pPr>
              <w:pStyle w:val="BodyText"/>
              <w:rPr>
                <w:bCs/>
              </w:rPr>
            </w:pPr>
            <w:r>
              <w:rPr>
                <w:bCs/>
              </w:rPr>
              <w:t>2</w:t>
            </w:r>
          </w:p>
        </w:tc>
        <w:tc>
          <w:tcPr>
            <w:tcW w:w="1673" w:type="dxa"/>
          </w:tcPr>
          <w:p w14:paraId="222613C4" w14:textId="066E9CB7" w:rsidR="00DF1902" w:rsidRDefault="00DF1902" w:rsidP="008C58CF">
            <w:pPr>
              <w:pStyle w:val="BodyText"/>
              <w:rPr>
                <w:bCs/>
              </w:rPr>
            </w:pPr>
            <w:r>
              <w:rPr>
                <w:bCs/>
              </w:rPr>
              <w:t>250</w:t>
            </w:r>
          </w:p>
        </w:tc>
        <w:tc>
          <w:tcPr>
            <w:tcW w:w="1497" w:type="dxa"/>
          </w:tcPr>
          <w:p w14:paraId="29D0FBC7" w14:textId="34D5E1FA" w:rsidR="00DF1902" w:rsidRDefault="00DF1902" w:rsidP="008C58CF">
            <w:pPr>
              <w:pStyle w:val="BodyText"/>
              <w:rPr>
                <w:bCs/>
              </w:rPr>
            </w:pPr>
            <w:r>
              <w:rPr>
                <w:bCs/>
              </w:rPr>
              <w:t>$500</w:t>
            </w:r>
          </w:p>
        </w:tc>
        <w:tc>
          <w:tcPr>
            <w:tcW w:w="1202" w:type="dxa"/>
          </w:tcPr>
          <w:p w14:paraId="7DA2349C" w14:textId="7286EE71" w:rsidR="00DF1902" w:rsidRDefault="00DF1902" w:rsidP="008C58CF">
            <w:pPr>
              <w:pStyle w:val="BodyText"/>
              <w:rPr>
                <w:bCs/>
              </w:rPr>
            </w:pPr>
            <w:r>
              <w:rPr>
                <w:bCs/>
              </w:rPr>
              <w:t>$20,000</w:t>
            </w:r>
          </w:p>
        </w:tc>
        <w:tc>
          <w:tcPr>
            <w:tcW w:w="1626" w:type="dxa"/>
          </w:tcPr>
          <w:p w14:paraId="5157D643" w14:textId="1154F95D" w:rsidR="00DF1902" w:rsidRDefault="00DF1902" w:rsidP="008C58CF">
            <w:pPr>
              <w:pStyle w:val="BodyText"/>
              <w:rPr>
                <w:bCs/>
              </w:rPr>
            </w:pPr>
            <w:r>
              <w:rPr>
                <w:bCs/>
              </w:rPr>
              <w:t>$270,000</w:t>
            </w:r>
          </w:p>
        </w:tc>
      </w:tr>
      <w:tr w:rsidR="00DF1902" w14:paraId="261A4373" w14:textId="77777777" w:rsidTr="008C58CF">
        <w:trPr>
          <w:cnfStyle w:val="000000010000" w:firstRow="0" w:lastRow="0" w:firstColumn="0" w:lastColumn="0" w:oddVBand="0" w:evenVBand="0" w:oddHBand="0" w:evenHBand="1" w:firstRowFirstColumn="0" w:firstRowLastColumn="0" w:lastRowFirstColumn="0" w:lastRowLastColumn="0"/>
        </w:trPr>
        <w:tc>
          <w:tcPr>
            <w:tcW w:w="1404" w:type="dxa"/>
          </w:tcPr>
          <w:p w14:paraId="6C1904E3" w14:textId="6BB4BF29" w:rsidR="00DF1902" w:rsidRDefault="00DF1902" w:rsidP="008C58CF">
            <w:pPr>
              <w:pStyle w:val="BodyText"/>
              <w:rPr>
                <w:bCs/>
              </w:rPr>
            </w:pPr>
            <w:r>
              <w:rPr>
                <w:bCs/>
              </w:rPr>
              <w:t>2</w:t>
            </w:r>
          </w:p>
        </w:tc>
        <w:tc>
          <w:tcPr>
            <w:tcW w:w="1668" w:type="dxa"/>
          </w:tcPr>
          <w:p w14:paraId="16DD5B86" w14:textId="2426EBE1" w:rsidR="00DF1902" w:rsidRDefault="00DF1902" w:rsidP="008C58CF">
            <w:pPr>
              <w:pStyle w:val="BodyText"/>
              <w:rPr>
                <w:bCs/>
              </w:rPr>
            </w:pPr>
            <w:r>
              <w:rPr>
                <w:bCs/>
              </w:rPr>
              <w:t>8</w:t>
            </w:r>
          </w:p>
        </w:tc>
        <w:tc>
          <w:tcPr>
            <w:tcW w:w="1673" w:type="dxa"/>
          </w:tcPr>
          <w:p w14:paraId="450CDC40" w14:textId="40DEE53A" w:rsidR="00DF1902" w:rsidRDefault="00DF1902" w:rsidP="008C58CF">
            <w:pPr>
              <w:pStyle w:val="BodyText"/>
              <w:rPr>
                <w:bCs/>
              </w:rPr>
            </w:pPr>
            <w:r>
              <w:rPr>
                <w:bCs/>
              </w:rPr>
              <w:t>250</w:t>
            </w:r>
          </w:p>
        </w:tc>
        <w:tc>
          <w:tcPr>
            <w:tcW w:w="1497" w:type="dxa"/>
          </w:tcPr>
          <w:p w14:paraId="196A6269" w14:textId="420CC341" w:rsidR="00DF1902" w:rsidRDefault="00DF1902" w:rsidP="008C58CF">
            <w:pPr>
              <w:pStyle w:val="BodyText"/>
              <w:rPr>
                <w:bCs/>
              </w:rPr>
            </w:pPr>
            <w:r>
              <w:rPr>
                <w:bCs/>
              </w:rPr>
              <w:t>$500</w:t>
            </w:r>
          </w:p>
        </w:tc>
        <w:tc>
          <w:tcPr>
            <w:tcW w:w="1202" w:type="dxa"/>
          </w:tcPr>
          <w:p w14:paraId="214E23D9" w14:textId="4FF3A1E9" w:rsidR="00DF1902" w:rsidRDefault="00DF1902" w:rsidP="008C58CF">
            <w:pPr>
              <w:pStyle w:val="BodyText"/>
              <w:rPr>
                <w:bCs/>
              </w:rPr>
            </w:pPr>
            <w:r>
              <w:rPr>
                <w:bCs/>
              </w:rPr>
              <w:t>$80,000</w:t>
            </w:r>
          </w:p>
        </w:tc>
        <w:tc>
          <w:tcPr>
            <w:tcW w:w="1626" w:type="dxa"/>
          </w:tcPr>
          <w:p w14:paraId="4DC1FD2B" w14:textId="787D5EAB" w:rsidR="00DF1902" w:rsidRDefault="00DF1902" w:rsidP="008C58CF">
            <w:pPr>
              <w:pStyle w:val="BodyText"/>
              <w:rPr>
                <w:bCs/>
              </w:rPr>
            </w:pPr>
            <w:r>
              <w:rPr>
                <w:bCs/>
              </w:rPr>
              <w:t>$1,080,000</w:t>
            </w:r>
          </w:p>
        </w:tc>
      </w:tr>
      <w:tr w:rsidR="00DF1902" w14:paraId="2FF84B6F" w14:textId="77777777" w:rsidTr="008C58CF">
        <w:trPr>
          <w:cnfStyle w:val="000000100000" w:firstRow="0" w:lastRow="0" w:firstColumn="0" w:lastColumn="0" w:oddVBand="0" w:evenVBand="0" w:oddHBand="1" w:evenHBand="0" w:firstRowFirstColumn="0" w:firstRowLastColumn="0" w:lastRowFirstColumn="0" w:lastRowLastColumn="0"/>
        </w:trPr>
        <w:tc>
          <w:tcPr>
            <w:tcW w:w="1404" w:type="dxa"/>
          </w:tcPr>
          <w:p w14:paraId="06A04016" w14:textId="6D310A9C" w:rsidR="00DF1902" w:rsidRDefault="00DF1902" w:rsidP="008C58CF">
            <w:pPr>
              <w:pStyle w:val="BodyText"/>
              <w:rPr>
                <w:bCs/>
              </w:rPr>
            </w:pPr>
            <w:r>
              <w:rPr>
                <w:bCs/>
              </w:rPr>
              <w:t>3</w:t>
            </w:r>
          </w:p>
        </w:tc>
        <w:tc>
          <w:tcPr>
            <w:tcW w:w="1668" w:type="dxa"/>
          </w:tcPr>
          <w:p w14:paraId="4CC74277" w14:textId="21D79665" w:rsidR="00DF1902" w:rsidRDefault="00DF1902" w:rsidP="008C58CF">
            <w:pPr>
              <w:pStyle w:val="BodyText"/>
              <w:rPr>
                <w:bCs/>
              </w:rPr>
            </w:pPr>
            <w:r>
              <w:rPr>
                <w:bCs/>
              </w:rPr>
              <w:t>6</w:t>
            </w:r>
          </w:p>
        </w:tc>
        <w:tc>
          <w:tcPr>
            <w:tcW w:w="1673" w:type="dxa"/>
          </w:tcPr>
          <w:p w14:paraId="134DAB18" w14:textId="55E8E63A" w:rsidR="00DF1902" w:rsidRDefault="00DF1902" w:rsidP="008C58CF">
            <w:pPr>
              <w:pStyle w:val="BodyText"/>
              <w:rPr>
                <w:bCs/>
              </w:rPr>
            </w:pPr>
            <w:r>
              <w:rPr>
                <w:bCs/>
              </w:rPr>
              <w:t>250</w:t>
            </w:r>
          </w:p>
        </w:tc>
        <w:tc>
          <w:tcPr>
            <w:tcW w:w="1497" w:type="dxa"/>
          </w:tcPr>
          <w:p w14:paraId="25A985B9" w14:textId="62D51CBB" w:rsidR="00DF1902" w:rsidRDefault="00DF1902" w:rsidP="008C58CF">
            <w:pPr>
              <w:pStyle w:val="BodyText"/>
              <w:rPr>
                <w:bCs/>
              </w:rPr>
            </w:pPr>
            <w:r>
              <w:rPr>
                <w:bCs/>
              </w:rPr>
              <w:t>$500</w:t>
            </w:r>
          </w:p>
        </w:tc>
        <w:tc>
          <w:tcPr>
            <w:tcW w:w="1202" w:type="dxa"/>
          </w:tcPr>
          <w:p w14:paraId="737BC10D" w14:textId="0B239FA9" w:rsidR="00DF1902" w:rsidRDefault="00DF1902" w:rsidP="008C58CF">
            <w:pPr>
              <w:pStyle w:val="BodyText"/>
              <w:rPr>
                <w:bCs/>
              </w:rPr>
            </w:pPr>
            <w:r>
              <w:rPr>
                <w:bCs/>
              </w:rPr>
              <w:t>$60,000</w:t>
            </w:r>
          </w:p>
        </w:tc>
        <w:tc>
          <w:tcPr>
            <w:tcW w:w="1626" w:type="dxa"/>
          </w:tcPr>
          <w:p w14:paraId="6DAA0E6D" w14:textId="7E35ABC6" w:rsidR="00DF1902" w:rsidRDefault="00DF1902" w:rsidP="008C58CF">
            <w:pPr>
              <w:pStyle w:val="BodyText"/>
              <w:rPr>
                <w:bCs/>
              </w:rPr>
            </w:pPr>
            <w:r>
              <w:rPr>
                <w:bCs/>
              </w:rPr>
              <w:t>$810,000</w:t>
            </w:r>
          </w:p>
        </w:tc>
      </w:tr>
      <w:tr w:rsidR="00DF1902" w14:paraId="701CBB9D" w14:textId="77777777" w:rsidTr="008C58CF">
        <w:trPr>
          <w:cnfStyle w:val="000000010000" w:firstRow="0" w:lastRow="0" w:firstColumn="0" w:lastColumn="0" w:oddVBand="0" w:evenVBand="0" w:oddHBand="0" w:evenHBand="1" w:firstRowFirstColumn="0" w:firstRowLastColumn="0" w:lastRowFirstColumn="0" w:lastRowLastColumn="0"/>
        </w:trPr>
        <w:tc>
          <w:tcPr>
            <w:tcW w:w="1404" w:type="dxa"/>
          </w:tcPr>
          <w:p w14:paraId="4DF74D04" w14:textId="41571AE3" w:rsidR="00DF1902" w:rsidRDefault="00DF1902" w:rsidP="008C58CF">
            <w:pPr>
              <w:pStyle w:val="BodyText"/>
              <w:rPr>
                <w:bCs/>
              </w:rPr>
            </w:pPr>
            <w:r>
              <w:rPr>
                <w:bCs/>
              </w:rPr>
              <w:t>4</w:t>
            </w:r>
          </w:p>
        </w:tc>
        <w:tc>
          <w:tcPr>
            <w:tcW w:w="1668" w:type="dxa"/>
          </w:tcPr>
          <w:p w14:paraId="23527429" w14:textId="1AF86467" w:rsidR="00DF1902" w:rsidRDefault="00DF1902" w:rsidP="008C58CF">
            <w:pPr>
              <w:pStyle w:val="BodyText"/>
              <w:rPr>
                <w:bCs/>
              </w:rPr>
            </w:pPr>
            <w:r>
              <w:rPr>
                <w:bCs/>
              </w:rPr>
              <w:t>4</w:t>
            </w:r>
          </w:p>
        </w:tc>
        <w:tc>
          <w:tcPr>
            <w:tcW w:w="1673" w:type="dxa"/>
          </w:tcPr>
          <w:p w14:paraId="2D3F1D57" w14:textId="69316D2F" w:rsidR="00DF1902" w:rsidRDefault="00DF1902" w:rsidP="008C58CF">
            <w:pPr>
              <w:pStyle w:val="BodyText"/>
              <w:rPr>
                <w:bCs/>
              </w:rPr>
            </w:pPr>
            <w:r>
              <w:rPr>
                <w:bCs/>
              </w:rPr>
              <w:t>250</w:t>
            </w:r>
          </w:p>
        </w:tc>
        <w:tc>
          <w:tcPr>
            <w:tcW w:w="1497" w:type="dxa"/>
          </w:tcPr>
          <w:p w14:paraId="69556147" w14:textId="2836A0E9" w:rsidR="00DF1902" w:rsidRDefault="00DF1902" w:rsidP="008C58CF">
            <w:pPr>
              <w:pStyle w:val="BodyText"/>
              <w:rPr>
                <w:bCs/>
              </w:rPr>
            </w:pPr>
            <w:r>
              <w:rPr>
                <w:bCs/>
              </w:rPr>
              <w:t>$500</w:t>
            </w:r>
          </w:p>
        </w:tc>
        <w:tc>
          <w:tcPr>
            <w:tcW w:w="1202" w:type="dxa"/>
          </w:tcPr>
          <w:p w14:paraId="0B81D65C" w14:textId="29CEC1DA" w:rsidR="00DF1902" w:rsidRDefault="00DF1902" w:rsidP="008C58CF">
            <w:pPr>
              <w:pStyle w:val="BodyText"/>
              <w:rPr>
                <w:bCs/>
              </w:rPr>
            </w:pPr>
            <w:r>
              <w:rPr>
                <w:bCs/>
              </w:rPr>
              <w:t>$40,000</w:t>
            </w:r>
          </w:p>
        </w:tc>
        <w:tc>
          <w:tcPr>
            <w:tcW w:w="1626" w:type="dxa"/>
          </w:tcPr>
          <w:p w14:paraId="0F093AAD" w14:textId="2C85FDA3" w:rsidR="00DF1902" w:rsidRDefault="00DF1902" w:rsidP="008C58CF">
            <w:pPr>
              <w:pStyle w:val="BodyText"/>
              <w:rPr>
                <w:bCs/>
              </w:rPr>
            </w:pPr>
            <w:r>
              <w:rPr>
                <w:bCs/>
              </w:rPr>
              <w:t>$540,000</w:t>
            </w:r>
          </w:p>
        </w:tc>
      </w:tr>
      <w:tr w:rsidR="00DF1902" w14:paraId="5405E4F4" w14:textId="77777777" w:rsidTr="008C58CF">
        <w:trPr>
          <w:cnfStyle w:val="000000100000" w:firstRow="0" w:lastRow="0" w:firstColumn="0" w:lastColumn="0" w:oddVBand="0" w:evenVBand="0" w:oddHBand="1" w:evenHBand="0" w:firstRowFirstColumn="0" w:firstRowLastColumn="0" w:lastRowFirstColumn="0" w:lastRowLastColumn="0"/>
        </w:trPr>
        <w:tc>
          <w:tcPr>
            <w:tcW w:w="1404" w:type="dxa"/>
          </w:tcPr>
          <w:p w14:paraId="21CE359D" w14:textId="6E0CD22A" w:rsidR="00DF1902" w:rsidRDefault="00DF1902" w:rsidP="008C58CF">
            <w:pPr>
              <w:pStyle w:val="BodyText"/>
              <w:rPr>
                <w:bCs/>
              </w:rPr>
            </w:pPr>
            <w:r>
              <w:rPr>
                <w:bCs/>
              </w:rPr>
              <w:t>5</w:t>
            </w:r>
          </w:p>
        </w:tc>
        <w:tc>
          <w:tcPr>
            <w:tcW w:w="1668" w:type="dxa"/>
          </w:tcPr>
          <w:p w14:paraId="7EEB94C2" w14:textId="5BB14D1A" w:rsidR="00DF1902" w:rsidRDefault="00DF1902" w:rsidP="008C58CF">
            <w:pPr>
              <w:pStyle w:val="BodyText"/>
              <w:rPr>
                <w:bCs/>
              </w:rPr>
            </w:pPr>
            <w:r>
              <w:rPr>
                <w:bCs/>
              </w:rPr>
              <w:t>2</w:t>
            </w:r>
          </w:p>
        </w:tc>
        <w:tc>
          <w:tcPr>
            <w:tcW w:w="1673" w:type="dxa"/>
          </w:tcPr>
          <w:p w14:paraId="2EB6D6AE" w14:textId="1B576DB4" w:rsidR="00DF1902" w:rsidRDefault="00DF1902" w:rsidP="008C58CF">
            <w:pPr>
              <w:pStyle w:val="BodyText"/>
              <w:rPr>
                <w:bCs/>
              </w:rPr>
            </w:pPr>
            <w:r>
              <w:rPr>
                <w:bCs/>
              </w:rPr>
              <w:t>250</w:t>
            </w:r>
          </w:p>
        </w:tc>
        <w:tc>
          <w:tcPr>
            <w:tcW w:w="1497" w:type="dxa"/>
          </w:tcPr>
          <w:p w14:paraId="3756A2F5" w14:textId="041847F8" w:rsidR="00DF1902" w:rsidRDefault="00DF1902" w:rsidP="008C58CF">
            <w:pPr>
              <w:pStyle w:val="BodyText"/>
              <w:rPr>
                <w:bCs/>
              </w:rPr>
            </w:pPr>
            <w:r>
              <w:rPr>
                <w:bCs/>
              </w:rPr>
              <w:t>$500</w:t>
            </w:r>
          </w:p>
        </w:tc>
        <w:tc>
          <w:tcPr>
            <w:tcW w:w="1202" w:type="dxa"/>
          </w:tcPr>
          <w:p w14:paraId="11B6715D" w14:textId="66B7037F" w:rsidR="00DF1902" w:rsidRDefault="00DF1902" w:rsidP="008C58CF">
            <w:pPr>
              <w:pStyle w:val="BodyText"/>
              <w:rPr>
                <w:bCs/>
              </w:rPr>
            </w:pPr>
            <w:r>
              <w:rPr>
                <w:bCs/>
              </w:rPr>
              <w:t>$20,000</w:t>
            </w:r>
          </w:p>
        </w:tc>
        <w:tc>
          <w:tcPr>
            <w:tcW w:w="1626" w:type="dxa"/>
          </w:tcPr>
          <w:p w14:paraId="1F27C6E4" w14:textId="1C838D11" w:rsidR="00DF1902" w:rsidRDefault="00DF1902" w:rsidP="008C58CF">
            <w:pPr>
              <w:pStyle w:val="BodyText"/>
              <w:rPr>
                <w:bCs/>
              </w:rPr>
            </w:pPr>
            <w:r>
              <w:rPr>
                <w:bCs/>
              </w:rPr>
              <w:t>$270,000</w:t>
            </w:r>
          </w:p>
        </w:tc>
      </w:tr>
      <w:tr w:rsidR="00DF1902" w14:paraId="6C1077DE" w14:textId="77777777" w:rsidTr="008C58CF">
        <w:trPr>
          <w:cnfStyle w:val="000000010000" w:firstRow="0" w:lastRow="0" w:firstColumn="0" w:lastColumn="0" w:oddVBand="0" w:evenVBand="0" w:oddHBand="0" w:evenHBand="1" w:firstRowFirstColumn="0" w:firstRowLastColumn="0" w:lastRowFirstColumn="0" w:lastRowLastColumn="0"/>
        </w:trPr>
        <w:tc>
          <w:tcPr>
            <w:tcW w:w="1404" w:type="dxa"/>
          </w:tcPr>
          <w:p w14:paraId="1260A5C3" w14:textId="0E12E651" w:rsidR="00DF1902" w:rsidRDefault="00DF1902" w:rsidP="008C58CF">
            <w:pPr>
              <w:pStyle w:val="BodyText"/>
              <w:rPr>
                <w:bCs/>
              </w:rPr>
            </w:pPr>
            <w:r>
              <w:rPr>
                <w:bCs/>
              </w:rPr>
              <w:t>6</w:t>
            </w:r>
          </w:p>
        </w:tc>
        <w:tc>
          <w:tcPr>
            <w:tcW w:w="1668" w:type="dxa"/>
          </w:tcPr>
          <w:p w14:paraId="20C3DE38" w14:textId="77566081" w:rsidR="00DF1902" w:rsidRDefault="00DF1902" w:rsidP="008C58CF">
            <w:pPr>
              <w:pStyle w:val="BodyText"/>
              <w:rPr>
                <w:bCs/>
              </w:rPr>
            </w:pPr>
            <w:r>
              <w:rPr>
                <w:bCs/>
              </w:rPr>
              <w:t>2</w:t>
            </w:r>
          </w:p>
        </w:tc>
        <w:tc>
          <w:tcPr>
            <w:tcW w:w="1673" w:type="dxa"/>
          </w:tcPr>
          <w:p w14:paraId="1530BC8C" w14:textId="5D62F79D" w:rsidR="00DF1902" w:rsidRDefault="00DF1902" w:rsidP="008C58CF">
            <w:pPr>
              <w:pStyle w:val="BodyText"/>
              <w:rPr>
                <w:bCs/>
              </w:rPr>
            </w:pPr>
            <w:r>
              <w:rPr>
                <w:bCs/>
              </w:rPr>
              <w:t>250</w:t>
            </w:r>
          </w:p>
        </w:tc>
        <w:tc>
          <w:tcPr>
            <w:tcW w:w="1497" w:type="dxa"/>
          </w:tcPr>
          <w:p w14:paraId="09BE152A" w14:textId="38C23BB8" w:rsidR="00DF1902" w:rsidRDefault="00DF1902" w:rsidP="008C58CF">
            <w:pPr>
              <w:pStyle w:val="BodyText"/>
              <w:rPr>
                <w:bCs/>
              </w:rPr>
            </w:pPr>
            <w:r>
              <w:rPr>
                <w:bCs/>
              </w:rPr>
              <w:t>$500</w:t>
            </w:r>
          </w:p>
        </w:tc>
        <w:tc>
          <w:tcPr>
            <w:tcW w:w="1202" w:type="dxa"/>
          </w:tcPr>
          <w:p w14:paraId="5C3E989D" w14:textId="584654B1" w:rsidR="00DF1902" w:rsidRDefault="00DF1902" w:rsidP="008C58CF">
            <w:pPr>
              <w:pStyle w:val="BodyText"/>
              <w:rPr>
                <w:bCs/>
              </w:rPr>
            </w:pPr>
            <w:r>
              <w:rPr>
                <w:bCs/>
              </w:rPr>
              <w:t>$20,000</w:t>
            </w:r>
          </w:p>
        </w:tc>
        <w:tc>
          <w:tcPr>
            <w:tcW w:w="1626" w:type="dxa"/>
          </w:tcPr>
          <w:p w14:paraId="6871AD41" w14:textId="182EB752" w:rsidR="00DF1902" w:rsidRDefault="00DF1902" w:rsidP="008C58CF">
            <w:pPr>
              <w:pStyle w:val="BodyText"/>
              <w:rPr>
                <w:bCs/>
              </w:rPr>
            </w:pPr>
            <w:r>
              <w:rPr>
                <w:bCs/>
              </w:rPr>
              <w:t>$270,000</w:t>
            </w:r>
          </w:p>
        </w:tc>
      </w:tr>
      <w:tr w:rsidR="00DF1902" w14:paraId="5C16D685" w14:textId="77777777" w:rsidTr="008C58CF">
        <w:trPr>
          <w:cnfStyle w:val="000000100000" w:firstRow="0" w:lastRow="0" w:firstColumn="0" w:lastColumn="0" w:oddVBand="0" w:evenVBand="0" w:oddHBand="1" w:evenHBand="0" w:firstRowFirstColumn="0" w:firstRowLastColumn="0" w:lastRowFirstColumn="0" w:lastRowLastColumn="0"/>
        </w:trPr>
        <w:tc>
          <w:tcPr>
            <w:tcW w:w="1404" w:type="dxa"/>
          </w:tcPr>
          <w:p w14:paraId="747A34EF" w14:textId="3EEAA440" w:rsidR="00DF1902" w:rsidRDefault="00DF1902" w:rsidP="008C58CF">
            <w:pPr>
              <w:pStyle w:val="BodyText"/>
              <w:rPr>
                <w:bCs/>
              </w:rPr>
            </w:pPr>
            <w:r>
              <w:rPr>
                <w:bCs/>
              </w:rPr>
              <w:t>7</w:t>
            </w:r>
          </w:p>
        </w:tc>
        <w:tc>
          <w:tcPr>
            <w:tcW w:w="1668" w:type="dxa"/>
          </w:tcPr>
          <w:p w14:paraId="0F4DADFD" w14:textId="55F8A5F3" w:rsidR="00DF1902" w:rsidRDefault="00DF1902" w:rsidP="008C58CF">
            <w:pPr>
              <w:pStyle w:val="BodyText"/>
              <w:rPr>
                <w:bCs/>
              </w:rPr>
            </w:pPr>
            <w:r>
              <w:rPr>
                <w:bCs/>
              </w:rPr>
              <w:t>2</w:t>
            </w:r>
          </w:p>
        </w:tc>
        <w:tc>
          <w:tcPr>
            <w:tcW w:w="1673" w:type="dxa"/>
          </w:tcPr>
          <w:p w14:paraId="32186B73" w14:textId="427FC68A" w:rsidR="00DF1902" w:rsidRDefault="00DF1902" w:rsidP="008C58CF">
            <w:pPr>
              <w:pStyle w:val="BodyText"/>
              <w:rPr>
                <w:bCs/>
              </w:rPr>
            </w:pPr>
            <w:r>
              <w:rPr>
                <w:bCs/>
              </w:rPr>
              <w:t>250</w:t>
            </w:r>
          </w:p>
        </w:tc>
        <w:tc>
          <w:tcPr>
            <w:tcW w:w="1497" w:type="dxa"/>
          </w:tcPr>
          <w:p w14:paraId="6DDED884" w14:textId="3AF072E7" w:rsidR="00DF1902" w:rsidRDefault="00DF1902" w:rsidP="008C58CF">
            <w:pPr>
              <w:pStyle w:val="BodyText"/>
              <w:rPr>
                <w:bCs/>
              </w:rPr>
            </w:pPr>
            <w:r>
              <w:rPr>
                <w:bCs/>
              </w:rPr>
              <w:t>$500</w:t>
            </w:r>
          </w:p>
        </w:tc>
        <w:tc>
          <w:tcPr>
            <w:tcW w:w="1202" w:type="dxa"/>
          </w:tcPr>
          <w:p w14:paraId="19253392" w14:textId="439143AD" w:rsidR="00DF1902" w:rsidRDefault="00DF1902" w:rsidP="008C58CF">
            <w:pPr>
              <w:pStyle w:val="BodyText"/>
              <w:rPr>
                <w:bCs/>
              </w:rPr>
            </w:pPr>
            <w:r>
              <w:rPr>
                <w:bCs/>
              </w:rPr>
              <w:t>$20,000</w:t>
            </w:r>
          </w:p>
        </w:tc>
        <w:tc>
          <w:tcPr>
            <w:tcW w:w="1626" w:type="dxa"/>
          </w:tcPr>
          <w:p w14:paraId="43382601" w14:textId="26778922" w:rsidR="00DF1902" w:rsidRDefault="00DF1902" w:rsidP="008C58CF">
            <w:pPr>
              <w:pStyle w:val="BodyText"/>
              <w:rPr>
                <w:bCs/>
              </w:rPr>
            </w:pPr>
            <w:r>
              <w:rPr>
                <w:bCs/>
              </w:rPr>
              <w:t>$270,000</w:t>
            </w:r>
          </w:p>
        </w:tc>
      </w:tr>
      <w:tr w:rsidR="00DF1902" w14:paraId="259520C7" w14:textId="77777777" w:rsidTr="008C58CF">
        <w:trPr>
          <w:cnfStyle w:val="000000010000" w:firstRow="0" w:lastRow="0" w:firstColumn="0" w:lastColumn="0" w:oddVBand="0" w:evenVBand="0" w:oddHBand="0" w:evenHBand="1" w:firstRowFirstColumn="0" w:firstRowLastColumn="0" w:lastRowFirstColumn="0" w:lastRowLastColumn="0"/>
        </w:trPr>
        <w:tc>
          <w:tcPr>
            <w:tcW w:w="1404" w:type="dxa"/>
          </w:tcPr>
          <w:p w14:paraId="7C9D3F71" w14:textId="7AEC469F" w:rsidR="00DF1902" w:rsidRDefault="00DF1902" w:rsidP="008C58CF">
            <w:pPr>
              <w:pStyle w:val="BodyText"/>
              <w:rPr>
                <w:bCs/>
              </w:rPr>
            </w:pPr>
            <w:r>
              <w:rPr>
                <w:bCs/>
              </w:rPr>
              <w:t>8</w:t>
            </w:r>
          </w:p>
        </w:tc>
        <w:tc>
          <w:tcPr>
            <w:tcW w:w="1668" w:type="dxa"/>
          </w:tcPr>
          <w:p w14:paraId="3797C452" w14:textId="13C47A26" w:rsidR="00DF1902" w:rsidRDefault="00DF1902" w:rsidP="008C58CF">
            <w:pPr>
              <w:pStyle w:val="BodyText"/>
              <w:rPr>
                <w:bCs/>
              </w:rPr>
            </w:pPr>
            <w:r>
              <w:rPr>
                <w:bCs/>
              </w:rPr>
              <w:t>2</w:t>
            </w:r>
          </w:p>
        </w:tc>
        <w:tc>
          <w:tcPr>
            <w:tcW w:w="1673" w:type="dxa"/>
          </w:tcPr>
          <w:p w14:paraId="54533CF4" w14:textId="799BC6B0" w:rsidR="00DF1902" w:rsidRDefault="00DF1902" w:rsidP="008C58CF">
            <w:pPr>
              <w:pStyle w:val="BodyText"/>
              <w:rPr>
                <w:bCs/>
              </w:rPr>
            </w:pPr>
            <w:r>
              <w:rPr>
                <w:bCs/>
              </w:rPr>
              <w:t>250</w:t>
            </w:r>
          </w:p>
        </w:tc>
        <w:tc>
          <w:tcPr>
            <w:tcW w:w="1497" w:type="dxa"/>
          </w:tcPr>
          <w:p w14:paraId="18563B34" w14:textId="68224393" w:rsidR="00DF1902" w:rsidRDefault="00DF1902" w:rsidP="008C58CF">
            <w:pPr>
              <w:pStyle w:val="BodyText"/>
              <w:rPr>
                <w:bCs/>
              </w:rPr>
            </w:pPr>
            <w:r>
              <w:rPr>
                <w:bCs/>
              </w:rPr>
              <w:t>$500</w:t>
            </w:r>
          </w:p>
        </w:tc>
        <w:tc>
          <w:tcPr>
            <w:tcW w:w="1202" w:type="dxa"/>
          </w:tcPr>
          <w:p w14:paraId="3F29F635" w14:textId="37C7E901" w:rsidR="00DF1902" w:rsidRDefault="00DF1902" w:rsidP="008C58CF">
            <w:pPr>
              <w:pStyle w:val="BodyText"/>
              <w:rPr>
                <w:bCs/>
              </w:rPr>
            </w:pPr>
            <w:r>
              <w:rPr>
                <w:bCs/>
              </w:rPr>
              <w:t>$20,000</w:t>
            </w:r>
          </w:p>
        </w:tc>
        <w:tc>
          <w:tcPr>
            <w:tcW w:w="1626" w:type="dxa"/>
          </w:tcPr>
          <w:p w14:paraId="47D7318F" w14:textId="49A1EBE3" w:rsidR="00DF1902" w:rsidRDefault="00DF1902" w:rsidP="008C58CF">
            <w:pPr>
              <w:pStyle w:val="BodyText"/>
              <w:rPr>
                <w:bCs/>
              </w:rPr>
            </w:pPr>
            <w:r>
              <w:rPr>
                <w:bCs/>
              </w:rPr>
              <w:t>$270,000</w:t>
            </w:r>
          </w:p>
        </w:tc>
      </w:tr>
      <w:tr w:rsidR="00DF1902" w14:paraId="788B6019" w14:textId="77777777" w:rsidTr="008C58CF">
        <w:trPr>
          <w:cnfStyle w:val="000000100000" w:firstRow="0" w:lastRow="0" w:firstColumn="0" w:lastColumn="0" w:oddVBand="0" w:evenVBand="0" w:oddHBand="1" w:evenHBand="0" w:firstRowFirstColumn="0" w:firstRowLastColumn="0" w:lastRowFirstColumn="0" w:lastRowLastColumn="0"/>
        </w:trPr>
        <w:tc>
          <w:tcPr>
            <w:tcW w:w="1404" w:type="dxa"/>
          </w:tcPr>
          <w:p w14:paraId="41D5450C" w14:textId="478AD654" w:rsidR="00DF1902" w:rsidRDefault="00DF1902" w:rsidP="008C58CF">
            <w:pPr>
              <w:pStyle w:val="BodyText"/>
              <w:rPr>
                <w:bCs/>
              </w:rPr>
            </w:pPr>
            <w:r>
              <w:rPr>
                <w:bCs/>
              </w:rPr>
              <w:t>9</w:t>
            </w:r>
          </w:p>
        </w:tc>
        <w:tc>
          <w:tcPr>
            <w:tcW w:w="1668" w:type="dxa"/>
          </w:tcPr>
          <w:p w14:paraId="2DC6B7F3" w14:textId="33571825" w:rsidR="00DF1902" w:rsidRDefault="00DF1902" w:rsidP="008C58CF">
            <w:pPr>
              <w:pStyle w:val="BodyText"/>
              <w:rPr>
                <w:bCs/>
              </w:rPr>
            </w:pPr>
            <w:r>
              <w:rPr>
                <w:bCs/>
              </w:rPr>
              <w:t>2</w:t>
            </w:r>
          </w:p>
        </w:tc>
        <w:tc>
          <w:tcPr>
            <w:tcW w:w="1673" w:type="dxa"/>
          </w:tcPr>
          <w:p w14:paraId="3B8BAFE8" w14:textId="21E7B19D" w:rsidR="00DF1902" w:rsidRDefault="00DF1902" w:rsidP="008C58CF">
            <w:pPr>
              <w:pStyle w:val="BodyText"/>
              <w:rPr>
                <w:bCs/>
              </w:rPr>
            </w:pPr>
            <w:r>
              <w:rPr>
                <w:bCs/>
              </w:rPr>
              <w:t>250</w:t>
            </w:r>
          </w:p>
        </w:tc>
        <w:tc>
          <w:tcPr>
            <w:tcW w:w="1497" w:type="dxa"/>
          </w:tcPr>
          <w:p w14:paraId="78E82DD2" w14:textId="509593B9" w:rsidR="00DF1902" w:rsidRDefault="00DF1902" w:rsidP="008C58CF">
            <w:pPr>
              <w:pStyle w:val="BodyText"/>
              <w:rPr>
                <w:bCs/>
              </w:rPr>
            </w:pPr>
            <w:r>
              <w:rPr>
                <w:bCs/>
              </w:rPr>
              <w:t>$500</w:t>
            </w:r>
          </w:p>
        </w:tc>
        <w:tc>
          <w:tcPr>
            <w:tcW w:w="1202" w:type="dxa"/>
          </w:tcPr>
          <w:p w14:paraId="7E32C99F" w14:textId="4C15F64B" w:rsidR="00DF1902" w:rsidRDefault="00DF1902" w:rsidP="008C58CF">
            <w:pPr>
              <w:pStyle w:val="BodyText"/>
              <w:rPr>
                <w:bCs/>
              </w:rPr>
            </w:pPr>
            <w:r>
              <w:rPr>
                <w:bCs/>
              </w:rPr>
              <w:t>$20,000</w:t>
            </w:r>
          </w:p>
        </w:tc>
        <w:tc>
          <w:tcPr>
            <w:tcW w:w="1626" w:type="dxa"/>
          </w:tcPr>
          <w:p w14:paraId="7D6DCE2C" w14:textId="69DFE3C8" w:rsidR="00DF1902" w:rsidRDefault="00DF1902" w:rsidP="008C58CF">
            <w:pPr>
              <w:pStyle w:val="BodyText"/>
              <w:rPr>
                <w:bCs/>
              </w:rPr>
            </w:pPr>
            <w:r>
              <w:rPr>
                <w:bCs/>
              </w:rPr>
              <w:t>$270,000</w:t>
            </w:r>
          </w:p>
        </w:tc>
      </w:tr>
      <w:tr w:rsidR="00DF1902" w14:paraId="19618D06" w14:textId="77777777" w:rsidTr="008C58CF">
        <w:trPr>
          <w:cnfStyle w:val="000000010000" w:firstRow="0" w:lastRow="0" w:firstColumn="0" w:lastColumn="0" w:oddVBand="0" w:evenVBand="0" w:oddHBand="0" w:evenHBand="1" w:firstRowFirstColumn="0" w:firstRowLastColumn="0" w:lastRowFirstColumn="0" w:lastRowLastColumn="0"/>
        </w:trPr>
        <w:tc>
          <w:tcPr>
            <w:tcW w:w="1404" w:type="dxa"/>
          </w:tcPr>
          <w:p w14:paraId="30590CDD" w14:textId="221976DC" w:rsidR="00DF1902" w:rsidRDefault="00DF1902" w:rsidP="008C58CF">
            <w:pPr>
              <w:pStyle w:val="BodyText"/>
              <w:rPr>
                <w:bCs/>
              </w:rPr>
            </w:pPr>
            <w:r>
              <w:rPr>
                <w:bCs/>
              </w:rPr>
              <w:t>10</w:t>
            </w:r>
          </w:p>
        </w:tc>
        <w:tc>
          <w:tcPr>
            <w:tcW w:w="1668" w:type="dxa"/>
          </w:tcPr>
          <w:p w14:paraId="634F3BB2" w14:textId="7BEACA60" w:rsidR="00DF1902" w:rsidRDefault="00DF1902" w:rsidP="008C58CF">
            <w:pPr>
              <w:pStyle w:val="BodyText"/>
              <w:rPr>
                <w:bCs/>
              </w:rPr>
            </w:pPr>
            <w:r>
              <w:rPr>
                <w:bCs/>
              </w:rPr>
              <w:t>2</w:t>
            </w:r>
          </w:p>
        </w:tc>
        <w:tc>
          <w:tcPr>
            <w:tcW w:w="1673" w:type="dxa"/>
          </w:tcPr>
          <w:p w14:paraId="71B20B74" w14:textId="05518C6A" w:rsidR="00DF1902" w:rsidRDefault="00DF1902" w:rsidP="008C58CF">
            <w:pPr>
              <w:pStyle w:val="BodyText"/>
              <w:rPr>
                <w:bCs/>
              </w:rPr>
            </w:pPr>
            <w:r>
              <w:rPr>
                <w:bCs/>
              </w:rPr>
              <w:t>250</w:t>
            </w:r>
          </w:p>
        </w:tc>
        <w:tc>
          <w:tcPr>
            <w:tcW w:w="1497" w:type="dxa"/>
          </w:tcPr>
          <w:p w14:paraId="566E61A4" w14:textId="24846C11" w:rsidR="00DF1902" w:rsidRDefault="00DF1902" w:rsidP="008C58CF">
            <w:pPr>
              <w:pStyle w:val="BodyText"/>
              <w:rPr>
                <w:bCs/>
              </w:rPr>
            </w:pPr>
            <w:r>
              <w:rPr>
                <w:bCs/>
              </w:rPr>
              <w:t>$500</w:t>
            </w:r>
          </w:p>
        </w:tc>
        <w:tc>
          <w:tcPr>
            <w:tcW w:w="1202" w:type="dxa"/>
          </w:tcPr>
          <w:p w14:paraId="63A4BE32" w14:textId="1B128D97" w:rsidR="00DF1902" w:rsidRDefault="00DF1902" w:rsidP="008C58CF">
            <w:pPr>
              <w:pStyle w:val="BodyText"/>
              <w:rPr>
                <w:bCs/>
              </w:rPr>
            </w:pPr>
            <w:r>
              <w:rPr>
                <w:bCs/>
              </w:rPr>
              <w:t>$20,000</w:t>
            </w:r>
          </w:p>
        </w:tc>
        <w:tc>
          <w:tcPr>
            <w:tcW w:w="1626" w:type="dxa"/>
          </w:tcPr>
          <w:p w14:paraId="42217A67" w14:textId="7FD6CC71" w:rsidR="00DF1902" w:rsidRDefault="00DF1902" w:rsidP="008C58CF">
            <w:pPr>
              <w:pStyle w:val="BodyText"/>
              <w:rPr>
                <w:bCs/>
              </w:rPr>
            </w:pPr>
            <w:r>
              <w:rPr>
                <w:bCs/>
              </w:rPr>
              <w:t>$270,000</w:t>
            </w:r>
          </w:p>
        </w:tc>
      </w:tr>
      <w:tr w:rsidR="00DF1902" w14:paraId="5D4500BD" w14:textId="77777777" w:rsidTr="008C58CF">
        <w:trPr>
          <w:cnfStyle w:val="000000100000" w:firstRow="0" w:lastRow="0" w:firstColumn="0" w:lastColumn="0" w:oddVBand="0" w:evenVBand="0" w:oddHBand="1" w:evenHBand="0" w:firstRowFirstColumn="0" w:firstRowLastColumn="0" w:lastRowFirstColumn="0" w:lastRowLastColumn="0"/>
        </w:trPr>
        <w:tc>
          <w:tcPr>
            <w:tcW w:w="1404" w:type="dxa"/>
          </w:tcPr>
          <w:p w14:paraId="007FCBE5" w14:textId="4D20B0FE" w:rsidR="00DF1902" w:rsidRPr="008C58CF" w:rsidRDefault="00DF1902" w:rsidP="008C58CF">
            <w:pPr>
              <w:pStyle w:val="BodyText"/>
              <w:rPr>
                <w:b/>
              </w:rPr>
            </w:pPr>
            <w:r w:rsidRPr="008C58CF">
              <w:rPr>
                <w:b/>
              </w:rPr>
              <w:t>Total</w:t>
            </w:r>
          </w:p>
        </w:tc>
        <w:tc>
          <w:tcPr>
            <w:tcW w:w="1668" w:type="dxa"/>
          </w:tcPr>
          <w:p w14:paraId="41BDB5BB" w14:textId="77777777" w:rsidR="00DF1902" w:rsidRPr="008C58CF" w:rsidRDefault="00DF1902" w:rsidP="008C58CF">
            <w:pPr>
              <w:pStyle w:val="BodyText"/>
              <w:rPr>
                <w:b/>
              </w:rPr>
            </w:pPr>
          </w:p>
        </w:tc>
        <w:tc>
          <w:tcPr>
            <w:tcW w:w="1673" w:type="dxa"/>
          </w:tcPr>
          <w:p w14:paraId="25F1A0DA" w14:textId="77777777" w:rsidR="00DF1902" w:rsidRPr="008C58CF" w:rsidRDefault="00DF1902" w:rsidP="008C58CF">
            <w:pPr>
              <w:pStyle w:val="BodyText"/>
              <w:rPr>
                <w:b/>
              </w:rPr>
            </w:pPr>
          </w:p>
        </w:tc>
        <w:tc>
          <w:tcPr>
            <w:tcW w:w="1497" w:type="dxa"/>
          </w:tcPr>
          <w:p w14:paraId="41B488F0" w14:textId="77777777" w:rsidR="00DF1902" w:rsidRPr="008C58CF" w:rsidRDefault="00DF1902" w:rsidP="008C58CF">
            <w:pPr>
              <w:pStyle w:val="BodyText"/>
              <w:rPr>
                <w:b/>
              </w:rPr>
            </w:pPr>
          </w:p>
        </w:tc>
        <w:tc>
          <w:tcPr>
            <w:tcW w:w="1202" w:type="dxa"/>
          </w:tcPr>
          <w:p w14:paraId="45F62C70" w14:textId="77777777" w:rsidR="00DF1902" w:rsidRPr="008C58CF" w:rsidRDefault="00DF1902" w:rsidP="008C58CF">
            <w:pPr>
              <w:pStyle w:val="BodyText"/>
              <w:rPr>
                <w:b/>
              </w:rPr>
            </w:pPr>
          </w:p>
        </w:tc>
        <w:tc>
          <w:tcPr>
            <w:tcW w:w="1626" w:type="dxa"/>
          </w:tcPr>
          <w:p w14:paraId="1013A8F2" w14:textId="0DFBA82E" w:rsidR="00DF1902" w:rsidRPr="008C58CF" w:rsidRDefault="00DF1902" w:rsidP="008C58CF">
            <w:pPr>
              <w:pStyle w:val="BodyText"/>
              <w:rPr>
                <w:b/>
              </w:rPr>
            </w:pPr>
            <w:r w:rsidRPr="008C58CF">
              <w:rPr>
                <w:b/>
              </w:rPr>
              <w:t>$4,320,000</w:t>
            </w:r>
          </w:p>
        </w:tc>
      </w:tr>
    </w:tbl>
    <w:p w14:paraId="4CD45741" w14:textId="52EA57D4" w:rsidR="00DF1902" w:rsidRDefault="00DF1902" w:rsidP="00DF1902"/>
    <w:p w14:paraId="43347DFA" w14:textId="44699A6A" w:rsidR="0018004C" w:rsidRDefault="0018004C" w:rsidP="002B793A">
      <w:pPr>
        <w:pStyle w:val="HeaderOdd"/>
        <w:keepNext/>
      </w:pPr>
      <w:r>
        <w:lastRenderedPageBreak/>
        <w:t xml:space="preserve">Option A2 </w:t>
      </w:r>
      <w:r w:rsidR="00304194">
        <w:t xml:space="preserve">– </w:t>
      </w:r>
      <w:r w:rsidR="00E26AA0">
        <w:t xml:space="preserve">Prescribe a </w:t>
      </w:r>
      <w:r w:rsidR="00B23502">
        <w:t>m</w:t>
      </w:r>
      <w:r w:rsidR="00E26AA0" w:rsidRPr="00E63C9A">
        <w:t xml:space="preserve">andatory </w:t>
      </w:r>
      <w:r w:rsidR="00E26AA0">
        <w:t>C</w:t>
      </w:r>
      <w:r w:rsidR="00E26AA0" w:rsidRPr="00E63C9A">
        <w:t xml:space="preserve">ode of </w:t>
      </w:r>
      <w:r w:rsidR="00E26AA0">
        <w:t>C</w:t>
      </w:r>
      <w:r w:rsidR="00E26AA0" w:rsidRPr="00E63C9A">
        <w:t xml:space="preserve">onduct </w:t>
      </w:r>
      <w:r w:rsidR="00E26AA0">
        <w:t xml:space="preserve">for wholesale gas markets under the existing industry codes framework (Part IVB of the </w:t>
      </w:r>
      <w:r w:rsidR="00E26AA0" w:rsidRPr="00945CA6">
        <w:t>CCA</w:t>
      </w:r>
      <w:r w:rsidR="00E26AA0">
        <w:t>)</w:t>
      </w:r>
    </w:p>
    <w:p w14:paraId="4F395CF3" w14:textId="77777777" w:rsidR="0018004C" w:rsidRDefault="0018004C" w:rsidP="002B793A">
      <w:pPr>
        <w:pStyle w:val="HeaderOdd"/>
        <w:keepNext/>
      </w:pPr>
    </w:p>
    <w:p w14:paraId="4FD1B4F0" w14:textId="70E284DD" w:rsidR="0018004C" w:rsidRDefault="001025CC" w:rsidP="002B793A">
      <w:pPr>
        <w:pStyle w:val="BodyText"/>
        <w:keepNext/>
        <w:rPr>
          <w:b/>
        </w:rPr>
      </w:pPr>
      <w:r>
        <w:rPr>
          <w:b/>
        </w:rPr>
        <w:t>Table 2</w:t>
      </w:r>
      <w:r w:rsidR="004173B0">
        <w:rPr>
          <w:b/>
        </w:rPr>
        <w:t>1</w:t>
      </w:r>
      <w:r w:rsidR="006468DE">
        <w:rPr>
          <w:b/>
        </w:rPr>
        <w:t xml:space="preserve">: </w:t>
      </w:r>
      <w:r w:rsidR="0018004C" w:rsidRPr="008C58CF">
        <w:rPr>
          <w:b/>
        </w:rPr>
        <w:t>Summary of regulatory burden calculations</w:t>
      </w:r>
      <w:r w:rsidR="0018004C">
        <w:rPr>
          <w:b/>
        </w:rPr>
        <w:t>:</w:t>
      </w:r>
    </w:p>
    <w:p w14:paraId="6E60BF5C" w14:textId="699A25EB" w:rsidR="0018004C" w:rsidRPr="0018004C" w:rsidRDefault="0018004C" w:rsidP="0018004C">
      <w:pPr>
        <w:pStyle w:val="BodyText"/>
        <w:rPr>
          <w:bCs/>
        </w:rPr>
      </w:pPr>
      <w:r>
        <w:rPr>
          <w:bCs/>
        </w:rPr>
        <w:t xml:space="preserve">The regulatory burden calculations for Option A2 are the same as Option A1, except Option A2 does not include any </w:t>
      </w:r>
      <w:r w:rsidR="005A6231">
        <w:rPr>
          <w:bCs/>
        </w:rPr>
        <w:t>arbitration</w:t>
      </w:r>
      <w:r>
        <w:rPr>
          <w:bCs/>
        </w:rPr>
        <w:t xml:space="preserve"> costs. </w:t>
      </w:r>
    </w:p>
    <w:tbl>
      <w:tblPr>
        <w:tblStyle w:val="PMCDefaultTableStyle"/>
        <w:tblW w:w="0" w:type="auto"/>
        <w:tblLook w:val="04A0" w:firstRow="1" w:lastRow="0" w:firstColumn="1" w:lastColumn="0" w:noHBand="0" w:noVBand="1"/>
      </w:tblPr>
      <w:tblGrid>
        <w:gridCol w:w="3686"/>
        <w:gridCol w:w="2551"/>
        <w:gridCol w:w="2551"/>
      </w:tblGrid>
      <w:tr w:rsidR="0018004C" w14:paraId="6C4AE06C" w14:textId="77777777" w:rsidTr="008C58CF">
        <w:trPr>
          <w:cnfStyle w:val="100000000000" w:firstRow="1" w:lastRow="0" w:firstColumn="0" w:lastColumn="0" w:oddVBand="0" w:evenVBand="0" w:oddHBand="0" w:evenHBand="0" w:firstRowFirstColumn="0" w:firstRowLastColumn="0" w:lastRowFirstColumn="0" w:lastRowLastColumn="0"/>
        </w:trPr>
        <w:tc>
          <w:tcPr>
            <w:tcW w:w="3686" w:type="dxa"/>
          </w:tcPr>
          <w:p w14:paraId="3B174237" w14:textId="77777777" w:rsidR="0018004C" w:rsidRDefault="0018004C" w:rsidP="008C58CF">
            <w:pPr>
              <w:pStyle w:val="BodyText"/>
              <w:rPr>
                <w:bCs/>
              </w:rPr>
            </w:pPr>
            <w:r>
              <w:rPr>
                <w:bCs/>
              </w:rPr>
              <w:t>Cost category</w:t>
            </w:r>
          </w:p>
        </w:tc>
        <w:tc>
          <w:tcPr>
            <w:tcW w:w="2551" w:type="dxa"/>
          </w:tcPr>
          <w:p w14:paraId="06540875" w14:textId="77777777" w:rsidR="0018004C" w:rsidRPr="00CA2057" w:rsidRDefault="0018004C" w:rsidP="008C58CF">
            <w:pPr>
              <w:pStyle w:val="BodyText"/>
              <w:rPr>
                <w:bCs/>
              </w:rPr>
            </w:pPr>
            <w:r>
              <w:rPr>
                <w:bCs/>
              </w:rPr>
              <w:t>Costs over ten years</w:t>
            </w:r>
          </w:p>
        </w:tc>
        <w:tc>
          <w:tcPr>
            <w:tcW w:w="2551" w:type="dxa"/>
          </w:tcPr>
          <w:p w14:paraId="60D52720" w14:textId="77777777" w:rsidR="0018004C" w:rsidRDefault="0018004C" w:rsidP="008C58CF">
            <w:pPr>
              <w:pStyle w:val="BodyText"/>
              <w:rPr>
                <w:bCs/>
              </w:rPr>
            </w:pPr>
            <w:r>
              <w:rPr>
                <w:bCs/>
              </w:rPr>
              <w:t>Average costs per year</w:t>
            </w:r>
          </w:p>
        </w:tc>
      </w:tr>
      <w:tr w:rsidR="0018004C" w14:paraId="07C1FC57" w14:textId="77777777" w:rsidTr="008C58CF">
        <w:trPr>
          <w:cnfStyle w:val="000000100000" w:firstRow="0" w:lastRow="0" w:firstColumn="0" w:lastColumn="0" w:oddVBand="0" w:evenVBand="0" w:oddHBand="1" w:evenHBand="0" w:firstRowFirstColumn="0" w:firstRowLastColumn="0" w:lastRowFirstColumn="0" w:lastRowLastColumn="0"/>
        </w:trPr>
        <w:tc>
          <w:tcPr>
            <w:tcW w:w="3686" w:type="dxa"/>
          </w:tcPr>
          <w:p w14:paraId="0F907B5C" w14:textId="77777777" w:rsidR="0018004C" w:rsidRDefault="0018004C" w:rsidP="008C58CF">
            <w:pPr>
              <w:pStyle w:val="BodyText"/>
              <w:rPr>
                <w:bCs/>
              </w:rPr>
            </w:pPr>
            <w:r>
              <w:rPr>
                <w:bCs/>
              </w:rPr>
              <w:t>Adjusting internal processes</w:t>
            </w:r>
          </w:p>
        </w:tc>
        <w:tc>
          <w:tcPr>
            <w:tcW w:w="2551" w:type="dxa"/>
          </w:tcPr>
          <w:p w14:paraId="34D93018" w14:textId="77777777" w:rsidR="0018004C" w:rsidRDefault="0018004C" w:rsidP="008C58CF">
            <w:pPr>
              <w:pStyle w:val="BodyText"/>
              <w:rPr>
                <w:bCs/>
              </w:rPr>
            </w:pPr>
            <w:r>
              <w:rPr>
                <w:bCs/>
              </w:rPr>
              <w:t>$1,164,589</w:t>
            </w:r>
          </w:p>
        </w:tc>
        <w:tc>
          <w:tcPr>
            <w:tcW w:w="2551" w:type="dxa"/>
          </w:tcPr>
          <w:p w14:paraId="0B16E0FD" w14:textId="77777777" w:rsidR="0018004C" w:rsidRDefault="0018004C" w:rsidP="008C58CF">
            <w:pPr>
              <w:pStyle w:val="BodyText"/>
              <w:rPr>
                <w:bCs/>
              </w:rPr>
            </w:pPr>
            <w:r>
              <w:rPr>
                <w:bCs/>
              </w:rPr>
              <w:t>$116,459</w:t>
            </w:r>
          </w:p>
        </w:tc>
      </w:tr>
      <w:tr w:rsidR="0018004C" w14:paraId="4BBB3A5B" w14:textId="77777777" w:rsidTr="008C58CF">
        <w:trPr>
          <w:cnfStyle w:val="000000010000" w:firstRow="0" w:lastRow="0" w:firstColumn="0" w:lastColumn="0" w:oddVBand="0" w:evenVBand="0" w:oddHBand="0" w:evenHBand="1" w:firstRowFirstColumn="0" w:firstRowLastColumn="0" w:lastRowFirstColumn="0" w:lastRowLastColumn="0"/>
        </w:trPr>
        <w:tc>
          <w:tcPr>
            <w:tcW w:w="3686" w:type="dxa"/>
          </w:tcPr>
          <w:p w14:paraId="37FA5273" w14:textId="77777777" w:rsidR="0018004C" w:rsidRDefault="0018004C" w:rsidP="008C58CF">
            <w:pPr>
              <w:pStyle w:val="BodyText"/>
              <w:rPr>
                <w:bCs/>
              </w:rPr>
            </w:pPr>
            <w:r>
              <w:rPr>
                <w:bCs/>
              </w:rPr>
              <w:t>Legal compliance advice</w:t>
            </w:r>
          </w:p>
        </w:tc>
        <w:tc>
          <w:tcPr>
            <w:tcW w:w="2551" w:type="dxa"/>
          </w:tcPr>
          <w:p w14:paraId="1939CC23" w14:textId="77777777" w:rsidR="0018004C" w:rsidRPr="00CA2057" w:rsidRDefault="0018004C" w:rsidP="008C58CF">
            <w:pPr>
              <w:pStyle w:val="BodyText"/>
              <w:rPr>
                <w:bCs/>
              </w:rPr>
            </w:pPr>
            <w:r>
              <w:rPr>
                <w:bCs/>
              </w:rPr>
              <w:t>$2,550,000</w:t>
            </w:r>
          </w:p>
        </w:tc>
        <w:tc>
          <w:tcPr>
            <w:tcW w:w="2551" w:type="dxa"/>
          </w:tcPr>
          <w:p w14:paraId="595923B2" w14:textId="77777777" w:rsidR="0018004C" w:rsidRPr="00CA2057" w:rsidRDefault="0018004C" w:rsidP="008C58CF">
            <w:pPr>
              <w:pStyle w:val="BodyText"/>
              <w:rPr>
                <w:bCs/>
              </w:rPr>
            </w:pPr>
            <w:r>
              <w:rPr>
                <w:bCs/>
              </w:rPr>
              <w:t>$255,000</w:t>
            </w:r>
          </w:p>
        </w:tc>
      </w:tr>
      <w:tr w:rsidR="0018004C" w14:paraId="0C4C970C" w14:textId="77777777" w:rsidTr="008C58CF">
        <w:trPr>
          <w:cnfStyle w:val="000000100000" w:firstRow="0" w:lastRow="0" w:firstColumn="0" w:lastColumn="0" w:oddVBand="0" w:evenVBand="0" w:oddHBand="1" w:evenHBand="0" w:firstRowFirstColumn="0" w:firstRowLastColumn="0" w:lastRowFirstColumn="0" w:lastRowLastColumn="0"/>
        </w:trPr>
        <w:tc>
          <w:tcPr>
            <w:tcW w:w="3686" w:type="dxa"/>
          </w:tcPr>
          <w:p w14:paraId="28C5A75D" w14:textId="77777777" w:rsidR="0018004C" w:rsidRPr="008C58CF" w:rsidRDefault="0018004C" w:rsidP="008C58CF">
            <w:pPr>
              <w:pStyle w:val="BodyText"/>
              <w:rPr>
                <w:b/>
              </w:rPr>
            </w:pPr>
            <w:r w:rsidRPr="008C58CF">
              <w:rPr>
                <w:b/>
              </w:rPr>
              <w:t>Total</w:t>
            </w:r>
          </w:p>
        </w:tc>
        <w:tc>
          <w:tcPr>
            <w:tcW w:w="2551" w:type="dxa"/>
          </w:tcPr>
          <w:p w14:paraId="41B2535B" w14:textId="0006038D" w:rsidR="0018004C" w:rsidRPr="008C58CF" w:rsidRDefault="0018004C" w:rsidP="008C58CF">
            <w:pPr>
              <w:pStyle w:val="BodyText"/>
              <w:rPr>
                <w:b/>
              </w:rPr>
            </w:pPr>
            <w:r w:rsidRPr="008C58CF">
              <w:rPr>
                <w:b/>
              </w:rPr>
              <w:t>$</w:t>
            </w:r>
            <w:r>
              <w:rPr>
                <w:b/>
              </w:rPr>
              <w:t>3,714,589</w:t>
            </w:r>
          </w:p>
        </w:tc>
        <w:tc>
          <w:tcPr>
            <w:tcW w:w="2551" w:type="dxa"/>
          </w:tcPr>
          <w:p w14:paraId="7134A937" w14:textId="0710E578" w:rsidR="0018004C" w:rsidRPr="008C58CF" w:rsidRDefault="0018004C" w:rsidP="008C58CF">
            <w:pPr>
              <w:pStyle w:val="BodyText"/>
              <w:rPr>
                <w:b/>
              </w:rPr>
            </w:pPr>
            <w:r w:rsidRPr="008C58CF">
              <w:rPr>
                <w:b/>
              </w:rPr>
              <w:t>$</w:t>
            </w:r>
            <w:r>
              <w:rPr>
                <w:b/>
              </w:rPr>
              <w:t>371,459</w:t>
            </w:r>
          </w:p>
        </w:tc>
      </w:tr>
    </w:tbl>
    <w:p w14:paraId="634F2756" w14:textId="6566441D" w:rsidR="00CA2057" w:rsidRDefault="00CA2057">
      <w:pPr>
        <w:pStyle w:val="BodyText"/>
        <w:rPr>
          <w:bCs/>
        </w:rPr>
      </w:pPr>
    </w:p>
    <w:p w14:paraId="3B657BD2" w14:textId="79A8B95E" w:rsidR="002B793A" w:rsidRDefault="002B793A" w:rsidP="002B793A">
      <w:pPr>
        <w:pStyle w:val="HeaderOdd"/>
        <w:keepNext/>
      </w:pPr>
      <w:r>
        <w:t>Option A4 – Temporary 12-month gas price cap</w:t>
      </w:r>
    </w:p>
    <w:p w14:paraId="58DC5012" w14:textId="7C87C510" w:rsidR="002B793A" w:rsidRDefault="002B793A" w:rsidP="002B793A">
      <w:pPr>
        <w:pStyle w:val="HeaderOdd"/>
        <w:keepNext/>
        <w:rPr>
          <w:b w:val="0"/>
          <w:bCs/>
        </w:rPr>
      </w:pPr>
    </w:p>
    <w:p w14:paraId="3FA49F7F" w14:textId="3D101689" w:rsidR="002B793A" w:rsidRDefault="001025CC" w:rsidP="002B793A">
      <w:pPr>
        <w:pStyle w:val="BodyText"/>
        <w:keepNext/>
        <w:rPr>
          <w:b/>
        </w:rPr>
      </w:pPr>
      <w:r>
        <w:rPr>
          <w:b/>
        </w:rPr>
        <w:t>Table 2</w:t>
      </w:r>
      <w:r w:rsidR="004173B0">
        <w:rPr>
          <w:b/>
        </w:rPr>
        <w:t>2</w:t>
      </w:r>
      <w:r w:rsidR="006468DE">
        <w:rPr>
          <w:b/>
        </w:rPr>
        <w:t xml:space="preserve">: </w:t>
      </w:r>
      <w:r w:rsidR="002B793A" w:rsidRPr="008C58CF">
        <w:rPr>
          <w:b/>
        </w:rPr>
        <w:t>Summary of regulatory burden calculations</w:t>
      </w:r>
      <w:r w:rsidR="002B793A">
        <w:rPr>
          <w:b/>
        </w:rPr>
        <w:t>:</w:t>
      </w:r>
    </w:p>
    <w:tbl>
      <w:tblPr>
        <w:tblStyle w:val="PMCDefaultTableStyle"/>
        <w:tblW w:w="0" w:type="auto"/>
        <w:tblLook w:val="04A0" w:firstRow="1" w:lastRow="0" w:firstColumn="1" w:lastColumn="0" w:noHBand="0" w:noVBand="1"/>
      </w:tblPr>
      <w:tblGrid>
        <w:gridCol w:w="3686"/>
        <w:gridCol w:w="2551"/>
        <w:gridCol w:w="2551"/>
      </w:tblGrid>
      <w:tr w:rsidR="002B793A" w14:paraId="6757AD68" w14:textId="77777777" w:rsidTr="008C58CF">
        <w:trPr>
          <w:cnfStyle w:val="100000000000" w:firstRow="1" w:lastRow="0" w:firstColumn="0" w:lastColumn="0" w:oddVBand="0" w:evenVBand="0" w:oddHBand="0" w:evenHBand="0" w:firstRowFirstColumn="0" w:firstRowLastColumn="0" w:lastRowFirstColumn="0" w:lastRowLastColumn="0"/>
        </w:trPr>
        <w:tc>
          <w:tcPr>
            <w:tcW w:w="3686" w:type="dxa"/>
          </w:tcPr>
          <w:p w14:paraId="09186B8B" w14:textId="77777777" w:rsidR="002B793A" w:rsidRDefault="002B793A" w:rsidP="008C58CF">
            <w:pPr>
              <w:pStyle w:val="BodyText"/>
              <w:rPr>
                <w:bCs/>
              </w:rPr>
            </w:pPr>
            <w:r>
              <w:rPr>
                <w:bCs/>
              </w:rPr>
              <w:t>Cost category</w:t>
            </w:r>
          </w:p>
        </w:tc>
        <w:tc>
          <w:tcPr>
            <w:tcW w:w="2551" w:type="dxa"/>
          </w:tcPr>
          <w:p w14:paraId="08E26853" w14:textId="77777777" w:rsidR="002B793A" w:rsidRPr="00CA2057" w:rsidRDefault="002B793A" w:rsidP="008C58CF">
            <w:pPr>
              <w:pStyle w:val="BodyText"/>
              <w:rPr>
                <w:bCs/>
              </w:rPr>
            </w:pPr>
            <w:r>
              <w:rPr>
                <w:bCs/>
              </w:rPr>
              <w:t>Costs over ten years</w:t>
            </w:r>
          </w:p>
        </w:tc>
        <w:tc>
          <w:tcPr>
            <w:tcW w:w="2551" w:type="dxa"/>
          </w:tcPr>
          <w:p w14:paraId="70C8EDCC" w14:textId="77777777" w:rsidR="002B793A" w:rsidRDefault="002B793A" w:rsidP="008C58CF">
            <w:pPr>
              <w:pStyle w:val="BodyText"/>
              <w:rPr>
                <w:bCs/>
              </w:rPr>
            </w:pPr>
            <w:r>
              <w:rPr>
                <w:bCs/>
              </w:rPr>
              <w:t>Average costs per year</w:t>
            </w:r>
          </w:p>
        </w:tc>
      </w:tr>
      <w:tr w:rsidR="002B793A" w14:paraId="13B8398C" w14:textId="77777777" w:rsidTr="008C58CF">
        <w:trPr>
          <w:cnfStyle w:val="000000100000" w:firstRow="0" w:lastRow="0" w:firstColumn="0" w:lastColumn="0" w:oddVBand="0" w:evenVBand="0" w:oddHBand="1" w:evenHBand="0" w:firstRowFirstColumn="0" w:firstRowLastColumn="0" w:lastRowFirstColumn="0" w:lastRowLastColumn="0"/>
        </w:trPr>
        <w:tc>
          <w:tcPr>
            <w:tcW w:w="3686" w:type="dxa"/>
          </w:tcPr>
          <w:p w14:paraId="29A46A31" w14:textId="108D41A6" w:rsidR="002B793A" w:rsidRDefault="002B793A" w:rsidP="008C58CF">
            <w:pPr>
              <w:pStyle w:val="BodyText"/>
              <w:rPr>
                <w:bCs/>
              </w:rPr>
            </w:pPr>
            <w:r>
              <w:rPr>
                <w:bCs/>
              </w:rPr>
              <w:t>Adjusting offers to market</w:t>
            </w:r>
          </w:p>
        </w:tc>
        <w:tc>
          <w:tcPr>
            <w:tcW w:w="2551" w:type="dxa"/>
          </w:tcPr>
          <w:p w14:paraId="238A937F" w14:textId="1BB65D05" w:rsidR="002B793A" w:rsidRDefault="002B793A" w:rsidP="008C58CF">
            <w:pPr>
              <w:pStyle w:val="BodyText"/>
              <w:rPr>
                <w:bCs/>
              </w:rPr>
            </w:pPr>
            <w:r>
              <w:rPr>
                <w:bCs/>
              </w:rPr>
              <w:t>$776,393</w:t>
            </w:r>
          </w:p>
        </w:tc>
        <w:tc>
          <w:tcPr>
            <w:tcW w:w="2551" w:type="dxa"/>
          </w:tcPr>
          <w:p w14:paraId="164943BC" w14:textId="1711B13F" w:rsidR="002B793A" w:rsidRDefault="002B793A" w:rsidP="008C58CF">
            <w:pPr>
              <w:pStyle w:val="BodyText"/>
              <w:rPr>
                <w:bCs/>
              </w:rPr>
            </w:pPr>
            <w:r>
              <w:rPr>
                <w:bCs/>
              </w:rPr>
              <w:t>$77,639</w:t>
            </w:r>
          </w:p>
        </w:tc>
      </w:tr>
      <w:tr w:rsidR="002B793A" w14:paraId="18C1D114" w14:textId="77777777" w:rsidTr="008C58CF">
        <w:trPr>
          <w:cnfStyle w:val="000000010000" w:firstRow="0" w:lastRow="0" w:firstColumn="0" w:lastColumn="0" w:oddVBand="0" w:evenVBand="0" w:oddHBand="0" w:evenHBand="1" w:firstRowFirstColumn="0" w:firstRowLastColumn="0" w:lastRowFirstColumn="0" w:lastRowLastColumn="0"/>
        </w:trPr>
        <w:tc>
          <w:tcPr>
            <w:tcW w:w="3686" w:type="dxa"/>
          </w:tcPr>
          <w:p w14:paraId="1D8476D2" w14:textId="77777777" w:rsidR="002B793A" w:rsidRDefault="002B793A" w:rsidP="008C58CF">
            <w:pPr>
              <w:pStyle w:val="BodyText"/>
              <w:rPr>
                <w:bCs/>
              </w:rPr>
            </w:pPr>
            <w:r>
              <w:rPr>
                <w:bCs/>
              </w:rPr>
              <w:t>Legal compliance advice</w:t>
            </w:r>
          </w:p>
        </w:tc>
        <w:tc>
          <w:tcPr>
            <w:tcW w:w="2551" w:type="dxa"/>
          </w:tcPr>
          <w:p w14:paraId="7DCF0A49" w14:textId="0CB48259" w:rsidR="002B793A" w:rsidRPr="00CA2057" w:rsidRDefault="002B793A" w:rsidP="008C58CF">
            <w:pPr>
              <w:pStyle w:val="BodyText"/>
              <w:rPr>
                <w:bCs/>
              </w:rPr>
            </w:pPr>
            <w:r>
              <w:rPr>
                <w:bCs/>
              </w:rPr>
              <w:t>$812,500</w:t>
            </w:r>
          </w:p>
        </w:tc>
        <w:tc>
          <w:tcPr>
            <w:tcW w:w="2551" w:type="dxa"/>
          </w:tcPr>
          <w:p w14:paraId="0ACA94F9" w14:textId="1B75E491" w:rsidR="002B793A" w:rsidRPr="00CA2057" w:rsidRDefault="002B793A" w:rsidP="008C58CF">
            <w:pPr>
              <w:pStyle w:val="BodyText"/>
              <w:rPr>
                <w:bCs/>
              </w:rPr>
            </w:pPr>
            <w:r>
              <w:rPr>
                <w:bCs/>
              </w:rPr>
              <w:t>$81,250</w:t>
            </w:r>
          </w:p>
        </w:tc>
      </w:tr>
      <w:tr w:rsidR="002B793A" w14:paraId="540054D6" w14:textId="77777777" w:rsidTr="008C58CF">
        <w:trPr>
          <w:cnfStyle w:val="000000100000" w:firstRow="0" w:lastRow="0" w:firstColumn="0" w:lastColumn="0" w:oddVBand="0" w:evenVBand="0" w:oddHBand="1" w:evenHBand="0" w:firstRowFirstColumn="0" w:firstRowLastColumn="0" w:lastRowFirstColumn="0" w:lastRowLastColumn="0"/>
        </w:trPr>
        <w:tc>
          <w:tcPr>
            <w:tcW w:w="3686" w:type="dxa"/>
          </w:tcPr>
          <w:p w14:paraId="5E7E9DB7" w14:textId="77777777" w:rsidR="002B793A" w:rsidRPr="008C58CF" w:rsidRDefault="002B793A" w:rsidP="008C58CF">
            <w:pPr>
              <w:pStyle w:val="BodyText"/>
              <w:rPr>
                <w:b/>
              </w:rPr>
            </w:pPr>
            <w:r w:rsidRPr="008C58CF">
              <w:rPr>
                <w:b/>
              </w:rPr>
              <w:t>Total</w:t>
            </w:r>
          </w:p>
        </w:tc>
        <w:tc>
          <w:tcPr>
            <w:tcW w:w="2551" w:type="dxa"/>
          </w:tcPr>
          <w:p w14:paraId="3A757130" w14:textId="122722CB" w:rsidR="002B793A" w:rsidRPr="008C58CF" w:rsidRDefault="002B793A" w:rsidP="008C58CF">
            <w:pPr>
              <w:pStyle w:val="BodyText"/>
              <w:rPr>
                <w:b/>
              </w:rPr>
            </w:pPr>
            <w:r w:rsidRPr="008C58CF">
              <w:rPr>
                <w:b/>
              </w:rPr>
              <w:t>$</w:t>
            </w:r>
            <w:r>
              <w:rPr>
                <w:b/>
              </w:rPr>
              <w:t>1,588,893</w:t>
            </w:r>
          </w:p>
        </w:tc>
        <w:tc>
          <w:tcPr>
            <w:tcW w:w="2551" w:type="dxa"/>
          </w:tcPr>
          <w:p w14:paraId="46841401" w14:textId="27FDCD61" w:rsidR="002B793A" w:rsidRPr="008C58CF" w:rsidRDefault="002B793A" w:rsidP="008C58CF">
            <w:pPr>
              <w:pStyle w:val="BodyText"/>
              <w:rPr>
                <w:b/>
              </w:rPr>
            </w:pPr>
            <w:r w:rsidRPr="008C58CF">
              <w:rPr>
                <w:b/>
              </w:rPr>
              <w:t>$</w:t>
            </w:r>
            <w:r>
              <w:rPr>
                <w:b/>
              </w:rPr>
              <w:t>158,889</w:t>
            </w:r>
          </w:p>
        </w:tc>
      </w:tr>
    </w:tbl>
    <w:p w14:paraId="0680B963" w14:textId="37AF1E8A" w:rsidR="002B793A" w:rsidRDefault="002B793A" w:rsidP="002B793A">
      <w:pPr>
        <w:pStyle w:val="HeaderOdd"/>
        <w:keepNext/>
        <w:rPr>
          <w:b w:val="0"/>
          <w:bCs/>
        </w:rPr>
      </w:pPr>
    </w:p>
    <w:p w14:paraId="54335C70" w14:textId="77777777" w:rsidR="002B793A" w:rsidRPr="002B793A" w:rsidRDefault="002B793A" w:rsidP="002B793A">
      <w:pPr>
        <w:pStyle w:val="HeaderOdd"/>
        <w:keepNext/>
        <w:rPr>
          <w:b w:val="0"/>
          <w:bCs/>
        </w:rPr>
      </w:pPr>
    </w:p>
    <w:p w14:paraId="16B94D1F" w14:textId="4026CC01" w:rsidR="002B793A" w:rsidRDefault="002B793A" w:rsidP="002B793A">
      <w:pPr>
        <w:pStyle w:val="BodyText"/>
        <w:keepNext/>
        <w:rPr>
          <w:b/>
        </w:rPr>
      </w:pPr>
      <w:r>
        <w:rPr>
          <w:b/>
        </w:rPr>
        <w:t>Hours to</w:t>
      </w:r>
      <w:r w:rsidRPr="002B793A">
        <w:rPr>
          <w:b/>
        </w:rPr>
        <w:t xml:space="preserve"> adjust</w:t>
      </w:r>
      <w:r>
        <w:rPr>
          <w:b/>
        </w:rPr>
        <w:t>ed</w:t>
      </w:r>
      <w:r w:rsidRPr="002B793A">
        <w:rPr>
          <w:b/>
        </w:rPr>
        <w:t xml:space="preserve"> offers to market</w:t>
      </w:r>
    </w:p>
    <w:p w14:paraId="7FFA335F" w14:textId="13CD986B" w:rsidR="002B793A" w:rsidRDefault="002B793A" w:rsidP="002B793A">
      <w:pPr>
        <w:pStyle w:val="BodyText"/>
        <w:keepNext/>
        <w:rPr>
          <w:bCs/>
        </w:rPr>
      </w:pPr>
      <w:r>
        <w:rPr>
          <w:bCs/>
        </w:rPr>
        <w:t>It is assumed that businesses require 100 hours of labour costs to adjust their offers to the market in response to the price cap and 50 hours to adjust their offers upon expiry of the price cap.</w:t>
      </w:r>
    </w:p>
    <w:p w14:paraId="515CFAA4" w14:textId="7F39E4AE" w:rsidR="002B793A" w:rsidRDefault="002B793A" w:rsidP="002B793A">
      <w:pPr>
        <w:pStyle w:val="BodyText"/>
        <w:keepNext/>
        <w:rPr>
          <w:b/>
        </w:rPr>
      </w:pPr>
      <w:r>
        <w:rPr>
          <w:b/>
        </w:rPr>
        <w:t>Hours of legal advice required</w:t>
      </w:r>
    </w:p>
    <w:p w14:paraId="6B06EF81" w14:textId="4DCB41CF" w:rsidR="002B793A" w:rsidRDefault="002B793A" w:rsidP="002B793A">
      <w:pPr>
        <w:pStyle w:val="BodyText"/>
        <w:keepNext/>
        <w:rPr>
          <w:bCs/>
        </w:rPr>
      </w:pPr>
      <w:r>
        <w:rPr>
          <w:bCs/>
        </w:rPr>
        <w:t>It is assumed that businesses will pay for 25 hours of legal advice to assist with complying with the price cap.</w:t>
      </w:r>
    </w:p>
    <w:p w14:paraId="09A8705A" w14:textId="6AD00A0A" w:rsidR="002B793A" w:rsidRDefault="002B793A" w:rsidP="002B793A">
      <w:pPr>
        <w:pStyle w:val="BodyText"/>
        <w:keepNext/>
        <w:rPr>
          <w:b/>
        </w:rPr>
      </w:pPr>
      <w:r>
        <w:rPr>
          <w:b/>
        </w:rPr>
        <w:t>Calculations</w:t>
      </w:r>
    </w:p>
    <w:p w14:paraId="4A1E037D" w14:textId="2D3D502D" w:rsidR="002B793A" w:rsidRPr="00CF57DF" w:rsidRDefault="001025CC" w:rsidP="002B793A">
      <w:pPr>
        <w:pStyle w:val="BodyText"/>
        <w:keepNext/>
        <w:rPr>
          <w:b/>
        </w:rPr>
      </w:pPr>
      <w:r>
        <w:rPr>
          <w:b/>
        </w:rPr>
        <w:t>Table 2</w:t>
      </w:r>
      <w:r w:rsidR="004173B0">
        <w:rPr>
          <w:b/>
        </w:rPr>
        <w:t>3</w:t>
      </w:r>
      <w:r w:rsidR="006468DE" w:rsidRPr="00CF57DF">
        <w:rPr>
          <w:b/>
        </w:rPr>
        <w:t xml:space="preserve">: </w:t>
      </w:r>
      <w:r w:rsidR="002B793A" w:rsidRPr="00CF57DF">
        <w:rPr>
          <w:b/>
        </w:rPr>
        <w:t>Adjusting offers to market:</w:t>
      </w:r>
    </w:p>
    <w:p w14:paraId="51359305" w14:textId="6370954B" w:rsidR="002B793A" w:rsidRPr="002B793A" w:rsidRDefault="002B793A" w:rsidP="002B793A">
      <w:pPr>
        <w:pStyle w:val="BodyText"/>
        <w:keepNext/>
        <w:rPr>
          <w:rFonts w:eastAsiaTheme="minorEastAsia"/>
          <w:bCs/>
        </w:rPr>
      </w:pPr>
      <m:oMathPara>
        <m:oMath>
          <m:r>
            <w:rPr>
              <w:rFonts w:ascii="Cambria Math" w:hAnsi="Cambria Math"/>
            </w:rPr>
            <m:t>Adjustment costs=Numbers of businesses impacted*Adjustment time*Hourly wage rate</m:t>
          </m:r>
        </m:oMath>
      </m:oMathPara>
    </w:p>
    <w:tbl>
      <w:tblPr>
        <w:tblStyle w:val="PMCDefaultTableStyle"/>
        <w:tblW w:w="0" w:type="auto"/>
        <w:tblLook w:val="04A0" w:firstRow="1" w:lastRow="0" w:firstColumn="1" w:lastColumn="0" w:noHBand="0" w:noVBand="1"/>
      </w:tblPr>
      <w:tblGrid>
        <w:gridCol w:w="1610"/>
        <w:gridCol w:w="1897"/>
        <w:gridCol w:w="1900"/>
        <w:gridCol w:w="1792"/>
        <w:gridCol w:w="1871"/>
      </w:tblGrid>
      <w:tr w:rsidR="002B793A" w14:paraId="029331B1" w14:textId="77777777" w:rsidTr="002B793A">
        <w:trPr>
          <w:cnfStyle w:val="100000000000" w:firstRow="1" w:lastRow="0" w:firstColumn="0" w:lastColumn="0" w:oddVBand="0" w:evenVBand="0" w:oddHBand="0" w:evenHBand="0" w:firstRowFirstColumn="0" w:firstRowLastColumn="0" w:lastRowFirstColumn="0" w:lastRowLastColumn="0"/>
        </w:trPr>
        <w:tc>
          <w:tcPr>
            <w:tcW w:w="1610" w:type="dxa"/>
          </w:tcPr>
          <w:p w14:paraId="2C81C8F5" w14:textId="69BBF77A" w:rsidR="002B793A" w:rsidRDefault="002B793A" w:rsidP="008C58CF">
            <w:pPr>
              <w:pStyle w:val="BodyText"/>
              <w:rPr>
                <w:bCs/>
              </w:rPr>
            </w:pPr>
            <w:r>
              <w:rPr>
                <w:bCs/>
              </w:rPr>
              <w:t>Year</w:t>
            </w:r>
          </w:p>
        </w:tc>
        <w:tc>
          <w:tcPr>
            <w:tcW w:w="1897" w:type="dxa"/>
          </w:tcPr>
          <w:p w14:paraId="3B9E1A2C" w14:textId="2E23BFCC" w:rsidR="002B793A" w:rsidRDefault="002B793A" w:rsidP="008C58CF">
            <w:pPr>
              <w:pStyle w:val="BodyText"/>
              <w:rPr>
                <w:bCs/>
              </w:rPr>
            </w:pPr>
            <w:r>
              <w:rPr>
                <w:bCs/>
              </w:rPr>
              <w:t>Number of businesses impacted</w:t>
            </w:r>
          </w:p>
        </w:tc>
        <w:tc>
          <w:tcPr>
            <w:tcW w:w="1900" w:type="dxa"/>
          </w:tcPr>
          <w:p w14:paraId="3B5EEDCA" w14:textId="323B5135" w:rsidR="002B793A" w:rsidRDefault="002B793A" w:rsidP="008C58CF">
            <w:pPr>
              <w:pStyle w:val="BodyText"/>
              <w:rPr>
                <w:bCs/>
              </w:rPr>
            </w:pPr>
            <w:r>
              <w:rPr>
                <w:bCs/>
              </w:rPr>
              <w:t>Ad</w:t>
            </w:r>
            <w:r w:rsidR="0031138E">
              <w:rPr>
                <w:bCs/>
              </w:rPr>
              <w:t>j</w:t>
            </w:r>
            <w:r>
              <w:rPr>
                <w:bCs/>
              </w:rPr>
              <w:t>ustment time</w:t>
            </w:r>
          </w:p>
        </w:tc>
        <w:tc>
          <w:tcPr>
            <w:tcW w:w="1792" w:type="dxa"/>
          </w:tcPr>
          <w:p w14:paraId="43D53620" w14:textId="77777777" w:rsidR="002B793A" w:rsidRDefault="002B793A" w:rsidP="008C58CF">
            <w:pPr>
              <w:pStyle w:val="BodyText"/>
              <w:rPr>
                <w:bCs/>
              </w:rPr>
            </w:pPr>
            <w:r>
              <w:rPr>
                <w:bCs/>
              </w:rPr>
              <w:t>Hourly wage rate</w:t>
            </w:r>
          </w:p>
        </w:tc>
        <w:tc>
          <w:tcPr>
            <w:tcW w:w="1871" w:type="dxa"/>
          </w:tcPr>
          <w:p w14:paraId="658A37FF" w14:textId="77777777" w:rsidR="002B793A" w:rsidRDefault="002B793A" w:rsidP="008C58CF">
            <w:pPr>
              <w:pStyle w:val="BodyText"/>
              <w:rPr>
                <w:bCs/>
              </w:rPr>
            </w:pPr>
            <w:r>
              <w:rPr>
                <w:bCs/>
              </w:rPr>
              <w:t>Cost</w:t>
            </w:r>
          </w:p>
        </w:tc>
      </w:tr>
      <w:tr w:rsidR="002B793A" w14:paraId="7D0173AA" w14:textId="77777777" w:rsidTr="002B793A">
        <w:trPr>
          <w:cnfStyle w:val="000000100000" w:firstRow="0" w:lastRow="0" w:firstColumn="0" w:lastColumn="0" w:oddVBand="0" w:evenVBand="0" w:oddHBand="1" w:evenHBand="0" w:firstRowFirstColumn="0" w:firstRowLastColumn="0" w:lastRowFirstColumn="0" w:lastRowLastColumn="0"/>
        </w:trPr>
        <w:tc>
          <w:tcPr>
            <w:tcW w:w="1610" w:type="dxa"/>
          </w:tcPr>
          <w:p w14:paraId="3E2EBA91" w14:textId="7913CE9D" w:rsidR="002B793A" w:rsidRDefault="002B793A" w:rsidP="008C58CF">
            <w:pPr>
              <w:pStyle w:val="BodyText"/>
              <w:rPr>
                <w:bCs/>
              </w:rPr>
            </w:pPr>
            <w:r>
              <w:rPr>
                <w:bCs/>
              </w:rPr>
              <w:t>1</w:t>
            </w:r>
          </w:p>
        </w:tc>
        <w:tc>
          <w:tcPr>
            <w:tcW w:w="1897" w:type="dxa"/>
          </w:tcPr>
          <w:p w14:paraId="63E61709" w14:textId="0CD40E21" w:rsidR="002B793A" w:rsidRDefault="002B793A" w:rsidP="008C58CF">
            <w:pPr>
              <w:pStyle w:val="BodyText"/>
              <w:rPr>
                <w:bCs/>
              </w:rPr>
            </w:pPr>
            <w:r>
              <w:rPr>
                <w:bCs/>
              </w:rPr>
              <w:t>65</w:t>
            </w:r>
          </w:p>
        </w:tc>
        <w:tc>
          <w:tcPr>
            <w:tcW w:w="1900" w:type="dxa"/>
          </w:tcPr>
          <w:p w14:paraId="0D0E95E8" w14:textId="42FE49CA" w:rsidR="002B793A" w:rsidRDefault="002B793A" w:rsidP="008C58CF">
            <w:pPr>
              <w:pStyle w:val="BodyText"/>
              <w:rPr>
                <w:bCs/>
              </w:rPr>
            </w:pPr>
            <w:r>
              <w:rPr>
                <w:bCs/>
              </w:rPr>
              <w:t>100</w:t>
            </w:r>
          </w:p>
        </w:tc>
        <w:tc>
          <w:tcPr>
            <w:tcW w:w="1792" w:type="dxa"/>
          </w:tcPr>
          <w:p w14:paraId="0399A367" w14:textId="77777777" w:rsidR="002B793A" w:rsidRDefault="002B793A" w:rsidP="008C58CF">
            <w:pPr>
              <w:pStyle w:val="BodyText"/>
              <w:rPr>
                <w:bCs/>
              </w:rPr>
            </w:pPr>
            <w:r>
              <w:rPr>
                <w:bCs/>
              </w:rPr>
              <w:t>$79.63</w:t>
            </w:r>
          </w:p>
        </w:tc>
        <w:tc>
          <w:tcPr>
            <w:tcW w:w="1871" w:type="dxa"/>
          </w:tcPr>
          <w:p w14:paraId="381E49C9" w14:textId="6511D5DE" w:rsidR="002B793A" w:rsidRDefault="002B793A" w:rsidP="008C58CF">
            <w:pPr>
              <w:pStyle w:val="BodyText"/>
              <w:rPr>
                <w:bCs/>
              </w:rPr>
            </w:pPr>
            <w:r>
              <w:rPr>
                <w:bCs/>
              </w:rPr>
              <w:t>$517,595</w:t>
            </w:r>
          </w:p>
        </w:tc>
      </w:tr>
      <w:tr w:rsidR="002B793A" w14:paraId="218B09F9" w14:textId="77777777" w:rsidTr="002B793A">
        <w:trPr>
          <w:cnfStyle w:val="000000010000" w:firstRow="0" w:lastRow="0" w:firstColumn="0" w:lastColumn="0" w:oddVBand="0" w:evenVBand="0" w:oddHBand="0" w:evenHBand="1" w:firstRowFirstColumn="0" w:firstRowLastColumn="0" w:lastRowFirstColumn="0" w:lastRowLastColumn="0"/>
        </w:trPr>
        <w:tc>
          <w:tcPr>
            <w:tcW w:w="1610" w:type="dxa"/>
          </w:tcPr>
          <w:p w14:paraId="27C0A149" w14:textId="7F229E59" w:rsidR="002B793A" w:rsidRDefault="002B793A" w:rsidP="008C58CF">
            <w:pPr>
              <w:pStyle w:val="BodyText"/>
              <w:rPr>
                <w:bCs/>
              </w:rPr>
            </w:pPr>
            <w:r>
              <w:rPr>
                <w:bCs/>
              </w:rPr>
              <w:t>2</w:t>
            </w:r>
          </w:p>
        </w:tc>
        <w:tc>
          <w:tcPr>
            <w:tcW w:w="1897" w:type="dxa"/>
          </w:tcPr>
          <w:p w14:paraId="23F83A66" w14:textId="1B64CAAD" w:rsidR="002B793A" w:rsidRDefault="002B793A" w:rsidP="008C58CF">
            <w:pPr>
              <w:pStyle w:val="BodyText"/>
              <w:rPr>
                <w:bCs/>
              </w:rPr>
            </w:pPr>
            <w:r>
              <w:rPr>
                <w:bCs/>
              </w:rPr>
              <w:t>65</w:t>
            </w:r>
          </w:p>
        </w:tc>
        <w:tc>
          <w:tcPr>
            <w:tcW w:w="1900" w:type="dxa"/>
          </w:tcPr>
          <w:p w14:paraId="04E51C79" w14:textId="48778094" w:rsidR="002B793A" w:rsidRDefault="002B793A" w:rsidP="008C58CF">
            <w:pPr>
              <w:pStyle w:val="BodyText"/>
              <w:rPr>
                <w:bCs/>
              </w:rPr>
            </w:pPr>
            <w:r>
              <w:rPr>
                <w:bCs/>
              </w:rPr>
              <w:t>50</w:t>
            </w:r>
          </w:p>
        </w:tc>
        <w:tc>
          <w:tcPr>
            <w:tcW w:w="1792" w:type="dxa"/>
          </w:tcPr>
          <w:p w14:paraId="6481F106" w14:textId="7577C40A" w:rsidR="002B793A" w:rsidRDefault="002B793A" w:rsidP="008C58CF">
            <w:pPr>
              <w:pStyle w:val="BodyText"/>
              <w:rPr>
                <w:bCs/>
              </w:rPr>
            </w:pPr>
            <w:r>
              <w:rPr>
                <w:bCs/>
              </w:rPr>
              <w:t>$79.63</w:t>
            </w:r>
          </w:p>
        </w:tc>
        <w:tc>
          <w:tcPr>
            <w:tcW w:w="1871" w:type="dxa"/>
          </w:tcPr>
          <w:p w14:paraId="68084D51" w14:textId="3C1848DD" w:rsidR="002B793A" w:rsidRDefault="002B793A" w:rsidP="008C58CF">
            <w:pPr>
              <w:pStyle w:val="BodyText"/>
              <w:rPr>
                <w:bCs/>
              </w:rPr>
            </w:pPr>
            <w:r>
              <w:rPr>
                <w:bCs/>
              </w:rPr>
              <w:t>$258,798</w:t>
            </w:r>
          </w:p>
        </w:tc>
      </w:tr>
      <w:tr w:rsidR="002B793A" w14:paraId="0330A42B" w14:textId="77777777" w:rsidTr="002B793A">
        <w:trPr>
          <w:cnfStyle w:val="000000100000" w:firstRow="0" w:lastRow="0" w:firstColumn="0" w:lastColumn="0" w:oddVBand="0" w:evenVBand="0" w:oddHBand="1" w:evenHBand="0" w:firstRowFirstColumn="0" w:firstRowLastColumn="0" w:lastRowFirstColumn="0" w:lastRowLastColumn="0"/>
        </w:trPr>
        <w:tc>
          <w:tcPr>
            <w:tcW w:w="1610" w:type="dxa"/>
          </w:tcPr>
          <w:p w14:paraId="64C7F9D7" w14:textId="37B0C651" w:rsidR="002B793A" w:rsidRPr="002B793A" w:rsidRDefault="002B793A" w:rsidP="008C58CF">
            <w:pPr>
              <w:pStyle w:val="BodyText"/>
              <w:rPr>
                <w:b/>
              </w:rPr>
            </w:pPr>
            <w:r w:rsidRPr="002B793A">
              <w:rPr>
                <w:b/>
              </w:rPr>
              <w:lastRenderedPageBreak/>
              <w:t>Total</w:t>
            </w:r>
          </w:p>
        </w:tc>
        <w:tc>
          <w:tcPr>
            <w:tcW w:w="1897" w:type="dxa"/>
          </w:tcPr>
          <w:p w14:paraId="66C894BB" w14:textId="77777777" w:rsidR="002B793A" w:rsidRPr="002B793A" w:rsidRDefault="002B793A" w:rsidP="008C58CF">
            <w:pPr>
              <w:pStyle w:val="BodyText"/>
              <w:rPr>
                <w:b/>
              </w:rPr>
            </w:pPr>
          </w:p>
        </w:tc>
        <w:tc>
          <w:tcPr>
            <w:tcW w:w="1900" w:type="dxa"/>
          </w:tcPr>
          <w:p w14:paraId="37FEABCA" w14:textId="77777777" w:rsidR="002B793A" w:rsidRPr="002B793A" w:rsidRDefault="002B793A" w:rsidP="008C58CF">
            <w:pPr>
              <w:pStyle w:val="BodyText"/>
              <w:rPr>
                <w:b/>
              </w:rPr>
            </w:pPr>
          </w:p>
        </w:tc>
        <w:tc>
          <w:tcPr>
            <w:tcW w:w="1792" w:type="dxa"/>
          </w:tcPr>
          <w:p w14:paraId="401146C4" w14:textId="77777777" w:rsidR="002B793A" w:rsidRPr="002B793A" w:rsidRDefault="002B793A" w:rsidP="008C58CF">
            <w:pPr>
              <w:pStyle w:val="BodyText"/>
              <w:rPr>
                <w:b/>
              </w:rPr>
            </w:pPr>
          </w:p>
        </w:tc>
        <w:tc>
          <w:tcPr>
            <w:tcW w:w="1871" w:type="dxa"/>
          </w:tcPr>
          <w:p w14:paraId="71D493A2" w14:textId="5757A23C" w:rsidR="002B793A" w:rsidRPr="002B793A" w:rsidRDefault="002B793A" w:rsidP="008C58CF">
            <w:pPr>
              <w:pStyle w:val="BodyText"/>
              <w:rPr>
                <w:b/>
              </w:rPr>
            </w:pPr>
            <w:r w:rsidRPr="002B793A">
              <w:rPr>
                <w:b/>
              </w:rPr>
              <w:t>$776,393</w:t>
            </w:r>
          </w:p>
        </w:tc>
      </w:tr>
    </w:tbl>
    <w:p w14:paraId="711C50F5" w14:textId="5DC6BF4F" w:rsidR="002B793A" w:rsidRDefault="002B793A" w:rsidP="002B793A">
      <w:pPr>
        <w:pStyle w:val="BodyText"/>
        <w:keepNext/>
        <w:rPr>
          <w:bCs/>
        </w:rPr>
      </w:pPr>
    </w:p>
    <w:p w14:paraId="10306E5E" w14:textId="24398FFD" w:rsidR="002B793A" w:rsidRPr="00CF57DF" w:rsidRDefault="001025CC" w:rsidP="002B793A">
      <w:pPr>
        <w:pStyle w:val="BodyText"/>
        <w:rPr>
          <w:b/>
        </w:rPr>
      </w:pPr>
      <w:r>
        <w:rPr>
          <w:b/>
        </w:rPr>
        <w:t>Table 2</w:t>
      </w:r>
      <w:r w:rsidR="004173B0">
        <w:rPr>
          <w:b/>
        </w:rPr>
        <w:t>4</w:t>
      </w:r>
      <w:r w:rsidR="006468DE" w:rsidRPr="00CF57DF">
        <w:rPr>
          <w:b/>
        </w:rPr>
        <w:t xml:space="preserve">: </w:t>
      </w:r>
      <w:r w:rsidR="002B793A" w:rsidRPr="00CF57DF">
        <w:rPr>
          <w:b/>
        </w:rPr>
        <w:t>Costs of legal compliance advice (one-off cost in year 1):</w:t>
      </w:r>
    </w:p>
    <w:p w14:paraId="2D06C0E6" w14:textId="77777777" w:rsidR="002B793A" w:rsidRPr="00CA2057" w:rsidRDefault="002B793A" w:rsidP="002B793A">
      <w:pPr>
        <w:pStyle w:val="BodyText"/>
        <w:rPr>
          <w:rFonts w:eastAsiaTheme="minorEastAsia"/>
          <w:bCs/>
        </w:rPr>
      </w:pPr>
      <m:oMathPara>
        <m:oMath>
          <m:r>
            <w:rPr>
              <w:rFonts w:ascii="Cambria Math" w:eastAsiaTheme="minorEastAsia" w:hAnsi="Cambria Math"/>
            </w:rPr>
            <m:t>Costs of legal compliance advice =Number of businesses impacted*Hours of legal advice per business*Hourly cost of legal advice</m:t>
          </m:r>
        </m:oMath>
      </m:oMathPara>
    </w:p>
    <w:tbl>
      <w:tblPr>
        <w:tblStyle w:val="PMCDefaultTableStyle"/>
        <w:tblW w:w="0" w:type="auto"/>
        <w:tblLook w:val="04A0" w:firstRow="1" w:lastRow="0" w:firstColumn="1" w:lastColumn="0" w:noHBand="0" w:noVBand="1"/>
      </w:tblPr>
      <w:tblGrid>
        <w:gridCol w:w="2265"/>
        <w:gridCol w:w="2265"/>
        <w:gridCol w:w="2265"/>
        <w:gridCol w:w="2265"/>
      </w:tblGrid>
      <w:tr w:rsidR="002B793A" w14:paraId="17C31729" w14:textId="77777777" w:rsidTr="008C58CF">
        <w:trPr>
          <w:cnfStyle w:val="100000000000" w:firstRow="1" w:lastRow="0" w:firstColumn="0" w:lastColumn="0" w:oddVBand="0" w:evenVBand="0" w:oddHBand="0" w:evenHBand="0" w:firstRowFirstColumn="0" w:firstRowLastColumn="0" w:lastRowFirstColumn="0" w:lastRowLastColumn="0"/>
        </w:trPr>
        <w:tc>
          <w:tcPr>
            <w:tcW w:w="2265" w:type="dxa"/>
          </w:tcPr>
          <w:p w14:paraId="114F89C1" w14:textId="77777777" w:rsidR="002B793A" w:rsidRDefault="002B793A" w:rsidP="008C58CF">
            <w:pPr>
              <w:pStyle w:val="BodyText"/>
              <w:rPr>
                <w:bCs/>
              </w:rPr>
            </w:pPr>
            <w:r>
              <w:rPr>
                <w:bCs/>
              </w:rPr>
              <w:t>Number of businesses impacted</w:t>
            </w:r>
          </w:p>
        </w:tc>
        <w:tc>
          <w:tcPr>
            <w:tcW w:w="2265" w:type="dxa"/>
          </w:tcPr>
          <w:p w14:paraId="33647513" w14:textId="77777777" w:rsidR="002B793A" w:rsidRDefault="002B793A" w:rsidP="008C58CF">
            <w:pPr>
              <w:pStyle w:val="BodyText"/>
              <w:rPr>
                <w:bCs/>
              </w:rPr>
            </w:pPr>
            <w:r>
              <w:rPr>
                <w:bCs/>
              </w:rPr>
              <w:t>Hours of legal advice per business</w:t>
            </w:r>
          </w:p>
        </w:tc>
        <w:tc>
          <w:tcPr>
            <w:tcW w:w="2265" w:type="dxa"/>
          </w:tcPr>
          <w:p w14:paraId="2FEC2A14" w14:textId="77777777" w:rsidR="002B793A" w:rsidRDefault="002B793A" w:rsidP="008C58CF">
            <w:pPr>
              <w:pStyle w:val="BodyText"/>
              <w:rPr>
                <w:bCs/>
              </w:rPr>
            </w:pPr>
            <w:r>
              <w:rPr>
                <w:bCs/>
              </w:rPr>
              <w:t>Hourly costs of legal advice</w:t>
            </w:r>
          </w:p>
        </w:tc>
        <w:tc>
          <w:tcPr>
            <w:tcW w:w="2265" w:type="dxa"/>
          </w:tcPr>
          <w:p w14:paraId="12170262" w14:textId="77777777" w:rsidR="002B793A" w:rsidRDefault="002B793A" w:rsidP="008C58CF">
            <w:pPr>
              <w:pStyle w:val="BodyText"/>
              <w:rPr>
                <w:bCs/>
              </w:rPr>
            </w:pPr>
            <w:r>
              <w:rPr>
                <w:bCs/>
              </w:rPr>
              <w:t>Cost</w:t>
            </w:r>
          </w:p>
        </w:tc>
      </w:tr>
      <w:tr w:rsidR="002B793A" w14:paraId="2661EAEA" w14:textId="77777777" w:rsidTr="008C58CF">
        <w:trPr>
          <w:cnfStyle w:val="000000100000" w:firstRow="0" w:lastRow="0" w:firstColumn="0" w:lastColumn="0" w:oddVBand="0" w:evenVBand="0" w:oddHBand="1" w:evenHBand="0" w:firstRowFirstColumn="0" w:firstRowLastColumn="0" w:lastRowFirstColumn="0" w:lastRowLastColumn="0"/>
        </w:trPr>
        <w:tc>
          <w:tcPr>
            <w:tcW w:w="2265" w:type="dxa"/>
          </w:tcPr>
          <w:p w14:paraId="325C4428" w14:textId="64BA0CA4" w:rsidR="002B793A" w:rsidRDefault="002B793A" w:rsidP="008C58CF">
            <w:pPr>
              <w:pStyle w:val="BodyText"/>
              <w:rPr>
                <w:bCs/>
              </w:rPr>
            </w:pPr>
            <w:r>
              <w:rPr>
                <w:bCs/>
              </w:rPr>
              <w:t>65</w:t>
            </w:r>
          </w:p>
        </w:tc>
        <w:tc>
          <w:tcPr>
            <w:tcW w:w="2265" w:type="dxa"/>
          </w:tcPr>
          <w:p w14:paraId="18AF7838" w14:textId="40BF4CF5" w:rsidR="002B793A" w:rsidRDefault="002B793A" w:rsidP="008C58CF">
            <w:pPr>
              <w:pStyle w:val="BodyText"/>
              <w:rPr>
                <w:bCs/>
              </w:rPr>
            </w:pPr>
            <w:r>
              <w:rPr>
                <w:bCs/>
              </w:rPr>
              <w:t>25</w:t>
            </w:r>
          </w:p>
        </w:tc>
        <w:tc>
          <w:tcPr>
            <w:tcW w:w="2265" w:type="dxa"/>
          </w:tcPr>
          <w:p w14:paraId="1EA3ACF9" w14:textId="77777777" w:rsidR="002B793A" w:rsidRDefault="002B793A" w:rsidP="008C58CF">
            <w:pPr>
              <w:pStyle w:val="BodyText"/>
              <w:rPr>
                <w:bCs/>
              </w:rPr>
            </w:pPr>
            <w:r>
              <w:rPr>
                <w:bCs/>
              </w:rPr>
              <w:t>$500</w:t>
            </w:r>
          </w:p>
        </w:tc>
        <w:tc>
          <w:tcPr>
            <w:tcW w:w="2265" w:type="dxa"/>
          </w:tcPr>
          <w:p w14:paraId="082FA1E1" w14:textId="12E06BAA" w:rsidR="002B793A" w:rsidRDefault="002B793A" w:rsidP="008C58CF">
            <w:pPr>
              <w:pStyle w:val="BodyText"/>
              <w:rPr>
                <w:bCs/>
              </w:rPr>
            </w:pPr>
            <w:r>
              <w:rPr>
                <w:bCs/>
              </w:rPr>
              <w:t>$812,500</w:t>
            </w:r>
          </w:p>
        </w:tc>
      </w:tr>
    </w:tbl>
    <w:p w14:paraId="2BDB8A8D" w14:textId="12E3C685" w:rsidR="002B793A" w:rsidRDefault="002B793A" w:rsidP="002B793A">
      <w:pPr>
        <w:pStyle w:val="BodyText"/>
        <w:keepNext/>
        <w:rPr>
          <w:bCs/>
        </w:rPr>
      </w:pPr>
    </w:p>
    <w:p w14:paraId="4743A8BE" w14:textId="77777777" w:rsidR="002B793A" w:rsidRPr="002B793A" w:rsidRDefault="002B793A" w:rsidP="0080506D">
      <w:pPr>
        <w:pStyle w:val="BodyText"/>
        <w:keepNext/>
        <w:tabs>
          <w:tab w:val="center" w:pos="4513"/>
          <w:tab w:val="right" w:pos="9026"/>
        </w:tabs>
        <w:spacing w:after="0" w:line="240" w:lineRule="auto"/>
        <w:rPr>
          <w:bCs/>
        </w:rPr>
      </w:pPr>
    </w:p>
    <w:sectPr w:rsidR="002B793A" w:rsidRPr="002B793A" w:rsidSect="00772EE6">
      <w:footerReference w:type="default" r:id="rId3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67B0" w14:textId="77777777" w:rsidR="001B15D3" w:rsidRDefault="001B15D3" w:rsidP="00D94EE3">
      <w:pPr>
        <w:spacing w:after="0"/>
      </w:pPr>
      <w:r>
        <w:separator/>
      </w:r>
    </w:p>
  </w:endnote>
  <w:endnote w:type="continuationSeparator" w:id="0">
    <w:p w14:paraId="7150A6C7" w14:textId="77777777" w:rsidR="001B15D3" w:rsidRDefault="001B15D3" w:rsidP="00D94EE3">
      <w:pPr>
        <w:spacing w:after="0"/>
      </w:pPr>
      <w:r>
        <w:continuationSeparator/>
      </w:r>
    </w:p>
  </w:endnote>
  <w:endnote w:type="continuationNotice" w:id="1">
    <w:p w14:paraId="31028229" w14:textId="77777777" w:rsidR="00FB2BFC" w:rsidRDefault="00FB2B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altName w:val="Cambria Math"/>
    <w:charset w:val="00"/>
    <w:family w:val="auto"/>
    <w:pitch w:val="variable"/>
    <w:sig w:usb0="6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706402449"/>
      <w:dataBinding w:xpath="/root[1]/Classification[1]" w:storeItemID="{F533AE62-A212-4B26-92DA-A3B336E8AE06}"/>
      <w:text/>
    </w:sdtPr>
    <w:sdtEndPr/>
    <w:sdtContent>
      <w:p w14:paraId="2005E671" w14:textId="77777777" w:rsidR="00B22FC7" w:rsidRPr="00B87E45" w:rsidRDefault="00B22FC7" w:rsidP="001007B9">
        <w:pPr>
          <w:pStyle w:val="ProtectiveMarking"/>
        </w:pPr>
        <w:r>
          <w:t>Choose Classification</w:t>
        </w:r>
      </w:p>
    </w:sdtContent>
  </w:sdt>
  <w:p w14:paraId="1D6650E6" w14:textId="77777777" w:rsidR="00B22FC7" w:rsidRPr="00073D52" w:rsidRDefault="00B22FC7"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1A6BCFE9" wp14:editId="3513D731">
              <wp:simplePos x="0" y="0"/>
              <wp:positionH relativeFrom="margin">
                <wp:posOffset>6142355</wp:posOffset>
              </wp:positionH>
              <wp:positionV relativeFrom="page">
                <wp:posOffset>9950450</wp:posOffset>
              </wp:positionV>
              <wp:extent cx="332105" cy="726440"/>
              <wp:effectExtent l="0" t="0" r="10795" b="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5C3A98C" w14:textId="77777777" w:rsidR="00B22FC7" w:rsidRPr="00073D52" w:rsidRDefault="00B22FC7"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6BCFE9" id="_x0000_t202" coordsize="21600,21600" o:spt="202" path="m,l,21600r21600,l21600,xe">
              <v:stroke joinstyle="miter"/>
              <v:path gradientshapeok="t" o:connecttype="rect"/>
            </v:shapetype>
            <v:shape id="_x0000_s1030"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" filled="f" stroked="f">
              <v:textbox inset="0,0,0,0">
                <w:txbxContent>
                  <w:p w14:paraId="25C3A98C" w14:textId="77777777" w:rsidR="00B22FC7" w:rsidRPr="00073D52" w:rsidRDefault="00B22FC7"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v:textbox>
              <w10:wrap anchorx="margin" anchory="page"/>
              <w10:anchorlock/>
            </v:shape>
          </w:pict>
        </mc:Fallback>
      </mc:AlternateContent>
    </w:r>
  </w:p>
  <w:p w14:paraId="793A44D8" w14:textId="4B771FE3" w:rsidR="00B22FC7" w:rsidRDefault="00B22FC7" w:rsidP="009B4379">
    <w:pPr>
      <w:pStyle w:val="Footer"/>
      <w:spacing w:after="500"/>
      <w:contextualSpacing/>
      <w:jc w:val="left"/>
      <w:rPr>
        <w:color w:val="2C384A" w:themeColor="accent1"/>
        <w:sz w:val="16"/>
        <w:szCs w:val="16"/>
      </w:rPr>
    </w:pPr>
    <w:r w:rsidRPr="00073D52">
      <w:rPr>
        <w:color w:val="2C384A" w:themeColor="accent1"/>
      </w:rPr>
      <w:t>PM</w:t>
    </w:r>
    <w:r>
      <w:rPr>
        <w:color w:val="2C384A" w:themeColor="accent1"/>
      </w:rPr>
      <w:t>&amp;</w:t>
    </w:r>
    <w:r w:rsidRPr="00073D52">
      <w:rPr>
        <w:color w:val="2C384A" w:themeColor="accent1"/>
      </w:rPr>
      <w:t xml:space="preserve">C </w:t>
    </w:r>
    <w:r w:rsidRPr="00BC24CA">
      <w:rPr>
        <w:color w:val="2C384A" w:themeColor="accent1"/>
        <w:sz w:val="16"/>
        <w:szCs w:val="16"/>
      </w:rPr>
      <w:t>|</w:t>
    </w:r>
    <w:r w:rsidRPr="00073D52">
      <w:rPr>
        <w:color w:val="2C384A" w:themeColor="accent1"/>
      </w:rPr>
      <w:t xml:space="preserve"> </w:t>
    </w:r>
    <w:sdt>
      <w:sdtPr>
        <w:rPr>
          <w:color w:val="2C384A" w:themeColor="accent1"/>
          <w:sz w:val="16"/>
          <w:szCs w:val="16"/>
        </w:rPr>
        <w:alias w:val="Section Name"/>
        <w:tag w:val="SectionName"/>
        <w:id w:val="605542894"/>
        <w:placeholder>
          <w:docPart w:val="B42A7D2C52C14AFE95D08653E35DDE9B"/>
        </w:placeholder>
        <w:showingPlcHdr/>
        <w:text/>
      </w:sdtPr>
      <w:sdtEndPr/>
      <w:sdtContent>
        <w:r w:rsidRPr="00BC24CA">
          <w:rPr>
            <w:caps w:val="0"/>
            <w:sz w:val="16"/>
            <w:szCs w:val="16"/>
          </w:rPr>
          <w:t>[Section Name]</w:t>
        </w:r>
      </w:sdtContent>
    </w:sdt>
    <w:r>
      <w:rPr>
        <w:color w:val="2C384A" w:themeColor="accent1"/>
        <w:sz w:val="16"/>
        <w:szCs w:val="16"/>
      </w:rPr>
      <w:t xml:space="preserve">  |  </w:t>
    </w:r>
    <w:sdt>
      <w:sdtPr>
        <w:rPr>
          <w:color w:val="2C384A" w:themeColor="accent1"/>
          <w:sz w:val="16"/>
          <w:szCs w:val="16"/>
        </w:rPr>
        <w:alias w:val="Document Title"/>
        <w:tag w:val="DocumentTitle"/>
        <w:id w:val="-523643007"/>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p w14:paraId="340F27C0" w14:textId="63B844A0" w:rsidR="00B22FC7" w:rsidRPr="001007B9" w:rsidRDefault="00B22FC7" w:rsidP="00C00831">
    <w:pPr>
      <w:pStyle w:val="SecurityClassification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1686131668"/>
      <w:dataBinding w:xpath="/root[1]/Classification[1]" w:storeItemID="{F533AE62-A212-4B26-92DA-A3B336E8AE06}"/>
      <w:text/>
    </w:sdtPr>
    <w:sdtEndPr/>
    <w:sdtContent>
      <w:p w14:paraId="5FE077C7" w14:textId="244356A2" w:rsidR="00B22FC7" w:rsidRDefault="00B22FC7" w:rsidP="00917F95">
        <w:pPr>
          <w:pStyle w:val="ProtectiveMarking"/>
        </w:pPr>
        <w:r>
          <w:t>Choose Classification</w:t>
        </w:r>
      </w:p>
    </w:sdtContent>
  </w:sdt>
  <w:p w14:paraId="465F5001" w14:textId="7A067541" w:rsidR="00B22FC7" w:rsidRPr="00B87E45" w:rsidRDefault="00B22FC7" w:rsidP="00C00831">
    <w:pPr>
      <w:pStyle w:val="SecurityClassification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B98E" w14:textId="60D923A4" w:rsidR="001B2A30" w:rsidRDefault="001B2A30" w:rsidP="00C008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AE81" w14:textId="1B2D4149" w:rsidR="00D94EE3" w:rsidRDefault="00B80490" w:rsidP="00B80490">
    <w:pPr>
      <w:pStyle w:val="FooterEven"/>
      <w:jc w:val="right"/>
    </w:pPr>
    <w:r>
      <w:ptab w:relativeTo="margin" w:alignment="center" w:leader="none"/>
    </w:r>
    <w:r>
      <w:ptab w:relativeTo="margin" w:alignment="center" w:leader="none"/>
    </w:r>
    <w:r w:rsidR="00CB112A">
      <w:fldChar w:fldCharType="begin"/>
    </w:r>
    <w:r w:rsidR="00CB112A">
      <w:instrText xml:space="preserve"> STYLEREF  "Heading 1"  \* MERGEFORMAT </w:instrText>
    </w:r>
    <w:r w:rsidR="00CB112A">
      <w:fldChar w:fldCharType="separate"/>
    </w:r>
    <w:r w:rsidR="00CB112A">
      <w:t>What is the likely net benefit of each option?</w:t>
    </w:r>
    <w:r w:rsidR="00CB112A">
      <w:fldChar w:fldCharType="end"/>
    </w:r>
    <w:r>
      <w:t xml:space="preserve"> | </w:t>
    </w:r>
    <w:r>
      <w:rPr>
        <w:noProof w:val="0"/>
      </w:rPr>
      <w:fldChar w:fldCharType="begin"/>
    </w:r>
    <w:r>
      <w:instrText xml:space="preserve"> PAGE   \* MERGEFORMAT </w:instrText>
    </w:r>
    <w:r>
      <w:rPr>
        <w:noProof w:val="0"/>
      </w:rPr>
      <w:fldChar w:fldCharType="separate"/>
    </w:r>
    <w:r>
      <w:t>1</w:t>
    </w:r>
    <w:r>
      <w:fldChar w:fldCharType="end"/>
    </w:r>
  </w:p>
  <w:p w14:paraId="6C3E4CBB" w14:textId="425451AC" w:rsidR="00D94EE3" w:rsidRPr="00B80490" w:rsidRDefault="00D94EE3" w:rsidP="00C00831">
    <w:pPr>
      <w:pStyle w:val="SecurityClassification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898C" w14:textId="1338467A" w:rsidR="001C0415" w:rsidRDefault="001B2A30" w:rsidP="001B2A30">
    <w:pPr>
      <w:pStyle w:val="FooterEven"/>
      <w:jc w:val="right"/>
    </w:pPr>
    <w:r>
      <w:ptab w:relativeTo="margin" w:alignment="center" w:leader="none"/>
    </w:r>
    <w:fldSimple w:instr=" STYLEREF  &quot;Heading 1&quot;  \* MERGEFORMAT ">
      <w:r w:rsidR="00CB112A">
        <w:t>Option selection</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p w14:paraId="26512115" w14:textId="417CC9EA" w:rsidR="001C0415" w:rsidRPr="001B2A30" w:rsidRDefault="001C0415" w:rsidP="00C00831">
    <w:pPr>
      <w:pStyle w:val="SecurityClassification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6C67" w14:textId="3292BD16" w:rsidR="00494690" w:rsidRDefault="00B80490" w:rsidP="00B80490">
    <w:pPr>
      <w:pStyle w:val="FooterEven"/>
      <w:jc w:val="right"/>
    </w:pPr>
    <w:r>
      <w:ptab w:relativeTo="margin" w:alignment="center" w:leader="none"/>
    </w:r>
    <w:r>
      <w:ptab w:relativeTo="margin" w:alignment="center" w:leader="none"/>
    </w:r>
    <w:r w:rsidR="00CB112A">
      <w:fldChar w:fldCharType="begin"/>
    </w:r>
    <w:r w:rsidR="00CB112A">
      <w:instrText xml:space="preserve"> STYLEREF  "Heading 1"  \* MERGEFORMAT </w:instrText>
    </w:r>
    <w:r w:rsidR="00CB112A">
      <w:fldChar w:fldCharType="separate"/>
    </w:r>
    <w:r w:rsidR="00CB112A">
      <w:t>Consultation</w:t>
    </w:r>
    <w:r w:rsidR="00CB112A">
      <w:fldChar w:fldCharType="end"/>
    </w:r>
    <w:fldSimple w:instr=" STYLEREF  &quot;Heading 1&quot;  \* MERGEFORMAT ">
      <w:r w:rsidR="00CB112A">
        <w:t>Consultation</w:t>
      </w:r>
    </w:fldSimple>
    <w:r>
      <w:t xml:space="preserve"> | </w:t>
    </w:r>
    <w:r>
      <w:rPr>
        <w:noProof w:val="0"/>
      </w:rPr>
      <w:fldChar w:fldCharType="begin"/>
    </w:r>
    <w:r>
      <w:instrText xml:space="preserve"> PAGE   \* MERGEFORMAT </w:instrText>
    </w:r>
    <w:r>
      <w:rPr>
        <w:noProof w:val="0"/>
      </w:rPr>
      <w:fldChar w:fldCharType="separate"/>
    </w:r>
    <w:r>
      <w:t>1</w:t>
    </w:r>
    <w:r>
      <w:fldChar w:fldCharType="end"/>
    </w:r>
  </w:p>
  <w:p w14:paraId="47A994C4" w14:textId="77777777" w:rsidR="00494690" w:rsidRDefault="00494690" w:rsidP="00B80490">
    <w:pPr>
      <w:pStyle w:val="FooterEven"/>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A101" w14:textId="68E07229" w:rsidR="00494690" w:rsidRDefault="00B80490" w:rsidP="00B80490">
    <w:pPr>
      <w:pStyle w:val="FooterEven"/>
      <w:jc w:val="right"/>
    </w:pPr>
    <w:r>
      <w:ptab w:relativeTo="margin" w:alignment="center" w:leader="none"/>
    </w:r>
    <w:r>
      <w:ptab w:relativeTo="margin" w:alignment="center" w:leader="none"/>
    </w:r>
    <w:r w:rsidR="00CB112A">
      <w:fldChar w:fldCharType="begin"/>
    </w:r>
    <w:r w:rsidR="00CB112A">
      <w:instrText xml:space="preserve"> STYLEREF  "Heading 1"  \* MERGEFORMAT </w:instrText>
    </w:r>
    <w:r w:rsidR="00CB112A">
      <w:fldChar w:fldCharType="separate"/>
    </w:r>
    <w:r w:rsidR="00CB112A">
      <w:t>Appendix B: Regulatory Burden Costings</w:t>
    </w:r>
    <w:r w:rsidR="00CB112A">
      <w:fldChar w:fldCharType="end"/>
    </w:r>
    <w:fldSimple w:instr=" STYLEREF  &quot;Heading 1&quot;  \* MERGEFORMAT ">
      <w:r w:rsidR="00CB112A">
        <w:t>Appendix B: Regulatory Burden Costings</w:t>
      </w:r>
    </w:fldSimple>
    <w:r>
      <w:t xml:space="preserve"> | </w:t>
    </w:r>
    <w:r>
      <w:rPr>
        <w:noProof w:val="0"/>
      </w:rPr>
      <w:fldChar w:fldCharType="begin"/>
    </w:r>
    <w:r>
      <w:instrText xml:space="preserve"> PAGE   \* MERGEFORMAT </w:instrText>
    </w:r>
    <w:r>
      <w:rPr>
        <w:noProof w:val="0"/>
      </w:rPr>
      <w:fldChar w:fldCharType="separate"/>
    </w:r>
    <w:r>
      <w:t>1</w:t>
    </w:r>
    <w:r>
      <w:fldChar w:fldCharType="end"/>
    </w:r>
  </w:p>
  <w:p w14:paraId="227D8710" w14:textId="77777777" w:rsidR="00494690" w:rsidRDefault="00494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BD2A" w14:textId="77777777" w:rsidR="001B15D3" w:rsidRDefault="001B15D3" w:rsidP="00D94EE3">
      <w:pPr>
        <w:spacing w:after="0"/>
      </w:pPr>
      <w:r>
        <w:separator/>
      </w:r>
    </w:p>
  </w:footnote>
  <w:footnote w:type="continuationSeparator" w:id="0">
    <w:p w14:paraId="2962AE33" w14:textId="77777777" w:rsidR="001B15D3" w:rsidRDefault="001B15D3" w:rsidP="00D94EE3">
      <w:pPr>
        <w:spacing w:after="0"/>
      </w:pPr>
      <w:r>
        <w:continuationSeparator/>
      </w:r>
    </w:p>
  </w:footnote>
  <w:footnote w:type="continuationNotice" w:id="1">
    <w:p w14:paraId="25C43C3F" w14:textId="77777777" w:rsidR="00FB2BFC" w:rsidRDefault="00FB2BFC">
      <w:pPr>
        <w:spacing w:after="0"/>
      </w:pPr>
    </w:p>
  </w:footnote>
  <w:footnote w:id="2">
    <w:p w14:paraId="4B8C1799" w14:textId="2EBAAB5B" w:rsidR="003D26FB" w:rsidRPr="003D26FB" w:rsidRDefault="003D26FB">
      <w:pPr>
        <w:pStyle w:val="FootnoteText"/>
      </w:pPr>
      <w:r>
        <w:rPr>
          <w:rStyle w:val="FootnoteReference"/>
        </w:rPr>
        <w:footnoteRef/>
      </w:r>
      <w:r>
        <w:t xml:space="preserve"> AER, </w:t>
      </w:r>
      <w:r>
        <w:rPr>
          <w:i/>
          <w:iCs/>
        </w:rPr>
        <w:t>Towards energy equity: A strategy for an inclusive energy market</w:t>
      </w:r>
      <w:r>
        <w:t>, October 2022.</w:t>
      </w:r>
    </w:p>
  </w:footnote>
  <w:footnote w:id="3">
    <w:p w14:paraId="789418D8" w14:textId="4C1D6173" w:rsidR="004333B7" w:rsidRDefault="004333B7">
      <w:pPr>
        <w:pStyle w:val="FootnoteText"/>
      </w:pPr>
      <w:r>
        <w:rPr>
          <w:rStyle w:val="FootnoteReference"/>
        </w:rPr>
        <w:footnoteRef/>
      </w:r>
      <w:r>
        <w:t xml:space="preserve"> </w:t>
      </w:r>
      <w:r w:rsidR="0049618F">
        <w:t>World Bank Commodity Market Outlook, October 2022.</w:t>
      </w:r>
    </w:p>
  </w:footnote>
  <w:footnote w:id="4">
    <w:p w14:paraId="77CB424A" w14:textId="4DDCB4D6" w:rsidR="009C0B28" w:rsidRDefault="009C0B28">
      <w:pPr>
        <w:pStyle w:val="FootnoteText"/>
      </w:pPr>
      <w:r>
        <w:rPr>
          <w:rStyle w:val="FootnoteReference"/>
        </w:rPr>
        <w:footnoteRef/>
      </w:r>
      <w:r>
        <w:t xml:space="preserve"> ABS Producer Price Index, September 2022</w:t>
      </w:r>
    </w:p>
  </w:footnote>
  <w:footnote w:id="5">
    <w:p w14:paraId="0E177F0D" w14:textId="77777777" w:rsidR="006B1F5D" w:rsidRPr="0099471D" w:rsidRDefault="006B1F5D" w:rsidP="006B1F5D">
      <w:pPr>
        <w:pStyle w:val="FootnoteText"/>
        <w:rPr>
          <w:sz w:val="20"/>
          <w:szCs w:val="20"/>
        </w:rPr>
      </w:pPr>
      <w:r w:rsidRPr="0099471D">
        <w:rPr>
          <w:rStyle w:val="FootnoteReference"/>
          <w:sz w:val="20"/>
          <w:szCs w:val="20"/>
        </w:rPr>
        <w:footnoteRef/>
      </w:r>
      <w:r w:rsidRPr="0099471D">
        <w:rPr>
          <w:sz w:val="20"/>
          <w:szCs w:val="20"/>
        </w:rPr>
        <w:t xml:space="preserve"> Baseload 2024 and 2025 financial year futures, simple average of the four ASX-traded regions (NSW, Qld, Vic, SA), as of 22 November 2022</w:t>
      </w:r>
    </w:p>
  </w:footnote>
  <w:footnote w:id="6">
    <w:p w14:paraId="3671DBC8" w14:textId="77777777" w:rsidR="006B1F5D" w:rsidRDefault="006B1F5D" w:rsidP="006B1F5D">
      <w:pPr>
        <w:pStyle w:val="FootnoteText"/>
      </w:pPr>
      <w:r w:rsidRPr="0099471D">
        <w:rPr>
          <w:rStyle w:val="FootnoteReference"/>
          <w:sz w:val="20"/>
          <w:szCs w:val="20"/>
        </w:rPr>
        <w:footnoteRef/>
      </w:r>
      <w:r w:rsidRPr="0099471D">
        <w:rPr>
          <w:sz w:val="20"/>
          <w:szCs w:val="20"/>
        </w:rPr>
        <w:t xml:space="preserve"> Baseload 2024 financial year futures, simple average of the four ASX-traded regions (NSW, Qld, Vic, SA), as of 30 December 2021.</w:t>
      </w:r>
    </w:p>
  </w:footnote>
  <w:footnote w:id="7">
    <w:p w14:paraId="03020E0B" w14:textId="77777777" w:rsidR="00AD13CD" w:rsidRPr="00A217B6" w:rsidRDefault="00AD13CD" w:rsidP="00AD13CD">
      <w:pPr>
        <w:pStyle w:val="FootnoteText"/>
        <w:rPr>
          <w:sz w:val="20"/>
          <w:szCs w:val="20"/>
        </w:rPr>
      </w:pPr>
      <w:r w:rsidRPr="00A217B6">
        <w:rPr>
          <w:rStyle w:val="FootnoteReference"/>
          <w:sz w:val="20"/>
          <w:szCs w:val="20"/>
        </w:rPr>
        <w:footnoteRef/>
      </w:r>
      <w:r w:rsidRPr="00A217B6">
        <w:rPr>
          <w:sz w:val="20"/>
          <w:szCs w:val="20"/>
        </w:rPr>
        <w:t xml:space="preserve"> ACCC, </w:t>
      </w:r>
      <w:r w:rsidRPr="00A217B6">
        <w:rPr>
          <w:i/>
          <w:sz w:val="20"/>
          <w:szCs w:val="20"/>
        </w:rPr>
        <w:t>January 2023 interim report – Preliminary gas pricing</w:t>
      </w:r>
      <w:r w:rsidRPr="00A217B6">
        <w:rPr>
          <w:sz w:val="20"/>
          <w:szCs w:val="20"/>
        </w:rPr>
        <w:t xml:space="preserve">, 14 November 2022. </w:t>
      </w:r>
      <w:r>
        <w:rPr>
          <w:sz w:val="20"/>
          <w:szCs w:val="20"/>
        </w:rPr>
        <w:t xml:space="preserve">Available from </w:t>
      </w:r>
      <w:hyperlink r:id="rId1" w:history="1">
        <w:r w:rsidRPr="00A217B6">
          <w:rPr>
            <w:rStyle w:val="Hyperlink"/>
            <w:sz w:val="20"/>
            <w:szCs w:val="20"/>
          </w:rPr>
          <w:t>www.accc.gov.au</w:t>
        </w:r>
      </w:hyperlink>
      <w:r w:rsidRPr="004857B6">
        <w:rPr>
          <w:sz w:val="20"/>
          <w:szCs w:val="20"/>
        </w:rPr>
        <w:t xml:space="preserve">. </w:t>
      </w:r>
    </w:p>
  </w:footnote>
  <w:footnote w:id="8">
    <w:p w14:paraId="2EFCF5EE" w14:textId="77777777" w:rsidR="0041184C" w:rsidRPr="00F61829" w:rsidRDefault="0041184C" w:rsidP="0041184C">
      <w:pPr>
        <w:pStyle w:val="FootnoteText"/>
        <w:rPr>
          <w:sz w:val="20"/>
          <w:szCs w:val="20"/>
        </w:rPr>
      </w:pPr>
      <w:r w:rsidRPr="00F61829">
        <w:rPr>
          <w:rStyle w:val="FootnoteReference"/>
          <w:sz w:val="20"/>
          <w:szCs w:val="20"/>
        </w:rPr>
        <w:footnoteRef/>
      </w:r>
      <w:r w:rsidRPr="00F61829">
        <w:rPr>
          <w:sz w:val="20"/>
          <w:szCs w:val="20"/>
        </w:rPr>
        <w:t xml:space="preserve"> Australian Energy Regulator, </w:t>
      </w:r>
      <w:r w:rsidRPr="00F61829">
        <w:rPr>
          <w:i/>
          <w:sz w:val="20"/>
          <w:szCs w:val="20"/>
        </w:rPr>
        <w:t>State of the energy market 2022</w:t>
      </w:r>
      <w:r w:rsidRPr="00F61829">
        <w:rPr>
          <w:sz w:val="20"/>
          <w:szCs w:val="20"/>
        </w:rPr>
        <w:t>, 29 September 2022.</w:t>
      </w:r>
    </w:p>
  </w:footnote>
  <w:footnote w:id="9">
    <w:p w14:paraId="1A4B92AE" w14:textId="3730366A" w:rsidR="00B16CF2" w:rsidRDefault="00B16CF2">
      <w:pPr>
        <w:pStyle w:val="FootnoteText"/>
      </w:pPr>
      <w:r>
        <w:rPr>
          <w:rStyle w:val="FootnoteReference"/>
        </w:rPr>
        <w:footnoteRef/>
      </w:r>
      <w:r>
        <w:t xml:space="preserve"> ACCC</w:t>
      </w:r>
      <w:r w:rsidR="00F15CE6">
        <w:t>,</w:t>
      </w:r>
      <w:r>
        <w:t xml:space="preserve"> Gas Inquiry </w:t>
      </w:r>
      <w:r w:rsidR="00F15CE6">
        <w:t>I</w:t>
      </w:r>
      <w:r>
        <w:t xml:space="preserve">nterim </w:t>
      </w:r>
      <w:r w:rsidR="00F15CE6">
        <w:t>R</w:t>
      </w:r>
      <w:r>
        <w:t>eport</w:t>
      </w:r>
      <w:r w:rsidR="00F15CE6">
        <w:t>, July 2022</w:t>
      </w:r>
    </w:p>
  </w:footnote>
  <w:footnote w:id="10">
    <w:p w14:paraId="5FFCEE19" w14:textId="1DF11757" w:rsidR="00505546" w:rsidRDefault="00505546">
      <w:pPr>
        <w:pStyle w:val="FootnoteText"/>
      </w:pPr>
      <w:r>
        <w:rPr>
          <w:rStyle w:val="FootnoteReference"/>
        </w:rPr>
        <w:footnoteRef/>
      </w:r>
      <w:r>
        <w:t xml:space="preserve"> Office of Best Practice Regulation, Australian Domestic Gas Security Mechanism, November 2017.</w:t>
      </w:r>
    </w:p>
  </w:footnote>
  <w:footnote w:id="11">
    <w:p w14:paraId="026FFBB9" w14:textId="7787B06E" w:rsidR="00F15CE6" w:rsidRDefault="00F15CE6">
      <w:pPr>
        <w:pStyle w:val="FootnoteText"/>
      </w:pPr>
      <w:r>
        <w:rPr>
          <w:rStyle w:val="FootnoteReference"/>
        </w:rPr>
        <w:footnoteRef/>
      </w:r>
      <w:r>
        <w:t xml:space="preserve">The Office of Impact Analysis, ADGSM – Refining the Australian Domestic Gas Security Mechanism, October 2022 </w:t>
      </w:r>
    </w:p>
  </w:footnote>
  <w:footnote w:id="12">
    <w:p w14:paraId="4D30B07A" w14:textId="5D9BDB26" w:rsidR="0065581D" w:rsidRDefault="0065581D">
      <w:pPr>
        <w:pStyle w:val="FootnoteText"/>
      </w:pPr>
      <w:r>
        <w:rPr>
          <w:rStyle w:val="FootnoteReference"/>
        </w:rPr>
        <w:footnoteRef/>
      </w:r>
      <w:r>
        <w:t xml:space="preserve"> </w:t>
      </w:r>
      <w:hyperlink r:id="rId2" w:history="1">
        <w:r>
          <w:rPr>
            <w:rStyle w:val="Hyperlink"/>
          </w:rPr>
          <w:t>ADGSM - Refining the...~https://oia.pmc.gov.au/published-impact-analyses-and-reports/adgsm-refining-australian-domestic-gas-security-mechanism</w:t>
        </w:r>
      </w:hyperlink>
    </w:p>
  </w:footnote>
  <w:footnote w:id="13">
    <w:p w14:paraId="5D758983" w14:textId="2CF404E0" w:rsidR="00DF1902" w:rsidRPr="006850BC" w:rsidRDefault="00DF1902" w:rsidP="00DF1902">
      <w:pPr>
        <w:pStyle w:val="FootnoteText"/>
      </w:pPr>
      <w:r>
        <w:rPr>
          <w:rStyle w:val="FootnoteReference"/>
        </w:rPr>
        <w:footnoteRef/>
      </w:r>
      <w:r>
        <w:t xml:space="preserve"> ACCC 2021, </w:t>
      </w:r>
      <w:r>
        <w:rPr>
          <w:i/>
          <w:iCs/>
        </w:rPr>
        <w:t>Review of upstream competition and the timeliness of supply: Issues Paper</w:t>
      </w:r>
      <w:r>
        <w:t>, p. 6.</w:t>
      </w:r>
    </w:p>
  </w:footnote>
  <w:footnote w:id="14">
    <w:p w14:paraId="57F1F152" w14:textId="77777777" w:rsidR="00DF1902" w:rsidRDefault="00DF1902" w:rsidP="00DF1902">
      <w:pPr>
        <w:pStyle w:val="FootnoteText"/>
      </w:pPr>
      <w:r>
        <w:rPr>
          <w:rStyle w:val="FootnoteReference"/>
        </w:rPr>
        <w:footnoteRef/>
      </w:r>
      <w:r>
        <w:t xml:space="preserve"> </w:t>
      </w:r>
      <w:hyperlink r:id="rId3" w:history="1">
        <w:r>
          <w:rPr>
            <w:rStyle w:val="Hyperlink"/>
          </w:rPr>
          <w:t>Authorised retailers...~https://www.aer.gov.au/retail-markets/authorisations/public-register-of-authorised-retailers-authorisation-applications?f%5B0%5D=field_accc_aer_sector%3A5&amp;f%5B1%5D=field_accc_aer_status%3A7</w:t>
        </w:r>
      </w:hyperlink>
    </w:p>
  </w:footnote>
  <w:footnote w:id="15">
    <w:p w14:paraId="68839ABA" w14:textId="62074B35" w:rsidR="00DF1902" w:rsidRPr="009D4C59" w:rsidRDefault="00DF1902" w:rsidP="00DF1902">
      <w:pPr>
        <w:pStyle w:val="FootnoteText"/>
      </w:pPr>
      <w:r>
        <w:rPr>
          <w:rStyle w:val="FootnoteReference"/>
        </w:rPr>
        <w:footnoteRef/>
      </w:r>
      <w:r>
        <w:t xml:space="preserve"> Australian Centre for International Commercial Arbitration, </w:t>
      </w:r>
      <w:r>
        <w:rPr>
          <w:i/>
          <w:iCs/>
        </w:rPr>
        <w:t>Schedule of Fees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2090721454"/>
      <w:dataBinding w:xpath="/root[1]/Classification[1]" w:storeItemID="{F533AE62-A212-4B26-92DA-A3B336E8AE06}"/>
      <w:text/>
    </w:sdtPr>
    <w:sdtEndPr/>
    <w:sdtContent>
      <w:p w14:paraId="27F05785" w14:textId="5D9EC650" w:rsidR="00B22FC7" w:rsidRPr="00B87E45" w:rsidRDefault="00B22FC7" w:rsidP="001007B9">
        <w:pPr>
          <w:pStyle w:val="ProtectiveMarking"/>
        </w:pPr>
        <w:r>
          <w:t>Choose Classification</w:t>
        </w:r>
      </w:p>
    </w:sdtContent>
  </w:sdt>
  <w:p w14:paraId="4A5A49AE" w14:textId="77777777" w:rsidR="00B22FC7" w:rsidRPr="00073D52" w:rsidRDefault="00B22FC7" w:rsidP="001007B9">
    <w:pPr>
      <w:pStyle w:val="Footerline"/>
    </w:pPr>
  </w:p>
  <w:p w14:paraId="04C9732E" w14:textId="77777777" w:rsidR="00B22FC7" w:rsidRDefault="00B22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8D30" w14:textId="77777777" w:rsidR="00B22FC7" w:rsidRPr="00073D52" w:rsidRDefault="00B22FC7" w:rsidP="00663EAD">
    <w:pPr>
      <w:pStyle w:val="Footerline"/>
    </w:pPr>
  </w:p>
  <w:p w14:paraId="7E335774" w14:textId="77777777" w:rsidR="00B22FC7" w:rsidRDefault="00B22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844F" w14:textId="62378F20" w:rsidR="00C0677A" w:rsidRDefault="00C0677A" w:rsidP="00C00831">
    <w:pPr>
      <w:pStyle w:val="SecurityClassification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4A5E" w14:textId="1B6EB6DE" w:rsidR="00C0677A" w:rsidRDefault="00C0677A" w:rsidP="00C00831">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EBA"/>
    <w:multiLevelType w:val="multilevel"/>
    <w:tmpl w:val="60F06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CF42A8"/>
    <w:multiLevelType w:val="multilevel"/>
    <w:tmpl w:val="D0A4D5C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2"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4CE7DBC"/>
    <w:multiLevelType w:val="multilevel"/>
    <w:tmpl w:val="E848ADE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62217D"/>
    <w:multiLevelType w:val="hybridMultilevel"/>
    <w:tmpl w:val="4A3AF472"/>
    <w:lvl w:ilvl="0" w:tplc="88BAC21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ED3FC7"/>
    <w:multiLevelType w:val="multilevel"/>
    <w:tmpl w:val="1192806C"/>
    <w:styleLink w:val="BoxBulletedList"/>
    <w:lvl w:ilvl="0">
      <w:start w:val="1"/>
      <w:numFmt w:va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7" w15:restartNumberingAfterBreak="0">
    <w:nsid w:val="093B5C73"/>
    <w:multiLevelType w:val="multilevel"/>
    <w:tmpl w:val="C65086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426156"/>
    <w:multiLevelType w:val="hybridMultilevel"/>
    <w:tmpl w:val="F24CE85C"/>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0AA32F3C"/>
    <w:multiLevelType w:val="multilevel"/>
    <w:tmpl w:val="AC640E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BFB4CC0"/>
    <w:multiLevelType w:val="multilevel"/>
    <w:tmpl w:val="6BA28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69371C"/>
    <w:multiLevelType w:val="multilevel"/>
    <w:tmpl w:val="B2D40500"/>
    <w:lvl w:ilvl="0">
      <w:start w:val="1"/>
      <w:numFmt w:val="decimal"/>
      <w:pStyle w:val="List"/>
      <w:lvlText w:val="%1"/>
      <w:lvlJc w:val="left"/>
      <w:pPr>
        <w:ind w:left="403" w:hanging="288"/>
      </w:pPr>
      <w:rPr>
        <w:rFonts w:hint="default"/>
        <w:color w:val="2C384A" w:themeColor="accent1"/>
      </w:rPr>
    </w:lvl>
    <w:lvl w:ilvl="1">
      <w:start w:val="1"/>
      <w:numFmt w:val="lowerRoman"/>
      <w:lvlText w:val="%2"/>
      <w:lvlJc w:val="left"/>
      <w:pPr>
        <w:ind w:left="691" w:hanging="288"/>
      </w:pPr>
      <w:rPr>
        <w:rFonts w:hint="default"/>
        <w:color w:val="2C384A" w:themeColor="accent1"/>
      </w:rPr>
    </w:lvl>
    <w:lvl w:ilvl="2">
      <w:start w:val="1"/>
      <w:numFmt w:val="upperRoman"/>
      <w:lvlText w:val="%3"/>
      <w:lvlJc w:val="left"/>
      <w:pPr>
        <w:ind w:left="979" w:hanging="288"/>
      </w:pPr>
      <w:rPr>
        <w:rFonts w:hint="default"/>
        <w:color w:val="2C384A"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12" w15:restartNumberingAfterBreak="0">
    <w:nsid w:val="0C8A2DF2"/>
    <w:multiLevelType w:val="hybridMultilevel"/>
    <w:tmpl w:val="975C1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764D2B"/>
    <w:multiLevelType w:val="hybridMultilevel"/>
    <w:tmpl w:val="651A1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0653560"/>
    <w:multiLevelType w:val="multilevel"/>
    <w:tmpl w:val="72F8140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FC33DC"/>
    <w:multiLevelType w:val="multilevel"/>
    <w:tmpl w:val="4F747B9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AF72ED"/>
    <w:multiLevelType w:val="multilevel"/>
    <w:tmpl w:val="64D0E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4B80628"/>
    <w:multiLevelType w:val="hybridMultilevel"/>
    <w:tmpl w:val="31F6F870"/>
    <w:lvl w:ilvl="0" w:tplc="1C9E3A0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F4545E"/>
    <w:multiLevelType w:val="multilevel"/>
    <w:tmpl w:val="B1FC83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6D06071"/>
    <w:multiLevelType w:val="hybridMultilevel"/>
    <w:tmpl w:val="48D81794"/>
    <w:lvl w:ilvl="0" w:tplc="9230C1E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7166859"/>
    <w:multiLevelType w:val="multilevel"/>
    <w:tmpl w:val="DCA2C88C"/>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7DF7717"/>
    <w:multiLevelType w:val="multilevel"/>
    <w:tmpl w:val="B91AC3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060CA1"/>
    <w:multiLevelType w:val="hybridMultilevel"/>
    <w:tmpl w:val="BC929ED2"/>
    <w:lvl w:ilvl="0" w:tplc="CA7802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A352534"/>
    <w:multiLevelType w:val="multilevel"/>
    <w:tmpl w:val="E0EC83E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A028EC"/>
    <w:multiLevelType w:val="multilevel"/>
    <w:tmpl w:val="656A0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B3A3E10"/>
    <w:multiLevelType w:val="multilevel"/>
    <w:tmpl w:val="57527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1C8D7E79"/>
    <w:multiLevelType w:val="multilevel"/>
    <w:tmpl w:val="58321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745BC2"/>
    <w:multiLevelType w:val="multilevel"/>
    <w:tmpl w:val="8BC43F50"/>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bullet"/>
      <w:pStyle w:val="ListBullet3"/>
      <w:lvlText w:val="o"/>
      <w:lvlJc w:val="left"/>
      <w:pPr>
        <w:ind w:left="1106" w:hanging="369"/>
      </w:pPr>
      <w:rPr>
        <w:rFonts w:ascii="Courier New" w:hAnsi="Courier New" w:cs="Courier New" w:hint="default"/>
      </w:r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29" w15:restartNumberingAfterBreak="0">
    <w:nsid w:val="20692358"/>
    <w:multiLevelType w:val="multilevel"/>
    <w:tmpl w:val="3A648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0E64D22"/>
    <w:multiLevelType w:val="hybridMultilevel"/>
    <w:tmpl w:val="14D800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0EF266E"/>
    <w:multiLevelType w:val="multilevel"/>
    <w:tmpl w:val="17A45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26F2CB8"/>
    <w:multiLevelType w:val="multilevel"/>
    <w:tmpl w:val="92D43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2DB693A"/>
    <w:multiLevelType w:val="multilevel"/>
    <w:tmpl w:val="5E58B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7854A54"/>
    <w:multiLevelType w:val="hybridMultilevel"/>
    <w:tmpl w:val="289EA9A2"/>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6" w15:restartNumberingAfterBreak="0">
    <w:nsid w:val="27FD3CA7"/>
    <w:multiLevelType w:val="multilevel"/>
    <w:tmpl w:val="117E5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89F183C"/>
    <w:multiLevelType w:val="multilevel"/>
    <w:tmpl w:val="EB70B140"/>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A466950"/>
    <w:multiLevelType w:val="hybridMultilevel"/>
    <w:tmpl w:val="C2EA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A955F3A"/>
    <w:multiLevelType w:val="hybridMultilevel"/>
    <w:tmpl w:val="F1E68396"/>
    <w:lvl w:ilvl="0" w:tplc="7DF007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E25460"/>
    <w:multiLevelType w:val="hybridMultilevel"/>
    <w:tmpl w:val="ADD65E4A"/>
    <w:lvl w:ilvl="0" w:tplc="D58CFBC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EEB3303"/>
    <w:multiLevelType w:val="multilevel"/>
    <w:tmpl w:val="8A9E42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30892F24"/>
    <w:multiLevelType w:val="hybridMultilevel"/>
    <w:tmpl w:val="487E680A"/>
    <w:lvl w:ilvl="0" w:tplc="1A50D7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8C2710"/>
    <w:multiLevelType w:val="multilevel"/>
    <w:tmpl w:val="72F8140E"/>
    <w:styleLink w:val="BulletedList"/>
    <w:lvl w:ilvl="0">
      <w:start w:val="1"/>
      <w:numFmt w:val="decimal"/>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0E75C50"/>
    <w:multiLevelType w:val="multilevel"/>
    <w:tmpl w:val="68A4E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238442C"/>
    <w:multiLevelType w:val="multilevel"/>
    <w:tmpl w:val="20C6D62C"/>
    <w:lvl w:ilvl="0">
      <w:start w:val="1"/>
      <w:numFmt w:val="lowerLetter"/>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30C16AD"/>
    <w:multiLevelType w:val="multilevel"/>
    <w:tmpl w:val="99B09908"/>
    <w:lvl w:ilvl="0">
      <w:start w:val="1"/>
      <w:numFmt w:val="decimal"/>
      <w:lvlText w:val="%1."/>
      <w:lvlJc w:val="left"/>
      <w:pPr>
        <w:ind w:left="567" w:hanging="283"/>
      </w:pPr>
      <w:rPr>
        <w:rFonts w:hint="default"/>
      </w:rPr>
    </w:lvl>
    <w:lvl w:ilvl="1">
      <w:start w:val="1"/>
      <w:numFmt w:val="lowerLetter"/>
      <w:lvlText w:val="%2."/>
      <w:lvlJc w:val="left"/>
      <w:pPr>
        <w:ind w:left="1021" w:hanging="283"/>
      </w:pPr>
      <w:rPr>
        <w:rFonts w:hint="default"/>
      </w:rPr>
    </w:lvl>
    <w:lvl w:ilvl="2">
      <w:start w:val="1"/>
      <w:numFmt w:val="lowerRoman"/>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7" w15:restartNumberingAfterBreak="0">
    <w:nsid w:val="335B5F8D"/>
    <w:multiLevelType w:val="multilevel"/>
    <w:tmpl w:val="DB20F1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47F2B21"/>
    <w:multiLevelType w:val="hybridMultilevel"/>
    <w:tmpl w:val="C5468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3560629E"/>
    <w:multiLevelType w:val="hybridMultilevel"/>
    <w:tmpl w:val="8CEA76E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7520959"/>
    <w:multiLevelType w:val="multilevel"/>
    <w:tmpl w:val="E89AFFE0"/>
    <w:lvl w:ilvl="0">
      <w:start w:val="1"/>
      <w:numFmt w:val="decimal"/>
      <w:pStyle w:val="OutlineNumbered1"/>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1" w15:restartNumberingAfterBreak="0">
    <w:nsid w:val="376C759B"/>
    <w:multiLevelType w:val="multilevel"/>
    <w:tmpl w:val="116CA8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7B67DD9"/>
    <w:multiLevelType w:val="multilevel"/>
    <w:tmpl w:val="8CD07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391770C0"/>
    <w:multiLevelType w:val="hybridMultilevel"/>
    <w:tmpl w:val="734CB202"/>
    <w:lvl w:ilvl="0" w:tplc="7D9087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E631EEA"/>
    <w:multiLevelType w:val="multilevel"/>
    <w:tmpl w:val="4CE210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40815E3D"/>
    <w:multiLevelType w:val="multilevel"/>
    <w:tmpl w:val="21A40F5A"/>
    <w:lvl w:ilvl="0">
      <w:start w:val="1"/>
      <w:numFmt w:val="decimal"/>
      <w:pStyle w:val="TableNumb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832A1A"/>
    <w:multiLevelType w:val="hybridMultilevel"/>
    <w:tmpl w:val="54440464"/>
    <w:lvl w:ilvl="0" w:tplc="99A27CFC">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5895885"/>
    <w:multiLevelType w:val="hybridMultilevel"/>
    <w:tmpl w:val="E3EEA72E"/>
    <w:lvl w:ilvl="0" w:tplc="20DC0378">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47623776"/>
    <w:multiLevelType w:val="hybridMultilevel"/>
    <w:tmpl w:val="4E0CB2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9" w15:restartNumberingAfterBreak="0">
    <w:nsid w:val="479974EE"/>
    <w:multiLevelType w:val="multilevel"/>
    <w:tmpl w:val="53F8E3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899549E"/>
    <w:multiLevelType w:val="hybridMultilevel"/>
    <w:tmpl w:val="ABEE35D4"/>
    <w:styleLink w:val="OutlineList"/>
    <w:lvl w:ilvl="0" w:tplc="324CFE28">
      <w:start w:val="1"/>
      <w:numFmt w:val="lowerLetter"/>
      <w:pStyle w:val="BulletedListlvl1"/>
      <w:lvlText w:val="(%1)"/>
      <w:lvlJc w:val="left"/>
      <w:pPr>
        <w:ind w:left="802" w:hanging="405"/>
      </w:pPr>
      <w:rPr>
        <w:rFonts w:hint="default"/>
      </w:rPr>
    </w:lvl>
    <w:lvl w:ilvl="1" w:tplc="CF965906">
      <w:start w:val="1"/>
      <w:numFmt w:val="lowerLetter"/>
      <w:pStyle w:val="BulletedListlvl2"/>
      <w:lvlText w:val="%2."/>
      <w:lvlJc w:val="left"/>
      <w:pPr>
        <w:ind w:left="1477" w:hanging="360"/>
      </w:pPr>
    </w:lvl>
    <w:lvl w:ilvl="2" w:tplc="C77A4EC4" w:tentative="1">
      <w:start w:val="1"/>
      <w:numFmt w:val="lowerRoman"/>
      <w:pStyle w:val="BulletedListlvl3"/>
      <w:lvlText w:val="%3."/>
      <w:lvlJc w:val="right"/>
      <w:pPr>
        <w:ind w:left="2197" w:hanging="180"/>
      </w:pPr>
    </w:lvl>
    <w:lvl w:ilvl="3" w:tplc="2B1EAB64" w:tentative="1">
      <w:start w:val="1"/>
      <w:numFmt w:val="decimal"/>
      <w:lvlText w:val="%4."/>
      <w:lvlJc w:val="left"/>
      <w:pPr>
        <w:ind w:left="2917" w:hanging="360"/>
      </w:pPr>
    </w:lvl>
    <w:lvl w:ilvl="4" w:tplc="CB9219C6" w:tentative="1">
      <w:start w:val="1"/>
      <w:numFmt w:val="lowerLetter"/>
      <w:lvlText w:val="%5."/>
      <w:lvlJc w:val="left"/>
      <w:pPr>
        <w:ind w:left="3637" w:hanging="360"/>
      </w:pPr>
    </w:lvl>
    <w:lvl w:ilvl="5" w:tplc="1DD2617E" w:tentative="1">
      <w:start w:val="1"/>
      <w:numFmt w:val="lowerRoman"/>
      <w:lvlText w:val="%6."/>
      <w:lvlJc w:val="right"/>
      <w:pPr>
        <w:ind w:left="4357" w:hanging="180"/>
      </w:pPr>
    </w:lvl>
    <w:lvl w:ilvl="6" w:tplc="793C6E68" w:tentative="1">
      <w:start w:val="1"/>
      <w:numFmt w:val="decimal"/>
      <w:lvlText w:val="%7."/>
      <w:lvlJc w:val="left"/>
      <w:pPr>
        <w:ind w:left="5077" w:hanging="360"/>
      </w:pPr>
    </w:lvl>
    <w:lvl w:ilvl="7" w:tplc="2CAC0E16" w:tentative="1">
      <w:start w:val="1"/>
      <w:numFmt w:val="lowerLetter"/>
      <w:lvlText w:val="%8."/>
      <w:lvlJc w:val="left"/>
      <w:pPr>
        <w:ind w:left="5797" w:hanging="360"/>
      </w:pPr>
    </w:lvl>
    <w:lvl w:ilvl="8" w:tplc="B4CC7B12" w:tentative="1">
      <w:start w:val="1"/>
      <w:numFmt w:val="lowerRoman"/>
      <w:lvlText w:val="%9."/>
      <w:lvlJc w:val="right"/>
      <w:pPr>
        <w:ind w:left="6517" w:hanging="180"/>
      </w:pPr>
    </w:lvl>
  </w:abstractNum>
  <w:abstractNum w:abstractNumId="61" w15:restartNumberingAfterBreak="0">
    <w:nsid w:val="48C14DBB"/>
    <w:multiLevelType w:val="hybridMultilevel"/>
    <w:tmpl w:val="9B3EFFAA"/>
    <w:lvl w:ilvl="0" w:tplc="0C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4966105A"/>
    <w:multiLevelType w:val="multilevel"/>
    <w:tmpl w:val="F7B441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4B542341"/>
    <w:multiLevelType w:val="hybridMultilevel"/>
    <w:tmpl w:val="C936A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4CDD7FA7"/>
    <w:multiLevelType w:val="multilevel"/>
    <w:tmpl w:val="1A769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4DF6130B"/>
    <w:multiLevelType w:val="multilevel"/>
    <w:tmpl w:val="5F0A8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67" w15:restartNumberingAfterBreak="0">
    <w:nsid w:val="510D2021"/>
    <w:multiLevelType w:val="multilevel"/>
    <w:tmpl w:val="ABEE35D4"/>
    <w:numStyleLink w:val="OutlineList"/>
  </w:abstractNum>
  <w:abstractNum w:abstractNumId="68" w15:restartNumberingAfterBreak="0">
    <w:nsid w:val="520D14D4"/>
    <w:multiLevelType w:val="hybridMultilevel"/>
    <w:tmpl w:val="96E20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52F13851"/>
    <w:multiLevelType w:val="hybridMultilevel"/>
    <w:tmpl w:val="72468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4691259"/>
    <w:multiLevelType w:val="multilevel"/>
    <w:tmpl w:val="22C8D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4F7416C"/>
    <w:multiLevelType w:val="hybridMultilevel"/>
    <w:tmpl w:val="299E0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57EF419C"/>
    <w:multiLevelType w:val="multilevel"/>
    <w:tmpl w:val="9F564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9781311"/>
    <w:multiLevelType w:val="multilevel"/>
    <w:tmpl w:val="52E20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59A8541D"/>
    <w:multiLevelType w:val="hybridMultilevel"/>
    <w:tmpl w:val="31EEEA16"/>
    <w:lvl w:ilvl="0" w:tplc="0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5B5521F3"/>
    <w:multiLevelType w:val="hybridMultilevel"/>
    <w:tmpl w:val="33E66A92"/>
    <w:lvl w:ilvl="0" w:tplc="8FE0EA6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D5D0856"/>
    <w:multiLevelType w:val="multilevel"/>
    <w:tmpl w:val="F24E2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5DDF021B"/>
    <w:multiLevelType w:val="multilevel"/>
    <w:tmpl w:val="E5B4D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F035387"/>
    <w:multiLevelType w:val="multilevel"/>
    <w:tmpl w:val="31BC6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5F4948A9"/>
    <w:multiLevelType w:val="hybridMultilevel"/>
    <w:tmpl w:val="03227434"/>
    <w:lvl w:ilvl="0" w:tplc="CFEE67FE">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F576922"/>
    <w:multiLevelType w:val="multilevel"/>
    <w:tmpl w:val="EF72936E"/>
    <w:styleLink w:val="ChartandTableFootnoteAlpha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1" w15:restartNumberingAfterBreak="0">
    <w:nsid w:val="5FD67085"/>
    <w:multiLevelType w:val="hybridMultilevel"/>
    <w:tmpl w:val="FE7ED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06E37A8"/>
    <w:multiLevelType w:val="multilevel"/>
    <w:tmpl w:val="1D582ABA"/>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08F21F8"/>
    <w:multiLevelType w:val="multilevel"/>
    <w:tmpl w:val="8A0EA9B2"/>
    <w:lvl w:ilvl="0">
      <w:start w:val="1"/>
      <w:numFmt w:val="bullet"/>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cs="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4" w15:restartNumberingAfterBreak="0">
    <w:nsid w:val="670B5855"/>
    <w:multiLevelType w:val="multilevel"/>
    <w:tmpl w:val="186430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678B7C72"/>
    <w:multiLevelType w:val="hybridMultilevel"/>
    <w:tmpl w:val="E1B43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82E0422"/>
    <w:multiLevelType w:val="multilevel"/>
    <w:tmpl w:val="6F5EE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6A254A74"/>
    <w:multiLevelType w:val="hybridMultilevel"/>
    <w:tmpl w:val="7CD8F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8" w15:restartNumberingAfterBreak="0">
    <w:nsid w:val="6D2853C6"/>
    <w:multiLevelType w:val="hybridMultilevel"/>
    <w:tmpl w:val="E6C8265A"/>
    <w:lvl w:ilvl="0" w:tplc="B6DC89E0">
      <w:start w:val="1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F2D5752"/>
    <w:multiLevelType w:val="multilevel"/>
    <w:tmpl w:val="3CCE07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72EF1E09"/>
    <w:multiLevelType w:val="multilevel"/>
    <w:tmpl w:val="99B09908"/>
    <w:styleLink w:val="OneLevelList"/>
    <w:lvl w:ilvl="0">
      <w:start w:val="1"/>
      <w:numFmt w:val="decimal"/>
      <w:lvlText w:val="%1."/>
      <w:lvlJc w:val="left"/>
      <w:pPr>
        <w:ind w:left="567" w:hanging="283"/>
      </w:pPr>
      <w:rPr>
        <w:rFonts w:hint="default"/>
      </w:rPr>
    </w:lvl>
    <w:lvl w:ilvl="1">
      <w:start w:val="1"/>
      <w:numFmt w:val="lowerLetter"/>
      <w:lvlText w:val="%2."/>
      <w:lvlJc w:val="left"/>
      <w:pPr>
        <w:ind w:left="1021" w:hanging="283"/>
      </w:pPr>
      <w:rPr>
        <w:rFonts w:hint="default"/>
      </w:rPr>
    </w:lvl>
    <w:lvl w:ilvl="2">
      <w:start w:val="1"/>
      <w:numFmt w:val="lowerRoman"/>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1"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3235A47"/>
    <w:multiLevelType w:val="multilevel"/>
    <w:tmpl w:val="379E29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736A6B07"/>
    <w:multiLevelType w:val="multilevel"/>
    <w:tmpl w:val="1192806C"/>
    <w:lvl w:ilvl="0">
      <w:start w:val="1"/>
      <w:numFmt w:va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94" w15:restartNumberingAfterBreak="0">
    <w:nsid w:val="73FB3A73"/>
    <w:multiLevelType w:val="multilevel"/>
    <w:tmpl w:val="24A681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741B6DAA"/>
    <w:multiLevelType w:val="multilevel"/>
    <w:tmpl w:val="D0387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753E230F"/>
    <w:multiLevelType w:val="hybridMultilevel"/>
    <w:tmpl w:val="E2E60E00"/>
    <w:lvl w:ilvl="0" w:tplc="539266AA">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6457562"/>
    <w:multiLevelType w:val="hybridMultilevel"/>
    <w:tmpl w:val="2422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6AB5D3A"/>
    <w:multiLevelType w:val="multilevel"/>
    <w:tmpl w:val="6840C958"/>
    <w:lvl w:ilvl="0">
      <w:start w:val="1"/>
      <w:numFmt w:val="decimal"/>
      <w:pStyle w:val="CABRecommendations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8B16110"/>
    <w:multiLevelType w:val="multilevel"/>
    <w:tmpl w:val="6156AF6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27" w:hanging="360"/>
      </w:pPr>
    </w:lvl>
    <w:lvl w:ilvl="7">
      <w:start w:val="1"/>
      <w:numFmt w:val="lowerLetter"/>
      <w:lvlText w:val="%8."/>
      <w:lvlJc w:val="left"/>
      <w:pPr>
        <w:ind w:left="1636" w:hanging="360"/>
      </w:pPr>
    </w:lvl>
    <w:lvl w:ilvl="8">
      <w:start w:val="1"/>
      <w:numFmt w:val="lowerRoman"/>
      <w:lvlText w:val="%9."/>
      <w:lvlJc w:val="left"/>
      <w:pPr>
        <w:ind w:left="3240" w:hanging="360"/>
      </w:pPr>
    </w:lvl>
  </w:abstractNum>
  <w:abstractNum w:abstractNumId="100" w15:restartNumberingAfterBreak="0">
    <w:nsid w:val="78BE6571"/>
    <w:multiLevelType w:val="hybridMultilevel"/>
    <w:tmpl w:val="BD62D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D002F31"/>
    <w:multiLevelType w:val="multilevel"/>
    <w:tmpl w:val="97B68D4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9"/>
  </w:num>
  <w:num w:numId="3">
    <w:abstractNumId w:val="39"/>
  </w:num>
  <w:num w:numId="4">
    <w:abstractNumId w:val="34"/>
  </w:num>
  <w:num w:numId="5">
    <w:abstractNumId w:val="6"/>
  </w:num>
  <w:num w:numId="6">
    <w:abstractNumId w:val="43"/>
  </w:num>
  <w:num w:numId="7">
    <w:abstractNumId w:val="45"/>
  </w:num>
  <w:num w:numId="8">
    <w:abstractNumId w:val="21"/>
  </w:num>
  <w:num w:numId="9">
    <w:abstractNumId w:val="46"/>
  </w:num>
  <w:num w:numId="10">
    <w:abstractNumId w:val="67"/>
  </w:num>
  <w:num w:numId="11">
    <w:abstractNumId w:val="14"/>
  </w:num>
  <w:num w:numId="12">
    <w:abstractNumId w:val="57"/>
  </w:num>
  <w:num w:numId="13">
    <w:abstractNumId w:val="88"/>
  </w:num>
  <w:num w:numId="14">
    <w:abstractNumId w:val="22"/>
  </w:num>
  <w:num w:numId="15">
    <w:abstractNumId w:val="96"/>
  </w:num>
  <w:num w:numId="16">
    <w:abstractNumId w:val="12"/>
  </w:num>
  <w:num w:numId="17">
    <w:abstractNumId w:val="53"/>
  </w:num>
  <w:num w:numId="18">
    <w:abstractNumId w:val="30"/>
  </w:num>
  <w:num w:numId="19">
    <w:abstractNumId w:val="1"/>
  </w:num>
  <w:num w:numId="20">
    <w:abstractNumId w:val="27"/>
  </w:num>
  <w:num w:numId="21">
    <w:abstractNumId w:val="80"/>
  </w:num>
  <w:num w:numId="22">
    <w:abstractNumId w:val="50"/>
  </w:num>
  <w:num w:numId="23">
    <w:abstractNumId w:val="91"/>
  </w:num>
  <w:num w:numId="24">
    <w:abstractNumId w:val="83"/>
  </w:num>
  <w:num w:numId="25">
    <w:abstractNumId w:val="11"/>
  </w:num>
  <w:num w:numId="26">
    <w:abstractNumId w:val="66"/>
  </w:num>
  <w:num w:numId="27">
    <w:abstractNumId w:val="93"/>
  </w:num>
  <w:num w:numId="28">
    <w:abstractNumId w:val="3"/>
  </w:num>
  <w:num w:numId="29">
    <w:abstractNumId w:val="90"/>
  </w:num>
  <w:num w:numId="30">
    <w:abstractNumId w:val="13"/>
  </w:num>
  <w:num w:numId="31">
    <w:abstractNumId w:val="71"/>
  </w:num>
  <w:num w:numId="32">
    <w:abstractNumId w:val="60"/>
  </w:num>
  <w:num w:numId="33">
    <w:abstractNumId w:val="63"/>
  </w:num>
  <w:num w:numId="34">
    <w:abstractNumId w:val="42"/>
  </w:num>
  <w:num w:numId="35">
    <w:abstractNumId w:val="79"/>
  </w:num>
  <w:num w:numId="36">
    <w:abstractNumId w:val="87"/>
  </w:num>
  <w:num w:numId="37">
    <w:abstractNumId w:val="68"/>
  </w:num>
  <w:num w:numId="38">
    <w:abstractNumId w:val="65"/>
  </w:num>
  <w:num w:numId="39">
    <w:abstractNumId w:val="26"/>
  </w:num>
  <w:num w:numId="40">
    <w:abstractNumId w:val="82"/>
  </w:num>
  <w:num w:numId="41">
    <w:abstractNumId w:val="20"/>
  </w:num>
  <w:num w:numId="42">
    <w:abstractNumId w:val="16"/>
  </w:num>
  <w:num w:numId="43">
    <w:abstractNumId w:val="72"/>
  </w:num>
  <w:num w:numId="44">
    <w:abstractNumId w:val="81"/>
  </w:num>
  <w:num w:numId="45">
    <w:abstractNumId w:val="9"/>
  </w:num>
  <w:num w:numId="46">
    <w:abstractNumId w:val="64"/>
  </w:num>
  <w:num w:numId="47">
    <w:abstractNumId w:val="10"/>
  </w:num>
  <w:num w:numId="48">
    <w:abstractNumId w:val="89"/>
  </w:num>
  <w:num w:numId="49">
    <w:abstractNumId w:val="73"/>
  </w:num>
  <w:num w:numId="50">
    <w:abstractNumId w:val="37"/>
  </w:num>
  <w:num w:numId="51">
    <w:abstractNumId w:val="55"/>
  </w:num>
  <w:num w:numId="52">
    <w:abstractNumId w:val="24"/>
  </w:num>
  <w:num w:numId="53">
    <w:abstractNumId w:val="98"/>
  </w:num>
  <w:num w:numId="54">
    <w:abstractNumId w:val="84"/>
  </w:num>
  <w:num w:numId="55">
    <w:abstractNumId w:val="40"/>
  </w:num>
  <w:num w:numId="56">
    <w:abstractNumId w:val="17"/>
  </w:num>
  <w:num w:numId="57">
    <w:abstractNumId w:val="19"/>
  </w:num>
  <w:num w:numId="58">
    <w:abstractNumId w:val="49"/>
  </w:num>
  <w:num w:numId="59">
    <w:abstractNumId w:val="8"/>
  </w:num>
  <w:num w:numId="60">
    <w:abstractNumId w:val="74"/>
  </w:num>
  <w:num w:numId="61">
    <w:abstractNumId w:val="61"/>
  </w:num>
  <w:num w:numId="62">
    <w:abstractNumId w:val="4"/>
  </w:num>
  <w:num w:numId="63">
    <w:abstractNumId w:val="23"/>
  </w:num>
  <w:num w:numId="64">
    <w:abstractNumId w:val="56"/>
  </w:num>
  <w:num w:numId="65">
    <w:abstractNumId w:val="58"/>
  </w:num>
  <w:num w:numId="66">
    <w:abstractNumId w:val="5"/>
  </w:num>
  <w:num w:numId="67">
    <w:abstractNumId w:val="101"/>
  </w:num>
  <w:num w:numId="68">
    <w:abstractNumId w:val="32"/>
  </w:num>
  <w:num w:numId="69">
    <w:abstractNumId w:val="36"/>
  </w:num>
  <w:num w:numId="70">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 w:ilvl="0">
        <w:start w:val="1"/>
        <w:numFmt w:val="decimal"/>
        <w:pStyle w:val="OutlineNumbered1"/>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74">
    <w:abstractNumId w:val="50"/>
    <w:lvlOverride w:ilvl="0">
      <w:startOverride w:val="1"/>
      <w:lvl w:ilvl="0">
        <w:start w:val="1"/>
        <w:numFmt w:val="decimal"/>
        <w:pStyle w:val="OutlineNumbered1"/>
        <w:lvlText w:val="%1."/>
        <w:lvlJc w:val="left"/>
        <w:pPr>
          <w:ind w:left="397" w:hanging="397"/>
        </w:pPr>
        <w:rPr>
          <w:rFonts w:hint="default"/>
          <w:color w:val="F0AE8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75">
    <w:abstractNumId w:val="50"/>
    <w:lvlOverride w:ilvl="0">
      <w:startOverride w:val="1"/>
      <w:lvl w:ilvl="0">
        <w:start w:val="1"/>
        <w:numFmt w:val="decimal"/>
        <w:pStyle w:val="OutlineNumbered1"/>
        <w:lvlText w:val="%1."/>
        <w:lvlJc w:val="left"/>
        <w:pPr>
          <w:ind w:left="284" w:hanging="284"/>
        </w:pPr>
        <w:rPr>
          <w:rFonts w:asciiTheme="minorHAnsi" w:hAnsiTheme="minorHAnsi" w:hint="default"/>
          <w:color w:val="5F5F5F"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76">
    <w:abstractNumId w:val="62"/>
  </w:num>
  <w:num w:numId="77">
    <w:abstractNumId w:val="25"/>
  </w:num>
  <w:num w:numId="78">
    <w:abstractNumId w:val="31"/>
  </w:num>
  <w:num w:numId="79">
    <w:abstractNumId w:val="29"/>
  </w:num>
  <w:num w:numId="80">
    <w:abstractNumId w:val="92"/>
  </w:num>
  <w:num w:numId="81">
    <w:abstractNumId w:val="94"/>
  </w:num>
  <w:num w:numId="82">
    <w:abstractNumId w:val="7"/>
  </w:num>
  <w:num w:numId="83">
    <w:abstractNumId w:val="59"/>
  </w:num>
  <w:num w:numId="84">
    <w:abstractNumId w:val="41"/>
  </w:num>
  <w:num w:numId="85">
    <w:abstractNumId w:val="86"/>
  </w:num>
  <w:num w:numId="86">
    <w:abstractNumId w:val="33"/>
  </w:num>
  <w:num w:numId="87">
    <w:abstractNumId w:val="77"/>
  </w:num>
  <w:num w:numId="88">
    <w:abstractNumId w:val="95"/>
  </w:num>
  <w:num w:numId="89">
    <w:abstractNumId w:val="78"/>
  </w:num>
  <w:num w:numId="90">
    <w:abstractNumId w:val="18"/>
  </w:num>
  <w:num w:numId="91">
    <w:abstractNumId w:val="47"/>
  </w:num>
  <w:num w:numId="92">
    <w:abstractNumId w:val="0"/>
  </w:num>
  <w:num w:numId="93">
    <w:abstractNumId w:val="54"/>
  </w:num>
  <w:num w:numId="94">
    <w:abstractNumId w:val="52"/>
  </w:num>
  <w:num w:numId="95">
    <w:abstractNumId w:val="76"/>
  </w:num>
  <w:num w:numId="96">
    <w:abstractNumId w:val="51"/>
  </w:num>
  <w:num w:numId="97">
    <w:abstractNumId w:val="70"/>
  </w:num>
  <w:num w:numId="98">
    <w:abstractNumId w:val="45"/>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9">
    <w:abstractNumId w:val="45"/>
    <w:lvlOverride w:ilvl="0">
      <w:lvl w:ilvl="0">
        <w:start w:val="1"/>
        <w:numFmt w:val="lowerLetter"/>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0">
    <w:abstractNumId w:val="83"/>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01">
    <w:abstractNumId w:val="83"/>
    <w:lvlOverride w:ilvl="0">
      <w:lvl w:ilvl="0">
        <w:start w:val="1"/>
        <w:numFmt w:val="bullet"/>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2">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3"/>
    <w:lvlOverride w:ilvl="0">
      <w:lvl w:ilvl="0">
        <w:start w:val="1"/>
        <w:numFmt w:val="decimal"/>
        <w:lvlText w:val=""/>
        <w:lvlJc w:val="left"/>
        <w:pPr>
          <w:ind w:left="567" w:hanging="283"/>
        </w:pPr>
        <w:rPr>
          <w:rFonts w:ascii="Symbol" w:hAnsi="Symbol" w:hint="default"/>
          <w:color w:val="404040" w:themeColor="text1" w:themeTint="BF"/>
        </w:rPr>
      </w:lvl>
    </w:lvlOverride>
    <w:lvlOverride w:ilvl="1">
      <w:lvl w:ilvl="1">
        <w:start w:val="1"/>
        <w:numFmt w:val="decimal"/>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decimal"/>
        <w:lvlText w:val=""/>
        <w:lvlJc w:val="left"/>
        <w:pPr>
          <w:ind w:left="1418" w:hanging="284"/>
        </w:pPr>
        <w:rPr>
          <w:rFonts w:ascii="Wingdings" w:hAnsi="Wingdings" w:hint="default"/>
        </w:rPr>
      </w:lvl>
    </w:lvlOverride>
    <w:lvlOverride w:ilvl="3">
      <w:lvl w:ilvl="3">
        <w:start w:val="1"/>
        <w:numFmt w:val="decimal"/>
        <w:lvlText w:val=""/>
        <w:lvlJc w:val="left"/>
        <w:pPr>
          <w:ind w:left="1929" w:hanging="283"/>
        </w:pPr>
        <w:rPr>
          <w:rFonts w:ascii="Symbol" w:hAnsi="Symbol" w:hint="default"/>
        </w:rPr>
      </w:lvl>
    </w:lvlOverride>
    <w:lvlOverride w:ilvl="4">
      <w:lvl w:ilvl="4">
        <w:start w:val="1"/>
        <w:numFmt w:val="decimal"/>
        <w:lvlText w:val="o"/>
        <w:lvlJc w:val="left"/>
        <w:pPr>
          <w:ind w:left="2383" w:hanging="283"/>
        </w:pPr>
        <w:rPr>
          <w:rFonts w:ascii="Courier New" w:hAnsi="Courier New" w:cs="Courier New" w:hint="default"/>
        </w:rPr>
      </w:lvl>
    </w:lvlOverride>
    <w:lvlOverride w:ilvl="5">
      <w:lvl w:ilvl="5">
        <w:start w:val="1"/>
        <w:numFmt w:val="decimal"/>
        <w:lvlText w:val=""/>
        <w:lvlJc w:val="left"/>
        <w:pPr>
          <w:ind w:left="2837" w:hanging="283"/>
        </w:pPr>
        <w:rPr>
          <w:rFonts w:ascii="Wingdings" w:hAnsi="Wingdings" w:hint="default"/>
        </w:rPr>
      </w:lvl>
    </w:lvlOverride>
    <w:lvlOverride w:ilvl="6">
      <w:lvl w:ilvl="6">
        <w:start w:val="1"/>
        <w:numFmt w:val="decimal"/>
        <w:lvlText w:val=""/>
        <w:lvlJc w:val="left"/>
        <w:pPr>
          <w:ind w:left="3291" w:hanging="283"/>
        </w:pPr>
        <w:rPr>
          <w:rFonts w:ascii="Symbol" w:hAnsi="Symbol" w:hint="default"/>
        </w:rPr>
      </w:lvl>
    </w:lvlOverride>
    <w:lvlOverride w:ilvl="7">
      <w:lvl w:ilvl="7">
        <w:start w:val="1"/>
        <w:numFmt w:val="decimal"/>
        <w:lvlText w:val="o"/>
        <w:lvlJc w:val="left"/>
        <w:pPr>
          <w:ind w:left="3745" w:hanging="283"/>
        </w:pPr>
        <w:rPr>
          <w:rFonts w:ascii="Courier New" w:hAnsi="Courier New" w:cs="Courier New" w:hint="default"/>
        </w:rPr>
      </w:lvl>
    </w:lvlOverride>
    <w:lvlOverride w:ilvl="8">
      <w:lvl w:ilvl="8">
        <w:start w:val="1"/>
        <w:numFmt w:val="decimal"/>
        <w:lvlText w:val=""/>
        <w:lvlJc w:val="left"/>
        <w:pPr>
          <w:ind w:left="4199" w:hanging="283"/>
        </w:pPr>
        <w:rPr>
          <w:rFonts w:ascii="Wingdings" w:hAnsi="Wingdings" w:hint="default"/>
        </w:rPr>
      </w:lvl>
    </w:lvlOverride>
  </w:num>
  <w:num w:numId="107">
    <w:abstractNumId w:val="80"/>
    <w:lvlOverride w:ilvl="0">
      <w:lvl w:ilvl="0">
        <w:start w:val="1"/>
        <w:numFmt w:val="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108">
    <w:abstractNumId w:val="50"/>
    <w:lvlOverride w:ilvl="0">
      <w:lvl w:ilvl="0">
        <w:start w:val="1"/>
        <w:numFmt w:val="decimal"/>
        <w:pStyle w:val="OutlineNumbered1"/>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109">
    <w:abstractNumId w:val="50"/>
    <w:lvlOverride w:ilvl="0">
      <w:lvl w:ilvl="0">
        <w:start w:val="1"/>
        <w:numFmt w:val="decimal"/>
        <w:pStyle w:val="OutlineNumbered1"/>
        <w:lvlText w:val="%1."/>
        <w:lvlJc w:val="left"/>
        <w:pPr>
          <w:ind w:left="567" w:hanging="283"/>
        </w:pPr>
        <w:rPr>
          <w:rFonts w:asciiTheme="minorHAnsi" w:hAnsiTheme="minorHAnsi" w:hint="default"/>
          <w:color w:val="5F5F5F"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10">
    <w:abstractNumId w:val="50"/>
    <w:lvlOverride w:ilvl="0">
      <w:startOverride w:val="1"/>
      <w:lvl w:ilvl="0">
        <w:start w:val="1"/>
        <w:numFmt w:val="decimal"/>
        <w:pStyle w:val="OutlineNumbered1"/>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1">
    <w:abstractNumId w:val="50"/>
    <w:lvlOverride w:ilvl="0">
      <w:lvl w:ilvl="0">
        <w:start w:val="1"/>
        <w:numFmt w:val="decimal"/>
        <w:pStyle w:val="OutlineNumbered1"/>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2">
    <w:abstractNumId w:val="50"/>
    <w:lvlOverride w:ilvl="0">
      <w:lvl w:ilvl="0">
        <w:start w:val="1"/>
        <w:numFmt w:val="decimal"/>
        <w:pStyle w:val="OutlineNumbered1"/>
        <w:lvlText w:val="%1."/>
        <w:lvlJc w:val="left"/>
        <w:pPr>
          <w:ind w:left="284" w:hanging="284"/>
        </w:pPr>
        <w:rPr>
          <w:rFonts w:asciiTheme="minorHAnsi" w:hAnsiTheme="minorHAnsi" w:hint="default"/>
          <w:color w:val="5F5F5F"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3">
    <w:abstractNumId w:val="50"/>
    <w:lvlOverride w:ilvl="0">
      <w:startOverride w:val="1"/>
      <w:lvl w:ilvl="0">
        <w:start w:val="1"/>
        <w:numFmt w:val="decimal"/>
        <w:pStyle w:val="OutlineNumbered1"/>
        <w:lvlText w:val="%1."/>
        <w:lvlJc w:val="left"/>
        <w:pPr>
          <w:ind w:left="284" w:hanging="284"/>
        </w:pPr>
        <w:rPr>
          <w:rFonts w:asciiTheme="minorHAnsi" w:hAnsiTheme="minorHAnsi" w:hint="default"/>
          <w:color w:val="5F5F5F"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114">
    <w:abstractNumId w:val="10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
    <w:lvlOverride w:ilvl="0">
      <w:lvl w:ilvl="0">
        <w:start w:val="1"/>
        <w:numFmt w:val="decimal"/>
        <w:pStyle w:val="List"/>
        <w:lvlText w:val="%1"/>
        <w:lvlJc w:val="left"/>
        <w:pPr>
          <w:ind w:left="432" w:hanging="317"/>
        </w:pPr>
        <w:rPr>
          <w:rFonts w:hint="default"/>
          <w:color w:val="2C384A" w:themeColor="accent1"/>
        </w:rPr>
      </w:lvl>
    </w:lvlOverride>
    <w:lvlOverride w:ilvl="1">
      <w:lvl w:ilvl="1">
        <w:start w:val="1"/>
        <w:numFmt w:val="lowerRoman"/>
        <w:lvlText w:val="%2"/>
        <w:lvlJc w:val="left"/>
        <w:pPr>
          <w:ind w:left="720" w:hanging="317"/>
        </w:pPr>
        <w:rPr>
          <w:rFonts w:hint="default"/>
          <w:color w:val="2C384A" w:themeColor="accent1"/>
        </w:rPr>
      </w:lvl>
    </w:lvlOverride>
    <w:lvlOverride w:ilvl="2">
      <w:lvl w:ilvl="2">
        <w:start w:val="1"/>
        <w:numFmt w:val="upperRoman"/>
        <w:lvlText w:val="%3"/>
        <w:lvlJc w:val="left"/>
        <w:pPr>
          <w:ind w:left="1008" w:hanging="317"/>
        </w:pPr>
        <w:rPr>
          <w:rFonts w:hint="default"/>
          <w:color w:val="2C384A"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18">
    <w:abstractNumId w:val="90"/>
    <w:lvlOverride w:ilvl="0">
      <w:lvl w:ilvl="0">
        <w:start w:val="1"/>
        <w:numFmt w:val="decimal"/>
        <w:lvlText w:val="%1."/>
        <w:lvlJc w:val="left"/>
        <w:pPr>
          <w:ind w:left="567" w:hanging="283"/>
        </w:pPr>
        <w:rPr>
          <w:rFonts w:hint="default"/>
        </w:rPr>
      </w:lvl>
    </w:lvlOverride>
    <w:lvlOverride w:ilvl="1">
      <w:lvl w:ilvl="1">
        <w:start w:val="1"/>
        <w:numFmt w:val="lowerLetter"/>
        <w:lvlText w:val="%2."/>
        <w:lvlJc w:val="left"/>
        <w:pPr>
          <w:ind w:left="1021" w:hanging="283"/>
        </w:pPr>
        <w:rPr>
          <w:rFonts w:hint="default"/>
        </w:rPr>
      </w:lvl>
    </w:lvlOverride>
    <w:lvlOverride w:ilvl="2">
      <w:lvl w:ilvl="2">
        <w:start w:val="1"/>
        <w:numFmt w:val="lowerRoman"/>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5"/>
  </w:num>
  <w:num w:numId="122">
    <w:abstractNumId w:val="35"/>
  </w:num>
  <w:num w:numId="1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8"/>
  </w:num>
  <w:num w:numId="125">
    <w:abstractNumId w:val="69"/>
  </w:num>
  <w:num w:numId="126">
    <w:abstractNumId w:val="97"/>
  </w:num>
  <w:num w:numId="127">
    <w:abstractNumId w:val="48"/>
  </w:num>
  <w:num w:numId="1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0"/>
  </w:num>
  <w:num w:numId="130">
    <w:abstractNumId w:val="48"/>
  </w:num>
  <w:num w:numId="131">
    <w:abstractNumId w:val="85"/>
  </w:num>
  <w:num w:numId="132">
    <w:abstractNumId w:val="44"/>
  </w:num>
  <w:num w:numId="133">
    <w:abstractNumId w:val="2"/>
  </w:num>
  <w:num w:numId="1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1B15D3"/>
    <w:rsid w:val="000004AD"/>
    <w:rsid w:val="00000659"/>
    <w:rsid w:val="00000932"/>
    <w:rsid w:val="000009B1"/>
    <w:rsid w:val="00000A84"/>
    <w:rsid w:val="00000BCD"/>
    <w:rsid w:val="00000DDC"/>
    <w:rsid w:val="00000DF5"/>
    <w:rsid w:val="00001193"/>
    <w:rsid w:val="00001355"/>
    <w:rsid w:val="00001656"/>
    <w:rsid w:val="00001895"/>
    <w:rsid w:val="00001B6F"/>
    <w:rsid w:val="00002189"/>
    <w:rsid w:val="0000261D"/>
    <w:rsid w:val="00002628"/>
    <w:rsid w:val="000029ED"/>
    <w:rsid w:val="00002A89"/>
    <w:rsid w:val="00002C1F"/>
    <w:rsid w:val="00002EF8"/>
    <w:rsid w:val="000035BB"/>
    <w:rsid w:val="000035E0"/>
    <w:rsid w:val="00003A08"/>
    <w:rsid w:val="00003C17"/>
    <w:rsid w:val="0000473B"/>
    <w:rsid w:val="00004D9A"/>
    <w:rsid w:val="00005163"/>
    <w:rsid w:val="000058F8"/>
    <w:rsid w:val="00005903"/>
    <w:rsid w:val="000059A6"/>
    <w:rsid w:val="00005CDC"/>
    <w:rsid w:val="00005D04"/>
    <w:rsid w:val="000063DD"/>
    <w:rsid w:val="00006493"/>
    <w:rsid w:val="00006716"/>
    <w:rsid w:val="00006AFE"/>
    <w:rsid w:val="00006B54"/>
    <w:rsid w:val="00006B86"/>
    <w:rsid w:val="00006CE0"/>
    <w:rsid w:val="00006F54"/>
    <w:rsid w:val="00007060"/>
    <w:rsid w:val="00007124"/>
    <w:rsid w:val="0000734E"/>
    <w:rsid w:val="0000743D"/>
    <w:rsid w:val="0000753E"/>
    <w:rsid w:val="00007571"/>
    <w:rsid w:val="0000775B"/>
    <w:rsid w:val="000078E0"/>
    <w:rsid w:val="00007A5B"/>
    <w:rsid w:val="00007CD6"/>
    <w:rsid w:val="00011048"/>
    <w:rsid w:val="00011099"/>
    <w:rsid w:val="00011D5D"/>
    <w:rsid w:val="00011F1D"/>
    <w:rsid w:val="000120DC"/>
    <w:rsid w:val="00012383"/>
    <w:rsid w:val="00012403"/>
    <w:rsid w:val="0001250F"/>
    <w:rsid w:val="00012588"/>
    <w:rsid w:val="0001280D"/>
    <w:rsid w:val="00012897"/>
    <w:rsid w:val="00012BB0"/>
    <w:rsid w:val="00012BED"/>
    <w:rsid w:val="00012F37"/>
    <w:rsid w:val="0001308C"/>
    <w:rsid w:val="000130D7"/>
    <w:rsid w:val="0001375A"/>
    <w:rsid w:val="00013EE9"/>
    <w:rsid w:val="00013FDC"/>
    <w:rsid w:val="000140B8"/>
    <w:rsid w:val="00014238"/>
    <w:rsid w:val="000142BD"/>
    <w:rsid w:val="000142FC"/>
    <w:rsid w:val="000143FE"/>
    <w:rsid w:val="00014620"/>
    <w:rsid w:val="0001488D"/>
    <w:rsid w:val="0001536A"/>
    <w:rsid w:val="0001551E"/>
    <w:rsid w:val="000156B4"/>
    <w:rsid w:val="00015891"/>
    <w:rsid w:val="00015A01"/>
    <w:rsid w:val="00015A96"/>
    <w:rsid w:val="00015E4E"/>
    <w:rsid w:val="00015E7E"/>
    <w:rsid w:val="00016545"/>
    <w:rsid w:val="00016CB5"/>
    <w:rsid w:val="000172A9"/>
    <w:rsid w:val="00017459"/>
    <w:rsid w:val="00017764"/>
    <w:rsid w:val="00017B5D"/>
    <w:rsid w:val="00017DEE"/>
    <w:rsid w:val="000201CC"/>
    <w:rsid w:val="00020300"/>
    <w:rsid w:val="0002088D"/>
    <w:rsid w:val="00020C1C"/>
    <w:rsid w:val="00020CC4"/>
    <w:rsid w:val="000210FF"/>
    <w:rsid w:val="000215D8"/>
    <w:rsid w:val="00021774"/>
    <w:rsid w:val="000217A8"/>
    <w:rsid w:val="000217F9"/>
    <w:rsid w:val="00021A70"/>
    <w:rsid w:val="00021A73"/>
    <w:rsid w:val="00021F5F"/>
    <w:rsid w:val="000221CD"/>
    <w:rsid w:val="0002248D"/>
    <w:rsid w:val="00022600"/>
    <w:rsid w:val="00022A76"/>
    <w:rsid w:val="00022D50"/>
    <w:rsid w:val="00022DC6"/>
    <w:rsid w:val="00022DDB"/>
    <w:rsid w:val="00022E94"/>
    <w:rsid w:val="000231B7"/>
    <w:rsid w:val="000234B7"/>
    <w:rsid w:val="0002360D"/>
    <w:rsid w:val="000236FE"/>
    <w:rsid w:val="00023947"/>
    <w:rsid w:val="00023A78"/>
    <w:rsid w:val="000240A6"/>
    <w:rsid w:val="00024591"/>
    <w:rsid w:val="00024928"/>
    <w:rsid w:val="000249C2"/>
    <w:rsid w:val="000254CD"/>
    <w:rsid w:val="00025905"/>
    <w:rsid w:val="00025962"/>
    <w:rsid w:val="00025E26"/>
    <w:rsid w:val="00025F20"/>
    <w:rsid w:val="0002607E"/>
    <w:rsid w:val="000260EE"/>
    <w:rsid w:val="0002617D"/>
    <w:rsid w:val="00026820"/>
    <w:rsid w:val="00026B91"/>
    <w:rsid w:val="00026CEC"/>
    <w:rsid w:val="000271DD"/>
    <w:rsid w:val="000272D2"/>
    <w:rsid w:val="00027453"/>
    <w:rsid w:val="00027B1F"/>
    <w:rsid w:val="00027CED"/>
    <w:rsid w:val="00030091"/>
    <w:rsid w:val="00030840"/>
    <w:rsid w:val="0003118B"/>
    <w:rsid w:val="00031326"/>
    <w:rsid w:val="000315D4"/>
    <w:rsid w:val="00031C41"/>
    <w:rsid w:val="00031EAC"/>
    <w:rsid w:val="000320F8"/>
    <w:rsid w:val="000323FA"/>
    <w:rsid w:val="00032629"/>
    <w:rsid w:val="0003277E"/>
    <w:rsid w:val="000328BC"/>
    <w:rsid w:val="000329B6"/>
    <w:rsid w:val="00032B7F"/>
    <w:rsid w:val="0003315F"/>
    <w:rsid w:val="00033272"/>
    <w:rsid w:val="0003338A"/>
    <w:rsid w:val="00033725"/>
    <w:rsid w:val="00033E85"/>
    <w:rsid w:val="0003418C"/>
    <w:rsid w:val="00034277"/>
    <w:rsid w:val="00034379"/>
    <w:rsid w:val="000348EF"/>
    <w:rsid w:val="00034C0F"/>
    <w:rsid w:val="00034D26"/>
    <w:rsid w:val="00034F5A"/>
    <w:rsid w:val="00035059"/>
    <w:rsid w:val="000352A0"/>
    <w:rsid w:val="00035385"/>
    <w:rsid w:val="00035475"/>
    <w:rsid w:val="000356C0"/>
    <w:rsid w:val="00035866"/>
    <w:rsid w:val="00035968"/>
    <w:rsid w:val="00035A91"/>
    <w:rsid w:val="00035C7E"/>
    <w:rsid w:val="00035D0D"/>
    <w:rsid w:val="000363BC"/>
    <w:rsid w:val="00036664"/>
    <w:rsid w:val="00036838"/>
    <w:rsid w:val="000369C9"/>
    <w:rsid w:val="00036D45"/>
    <w:rsid w:val="00036DD1"/>
    <w:rsid w:val="00036E5F"/>
    <w:rsid w:val="000379D6"/>
    <w:rsid w:val="00037FC4"/>
    <w:rsid w:val="00040284"/>
    <w:rsid w:val="000405B6"/>
    <w:rsid w:val="00040D4A"/>
    <w:rsid w:val="0004109B"/>
    <w:rsid w:val="00041197"/>
    <w:rsid w:val="0004122E"/>
    <w:rsid w:val="00041314"/>
    <w:rsid w:val="0004136E"/>
    <w:rsid w:val="0004182A"/>
    <w:rsid w:val="00042076"/>
    <w:rsid w:val="000420A6"/>
    <w:rsid w:val="000429D5"/>
    <w:rsid w:val="00042B3B"/>
    <w:rsid w:val="00042BF8"/>
    <w:rsid w:val="00042CAC"/>
    <w:rsid w:val="00042E7E"/>
    <w:rsid w:val="00042E98"/>
    <w:rsid w:val="00043715"/>
    <w:rsid w:val="000437BA"/>
    <w:rsid w:val="000437F6"/>
    <w:rsid w:val="000438AF"/>
    <w:rsid w:val="0004394E"/>
    <w:rsid w:val="000439F3"/>
    <w:rsid w:val="00043A82"/>
    <w:rsid w:val="000441E1"/>
    <w:rsid w:val="00044494"/>
    <w:rsid w:val="00044B93"/>
    <w:rsid w:val="00044FA3"/>
    <w:rsid w:val="0004519F"/>
    <w:rsid w:val="000456FA"/>
    <w:rsid w:val="00045BE5"/>
    <w:rsid w:val="00045F35"/>
    <w:rsid w:val="00045FB7"/>
    <w:rsid w:val="0004610D"/>
    <w:rsid w:val="00046419"/>
    <w:rsid w:val="0004676B"/>
    <w:rsid w:val="000468A6"/>
    <w:rsid w:val="00046AC9"/>
    <w:rsid w:val="00047242"/>
    <w:rsid w:val="00047A09"/>
    <w:rsid w:val="00047CC8"/>
    <w:rsid w:val="00050021"/>
    <w:rsid w:val="00050678"/>
    <w:rsid w:val="00050906"/>
    <w:rsid w:val="000513B4"/>
    <w:rsid w:val="00051533"/>
    <w:rsid w:val="00051969"/>
    <w:rsid w:val="000519CD"/>
    <w:rsid w:val="000519CE"/>
    <w:rsid w:val="00051A86"/>
    <w:rsid w:val="00051D7B"/>
    <w:rsid w:val="00051DF1"/>
    <w:rsid w:val="00051DFC"/>
    <w:rsid w:val="000521DA"/>
    <w:rsid w:val="000521FF"/>
    <w:rsid w:val="000527E2"/>
    <w:rsid w:val="000528B9"/>
    <w:rsid w:val="00053296"/>
    <w:rsid w:val="00053995"/>
    <w:rsid w:val="000539FF"/>
    <w:rsid w:val="000542DA"/>
    <w:rsid w:val="0005462A"/>
    <w:rsid w:val="0005479A"/>
    <w:rsid w:val="00054BF7"/>
    <w:rsid w:val="00054C80"/>
    <w:rsid w:val="00054DA8"/>
    <w:rsid w:val="00054DD4"/>
    <w:rsid w:val="00054FE7"/>
    <w:rsid w:val="000552A5"/>
    <w:rsid w:val="0005544E"/>
    <w:rsid w:val="000557EE"/>
    <w:rsid w:val="000557F0"/>
    <w:rsid w:val="00055961"/>
    <w:rsid w:val="00055BE4"/>
    <w:rsid w:val="00055E5E"/>
    <w:rsid w:val="00056451"/>
    <w:rsid w:val="0005663D"/>
    <w:rsid w:val="00056921"/>
    <w:rsid w:val="000569C0"/>
    <w:rsid w:val="00056DF6"/>
    <w:rsid w:val="0005704B"/>
    <w:rsid w:val="00057537"/>
    <w:rsid w:val="00057B9A"/>
    <w:rsid w:val="00057F53"/>
    <w:rsid w:val="00057F81"/>
    <w:rsid w:val="00060517"/>
    <w:rsid w:val="00060FF8"/>
    <w:rsid w:val="00061105"/>
    <w:rsid w:val="00061182"/>
    <w:rsid w:val="00061437"/>
    <w:rsid w:val="000616C5"/>
    <w:rsid w:val="00061751"/>
    <w:rsid w:val="000617C8"/>
    <w:rsid w:val="00061882"/>
    <w:rsid w:val="00061911"/>
    <w:rsid w:val="00061AE9"/>
    <w:rsid w:val="00061C8D"/>
    <w:rsid w:val="00061DA8"/>
    <w:rsid w:val="000621F6"/>
    <w:rsid w:val="00062720"/>
    <w:rsid w:val="0006272B"/>
    <w:rsid w:val="000629AA"/>
    <w:rsid w:val="00062BD2"/>
    <w:rsid w:val="00062C89"/>
    <w:rsid w:val="00062E88"/>
    <w:rsid w:val="00063B81"/>
    <w:rsid w:val="00063C6B"/>
    <w:rsid w:val="00063F4E"/>
    <w:rsid w:val="00063FCF"/>
    <w:rsid w:val="00064A17"/>
    <w:rsid w:val="00064AB3"/>
    <w:rsid w:val="00064E72"/>
    <w:rsid w:val="00065349"/>
    <w:rsid w:val="0006540F"/>
    <w:rsid w:val="000654AE"/>
    <w:rsid w:val="000654B1"/>
    <w:rsid w:val="000659C3"/>
    <w:rsid w:val="00065B69"/>
    <w:rsid w:val="00065C38"/>
    <w:rsid w:val="00066034"/>
    <w:rsid w:val="000660BE"/>
    <w:rsid w:val="000662FA"/>
    <w:rsid w:val="00066366"/>
    <w:rsid w:val="00066A06"/>
    <w:rsid w:val="000672C2"/>
    <w:rsid w:val="00067366"/>
    <w:rsid w:val="00067505"/>
    <w:rsid w:val="0006762B"/>
    <w:rsid w:val="0006780C"/>
    <w:rsid w:val="00067955"/>
    <w:rsid w:val="000679EF"/>
    <w:rsid w:val="00067BA4"/>
    <w:rsid w:val="00070061"/>
    <w:rsid w:val="00070425"/>
    <w:rsid w:val="000705CF"/>
    <w:rsid w:val="00070942"/>
    <w:rsid w:val="00070B1B"/>
    <w:rsid w:val="00070EA2"/>
    <w:rsid w:val="00071735"/>
    <w:rsid w:val="0007221A"/>
    <w:rsid w:val="0007225B"/>
    <w:rsid w:val="0007232D"/>
    <w:rsid w:val="00072850"/>
    <w:rsid w:val="00072C66"/>
    <w:rsid w:val="00072E02"/>
    <w:rsid w:val="00073608"/>
    <w:rsid w:val="00073B38"/>
    <w:rsid w:val="00073B3F"/>
    <w:rsid w:val="0007403B"/>
    <w:rsid w:val="000749B2"/>
    <w:rsid w:val="00074D34"/>
    <w:rsid w:val="00074E91"/>
    <w:rsid w:val="0007587F"/>
    <w:rsid w:val="0007630A"/>
    <w:rsid w:val="000764C6"/>
    <w:rsid w:val="00076A26"/>
    <w:rsid w:val="00076CF3"/>
    <w:rsid w:val="00076DD5"/>
    <w:rsid w:val="00076EA4"/>
    <w:rsid w:val="00076F9B"/>
    <w:rsid w:val="000772B5"/>
    <w:rsid w:val="0007787A"/>
    <w:rsid w:val="00077CDE"/>
    <w:rsid w:val="00077E38"/>
    <w:rsid w:val="00077E7F"/>
    <w:rsid w:val="00077F89"/>
    <w:rsid w:val="00080221"/>
    <w:rsid w:val="000805D6"/>
    <w:rsid w:val="00080732"/>
    <w:rsid w:val="000808C4"/>
    <w:rsid w:val="000809AF"/>
    <w:rsid w:val="00080A79"/>
    <w:rsid w:val="00080B23"/>
    <w:rsid w:val="00080BB4"/>
    <w:rsid w:val="00080CC8"/>
    <w:rsid w:val="00080CF7"/>
    <w:rsid w:val="00080EC5"/>
    <w:rsid w:val="0008116C"/>
    <w:rsid w:val="0008145C"/>
    <w:rsid w:val="00081501"/>
    <w:rsid w:val="0008172D"/>
    <w:rsid w:val="00081C31"/>
    <w:rsid w:val="000825EE"/>
    <w:rsid w:val="000829C0"/>
    <w:rsid w:val="00082B67"/>
    <w:rsid w:val="00082E0A"/>
    <w:rsid w:val="00082EAF"/>
    <w:rsid w:val="00082F0D"/>
    <w:rsid w:val="0008318E"/>
    <w:rsid w:val="0008326B"/>
    <w:rsid w:val="00083AF8"/>
    <w:rsid w:val="00083C57"/>
    <w:rsid w:val="00083EA5"/>
    <w:rsid w:val="00083EE8"/>
    <w:rsid w:val="00084309"/>
    <w:rsid w:val="00084F7F"/>
    <w:rsid w:val="0008507D"/>
    <w:rsid w:val="0008514B"/>
    <w:rsid w:val="0008581F"/>
    <w:rsid w:val="0008585D"/>
    <w:rsid w:val="00085F15"/>
    <w:rsid w:val="00086155"/>
    <w:rsid w:val="00086552"/>
    <w:rsid w:val="00086592"/>
    <w:rsid w:val="000866C0"/>
    <w:rsid w:val="000866ED"/>
    <w:rsid w:val="00086746"/>
    <w:rsid w:val="00086AE5"/>
    <w:rsid w:val="00086F96"/>
    <w:rsid w:val="00087778"/>
    <w:rsid w:val="00087802"/>
    <w:rsid w:val="00087F10"/>
    <w:rsid w:val="0009004C"/>
    <w:rsid w:val="00090718"/>
    <w:rsid w:val="00090FA8"/>
    <w:rsid w:val="00091150"/>
    <w:rsid w:val="00091233"/>
    <w:rsid w:val="00091262"/>
    <w:rsid w:val="00091646"/>
    <w:rsid w:val="00091785"/>
    <w:rsid w:val="00091A0B"/>
    <w:rsid w:val="00091B13"/>
    <w:rsid w:val="00091BA6"/>
    <w:rsid w:val="00091C09"/>
    <w:rsid w:val="00091F0D"/>
    <w:rsid w:val="00091F85"/>
    <w:rsid w:val="0009204F"/>
    <w:rsid w:val="00092F12"/>
    <w:rsid w:val="000932AF"/>
    <w:rsid w:val="000936FC"/>
    <w:rsid w:val="0009372B"/>
    <w:rsid w:val="00093929"/>
    <w:rsid w:val="00093967"/>
    <w:rsid w:val="00093BB9"/>
    <w:rsid w:val="00093CA7"/>
    <w:rsid w:val="00093CE4"/>
    <w:rsid w:val="00094129"/>
    <w:rsid w:val="000944CA"/>
    <w:rsid w:val="000944E9"/>
    <w:rsid w:val="00094B0A"/>
    <w:rsid w:val="00094B45"/>
    <w:rsid w:val="00094CED"/>
    <w:rsid w:val="000950B1"/>
    <w:rsid w:val="0009511B"/>
    <w:rsid w:val="00095809"/>
    <w:rsid w:val="00095C22"/>
    <w:rsid w:val="00095D93"/>
    <w:rsid w:val="00095F9C"/>
    <w:rsid w:val="00096006"/>
    <w:rsid w:val="0009669B"/>
    <w:rsid w:val="000966BF"/>
    <w:rsid w:val="000966F9"/>
    <w:rsid w:val="000968F7"/>
    <w:rsid w:val="00096A64"/>
    <w:rsid w:val="00096AF9"/>
    <w:rsid w:val="00096B18"/>
    <w:rsid w:val="00096B4B"/>
    <w:rsid w:val="00096B51"/>
    <w:rsid w:val="00096B7C"/>
    <w:rsid w:val="00096F82"/>
    <w:rsid w:val="00097097"/>
    <w:rsid w:val="000971A2"/>
    <w:rsid w:val="0009736B"/>
    <w:rsid w:val="00097775"/>
    <w:rsid w:val="0009788B"/>
    <w:rsid w:val="000978FA"/>
    <w:rsid w:val="0009792A"/>
    <w:rsid w:val="00097A25"/>
    <w:rsid w:val="00097A77"/>
    <w:rsid w:val="00097EA6"/>
    <w:rsid w:val="00097FBD"/>
    <w:rsid w:val="00097FC8"/>
    <w:rsid w:val="000A0123"/>
    <w:rsid w:val="000A0360"/>
    <w:rsid w:val="000A043D"/>
    <w:rsid w:val="000A0522"/>
    <w:rsid w:val="000A0533"/>
    <w:rsid w:val="000A05D2"/>
    <w:rsid w:val="000A0962"/>
    <w:rsid w:val="000A0A58"/>
    <w:rsid w:val="000A0AB8"/>
    <w:rsid w:val="000A0EF6"/>
    <w:rsid w:val="000A1617"/>
    <w:rsid w:val="000A174C"/>
    <w:rsid w:val="000A1A80"/>
    <w:rsid w:val="000A1C76"/>
    <w:rsid w:val="000A2319"/>
    <w:rsid w:val="000A2381"/>
    <w:rsid w:val="000A2386"/>
    <w:rsid w:val="000A24AE"/>
    <w:rsid w:val="000A2547"/>
    <w:rsid w:val="000A2579"/>
    <w:rsid w:val="000A28CB"/>
    <w:rsid w:val="000A2D31"/>
    <w:rsid w:val="000A2DA4"/>
    <w:rsid w:val="000A2F7B"/>
    <w:rsid w:val="000A3381"/>
    <w:rsid w:val="000A33FC"/>
    <w:rsid w:val="000A361F"/>
    <w:rsid w:val="000A3722"/>
    <w:rsid w:val="000A387B"/>
    <w:rsid w:val="000A387F"/>
    <w:rsid w:val="000A3BD9"/>
    <w:rsid w:val="000A42C2"/>
    <w:rsid w:val="000A4B17"/>
    <w:rsid w:val="000A4C46"/>
    <w:rsid w:val="000A4F2F"/>
    <w:rsid w:val="000A54B8"/>
    <w:rsid w:val="000A58E5"/>
    <w:rsid w:val="000A592C"/>
    <w:rsid w:val="000A5F49"/>
    <w:rsid w:val="000A6374"/>
    <w:rsid w:val="000A6606"/>
    <w:rsid w:val="000A6CF9"/>
    <w:rsid w:val="000A705B"/>
    <w:rsid w:val="000A7075"/>
    <w:rsid w:val="000A70CF"/>
    <w:rsid w:val="000A7245"/>
    <w:rsid w:val="000A740C"/>
    <w:rsid w:val="000A776B"/>
    <w:rsid w:val="000A792E"/>
    <w:rsid w:val="000A7C71"/>
    <w:rsid w:val="000A7D5B"/>
    <w:rsid w:val="000A7E92"/>
    <w:rsid w:val="000B002A"/>
    <w:rsid w:val="000B017A"/>
    <w:rsid w:val="000B0544"/>
    <w:rsid w:val="000B06B1"/>
    <w:rsid w:val="000B06EA"/>
    <w:rsid w:val="000B07D7"/>
    <w:rsid w:val="000B089F"/>
    <w:rsid w:val="000B0AA2"/>
    <w:rsid w:val="000B13E4"/>
    <w:rsid w:val="000B14A0"/>
    <w:rsid w:val="000B1A06"/>
    <w:rsid w:val="000B1C00"/>
    <w:rsid w:val="000B1E3E"/>
    <w:rsid w:val="000B2131"/>
    <w:rsid w:val="000B21E8"/>
    <w:rsid w:val="000B2407"/>
    <w:rsid w:val="000B24EC"/>
    <w:rsid w:val="000B2649"/>
    <w:rsid w:val="000B2B1A"/>
    <w:rsid w:val="000B2B87"/>
    <w:rsid w:val="000B2C97"/>
    <w:rsid w:val="000B3216"/>
    <w:rsid w:val="000B39AE"/>
    <w:rsid w:val="000B39F9"/>
    <w:rsid w:val="000B3C20"/>
    <w:rsid w:val="000B3E46"/>
    <w:rsid w:val="000B440B"/>
    <w:rsid w:val="000B442D"/>
    <w:rsid w:val="000B4523"/>
    <w:rsid w:val="000B4538"/>
    <w:rsid w:val="000B4B62"/>
    <w:rsid w:val="000B4BB8"/>
    <w:rsid w:val="000B4D57"/>
    <w:rsid w:val="000B4E16"/>
    <w:rsid w:val="000B52D7"/>
    <w:rsid w:val="000B5722"/>
    <w:rsid w:val="000B5C01"/>
    <w:rsid w:val="000B5CAE"/>
    <w:rsid w:val="000B6043"/>
    <w:rsid w:val="000B6348"/>
    <w:rsid w:val="000B685E"/>
    <w:rsid w:val="000B6869"/>
    <w:rsid w:val="000B699E"/>
    <w:rsid w:val="000B6AA9"/>
    <w:rsid w:val="000B6C46"/>
    <w:rsid w:val="000B6FD3"/>
    <w:rsid w:val="000B71F7"/>
    <w:rsid w:val="000B7276"/>
    <w:rsid w:val="000B74AF"/>
    <w:rsid w:val="000B768A"/>
    <w:rsid w:val="000C0457"/>
    <w:rsid w:val="000C076B"/>
    <w:rsid w:val="000C0C5B"/>
    <w:rsid w:val="000C1021"/>
    <w:rsid w:val="000C12E6"/>
    <w:rsid w:val="000C12FD"/>
    <w:rsid w:val="000C1601"/>
    <w:rsid w:val="000C1B99"/>
    <w:rsid w:val="000C1EE1"/>
    <w:rsid w:val="000C1FE5"/>
    <w:rsid w:val="000C255E"/>
    <w:rsid w:val="000C27DA"/>
    <w:rsid w:val="000C28A2"/>
    <w:rsid w:val="000C2AFA"/>
    <w:rsid w:val="000C2B17"/>
    <w:rsid w:val="000C2BAF"/>
    <w:rsid w:val="000C2BF5"/>
    <w:rsid w:val="000C2D92"/>
    <w:rsid w:val="000C395B"/>
    <w:rsid w:val="000C3991"/>
    <w:rsid w:val="000C3BCF"/>
    <w:rsid w:val="000C3C2A"/>
    <w:rsid w:val="000C3EA7"/>
    <w:rsid w:val="000C3EBE"/>
    <w:rsid w:val="000C43A5"/>
    <w:rsid w:val="000C46C7"/>
    <w:rsid w:val="000C49BC"/>
    <w:rsid w:val="000C4A40"/>
    <w:rsid w:val="000C4A67"/>
    <w:rsid w:val="000C5360"/>
    <w:rsid w:val="000C560D"/>
    <w:rsid w:val="000C5783"/>
    <w:rsid w:val="000C5834"/>
    <w:rsid w:val="000C5890"/>
    <w:rsid w:val="000C5925"/>
    <w:rsid w:val="000C59E7"/>
    <w:rsid w:val="000C5A76"/>
    <w:rsid w:val="000C5EB4"/>
    <w:rsid w:val="000C5F46"/>
    <w:rsid w:val="000C6092"/>
    <w:rsid w:val="000C6133"/>
    <w:rsid w:val="000C6480"/>
    <w:rsid w:val="000C648B"/>
    <w:rsid w:val="000C64F3"/>
    <w:rsid w:val="000C7051"/>
    <w:rsid w:val="000C72E8"/>
    <w:rsid w:val="000C7471"/>
    <w:rsid w:val="000C75B5"/>
    <w:rsid w:val="000C7687"/>
    <w:rsid w:val="000C77A4"/>
    <w:rsid w:val="000C790F"/>
    <w:rsid w:val="000C7BA5"/>
    <w:rsid w:val="000C7DBC"/>
    <w:rsid w:val="000D03D2"/>
    <w:rsid w:val="000D0520"/>
    <w:rsid w:val="000D0A9E"/>
    <w:rsid w:val="000D117F"/>
    <w:rsid w:val="000D11E4"/>
    <w:rsid w:val="000D1396"/>
    <w:rsid w:val="000D16E6"/>
    <w:rsid w:val="000D1D4F"/>
    <w:rsid w:val="000D23C6"/>
    <w:rsid w:val="000D23E0"/>
    <w:rsid w:val="000D24A3"/>
    <w:rsid w:val="000D24E6"/>
    <w:rsid w:val="000D27B1"/>
    <w:rsid w:val="000D27BE"/>
    <w:rsid w:val="000D294B"/>
    <w:rsid w:val="000D3329"/>
    <w:rsid w:val="000D3511"/>
    <w:rsid w:val="000D3779"/>
    <w:rsid w:val="000D379E"/>
    <w:rsid w:val="000D37B0"/>
    <w:rsid w:val="000D3DDE"/>
    <w:rsid w:val="000D409D"/>
    <w:rsid w:val="000D42C6"/>
    <w:rsid w:val="000D49E9"/>
    <w:rsid w:val="000D4D23"/>
    <w:rsid w:val="000D5071"/>
    <w:rsid w:val="000D5FF1"/>
    <w:rsid w:val="000D6428"/>
    <w:rsid w:val="000D6AA9"/>
    <w:rsid w:val="000D6C11"/>
    <w:rsid w:val="000D6E26"/>
    <w:rsid w:val="000D707B"/>
    <w:rsid w:val="000D78B8"/>
    <w:rsid w:val="000D7E75"/>
    <w:rsid w:val="000D7F97"/>
    <w:rsid w:val="000E021E"/>
    <w:rsid w:val="000E0375"/>
    <w:rsid w:val="000E0415"/>
    <w:rsid w:val="000E0D45"/>
    <w:rsid w:val="000E1172"/>
    <w:rsid w:val="000E11E6"/>
    <w:rsid w:val="000E181F"/>
    <w:rsid w:val="000E19A1"/>
    <w:rsid w:val="000E1B4C"/>
    <w:rsid w:val="000E1F26"/>
    <w:rsid w:val="000E271E"/>
    <w:rsid w:val="000E2C61"/>
    <w:rsid w:val="000E2DE9"/>
    <w:rsid w:val="000E3021"/>
    <w:rsid w:val="000E3876"/>
    <w:rsid w:val="000E3900"/>
    <w:rsid w:val="000E3B15"/>
    <w:rsid w:val="000E3BE1"/>
    <w:rsid w:val="000E3BFC"/>
    <w:rsid w:val="000E3C2E"/>
    <w:rsid w:val="000E3DD2"/>
    <w:rsid w:val="000E4275"/>
    <w:rsid w:val="000E4281"/>
    <w:rsid w:val="000E497F"/>
    <w:rsid w:val="000E4A0B"/>
    <w:rsid w:val="000E4B57"/>
    <w:rsid w:val="000E51DE"/>
    <w:rsid w:val="000E58FD"/>
    <w:rsid w:val="000E5B65"/>
    <w:rsid w:val="000E5F7A"/>
    <w:rsid w:val="000E62E9"/>
    <w:rsid w:val="000E6516"/>
    <w:rsid w:val="000E67C6"/>
    <w:rsid w:val="000E68D2"/>
    <w:rsid w:val="000E6B7C"/>
    <w:rsid w:val="000E6DBC"/>
    <w:rsid w:val="000E6EA0"/>
    <w:rsid w:val="000E706F"/>
    <w:rsid w:val="000E7105"/>
    <w:rsid w:val="000E749C"/>
    <w:rsid w:val="000E784C"/>
    <w:rsid w:val="000E787C"/>
    <w:rsid w:val="000E78F5"/>
    <w:rsid w:val="000F03EC"/>
    <w:rsid w:val="000F07C0"/>
    <w:rsid w:val="000F09E4"/>
    <w:rsid w:val="000F10CE"/>
    <w:rsid w:val="000F114E"/>
    <w:rsid w:val="000F1291"/>
    <w:rsid w:val="000F1329"/>
    <w:rsid w:val="000F1F9E"/>
    <w:rsid w:val="000F2694"/>
    <w:rsid w:val="000F2839"/>
    <w:rsid w:val="000F2B86"/>
    <w:rsid w:val="000F2BC0"/>
    <w:rsid w:val="000F324B"/>
    <w:rsid w:val="000F32D5"/>
    <w:rsid w:val="000F3925"/>
    <w:rsid w:val="000F3A80"/>
    <w:rsid w:val="000F3AFB"/>
    <w:rsid w:val="000F3D2C"/>
    <w:rsid w:val="000F4659"/>
    <w:rsid w:val="000F47A5"/>
    <w:rsid w:val="000F47C0"/>
    <w:rsid w:val="000F49F0"/>
    <w:rsid w:val="000F4C0B"/>
    <w:rsid w:val="000F4FBE"/>
    <w:rsid w:val="000F5148"/>
    <w:rsid w:val="000F5414"/>
    <w:rsid w:val="000F5530"/>
    <w:rsid w:val="000F5EBE"/>
    <w:rsid w:val="000F65C5"/>
    <w:rsid w:val="000F67A7"/>
    <w:rsid w:val="000F6985"/>
    <w:rsid w:val="000F6A89"/>
    <w:rsid w:val="000F6AC0"/>
    <w:rsid w:val="000F6CE6"/>
    <w:rsid w:val="000F6F77"/>
    <w:rsid w:val="000F70FC"/>
    <w:rsid w:val="000F74C0"/>
    <w:rsid w:val="000F783F"/>
    <w:rsid w:val="000F79DB"/>
    <w:rsid w:val="000F7A24"/>
    <w:rsid w:val="000F7AE3"/>
    <w:rsid w:val="000F7D25"/>
    <w:rsid w:val="00100438"/>
    <w:rsid w:val="00100928"/>
    <w:rsid w:val="00100A96"/>
    <w:rsid w:val="00100B90"/>
    <w:rsid w:val="00101161"/>
    <w:rsid w:val="001016B9"/>
    <w:rsid w:val="00101D3A"/>
    <w:rsid w:val="00101E54"/>
    <w:rsid w:val="00101EA4"/>
    <w:rsid w:val="00101F70"/>
    <w:rsid w:val="0010217D"/>
    <w:rsid w:val="001021BC"/>
    <w:rsid w:val="001025CC"/>
    <w:rsid w:val="00102777"/>
    <w:rsid w:val="00102B45"/>
    <w:rsid w:val="001033A9"/>
    <w:rsid w:val="001035D4"/>
    <w:rsid w:val="001035D6"/>
    <w:rsid w:val="0010373E"/>
    <w:rsid w:val="00103762"/>
    <w:rsid w:val="001037E8"/>
    <w:rsid w:val="0010390D"/>
    <w:rsid w:val="00103F07"/>
    <w:rsid w:val="0010419A"/>
    <w:rsid w:val="0010435B"/>
    <w:rsid w:val="00104903"/>
    <w:rsid w:val="00104C22"/>
    <w:rsid w:val="00104FFC"/>
    <w:rsid w:val="00105104"/>
    <w:rsid w:val="001053A4"/>
    <w:rsid w:val="00105550"/>
    <w:rsid w:val="001058AD"/>
    <w:rsid w:val="00105A0D"/>
    <w:rsid w:val="00105A84"/>
    <w:rsid w:val="00105BE4"/>
    <w:rsid w:val="00105F9F"/>
    <w:rsid w:val="00106072"/>
    <w:rsid w:val="001060DF"/>
    <w:rsid w:val="001061B4"/>
    <w:rsid w:val="0010623E"/>
    <w:rsid w:val="001069B6"/>
    <w:rsid w:val="00106ADA"/>
    <w:rsid w:val="00107077"/>
    <w:rsid w:val="001072A9"/>
    <w:rsid w:val="001073D6"/>
    <w:rsid w:val="001078C8"/>
    <w:rsid w:val="0010793A"/>
    <w:rsid w:val="00107C0B"/>
    <w:rsid w:val="00107C20"/>
    <w:rsid w:val="0011000E"/>
    <w:rsid w:val="001100F9"/>
    <w:rsid w:val="001101F9"/>
    <w:rsid w:val="0011031C"/>
    <w:rsid w:val="00110592"/>
    <w:rsid w:val="00110818"/>
    <w:rsid w:val="001108EF"/>
    <w:rsid w:val="00110E88"/>
    <w:rsid w:val="0011114F"/>
    <w:rsid w:val="00111220"/>
    <w:rsid w:val="0011133D"/>
    <w:rsid w:val="00111356"/>
    <w:rsid w:val="00111693"/>
    <w:rsid w:val="00111706"/>
    <w:rsid w:val="001118A3"/>
    <w:rsid w:val="00111A8E"/>
    <w:rsid w:val="00111BE0"/>
    <w:rsid w:val="00111C23"/>
    <w:rsid w:val="00111D1F"/>
    <w:rsid w:val="00111EEE"/>
    <w:rsid w:val="001120DB"/>
    <w:rsid w:val="001123B2"/>
    <w:rsid w:val="00112762"/>
    <w:rsid w:val="001127E1"/>
    <w:rsid w:val="00112833"/>
    <w:rsid w:val="00112BBE"/>
    <w:rsid w:val="00112F7F"/>
    <w:rsid w:val="0011334D"/>
    <w:rsid w:val="001141D8"/>
    <w:rsid w:val="0011424E"/>
    <w:rsid w:val="0011432F"/>
    <w:rsid w:val="001146EC"/>
    <w:rsid w:val="00114C47"/>
    <w:rsid w:val="00114CA2"/>
    <w:rsid w:val="001152AE"/>
    <w:rsid w:val="00115366"/>
    <w:rsid w:val="00115561"/>
    <w:rsid w:val="00115592"/>
    <w:rsid w:val="00115617"/>
    <w:rsid w:val="001157E5"/>
    <w:rsid w:val="00115D97"/>
    <w:rsid w:val="0011605D"/>
    <w:rsid w:val="0011657A"/>
    <w:rsid w:val="00116985"/>
    <w:rsid w:val="00116F9A"/>
    <w:rsid w:val="00117431"/>
    <w:rsid w:val="00117589"/>
    <w:rsid w:val="00117C75"/>
    <w:rsid w:val="00117FA4"/>
    <w:rsid w:val="001201D7"/>
    <w:rsid w:val="00120B3A"/>
    <w:rsid w:val="00120C86"/>
    <w:rsid w:val="00120EFA"/>
    <w:rsid w:val="00120F36"/>
    <w:rsid w:val="00120F47"/>
    <w:rsid w:val="00121084"/>
    <w:rsid w:val="001211C7"/>
    <w:rsid w:val="001211EE"/>
    <w:rsid w:val="001212DE"/>
    <w:rsid w:val="0012139F"/>
    <w:rsid w:val="001215CA"/>
    <w:rsid w:val="001217D8"/>
    <w:rsid w:val="001217F3"/>
    <w:rsid w:val="0012198F"/>
    <w:rsid w:val="00121B39"/>
    <w:rsid w:val="00121D79"/>
    <w:rsid w:val="00122757"/>
    <w:rsid w:val="00122765"/>
    <w:rsid w:val="00122A77"/>
    <w:rsid w:val="00122F51"/>
    <w:rsid w:val="0012355D"/>
    <w:rsid w:val="00123AB8"/>
    <w:rsid w:val="00123CC9"/>
    <w:rsid w:val="00123F4D"/>
    <w:rsid w:val="00124063"/>
    <w:rsid w:val="00124118"/>
    <w:rsid w:val="00124678"/>
    <w:rsid w:val="0012467C"/>
    <w:rsid w:val="00124862"/>
    <w:rsid w:val="00124AE2"/>
    <w:rsid w:val="00125282"/>
    <w:rsid w:val="00125458"/>
    <w:rsid w:val="00126177"/>
    <w:rsid w:val="001261CC"/>
    <w:rsid w:val="001266F3"/>
    <w:rsid w:val="00126AD7"/>
    <w:rsid w:val="00126C30"/>
    <w:rsid w:val="00126D20"/>
    <w:rsid w:val="00126D45"/>
    <w:rsid w:val="00126E3A"/>
    <w:rsid w:val="00127C4B"/>
    <w:rsid w:val="00127CDD"/>
    <w:rsid w:val="00127CEE"/>
    <w:rsid w:val="00127DB4"/>
    <w:rsid w:val="00130115"/>
    <w:rsid w:val="00130231"/>
    <w:rsid w:val="00130C64"/>
    <w:rsid w:val="00130E41"/>
    <w:rsid w:val="001316BC"/>
    <w:rsid w:val="00131740"/>
    <w:rsid w:val="00131E46"/>
    <w:rsid w:val="00131E91"/>
    <w:rsid w:val="00132071"/>
    <w:rsid w:val="001321A0"/>
    <w:rsid w:val="00132377"/>
    <w:rsid w:val="00132391"/>
    <w:rsid w:val="00132A75"/>
    <w:rsid w:val="00132CA5"/>
    <w:rsid w:val="00132D8D"/>
    <w:rsid w:val="00132EF5"/>
    <w:rsid w:val="001335A3"/>
    <w:rsid w:val="001336A7"/>
    <w:rsid w:val="00133859"/>
    <w:rsid w:val="00133AA2"/>
    <w:rsid w:val="001341B8"/>
    <w:rsid w:val="00134768"/>
    <w:rsid w:val="00134EF7"/>
    <w:rsid w:val="001350AB"/>
    <w:rsid w:val="00135421"/>
    <w:rsid w:val="001359D4"/>
    <w:rsid w:val="00135C4A"/>
    <w:rsid w:val="00135C94"/>
    <w:rsid w:val="00135D87"/>
    <w:rsid w:val="00135FF3"/>
    <w:rsid w:val="001365FF"/>
    <w:rsid w:val="00136AF2"/>
    <w:rsid w:val="00136CD9"/>
    <w:rsid w:val="00136D07"/>
    <w:rsid w:val="00136F24"/>
    <w:rsid w:val="001371D3"/>
    <w:rsid w:val="001375F2"/>
    <w:rsid w:val="0013768E"/>
    <w:rsid w:val="001378AD"/>
    <w:rsid w:val="0013793E"/>
    <w:rsid w:val="00137AA6"/>
    <w:rsid w:val="00137B83"/>
    <w:rsid w:val="001401F0"/>
    <w:rsid w:val="0014028D"/>
    <w:rsid w:val="00140447"/>
    <w:rsid w:val="001406C2"/>
    <w:rsid w:val="001409DD"/>
    <w:rsid w:val="00140C17"/>
    <w:rsid w:val="00141309"/>
    <w:rsid w:val="0014161E"/>
    <w:rsid w:val="0014164A"/>
    <w:rsid w:val="00141652"/>
    <w:rsid w:val="0014182D"/>
    <w:rsid w:val="0014184F"/>
    <w:rsid w:val="00141919"/>
    <w:rsid w:val="00141E88"/>
    <w:rsid w:val="00142303"/>
    <w:rsid w:val="001429D2"/>
    <w:rsid w:val="00142CAB"/>
    <w:rsid w:val="00143143"/>
    <w:rsid w:val="00143209"/>
    <w:rsid w:val="00143488"/>
    <w:rsid w:val="001438B4"/>
    <w:rsid w:val="001440B1"/>
    <w:rsid w:val="00144147"/>
    <w:rsid w:val="0014425A"/>
    <w:rsid w:val="0014430D"/>
    <w:rsid w:val="00144375"/>
    <w:rsid w:val="001446AA"/>
    <w:rsid w:val="0014476B"/>
    <w:rsid w:val="00144782"/>
    <w:rsid w:val="00144D0C"/>
    <w:rsid w:val="00144EDC"/>
    <w:rsid w:val="00145813"/>
    <w:rsid w:val="00145971"/>
    <w:rsid w:val="0014609B"/>
    <w:rsid w:val="001460E5"/>
    <w:rsid w:val="001464B0"/>
    <w:rsid w:val="0014681E"/>
    <w:rsid w:val="00146CAF"/>
    <w:rsid w:val="00146D8A"/>
    <w:rsid w:val="0014703D"/>
    <w:rsid w:val="001471DF"/>
    <w:rsid w:val="0014725D"/>
    <w:rsid w:val="001472B8"/>
    <w:rsid w:val="001474EF"/>
    <w:rsid w:val="00147605"/>
    <w:rsid w:val="0014769B"/>
    <w:rsid w:val="00147788"/>
    <w:rsid w:val="00147845"/>
    <w:rsid w:val="0014787F"/>
    <w:rsid w:val="00147A9E"/>
    <w:rsid w:val="00147ABF"/>
    <w:rsid w:val="00147E43"/>
    <w:rsid w:val="00147F63"/>
    <w:rsid w:val="00147FC0"/>
    <w:rsid w:val="00150735"/>
    <w:rsid w:val="00150AD3"/>
    <w:rsid w:val="00150B01"/>
    <w:rsid w:val="00150B33"/>
    <w:rsid w:val="001510E5"/>
    <w:rsid w:val="0015119D"/>
    <w:rsid w:val="001515DF"/>
    <w:rsid w:val="0015160A"/>
    <w:rsid w:val="001518DE"/>
    <w:rsid w:val="00151965"/>
    <w:rsid w:val="00151AA3"/>
    <w:rsid w:val="00151D52"/>
    <w:rsid w:val="00151FC7"/>
    <w:rsid w:val="0015220A"/>
    <w:rsid w:val="00152210"/>
    <w:rsid w:val="001523B0"/>
    <w:rsid w:val="00152641"/>
    <w:rsid w:val="00152656"/>
    <w:rsid w:val="001526AC"/>
    <w:rsid w:val="00153089"/>
    <w:rsid w:val="001530DA"/>
    <w:rsid w:val="0015330F"/>
    <w:rsid w:val="00153D58"/>
    <w:rsid w:val="00154A21"/>
    <w:rsid w:val="00154A32"/>
    <w:rsid w:val="00154D8C"/>
    <w:rsid w:val="00155018"/>
    <w:rsid w:val="0015511E"/>
    <w:rsid w:val="001556CC"/>
    <w:rsid w:val="00155C8A"/>
    <w:rsid w:val="00155CA7"/>
    <w:rsid w:val="00155D52"/>
    <w:rsid w:val="001561EC"/>
    <w:rsid w:val="00156390"/>
    <w:rsid w:val="00156BE4"/>
    <w:rsid w:val="00156FEC"/>
    <w:rsid w:val="001570A2"/>
    <w:rsid w:val="00157155"/>
    <w:rsid w:val="00157297"/>
    <w:rsid w:val="001572BC"/>
    <w:rsid w:val="001572EA"/>
    <w:rsid w:val="001573C7"/>
    <w:rsid w:val="00157C3C"/>
    <w:rsid w:val="00157C70"/>
    <w:rsid w:val="00157EF6"/>
    <w:rsid w:val="00157FE8"/>
    <w:rsid w:val="00157FE9"/>
    <w:rsid w:val="001600B5"/>
    <w:rsid w:val="001602E6"/>
    <w:rsid w:val="001603C9"/>
    <w:rsid w:val="00160797"/>
    <w:rsid w:val="001607E5"/>
    <w:rsid w:val="0016082F"/>
    <w:rsid w:val="00160A7E"/>
    <w:rsid w:val="00160EA8"/>
    <w:rsid w:val="001613C2"/>
    <w:rsid w:val="001615BD"/>
    <w:rsid w:val="00161882"/>
    <w:rsid w:val="00161B95"/>
    <w:rsid w:val="00161FA6"/>
    <w:rsid w:val="0016228B"/>
    <w:rsid w:val="001623AC"/>
    <w:rsid w:val="001627D6"/>
    <w:rsid w:val="00162C5F"/>
    <w:rsid w:val="00162CD3"/>
    <w:rsid w:val="00162E3F"/>
    <w:rsid w:val="00162F99"/>
    <w:rsid w:val="0016305B"/>
    <w:rsid w:val="0016346B"/>
    <w:rsid w:val="00163E43"/>
    <w:rsid w:val="001649F5"/>
    <w:rsid w:val="00164CD6"/>
    <w:rsid w:val="00164EBA"/>
    <w:rsid w:val="0016547D"/>
    <w:rsid w:val="001654D4"/>
    <w:rsid w:val="0016576D"/>
    <w:rsid w:val="00165B8B"/>
    <w:rsid w:val="00165F9E"/>
    <w:rsid w:val="00165FA5"/>
    <w:rsid w:val="00165FD5"/>
    <w:rsid w:val="00166E3D"/>
    <w:rsid w:val="00167F05"/>
    <w:rsid w:val="00167F2F"/>
    <w:rsid w:val="00170021"/>
    <w:rsid w:val="00170432"/>
    <w:rsid w:val="0017051A"/>
    <w:rsid w:val="0017055F"/>
    <w:rsid w:val="001706AC"/>
    <w:rsid w:val="001709C2"/>
    <w:rsid w:val="00170AD9"/>
    <w:rsid w:val="00170B9D"/>
    <w:rsid w:val="00170DF5"/>
    <w:rsid w:val="00170E7D"/>
    <w:rsid w:val="00170EE7"/>
    <w:rsid w:val="00170F05"/>
    <w:rsid w:val="001710E5"/>
    <w:rsid w:val="0017118F"/>
    <w:rsid w:val="00171521"/>
    <w:rsid w:val="00171833"/>
    <w:rsid w:val="00171FB1"/>
    <w:rsid w:val="00172150"/>
    <w:rsid w:val="001723D8"/>
    <w:rsid w:val="00172963"/>
    <w:rsid w:val="00172A80"/>
    <w:rsid w:val="00172C55"/>
    <w:rsid w:val="00172DFA"/>
    <w:rsid w:val="00172FA5"/>
    <w:rsid w:val="0017353E"/>
    <w:rsid w:val="00173596"/>
    <w:rsid w:val="0017370D"/>
    <w:rsid w:val="00173E0C"/>
    <w:rsid w:val="00173EBB"/>
    <w:rsid w:val="00175313"/>
    <w:rsid w:val="0017531F"/>
    <w:rsid w:val="00175355"/>
    <w:rsid w:val="00175433"/>
    <w:rsid w:val="0017570B"/>
    <w:rsid w:val="00175712"/>
    <w:rsid w:val="001759F6"/>
    <w:rsid w:val="00175B04"/>
    <w:rsid w:val="00175B42"/>
    <w:rsid w:val="001760E6"/>
    <w:rsid w:val="001762FD"/>
    <w:rsid w:val="00176339"/>
    <w:rsid w:val="00176476"/>
    <w:rsid w:val="001764DC"/>
    <w:rsid w:val="00176801"/>
    <w:rsid w:val="00176B06"/>
    <w:rsid w:val="00177449"/>
    <w:rsid w:val="001774B5"/>
    <w:rsid w:val="001777B8"/>
    <w:rsid w:val="001777E6"/>
    <w:rsid w:val="00177829"/>
    <w:rsid w:val="00177B89"/>
    <w:rsid w:val="00177ED1"/>
    <w:rsid w:val="00180024"/>
    <w:rsid w:val="0018004C"/>
    <w:rsid w:val="001806EE"/>
    <w:rsid w:val="0018084C"/>
    <w:rsid w:val="00180BC1"/>
    <w:rsid w:val="00180DCC"/>
    <w:rsid w:val="00180FEA"/>
    <w:rsid w:val="001811A2"/>
    <w:rsid w:val="00181259"/>
    <w:rsid w:val="001819AD"/>
    <w:rsid w:val="00181E5D"/>
    <w:rsid w:val="00181F12"/>
    <w:rsid w:val="0018232F"/>
    <w:rsid w:val="00182383"/>
    <w:rsid w:val="00182652"/>
    <w:rsid w:val="00182A7D"/>
    <w:rsid w:val="00182B37"/>
    <w:rsid w:val="00182DEC"/>
    <w:rsid w:val="00182EB2"/>
    <w:rsid w:val="00183015"/>
    <w:rsid w:val="00183159"/>
    <w:rsid w:val="001835E5"/>
    <w:rsid w:val="001836B9"/>
    <w:rsid w:val="00183CAE"/>
    <w:rsid w:val="00183FBC"/>
    <w:rsid w:val="0018411D"/>
    <w:rsid w:val="001843E7"/>
    <w:rsid w:val="00184426"/>
    <w:rsid w:val="001847BE"/>
    <w:rsid w:val="00184A98"/>
    <w:rsid w:val="00185377"/>
    <w:rsid w:val="001854AE"/>
    <w:rsid w:val="001856DB"/>
    <w:rsid w:val="0018587A"/>
    <w:rsid w:val="00185A79"/>
    <w:rsid w:val="00185D6E"/>
    <w:rsid w:val="00186144"/>
    <w:rsid w:val="001861FD"/>
    <w:rsid w:val="00186472"/>
    <w:rsid w:val="00186E13"/>
    <w:rsid w:val="00187021"/>
    <w:rsid w:val="0018718B"/>
    <w:rsid w:val="00187A1E"/>
    <w:rsid w:val="00187B5A"/>
    <w:rsid w:val="00187C19"/>
    <w:rsid w:val="00187D5E"/>
    <w:rsid w:val="00187E1A"/>
    <w:rsid w:val="00187F62"/>
    <w:rsid w:val="00190077"/>
    <w:rsid w:val="001902C1"/>
    <w:rsid w:val="00190360"/>
    <w:rsid w:val="00190611"/>
    <w:rsid w:val="001906B8"/>
    <w:rsid w:val="001906E0"/>
    <w:rsid w:val="00190A3D"/>
    <w:rsid w:val="00190B88"/>
    <w:rsid w:val="00190CB0"/>
    <w:rsid w:val="00190FCE"/>
    <w:rsid w:val="00191150"/>
    <w:rsid w:val="00191177"/>
    <w:rsid w:val="001915E8"/>
    <w:rsid w:val="001918BA"/>
    <w:rsid w:val="00191981"/>
    <w:rsid w:val="001919F5"/>
    <w:rsid w:val="001919FC"/>
    <w:rsid w:val="0019244B"/>
    <w:rsid w:val="00192846"/>
    <w:rsid w:val="00192B57"/>
    <w:rsid w:val="00192B65"/>
    <w:rsid w:val="00192BBB"/>
    <w:rsid w:val="00192CAB"/>
    <w:rsid w:val="00192EB4"/>
    <w:rsid w:val="00192FC0"/>
    <w:rsid w:val="001931B1"/>
    <w:rsid w:val="001932F0"/>
    <w:rsid w:val="0019355D"/>
    <w:rsid w:val="0019356B"/>
    <w:rsid w:val="0019394C"/>
    <w:rsid w:val="00193A40"/>
    <w:rsid w:val="00193C17"/>
    <w:rsid w:val="00193C92"/>
    <w:rsid w:val="001940B4"/>
    <w:rsid w:val="0019423E"/>
    <w:rsid w:val="00194DC2"/>
    <w:rsid w:val="00194DCD"/>
    <w:rsid w:val="0019545E"/>
    <w:rsid w:val="00195520"/>
    <w:rsid w:val="001958B6"/>
    <w:rsid w:val="00195AFF"/>
    <w:rsid w:val="00195D97"/>
    <w:rsid w:val="00195EB1"/>
    <w:rsid w:val="00196419"/>
    <w:rsid w:val="00196450"/>
    <w:rsid w:val="00196587"/>
    <w:rsid w:val="00196613"/>
    <w:rsid w:val="0019674F"/>
    <w:rsid w:val="00196C70"/>
    <w:rsid w:val="00196C8B"/>
    <w:rsid w:val="00196D6E"/>
    <w:rsid w:val="00196E23"/>
    <w:rsid w:val="00196E88"/>
    <w:rsid w:val="001972F3"/>
    <w:rsid w:val="00197317"/>
    <w:rsid w:val="001973EB"/>
    <w:rsid w:val="0019787D"/>
    <w:rsid w:val="00197B66"/>
    <w:rsid w:val="00197F49"/>
    <w:rsid w:val="001A090E"/>
    <w:rsid w:val="001A0B78"/>
    <w:rsid w:val="001A0B9F"/>
    <w:rsid w:val="001A10E6"/>
    <w:rsid w:val="001A117B"/>
    <w:rsid w:val="001A11F9"/>
    <w:rsid w:val="001A153F"/>
    <w:rsid w:val="001A16E0"/>
    <w:rsid w:val="001A18AD"/>
    <w:rsid w:val="001A1A30"/>
    <w:rsid w:val="001A1B90"/>
    <w:rsid w:val="001A1FF9"/>
    <w:rsid w:val="001A2056"/>
    <w:rsid w:val="001A2240"/>
    <w:rsid w:val="001A232D"/>
    <w:rsid w:val="001A260C"/>
    <w:rsid w:val="001A2685"/>
    <w:rsid w:val="001A27B8"/>
    <w:rsid w:val="001A2B40"/>
    <w:rsid w:val="001A2F8D"/>
    <w:rsid w:val="001A312D"/>
    <w:rsid w:val="001A355E"/>
    <w:rsid w:val="001A412E"/>
    <w:rsid w:val="001A420F"/>
    <w:rsid w:val="001A42A8"/>
    <w:rsid w:val="001A4909"/>
    <w:rsid w:val="001A4E83"/>
    <w:rsid w:val="001A5430"/>
    <w:rsid w:val="001A545B"/>
    <w:rsid w:val="001A5473"/>
    <w:rsid w:val="001A5569"/>
    <w:rsid w:val="001A5643"/>
    <w:rsid w:val="001A6169"/>
    <w:rsid w:val="001A63F1"/>
    <w:rsid w:val="001A6661"/>
    <w:rsid w:val="001A7163"/>
    <w:rsid w:val="001A71BE"/>
    <w:rsid w:val="001A72E3"/>
    <w:rsid w:val="001A7492"/>
    <w:rsid w:val="001A76AA"/>
    <w:rsid w:val="001A78B9"/>
    <w:rsid w:val="001A7C6A"/>
    <w:rsid w:val="001A7D23"/>
    <w:rsid w:val="001A7EE1"/>
    <w:rsid w:val="001A7F6A"/>
    <w:rsid w:val="001B00D1"/>
    <w:rsid w:val="001B035E"/>
    <w:rsid w:val="001B04C2"/>
    <w:rsid w:val="001B04D2"/>
    <w:rsid w:val="001B05B9"/>
    <w:rsid w:val="001B07F7"/>
    <w:rsid w:val="001B095B"/>
    <w:rsid w:val="001B0D7B"/>
    <w:rsid w:val="001B0F51"/>
    <w:rsid w:val="001B1000"/>
    <w:rsid w:val="001B12D6"/>
    <w:rsid w:val="001B14AC"/>
    <w:rsid w:val="001B15D3"/>
    <w:rsid w:val="001B17B5"/>
    <w:rsid w:val="001B1A42"/>
    <w:rsid w:val="001B1C4D"/>
    <w:rsid w:val="001B1E64"/>
    <w:rsid w:val="001B2393"/>
    <w:rsid w:val="001B23E8"/>
    <w:rsid w:val="001B2420"/>
    <w:rsid w:val="001B252B"/>
    <w:rsid w:val="001B256B"/>
    <w:rsid w:val="001B28C8"/>
    <w:rsid w:val="001B29AE"/>
    <w:rsid w:val="001B29E5"/>
    <w:rsid w:val="001B2A30"/>
    <w:rsid w:val="001B2A5B"/>
    <w:rsid w:val="001B2B82"/>
    <w:rsid w:val="001B2BA6"/>
    <w:rsid w:val="001B305C"/>
    <w:rsid w:val="001B394D"/>
    <w:rsid w:val="001B3960"/>
    <w:rsid w:val="001B39F5"/>
    <w:rsid w:val="001B3AD5"/>
    <w:rsid w:val="001B4153"/>
    <w:rsid w:val="001B439F"/>
    <w:rsid w:val="001B4521"/>
    <w:rsid w:val="001B4E22"/>
    <w:rsid w:val="001B5441"/>
    <w:rsid w:val="001B5500"/>
    <w:rsid w:val="001B5906"/>
    <w:rsid w:val="001B5BD7"/>
    <w:rsid w:val="001B5DD1"/>
    <w:rsid w:val="001B5E8B"/>
    <w:rsid w:val="001B6D7F"/>
    <w:rsid w:val="001B6E88"/>
    <w:rsid w:val="001B6F8A"/>
    <w:rsid w:val="001B7164"/>
    <w:rsid w:val="001B7638"/>
    <w:rsid w:val="001B765B"/>
    <w:rsid w:val="001B7900"/>
    <w:rsid w:val="001B790D"/>
    <w:rsid w:val="001B79E4"/>
    <w:rsid w:val="001B7A06"/>
    <w:rsid w:val="001B7A3F"/>
    <w:rsid w:val="001B7D36"/>
    <w:rsid w:val="001C0071"/>
    <w:rsid w:val="001C00B2"/>
    <w:rsid w:val="001C0415"/>
    <w:rsid w:val="001C074E"/>
    <w:rsid w:val="001C0906"/>
    <w:rsid w:val="001C0916"/>
    <w:rsid w:val="001C1677"/>
    <w:rsid w:val="001C1833"/>
    <w:rsid w:val="001C1F72"/>
    <w:rsid w:val="001C203D"/>
    <w:rsid w:val="001C2840"/>
    <w:rsid w:val="001C2963"/>
    <w:rsid w:val="001C2E43"/>
    <w:rsid w:val="001C30B3"/>
    <w:rsid w:val="001C37C4"/>
    <w:rsid w:val="001C39CF"/>
    <w:rsid w:val="001C3D19"/>
    <w:rsid w:val="001C3EFD"/>
    <w:rsid w:val="001C3F95"/>
    <w:rsid w:val="001C40D8"/>
    <w:rsid w:val="001C416A"/>
    <w:rsid w:val="001C4196"/>
    <w:rsid w:val="001C45E3"/>
    <w:rsid w:val="001C4797"/>
    <w:rsid w:val="001C4AE8"/>
    <w:rsid w:val="001C4AF8"/>
    <w:rsid w:val="001C4C98"/>
    <w:rsid w:val="001C4D9D"/>
    <w:rsid w:val="001C5227"/>
    <w:rsid w:val="001C5252"/>
    <w:rsid w:val="001C599C"/>
    <w:rsid w:val="001C59E6"/>
    <w:rsid w:val="001C5A56"/>
    <w:rsid w:val="001C5A5C"/>
    <w:rsid w:val="001C5A8A"/>
    <w:rsid w:val="001C5F43"/>
    <w:rsid w:val="001C6015"/>
    <w:rsid w:val="001C68FB"/>
    <w:rsid w:val="001C7119"/>
    <w:rsid w:val="001C75C2"/>
    <w:rsid w:val="001C7FB1"/>
    <w:rsid w:val="001D00E2"/>
    <w:rsid w:val="001D0283"/>
    <w:rsid w:val="001D05F4"/>
    <w:rsid w:val="001D0739"/>
    <w:rsid w:val="001D0ABB"/>
    <w:rsid w:val="001D0BB1"/>
    <w:rsid w:val="001D0D45"/>
    <w:rsid w:val="001D0F4F"/>
    <w:rsid w:val="001D1140"/>
    <w:rsid w:val="001D1827"/>
    <w:rsid w:val="001D1E07"/>
    <w:rsid w:val="001D2155"/>
    <w:rsid w:val="001D21B6"/>
    <w:rsid w:val="001D267B"/>
    <w:rsid w:val="001D2BE8"/>
    <w:rsid w:val="001D2FFC"/>
    <w:rsid w:val="001D32BE"/>
    <w:rsid w:val="001D3820"/>
    <w:rsid w:val="001D3823"/>
    <w:rsid w:val="001D387F"/>
    <w:rsid w:val="001D3E9B"/>
    <w:rsid w:val="001D3F8D"/>
    <w:rsid w:val="001D412E"/>
    <w:rsid w:val="001D43BE"/>
    <w:rsid w:val="001D4589"/>
    <w:rsid w:val="001D489E"/>
    <w:rsid w:val="001D4E29"/>
    <w:rsid w:val="001D4EF7"/>
    <w:rsid w:val="001D50F3"/>
    <w:rsid w:val="001D51EC"/>
    <w:rsid w:val="001D542A"/>
    <w:rsid w:val="001D5459"/>
    <w:rsid w:val="001D58A2"/>
    <w:rsid w:val="001D5930"/>
    <w:rsid w:val="001D59B3"/>
    <w:rsid w:val="001D5EC4"/>
    <w:rsid w:val="001D63F4"/>
    <w:rsid w:val="001D6697"/>
    <w:rsid w:val="001D681A"/>
    <w:rsid w:val="001D6FDD"/>
    <w:rsid w:val="001D718D"/>
    <w:rsid w:val="001D74D9"/>
    <w:rsid w:val="001D7E18"/>
    <w:rsid w:val="001D7FE0"/>
    <w:rsid w:val="001E02AD"/>
    <w:rsid w:val="001E0313"/>
    <w:rsid w:val="001E0D96"/>
    <w:rsid w:val="001E1248"/>
    <w:rsid w:val="001E14F8"/>
    <w:rsid w:val="001E18A5"/>
    <w:rsid w:val="001E18FA"/>
    <w:rsid w:val="001E1D9C"/>
    <w:rsid w:val="001E1F7B"/>
    <w:rsid w:val="001E1FCE"/>
    <w:rsid w:val="001E233B"/>
    <w:rsid w:val="001E24FB"/>
    <w:rsid w:val="001E25DA"/>
    <w:rsid w:val="001E2784"/>
    <w:rsid w:val="001E29A6"/>
    <w:rsid w:val="001E2F38"/>
    <w:rsid w:val="001E2FB8"/>
    <w:rsid w:val="001E34D5"/>
    <w:rsid w:val="001E3BCF"/>
    <w:rsid w:val="001E3F51"/>
    <w:rsid w:val="001E444C"/>
    <w:rsid w:val="001E4577"/>
    <w:rsid w:val="001E491D"/>
    <w:rsid w:val="001E493A"/>
    <w:rsid w:val="001E56C6"/>
    <w:rsid w:val="001E58D6"/>
    <w:rsid w:val="001E5A4F"/>
    <w:rsid w:val="001E63AD"/>
    <w:rsid w:val="001E6F3B"/>
    <w:rsid w:val="001E70CE"/>
    <w:rsid w:val="001E7364"/>
    <w:rsid w:val="001E73F0"/>
    <w:rsid w:val="001E7CF8"/>
    <w:rsid w:val="001E7DC1"/>
    <w:rsid w:val="001F007B"/>
    <w:rsid w:val="001F013C"/>
    <w:rsid w:val="001F014C"/>
    <w:rsid w:val="001F01C1"/>
    <w:rsid w:val="001F02F3"/>
    <w:rsid w:val="001F03D0"/>
    <w:rsid w:val="001F05DC"/>
    <w:rsid w:val="001F0DC7"/>
    <w:rsid w:val="001F11E4"/>
    <w:rsid w:val="001F143A"/>
    <w:rsid w:val="001F14FE"/>
    <w:rsid w:val="001F1525"/>
    <w:rsid w:val="001F1B49"/>
    <w:rsid w:val="001F1C80"/>
    <w:rsid w:val="001F28B8"/>
    <w:rsid w:val="001F294D"/>
    <w:rsid w:val="001F2A14"/>
    <w:rsid w:val="001F313E"/>
    <w:rsid w:val="001F3555"/>
    <w:rsid w:val="001F357F"/>
    <w:rsid w:val="001F36B7"/>
    <w:rsid w:val="001F37E3"/>
    <w:rsid w:val="001F39B6"/>
    <w:rsid w:val="001F4342"/>
    <w:rsid w:val="001F4447"/>
    <w:rsid w:val="001F4745"/>
    <w:rsid w:val="001F4A3D"/>
    <w:rsid w:val="001F4C06"/>
    <w:rsid w:val="001F4D99"/>
    <w:rsid w:val="001F5104"/>
    <w:rsid w:val="001F5A2D"/>
    <w:rsid w:val="001F5B3B"/>
    <w:rsid w:val="001F5D5E"/>
    <w:rsid w:val="001F6235"/>
    <w:rsid w:val="001F62A0"/>
    <w:rsid w:val="001F6398"/>
    <w:rsid w:val="001F6CAD"/>
    <w:rsid w:val="001F6CE9"/>
    <w:rsid w:val="001F6E28"/>
    <w:rsid w:val="001F6F88"/>
    <w:rsid w:val="001F6F9F"/>
    <w:rsid w:val="001F70AC"/>
    <w:rsid w:val="001F72D2"/>
    <w:rsid w:val="001F72E0"/>
    <w:rsid w:val="001F7645"/>
    <w:rsid w:val="001F77CE"/>
    <w:rsid w:val="001F7FBB"/>
    <w:rsid w:val="00200050"/>
    <w:rsid w:val="00200126"/>
    <w:rsid w:val="002004F8"/>
    <w:rsid w:val="00200602"/>
    <w:rsid w:val="002006F7"/>
    <w:rsid w:val="00200A93"/>
    <w:rsid w:val="00200AA2"/>
    <w:rsid w:val="00200CF5"/>
    <w:rsid w:val="00200D37"/>
    <w:rsid w:val="00200E9B"/>
    <w:rsid w:val="00200F5D"/>
    <w:rsid w:val="00200F61"/>
    <w:rsid w:val="002011B5"/>
    <w:rsid w:val="00201677"/>
    <w:rsid w:val="0020191C"/>
    <w:rsid w:val="00201A73"/>
    <w:rsid w:val="00201F39"/>
    <w:rsid w:val="002022EC"/>
    <w:rsid w:val="002024F5"/>
    <w:rsid w:val="0020263E"/>
    <w:rsid w:val="00202BEB"/>
    <w:rsid w:val="00202C2B"/>
    <w:rsid w:val="00202F5D"/>
    <w:rsid w:val="002030CE"/>
    <w:rsid w:val="002038B7"/>
    <w:rsid w:val="00203DE7"/>
    <w:rsid w:val="00203E6E"/>
    <w:rsid w:val="00203EEE"/>
    <w:rsid w:val="00204069"/>
    <w:rsid w:val="00204286"/>
    <w:rsid w:val="00204567"/>
    <w:rsid w:val="00204BCC"/>
    <w:rsid w:val="00205407"/>
    <w:rsid w:val="002055DC"/>
    <w:rsid w:val="00205685"/>
    <w:rsid w:val="00205A80"/>
    <w:rsid w:val="00205B3E"/>
    <w:rsid w:val="00205C3B"/>
    <w:rsid w:val="00205C5A"/>
    <w:rsid w:val="00205CB6"/>
    <w:rsid w:val="00205F21"/>
    <w:rsid w:val="002061D6"/>
    <w:rsid w:val="002065F4"/>
    <w:rsid w:val="0020698A"/>
    <w:rsid w:val="00207030"/>
    <w:rsid w:val="00207CC3"/>
    <w:rsid w:val="00210029"/>
    <w:rsid w:val="00210051"/>
    <w:rsid w:val="00210394"/>
    <w:rsid w:val="00210F88"/>
    <w:rsid w:val="002111FE"/>
    <w:rsid w:val="00211407"/>
    <w:rsid w:val="00211BBC"/>
    <w:rsid w:val="00211E32"/>
    <w:rsid w:val="00211F46"/>
    <w:rsid w:val="0021237C"/>
    <w:rsid w:val="002126BD"/>
    <w:rsid w:val="00212944"/>
    <w:rsid w:val="00212CFF"/>
    <w:rsid w:val="00212F62"/>
    <w:rsid w:val="002130CE"/>
    <w:rsid w:val="00213159"/>
    <w:rsid w:val="002134B8"/>
    <w:rsid w:val="0021360E"/>
    <w:rsid w:val="0021372D"/>
    <w:rsid w:val="00213BB4"/>
    <w:rsid w:val="00213C10"/>
    <w:rsid w:val="00213C2C"/>
    <w:rsid w:val="00213DA2"/>
    <w:rsid w:val="002148BB"/>
    <w:rsid w:val="002149E3"/>
    <w:rsid w:val="00214B88"/>
    <w:rsid w:val="00214E59"/>
    <w:rsid w:val="00215308"/>
    <w:rsid w:val="00215378"/>
    <w:rsid w:val="0021543C"/>
    <w:rsid w:val="002154D2"/>
    <w:rsid w:val="0021569D"/>
    <w:rsid w:val="002161FC"/>
    <w:rsid w:val="00216267"/>
    <w:rsid w:val="00216461"/>
    <w:rsid w:val="002166C8"/>
    <w:rsid w:val="00216A8D"/>
    <w:rsid w:val="00216D4D"/>
    <w:rsid w:val="00216D4E"/>
    <w:rsid w:val="00216E5C"/>
    <w:rsid w:val="00217058"/>
    <w:rsid w:val="002171F4"/>
    <w:rsid w:val="00217F85"/>
    <w:rsid w:val="00220570"/>
    <w:rsid w:val="0022077D"/>
    <w:rsid w:val="002216E9"/>
    <w:rsid w:val="00221791"/>
    <w:rsid w:val="00221B38"/>
    <w:rsid w:val="00221D4D"/>
    <w:rsid w:val="00221E85"/>
    <w:rsid w:val="00221F43"/>
    <w:rsid w:val="00222234"/>
    <w:rsid w:val="002226D3"/>
    <w:rsid w:val="0022282F"/>
    <w:rsid w:val="00222864"/>
    <w:rsid w:val="0022290D"/>
    <w:rsid w:val="00222B8F"/>
    <w:rsid w:val="00222EFA"/>
    <w:rsid w:val="00223155"/>
    <w:rsid w:val="002232FD"/>
    <w:rsid w:val="00223500"/>
    <w:rsid w:val="00223755"/>
    <w:rsid w:val="002237CA"/>
    <w:rsid w:val="002238AE"/>
    <w:rsid w:val="00223E02"/>
    <w:rsid w:val="00223E22"/>
    <w:rsid w:val="00223F67"/>
    <w:rsid w:val="00224525"/>
    <w:rsid w:val="00224B01"/>
    <w:rsid w:val="00224E55"/>
    <w:rsid w:val="002253EF"/>
    <w:rsid w:val="0022551C"/>
    <w:rsid w:val="0022556A"/>
    <w:rsid w:val="00225656"/>
    <w:rsid w:val="0022571F"/>
    <w:rsid w:val="002259A0"/>
    <w:rsid w:val="00225A4F"/>
    <w:rsid w:val="00225EC1"/>
    <w:rsid w:val="00226623"/>
    <w:rsid w:val="002266FC"/>
    <w:rsid w:val="00226A54"/>
    <w:rsid w:val="00226A84"/>
    <w:rsid w:val="00226CBC"/>
    <w:rsid w:val="00226D60"/>
    <w:rsid w:val="00226D92"/>
    <w:rsid w:val="00226F14"/>
    <w:rsid w:val="00226FEE"/>
    <w:rsid w:val="002271BE"/>
    <w:rsid w:val="00227210"/>
    <w:rsid w:val="002274FD"/>
    <w:rsid w:val="002277E1"/>
    <w:rsid w:val="00227849"/>
    <w:rsid w:val="00227A74"/>
    <w:rsid w:val="00227AB4"/>
    <w:rsid w:val="00227F09"/>
    <w:rsid w:val="0023016B"/>
    <w:rsid w:val="00230275"/>
    <w:rsid w:val="0023066D"/>
    <w:rsid w:val="002306E4"/>
    <w:rsid w:val="0023077B"/>
    <w:rsid w:val="00230BF5"/>
    <w:rsid w:val="00230DFF"/>
    <w:rsid w:val="00230FEE"/>
    <w:rsid w:val="00231275"/>
    <w:rsid w:val="00231505"/>
    <w:rsid w:val="00231686"/>
    <w:rsid w:val="002316CA"/>
    <w:rsid w:val="00231787"/>
    <w:rsid w:val="00231909"/>
    <w:rsid w:val="00231C5E"/>
    <w:rsid w:val="00231D56"/>
    <w:rsid w:val="00231DA0"/>
    <w:rsid w:val="00231DD1"/>
    <w:rsid w:val="002326D7"/>
    <w:rsid w:val="002326E3"/>
    <w:rsid w:val="00232761"/>
    <w:rsid w:val="00232A18"/>
    <w:rsid w:val="00232A2C"/>
    <w:rsid w:val="00232CBD"/>
    <w:rsid w:val="00232CC6"/>
    <w:rsid w:val="00233A7A"/>
    <w:rsid w:val="00233E7A"/>
    <w:rsid w:val="002341F5"/>
    <w:rsid w:val="002345D2"/>
    <w:rsid w:val="00234C3E"/>
    <w:rsid w:val="00234F18"/>
    <w:rsid w:val="00234FAA"/>
    <w:rsid w:val="002352F6"/>
    <w:rsid w:val="00235487"/>
    <w:rsid w:val="00235904"/>
    <w:rsid w:val="00235A93"/>
    <w:rsid w:val="00235E3D"/>
    <w:rsid w:val="00236065"/>
    <w:rsid w:val="002366BB"/>
    <w:rsid w:val="002368CA"/>
    <w:rsid w:val="00236C05"/>
    <w:rsid w:val="00236E2A"/>
    <w:rsid w:val="00236ED5"/>
    <w:rsid w:val="00236F5E"/>
    <w:rsid w:val="0023744E"/>
    <w:rsid w:val="002375AC"/>
    <w:rsid w:val="00237767"/>
    <w:rsid w:val="00237B51"/>
    <w:rsid w:val="00237BE2"/>
    <w:rsid w:val="00237E2E"/>
    <w:rsid w:val="002401D4"/>
    <w:rsid w:val="00240520"/>
    <w:rsid w:val="00240947"/>
    <w:rsid w:val="00240F0D"/>
    <w:rsid w:val="00240FD3"/>
    <w:rsid w:val="002413C8"/>
    <w:rsid w:val="0024153B"/>
    <w:rsid w:val="00241B31"/>
    <w:rsid w:val="00241C39"/>
    <w:rsid w:val="00242841"/>
    <w:rsid w:val="00242BAF"/>
    <w:rsid w:val="00242D1B"/>
    <w:rsid w:val="00243247"/>
    <w:rsid w:val="002432CF"/>
    <w:rsid w:val="00243693"/>
    <w:rsid w:val="00243FDE"/>
    <w:rsid w:val="002443AD"/>
    <w:rsid w:val="0024498C"/>
    <w:rsid w:val="00244CAB"/>
    <w:rsid w:val="00244F6A"/>
    <w:rsid w:val="0024505B"/>
    <w:rsid w:val="002450FC"/>
    <w:rsid w:val="002455F6"/>
    <w:rsid w:val="00245726"/>
    <w:rsid w:val="00245D89"/>
    <w:rsid w:val="002461DC"/>
    <w:rsid w:val="00246344"/>
    <w:rsid w:val="002468B3"/>
    <w:rsid w:val="00246A3C"/>
    <w:rsid w:val="00246DA8"/>
    <w:rsid w:val="0025059E"/>
    <w:rsid w:val="002508B3"/>
    <w:rsid w:val="00250C97"/>
    <w:rsid w:val="00250F70"/>
    <w:rsid w:val="0025132E"/>
    <w:rsid w:val="00251360"/>
    <w:rsid w:val="0025137B"/>
    <w:rsid w:val="00251C1F"/>
    <w:rsid w:val="00252467"/>
    <w:rsid w:val="00252744"/>
    <w:rsid w:val="00252B9F"/>
    <w:rsid w:val="00252CDA"/>
    <w:rsid w:val="00252E47"/>
    <w:rsid w:val="00252E97"/>
    <w:rsid w:val="00253545"/>
    <w:rsid w:val="00253619"/>
    <w:rsid w:val="00253644"/>
    <w:rsid w:val="00253651"/>
    <w:rsid w:val="00253EA8"/>
    <w:rsid w:val="002542E2"/>
    <w:rsid w:val="002543BE"/>
    <w:rsid w:val="00254474"/>
    <w:rsid w:val="002544BE"/>
    <w:rsid w:val="002548B4"/>
    <w:rsid w:val="00254DD0"/>
    <w:rsid w:val="00254EC2"/>
    <w:rsid w:val="00255291"/>
    <w:rsid w:val="002555AC"/>
    <w:rsid w:val="002555DB"/>
    <w:rsid w:val="002557ED"/>
    <w:rsid w:val="00255A74"/>
    <w:rsid w:val="00255BB3"/>
    <w:rsid w:val="00255C42"/>
    <w:rsid w:val="002562D0"/>
    <w:rsid w:val="00256775"/>
    <w:rsid w:val="00256A9A"/>
    <w:rsid w:val="00256E73"/>
    <w:rsid w:val="0025704C"/>
    <w:rsid w:val="002572A9"/>
    <w:rsid w:val="00257B18"/>
    <w:rsid w:val="00257BE0"/>
    <w:rsid w:val="002602B3"/>
    <w:rsid w:val="0026042C"/>
    <w:rsid w:val="00260B2C"/>
    <w:rsid w:val="00260D4F"/>
    <w:rsid w:val="00260EF8"/>
    <w:rsid w:val="00260F8F"/>
    <w:rsid w:val="0026165B"/>
    <w:rsid w:val="002618D0"/>
    <w:rsid w:val="0026192A"/>
    <w:rsid w:val="00261D23"/>
    <w:rsid w:val="00261DF4"/>
    <w:rsid w:val="00262209"/>
    <w:rsid w:val="002622AC"/>
    <w:rsid w:val="00262586"/>
    <w:rsid w:val="00262897"/>
    <w:rsid w:val="002629D4"/>
    <w:rsid w:val="00262BE4"/>
    <w:rsid w:val="00262D90"/>
    <w:rsid w:val="002630A4"/>
    <w:rsid w:val="0026327F"/>
    <w:rsid w:val="00263462"/>
    <w:rsid w:val="00263B2C"/>
    <w:rsid w:val="00263D30"/>
    <w:rsid w:val="00263E53"/>
    <w:rsid w:val="00264005"/>
    <w:rsid w:val="00264151"/>
    <w:rsid w:val="00264AC9"/>
    <w:rsid w:val="00264CC9"/>
    <w:rsid w:val="00264F7C"/>
    <w:rsid w:val="0026528A"/>
    <w:rsid w:val="00265600"/>
    <w:rsid w:val="002659AD"/>
    <w:rsid w:val="00265BFD"/>
    <w:rsid w:val="00265FDB"/>
    <w:rsid w:val="00266551"/>
    <w:rsid w:val="002665F8"/>
    <w:rsid w:val="00266930"/>
    <w:rsid w:val="00266EFD"/>
    <w:rsid w:val="00267032"/>
    <w:rsid w:val="00267191"/>
    <w:rsid w:val="002671B3"/>
    <w:rsid w:val="00267408"/>
    <w:rsid w:val="002674F2"/>
    <w:rsid w:val="00267540"/>
    <w:rsid w:val="00267560"/>
    <w:rsid w:val="00267A98"/>
    <w:rsid w:val="00267F43"/>
    <w:rsid w:val="00270410"/>
    <w:rsid w:val="00270462"/>
    <w:rsid w:val="002704B3"/>
    <w:rsid w:val="0027063B"/>
    <w:rsid w:val="00270692"/>
    <w:rsid w:val="002706BA"/>
    <w:rsid w:val="00270705"/>
    <w:rsid w:val="00270FEF"/>
    <w:rsid w:val="002710EB"/>
    <w:rsid w:val="002713D3"/>
    <w:rsid w:val="0027170F"/>
    <w:rsid w:val="00271B92"/>
    <w:rsid w:val="00271CD7"/>
    <w:rsid w:val="00271E2F"/>
    <w:rsid w:val="0027232B"/>
    <w:rsid w:val="00272396"/>
    <w:rsid w:val="0027274E"/>
    <w:rsid w:val="00272EEE"/>
    <w:rsid w:val="00273081"/>
    <w:rsid w:val="002735B6"/>
    <w:rsid w:val="00273B25"/>
    <w:rsid w:val="00273DB1"/>
    <w:rsid w:val="00274013"/>
    <w:rsid w:val="00274415"/>
    <w:rsid w:val="002748CC"/>
    <w:rsid w:val="00274996"/>
    <w:rsid w:val="00274A6E"/>
    <w:rsid w:val="00274DA3"/>
    <w:rsid w:val="002753A7"/>
    <w:rsid w:val="002755A4"/>
    <w:rsid w:val="002755CA"/>
    <w:rsid w:val="00275741"/>
    <w:rsid w:val="00275849"/>
    <w:rsid w:val="0027589B"/>
    <w:rsid w:val="00275EC0"/>
    <w:rsid w:val="00275F81"/>
    <w:rsid w:val="002763A5"/>
    <w:rsid w:val="00276486"/>
    <w:rsid w:val="002764CD"/>
    <w:rsid w:val="00276759"/>
    <w:rsid w:val="00276902"/>
    <w:rsid w:val="002769E2"/>
    <w:rsid w:val="00276C71"/>
    <w:rsid w:val="00276C7A"/>
    <w:rsid w:val="002772D5"/>
    <w:rsid w:val="002773EA"/>
    <w:rsid w:val="00277653"/>
    <w:rsid w:val="00277786"/>
    <w:rsid w:val="00277812"/>
    <w:rsid w:val="002802F4"/>
    <w:rsid w:val="00280532"/>
    <w:rsid w:val="002808B4"/>
    <w:rsid w:val="00280B70"/>
    <w:rsid w:val="00280C71"/>
    <w:rsid w:val="00280E13"/>
    <w:rsid w:val="00280F94"/>
    <w:rsid w:val="00281271"/>
    <w:rsid w:val="00281552"/>
    <w:rsid w:val="002817E0"/>
    <w:rsid w:val="00281F41"/>
    <w:rsid w:val="00281FF8"/>
    <w:rsid w:val="00282145"/>
    <w:rsid w:val="00282522"/>
    <w:rsid w:val="00282870"/>
    <w:rsid w:val="00282BCB"/>
    <w:rsid w:val="002835AC"/>
    <w:rsid w:val="00283839"/>
    <w:rsid w:val="002838B1"/>
    <w:rsid w:val="00283926"/>
    <w:rsid w:val="002839DF"/>
    <w:rsid w:val="0028493E"/>
    <w:rsid w:val="00284DCC"/>
    <w:rsid w:val="00284F22"/>
    <w:rsid w:val="00285260"/>
    <w:rsid w:val="002853E7"/>
    <w:rsid w:val="00285617"/>
    <w:rsid w:val="002857AC"/>
    <w:rsid w:val="00285E27"/>
    <w:rsid w:val="0028675B"/>
    <w:rsid w:val="002867F0"/>
    <w:rsid w:val="002868B0"/>
    <w:rsid w:val="00286947"/>
    <w:rsid w:val="00286AC0"/>
    <w:rsid w:val="00286CBB"/>
    <w:rsid w:val="00286F10"/>
    <w:rsid w:val="00286F61"/>
    <w:rsid w:val="00287112"/>
    <w:rsid w:val="0028726D"/>
    <w:rsid w:val="00287987"/>
    <w:rsid w:val="00287C57"/>
    <w:rsid w:val="00290250"/>
    <w:rsid w:val="0029027D"/>
    <w:rsid w:val="0029078A"/>
    <w:rsid w:val="00290915"/>
    <w:rsid w:val="00290A11"/>
    <w:rsid w:val="00290E67"/>
    <w:rsid w:val="00291254"/>
    <w:rsid w:val="00291B4C"/>
    <w:rsid w:val="0029200E"/>
    <w:rsid w:val="00292259"/>
    <w:rsid w:val="002922D2"/>
    <w:rsid w:val="00292333"/>
    <w:rsid w:val="002928EC"/>
    <w:rsid w:val="00292B79"/>
    <w:rsid w:val="00292C13"/>
    <w:rsid w:val="00292CF3"/>
    <w:rsid w:val="00292F57"/>
    <w:rsid w:val="00292FAF"/>
    <w:rsid w:val="00293044"/>
    <w:rsid w:val="0029336B"/>
    <w:rsid w:val="002933AB"/>
    <w:rsid w:val="00293956"/>
    <w:rsid w:val="00293D05"/>
    <w:rsid w:val="00293E8A"/>
    <w:rsid w:val="0029434F"/>
    <w:rsid w:val="00294569"/>
    <w:rsid w:val="00294A14"/>
    <w:rsid w:val="002950B6"/>
    <w:rsid w:val="002950F6"/>
    <w:rsid w:val="002951F2"/>
    <w:rsid w:val="00295240"/>
    <w:rsid w:val="00295324"/>
    <w:rsid w:val="00295439"/>
    <w:rsid w:val="00295474"/>
    <w:rsid w:val="00295F19"/>
    <w:rsid w:val="00296065"/>
    <w:rsid w:val="002961E2"/>
    <w:rsid w:val="00296205"/>
    <w:rsid w:val="00296999"/>
    <w:rsid w:val="00297776"/>
    <w:rsid w:val="00297880"/>
    <w:rsid w:val="00297CDF"/>
    <w:rsid w:val="00297D54"/>
    <w:rsid w:val="00297F11"/>
    <w:rsid w:val="002A06A1"/>
    <w:rsid w:val="002A097E"/>
    <w:rsid w:val="002A0A67"/>
    <w:rsid w:val="002A0F33"/>
    <w:rsid w:val="002A0F68"/>
    <w:rsid w:val="002A1203"/>
    <w:rsid w:val="002A14AA"/>
    <w:rsid w:val="002A1616"/>
    <w:rsid w:val="002A1983"/>
    <w:rsid w:val="002A1A1F"/>
    <w:rsid w:val="002A1CC5"/>
    <w:rsid w:val="002A1E55"/>
    <w:rsid w:val="002A2656"/>
    <w:rsid w:val="002A2792"/>
    <w:rsid w:val="002A2876"/>
    <w:rsid w:val="002A3061"/>
    <w:rsid w:val="002A3270"/>
    <w:rsid w:val="002A3330"/>
    <w:rsid w:val="002A348A"/>
    <w:rsid w:val="002A4513"/>
    <w:rsid w:val="002A45C2"/>
    <w:rsid w:val="002A49BC"/>
    <w:rsid w:val="002A4AFE"/>
    <w:rsid w:val="002A4FD1"/>
    <w:rsid w:val="002A542A"/>
    <w:rsid w:val="002A5DE1"/>
    <w:rsid w:val="002A62E6"/>
    <w:rsid w:val="002A63D2"/>
    <w:rsid w:val="002A64C6"/>
    <w:rsid w:val="002A6562"/>
    <w:rsid w:val="002A6612"/>
    <w:rsid w:val="002A676E"/>
    <w:rsid w:val="002A7207"/>
    <w:rsid w:val="002A74CB"/>
    <w:rsid w:val="002A750E"/>
    <w:rsid w:val="002A77B9"/>
    <w:rsid w:val="002A7B86"/>
    <w:rsid w:val="002A7C2C"/>
    <w:rsid w:val="002A7EA2"/>
    <w:rsid w:val="002B02DC"/>
    <w:rsid w:val="002B06E7"/>
    <w:rsid w:val="002B0959"/>
    <w:rsid w:val="002B0971"/>
    <w:rsid w:val="002B0AA8"/>
    <w:rsid w:val="002B0B44"/>
    <w:rsid w:val="002B0CF9"/>
    <w:rsid w:val="002B0DB1"/>
    <w:rsid w:val="002B0DB3"/>
    <w:rsid w:val="002B122E"/>
    <w:rsid w:val="002B12AC"/>
    <w:rsid w:val="002B1CC5"/>
    <w:rsid w:val="002B1F91"/>
    <w:rsid w:val="002B2572"/>
    <w:rsid w:val="002B298E"/>
    <w:rsid w:val="002B2AB9"/>
    <w:rsid w:val="002B2DAA"/>
    <w:rsid w:val="002B2F54"/>
    <w:rsid w:val="002B2FDE"/>
    <w:rsid w:val="002B33E9"/>
    <w:rsid w:val="002B3A0A"/>
    <w:rsid w:val="002B3CFF"/>
    <w:rsid w:val="002B41AD"/>
    <w:rsid w:val="002B4682"/>
    <w:rsid w:val="002B5207"/>
    <w:rsid w:val="002B5A4E"/>
    <w:rsid w:val="002B5B93"/>
    <w:rsid w:val="002B5FCF"/>
    <w:rsid w:val="002B6122"/>
    <w:rsid w:val="002B66D3"/>
    <w:rsid w:val="002B66DE"/>
    <w:rsid w:val="002B671A"/>
    <w:rsid w:val="002B6791"/>
    <w:rsid w:val="002B692F"/>
    <w:rsid w:val="002B69EA"/>
    <w:rsid w:val="002B6D13"/>
    <w:rsid w:val="002B6DD7"/>
    <w:rsid w:val="002B6E81"/>
    <w:rsid w:val="002B6EDA"/>
    <w:rsid w:val="002B7073"/>
    <w:rsid w:val="002B713D"/>
    <w:rsid w:val="002B74B0"/>
    <w:rsid w:val="002B789C"/>
    <w:rsid w:val="002B793A"/>
    <w:rsid w:val="002B7A7D"/>
    <w:rsid w:val="002B7D5C"/>
    <w:rsid w:val="002B7E99"/>
    <w:rsid w:val="002B7EDC"/>
    <w:rsid w:val="002B7F29"/>
    <w:rsid w:val="002C05AE"/>
    <w:rsid w:val="002C086D"/>
    <w:rsid w:val="002C0909"/>
    <w:rsid w:val="002C09B6"/>
    <w:rsid w:val="002C0F3A"/>
    <w:rsid w:val="002C1295"/>
    <w:rsid w:val="002C1CC4"/>
    <w:rsid w:val="002C1F41"/>
    <w:rsid w:val="002C1F7A"/>
    <w:rsid w:val="002C1FCA"/>
    <w:rsid w:val="002C22BB"/>
    <w:rsid w:val="002C237C"/>
    <w:rsid w:val="002C2416"/>
    <w:rsid w:val="002C254B"/>
    <w:rsid w:val="002C2714"/>
    <w:rsid w:val="002C2773"/>
    <w:rsid w:val="002C28C6"/>
    <w:rsid w:val="002C2958"/>
    <w:rsid w:val="002C2B18"/>
    <w:rsid w:val="002C2DA6"/>
    <w:rsid w:val="002C30DE"/>
    <w:rsid w:val="002C335F"/>
    <w:rsid w:val="002C37FA"/>
    <w:rsid w:val="002C3836"/>
    <w:rsid w:val="002C392A"/>
    <w:rsid w:val="002C3CB0"/>
    <w:rsid w:val="002C3DA7"/>
    <w:rsid w:val="002C3E01"/>
    <w:rsid w:val="002C42AE"/>
    <w:rsid w:val="002C434E"/>
    <w:rsid w:val="002C4437"/>
    <w:rsid w:val="002C4BDF"/>
    <w:rsid w:val="002C4E1B"/>
    <w:rsid w:val="002C5458"/>
    <w:rsid w:val="002C54C0"/>
    <w:rsid w:val="002C58A8"/>
    <w:rsid w:val="002C59D3"/>
    <w:rsid w:val="002C5A9A"/>
    <w:rsid w:val="002C5D77"/>
    <w:rsid w:val="002C6188"/>
    <w:rsid w:val="002C661D"/>
    <w:rsid w:val="002C6634"/>
    <w:rsid w:val="002C6AB1"/>
    <w:rsid w:val="002C6EF1"/>
    <w:rsid w:val="002C6FEA"/>
    <w:rsid w:val="002C7040"/>
    <w:rsid w:val="002C743F"/>
    <w:rsid w:val="002C7D31"/>
    <w:rsid w:val="002D0504"/>
    <w:rsid w:val="002D0868"/>
    <w:rsid w:val="002D0A12"/>
    <w:rsid w:val="002D1058"/>
    <w:rsid w:val="002D113F"/>
    <w:rsid w:val="002D16BE"/>
    <w:rsid w:val="002D16CE"/>
    <w:rsid w:val="002D1FA5"/>
    <w:rsid w:val="002D21D5"/>
    <w:rsid w:val="002D2595"/>
    <w:rsid w:val="002D2744"/>
    <w:rsid w:val="002D28D2"/>
    <w:rsid w:val="002D2B40"/>
    <w:rsid w:val="002D2C83"/>
    <w:rsid w:val="002D2EBB"/>
    <w:rsid w:val="002D35FB"/>
    <w:rsid w:val="002D3ADF"/>
    <w:rsid w:val="002D3F0C"/>
    <w:rsid w:val="002D434A"/>
    <w:rsid w:val="002D4768"/>
    <w:rsid w:val="002D4886"/>
    <w:rsid w:val="002D49AD"/>
    <w:rsid w:val="002D4C0B"/>
    <w:rsid w:val="002D4D64"/>
    <w:rsid w:val="002D4E7B"/>
    <w:rsid w:val="002D500F"/>
    <w:rsid w:val="002D510A"/>
    <w:rsid w:val="002D56E8"/>
    <w:rsid w:val="002D5755"/>
    <w:rsid w:val="002D5808"/>
    <w:rsid w:val="002D5949"/>
    <w:rsid w:val="002D5FEA"/>
    <w:rsid w:val="002D5FEE"/>
    <w:rsid w:val="002D62BD"/>
    <w:rsid w:val="002D6637"/>
    <w:rsid w:val="002D6A7D"/>
    <w:rsid w:val="002D6AD0"/>
    <w:rsid w:val="002D6F4D"/>
    <w:rsid w:val="002D6FB6"/>
    <w:rsid w:val="002D71D8"/>
    <w:rsid w:val="002D74C5"/>
    <w:rsid w:val="002D78AB"/>
    <w:rsid w:val="002D7B04"/>
    <w:rsid w:val="002E011F"/>
    <w:rsid w:val="002E0122"/>
    <w:rsid w:val="002E0604"/>
    <w:rsid w:val="002E06E7"/>
    <w:rsid w:val="002E07FC"/>
    <w:rsid w:val="002E0939"/>
    <w:rsid w:val="002E1110"/>
    <w:rsid w:val="002E12D7"/>
    <w:rsid w:val="002E165B"/>
    <w:rsid w:val="002E1693"/>
    <w:rsid w:val="002E199A"/>
    <w:rsid w:val="002E1E90"/>
    <w:rsid w:val="002E28D3"/>
    <w:rsid w:val="002E2DB9"/>
    <w:rsid w:val="002E3073"/>
    <w:rsid w:val="002E30BC"/>
    <w:rsid w:val="002E3128"/>
    <w:rsid w:val="002E357A"/>
    <w:rsid w:val="002E35AC"/>
    <w:rsid w:val="002E394C"/>
    <w:rsid w:val="002E3A1F"/>
    <w:rsid w:val="002E3C85"/>
    <w:rsid w:val="002E3DE4"/>
    <w:rsid w:val="002E3E12"/>
    <w:rsid w:val="002E428F"/>
    <w:rsid w:val="002E4451"/>
    <w:rsid w:val="002E48BB"/>
    <w:rsid w:val="002E4B7B"/>
    <w:rsid w:val="002E4EE4"/>
    <w:rsid w:val="002E5008"/>
    <w:rsid w:val="002E5604"/>
    <w:rsid w:val="002E568B"/>
    <w:rsid w:val="002E572B"/>
    <w:rsid w:val="002E5A22"/>
    <w:rsid w:val="002E5E23"/>
    <w:rsid w:val="002E5E4A"/>
    <w:rsid w:val="002E6367"/>
    <w:rsid w:val="002E640E"/>
    <w:rsid w:val="002E6543"/>
    <w:rsid w:val="002E673A"/>
    <w:rsid w:val="002E6776"/>
    <w:rsid w:val="002E6834"/>
    <w:rsid w:val="002E6C80"/>
    <w:rsid w:val="002E6D91"/>
    <w:rsid w:val="002E76FC"/>
    <w:rsid w:val="002E77E3"/>
    <w:rsid w:val="002E788D"/>
    <w:rsid w:val="002E7AF2"/>
    <w:rsid w:val="002E7EDC"/>
    <w:rsid w:val="002E7FA7"/>
    <w:rsid w:val="002F0316"/>
    <w:rsid w:val="002F035B"/>
    <w:rsid w:val="002F043F"/>
    <w:rsid w:val="002F0923"/>
    <w:rsid w:val="002F09B0"/>
    <w:rsid w:val="002F0F0C"/>
    <w:rsid w:val="002F1186"/>
    <w:rsid w:val="002F125B"/>
    <w:rsid w:val="002F12C4"/>
    <w:rsid w:val="002F1368"/>
    <w:rsid w:val="002F1DBD"/>
    <w:rsid w:val="002F221D"/>
    <w:rsid w:val="002F27B3"/>
    <w:rsid w:val="002F2EF0"/>
    <w:rsid w:val="002F30CB"/>
    <w:rsid w:val="002F3F33"/>
    <w:rsid w:val="002F4461"/>
    <w:rsid w:val="002F4965"/>
    <w:rsid w:val="002F498B"/>
    <w:rsid w:val="002F4A2E"/>
    <w:rsid w:val="002F5074"/>
    <w:rsid w:val="002F55A8"/>
    <w:rsid w:val="002F571A"/>
    <w:rsid w:val="002F5D9D"/>
    <w:rsid w:val="002F5E5E"/>
    <w:rsid w:val="002F62BE"/>
    <w:rsid w:val="002F6660"/>
    <w:rsid w:val="002F6FDE"/>
    <w:rsid w:val="002F769A"/>
    <w:rsid w:val="002F7A4D"/>
    <w:rsid w:val="002F7BB9"/>
    <w:rsid w:val="002F7F38"/>
    <w:rsid w:val="002F7FF4"/>
    <w:rsid w:val="003001E5"/>
    <w:rsid w:val="00300319"/>
    <w:rsid w:val="003005E4"/>
    <w:rsid w:val="00300D15"/>
    <w:rsid w:val="00301893"/>
    <w:rsid w:val="00301B5E"/>
    <w:rsid w:val="00301FFC"/>
    <w:rsid w:val="0030225D"/>
    <w:rsid w:val="0030231C"/>
    <w:rsid w:val="00302526"/>
    <w:rsid w:val="003025A3"/>
    <w:rsid w:val="003025B0"/>
    <w:rsid w:val="003025BA"/>
    <w:rsid w:val="00302919"/>
    <w:rsid w:val="0030299D"/>
    <w:rsid w:val="003029BF"/>
    <w:rsid w:val="00303055"/>
    <w:rsid w:val="003033CF"/>
    <w:rsid w:val="0030342E"/>
    <w:rsid w:val="00303658"/>
    <w:rsid w:val="003037B3"/>
    <w:rsid w:val="00303CDF"/>
    <w:rsid w:val="00303EF2"/>
    <w:rsid w:val="00304194"/>
    <w:rsid w:val="00304289"/>
    <w:rsid w:val="00304357"/>
    <w:rsid w:val="00304BE9"/>
    <w:rsid w:val="003056A0"/>
    <w:rsid w:val="00305705"/>
    <w:rsid w:val="003058F3"/>
    <w:rsid w:val="00306063"/>
    <w:rsid w:val="00306079"/>
    <w:rsid w:val="00306088"/>
    <w:rsid w:val="0030611D"/>
    <w:rsid w:val="0030625D"/>
    <w:rsid w:val="003065C1"/>
    <w:rsid w:val="003067DD"/>
    <w:rsid w:val="003068DC"/>
    <w:rsid w:val="00306CC9"/>
    <w:rsid w:val="00307211"/>
    <w:rsid w:val="003072A3"/>
    <w:rsid w:val="003075E4"/>
    <w:rsid w:val="0030770A"/>
    <w:rsid w:val="00307A87"/>
    <w:rsid w:val="00307DF7"/>
    <w:rsid w:val="00310289"/>
    <w:rsid w:val="00310660"/>
    <w:rsid w:val="0031072D"/>
    <w:rsid w:val="00310755"/>
    <w:rsid w:val="00310A6B"/>
    <w:rsid w:val="00310E7E"/>
    <w:rsid w:val="0031130A"/>
    <w:rsid w:val="0031138E"/>
    <w:rsid w:val="00311EA5"/>
    <w:rsid w:val="00311FB0"/>
    <w:rsid w:val="00312081"/>
    <w:rsid w:val="003120D6"/>
    <w:rsid w:val="003120F3"/>
    <w:rsid w:val="003120FA"/>
    <w:rsid w:val="003121F3"/>
    <w:rsid w:val="0031255B"/>
    <w:rsid w:val="00312DC7"/>
    <w:rsid w:val="00312ED4"/>
    <w:rsid w:val="00312F18"/>
    <w:rsid w:val="00312F19"/>
    <w:rsid w:val="003131DC"/>
    <w:rsid w:val="003133AB"/>
    <w:rsid w:val="003133CD"/>
    <w:rsid w:val="003133DA"/>
    <w:rsid w:val="003134E7"/>
    <w:rsid w:val="003136FB"/>
    <w:rsid w:val="00313928"/>
    <w:rsid w:val="00313B2D"/>
    <w:rsid w:val="00313CA4"/>
    <w:rsid w:val="00313CFB"/>
    <w:rsid w:val="0031421C"/>
    <w:rsid w:val="00314343"/>
    <w:rsid w:val="0031470A"/>
    <w:rsid w:val="00314719"/>
    <w:rsid w:val="0031487D"/>
    <w:rsid w:val="00314A16"/>
    <w:rsid w:val="00314A3B"/>
    <w:rsid w:val="00314A47"/>
    <w:rsid w:val="00314ABA"/>
    <w:rsid w:val="00314F91"/>
    <w:rsid w:val="00314FC2"/>
    <w:rsid w:val="003152CC"/>
    <w:rsid w:val="003153C8"/>
    <w:rsid w:val="0031562A"/>
    <w:rsid w:val="0031665F"/>
    <w:rsid w:val="00316865"/>
    <w:rsid w:val="00317071"/>
    <w:rsid w:val="00317409"/>
    <w:rsid w:val="00317479"/>
    <w:rsid w:val="003177BF"/>
    <w:rsid w:val="0032046F"/>
    <w:rsid w:val="00320A69"/>
    <w:rsid w:val="00320B0B"/>
    <w:rsid w:val="00320C04"/>
    <w:rsid w:val="00320D14"/>
    <w:rsid w:val="00320F3A"/>
    <w:rsid w:val="00320F9F"/>
    <w:rsid w:val="003213B0"/>
    <w:rsid w:val="0032179E"/>
    <w:rsid w:val="00321AF6"/>
    <w:rsid w:val="00321C2F"/>
    <w:rsid w:val="00322114"/>
    <w:rsid w:val="00322153"/>
    <w:rsid w:val="0032218A"/>
    <w:rsid w:val="00322641"/>
    <w:rsid w:val="003227B2"/>
    <w:rsid w:val="00322AA0"/>
    <w:rsid w:val="00322B54"/>
    <w:rsid w:val="00322E0A"/>
    <w:rsid w:val="00323085"/>
    <w:rsid w:val="003232AE"/>
    <w:rsid w:val="003233D2"/>
    <w:rsid w:val="003235B1"/>
    <w:rsid w:val="00323A47"/>
    <w:rsid w:val="00323AB5"/>
    <w:rsid w:val="00323B4F"/>
    <w:rsid w:val="00323DB1"/>
    <w:rsid w:val="00323DCB"/>
    <w:rsid w:val="003243E4"/>
    <w:rsid w:val="003247FC"/>
    <w:rsid w:val="00325133"/>
    <w:rsid w:val="00325408"/>
    <w:rsid w:val="0032589D"/>
    <w:rsid w:val="003258D0"/>
    <w:rsid w:val="00325B36"/>
    <w:rsid w:val="00325E08"/>
    <w:rsid w:val="00325ED8"/>
    <w:rsid w:val="00325FFA"/>
    <w:rsid w:val="003260C6"/>
    <w:rsid w:val="00326347"/>
    <w:rsid w:val="003267D0"/>
    <w:rsid w:val="003267FF"/>
    <w:rsid w:val="00326ACD"/>
    <w:rsid w:val="00327688"/>
    <w:rsid w:val="00327C4A"/>
    <w:rsid w:val="0033016A"/>
    <w:rsid w:val="00330340"/>
    <w:rsid w:val="003308B8"/>
    <w:rsid w:val="00330AA3"/>
    <w:rsid w:val="00330E4F"/>
    <w:rsid w:val="00330F48"/>
    <w:rsid w:val="00331076"/>
    <w:rsid w:val="0033126D"/>
    <w:rsid w:val="003319B6"/>
    <w:rsid w:val="00331C09"/>
    <w:rsid w:val="00331C64"/>
    <w:rsid w:val="00331CCD"/>
    <w:rsid w:val="00331E09"/>
    <w:rsid w:val="003320C4"/>
    <w:rsid w:val="00332636"/>
    <w:rsid w:val="003326A5"/>
    <w:rsid w:val="00332A73"/>
    <w:rsid w:val="00332B5E"/>
    <w:rsid w:val="00332C95"/>
    <w:rsid w:val="00332CB0"/>
    <w:rsid w:val="0033306E"/>
    <w:rsid w:val="00333589"/>
    <w:rsid w:val="00333E52"/>
    <w:rsid w:val="00333E61"/>
    <w:rsid w:val="003340CE"/>
    <w:rsid w:val="0033422A"/>
    <w:rsid w:val="00334360"/>
    <w:rsid w:val="003343D1"/>
    <w:rsid w:val="00334640"/>
    <w:rsid w:val="003347D1"/>
    <w:rsid w:val="00334825"/>
    <w:rsid w:val="00334B3A"/>
    <w:rsid w:val="00334B43"/>
    <w:rsid w:val="00334D2A"/>
    <w:rsid w:val="00334EC6"/>
    <w:rsid w:val="003350F3"/>
    <w:rsid w:val="00335292"/>
    <w:rsid w:val="0033578B"/>
    <w:rsid w:val="00335800"/>
    <w:rsid w:val="003358E2"/>
    <w:rsid w:val="00335B61"/>
    <w:rsid w:val="00335E37"/>
    <w:rsid w:val="0033654B"/>
    <w:rsid w:val="003367ED"/>
    <w:rsid w:val="00337038"/>
    <w:rsid w:val="003371D9"/>
    <w:rsid w:val="003373DF"/>
    <w:rsid w:val="00337538"/>
    <w:rsid w:val="00337709"/>
    <w:rsid w:val="00337A35"/>
    <w:rsid w:val="00337A55"/>
    <w:rsid w:val="00337DD5"/>
    <w:rsid w:val="00337F5E"/>
    <w:rsid w:val="003402A7"/>
    <w:rsid w:val="00340754"/>
    <w:rsid w:val="003409F7"/>
    <w:rsid w:val="00341BFA"/>
    <w:rsid w:val="00341D18"/>
    <w:rsid w:val="003420C1"/>
    <w:rsid w:val="00342952"/>
    <w:rsid w:val="003429D4"/>
    <w:rsid w:val="00342ABF"/>
    <w:rsid w:val="00342BAE"/>
    <w:rsid w:val="00342C38"/>
    <w:rsid w:val="00342D43"/>
    <w:rsid w:val="00342E60"/>
    <w:rsid w:val="003430A7"/>
    <w:rsid w:val="003430BE"/>
    <w:rsid w:val="00343441"/>
    <w:rsid w:val="00343F34"/>
    <w:rsid w:val="00343FF5"/>
    <w:rsid w:val="0034423C"/>
    <w:rsid w:val="003443E3"/>
    <w:rsid w:val="00344436"/>
    <w:rsid w:val="0034470F"/>
    <w:rsid w:val="0034482A"/>
    <w:rsid w:val="00344928"/>
    <w:rsid w:val="003449C8"/>
    <w:rsid w:val="00344E27"/>
    <w:rsid w:val="00345C1A"/>
    <w:rsid w:val="003463A7"/>
    <w:rsid w:val="00346A99"/>
    <w:rsid w:val="00347099"/>
    <w:rsid w:val="003473A5"/>
    <w:rsid w:val="00347D78"/>
    <w:rsid w:val="003500D3"/>
    <w:rsid w:val="00350245"/>
    <w:rsid w:val="00350451"/>
    <w:rsid w:val="00350C49"/>
    <w:rsid w:val="00350DA7"/>
    <w:rsid w:val="003510CA"/>
    <w:rsid w:val="003511A4"/>
    <w:rsid w:val="00351565"/>
    <w:rsid w:val="00351624"/>
    <w:rsid w:val="00351626"/>
    <w:rsid w:val="00351657"/>
    <w:rsid w:val="00351694"/>
    <w:rsid w:val="00351952"/>
    <w:rsid w:val="00351E34"/>
    <w:rsid w:val="00351F8E"/>
    <w:rsid w:val="0035266D"/>
    <w:rsid w:val="0035271F"/>
    <w:rsid w:val="0035286D"/>
    <w:rsid w:val="00352A6C"/>
    <w:rsid w:val="00352E8C"/>
    <w:rsid w:val="0035373F"/>
    <w:rsid w:val="00353760"/>
    <w:rsid w:val="00353874"/>
    <w:rsid w:val="00353A5B"/>
    <w:rsid w:val="00353B20"/>
    <w:rsid w:val="00353EC8"/>
    <w:rsid w:val="00353F40"/>
    <w:rsid w:val="0035479F"/>
    <w:rsid w:val="0035515E"/>
    <w:rsid w:val="00355179"/>
    <w:rsid w:val="003552BA"/>
    <w:rsid w:val="0035537B"/>
    <w:rsid w:val="00355635"/>
    <w:rsid w:val="003558CC"/>
    <w:rsid w:val="003558F5"/>
    <w:rsid w:val="00355D68"/>
    <w:rsid w:val="003564F7"/>
    <w:rsid w:val="00356591"/>
    <w:rsid w:val="00356F90"/>
    <w:rsid w:val="003571C0"/>
    <w:rsid w:val="0035744D"/>
    <w:rsid w:val="00357568"/>
    <w:rsid w:val="0035767F"/>
    <w:rsid w:val="003577CA"/>
    <w:rsid w:val="003601D1"/>
    <w:rsid w:val="00360687"/>
    <w:rsid w:val="00360A6C"/>
    <w:rsid w:val="00360AB1"/>
    <w:rsid w:val="00360C88"/>
    <w:rsid w:val="00360DC0"/>
    <w:rsid w:val="00360EC5"/>
    <w:rsid w:val="00360F37"/>
    <w:rsid w:val="00360F3B"/>
    <w:rsid w:val="00360FB9"/>
    <w:rsid w:val="00361103"/>
    <w:rsid w:val="0036113E"/>
    <w:rsid w:val="0036154D"/>
    <w:rsid w:val="003617C1"/>
    <w:rsid w:val="003617D3"/>
    <w:rsid w:val="00361A97"/>
    <w:rsid w:val="00361AC6"/>
    <w:rsid w:val="00361FFD"/>
    <w:rsid w:val="00362184"/>
    <w:rsid w:val="00362C5F"/>
    <w:rsid w:val="00362CF6"/>
    <w:rsid w:val="003631B5"/>
    <w:rsid w:val="0036327A"/>
    <w:rsid w:val="00363BAB"/>
    <w:rsid w:val="00363D6F"/>
    <w:rsid w:val="00364623"/>
    <w:rsid w:val="003647FF"/>
    <w:rsid w:val="00364E60"/>
    <w:rsid w:val="003657A9"/>
    <w:rsid w:val="003659EF"/>
    <w:rsid w:val="00365A62"/>
    <w:rsid w:val="003661C2"/>
    <w:rsid w:val="003661ED"/>
    <w:rsid w:val="0036623C"/>
    <w:rsid w:val="0036629F"/>
    <w:rsid w:val="00366339"/>
    <w:rsid w:val="0036639E"/>
    <w:rsid w:val="0036677C"/>
    <w:rsid w:val="00366873"/>
    <w:rsid w:val="00366DA9"/>
    <w:rsid w:val="003677B3"/>
    <w:rsid w:val="003677FC"/>
    <w:rsid w:val="00367951"/>
    <w:rsid w:val="00370366"/>
    <w:rsid w:val="003703F8"/>
    <w:rsid w:val="0037056A"/>
    <w:rsid w:val="00370721"/>
    <w:rsid w:val="00370B01"/>
    <w:rsid w:val="00370ED4"/>
    <w:rsid w:val="00371333"/>
    <w:rsid w:val="003714F2"/>
    <w:rsid w:val="003718BF"/>
    <w:rsid w:val="003719E3"/>
    <w:rsid w:val="00371B20"/>
    <w:rsid w:val="00371E44"/>
    <w:rsid w:val="003721BE"/>
    <w:rsid w:val="00373161"/>
    <w:rsid w:val="0037389A"/>
    <w:rsid w:val="00373963"/>
    <w:rsid w:val="00373BA2"/>
    <w:rsid w:val="00374041"/>
    <w:rsid w:val="003740EA"/>
    <w:rsid w:val="003749D2"/>
    <w:rsid w:val="00375018"/>
    <w:rsid w:val="00375251"/>
    <w:rsid w:val="00375400"/>
    <w:rsid w:val="00375758"/>
    <w:rsid w:val="00375FC6"/>
    <w:rsid w:val="00376694"/>
    <w:rsid w:val="003769E6"/>
    <w:rsid w:val="00376B17"/>
    <w:rsid w:val="00376B79"/>
    <w:rsid w:val="00376C12"/>
    <w:rsid w:val="00376C3E"/>
    <w:rsid w:val="00376F56"/>
    <w:rsid w:val="003771E5"/>
    <w:rsid w:val="00377650"/>
    <w:rsid w:val="00377877"/>
    <w:rsid w:val="00377974"/>
    <w:rsid w:val="00377BFD"/>
    <w:rsid w:val="00377E1E"/>
    <w:rsid w:val="00377E84"/>
    <w:rsid w:val="00377EA4"/>
    <w:rsid w:val="00377EEA"/>
    <w:rsid w:val="00380012"/>
    <w:rsid w:val="00380046"/>
    <w:rsid w:val="0038040C"/>
    <w:rsid w:val="003804C2"/>
    <w:rsid w:val="003804FB"/>
    <w:rsid w:val="00380576"/>
    <w:rsid w:val="003807B2"/>
    <w:rsid w:val="00380848"/>
    <w:rsid w:val="00380E38"/>
    <w:rsid w:val="00380EEE"/>
    <w:rsid w:val="00380F83"/>
    <w:rsid w:val="00381290"/>
    <w:rsid w:val="00381400"/>
    <w:rsid w:val="00381491"/>
    <w:rsid w:val="00381C17"/>
    <w:rsid w:val="00381E63"/>
    <w:rsid w:val="003820A5"/>
    <w:rsid w:val="0038218D"/>
    <w:rsid w:val="0038260F"/>
    <w:rsid w:val="0038278D"/>
    <w:rsid w:val="0038342F"/>
    <w:rsid w:val="00383739"/>
    <w:rsid w:val="0038374B"/>
    <w:rsid w:val="00383981"/>
    <w:rsid w:val="003839DD"/>
    <w:rsid w:val="00383B42"/>
    <w:rsid w:val="00383B50"/>
    <w:rsid w:val="00383B98"/>
    <w:rsid w:val="003849DD"/>
    <w:rsid w:val="00384A8C"/>
    <w:rsid w:val="00384C03"/>
    <w:rsid w:val="003850C2"/>
    <w:rsid w:val="003851D6"/>
    <w:rsid w:val="00385509"/>
    <w:rsid w:val="003856EA"/>
    <w:rsid w:val="00385CE8"/>
    <w:rsid w:val="00385F8A"/>
    <w:rsid w:val="00385FB8"/>
    <w:rsid w:val="00386608"/>
    <w:rsid w:val="0038668D"/>
    <w:rsid w:val="00386788"/>
    <w:rsid w:val="00386CFD"/>
    <w:rsid w:val="00386FE8"/>
    <w:rsid w:val="00387177"/>
    <w:rsid w:val="003871BA"/>
    <w:rsid w:val="00387394"/>
    <w:rsid w:val="0038742D"/>
    <w:rsid w:val="00387B01"/>
    <w:rsid w:val="00387D45"/>
    <w:rsid w:val="003900DC"/>
    <w:rsid w:val="003902DD"/>
    <w:rsid w:val="00390495"/>
    <w:rsid w:val="0039052F"/>
    <w:rsid w:val="0039067A"/>
    <w:rsid w:val="00390860"/>
    <w:rsid w:val="00391661"/>
    <w:rsid w:val="00391983"/>
    <w:rsid w:val="00391B1A"/>
    <w:rsid w:val="00391C54"/>
    <w:rsid w:val="00391DAE"/>
    <w:rsid w:val="0039271F"/>
    <w:rsid w:val="00392740"/>
    <w:rsid w:val="003928E1"/>
    <w:rsid w:val="00392F4E"/>
    <w:rsid w:val="003935EF"/>
    <w:rsid w:val="00393634"/>
    <w:rsid w:val="00393791"/>
    <w:rsid w:val="00393817"/>
    <w:rsid w:val="00393A0F"/>
    <w:rsid w:val="00393D91"/>
    <w:rsid w:val="00393FCE"/>
    <w:rsid w:val="003940E7"/>
    <w:rsid w:val="003941CF"/>
    <w:rsid w:val="00394428"/>
    <w:rsid w:val="00394615"/>
    <w:rsid w:val="00394653"/>
    <w:rsid w:val="003947A8"/>
    <w:rsid w:val="003947EB"/>
    <w:rsid w:val="00394A96"/>
    <w:rsid w:val="00394BF6"/>
    <w:rsid w:val="00394CAB"/>
    <w:rsid w:val="00394D77"/>
    <w:rsid w:val="00394DBD"/>
    <w:rsid w:val="003951D7"/>
    <w:rsid w:val="00395465"/>
    <w:rsid w:val="00395992"/>
    <w:rsid w:val="00395D80"/>
    <w:rsid w:val="00395D83"/>
    <w:rsid w:val="00396012"/>
    <w:rsid w:val="00396045"/>
    <w:rsid w:val="00396642"/>
    <w:rsid w:val="00396DEF"/>
    <w:rsid w:val="00396DF7"/>
    <w:rsid w:val="00396EE8"/>
    <w:rsid w:val="00396F4B"/>
    <w:rsid w:val="00397910"/>
    <w:rsid w:val="003979E4"/>
    <w:rsid w:val="00397BEC"/>
    <w:rsid w:val="00397E4F"/>
    <w:rsid w:val="00397EC3"/>
    <w:rsid w:val="00397EE0"/>
    <w:rsid w:val="00397F9E"/>
    <w:rsid w:val="003A034A"/>
    <w:rsid w:val="003A04E2"/>
    <w:rsid w:val="003A096A"/>
    <w:rsid w:val="003A0C88"/>
    <w:rsid w:val="003A110C"/>
    <w:rsid w:val="003A157D"/>
    <w:rsid w:val="003A174A"/>
    <w:rsid w:val="003A1F7E"/>
    <w:rsid w:val="003A2265"/>
    <w:rsid w:val="003A244D"/>
    <w:rsid w:val="003A275E"/>
    <w:rsid w:val="003A27A6"/>
    <w:rsid w:val="003A2C1A"/>
    <w:rsid w:val="003A2EA3"/>
    <w:rsid w:val="003A389A"/>
    <w:rsid w:val="003A3B2F"/>
    <w:rsid w:val="003A3FE7"/>
    <w:rsid w:val="003A42FC"/>
    <w:rsid w:val="003A44AA"/>
    <w:rsid w:val="003A44AE"/>
    <w:rsid w:val="003A45EA"/>
    <w:rsid w:val="003A477E"/>
    <w:rsid w:val="003A47F0"/>
    <w:rsid w:val="003A4E15"/>
    <w:rsid w:val="003A5407"/>
    <w:rsid w:val="003A54E0"/>
    <w:rsid w:val="003A55C9"/>
    <w:rsid w:val="003A58D4"/>
    <w:rsid w:val="003A5DBF"/>
    <w:rsid w:val="003A5DE5"/>
    <w:rsid w:val="003A5F83"/>
    <w:rsid w:val="003A6318"/>
    <w:rsid w:val="003A68A7"/>
    <w:rsid w:val="003A69A7"/>
    <w:rsid w:val="003A69D5"/>
    <w:rsid w:val="003A6BE8"/>
    <w:rsid w:val="003A6F81"/>
    <w:rsid w:val="003A7145"/>
    <w:rsid w:val="003A7155"/>
    <w:rsid w:val="003A7968"/>
    <w:rsid w:val="003A7A25"/>
    <w:rsid w:val="003A7B42"/>
    <w:rsid w:val="003A7BD4"/>
    <w:rsid w:val="003A7C0E"/>
    <w:rsid w:val="003A7DFF"/>
    <w:rsid w:val="003B011B"/>
    <w:rsid w:val="003B01D5"/>
    <w:rsid w:val="003B01E4"/>
    <w:rsid w:val="003B081C"/>
    <w:rsid w:val="003B0F90"/>
    <w:rsid w:val="003B1134"/>
    <w:rsid w:val="003B15DB"/>
    <w:rsid w:val="003B1A1C"/>
    <w:rsid w:val="003B1B01"/>
    <w:rsid w:val="003B1D2F"/>
    <w:rsid w:val="003B1EF3"/>
    <w:rsid w:val="003B21DF"/>
    <w:rsid w:val="003B2434"/>
    <w:rsid w:val="003B2877"/>
    <w:rsid w:val="003B2A6B"/>
    <w:rsid w:val="003B2FBD"/>
    <w:rsid w:val="003B3069"/>
    <w:rsid w:val="003B3B49"/>
    <w:rsid w:val="003B3DFD"/>
    <w:rsid w:val="003B3FE1"/>
    <w:rsid w:val="003B425B"/>
    <w:rsid w:val="003B4E99"/>
    <w:rsid w:val="003B5CFB"/>
    <w:rsid w:val="003B6043"/>
    <w:rsid w:val="003B62E8"/>
    <w:rsid w:val="003B6319"/>
    <w:rsid w:val="003B643F"/>
    <w:rsid w:val="003B648C"/>
    <w:rsid w:val="003B6663"/>
    <w:rsid w:val="003B6702"/>
    <w:rsid w:val="003B6AA1"/>
    <w:rsid w:val="003B6E13"/>
    <w:rsid w:val="003B7093"/>
    <w:rsid w:val="003B7243"/>
    <w:rsid w:val="003B7A87"/>
    <w:rsid w:val="003B7B91"/>
    <w:rsid w:val="003B7C52"/>
    <w:rsid w:val="003B7CBC"/>
    <w:rsid w:val="003C02B3"/>
    <w:rsid w:val="003C02E0"/>
    <w:rsid w:val="003C0452"/>
    <w:rsid w:val="003C0806"/>
    <w:rsid w:val="003C0905"/>
    <w:rsid w:val="003C09DC"/>
    <w:rsid w:val="003C0BF6"/>
    <w:rsid w:val="003C0FD9"/>
    <w:rsid w:val="003C10B6"/>
    <w:rsid w:val="003C14A1"/>
    <w:rsid w:val="003C19F4"/>
    <w:rsid w:val="003C1FF7"/>
    <w:rsid w:val="003C20EF"/>
    <w:rsid w:val="003C27EB"/>
    <w:rsid w:val="003C2CA0"/>
    <w:rsid w:val="003C2CFC"/>
    <w:rsid w:val="003C2E32"/>
    <w:rsid w:val="003C2E4F"/>
    <w:rsid w:val="003C33F7"/>
    <w:rsid w:val="003C3E0A"/>
    <w:rsid w:val="003C41FE"/>
    <w:rsid w:val="003C42BF"/>
    <w:rsid w:val="003C452B"/>
    <w:rsid w:val="003C48D8"/>
    <w:rsid w:val="003C4B96"/>
    <w:rsid w:val="003C4D53"/>
    <w:rsid w:val="003C4DA3"/>
    <w:rsid w:val="003C5053"/>
    <w:rsid w:val="003C5815"/>
    <w:rsid w:val="003C585F"/>
    <w:rsid w:val="003C587B"/>
    <w:rsid w:val="003C5D8A"/>
    <w:rsid w:val="003C61B2"/>
    <w:rsid w:val="003C61C0"/>
    <w:rsid w:val="003C61FF"/>
    <w:rsid w:val="003C64DF"/>
    <w:rsid w:val="003C6758"/>
    <w:rsid w:val="003C6B50"/>
    <w:rsid w:val="003C6CA0"/>
    <w:rsid w:val="003C6E38"/>
    <w:rsid w:val="003C72BE"/>
    <w:rsid w:val="003C7D24"/>
    <w:rsid w:val="003C7E05"/>
    <w:rsid w:val="003D04C1"/>
    <w:rsid w:val="003D062B"/>
    <w:rsid w:val="003D0634"/>
    <w:rsid w:val="003D0644"/>
    <w:rsid w:val="003D0AA9"/>
    <w:rsid w:val="003D0D7B"/>
    <w:rsid w:val="003D0F47"/>
    <w:rsid w:val="003D11E1"/>
    <w:rsid w:val="003D1FC3"/>
    <w:rsid w:val="003D2357"/>
    <w:rsid w:val="003D23FD"/>
    <w:rsid w:val="003D240A"/>
    <w:rsid w:val="003D26FB"/>
    <w:rsid w:val="003D2E11"/>
    <w:rsid w:val="003D3157"/>
    <w:rsid w:val="003D32C6"/>
    <w:rsid w:val="003D36DF"/>
    <w:rsid w:val="003D37C1"/>
    <w:rsid w:val="003D3BA0"/>
    <w:rsid w:val="003D3E28"/>
    <w:rsid w:val="003D3EAE"/>
    <w:rsid w:val="003D4A47"/>
    <w:rsid w:val="003D5117"/>
    <w:rsid w:val="003D524A"/>
    <w:rsid w:val="003D56DD"/>
    <w:rsid w:val="003D5DC8"/>
    <w:rsid w:val="003D6075"/>
    <w:rsid w:val="003D637D"/>
    <w:rsid w:val="003D6387"/>
    <w:rsid w:val="003D6C85"/>
    <w:rsid w:val="003D6CDA"/>
    <w:rsid w:val="003D7543"/>
    <w:rsid w:val="003D758F"/>
    <w:rsid w:val="003D76FA"/>
    <w:rsid w:val="003D7736"/>
    <w:rsid w:val="003D7791"/>
    <w:rsid w:val="003D7892"/>
    <w:rsid w:val="003D78AB"/>
    <w:rsid w:val="003D7B31"/>
    <w:rsid w:val="003D7DC5"/>
    <w:rsid w:val="003E036D"/>
    <w:rsid w:val="003E0AFF"/>
    <w:rsid w:val="003E0C27"/>
    <w:rsid w:val="003E0E29"/>
    <w:rsid w:val="003E0F7D"/>
    <w:rsid w:val="003E1029"/>
    <w:rsid w:val="003E12C1"/>
    <w:rsid w:val="003E1E8F"/>
    <w:rsid w:val="003E227A"/>
    <w:rsid w:val="003E25DA"/>
    <w:rsid w:val="003E2711"/>
    <w:rsid w:val="003E2DD3"/>
    <w:rsid w:val="003E2EC6"/>
    <w:rsid w:val="003E3519"/>
    <w:rsid w:val="003E36D1"/>
    <w:rsid w:val="003E3958"/>
    <w:rsid w:val="003E3A61"/>
    <w:rsid w:val="003E3A8A"/>
    <w:rsid w:val="003E3F29"/>
    <w:rsid w:val="003E4076"/>
    <w:rsid w:val="003E409C"/>
    <w:rsid w:val="003E4666"/>
    <w:rsid w:val="003E4676"/>
    <w:rsid w:val="003E4B76"/>
    <w:rsid w:val="003E516B"/>
    <w:rsid w:val="003E51B4"/>
    <w:rsid w:val="003E5322"/>
    <w:rsid w:val="003E556B"/>
    <w:rsid w:val="003E5603"/>
    <w:rsid w:val="003E56AF"/>
    <w:rsid w:val="003E5787"/>
    <w:rsid w:val="003E5C39"/>
    <w:rsid w:val="003E5FAE"/>
    <w:rsid w:val="003E60A0"/>
    <w:rsid w:val="003E62BA"/>
    <w:rsid w:val="003E64C5"/>
    <w:rsid w:val="003E7210"/>
    <w:rsid w:val="003E724F"/>
    <w:rsid w:val="003E72E9"/>
    <w:rsid w:val="003E7C0E"/>
    <w:rsid w:val="003E7E15"/>
    <w:rsid w:val="003F04E1"/>
    <w:rsid w:val="003F05F3"/>
    <w:rsid w:val="003F0C08"/>
    <w:rsid w:val="003F0D3E"/>
    <w:rsid w:val="003F13EA"/>
    <w:rsid w:val="003F1425"/>
    <w:rsid w:val="003F19FA"/>
    <w:rsid w:val="003F2120"/>
    <w:rsid w:val="003F2699"/>
    <w:rsid w:val="003F295E"/>
    <w:rsid w:val="003F3114"/>
    <w:rsid w:val="003F3C30"/>
    <w:rsid w:val="003F3D87"/>
    <w:rsid w:val="003F3E38"/>
    <w:rsid w:val="003F3E69"/>
    <w:rsid w:val="003F4388"/>
    <w:rsid w:val="003F4605"/>
    <w:rsid w:val="003F4C3D"/>
    <w:rsid w:val="003F4DCA"/>
    <w:rsid w:val="003F4E6C"/>
    <w:rsid w:val="003F4ED6"/>
    <w:rsid w:val="003F5118"/>
    <w:rsid w:val="003F5573"/>
    <w:rsid w:val="003F584F"/>
    <w:rsid w:val="003F597A"/>
    <w:rsid w:val="003F5B62"/>
    <w:rsid w:val="003F5F27"/>
    <w:rsid w:val="003F79ED"/>
    <w:rsid w:val="003F7B87"/>
    <w:rsid w:val="003F7DFD"/>
    <w:rsid w:val="003F7F8F"/>
    <w:rsid w:val="004002C9"/>
    <w:rsid w:val="00400629"/>
    <w:rsid w:val="00400752"/>
    <w:rsid w:val="00400CAC"/>
    <w:rsid w:val="00400F27"/>
    <w:rsid w:val="0040115D"/>
    <w:rsid w:val="00401677"/>
    <w:rsid w:val="00401724"/>
    <w:rsid w:val="00401A5E"/>
    <w:rsid w:val="00401B18"/>
    <w:rsid w:val="00401B8A"/>
    <w:rsid w:val="00401D3D"/>
    <w:rsid w:val="00401FB4"/>
    <w:rsid w:val="00402617"/>
    <w:rsid w:val="0040289C"/>
    <w:rsid w:val="00402BB4"/>
    <w:rsid w:val="00403480"/>
    <w:rsid w:val="0040348C"/>
    <w:rsid w:val="00403866"/>
    <w:rsid w:val="00403ACA"/>
    <w:rsid w:val="00403B73"/>
    <w:rsid w:val="00403F06"/>
    <w:rsid w:val="00403FAE"/>
    <w:rsid w:val="004044AD"/>
    <w:rsid w:val="004045B5"/>
    <w:rsid w:val="004058E0"/>
    <w:rsid w:val="00405B13"/>
    <w:rsid w:val="00405C66"/>
    <w:rsid w:val="00406528"/>
    <w:rsid w:val="00406751"/>
    <w:rsid w:val="00407343"/>
    <w:rsid w:val="00407B18"/>
    <w:rsid w:val="00407B73"/>
    <w:rsid w:val="00407C9A"/>
    <w:rsid w:val="00407E5A"/>
    <w:rsid w:val="0041008E"/>
    <w:rsid w:val="00410181"/>
    <w:rsid w:val="00411213"/>
    <w:rsid w:val="0041123A"/>
    <w:rsid w:val="0041138C"/>
    <w:rsid w:val="00411490"/>
    <w:rsid w:val="0041158E"/>
    <w:rsid w:val="0041184C"/>
    <w:rsid w:val="00411F69"/>
    <w:rsid w:val="00412100"/>
    <w:rsid w:val="00412461"/>
    <w:rsid w:val="004124DE"/>
    <w:rsid w:val="004125BB"/>
    <w:rsid w:val="00412674"/>
    <w:rsid w:val="00412CD9"/>
    <w:rsid w:val="00412CDF"/>
    <w:rsid w:val="00412ECF"/>
    <w:rsid w:val="00413579"/>
    <w:rsid w:val="00413858"/>
    <w:rsid w:val="00413A05"/>
    <w:rsid w:val="00413CB9"/>
    <w:rsid w:val="00413DAE"/>
    <w:rsid w:val="00413E29"/>
    <w:rsid w:val="00414322"/>
    <w:rsid w:val="00414407"/>
    <w:rsid w:val="0041476E"/>
    <w:rsid w:val="00414887"/>
    <w:rsid w:val="004149DC"/>
    <w:rsid w:val="00414D52"/>
    <w:rsid w:val="00414FEF"/>
    <w:rsid w:val="0041522C"/>
    <w:rsid w:val="004152ED"/>
    <w:rsid w:val="0041533B"/>
    <w:rsid w:val="00415717"/>
    <w:rsid w:val="00415D7B"/>
    <w:rsid w:val="00415DD4"/>
    <w:rsid w:val="00415ED3"/>
    <w:rsid w:val="00415F25"/>
    <w:rsid w:val="00415F3A"/>
    <w:rsid w:val="00416122"/>
    <w:rsid w:val="004162DC"/>
    <w:rsid w:val="00416346"/>
    <w:rsid w:val="0041645B"/>
    <w:rsid w:val="004164E2"/>
    <w:rsid w:val="0041684E"/>
    <w:rsid w:val="00416A73"/>
    <w:rsid w:val="00416E7D"/>
    <w:rsid w:val="00416F06"/>
    <w:rsid w:val="00417040"/>
    <w:rsid w:val="004173B0"/>
    <w:rsid w:val="0041758D"/>
    <w:rsid w:val="004175F6"/>
    <w:rsid w:val="00417A0A"/>
    <w:rsid w:val="00417B52"/>
    <w:rsid w:val="00417DCA"/>
    <w:rsid w:val="004200CD"/>
    <w:rsid w:val="004200DA"/>
    <w:rsid w:val="004200E2"/>
    <w:rsid w:val="004201D7"/>
    <w:rsid w:val="0042042A"/>
    <w:rsid w:val="00420482"/>
    <w:rsid w:val="0042074C"/>
    <w:rsid w:val="00420752"/>
    <w:rsid w:val="00420A5A"/>
    <w:rsid w:val="00420CCF"/>
    <w:rsid w:val="00420FF0"/>
    <w:rsid w:val="0042128D"/>
    <w:rsid w:val="0042131E"/>
    <w:rsid w:val="004213CD"/>
    <w:rsid w:val="00421AB2"/>
    <w:rsid w:val="004225CE"/>
    <w:rsid w:val="00422925"/>
    <w:rsid w:val="0042295F"/>
    <w:rsid w:val="00422B9C"/>
    <w:rsid w:val="00422E74"/>
    <w:rsid w:val="00422F47"/>
    <w:rsid w:val="004234B0"/>
    <w:rsid w:val="004235D0"/>
    <w:rsid w:val="00423780"/>
    <w:rsid w:val="00423825"/>
    <w:rsid w:val="00423978"/>
    <w:rsid w:val="00423979"/>
    <w:rsid w:val="00424059"/>
    <w:rsid w:val="00424BB6"/>
    <w:rsid w:val="00425060"/>
    <w:rsid w:val="004250DB"/>
    <w:rsid w:val="0042553D"/>
    <w:rsid w:val="00425AC7"/>
    <w:rsid w:val="00425B4B"/>
    <w:rsid w:val="00425BE0"/>
    <w:rsid w:val="00425E43"/>
    <w:rsid w:val="00426098"/>
    <w:rsid w:val="004260AD"/>
    <w:rsid w:val="00426396"/>
    <w:rsid w:val="00426B88"/>
    <w:rsid w:val="0042739D"/>
    <w:rsid w:val="00427C0C"/>
    <w:rsid w:val="00427CBE"/>
    <w:rsid w:val="00427DC8"/>
    <w:rsid w:val="00427E36"/>
    <w:rsid w:val="004301A6"/>
    <w:rsid w:val="0043037C"/>
    <w:rsid w:val="0043038F"/>
    <w:rsid w:val="004305FB"/>
    <w:rsid w:val="0043066D"/>
    <w:rsid w:val="004308DD"/>
    <w:rsid w:val="004308E1"/>
    <w:rsid w:val="00430D31"/>
    <w:rsid w:val="00431095"/>
    <w:rsid w:val="0043126A"/>
    <w:rsid w:val="004313C7"/>
    <w:rsid w:val="004314C7"/>
    <w:rsid w:val="004314F0"/>
    <w:rsid w:val="004315B5"/>
    <w:rsid w:val="004316A6"/>
    <w:rsid w:val="004316E1"/>
    <w:rsid w:val="00431E44"/>
    <w:rsid w:val="0043261C"/>
    <w:rsid w:val="00432760"/>
    <w:rsid w:val="00432EC6"/>
    <w:rsid w:val="0043308B"/>
    <w:rsid w:val="00433265"/>
    <w:rsid w:val="004333B7"/>
    <w:rsid w:val="0043344E"/>
    <w:rsid w:val="004334C0"/>
    <w:rsid w:val="00433986"/>
    <w:rsid w:val="00433F8E"/>
    <w:rsid w:val="004342A1"/>
    <w:rsid w:val="004344FB"/>
    <w:rsid w:val="004349F5"/>
    <w:rsid w:val="004357D0"/>
    <w:rsid w:val="0043586E"/>
    <w:rsid w:val="00435EF6"/>
    <w:rsid w:val="0043606A"/>
    <w:rsid w:val="004360D7"/>
    <w:rsid w:val="0043614A"/>
    <w:rsid w:val="004365FA"/>
    <w:rsid w:val="00436674"/>
    <w:rsid w:val="00436832"/>
    <w:rsid w:val="00436BF3"/>
    <w:rsid w:val="004373C6"/>
    <w:rsid w:val="0043770C"/>
    <w:rsid w:val="00437DF5"/>
    <w:rsid w:val="00437E69"/>
    <w:rsid w:val="00440145"/>
    <w:rsid w:val="004403DF"/>
    <w:rsid w:val="00440418"/>
    <w:rsid w:val="0044072C"/>
    <w:rsid w:val="004407B4"/>
    <w:rsid w:val="00440AD5"/>
    <w:rsid w:val="00440D99"/>
    <w:rsid w:val="00441460"/>
    <w:rsid w:val="00441918"/>
    <w:rsid w:val="00441EB6"/>
    <w:rsid w:val="00441F4A"/>
    <w:rsid w:val="004424DE"/>
    <w:rsid w:val="0044270D"/>
    <w:rsid w:val="00442BCC"/>
    <w:rsid w:val="00442D07"/>
    <w:rsid w:val="00443092"/>
    <w:rsid w:val="004430A9"/>
    <w:rsid w:val="004431B2"/>
    <w:rsid w:val="0044350A"/>
    <w:rsid w:val="00443D09"/>
    <w:rsid w:val="00443DE7"/>
    <w:rsid w:val="00443E36"/>
    <w:rsid w:val="0044482F"/>
    <w:rsid w:val="00444A7B"/>
    <w:rsid w:val="00444E59"/>
    <w:rsid w:val="00444EA2"/>
    <w:rsid w:val="00444F6F"/>
    <w:rsid w:val="004451A1"/>
    <w:rsid w:val="004454A9"/>
    <w:rsid w:val="00445524"/>
    <w:rsid w:val="004455A7"/>
    <w:rsid w:val="00445D79"/>
    <w:rsid w:val="00445D94"/>
    <w:rsid w:val="00445F99"/>
    <w:rsid w:val="00445FED"/>
    <w:rsid w:val="004463B1"/>
    <w:rsid w:val="004463C5"/>
    <w:rsid w:val="004463D4"/>
    <w:rsid w:val="00446A39"/>
    <w:rsid w:val="00446B74"/>
    <w:rsid w:val="0044710F"/>
    <w:rsid w:val="00447562"/>
    <w:rsid w:val="00447B0E"/>
    <w:rsid w:val="00447CEB"/>
    <w:rsid w:val="00450302"/>
    <w:rsid w:val="00450643"/>
    <w:rsid w:val="00450B1E"/>
    <w:rsid w:val="0045146F"/>
    <w:rsid w:val="0045191D"/>
    <w:rsid w:val="00451A59"/>
    <w:rsid w:val="00451BCC"/>
    <w:rsid w:val="0045203D"/>
    <w:rsid w:val="0045223C"/>
    <w:rsid w:val="00452C1D"/>
    <w:rsid w:val="00452E24"/>
    <w:rsid w:val="00453156"/>
    <w:rsid w:val="0045346E"/>
    <w:rsid w:val="00453648"/>
    <w:rsid w:val="004536BE"/>
    <w:rsid w:val="004537EA"/>
    <w:rsid w:val="004539F7"/>
    <w:rsid w:val="00453D0B"/>
    <w:rsid w:val="004545F6"/>
    <w:rsid w:val="0045461F"/>
    <w:rsid w:val="00454A1D"/>
    <w:rsid w:val="00454AD6"/>
    <w:rsid w:val="0045511A"/>
    <w:rsid w:val="004558A7"/>
    <w:rsid w:val="00455BE2"/>
    <w:rsid w:val="00455C18"/>
    <w:rsid w:val="00455D91"/>
    <w:rsid w:val="00455DF9"/>
    <w:rsid w:val="00456100"/>
    <w:rsid w:val="00456678"/>
    <w:rsid w:val="00456961"/>
    <w:rsid w:val="004573BF"/>
    <w:rsid w:val="004574DB"/>
    <w:rsid w:val="004577DE"/>
    <w:rsid w:val="004578EC"/>
    <w:rsid w:val="00457971"/>
    <w:rsid w:val="00457AB4"/>
    <w:rsid w:val="00457BEA"/>
    <w:rsid w:val="004601AB"/>
    <w:rsid w:val="004602C1"/>
    <w:rsid w:val="00460303"/>
    <w:rsid w:val="00460473"/>
    <w:rsid w:val="00460623"/>
    <w:rsid w:val="00460762"/>
    <w:rsid w:val="00460815"/>
    <w:rsid w:val="004611AB"/>
    <w:rsid w:val="004612C4"/>
    <w:rsid w:val="0046146D"/>
    <w:rsid w:val="00461B69"/>
    <w:rsid w:val="00461D03"/>
    <w:rsid w:val="00461DC6"/>
    <w:rsid w:val="00462193"/>
    <w:rsid w:val="00462242"/>
    <w:rsid w:val="00462A09"/>
    <w:rsid w:val="00462B23"/>
    <w:rsid w:val="00463846"/>
    <w:rsid w:val="00463C5E"/>
    <w:rsid w:val="00463E03"/>
    <w:rsid w:val="00463EB0"/>
    <w:rsid w:val="00464318"/>
    <w:rsid w:val="0046435C"/>
    <w:rsid w:val="0046449E"/>
    <w:rsid w:val="00464547"/>
    <w:rsid w:val="00464564"/>
    <w:rsid w:val="0046461E"/>
    <w:rsid w:val="00464900"/>
    <w:rsid w:val="00464971"/>
    <w:rsid w:val="004649BC"/>
    <w:rsid w:val="00464A29"/>
    <w:rsid w:val="00464A33"/>
    <w:rsid w:val="00464FC5"/>
    <w:rsid w:val="00465370"/>
    <w:rsid w:val="00465495"/>
    <w:rsid w:val="004655D4"/>
    <w:rsid w:val="004657E3"/>
    <w:rsid w:val="004659CC"/>
    <w:rsid w:val="00465B89"/>
    <w:rsid w:val="004662D4"/>
    <w:rsid w:val="00466394"/>
    <w:rsid w:val="004663FF"/>
    <w:rsid w:val="0046654E"/>
    <w:rsid w:val="0046684A"/>
    <w:rsid w:val="0046687A"/>
    <w:rsid w:val="004671AD"/>
    <w:rsid w:val="00467F66"/>
    <w:rsid w:val="00467FE9"/>
    <w:rsid w:val="00467FF4"/>
    <w:rsid w:val="0047072E"/>
    <w:rsid w:val="00470C37"/>
    <w:rsid w:val="00470F3B"/>
    <w:rsid w:val="00470FF1"/>
    <w:rsid w:val="004711B0"/>
    <w:rsid w:val="00471512"/>
    <w:rsid w:val="00471CC6"/>
    <w:rsid w:val="004725F5"/>
    <w:rsid w:val="004729E0"/>
    <w:rsid w:val="00472A3E"/>
    <w:rsid w:val="00472AF3"/>
    <w:rsid w:val="00472B36"/>
    <w:rsid w:val="0047361C"/>
    <w:rsid w:val="0047363C"/>
    <w:rsid w:val="0047364B"/>
    <w:rsid w:val="00473B25"/>
    <w:rsid w:val="00473F2B"/>
    <w:rsid w:val="004746CE"/>
    <w:rsid w:val="00474941"/>
    <w:rsid w:val="00474A82"/>
    <w:rsid w:val="00474B06"/>
    <w:rsid w:val="00475015"/>
    <w:rsid w:val="004753ED"/>
    <w:rsid w:val="00475446"/>
    <w:rsid w:val="00476245"/>
    <w:rsid w:val="00476274"/>
    <w:rsid w:val="00476F42"/>
    <w:rsid w:val="00476F70"/>
    <w:rsid w:val="004770DF"/>
    <w:rsid w:val="004771B6"/>
    <w:rsid w:val="004772D7"/>
    <w:rsid w:val="00477515"/>
    <w:rsid w:val="004776A5"/>
    <w:rsid w:val="00477D72"/>
    <w:rsid w:val="00477E68"/>
    <w:rsid w:val="0048011E"/>
    <w:rsid w:val="00480152"/>
    <w:rsid w:val="0048022A"/>
    <w:rsid w:val="00480427"/>
    <w:rsid w:val="00480652"/>
    <w:rsid w:val="004806E4"/>
    <w:rsid w:val="00480831"/>
    <w:rsid w:val="00480C14"/>
    <w:rsid w:val="00480DF8"/>
    <w:rsid w:val="004810E0"/>
    <w:rsid w:val="00481146"/>
    <w:rsid w:val="0048138F"/>
    <w:rsid w:val="00481475"/>
    <w:rsid w:val="00481841"/>
    <w:rsid w:val="004819D1"/>
    <w:rsid w:val="0048285E"/>
    <w:rsid w:val="00482A10"/>
    <w:rsid w:val="00482C39"/>
    <w:rsid w:val="00482CB4"/>
    <w:rsid w:val="00482F02"/>
    <w:rsid w:val="00483089"/>
    <w:rsid w:val="0048353A"/>
    <w:rsid w:val="004837B0"/>
    <w:rsid w:val="00483AC6"/>
    <w:rsid w:val="00483D20"/>
    <w:rsid w:val="00483E56"/>
    <w:rsid w:val="00484169"/>
    <w:rsid w:val="0048418F"/>
    <w:rsid w:val="004842B4"/>
    <w:rsid w:val="0048453E"/>
    <w:rsid w:val="00484819"/>
    <w:rsid w:val="0048482E"/>
    <w:rsid w:val="00484921"/>
    <w:rsid w:val="0048495C"/>
    <w:rsid w:val="00484BC3"/>
    <w:rsid w:val="00484D80"/>
    <w:rsid w:val="004853AE"/>
    <w:rsid w:val="00485428"/>
    <w:rsid w:val="0048591F"/>
    <w:rsid w:val="00485CAB"/>
    <w:rsid w:val="004861D8"/>
    <w:rsid w:val="004863C6"/>
    <w:rsid w:val="00486579"/>
    <w:rsid w:val="0048667D"/>
    <w:rsid w:val="00486F2B"/>
    <w:rsid w:val="00487120"/>
    <w:rsid w:val="00487981"/>
    <w:rsid w:val="00487A71"/>
    <w:rsid w:val="00487CDC"/>
    <w:rsid w:val="00490102"/>
    <w:rsid w:val="0049044D"/>
    <w:rsid w:val="00490A93"/>
    <w:rsid w:val="00490E9A"/>
    <w:rsid w:val="00490F4C"/>
    <w:rsid w:val="004911E3"/>
    <w:rsid w:val="0049146D"/>
    <w:rsid w:val="004914D2"/>
    <w:rsid w:val="0049175A"/>
    <w:rsid w:val="00491773"/>
    <w:rsid w:val="0049190F"/>
    <w:rsid w:val="00491C85"/>
    <w:rsid w:val="00491CB3"/>
    <w:rsid w:val="00491CB4"/>
    <w:rsid w:val="00491D9F"/>
    <w:rsid w:val="00491FD6"/>
    <w:rsid w:val="0049224F"/>
    <w:rsid w:val="00492308"/>
    <w:rsid w:val="0049279D"/>
    <w:rsid w:val="004929E2"/>
    <w:rsid w:val="00492A20"/>
    <w:rsid w:val="00492D17"/>
    <w:rsid w:val="00493337"/>
    <w:rsid w:val="0049368E"/>
    <w:rsid w:val="004939FE"/>
    <w:rsid w:val="00493D5D"/>
    <w:rsid w:val="00493D81"/>
    <w:rsid w:val="004945AC"/>
    <w:rsid w:val="0049464F"/>
    <w:rsid w:val="00494690"/>
    <w:rsid w:val="00494E10"/>
    <w:rsid w:val="00495A33"/>
    <w:rsid w:val="00495D22"/>
    <w:rsid w:val="0049613F"/>
    <w:rsid w:val="0049618F"/>
    <w:rsid w:val="004963CF"/>
    <w:rsid w:val="0049644E"/>
    <w:rsid w:val="0049649A"/>
    <w:rsid w:val="00497016"/>
    <w:rsid w:val="00497450"/>
    <w:rsid w:val="00497697"/>
    <w:rsid w:val="00497907"/>
    <w:rsid w:val="00497B39"/>
    <w:rsid w:val="00497C8F"/>
    <w:rsid w:val="004A00F1"/>
    <w:rsid w:val="004A0228"/>
    <w:rsid w:val="004A0656"/>
    <w:rsid w:val="004A072A"/>
    <w:rsid w:val="004A0793"/>
    <w:rsid w:val="004A07A2"/>
    <w:rsid w:val="004A07AF"/>
    <w:rsid w:val="004A0980"/>
    <w:rsid w:val="004A09FA"/>
    <w:rsid w:val="004A10C2"/>
    <w:rsid w:val="004A1146"/>
    <w:rsid w:val="004A15D3"/>
    <w:rsid w:val="004A1B45"/>
    <w:rsid w:val="004A1ED8"/>
    <w:rsid w:val="004A22BD"/>
    <w:rsid w:val="004A2556"/>
    <w:rsid w:val="004A2559"/>
    <w:rsid w:val="004A2685"/>
    <w:rsid w:val="004A36BC"/>
    <w:rsid w:val="004A3CE9"/>
    <w:rsid w:val="004A3EE2"/>
    <w:rsid w:val="004A449B"/>
    <w:rsid w:val="004A4CAB"/>
    <w:rsid w:val="004A4EC2"/>
    <w:rsid w:val="004A4ED6"/>
    <w:rsid w:val="004A4F07"/>
    <w:rsid w:val="004A5422"/>
    <w:rsid w:val="004A56CC"/>
    <w:rsid w:val="004A56D0"/>
    <w:rsid w:val="004A5930"/>
    <w:rsid w:val="004A676A"/>
    <w:rsid w:val="004A69F1"/>
    <w:rsid w:val="004A6C70"/>
    <w:rsid w:val="004A6E12"/>
    <w:rsid w:val="004A6EB2"/>
    <w:rsid w:val="004A6F63"/>
    <w:rsid w:val="004A71E2"/>
    <w:rsid w:val="004A76DE"/>
    <w:rsid w:val="004A7A50"/>
    <w:rsid w:val="004A7D23"/>
    <w:rsid w:val="004A7EBF"/>
    <w:rsid w:val="004B0107"/>
    <w:rsid w:val="004B0492"/>
    <w:rsid w:val="004B0578"/>
    <w:rsid w:val="004B084F"/>
    <w:rsid w:val="004B0C13"/>
    <w:rsid w:val="004B0D50"/>
    <w:rsid w:val="004B1368"/>
    <w:rsid w:val="004B20A7"/>
    <w:rsid w:val="004B228C"/>
    <w:rsid w:val="004B23BD"/>
    <w:rsid w:val="004B24DA"/>
    <w:rsid w:val="004B2584"/>
    <w:rsid w:val="004B25DB"/>
    <w:rsid w:val="004B25F0"/>
    <w:rsid w:val="004B2DDD"/>
    <w:rsid w:val="004B2E40"/>
    <w:rsid w:val="004B31B6"/>
    <w:rsid w:val="004B3288"/>
    <w:rsid w:val="004B3E78"/>
    <w:rsid w:val="004B3F10"/>
    <w:rsid w:val="004B407F"/>
    <w:rsid w:val="004B4167"/>
    <w:rsid w:val="004B41C7"/>
    <w:rsid w:val="004B4517"/>
    <w:rsid w:val="004B48CB"/>
    <w:rsid w:val="004B4A09"/>
    <w:rsid w:val="004B4CB0"/>
    <w:rsid w:val="004B4DAF"/>
    <w:rsid w:val="004B4DF0"/>
    <w:rsid w:val="004B4E9C"/>
    <w:rsid w:val="004B50B4"/>
    <w:rsid w:val="004B5219"/>
    <w:rsid w:val="004B53EA"/>
    <w:rsid w:val="004B55B8"/>
    <w:rsid w:val="004B565C"/>
    <w:rsid w:val="004B586A"/>
    <w:rsid w:val="004B5D09"/>
    <w:rsid w:val="004B5D47"/>
    <w:rsid w:val="004B5DF0"/>
    <w:rsid w:val="004B6058"/>
    <w:rsid w:val="004B6F5A"/>
    <w:rsid w:val="004B7221"/>
    <w:rsid w:val="004B7505"/>
    <w:rsid w:val="004B7891"/>
    <w:rsid w:val="004B7911"/>
    <w:rsid w:val="004B7FAB"/>
    <w:rsid w:val="004C018C"/>
    <w:rsid w:val="004C059D"/>
    <w:rsid w:val="004C06A0"/>
    <w:rsid w:val="004C0A0F"/>
    <w:rsid w:val="004C0C62"/>
    <w:rsid w:val="004C113C"/>
    <w:rsid w:val="004C1170"/>
    <w:rsid w:val="004C1900"/>
    <w:rsid w:val="004C1E78"/>
    <w:rsid w:val="004C1F1D"/>
    <w:rsid w:val="004C21A4"/>
    <w:rsid w:val="004C2321"/>
    <w:rsid w:val="004C2605"/>
    <w:rsid w:val="004C310D"/>
    <w:rsid w:val="004C31FB"/>
    <w:rsid w:val="004C340A"/>
    <w:rsid w:val="004C3686"/>
    <w:rsid w:val="004C392A"/>
    <w:rsid w:val="004C4028"/>
    <w:rsid w:val="004C40E9"/>
    <w:rsid w:val="004C419B"/>
    <w:rsid w:val="004C44B3"/>
    <w:rsid w:val="004C47B3"/>
    <w:rsid w:val="004C4825"/>
    <w:rsid w:val="004C48B4"/>
    <w:rsid w:val="004C4D45"/>
    <w:rsid w:val="004C539E"/>
    <w:rsid w:val="004C539F"/>
    <w:rsid w:val="004C55D9"/>
    <w:rsid w:val="004C5BEE"/>
    <w:rsid w:val="004C5DE6"/>
    <w:rsid w:val="004C601F"/>
    <w:rsid w:val="004C60DA"/>
    <w:rsid w:val="004C6517"/>
    <w:rsid w:val="004C65D9"/>
    <w:rsid w:val="004C6BF7"/>
    <w:rsid w:val="004C6CD5"/>
    <w:rsid w:val="004C71FA"/>
    <w:rsid w:val="004C7447"/>
    <w:rsid w:val="004D032D"/>
    <w:rsid w:val="004D120D"/>
    <w:rsid w:val="004D169E"/>
    <w:rsid w:val="004D16BC"/>
    <w:rsid w:val="004D17C8"/>
    <w:rsid w:val="004D1F65"/>
    <w:rsid w:val="004D21A2"/>
    <w:rsid w:val="004D22D8"/>
    <w:rsid w:val="004D266F"/>
    <w:rsid w:val="004D270F"/>
    <w:rsid w:val="004D29B3"/>
    <w:rsid w:val="004D2B95"/>
    <w:rsid w:val="004D2CA3"/>
    <w:rsid w:val="004D3348"/>
    <w:rsid w:val="004D3705"/>
    <w:rsid w:val="004D3871"/>
    <w:rsid w:val="004D4381"/>
    <w:rsid w:val="004D443C"/>
    <w:rsid w:val="004D46D9"/>
    <w:rsid w:val="004D4AFB"/>
    <w:rsid w:val="004D4E7E"/>
    <w:rsid w:val="004D4F8E"/>
    <w:rsid w:val="004D534E"/>
    <w:rsid w:val="004D5636"/>
    <w:rsid w:val="004D5E48"/>
    <w:rsid w:val="004D5FBA"/>
    <w:rsid w:val="004D62F5"/>
    <w:rsid w:val="004D6CB4"/>
    <w:rsid w:val="004D6CD1"/>
    <w:rsid w:val="004D736A"/>
    <w:rsid w:val="004D7886"/>
    <w:rsid w:val="004D78F6"/>
    <w:rsid w:val="004D79B4"/>
    <w:rsid w:val="004D7B24"/>
    <w:rsid w:val="004D7B98"/>
    <w:rsid w:val="004E001F"/>
    <w:rsid w:val="004E00FD"/>
    <w:rsid w:val="004E02E0"/>
    <w:rsid w:val="004E053F"/>
    <w:rsid w:val="004E0869"/>
    <w:rsid w:val="004E0AE7"/>
    <w:rsid w:val="004E0D84"/>
    <w:rsid w:val="004E0DE7"/>
    <w:rsid w:val="004E0F57"/>
    <w:rsid w:val="004E1015"/>
    <w:rsid w:val="004E10C4"/>
    <w:rsid w:val="004E113F"/>
    <w:rsid w:val="004E116F"/>
    <w:rsid w:val="004E13E0"/>
    <w:rsid w:val="004E1597"/>
    <w:rsid w:val="004E15D5"/>
    <w:rsid w:val="004E1B10"/>
    <w:rsid w:val="004E1C0B"/>
    <w:rsid w:val="004E2514"/>
    <w:rsid w:val="004E26B2"/>
    <w:rsid w:val="004E29E1"/>
    <w:rsid w:val="004E2CDB"/>
    <w:rsid w:val="004E2D1D"/>
    <w:rsid w:val="004E3165"/>
    <w:rsid w:val="004E327B"/>
    <w:rsid w:val="004E3BF9"/>
    <w:rsid w:val="004E47B1"/>
    <w:rsid w:val="004E4E24"/>
    <w:rsid w:val="004E507B"/>
    <w:rsid w:val="004E5509"/>
    <w:rsid w:val="004E5688"/>
    <w:rsid w:val="004E5ADD"/>
    <w:rsid w:val="004E5B4D"/>
    <w:rsid w:val="004E61D0"/>
    <w:rsid w:val="004E6A2A"/>
    <w:rsid w:val="004E6C04"/>
    <w:rsid w:val="004E6D35"/>
    <w:rsid w:val="004E6D5E"/>
    <w:rsid w:val="004E7079"/>
    <w:rsid w:val="004E729D"/>
    <w:rsid w:val="004E7AB3"/>
    <w:rsid w:val="004E7EF9"/>
    <w:rsid w:val="004F074D"/>
    <w:rsid w:val="004F0B98"/>
    <w:rsid w:val="004F0BBF"/>
    <w:rsid w:val="004F0FD7"/>
    <w:rsid w:val="004F10E0"/>
    <w:rsid w:val="004F123F"/>
    <w:rsid w:val="004F1252"/>
    <w:rsid w:val="004F1585"/>
    <w:rsid w:val="004F1660"/>
    <w:rsid w:val="004F1979"/>
    <w:rsid w:val="004F1EC2"/>
    <w:rsid w:val="004F2323"/>
    <w:rsid w:val="004F2641"/>
    <w:rsid w:val="004F2F8F"/>
    <w:rsid w:val="004F2FA2"/>
    <w:rsid w:val="004F3046"/>
    <w:rsid w:val="004F36B1"/>
    <w:rsid w:val="004F377E"/>
    <w:rsid w:val="004F3A14"/>
    <w:rsid w:val="004F3AB4"/>
    <w:rsid w:val="004F3B84"/>
    <w:rsid w:val="004F3B88"/>
    <w:rsid w:val="004F3BF5"/>
    <w:rsid w:val="004F435D"/>
    <w:rsid w:val="004F444D"/>
    <w:rsid w:val="004F48D3"/>
    <w:rsid w:val="004F48F4"/>
    <w:rsid w:val="004F4ABE"/>
    <w:rsid w:val="004F4B6F"/>
    <w:rsid w:val="004F4CAE"/>
    <w:rsid w:val="004F4D46"/>
    <w:rsid w:val="004F5063"/>
    <w:rsid w:val="004F50A6"/>
    <w:rsid w:val="004F536A"/>
    <w:rsid w:val="004F55FD"/>
    <w:rsid w:val="004F5A83"/>
    <w:rsid w:val="004F5FC6"/>
    <w:rsid w:val="004F6DDC"/>
    <w:rsid w:val="004F705C"/>
    <w:rsid w:val="004F742C"/>
    <w:rsid w:val="004F7816"/>
    <w:rsid w:val="004F78B7"/>
    <w:rsid w:val="004F7B06"/>
    <w:rsid w:val="004F7E69"/>
    <w:rsid w:val="0050003F"/>
    <w:rsid w:val="0050031D"/>
    <w:rsid w:val="00500553"/>
    <w:rsid w:val="00500C0D"/>
    <w:rsid w:val="00500D32"/>
    <w:rsid w:val="00500DF1"/>
    <w:rsid w:val="00500E09"/>
    <w:rsid w:val="005010F0"/>
    <w:rsid w:val="005011CE"/>
    <w:rsid w:val="00501499"/>
    <w:rsid w:val="00501BD6"/>
    <w:rsid w:val="00501CB4"/>
    <w:rsid w:val="00501D6A"/>
    <w:rsid w:val="005020BD"/>
    <w:rsid w:val="005023AC"/>
    <w:rsid w:val="0050240F"/>
    <w:rsid w:val="005027F4"/>
    <w:rsid w:val="00502A06"/>
    <w:rsid w:val="00502A6B"/>
    <w:rsid w:val="00502AD7"/>
    <w:rsid w:val="00502FE7"/>
    <w:rsid w:val="005030EB"/>
    <w:rsid w:val="0050319C"/>
    <w:rsid w:val="005031A1"/>
    <w:rsid w:val="00503273"/>
    <w:rsid w:val="0050329A"/>
    <w:rsid w:val="005032DE"/>
    <w:rsid w:val="0050349D"/>
    <w:rsid w:val="00503561"/>
    <w:rsid w:val="005036C5"/>
    <w:rsid w:val="0050397B"/>
    <w:rsid w:val="00503B4C"/>
    <w:rsid w:val="00503BF3"/>
    <w:rsid w:val="00503C6E"/>
    <w:rsid w:val="00503DD0"/>
    <w:rsid w:val="005044A9"/>
    <w:rsid w:val="005046AA"/>
    <w:rsid w:val="005048F9"/>
    <w:rsid w:val="00504B00"/>
    <w:rsid w:val="005050F9"/>
    <w:rsid w:val="005054DC"/>
    <w:rsid w:val="00505546"/>
    <w:rsid w:val="005055BB"/>
    <w:rsid w:val="00505609"/>
    <w:rsid w:val="00505689"/>
    <w:rsid w:val="005056A7"/>
    <w:rsid w:val="005057A9"/>
    <w:rsid w:val="0050592C"/>
    <w:rsid w:val="0050597C"/>
    <w:rsid w:val="005059E4"/>
    <w:rsid w:val="00505A8B"/>
    <w:rsid w:val="00505D0E"/>
    <w:rsid w:val="005064CA"/>
    <w:rsid w:val="0050651E"/>
    <w:rsid w:val="0050663D"/>
    <w:rsid w:val="005069F4"/>
    <w:rsid w:val="00506D89"/>
    <w:rsid w:val="0050701E"/>
    <w:rsid w:val="00507501"/>
    <w:rsid w:val="0050751A"/>
    <w:rsid w:val="00507A71"/>
    <w:rsid w:val="00507F48"/>
    <w:rsid w:val="00510402"/>
    <w:rsid w:val="005104DB"/>
    <w:rsid w:val="00510712"/>
    <w:rsid w:val="005108DB"/>
    <w:rsid w:val="00510B1C"/>
    <w:rsid w:val="00510B95"/>
    <w:rsid w:val="00510FDF"/>
    <w:rsid w:val="005114A4"/>
    <w:rsid w:val="00511575"/>
    <w:rsid w:val="0051178B"/>
    <w:rsid w:val="005119FB"/>
    <w:rsid w:val="00511B29"/>
    <w:rsid w:val="00511C12"/>
    <w:rsid w:val="00511C6F"/>
    <w:rsid w:val="00511CFE"/>
    <w:rsid w:val="00511DEF"/>
    <w:rsid w:val="00511E60"/>
    <w:rsid w:val="00511ED5"/>
    <w:rsid w:val="005121FD"/>
    <w:rsid w:val="0051231D"/>
    <w:rsid w:val="0051259B"/>
    <w:rsid w:val="0051264E"/>
    <w:rsid w:val="0051287A"/>
    <w:rsid w:val="00512D99"/>
    <w:rsid w:val="00512F14"/>
    <w:rsid w:val="005139D9"/>
    <w:rsid w:val="00513AAF"/>
    <w:rsid w:val="00513E3F"/>
    <w:rsid w:val="00513E83"/>
    <w:rsid w:val="00513FEB"/>
    <w:rsid w:val="00514197"/>
    <w:rsid w:val="00514222"/>
    <w:rsid w:val="005148A5"/>
    <w:rsid w:val="00514AA8"/>
    <w:rsid w:val="00514C24"/>
    <w:rsid w:val="00514E34"/>
    <w:rsid w:val="0051519B"/>
    <w:rsid w:val="0051574B"/>
    <w:rsid w:val="005157FF"/>
    <w:rsid w:val="005158A7"/>
    <w:rsid w:val="0051594D"/>
    <w:rsid w:val="00515A26"/>
    <w:rsid w:val="00515A63"/>
    <w:rsid w:val="00515A6E"/>
    <w:rsid w:val="00515FBE"/>
    <w:rsid w:val="00516204"/>
    <w:rsid w:val="00516252"/>
    <w:rsid w:val="00516602"/>
    <w:rsid w:val="00516D96"/>
    <w:rsid w:val="0051728E"/>
    <w:rsid w:val="005176F7"/>
    <w:rsid w:val="00517720"/>
    <w:rsid w:val="005178D9"/>
    <w:rsid w:val="0051792C"/>
    <w:rsid w:val="00517A20"/>
    <w:rsid w:val="00520066"/>
    <w:rsid w:val="005205F3"/>
    <w:rsid w:val="00520B57"/>
    <w:rsid w:val="00520C62"/>
    <w:rsid w:val="00520C77"/>
    <w:rsid w:val="00520D30"/>
    <w:rsid w:val="00520EF2"/>
    <w:rsid w:val="00520FF1"/>
    <w:rsid w:val="00521255"/>
    <w:rsid w:val="0052138A"/>
    <w:rsid w:val="0052140E"/>
    <w:rsid w:val="00521820"/>
    <w:rsid w:val="00521AA1"/>
    <w:rsid w:val="00521AE6"/>
    <w:rsid w:val="00521AF0"/>
    <w:rsid w:val="005227BE"/>
    <w:rsid w:val="00522C02"/>
    <w:rsid w:val="00522C3E"/>
    <w:rsid w:val="00522ECC"/>
    <w:rsid w:val="00522FC2"/>
    <w:rsid w:val="00523300"/>
    <w:rsid w:val="00523416"/>
    <w:rsid w:val="00523540"/>
    <w:rsid w:val="005240CF"/>
    <w:rsid w:val="00524193"/>
    <w:rsid w:val="00524312"/>
    <w:rsid w:val="0052436B"/>
    <w:rsid w:val="00524893"/>
    <w:rsid w:val="00524B09"/>
    <w:rsid w:val="00524C34"/>
    <w:rsid w:val="00524EDF"/>
    <w:rsid w:val="00525222"/>
    <w:rsid w:val="0052535B"/>
    <w:rsid w:val="0052536F"/>
    <w:rsid w:val="00525449"/>
    <w:rsid w:val="00525686"/>
    <w:rsid w:val="005257F3"/>
    <w:rsid w:val="00525B12"/>
    <w:rsid w:val="005261AB"/>
    <w:rsid w:val="00526414"/>
    <w:rsid w:val="0052648D"/>
    <w:rsid w:val="0052687E"/>
    <w:rsid w:val="00527528"/>
    <w:rsid w:val="00527761"/>
    <w:rsid w:val="00527FBF"/>
    <w:rsid w:val="005301FF"/>
    <w:rsid w:val="00530529"/>
    <w:rsid w:val="00530597"/>
    <w:rsid w:val="00530816"/>
    <w:rsid w:val="00530C54"/>
    <w:rsid w:val="00530D7E"/>
    <w:rsid w:val="00530FC3"/>
    <w:rsid w:val="0053111F"/>
    <w:rsid w:val="005311D4"/>
    <w:rsid w:val="005313AB"/>
    <w:rsid w:val="0053168B"/>
    <w:rsid w:val="005318D4"/>
    <w:rsid w:val="00531F93"/>
    <w:rsid w:val="005321A8"/>
    <w:rsid w:val="005322D8"/>
    <w:rsid w:val="0053238E"/>
    <w:rsid w:val="005324C3"/>
    <w:rsid w:val="0053268D"/>
    <w:rsid w:val="00532C1F"/>
    <w:rsid w:val="00532F4D"/>
    <w:rsid w:val="00533291"/>
    <w:rsid w:val="00533404"/>
    <w:rsid w:val="00533D73"/>
    <w:rsid w:val="00533D96"/>
    <w:rsid w:val="00533F9D"/>
    <w:rsid w:val="005340CF"/>
    <w:rsid w:val="00534132"/>
    <w:rsid w:val="005341A1"/>
    <w:rsid w:val="005345D9"/>
    <w:rsid w:val="00534C66"/>
    <w:rsid w:val="00534F1A"/>
    <w:rsid w:val="00535CA5"/>
    <w:rsid w:val="00535D86"/>
    <w:rsid w:val="00535E4E"/>
    <w:rsid w:val="00535F2D"/>
    <w:rsid w:val="0053601F"/>
    <w:rsid w:val="0053602B"/>
    <w:rsid w:val="0053666F"/>
    <w:rsid w:val="0053687A"/>
    <w:rsid w:val="00536E0D"/>
    <w:rsid w:val="00536EAE"/>
    <w:rsid w:val="005372BA"/>
    <w:rsid w:val="005377C1"/>
    <w:rsid w:val="00537BD3"/>
    <w:rsid w:val="00537ED8"/>
    <w:rsid w:val="00537F02"/>
    <w:rsid w:val="0054000E"/>
    <w:rsid w:val="005401ED"/>
    <w:rsid w:val="005401F6"/>
    <w:rsid w:val="00540205"/>
    <w:rsid w:val="00540A96"/>
    <w:rsid w:val="00540EB4"/>
    <w:rsid w:val="00540EB8"/>
    <w:rsid w:val="00541128"/>
    <w:rsid w:val="00541873"/>
    <w:rsid w:val="005418E9"/>
    <w:rsid w:val="00541949"/>
    <w:rsid w:val="00541E0E"/>
    <w:rsid w:val="00542BA4"/>
    <w:rsid w:val="005431FD"/>
    <w:rsid w:val="00543D9C"/>
    <w:rsid w:val="005445A4"/>
    <w:rsid w:val="0054490C"/>
    <w:rsid w:val="00544E03"/>
    <w:rsid w:val="0054528B"/>
    <w:rsid w:val="0054541C"/>
    <w:rsid w:val="0054575F"/>
    <w:rsid w:val="005458F6"/>
    <w:rsid w:val="00545A26"/>
    <w:rsid w:val="00545AF5"/>
    <w:rsid w:val="00545E48"/>
    <w:rsid w:val="00545F99"/>
    <w:rsid w:val="005463CD"/>
    <w:rsid w:val="005463DD"/>
    <w:rsid w:val="005463DF"/>
    <w:rsid w:val="00546DF1"/>
    <w:rsid w:val="00546E93"/>
    <w:rsid w:val="00546F8B"/>
    <w:rsid w:val="005471A2"/>
    <w:rsid w:val="00547388"/>
    <w:rsid w:val="005473BE"/>
    <w:rsid w:val="005479CA"/>
    <w:rsid w:val="00547C0C"/>
    <w:rsid w:val="00547E84"/>
    <w:rsid w:val="00547FDD"/>
    <w:rsid w:val="005500F9"/>
    <w:rsid w:val="00550414"/>
    <w:rsid w:val="005507C4"/>
    <w:rsid w:val="0055089D"/>
    <w:rsid w:val="00551000"/>
    <w:rsid w:val="00551065"/>
    <w:rsid w:val="00551079"/>
    <w:rsid w:val="005512A4"/>
    <w:rsid w:val="00551C0C"/>
    <w:rsid w:val="00551C34"/>
    <w:rsid w:val="00551EC3"/>
    <w:rsid w:val="0055247F"/>
    <w:rsid w:val="0055260F"/>
    <w:rsid w:val="005529CE"/>
    <w:rsid w:val="00552CF8"/>
    <w:rsid w:val="00552DDA"/>
    <w:rsid w:val="005531D6"/>
    <w:rsid w:val="0055353A"/>
    <w:rsid w:val="00553576"/>
    <w:rsid w:val="005535A2"/>
    <w:rsid w:val="00554172"/>
    <w:rsid w:val="00554316"/>
    <w:rsid w:val="005543BD"/>
    <w:rsid w:val="00554CDC"/>
    <w:rsid w:val="00554DFE"/>
    <w:rsid w:val="00555005"/>
    <w:rsid w:val="00555462"/>
    <w:rsid w:val="005554E5"/>
    <w:rsid w:val="00555A63"/>
    <w:rsid w:val="00555A83"/>
    <w:rsid w:val="00555BB1"/>
    <w:rsid w:val="005561B7"/>
    <w:rsid w:val="0055713D"/>
    <w:rsid w:val="0055716D"/>
    <w:rsid w:val="00557396"/>
    <w:rsid w:val="0055741F"/>
    <w:rsid w:val="005577A0"/>
    <w:rsid w:val="005600D2"/>
    <w:rsid w:val="005601B2"/>
    <w:rsid w:val="00560533"/>
    <w:rsid w:val="005605F6"/>
    <w:rsid w:val="00560A3F"/>
    <w:rsid w:val="00560C10"/>
    <w:rsid w:val="00560D30"/>
    <w:rsid w:val="00560FF8"/>
    <w:rsid w:val="00561063"/>
    <w:rsid w:val="005611D4"/>
    <w:rsid w:val="00561482"/>
    <w:rsid w:val="00561794"/>
    <w:rsid w:val="00561A0E"/>
    <w:rsid w:val="00561CC9"/>
    <w:rsid w:val="00561D7D"/>
    <w:rsid w:val="00561EDE"/>
    <w:rsid w:val="005623DA"/>
    <w:rsid w:val="00562480"/>
    <w:rsid w:val="005626AA"/>
    <w:rsid w:val="00562738"/>
    <w:rsid w:val="005639D4"/>
    <w:rsid w:val="00564649"/>
    <w:rsid w:val="005647D1"/>
    <w:rsid w:val="005648DE"/>
    <w:rsid w:val="00564B53"/>
    <w:rsid w:val="00564DFC"/>
    <w:rsid w:val="005650FF"/>
    <w:rsid w:val="005653EF"/>
    <w:rsid w:val="00565B83"/>
    <w:rsid w:val="00565CFA"/>
    <w:rsid w:val="00565F15"/>
    <w:rsid w:val="00566697"/>
    <w:rsid w:val="005667DE"/>
    <w:rsid w:val="00566815"/>
    <w:rsid w:val="0056699A"/>
    <w:rsid w:val="00566E19"/>
    <w:rsid w:val="00566E42"/>
    <w:rsid w:val="00566F15"/>
    <w:rsid w:val="0056719E"/>
    <w:rsid w:val="00567204"/>
    <w:rsid w:val="00567529"/>
    <w:rsid w:val="00567629"/>
    <w:rsid w:val="00567944"/>
    <w:rsid w:val="00567AB1"/>
    <w:rsid w:val="00567D3D"/>
    <w:rsid w:val="00567F2D"/>
    <w:rsid w:val="00570563"/>
    <w:rsid w:val="0057093C"/>
    <w:rsid w:val="00570A28"/>
    <w:rsid w:val="00570A69"/>
    <w:rsid w:val="00570E7D"/>
    <w:rsid w:val="00571107"/>
    <w:rsid w:val="00571177"/>
    <w:rsid w:val="005713BD"/>
    <w:rsid w:val="00571435"/>
    <w:rsid w:val="005718EF"/>
    <w:rsid w:val="0057245B"/>
    <w:rsid w:val="00572485"/>
    <w:rsid w:val="005724B0"/>
    <w:rsid w:val="00572640"/>
    <w:rsid w:val="005730B3"/>
    <w:rsid w:val="0057361C"/>
    <w:rsid w:val="00573748"/>
    <w:rsid w:val="0057383C"/>
    <w:rsid w:val="00573842"/>
    <w:rsid w:val="005739B0"/>
    <w:rsid w:val="005739ED"/>
    <w:rsid w:val="005740FE"/>
    <w:rsid w:val="005743BC"/>
    <w:rsid w:val="00574657"/>
    <w:rsid w:val="00574834"/>
    <w:rsid w:val="00574A2D"/>
    <w:rsid w:val="0057533D"/>
    <w:rsid w:val="005757D9"/>
    <w:rsid w:val="00575916"/>
    <w:rsid w:val="00575BA0"/>
    <w:rsid w:val="00575CE7"/>
    <w:rsid w:val="00575F82"/>
    <w:rsid w:val="00575FCF"/>
    <w:rsid w:val="005765B3"/>
    <w:rsid w:val="005766B9"/>
    <w:rsid w:val="00576783"/>
    <w:rsid w:val="00576930"/>
    <w:rsid w:val="005773A6"/>
    <w:rsid w:val="00577442"/>
    <w:rsid w:val="005778EE"/>
    <w:rsid w:val="00577EA9"/>
    <w:rsid w:val="00580182"/>
    <w:rsid w:val="005801B7"/>
    <w:rsid w:val="00580581"/>
    <w:rsid w:val="00580635"/>
    <w:rsid w:val="005807C7"/>
    <w:rsid w:val="00580AF9"/>
    <w:rsid w:val="00580E8B"/>
    <w:rsid w:val="00581107"/>
    <w:rsid w:val="0058157D"/>
    <w:rsid w:val="005819EA"/>
    <w:rsid w:val="00581B28"/>
    <w:rsid w:val="00582090"/>
    <w:rsid w:val="005820DE"/>
    <w:rsid w:val="00582255"/>
    <w:rsid w:val="0058240D"/>
    <w:rsid w:val="0058277B"/>
    <w:rsid w:val="005827D5"/>
    <w:rsid w:val="00582A05"/>
    <w:rsid w:val="00582B74"/>
    <w:rsid w:val="00582BEE"/>
    <w:rsid w:val="00583004"/>
    <w:rsid w:val="005833F1"/>
    <w:rsid w:val="0058388D"/>
    <w:rsid w:val="00583A11"/>
    <w:rsid w:val="00583C81"/>
    <w:rsid w:val="00583EB1"/>
    <w:rsid w:val="00584093"/>
    <w:rsid w:val="00584105"/>
    <w:rsid w:val="00584255"/>
    <w:rsid w:val="005842DF"/>
    <w:rsid w:val="0058431E"/>
    <w:rsid w:val="0058478D"/>
    <w:rsid w:val="00584A65"/>
    <w:rsid w:val="00584FF9"/>
    <w:rsid w:val="005859C5"/>
    <w:rsid w:val="0058645B"/>
    <w:rsid w:val="005868BA"/>
    <w:rsid w:val="00586EAE"/>
    <w:rsid w:val="00587467"/>
    <w:rsid w:val="00587658"/>
    <w:rsid w:val="00587761"/>
    <w:rsid w:val="0059002F"/>
    <w:rsid w:val="00590218"/>
    <w:rsid w:val="0059030F"/>
    <w:rsid w:val="0059033B"/>
    <w:rsid w:val="00590AB8"/>
    <w:rsid w:val="00590C55"/>
    <w:rsid w:val="0059139B"/>
    <w:rsid w:val="00591BEB"/>
    <w:rsid w:val="00592541"/>
    <w:rsid w:val="00592C6D"/>
    <w:rsid w:val="00592E85"/>
    <w:rsid w:val="005931B6"/>
    <w:rsid w:val="00593275"/>
    <w:rsid w:val="0059329C"/>
    <w:rsid w:val="005933A9"/>
    <w:rsid w:val="00593463"/>
    <w:rsid w:val="00593599"/>
    <w:rsid w:val="00593611"/>
    <w:rsid w:val="0059361F"/>
    <w:rsid w:val="00593801"/>
    <w:rsid w:val="00593A9F"/>
    <w:rsid w:val="00593E86"/>
    <w:rsid w:val="005940AE"/>
    <w:rsid w:val="00594113"/>
    <w:rsid w:val="00594284"/>
    <w:rsid w:val="005947BA"/>
    <w:rsid w:val="00594827"/>
    <w:rsid w:val="00594DEB"/>
    <w:rsid w:val="0059518F"/>
    <w:rsid w:val="00595288"/>
    <w:rsid w:val="00595608"/>
    <w:rsid w:val="00595944"/>
    <w:rsid w:val="00595ED5"/>
    <w:rsid w:val="0059673C"/>
    <w:rsid w:val="00596B40"/>
    <w:rsid w:val="00596CBA"/>
    <w:rsid w:val="00597014"/>
    <w:rsid w:val="0059708D"/>
    <w:rsid w:val="005976D1"/>
    <w:rsid w:val="005976FA"/>
    <w:rsid w:val="0059782D"/>
    <w:rsid w:val="00597962"/>
    <w:rsid w:val="00597B70"/>
    <w:rsid w:val="005A0162"/>
    <w:rsid w:val="005A0834"/>
    <w:rsid w:val="005A0866"/>
    <w:rsid w:val="005A08AD"/>
    <w:rsid w:val="005A0932"/>
    <w:rsid w:val="005A1084"/>
    <w:rsid w:val="005A151E"/>
    <w:rsid w:val="005A1CD1"/>
    <w:rsid w:val="005A1FE9"/>
    <w:rsid w:val="005A2D91"/>
    <w:rsid w:val="005A2E40"/>
    <w:rsid w:val="005A2E5D"/>
    <w:rsid w:val="005A302F"/>
    <w:rsid w:val="005A354A"/>
    <w:rsid w:val="005A37C8"/>
    <w:rsid w:val="005A3CC9"/>
    <w:rsid w:val="005A3DEF"/>
    <w:rsid w:val="005A3F27"/>
    <w:rsid w:val="005A3FD5"/>
    <w:rsid w:val="005A402E"/>
    <w:rsid w:val="005A4050"/>
    <w:rsid w:val="005A45D8"/>
    <w:rsid w:val="005A48DA"/>
    <w:rsid w:val="005A4C86"/>
    <w:rsid w:val="005A51D3"/>
    <w:rsid w:val="005A5B96"/>
    <w:rsid w:val="005A5C89"/>
    <w:rsid w:val="005A610C"/>
    <w:rsid w:val="005A6231"/>
    <w:rsid w:val="005A6939"/>
    <w:rsid w:val="005A6F14"/>
    <w:rsid w:val="005A73C9"/>
    <w:rsid w:val="005A74C9"/>
    <w:rsid w:val="005A7932"/>
    <w:rsid w:val="005A7A61"/>
    <w:rsid w:val="005A7EF9"/>
    <w:rsid w:val="005A7F34"/>
    <w:rsid w:val="005B009E"/>
    <w:rsid w:val="005B094A"/>
    <w:rsid w:val="005B0A0F"/>
    <w:rsid w:val="005B0F23"/>
    <w:rsid w:val="005B10A0"/>
    <w:rsid w:val="005B136D"/>
    <w:rsid w:val="005B13B0"/>
    <w:rsid w:val="005B159F"/>
    <w:rsid w:val="005B1987"/>
    <w:rsid w:val="005B1B1A"/>
    <w:rsid w:val="005B1D10"/>
    <w:rsid w:val="005B201E"/>
    <w:rsid w:val="005B214A"/>
    <w:rsid w:val="005B22FF"/>
    <w:rsid w:val="005B256C"/>
    <w:rsid w:val="005B2740"/>
    <w:rsid w:val="005B2BD0"/>
    <w:rsid w:val="005B3232"/>
    <w:rsid w:val="005B3679"/>
    <w:rsid w:val="005B3A24"/>
    <w:rsid w:val="005B3D89"/>
    <w:rsid w:val="005B41B1"/>
    <w:rsid w:val="005B4528"/>
    <w:rsid w:val="005B4A41"/>
    <w:rsid w:val="005B4DE3"/>
    <w:rsid w:val="005B4F67"/>
    <w:rsid w:val="005B507C"/>
    <w:rsid w:val="005B5275"/>
    <w:rsid w:val="005B5812"/>
    <w:rsid w:val="005B59A8"/>
    <w:rsid w:val="005B6B07"/>
    <w:rsid w:val="005B6CC3"/>
    <w:rsid w:val="005B76CF"/>
    <w:rsid w:val="005B7E8F"/>
    <w:rsid w:val="005B7F4D"/>
    <w:rsid w:val="005C02A3"/>
    <w:rsid w:val="005C03AC"/>
    <w:rsid w:val="005C09F3"/>
    <w:rsid w:val="005C0E0F"/>
    <w:rsid w:val="005C0E27"/>
    <w:rsid w:val="005C0E4E"/>
    <w:rsid w:val="005C136E"/>
    <w:rsid w:val="005C16AD"/>
    <w:rsid w:val="005C1718"/>
    <w:rsid w:val="005C1C82"/>
    <w:rsid w:val="005C2183"/>
    <w:rsid w:val="005C219C"/>
    <w:rsid w:val="005C237C"/>
    <w:rsid w:val="005C280E"/>
    <w:rsid w:val="005C285F"/>
    <w:rsid w:val="005C2DE3"/>
    <w:rsid w:val="005C3177"/>
    <w:rsid w:val="005C342F"/>
    <w:rsid w:val="005C344F"/>
    <w:rsid w:val="005C3829"/>
    <w:rsid w:val="005C3909"/>
    <w:rsid w:val="005C3F59"/>
    <w:rsid w:val="005C431A"/>
    <w:rsid w:val="005C4577"/>
    <w:rsid w:val="005C45DA"/>
    <w:rsid w:val="005C4835"/>
    <w:rsid w:val="005C48D4"/>
    <w:rsid w:val="005C4A31"/>
    <w:rsid w:val="005C4C00"/>
    <w:rsid w:val="005C4C30"/>
    <w:rsid w:val="005C52BF"/>
    <w:rsid w:val="005C582C"/>
    <w:rsid w:val="005C58E5"/>
    <w:rsid w:val="005C5E7E"/>
    <w:rsid w:val="005C5EA8"/>
    <w:rsid w:val="005C617E"/>
    <w:rsid w:val="005C6477"/>
    <w:rsid w:val="005C7009"/>
    <w:rsid w:val="005C7048"/>
    <w:rsid w:val="005C70CE"/>
    <w:rsid w:val="005C7146"/>
    <w:rsid w:val="005C722C"/>
    <w:rsid w:val="005C7254"/>
    <w:rsid w:val="005C79E5"/>
    <w:rsid w:val="005C7FFE"/>
    <w:rsid w:val="005D01AF"/>
    <w:rsid w:val="005D0A26"/>
    <w:rsid w:val="005D0AA3"/>
    <w:rsid w:val="005D0E31"/>
    <w:rsid w:val="005D0F74"/>
    <w:rsid w:val="005D10D6"/>
    <w:rsid w:val="005D1275"/>
    <w:rsid w:val="005D158B"/>
    <w:rsid w:val="005D162C"/>
    <w:rsid w:val="005D1824"/>
    <w:rsid w:val="005D18C0"/>
    <w:rsid w:val="005D1DE4"/>
    <w:rsid w:val="005D20C2"/>
    <w:rsid w:val="005D2514"/>
    <w:rsid w:val="005D30E3"/>
    <w:rsid w:val="005D351C"/>
    <w:rsid w:val="005D3694"/>
    <w:rsid w:val="005D392C"/>
    <w:rsid w:val="005D3F25"/>
    <w:rsid w:val="005D3FAF"/>
    <w:rsid w:val="005D441A"/>
    <w:rsid w:val="005D45F8"/>
    <w:rsid w:val="005D48B1"/>
    <w:rsid w:val="005D4D2C"/>
    <w:rsid w:val="005D5009"/>
    <w:rsid w:val="005D51E4"/>
    <w:rsid w:val="005D55AF"/>
    <w:rsid w:val="005D55B5"/>
    <w:rsid w:val="005D58D4"/>
    <w:rsid w:val="005D59B3"/>
    <w:rsid w:val="005D5C51"/>
    <w:rsid w:val="005D5F8A"/>
    <w:rsid w:val="005D608A"/>
    <w:rsid w:val="005D665B"/>
    <w:rsid w:val="005D6A6E"/>
    <w:rsid w:val="005D72BA"/>
    <w:rsid w:val="005D76C7"/>
    <w:rsid w:val="005D7C98"/>
    <w:rsid w:val="005D7E06"/>
    <w:rsid w:val="005D7F68"/>
    <w:rsid w:val="005D7F70"/>
    <w:rsid w:val="005E001C"/>
    <w:rsid w:val="005E01DF"/>
    <w:rsid w:val="005E0EC1"/>
    <w:rsid w:val="005E122A"/>
    <w:rsid w:val="005E1676"/>
    <w:rsid w:val="005E16BB"/>
    <w:rsid w:val="005E18B4"/>
    <w:rsid w:val="005E1B86"/>
    <w:rsid w:val="005E1D25"/>
    <w:rsid w:val="005E204F"/>
    <w:rsid w:val="005E2414"/>
    <w:rsid w:val="005E2812"/>
    <w:rsid w:val="005E2C05"/>
    <w:rsid w:val="005E2CA2"/>
    <w:rsid w:val="005E2FAE"/>
    <w:rsid w:val="005E3133"/>
    <w:rsid w:val="005E32EA"/>
    <w:rsid w:val="005E3333"/>
    <w:rsid w:val="005E36C1"/>
    <w:rsid w:val="005E38DE"/>
    <w:rsid w:val="005E39A2"/>
    <w:rsid w:val="005E3AF4"/>
    <w:rsid w:val="005E3E17"/>
    <w:rsid w:val="005E45DD"/>
    <w:rsid w:val="005E492C"/>
    <w:rsid w:val="005E4BD9"/>
    <w:rsid w:val="005E4E4B"/>
    <w:rsid w:val="005E4F32"/>
    <w:rsid w:val="005E50DC"/>
    <w:rsid w:val="005E54A6"/>
    <w:rsid w:val="005E5A13"/>
    <w:rsid w:val="005E5F63"/>
    <w:rsid w:val="005E5FE7"/>
    <w:rsid w:val="005E633B"/>
    <w:rsid w:val="005E6822"/>
    <w:rsid w:val="005E737B"/>
    <w:rsid w:val="005E75C9"/>
    <w:rsid w:val="005E77D9"/>
    <w:rsid w:val="005E79D1"/>
    <w:rsid w:val="005F000F"/>
    <w:rsid w:val="005F04FD"/>
    <w:rsid w:val="005F10A0"/>
    <w:rsid w:val="005F11F0"/>
    <w:rsid w:val="005F134E"/>
    <w:rsid w:val="005F1525"/>
    <w:rsid w:val="005F1878"/>
    <w:rsid w:val="005F1C64"/>
    <w:rsid w:val="005F2272"/>
    <w:rsid w:val="005F2443"/>
    <w:rsid w:val="005F26EF"/>
    <w:rsid w:val="005F2A65"/>
    <w:rsid w:val="005F2B0B"/>
    <w:rsid w:val="005F2BBB"/>
    <w:rsid w:val="005F2D74"/>
    <w:rsid w:val="005F2DEA"/>
    <w:rsid w:val="005F30A3"/>
    <w:rsid w:val="005F3334"/>
    <w:rsid w:val="005F3367"/>
    <w:rsid w:val="005F33D3"/>
    <w:rsid w:val="005F373F"/>
    <w:rsid w:val="005F3949"/>
    <w:rsid w:val="005F3959"/>
    <w:rsid w:val="005F3A50"/>
    <w:rsid w:val="005F3EFE"/>
    <w:rsid w:val="005F41C3"/>
    <w:rsid w:val="005F42E2"/>
    <w:rsid w:val="005F4360"/>
    <w:rsid w:val="005F4421"/>
    <w:rsid w:val="005F448F"/>
    <w:rsid w:val="005F45B3"/>
    <w:rsid w:val="005F489B"/>
    <w:rsid w:val="005F4DC8"/>
    <w:rsid w:val="005F50B3"/>
    <w:rsid w:val="005F530E"/>
    <w:rsid w:val="005F5440"/>
    <w:rsid w:val="005F5B4F"/>
    <w:rsid w:val="005F5DAC"/>
    <w:rsid w:val="005F5F65"/>
    <w:rsid w:val="005F6113"/>
    <w:rsid w:val="005F637E"/>
    <w:rsid w:val="005F67B4"/>
    <w:rsid w:val="005F6B8F"/>
    <w:rsid w:val="005F6C67"/>
    <w:rsid w:val="005F6E80"/>
    <w:rsid w:val="005F6EC4"/>
    <w:rsid w:val="005F70EF"/>
    <w:rsid w:val="005F717B"/>
    <w:rsid w:val="005F7277"/>
    <w:rsid w:val="005F7338"/>
    <w:rsid w:val="005F74E5"/>
    <w:rsid w:val="005F7D71"/>
    <w:rsid w:val="00600192"/>
    <w:rsid w:val="00600722"/>
    <w:rsid w:val="00601151"/>
    <w:rsid w:val="00601352"/>
    <w:rsid w:val="0060141C"/>
    <w:rsid w:val="00601443"/>
    <w:rsid w:val="00601686"/>
    <w:rsid w:val="00601CC6"/>
    <w:rsid w:val="00601CE6"/>
    <w:rsid w:val="00601E3D"/>
    <w:rsid w:val="00601F81"/>
    <w:rsid w:val="00602405"/>
    <w:rsid w:val="006025E5"/>
    <w:rsid w:val="0060273B"/>
    <w:rsid w:val="006029A5"/>
    <w:rsid w:val="00602C30"/>
    <w:rsid w:val="00602CC5"/>
    <w:rsid w:val="00602D07"/>
    <w:rsid w:val="00602D7E"/>
    <w:rsid w:val="00602F53"/>
    <w:rsid w:val="00603533"/>
    <w:rsid w:val="00603562"/>
    <w:rsid w:val="006037A1"/>
    <w:rsid w:val="00603B60"/>
    <w:rsid w:val="00604297"/>
    <w:rsid w:val="006043B5"/>
    <w:rsid w:val="00604756"/>
    <w:rsid w:val="00604F83"/>
    <w:rsid w:val="00604FED"/>
    <w:rsid w:val="006053A5"/>
    <w:rsid w:val="00605708"/>
    <w:rsid w:val="0060591B"/>
    <w:rsid w:val="00605AC1"/>
    <w:rsid w:val="00605C2C"/>
    <w:rsid w:val="00605E28"/>
    <w:rsid w:val="00606515"/>
    <w:rsid w:val="0060668E"/>
    <w:rsid w:val="0060684A"/>
    <w:rsid w:val="006069A0"/>
    <w:rsid w:val="00606FDE"/>
    <w:rsid w:val="0060715E"/>
    <w:rsid w:val="0060715F"/>
    <w:rsid w:val="00607597"/>
    <w:rsid w:val="00607A85"/>
    <w:rsid w:val="00607B00"/>
    <w:rsid w:val="00607CC3"/>
    <w:rsid w:val="00607E04"/>
    <w:rsid w:val="006103C3"/>
    <w:rsid w:val="0061085C"/>
    <w:rsid w:val="00610A44"/>
    <w:rsid w:val="00610A64"/>
    <w:rsid w:val="00610AA6"/>
    <w:rsid w:val="00610DFF"/>
    <w:rsid w:val="00610EC3"/>
    <w:rsid w:val="00611140"/>
    <w:rsid w:val="006112F3"/>
    <w:rsid w:val="006114A0"/>
    <w:rsid w:val="0061170A"/>
    <w:rsid w:val="00611E79"/>
    <w:rsid w:val="00612DF1"/>
    <w:rsid w:val="006134BA"/>
    <w:rsid w:val="006134FC"/>
    <w:rsid w:val="00613753"/>
    <w:rsid w:val="006139A8"/>
    <w:rsid w:val="00613EBA"/>
    <w:rsid w:val="00613F56"/>
    <w:rsid w:val="00614091"/>
    <w:rsid w:val="006143AF"/>
    <w:rsid w:val="0061455D"/>
    <w:rsid w:val="00614AF7"/>
    <w:rsid w:val="00615238"/>
    <w:rsid w:val="006152F4"/>
    <w:rsid w:val="006154ED"/>
    <w:rsid w:val="00615518"/>
    <w:rsid w:val="006155CD"/>
    <w:rsid w:val="00615769"/>
    <w:rsid w:val="006157C3"/>
    <w:rsid w:val="00615A8D"/>
    <w:rsid w:val="00615B4F"/>
    <w:rsid w:val="00616391"/>
    <w:rsid w:val="0061640B"/>
    <w:rsid w:val="006164E8"/>
    <w:rsid w:val="006165F9"/>
    <w:rsid w:val="00616CA7"/>
    <w:rsid w:val="00616D65"/>
    <w:rsid w:val="00616FCE"/>
    <w:rsid w:val="00616FE6"/>
    <w:rsid w:val="00617239"/>
    <w:rsid w:val="00617842"/>
    <w:rsid w:val="006204A4"/>
    <w:rsid w:val="006205F9"/>
    <w:rsid w:val="00620BE7"/>
    <w:rsid w:val="00620BEF"/>
    <w:rsid w:val="00620C6F"/>
    <w:rsid w:val="00620DCC"/>
    <w:rsid w:val="00621300"/>
    <w:rsid w:val="006213FA"/>
    <w:rsid w:val="00621882"/>
    <w:rsid w:val="00621961"/>
    <w:rsid w:val="00621BE2"/>
    <w:rsid w:val="00621C27"/>
    <w:rsid w:val="00621C85"/>
    <w:rsid w:val="00621C96"/>
    <w:rsid w:val="00621D8C"/>
    <w:rsid w:val="00621EA3"/>
    <w:rsid w:val="00622132"/>
    <w:rsid w:val="0062227E"/>
    <w:rsid w:val="006223BC"/>
    <w:rsid w:val="00622AE7"/>
    <w:rsid w:val="00622D3C"/>
    <w:rsid w:val="00623093"/>
    <w:rsid w:val="006231AD"/>
    <w:rsid w:val="00623218"/>
    <w:rsid w:val="006233BB"/>
    <w:rsid w:val="0062351D"/>
    <w:rsid w:val="006237B4"/>
    <w:rsid w:val="006241EE"/>
    <w:rsid w:val="00624544"/>
    <w:rsid w:val="006247A1"/>
    <w:rsid w:val="0062486F"/>
    <w:rsid w:val="00624937"/>
    <w:rsid w:val="00624A86"/>
    <w:rsid w:val="00624EF4"/>
    <w:rsid w:val="00624F51"/>
    <w:rsid w:val="00624FDE"/>
    <w:rsid w:val="00625843"/>
    <w:rsid w:val="00625BE9"/>
    <w:rsid w:val="00625CBC"/>
    <w:rsid w:val="00625CCA"/>
    <w:rsid w:val="0062606D"/>
    <w:rsid w:val="006261F2"/>
    <w:rsid w:val="00626412"/>
    <w:rsid w:val="00626AC2"/>
    <w:rsid w:val="00626B44"/>
    <w:rsid w:val="00626E64"/>
    <w:rsid w:val="00626EB7"/>
    <w:rsid w:val="00627038"/>
    <w:rsid w:val="006270BC"/>
    <w:rsid w:val="006275C2"/>
    <w:rsid w:val="00627845"/>
    <w:rsid w:val="0062791A"/>
    <w:rsid w:val="006279C6"/>
    <w:rsid w:val="00627A63"/>
    <w:rsid w:val="00627A75"/>
    <w:rsid w:val="00627CA0"/>
    <w:rsid w:val="00627D63"/>
    <w:rsid w:val="00627D78"/>
    <w:rsid w:val="00627EF5"/>
    <w:rsid w:val="006307A0"/>
    <w:rsid w:val="006307E4"/>
    <w:rsid w:val="006308BE"/>
    <w:rsid w:val="00630CBE"/>
    <w:rsid w:val="00631130"/>
    <w:rsid w:val="00631156"/>
    <w:rsid w:val="006311CD"/>
    <w:rsid w:val="0063137E"/>
    <w:rsid w:val="00631BA0"/>
    <w:rsid w:val="00631BC5"/>
    <w:rsid w:val="00632758"/>
    <w:rsid w:val="00632A32"/>
    <w:rsid w:val="00632CFB"/>
    <w:rsid w:val="00632E82"/>
    <w:rsid w:val="006331D6"/>
    <w:rsid w:val="006339D4"/>
    <w:rsid w:val="00633D18"/>
    <w:rsid w:val="00633D52"/>
    <w:rsid w:val="00634133"/>
    <w:rsid w:val="006342D9"/>
    <w:rsid w:val="00634336"/>
    <w:rsid w:val="0063437D"/>
    <w:rsid w:val="006344D8"/>
    <w:rsid w:val="00634557"/>
    <w:rsid w:val="006345B4"/>
    <w:rsid w:val="00634FA7"/>
    <w:rsid w:val="00634FBC"/>
    <w:rsid w:val="006351F2"/>
    <w:rsid w:val="006352B5"/>
    <w:rsid w:val="006352D9"/>
    <w:rsid w:val="00635370"/>
    <w:rsid w:val="00635648"/>
    <w:rsid w:val="00635691"/>
    <w:rsid w:val="006357B5"/>
    <w:rsid w:val="00635C86"/>
    <w:rsid w:val="00635DC3"/>
    <w:rsid w:val="00636337"/>
    <w:rsid w:val="00636D9C"/>
    <w:rsid w:val="00636EB6"/>
    <w:rsid w:val="00636EDC"/>
    <w:rsid w:val="00636FD4"/>
    <w:rsid w:val="00636FDE"/>
    <w:rsid w:val="00637225"/>
    <w:rsid w:val="0063747A"/>
    <w:rsid w:val="006374B4"/>
    <w:rsid w:val="0063773D"/>
    <w:rsid w:val="00637BAE"/>
    <w:rsid w:val="0064010A"/>
    <w:rsid w:val="00640207"/>
    <w:rsid w:val="00640260"/>
    <w:rsid w:val="00640B97"/>
    <w:rsid w:val="00640F5E"/>
    <w:rsid w:val="006412E0"/>
    <w:rsid w:val="00641AC9"/>
    <w:rsid w:val="00641BA7"/>
    <w:rsid w:val="006420C6"/>
    <w:rsid w:val="006424F0"/>
    <w:rsid w:val="00642606"/>
    <w:rsid w:val="00642658"/>
    <w:rsid w:val="006427BD"/>
    <w:rsid w:val="00642853"/>
    <w:rsid w:val="00642A0E"/>
    <w:rsid w:val="00642F00"/>
    <w:rsid w:val="00642F30"/>
    <w:rsid w:val="00643232"/>
    <w:rsid w:val="006435BD"/>
    <w:rsid w:val="00643636"/>
    <w:rsid w:val="006437B5"/>
    <w:rsid w:val="00643C71"/>
    <w:rsid w:val="006448BB"/>
    <w:rsid w:val="00644CD4"/>
    <w:rsid w:val="00645108"/>
    <w:rsid w:val="00645299"/>
    <w:rsid w:val="006453A6"/>
    <w:rsid w:val="0064540F"/>
    <w:rsid w:val="00645476"/>
    <w:rsid w:val="006455BA"/>
    <w:rsid w:val="006457CA"/>
    <w:rsid w:val="00645E75"/>
    <w:rsid w:val="00645F08"/>
    <w:rsid w:val="00645F3D"/>
    <w:rsid w:val="006468DE"/>
    <w:rsid w:val="00646DC0"/>
    <w:rsid w:val="00647122"/>
    <w:rsid w:val="006474BB"/>
    <w:rsid w:val="00647528"/>
    <w:rsid w:val="0064780D"/>
    <w:rsid w:val="00647C0D"/>
    <w:rsid w:val="00647D06"/>
    <w:rsid w:val="00647D5A"/>
    <w:rsid w:val="00647F6E"/>
    <w:rsid w:val="00647F94"/>
    <w:rsid w:val="00650048"/>
    <w:rsid w:val="00650065"/>
    <w:rsid w:val="0065007C"/>
    <w:rsid w:val="00650261"/>
    <w:rsid w:val="006505AE"/>
    <w:rsid w:val="006508A5"/>
    <w:rsid w:val="006508AE"/>
    <w:rsid w:val="006508B8"/>
    <w:rsid w:val="00650C4B"/>
    <w:rsid w:val="006511A3"/>
    <w:rsid w:val="006514E5"/>
    <w:rsid w:val="0065181A"/>
    <w:rsid w:val="00651919"/>
    <w:rsid w:val="0065289B"/>
    <w:rsid w:val="006529C8"/>
    <w:rsid w:val="00652C84"/>
    <w:rsid w:val="00652CD7"/>
    <w:rsid w:val="00652EEC"/>
    <w:rsid w:val="00652F82"/>
    <w:rsid w:val="006534F6"/>
    <w:rsid w:val="0065351B"/>
    <w:rsid w:val="0065394E"/>
    <w:rsid w:val="00653AD3"/>
    <w:rsid w:val="00653FD2"/>
    <w:rsid w:val="00653FF1"/>
    <w:rsid w:val="0065417C"/>
    <w:rsid w:val="0065424C"/>
    <w:rsid w:val="006542CA"/>
    <w:rsid w:val="00654672"/>
    <w:rsid w:val="006548F8"/>
    <w:rsid w:val="0065506E"/>
    <w:rsid w:val="006552A5"/>
    <w:rsid w:val="006552EA"/>
    <w:rsid w:val="0065533D"/>
    <w:rsid w:val="00655695"/>
    <w:rsid w:val="00655737"/>
    <w:rsid w:val="0065581D"/>
    <w:rsid w:val="00656022"/>
    <w:rsid w:val="00656114"/>
    <w:rsid w:val="00656575"/>
    <w:rsid w:val="006568FB"/>
    <w:rsid w:val="00656F2E"/>
    <w:rsid w:val="00657110"/>
    <w:rsid w:val="00657237"/>
    <w:rsid w:val="00657258"/>
    <w:rsid w:val="00657466"/>
    <w:rsid w:val="006577D4"/>
    <w:rsid w:val="00657A47"/>
    <w:rsid w:val="00657CC7"/>
    <w:rsid w:val="00657E70"/>
    <w:rsid w:val="00660109"/>
    <w:rsid w:val="00660685"/>
    <w:rsid w:val="00660B4A"/>
    <w:rsid w:val="00660B5A"/>
    <w:rsid w:val="00660BC5"/>
    <w:rsid w:val="00660DC6"/>
    <w:rsid w:val="0066106E"/>
    <w:rsid w:val="0066110D"/>
    <w:rsid w:val="00661134"/>
    <w:rsid w:val="006612CA"/>
    <w:rsid w:val="006613C8"/>
    <w:rsid w:val="00661572"/>
    <w:rsid w:val="00661613"/>
    <w:rsid w:val="006618A4"/>
    <w:rsid w:val="006619CE"/>
    <w:rsid w:val="00661C7C"/>
    <w:rsid w:val="0066201B"/>
    <w:rsid w:val="006623CF"/>
    <w:rsid w:val="0066271F"/>
    <w:rsid w:val="00662999"/>
    <w:rsid w:val="00662B6E"/>
    <w:rsid w:val="00662E51"/>
    <w:rsid w:val="00662F17"/>
    <w:rsid w:val="00663174"/>
    <w:rsid w:val="0066326A"/>
    <w:rsid w:val="006634A2"/>
    <w:rsid w:val="006636F7"/>
    <w:rsid w:val="00663CAA"/>
    <w:rsid w:val="00663E18"/>
    <w:rsid w:val="006640A5"/>
    <w:rsid w:val="006643DB"/>
    <w:rsid w:val="006644C1"/>
    <w:rsid w:val="00664797"/>
    <w:rsid w:val="00664AB3"/>
    <w:rsid w:val="00664EA3"/>
    <w:rsid w:val="00665132"/>
    <w:rsid w:val="00665FB5"/>
    <w:rsid w:val="0066612F"/>
    <w:rsid w:val="00666315"/>
    <w:rsid w:val="006664C0"/>
    <w:rsid w:val="006666F0"/>
    <w:rsid w:val="006668E8"/>
    <w:rsid w:val="00666A72"/>
    <w:rsid w:val="006671F9"/>
    <w:rsid w:val="006672BB"/>
    <w:rsid w:val="0066746C"/>
    <w:rsid w:val="006675B6"/>
    <w:rsid w:val="006676B8"/>
    <w:rsid w:val="00667815"/>
    <w:rsid w:val="00667987"/>
    <w:rsid w:val="00667D36"/>
    <w:rsid w:val="00667F1A"/>
    <w:rsid w:val="006708F6"/>
    <w:rsid w:val="00670B16"/>
    <w:rsid w:val="00670C39"/>
    <w:rsid w:val="00670CFF"/>
    <w:rsid w:val="00671764"/>
    <w:rsid w:val="00671DB5"/>
    <w:rsid w:val="006722A2"/>
    <w:rsid w:val="006728C2"/>
    <w:rsid w:val="0067295C"/>
    <w:rsid w:val="00672AE9"/>
    <w:rsid w:val="00672C80"/>
    <w:rsid w:val="006730E4"/>
    <w:rsid w:val="006738EC"/>
    <w:rsid w:val="00674B41"/>
    <w:rsid w:val="00674E69"/>
    <w:rsid w:val="00675379"/>
    <w:rsid w:val="006753B4"/>
    <w:rsid w:val="0067562F"/>
    <w:rsid w:val="006757C8"/>
    <w:rsid w:val="00675A63"/>
    <w:rsid w:val="00675EE7"/>
    <w:rsid w:val="00676317"/>
    <w:rsid w:val="006764ED"/>
    <w:rsid w:val="00676D41"/>
    <w:rsid w:val="00676EFB"/>
    <w:rsid w:val="006770BC"/>
    <w:rsid w:val="006772C7"/>
    <w:rsid w:val="006775C5"/>
    <w:rsid w:val="00677857"/>
    <w:rsid w:val="00677904"/>
    <w:rsid w:val="00677A4F"/>
    <w:rsid w:val="00677A83"/>
    <w:rsid w:val="00677D8D"/>
    <w:rsid w:val="00677EB5"/>
    <w:rsid w:val="006809D6"/>
    <w:rsid w:val="00681235"/>
    <w:rsid w:val="0068127C"/>
    <w:rsid w:val="006813DF"/>
    <w:rsid w:val="00681926"/>
    <w:rsid w:val="00681937"/>
    <w:rsid w:val="00681AD1"/>
    <w:rsid w:val="00681BD1"/>
    <w:rsid w:val="00681FA9"/>
    <w:rsid w:val="006823CA"/>
    <w:rsid w:val="00682AAE"/>
    <w:rsid w:val="00682F2D"/>
    <w:rsid w:val="00682F96"/>
    <w:rsid w:val="0068312A"/>
    <w:rsid w:val="00683404"/>
    <w:rsid w:val="006837AA"/>
    <w:rsid w:val="00683D26"/>
    <w:rsid w:val="0068437B"/>
    <w:rsid w:val="00684601"/>
    <w:rsid w:val="006849AF"/>
    <w:rsid w:val="00684AC5"/>
    <w:rsid w:val="00684B4E"/>
    <w:rsid w:val="00684C23"/>
    <w:rsid w:val="00684E21"/>
    <w:rsid w:val="006850AD"/>
    <w:rsid w:val="006850BC"/>
    <w:rsid w:val="00685A6B"/>
    <w:rsid w:val="00685AC7"/>
    <w:rsid w:val="00685C10"/>
    <w:rsid w:val="00685C28"/>
    <w:rsid w:val="00685CF1"/>
    <w:rsid w:val="006860D0"/>
    <w:rsid w:val="00686903"/>
    <w:rsid w:val="00686D57"/>
    <w:rsid w:val="00687349"/>
    <w:rsid w:val="00687546"/>
    <w:rsid w:val="00687896"/>
    <w:rsid w:val="00687C47"/>
    <w:rsid w:val="00687E1D"/>
    <w:rsid w:val="00687F27"/>
    <w:rsid w:val="00687F5C"/>
    <w:rsid w:val="0069001A"/>
    <w:rsid w:val="00690053"/>
    <w:rsid w:val="006900C7"/>
    <w:rsid w:val="0069024C"/>
    <w:rsid w:val="00690BF1"/>
    <w:rsid w:val="0069113D"/>
    <w:rsid w:val="0069116C"/>
    <w:rsid w:val="00691AA5"/>
    <w:rsid w:val="00692620"/>
    <w:rsid w:val="006926A5"/>
    <w:rsid w:val="00692845"/>
    <w:rsid w:val="00692A58"/>
    <w:rsid w:val="00692A70"/>
    <w:rsid w:val="00692C21"/>
    <w:rsid w:val="00693142"/>
    <w:rsid w:val="00693355"/>
    <w:rsid w:val="00693486"/>
    <w:rsid w:val="0069369D"/>
    <w:rsid w:val="00693A1B"/>
    <w:rsid w:val="00693A77"/>
    <w:rsid w:val="00693FAA"/>
    <w:rsid w:val="0069415F"/>
    <w:rsid w:val="0069426A"/>
    <w:rsid w:val="00694454"/>
    <w:rsid w:val="006945CB"/>
    <w:rsid w:val="006949CF"/>
    <w:rsid w:val="00694A74"/>
    <w:rsid w:val="00694C6F"/>
    <w:rsid w:val="00695526"/>
    <w:rsid w:val="00695555"/>
    <w:rsid w:val="00695857"/>
    <w:rsid w:val="00695E70"/>
    <w:rsid w:val="00695FA3"/>
    <w:rsid w:val="00696426"/>
    <w:rsid w:val="00696A0D"/>
    <w:rsid w:val="00696B5F"/>
    <w:rsid w:val="00696EE1"/>
    <w:rsid w:val="00697A9F"/>
    <w:rsid w:val="00697AEB"/>
    <w:rsid w:val="00697C30"/>
    <w:rsid w:val="00697C68"/>
    <w:rsid w:val="00697E9C"/>
    <w:rsid w:val="006A00E0"/>
    <w:rsid w:val="006A085C"/>
    <w:rsid w:val="006A1263"/>
    <w:rsid w:val="006A1334"/>
    <w:rsid w:val="006A1495"/>
    <w:rsid w:val="006A18C1"/>
    <w:rsid w:val="006A1C97"/>
    <w:rsid w:val="006A1FA1"/>
    <w:rsid w:val="006A2142"/>
    <w:rsid w:val="006A2375"/>
    <w:rsid w:val="006A2492"/>
    <w:rsid w:val="006A261B"/>
    <w:rsid w:val="006A2E7C"/>
    <w:rsid w:val="006A2F63"/>
    <w:rsid w:val="006A304B"/>
    <w:rsid w:val="006A3215"/>
    <w:rsid w:val="006A33BF"/>
    <w:rsid w:val="006A3427"/>
    <w:rsid w:val="006A3AE5"/>
    <w:rsid w:val="006A3C64"/>
    <w:rsid w:val="006A3E37"/>
    <w:rsid w:val="006A4318"/>
    <w:rsid w:val="006A46E8"/>
    <w:rsid w:val="006A4A8D"/>
    <w:rsid w:val="006A4D69"/>
    <w:rsid w:val="006A50C7"/>
    <w:rsid w:val="006A5263"/>
    <w:rsid w:val="006A548F"/>
    <w:rsid w:val="006A5943"/>
    <w:rsid w:val="006A5951"/>
    <w:rsid w:val="006A5B7C"/>
    <w:rsid w:val="006A6147"/>
    <w:rsid w:val="006A6252"/>
    <w:rsid w:val="006A628C"/>
    <w:rsid w:val="006A6461"/>
    <w:rsid w:val="006A68D2"/>
    <w:rsid w:val="006A6926"/>
    <w:rsid w:val="006A6B82"/>
    <w:rsid w:val="006A6F4E"/>
    <w:rsid w:val="006A71AA"/>
    <w:rsid w:val="006A73B1"/>
    <w:rsid w:val="006A7508"/>
    <w:rsid w:val="006A75CE"/>
    <w:rsid w:val="006A7A4B"/>
    <w:rsid w:val="006B0595"/>
    <w:rsid w:val="006B083B"/>
    <w:rsid w:val="006B0D74"/>
    <w:rsid w:val="006B0F19"/>
    <w:rsid w:val="006B0FC0"/>
    <w:rsid w:val="006B12B9"/>
    <w:rsid w:val="006B15DA"/>
    <w:rsid w:val="006B1B3D"/>
    <w:rsid w:val="006B1E64"/>
    <w:rsid w:val="006B1F5D"/>
    <w:rsid w:val="006B221C"/>
    <w:rsid w:val="006B2519"/>
    <w:rsid w:val="006B2574"/>
    <w:rsid w:val="006B28B3"/>
    <w:rsid w:val="006B2BE7"/>
    <w:rsid w:val="006B2CBA"/>
    <w:rsid w:val="006B31FC"/>
    <w:rsid w:val="006B34A7"/>
    <w:rsid w:val="006B3B7E"/>
    <w:rsid w:val="006B3DFF"/>
    <w:rsid w:val="006B4388"/>
    <w:rsid w:val="006B45C7"/>
    <w:rsid w:val="006B493A"/>
    <w:rsid w:val="006B4AED"/>
    <w:rsid w:val="006B509C"/>
    <w:rsid w:val="006B51E1"/>
    <w:rsid w:val="006B52CB"/>
    <w:rsid w:val="006B52E2"/>
    <w:rsid w:val="006B5455"/>
    <w:rsid w:val="006B54FC"/>
    <w:rsid w:val="006B5976"/>
    <w:rsid w:val="006B5D39"/>
    <w:rsid w:val="006B5EA4"/>
    <w:rsid w:val="006B5F69"/>
    <w:rsid w:val="006B6135"/>
    <w:rsid w:val="006B6675"/>
    <w:rsid w:val="006B66A3"/>
    <w:rsid w:val="006B6761"/>
    <w:rsid w:val="006B6FA1"/>
    <w:rsid w:val="006B739D"/>
    <w:rsid w:val="006B74B5"/>
    <w:rsid w:val="006B7A10"/>
    <w:rsid w:val="006B7BCD"/>
    <w:rsid w:val="006C0029"/>
    <w:rsid w:val="006C0241"/>
    <w:rsid w:val="006C099D"/>
    <w:rsid w:val="006C0ADF"/>
    <w:rsid w:val="006C0BA7"/>
    <w:rsid w:val="006C159B"/>
    <w:rsid w:val="006C1CEF"/>
    <w:rsid w:val="006C1ED7"/>
    <w:rsid w:val="006C1F2D"/>
    <w:rsid w:val="006C21C6"/>
    <w:rsid w:val="006C240C"/>
    <w:rsid w:val="006C2C95"/>
    <w:rsid w:val="006C2D74"/>
    <w:rsid w:val="006C2F2C"/>
    <w:rsid w:val="006C330C"/>
    <w:rsid w:val="006C3D5B"/>
    <w:rsid w:val="006C3E67"/>
    <w:rsid w:val="006C3ED6"/>
    <w:rsid w:val="006C42DE"/>
    <w:rsid w:val="006C445F"/>
    <w:rsid w:val="006C4A2B"/>
    <w:rsid w:val="006C4C9A"/>
    <w:rsid w:val="006C4DF2"/>
    <w:rsid w:val="006C4EF3"/>
    <w:rsid w:val="006C5106"/>
    <w:rsid w:val="006C5249"/>
    <w:rsid w:val="006C5277"/>
    <w:rsid w:val="006C5744"/>
    <w:rsid w:val="006C5759"/>
    <w:rsid w:val="006C598E"/>
    <w:rsid w:val="006C599C"/>
    <w:rsid w:val="006C5BBE"/>
    <w:rsid w:val="006C63C7"/>
    <w:rsid w:val="006C64D7"/>
    <w:rsid w:val="006C664C"/>
    <w:rsid w:val="006C6C63"/>
    <w:rsid w:val="006C6E2A"/>
    <w:rsid w:val="006C6F9A"/>
    <w:rsid w:val="006C70E1"/>
    <w:rsid w:val="006C71F1"/>
    <w:rsid w:val="006C72C8"/>
    <w:rsid w:val="006C7B46"/>
    <w:rsid w:val="006C7CD5"/>
    <w:rsid w:val="006D061F"/>
    <w:rsid w:val="006D06DF"/>
    <w:rsid w:val="006D07DC"/>
    <w:rsid w:val="006D087A"/>
    <w:rsid w:val="006D0DCD"/>
    <w:rsid w:val="006D122F"/>
    <w:rsid w:val="006D1AF4"/>
    <w:rsid w:val="006D1FF2"/>
    <w:rsid w:val="006D2237"/>
    <w:rsid w:val="006D226E"/>
    <w:rsid w:val="006D2AF2"/>
    <w:rsid w:val="006D2BBD"/>
    <w:rsid w:val="006D3077"/>
    <w:rsid w:val="006D3323"/>
    <w:rsid w:val="006D338E"/>
    <w:rsid w:val="006D3818"/>
    <w:rsid w:val="006D3951"/>
    <w:rsid w:val="006D3F32"/>
    <w:rsid w:val="006D4450"/>
    <w:rsid w:val="006D4716"/>
    <w:rsid w:val="006D4774"/>
    <w:rsid w:val="006D4791"/>
    <w:rsid w:val="006D4E84"/>
    <w:rsid w:val="006D5318"/>
    <w:rsid w:val="006D53C5"/>
    <w:rsid w:val="006D5CE6"/>
    <w:rsid w:val="006D5F39"/>
    <w:rsid w:val="006D6169"/>
    <w:rsid w:val="006D634F"/>
    <w:rsid w:val="006D6957"/>
    <w:rsid w:val="006D6AD0"/>
    <w:rsid w:val="006D6F35"/>
    <w:rsid w:val="006D7050"/>
    <w:rsid w:val="006D742C"/>
    <w:rsid w:val="006D77D8"/>
    <w:rsid w:val="006D7DEB"/>
    <w:rsid w:val="006D7E7B"/>
    <w:rsid w:val="006E0059"/>
    <w:rsid w:val="006E0385"/>
    <w:rsid w:val="006E05DB"/>
    <w:rsid w:val="006E0A38"/>
    <w:rsid w:val="006E13AD"/>
    <w:rsid w:val="006E1C2C"/>
    <w:rsid w:val="006E20E4"/>
    <w:rsid w:val="006E2765"/>
    <w:rsid w:val="006E2890"/>
    <w:rsid w:val="006E2BD5"/>
    <w:rsid w:val="006E315D"/>
    <w:rsid w:val="006E31D2"/>
    <w:rsid w:val="006E3312"/>
    <w:rsid w:val="006E3334"/>
    <w:rsid w:val="006E355C"/>
    <w:rsid w:val="006E3FF1"/>
    <w:rsid w:val="006E4321"/>
    <w:rsid w:val="006E4601"/>
    <w:rsid w:val="006E493B"/>
    <w:rsid w:val="006E5201"/>
    <w:rsid w:val="006E58D8"/>
    <w:rsid w:val="006E5918"/>
    <w:rsid w:val="006E5DC7"/>
    <w:rsid w:val="006E6347"/>
    <w:rsid w:val="006E707B"/>
    <w:rsid w:val="006E70DD"/>
    <w:rsid w:val="006E749E"/>
    <w:rsid w:val="006E7550"/>
    <w:rsid w:val="006E764D"/>
    <w:rsid w:val="006E76F0"/>
    <w:rsid w:val="006E778F"/>
    <w:rsid w:val="006E7BEE"/>
    <w:rsid w:val="006E7DB5"/>
    <w:rsid w:val="006F001D"/>
    <w:rsid w:val="006F0094"/>
    <w:rsid w:val="006F0262"/>
    <w:rsid w:val="006F03A8"/>
    <w:rsid w:val="006F04E5"/>
    <w:rsid w:val="006F051D"/>
    <w:rsid w:val="006F0752"/>
    <w:rsid w:val="006F0907"/>
    <w:rsid w:val="006F0B49"/>
    <w:rsid w:val="006F0E47"/>
    <w:rsid w:val="006F0EC2"/>
    <w:rsid w:val="006F129F"/>
    <w:rsid w:val="006F1970"/>
    <w:rsid w:val="006F1A32"/>
    <w:rsid w:val="006F206C"/>
    <w:rsid w:val="006F2122"/>
    <w:rsid w:val="006F21E3"/>
    <w:rsid w:val="006F2755"/>
    <w:rsid w:val="006F28F3"/>
    <w:rsid w:val="006F2B4B"/>
    <w:rsid w:val="006F33D1"/>
    <w:rsid w:val="006F3A76"/>
    <w:rsid w:val="006F3B3E"/>
    <w:rsid w:val="006F3BA8"/>
    <w:rsid w:val="006F3FAE"/>
    <w:rsid w:val="006F42F5"/>
    <w:rsid w:val="006F43E1"/>
    <w:rsid w:val="006F48F5"/>
    <w:rsid w:val="006F4D52"/>
    <w:rsid w:val="006F51AC"/>
    <w:rsid w:val="006F55EB"/>
    <w:rsid w:val="006F5F1C"/>
    <w:rsid w:val="006F6224"/>
    <w:rsid w:val="006F623F"/>
    <w:rsid w:val="006F641C"/>
    <w:rsid w:val="006F6813"/>
    <w:rsid w:val="006F688F"/>
    <w:rsid w:val="006F68D4"/>
    <w:rsid w:val="006F6B3C"/>
    <w:rsid w:val="006F6C07"/>
    <w:rsid w:val="006F75CD"/>
    <w:rsid w:val="006F7692"/>
    <w:rsid w:val="006F7826"/>
    <w:rsid w:val="006F78EC"/>
    <w:rsid w:val="006F7DE5"/>
    <w:rsid w:val="006F7E38"/>
    <w:rsid w:val="00700609"/>
    <w:rsid w:val="007009E9"/>
    <w:rsid w:val="00700D7D"/>
    <w:rsid w:val="00700DB3"/>
    <w:rsid w:val="00700E66"/>
    <w:rsid w:val="00701110"/>
    <w:rsid w:val="0070167E"/>
    <w:rsid w:val="00701929"/>
    <w:rsid w:val="00701A38"/>
    <w:rsid w:val="00701A76"/>
    <w:rsid w:val="00701B4C"/>
    <w:rsid w:val="007021E1"/>
    <w:rsid w:val="007024D4"/>
    <w:rsid w:val="00702813"/>
    <w:rsid w:val="00702CF9"/>
    <w:rsid w:val="00702F35"/>
    <w:rsid w:val="007032B1"/>
    <w:rsid w:val="007038AB"/>
    <w:rsid w:val="0070407F"/>
    <w:rsid w:val="0070413B"/>
    <w:rsid w:val="0070429D"/>
    <w:rsid w:val="0070436B"/>
    <w:rsid w:val="0070444B"/>
    <w:rsid w:val="0070451C"/>
    <w:rsid w:val="00704655"/>
    <w:rsid w:val="00704DC5"/>
    <w:rsid w:val="00704E73"/>
    <w:rsid w:val="00704F3C"/>
    <w:rsid w:val="007050F4"/>
    <w:rsid w:val="00705109"/>
    <w:rsid w:val="00705350"/>
    <w:rsid w:val="007055EC"/>
    <w:rsid w:val="0070567C"/>
    <w:rsid w:val="007056A5"/>
    <w:rsid w:val="007058C9"/>
    <w:rsid w:val="00705C93"/>
    <w:rsid w:val="00705C94"/>
    <w:rsid w:val="00705DE8"/>
    <w:rsid w:val="00705DEE"/>
    <w:rsid w:val="007068C7"/>
    <w:rsid w:val="00706F09"/>
    <w:rsid w:val="007071B1"/>
    <w:rsid w:val="00707563"/>
    <w:rsid w:val="007076E1"/>
    <w:rsid w:val="007076F6"/>
    <w:rsid w:val="0070790B"/>
    <w:rsid w:val="00710156"/>
    <w:rsid w:val="0071028E"/>
    <w:rsid w:val="0071039D"/>
    <w:rsid w:val="007106FE"/>
    <w:rsid w:val="007107D9"/>
    <w:rsid w:val="007109C5"/>
    <w:rsid w:val="00710D36"/>
    <w:rsid w:val="0071124D"/>
    <w:rsid w:val="00711392"/>
    <w:rsid w:val="00711754"/>
    <w:rsid w:val="00711E2B"/>
    <w:rsid w:val="00712026"/>
    <w:rsid w:val="007121E0"/>
    <w:rsid w:val="007122B3"/>
    <w:rsid w:val="00712666"/>
    <w:rsid w:val="007127CE"/>
    <w:rsid w:val="00712A85"/>
    <w:rsid w:val="00712BD8"/>
    <w:rsid w:val="00712D52"/>
    <w:rsid w:val="00712DB2"/>
    <w:rsid w:val="00713291"/>
    <w:rsid w:val="00713405"/>
    <w:rsid w:val="007135AB"/>
    <w:rsid w:val="0071382D"/>
    <w:rsid w:val="00713A75"/>
    <w:rsid w:val="00713B7E"/>
    <w:rsid w:val="00713F35"/>
    <w:rsid w:val="0071403F"/>
    <w:rsid w:val="007140FC"/>
    <w:rsid w:val="0071430B"/>
    <w:rsid w:val="007145AC"/>
    <w:rsid w:val="00714676"/>
    <w:rsid w:val="00714802"/>
    <w:rsid w:val="00714E7E"/>
    <w:rsid w:val="00715279"/>
    <w:rsid w:val="00715384"/>
    <w:rsid w:val="007153BD"/>
    <w:rsid w:val="0071581D"/>
    <w:rsid w:val="00715BC3"/>
    <w:rsid w:val="00715C2D"/>
    <w:rsid w:val="00715F2D"/>
    <w:rsid w:val="00716425"/>
    <w:rsid w:val="00716A33"/>
    <w:rsid w:val="00716B42"/>
    <w:rsid w:val="00716FAB"/>
    <w:rsid w:val="007174FC"/>
    <w:rsid w:val="00717509"/>
    <w:rsid w:val="0071754D"/>
    <w:rsid w:val="00717551"/>
    <w:rsid w:val="0071776F"/>
    <w:rsid w:val="007177C9"/>
    <w:rsid w:val="007178A4"/>
    <w:rsid w:val="00717A2C"/>
    <w:rsid w:val="0072005E"/>
    <w:rsid w:val="00720E2A"/>
    <w:rsid w:val="00720E3F"/>
    <w:rsid w:val="00720E8A"/>
    <w:rsid w:val="00721430"/>
    <w:rsid w:val="0072146F"/>
    <w:rsid w:val="0072168E"/>
    <w:rsid w:val="0072181A"/>
    <w:rsid w:val="00721A38"/>
    <w:rsid w:val="00722096"/>
    <w:rsid w:val="007228E0"/>
    <w:rsid w:val="0072294E"/>
    <w:rsid w:val="00722AB0"/>
    <w:rsid w:val="00722B55"/>
    <w:rsid w:val="00722BA9"/>
    <w:rsid w:val="00722E64"/>
    <w:rsid w:val="00722E81"/>
    <w:rsid w:val="00723086"/>
    <w:rsid w:val="00723209"/>
    <w:rsid w:val="0072337A"/>
    <w:rsid w:val="0072340D"/>
    <w:rsid w:val="007236DF"/>
    <w:rsid w:val="007238AD"/>
    <w:rsid w:val="00723D1D"/>
    <w:rsid w:val="00723DD0"/>
    <w:rsid w:val="0072425D"/>
    <w:rsid w:val="007242DA"/>
    <w:rsid w:val="0072442D"/>
    <w:rsid w:val="0072495A"/>
    <w:rsid w:val="007249E1"/>
    <w:rsid w:val="00724A11"/>
    <w:rsid w:val="00724F24"/>
    <w:rsid w:val="00725383"/>
    <w:rsid w:val="007255F7"/>
    <w:rsid w:val="007257E4"/>
    <w:rsid w:val="00725FC6"/>
    <w:rsid w:val="00726149"/>
    <w:rsid w:val="007264AC"/>
    <w:rsid w:val="0072680E"/>
    <w:rsid w:val="00726A9D"/>
    <w:rsid w:val="00726BEB"/>
    <w:rsid w:val="00726FB6"/>
    <w:rsid w:val="0072708A"/>
    <w:rsid w:val="00727231"/>
    <w:rsid w:val="00727414"/>
    <w:rsid w:val="00727777"/>
    <w:rsid w:val="00727A03"/>
    <w:rsid w:val="00727AFC"/>
    <w:rsid w:val="00727D03"/>
    <w:rsid w:val="007307AF"/>
    <w:rsid w:val="00730BF5"/>
    <w:rsid w:val="00730D69"/>
    <w:rsid w:val="00731216"/>
    <w:rsid w:val="00731BCC"/>
    <w:rsid w:val="00731C1C"/>
    <w:rsid w:val="00731DE7"/>
    <w:rsid w:val="00731E2D"/>
    <w:rsid w:val="0073220A"/>
    <w:rsid w:val="0073247B"/>
    <w:rsid w:val="007325BE"/>
    <w:rsid w:val="00732645"/>
    <w:rsid w:val="00732792"/>
    <w:rsid w:val="00732C64"/>
    <w:rsid w:val="00732D53"/>
    <w:rsid w:val="00733119"/>
    <w:rsid w:val="00733A3D"/>
    <w:rsid w:val="00733AB4"/>
    <w:rsid w:val="00733B00"/>
    <w:rsid w:val="00734169"/>
    <w:rsid w:val="007344A4"/>
    <w:rsid w:val="0073499F"/>
    <w:rsid w:val="00734A09"/>
    <w:rsid w:val="00734B4A"/>
    <w:rsid w:val="00734D55"/>
    <w:rsid w:val="00735148"/>
    <w:rsid w:val="00735151"/>
    <w:rsid w:val="007354DB"/>
    <w:rsid w:val="007355F2"/>
    <w:rsid w:val="00735674"/>
    <w:rsid w:val="007357AB"/>
    <w:rsid w:val="007359E6"/>
    <w:rsid w:val="00736355"/>
    <w:rsid w:val="007364D7"/>
    <w:rsid w:val="007366F2"/>
    <w:rsid w:val="00736AAB"/>
    <w:rsid w:val="00736D17"/>
    <w:rsid w:val="00736F62"/>
    <w:rsid w:val="00737284"/>
    <w:rsid w:val="0073735F"/>
    <w:rsid w:val="0074010C"/>
    <w:rsid w:val="0074012A"/>
    <w:rsid w:val="0074020C"/>
    <w:rsid w:val="007402AF"/>
    <w:rsid w:val="007407EF"/>
    <w:rsid w:val="007409B9"/>
    <w:rsid w:val="00740D91"/>
    <w:rsid w:val="00740F04"/>
    <w:rsid w:val="00740F70"/>
    <w:rsid w:val="00740FD0"/>
    <w:rsid w:val="0074136E"/>
    <w:rsid w:val="007414B7"/>
    <w:rsid w:val="007414F5"/>
    <w:rsid w:val="00741A3E"/>
    <w:rsid w:val="00741BBD"/>
    <w:rsid w:val="00741C5B"/>
    <w:rsid w:val="00742050"/>
    <w:rsid w:val="0074214F"/>
    <w:rsid w:val="00742172"/>
    <w:rsid w:val="007422E9"/>
    <w:rsid w:val="0074231F"/>
    <w:rsid w:val="007427F1"/>
    <w:rsid w:val="00742827"/>
    <w:rsid w:val="0074290C"/>
    <w:rsid w:val="00742EC5"/>
    <w:rsid w:val="00742FF3"/>
    <w:rsid w:val="0074308E"/>
    <w:rsid w:val="007433C2"/>
    <w:rsid w:val="0074354C"/>
    <w:rsid w:val="007437B0"/>
    <w:rsid w:val="007440A1"/>
    <w:rsid w:val="00744106"/>
    <w:rsid w:val="007441F7"/>
    <w:rsid w:val="00744469"/>
    <w:rsid w:val="007446FC"/>
    <w:rsid w:val="0074505D"/>
    <w:rsid w:val="00745360"/>
    <w:rsid w:val="00745624"/>
    <w:rsid w:val="0074579E"/>
    <w:rsid w:val="00745933"/>
    <w:rsid w:val="00745B80"/>
    <w:rsid w:val="00745D7A"/>
    <w:rsid w:val="0074602A"/>
    <w:rsid w:val="007462B7"/>
    <w:rsid w:val="00746615"/>
    <w:rsid w:val="00746B9C"/>
    <w:rsid w:val="00746E76"/>
    <w:rsid w:val="00746E86"/>
    <w:rsid w:val="00746EB3"/>
    <w:rsid w:val="00747137"/>
    <w:rsid w:val="00747168"/>
    <w:rsid w:val="00747630"/>
    <w:rsid w:val="00747794"/>
    <w:rsid w:val="00747BC3"/>
    <w:rsid w:val="00747BC8"/>
    <w:rsid w:val="00750686"/>
    <w:rsid w:val="007508A6"/>
    <w:rsid w:val="007508DE"/>
    <w:rsid w:val="00750953"/>
    <w:rsid w:val="007509A9"/>
    <w:rsid w:val="00750A38"/>
    <w:rsid w:val="00750AB1"/>
    <w:rsid w:val="00751097"/>
    <w:rsid w:val="00751192"/>
    <w:rsid w:val="007514DA"/>
    <w:rsid w:val="00751E4D"/>
    <w:rsid w:val="0075202F"/>
    <w:rsid w:val="00752633"/>
    <w:rsid w:val="00752952"/>
    <w:rsid w:val="00752ADB"/>
    <w:rsid w:val="00752B87"/>
    <w:rsid w:val="00752CCD"/>
    <w:rsid w:val="007534CA"/>
    <w:rsid w:val="00753629"/>
    <w:rsid w:val="00753FF0"/>
    <w:rsid w:val="007542D9"/>
    <w:rsid w:val="00754436"/>
    <w:rsid w:val="007545D3"/>
    <w:rsid w:val="00754698"/>
    <w:rsid w:val="00754D12"/>
    <w:rsid w:val="007553EF"/>
    <w:rsid w:val="00755700"/>
    <w:rsid w:val="00755C3C"/>
    <w:rsid w:val="007562AA"/>
    <w:rsid w:val="00756418"/>
    <w:rsid w:val="00756BAB"/>
    <w:rsid w:val="00756DA9"/>
    <w:rsid w:val="00757846"/>
    <w:rsid w:val="00757B36"/>
    <w:rsid w:val="00757B8A"/>
    <w:rsid w:val="007602FA"/>
    <w:rsid w:val="00760376"/>
    <w:rsid w:val="0076053B"/>
    <w:rsid w:val="00760721"/>
    <w:rsid w:val="007607C0"/>
    <w:rsid w:val="0076090A"/>
    <w:rsid w:val="007612E8"/>
    <w:rsid w:val="00761D26"/>
    <w:rsid w:val="0076225C"/>
    <w:rsid w:val="00762449"/>
    <w:rsid w:val="0076292C"/>
    <w:rsid w:val="00762E0C"/>
    <w:rsid w:val="007631E3"/>
    <w:rsid w:val="007631FB"/>
    <w:rsid w:val="00763655"/>
    <w:rsid w:val="007636AD"/>
    <w:rsid w:val="00763A00"/>
    <w:rsid w:val="00763B17"/>
    <w:rsid w:val="00763B1F"/>
    <w:rsid w:val="00763B35"/>
    <w:rsid w:val="00763CE3"/>
    <w:rsid w:val="00763DC5"/>
    <w:rsid w:val="00763E75"/>
    <w:rsid w:val="00763FA6"/>
    <w:rsid w:val="00764062"/>
    <w:rsid w:val="007645D1"/>
    <w:rsid w:val="00764867"/>
    <w:rsid w:val="00764895"/>
    <w:rsid w:val="007649F7"/>
    <w:rsid w:val="00764A33"/>
    <w:rsid w:val="00764B97"/>
    <w:rsid w:val="00764C32"/>
    <w:rsid w:val="00764D47"/>
    <w:rsid w:val="00764E11"/>
    <w:rsid w:val="00765084"/>
    <w:rsid w:val="007650AA"/>
    <w:rsid w:val="007654F4"/>
    <w:rsid w:val="00765818"/>
    <w:rsid w:val="00765F4E"/>
    <w:rsid w:val="00765FDB"/>
    <w:rsid w:val="0076602A"/>
    <w:rsid w:val="00766277"/>
    <w:rsid w:val="007662C1"/>
    <w:rsid w:val="007669D1"/>
    <w:rsid w:val="00766D80"/>
    <w:rsid w:val="00766F32"/>
    <w:rsid w:val="00767112"/>
    <w:rsid w:val="0076713A"/>
    <w:rsid w:val="00767600"/>
    <w:rsid w:val="00767601"/>
    <w:rsid w:val="0076774B"/>
    <w:rsid w:val="00767D9D"/>
    <w:rsid w:val="00767DFF"/>
    <w:rsid w:val="00767ED4"/>
    <w:rsid w:val="00770242"/>
    <w:rsid w:val="007706A8"/>
    <w:rsid w:val="00770767"/>
    <w:rsid w:val="007708BD"/>
    <w:rsid w:val="00770B8D"/>
    <w:rsid w:val="00770F4D"/>
    <w:rsid w:val="00771061"/>
    <w:rsid w:val="0077120E"/>
    <w:rsid w:val="007714D0"/>
    <w:rsid w:val="007715EE"/>
    <w:rsid w:val="00771B1C"/>
    <w:rsid w:val="00771E3F"/>
    <w:rsid w:val="0077211C"/>
    <w:rsid w:val="007721F7"/>
    <w:rsid w:val="007724E7"/>
    <w:rsid w:val="007725CD"/>
    <w:rsid w:val="007725E9"/>
    <w:rsid w:val="00772691"/>
    <w:rsid w:val="0077285C"/>
    <w:rsid w:val="00772CF3"/>
    <w:rsid w:val="00772D28"/>
    <w:rsid w:val="00772EE6"/>
    <w:rsid w:val="007733FE"/>
    <w:rsid w:val="007734AC"/>
    <w:rsid w:val="00773535"/>
    <w:rsid w:val="0077443C"/>
    <w:rsid w:val="00774858"/>
    <w:rsid w:val="0077493E"/>
    <w:rsid w:val="00774F44"/>
    <w:rsid w:val="00775135"/>
    <w:rsid w:val="0077546E"/>
    <w:rsid w:val="007754B4"/>
    <w:rsid w:val="00775D9B"/>
    <w:rsid w:val="00775E4A"/>
    <w:rsid w:val="00775FC7"/>
    <w:rsid w:val="0077601C"/>
    <w:rsid w:val="00776303"/>
    <w:rsid w:val="00776B73"/>
    <w:rsid w:val="00776DAE"/>
    <w:rsid w:val="00777006"/>
    <w:rsid w:val="007770F8"/>
    <w:rsid w:val="00777777"/>
    <w:rsid w:val="00777952"/>
    <w:rsid w:val="00777B8A"/>
    <w:rsid w:val="007804F8"/>
    <w:rsid w:val="00780690"/>
    <w:rsid w:val="0078072D"/>
    <w:rsid w:val="00780B3E"/>
    <w:rsid w:val="00780EE1"/>
    <w:rsid w:val="007816CD"/>
    <w:rsid w:val="00781835"/>
    <w:rsid w:val="007818B3"/>
    <w:rsid w:val="00781ABD"/>
    <w:rsid w:val="00781B01"/>
    <w:rsid w:val="00781DEF"/>
    <w:rsid w:val="00781FAB"/>
    <w:rsid w:val="0078212E"/>
    <w:rsid w:val="00782254"/>
    <w:rsid w:val="00782831"/>
    <w:rsid w:val="00782CC3"/>
    <w:rsid w:val="00782FAF"/>
    <w:rsid w:val="007832A9"/>
    <w:rsid w:val="007835B0"/>
    <w:rsid w:val="00783AF5"/>
    <w:rsid w:val="00783DD2"/>
    <w:rsid w:val="00783F56"/>
    <w:rsid w:val="00784067"/>
    <w:rsid w:val="007841C8"/>
    <w:rsid w:val="007842AB"/>
    <w:rsid w:val="00784315"/>
    <w:rsid w:val="00784584"/>
    <w:rsid w:val="007845F7"/>
    <w:rsid w:val="007846A7"/>
    <w:rsid w:val="0078483A"/>
    <w:rsid w:val="007852C5"/>
    <w:rsid w:val="00785961"/>
    <w:rsid w:val="007859EE"/>
    <w:rsid w:val="00785DF3"/>
    <w:rsid w:val="00785FDA"/>
    <w:rsid w:val="00786097"/>
    <w:rsid w:val="007860EB"/>
    <w:rsid w:val="007861D8"/>
    <w:rsid w:val="0078646A"/>
    <w:rsid w:val="00786C39"/>
    <w:rsid w:val="00787224"/>
    <w:rsid w:val="00787497"/>
    <w:rsid w:val="00787651"/>
    <w:rsid w:val="00787806"/>
    <w:rsid w:val="00787899"/>
    <w:rsid w:val="00787B4A"/>
    <w:rsid w:val="0079018E"/>
    <w:rsid w:val="007905DA"/>
    <w:rsid w:val="00790A52"/>
    <w:rsid w:val="00790AAB"/>
    <w:rsid w:val="00791001"/>
    <w:rsid w:val="007912AE"/>
    <w:rsid w:val="00791737"/>
    <w:rsid w:val="00791805"/>
    <w:rsid w:val="00791813"/>
    <w:rsid w:val="0079187E"/>
    <w:rsid w:val="007918F6"/>
    <w:rsid w:val="00791F22"/>
    <w:rsid w:val="007921FD"/>
    <w:rsid w:val="007928BE"/>
    <w:rsid w:val="007929B1"/>
    <w:rsid w:val="00792A5D"/>
    <w:rsid w:val="00792B3A"/>
    <w:rsid w:val="00792B93"/>
    <w:rsid w:val="00792C30"/>
    <w:rsid w:val="00793105"/>
    <w:rsid w:val="0079335A"/>
    <w:rsid w:val="007933B1"/>
    <w:rsid w:val="007936E8"/>
    <w:rsid w:val="00793799"/>
    <w:rsid w:val="00793B59"/>
    <w:rsid w:val="00793CD1"/>
    <w:rsid w:val="00793E20"/>
    <w:rsid w:val="00793F65"/>
    <w:rsid w:val="007940EA"/>
    <w:rsid w:val="00794365"/>
    <w:rsid w:val="0079450F"/>
    <w:rsid w:val="00794677"/>
    <w:rsid w:val="007946B3"/>
    <w:rsid w:val="007949DA"/>
    <w:rsid w:val="00794D5F"/>
    <w:rsid w:val="007958CB"/>
    <w:rsid w:val="007958F0"/>
    <w:rsid w:val="00795BB6"/>
    <w:rsid w:val="0079607B"/>
    <w:rsid w:val="007960E2"/>
    <w:rsid w:val="0079620A"/>
    <w:rsid w:val="00796311"/>
    <w:rsid w:val="0079657C"/>
    <w:rsid w:val="007965C2"/>
    <w:rsid w:val="00796891"/>
    <w:rsid w:val="0079744E"/>
    <w:rsid w:val="00797465"/>
    <w:rsid w:val="007974BD"/>
    <w:rsid w:val="007974D3"/>
    <w:rsid w:val="007977C3"/>
    <w:rsid w:val="00797B2E"/>
    <w:rsid w:val="00797C7C"/>
    <w:rsid w:val="00797E3B"/>
    <w:rsid w:val="00797ED3"/>
    <w:rsid w:val="007A0203"/>
    <w:rsid w:val="007A022F"/>
    <w:rsid w:val="007A0621"/>
    <w:rsid w:val="007A0DD9"/>
    <w:rsid w:val="007A0FB7"/>
    <w:rsid w:val="007A134D"/>
    <w:rsid w:val="007A1B9A"/>
    <w:rsid w:val="007A2027"/>
    <w:rsid w:val="007A2813"/>
    <w:rsid w:val="007A31CA"/>
    <w:rsid w:val="007A3338"/>
    <w:rsid w:val="007A3735"/>
    <w:rsid w:val="007A3BFA"/>
    <w:rsid w:val="007A3E81"/>
    <w:rsid w:val="007A407F"/>
    <w:rsid w:val="007A408A"/>
    <w:rsid w:val="007A46F0"/>
    <w:rsid w:val="007A46FA"/>
    <w:rsid w:val="007A4813"/>
    <w:rsid w:val="007A4927"/>
    <w:rsid w:val="007A4B0E"/>
    <w:rsid w:val="007A4B23"/>
    <w:rsid w:val="007A4FC2"/>
    <w:rsid w:val="007A5237"/>
    <w:rsid w:val="007A5855"/>
    <w:rsid w:val="007A59DA"/>
    <w:rsid w:val="007A5D3D"/>
    <w:rsid w:val="007A6099"/>
    <w:rsid w:val="007A616C"/>
    <w:rsid w:val="007A631E"/>
    <w:rsid w:val="007A633F"/>
    <w:rsid w:val="007A64A0"/>
    <w:rsid w:val="007A64B0"/>
    <w:rsid w:val="007A64D0"/>
    <w:rsid w:val="007A657E"/>
    <w:rsid w:val="007A66C1"/>
    <w:rsid w:val="007A68E1"/>
    <w:rsid w:val="007A6D27"/>
    <w:rsid w:val="007A73D3"/>
    <w:rsid w:val="007A75C4"/>
    <w:rsid w:val="007A76AF"/>
    <w:rsid w:val="007A77A9"/>
    <w:rsid w:val="007A7857"/>
    <w:rsid w:val="007A798D"/>
    <w:rsid w:val="007A7CD3"/>
    <w:rsid w:val="007B00FD"/>
    <w:rsid w:val="007B03B3"/>
    <w:rsid w:val="007B03D2"/>
    <w:rsid w:val="007B076F"/>
    <w:rsid w:val="007B09B0"/>
    <w:rsid w:val="007B0E9B"/>
    <w:rsid w:val="007B0FC4"/>
    <w:rsid w:val="007B1429"/>
    <w:rsid w:val="007B1CDD"/>
    <w:rsid w:val="007B1E53"/>
    <w:rsid w:val="007B2016"/>
    <w:rsid w:val="007B205E"/>
    <w:rsid w:val="007B2542"/>
    <w:rsid w:val="007B290F"/>
    <w:rsid w:val="007B2942"/>
    <w:rsid w:val="007B2CB7"/>
    <w:rsid w:val="007B2F89"/>
    <w:rsid w:val="007B33FA"/>
    <w:rsid w:val="007B3433"/>
    <w:rsid w:val="007B34C6"/>
    <w:rsid w:val="007B366A"/>
    <w:rsid w:val="007B39AD"/>
    <w:rsid w:val="007B3A29"/>
    <w:rsid w:val="007B416C"/>
    <w:rsid w:val="007B436F"/>
    <w:rsid w:val="007B4382"/>
    <w:rsid w:val="007B464B"/>
    <w:rsid w:val="007B494C"/>
    <w:rsid w:val="007B4A06"/>
    <w:rsid w:val="007B4E67"/>
    <w:rsid w:val="007B4FE8"/>
    <w:rsid w:val="007B535A"/>
    <w:rsid w:val="007B542C"/>
    <w:rsid w:val="007B55E5"/>
    <w:rsid w:val="007B6076"/>
    <w:rsid w:val="007B60C0"/>
    <w:rsid w:val="007B6134"/>
    <w:rsid w:val="007B654D"/>
    <w:rsid w:val="007B675C"/>
    <w:rsid w:val="007B6FA4"/>
    <w:rsid w:val="007B7860"/>
    <w:rsid w:val="007B7AA7"/>
    <w:rsid w:val="007B7B13"/>
    <w:rsid w:val="007B7B90"/>
    <w:rsid w:val="007C0284"/>
    <w:rsid w:val="007C075B"/>
    <w:rsid w:val="007C09CF"/>
    <w:rsid w:val="007C1555"/>
    <w:rsid w:val="007C1CEC"/>
    <w:rsid w:val="007C225E"/>
    <w:rsid w:val="007C2767"/>
    <w:rsid w:val="007C27A2"/>
    <w:rsid w:val="007C2A54"/>
    <w:rsid w:val="007C2F9A"/>
    <w:rsid w:val="007C3144"/>
    <w:rsid w:val="007C32C4"/>
    <w:rsid w:val="007C34F9"/>
    <w:rsid w:val="007C35F5"/>
    <w:rsid w:val="007C3776"/>
    <w:rsid w:val="007C3904"/>
    <w:rsid w:val="007C40EF"/>
    <w:rsid w:val="007C4185"/>
    <w:rsid w:val="007C42EA"/>
    <w:rsid w:val="007C47A4"/>
    <w:rsid w:val="007C4856"/>
    <w:rsid w:val="007C48AF"/>
    <w:rsid w:val="007C4953"/>
    <w:rsid w:val="007C49E7"/>
    <w:rsid w:val="007C5138"/>
    <w:rsid w:val="007C51C1"/>
    <w:rsid w:val="007C53A1"/>
    <w:rsid w:val="007C5437"/>
    <w:rsid w:val="007C5C26"/>
    <w:rsid w:val="007C5E76"/>
    <w:rsid w:val="007C62BD"/>
    <w:rsid w:val="007C6610"/>
    <w:rsid w:val="007C676C"/>
    <w:rsid w:val="007C6D12"/>
    <w:rsid w:val="007C728D"/>
    <w:rsid w:val="007C7351"/>
    <w:rsid w:val="007C7483"/>
    <w:rsid w:val="007C7528"/>
    <w:rsid w:val="007C7AF0"/>
    <w:rsid w:val="007C7BCD"/>
    <w:rsid w:val="007D0326"/>
    <w:rsid w:val="007D0380"/>
    <w:rsid w:val="007D099E"/>
    <w:rsid w:val="007D0CE8"/>
    <w:rsid w:val="007D0F76"/>
    <w:rsid w:val="007D13C6"/>
    <w:rsid w:val="007D14C2"/>
    <w:rsid w:val="007D172F"/>
    <w:rsid w:val="007D1915"/>
    <w:rsid w:val="007D19B3"/>
    <w:rsid w:val="007D1A42"/>
    <w:rsid w:val="007D1B15"/>
    <w:rsid w:val="007D1C2A"/>
    <w:rsid w:val="007D1CAE"/>
    <w:rsid w:val="007D241B"/>
    <w:rsid w:val="007D257E"/>
    <w:rsid w:val="007D2728"/>
    <w:rsid w:val="007D2846"/>
    <w:rsid w:val="007D296F"/>
    <w:rsid w:val="007D29EB"/>
    <w:rsid w:val="007D2B86"/>
    <w:rsid w:val="007D2CAC"/>
    <w:rsid w:val="007D2F9B"/>
    <w:rsid w:val="007D30B0"/>
    <w:rsid w:val="007D34C0"/>
    <w:rsid w:val="007D35B6"/>
    <w:rsid w:val="007D3811"/>
    <w:rsid w:val="007D3E1A"/>
    <w:rsid w:val="007D401E"/>
    <w:rsid w:val="007D4812"/>
    <w:rsid w:val="007D4902"/>
    <w:rsid w:val="007D4926"/>
    <w:rsid w:val="007D494D"/>
    <w:rsid w:val="007D4CF6"/>
    <w:rsid w:val="007D4D21"/>
    <w:rsid w:val="007D4F05"/>
    <w:rsid w:val="007D4FAB"/>
    <w:rsid w:val="007D50B3"/>
    <w:rsid w:val="007D5770"/>
    <w:rsid w:val="007D5A92"/>
    <w:rsid w:val="007D5B9B"/>
    <w:rsid w:val="007D5E8C"/>
    <w:rsid w:val="007D5EF5"/>
    <w:rsid w:val="007D5F04"/>
    <w:rsid w:val="007D62A0"/>
    <w:rsid w:val="007D6A51"/>
    <w:rsid w:val="007D6B41"/>
    <w:rsid w:val="007D6CFA"/>
    <w:rsid w:val="007D6E4E"/>
    <w:rsid w:val="007D7197"/>
    <w:rsid w:val="007D71BB"/>
    <w:rsid w:val="007D7573"/>
    <w:rsid w:val="007D7627"/>
    <w:rsid w:val="007E00CE"/>
    <w:rsid w:val="007E05AB"/>
    <w:rsid w:val="007E0A4F"/>
    <w:rsid w:val="007E0A70"/>
    <w:rsid w:val="007E0A89"/>
    <w:rsid w:val="007E0BC9"/>
    <w:rsid w:val="007E0D9C"/>
    <w:rsid w:val="007E0E55"/>
    <w:rsid w:val="007E144E"/>
    <w:rsid w:val="007E18AD"/>
    <w:rsid w:val="007E1A15"/>
    <w:rsid w:val="007E1CA2"/>
    <w:rsid w:val="007E2383"/>
    <w:rsid w:val="007E2514"/>
    <w:rsid w:val="007E2639"/>
    <w:rsid w:val="007E29AA"/>
    <w:rsid w:val="007E2ED5"/>
    <w:rsid w:val="007E3527"/>
    <w:rsid w:val="007E39A0"/>
    <w:rsid w:val="007E39AF"/>
    <w:rsid w:val="007E4154"/>
    <w:rsid w:val="007E4238"/>
    <w:rsid w:val="007E4587"/>
    <w:rsid w:val="007E46AE"/>
    <w:rsid w:val="007E4988"/>
    <w:rsid w:val="007E4A60"/>
    <w:rsid w:val="007E4FBF"/>
    <w:rsid w:val="007E518D"/>
    <w:rsid w:val="007E51A3"/>
    <w:rsid w:val="007E5DCC"/>
    <w:rsid w:val="007E5EE1"/>
    <w:rsid w:val="007E63B1"/>
    <w:rsid w:val="007E645A"/>
    <w:rsid w:val="007E66A7"/>
    <w:rsid w:val="007E671B"/>
    <w:rsid w:val="007E6766"/>
    <w:rsid w:val="007E696C"/>
    <w:rsid w:val="007E7161"/>
    <w:rsid w:val="007E7227"/>
    <w:rsid w:val="007E7712"/>
    <w:rsid w:val="007E776D"/>
    <w:rsid w:val="007E7946"/>
    <w:rsid w:val="007E7A5F"/>
    <w:rsid w:val="007E7AF8"/>
    <w:rsid w:val="007F0217"/>
    <w:rsid w:val="007F0242"/>
    <w:rsid w:val="007F05A8"/>
    <w:rsid w:val="007F0693"/>
    <w:rsid w:val="007F0B5A"/>
    <w:rsid w:val="007F0C97"/>
    <w:rsid w:val="007F100A"/>
    <w:rsid w:val="007F10A2"/>
    <w:rsid w:val="007F1287"/>
    <w:rsid w:val="007F167E"/>
    <w:rsid w:val="007F22E4"/>
    <w:rsid w:val="007F24AA"/>
    <w:rsid w:val="007F2614"/>
    <w:rsid w:val="007F2751"/>
    <w:rsid w:val="007F2F40"/>
    <w:rsid w:val="007F441D"/>
    <w:rsid w:val="007F472E"/>
    <w:rsid w:val="007F4C8D"/>
    <w:rsid w:val="007F4D0E"/>
    <w:rsid w:val="007F52C4"/>
    <w:rsid w:val="007F53DD"/>
    <w:rsid w:val="007F541F"/>
    <w:rsid w:val="007F54D2"/>
    <w:rsid w:val="007F54D3"/>
    <w:rsid w:val="007F5579"/>
    <w:rsid w:val="007F5616"/>
    <w:rsid w:val="007F5721"/>
    <w:rsid w:val="007F5E78"/>
    <w:rsid w:val="007F5FF9"/>
    <w:rsid w:val="007F62C1"/>
    <w:rsid w:val="007F6D40"/>
    <w:rsid w:val="007F6D8C"/>
    <w:rsid w:val="007F6FFD"/>
    <w:rsid w:val="007F7130"/>
    <w:rsid w:val="007F7793"/>
    <w:rsid w:val="007F7973"/>
    <w:rsid w:val="007F7B3D"/>
    <w:rsid w:val="007F7B41"/>
    <w:rsid w:val="007F7D32"/>
    <w:rsid w:val="007F7E23"/>
    <w:rsid w:val="008007E0"/>
    <w:rsid w:val="00801175"/>
    <w:rsid w:val="008011D2"/>
    <w:rsid w:val="008011FF"/>
    <w:rsid w:val="00801267"/>
    <w:rsid w:val="00801CF4"/>
    <w:rsid w:val="00801D11"/>
    <w:rsid w:val="008020EC"/>
    <w:rsid w:val="00802397"/>
    <w:rsid w:val="00802908"/>
    <w:rsid w:val="00802A38"/>
    <w:rsid w:val="00802ABD"/>
    <w:rsid w:val="008032BB"/>
    <w:rsid w:val="00803336"/>
    <w:rsid w:val="008033AA"/>
    <w:rsid w:val="008033C3"/>
    <w:rsid w:val="008036E3"/>
    <w:rsid w:val="008037C6"/>
    <w:rsid w:val="008040D9"/>
    <w:rsid w:val="0080433B"/>
    <w:rsid w:val="00804415"/>
    <w:rsid w:val="00804528"/>
    <w:rsid w:val="00804541"/>
    <w:rsid w:val="00804629"/>
    <w:rsid w:val="00804BF2"/>
    <w:rsid w:val="00804D09"/>
    <w:rsid w:val="00804EE2"/>
    <w:rsid w:val="0080506D"/>
    <w:rsid w:val="00805317"/>
    <w:rsid w:val="00805372"/>
    <w:rsid w:val="008053D5"/>
    <w:rsid w:val="00805419"/>
    <w:rsid w:val="00805457"/>
    <w:rsid w:val="00805605"/>
    <w:rsid w:val="00806161"/>
    <w:rsid w:val="0080628D"/>
    <w:rsid w:val="00806426"/>
    <w:rsid w:val="008064A7"/>
    <w:rsid w:val="00806674"/>
    <w:rsid w:val="0080697A"/>
    <w:rsid w:val="00806DE8"/>
    <w:rsid w:val="0080718F"/>
    <w:rsid w:val="008079ED"/>
    <w:rsid w:val="0081037A"/>
    <w:rsid w:val="008103B9"/>
    <w:rsid w:val="008108CE"/>
    <w:rsid w:val="008109F9"/>
    <w:rsid w:val="00810BA3"/>
    <w:rsid w:val="00810DC1"/>
    <w:rsid w:val="00810F62"/>
    <w:rsid w:val="00811056"/>
    <w:rsid w:val="0081137C"/>
    <w:rsid w:val="00811C0D"/>
    <w:rsid w:val="00811C73"/>
    <w:rsid w:val="00811C9E"/>
    <w:rsid w:val="00811CB0"/>
    <w:rsid w:val="00811D92"/>
    <w:rsid w:val="00811F72"/>
    <w:rsid w:val="00811FEB"/>
    <w:rsid w:val="00812187"/>
    <w:rsid w:val="008124C6"/>
    <w:rsid w:val="008128FE"/>
    <w:rsid w:val="008129D0"/>
    <w:rsid w:val="00812FCC"/>
    <w:rsid w:val="008137CF"/>
    <w:rsid w:val="00813F2C"/>
    <w:rsid w:val="008140C7"/>
    <w:rsid w:val="0081422B"/>
    <w:rsid w:val="00814507"/>
    <w:rsid w:val="008145C6"/>
    <w:rsid w:val="00814707"/>
    <w:rsid w:val="00815114"/>
    <w:rsid w:val="008153AC"/>
    <w:rsid w:val="00815C02"/>
    <w:rsid w:val="00815C67"/>
    <w:rsid w:val="00815CE8"/>
    <w:rsid w:val="00815F83"/>
    <w:rsid w:val="00816323"/>
    <w:rsid w:val="0081656E"/>
    <w:rsid w:val="00816904"/>
    <w:rsid w:val="00816EF4"/>
    <w:rsid w:val="0081735E"/>
    <w:rsid w:val="008179A1"/>
    <w:rsid w:val="00817A22"/>
    <w:rsid w:val="00817A8F"/>
    <w:rsid w:val="00817E83"/>
    <w:rsid w:val="00817FAA"/>
    <w:rsid w:val="00817FD0"/>
    <w:rsid w:val="00820946"/>
    <w:rsid w:val="00820B59"/>
    <w:rsid w:val="00820D4F"/>
    <w:rsid w:val="00820D69"/>
    <w:rsid w:val="00821229"/>
    <w:rsid w:val="008214BE"/>
    <w:rsid w:val="008215D7"/>
    <w:rsid w:val="0082168E"/>
    <w:rsid w:val="00821776"/>
    <w:rsid w:val="00821795"/>
    <w:rsid w:val="008220C6"/>
    <w:rsid w:val="00822277"/>
    <w:rsid w:val="0082266E"/>
    <w:rsid w:val="00822CB0"/>
    <w:rsid w:val="00822D7B"/>
    <w:rsid w:val="00822F30"/>
    <w:rsid w:val="00822FE6"/>
    <w:rsid w:val="00823431"/>
    <w:rsid w:val="008237FB"/>
    <w:rsid w:val="00823845"/>
    <w:rsid w:val="00823C60"/>
    <w:rsid w:val="00823EAA"/>
    <w:rsid w:val="008241E0"/>
    <w:rsid w:val="008242AD"/>
    <w:rsid w:val="008242E6"/>
    <w:rsid w:val="008246D0"/>
    <w:rsid w:val="00824D85"/>
    <w:rsid w:val="008255A7"/>
    <w:rsid w:val="008255F7"/>
    <w:rsid w:val="00825826"/>
    <w:rsid w:val="00825CAD"/>
    <w:rsid w:val="00825ECB"/>
    <w:rsid w:val="00826205"/>
    <w:rsid w:val="0082624D"/>
    <w:rsid w:val="0082650A"/>
    <w:rsid w:val="00826622"/>
    <w:rsid w:val="00826827"/>
    <w:rsid w:val="0082691F"/>
    <w:rsid w:val="008269E5"/>
    <w:rsid w:val="00826E8E"/>
    <w:rsid w:val="0082755A"/>
    <w:rsid w:val="00827912"/>
    <w:rsid w:val="00827B79"/>
    <w:rsid w:val="00827B9F"/>
    <w:rsid w:val="00827D09"/>
    <w:rsid w:val="00830416"/>
    <w:rsid w:val="00830668"/>
    <w:rsid w:val="008306EA"/>
    <w:rsid w:val="008307E4"/>
    <w:rsid w:val="00830953"/>
    <w:rsid w:val="008309C0"/>
    <w:rsid w:val="00830E6A"/>
    <w:rsid w:val="0083109C"/>
    <w:rsid w:val="008313E8"/>
    <w:rsid w:val="008317A0"/>
    <w:rsid w:val="00831865"/>
    <w:rsid w:val="00831A3B"/>
    <w:rsid w:val="008321BD"/>
    <w:rsid w:val="008325C8"/>
    <w:rsid w:val="00832FD0"/>
    <w:rsid w:val="00833732"/>
    <w:rsid w:val="00833A99"/>
    <w:rsid w:val="00833E1D"/>
    <w:rsid w:val="00833E92"/>
    <w:rsid w:val="008340ED"/>
    <w:rsid w:val="008344A3"/>
    <w:rsid w:val="00834541"/>
    <w:rsid w:val="00834AEC"/>
    <w:rsid w:val="00834AFA"/>
    <w:rsid w:val="00834C2A"/>
    <w:rsid w:val="0083520F"/>
    <w:rsid w:val="00835343"/>
    <w:rsid w:val="008354C6"/>
    <w:rsid w:val="00835FB5"/>
    <w:rsid w:val="008363C3"/>
    <w:rsid w:val="00836448"/>
    <w:rsid w:val="00836AB0"/>
    <w:rsid w:val="00836AE3"/>
    <w:rsid w:val="00836D89"/>
    <w:rsid w:val="00837220"/>
    <w:rsid w:val="00837405"/>
    <w:rsid w:val="0083743E"/>
    <w:rsid w:val="008378E4"/>
    <w:rsid w:val="00837980"/>
    <w:rsid w:val="00837A5E"/>
    <w:rsid w:val="00837A86"/>
    <w:rsid w:val="008407F1"/>
    <w:rsid w:val="0084092E"/>
    <w:rsid w:val="00840B86"/>
    <w:rsid w:val="00840C43"/>
    <w:rsid w:val="00840EB6"/>
    <w:rsid w:val="00840ED7"/>
    <w:rsid w:val="00841236"/>
    <w:rsid w:val="008414F7"/>
    <w:rsid w:val="008418C8"/>
    <w:rsid w:val="00841996"/>
    <w:rsid w:val="00841B89"/>
    <w:rsid w:val="00841CF8"/>
    <w:rsid w:val="008420D2"/>
    <w:rsid w:val="00842C89"/>
    <w:rsid w:val="00842EFE"/>
    <w:rsid w:val="00843247"/>
    <w:rsid w:val="00843426"/>
    <w:rsid w:val="00843740"/>
    <w:rsid w:val="0084382A"/>
    <w:rsid w:val="00843849"/>
    <w:rsid w:val="00843902"/>
    <w:rsid w:val="00843CBA"/>
    <w:rsid w:val="00843E4A"/>
    <w:rsid w:val="00844617"/>
    <w:rsid w:val="00844B0F"/>
    <w:rsid w:val="00844D6D"/>
    <w:rsid w:val="00844E67"/>
    <w:rsid w:val="00845062"/>
    <w:rsid w:val="00845065"/>
    <w:rsid w:val="0084522E"/>
    <w:rsid w:val="00845616"/>
    <w:rsid w:val="00845A19"/>
    <w:rsid w:val="00845A8A"/>
    <w:rsid w:val="00845AA9"/>
    <w:rsid w:val="00845B4A"/>
    <w:rsid w:val="00845BB6"/>
    <w:rsid w:val="00846085"/>
    <w:rsid w:val="00846628"/>
    <w:rsid w:val="0084675F"/>
    <w:rsid w:val="00846B43"/>
    <w:rsid w:val="00846F2F"/>
    <w:rsid w:val="00847258"/>
    <w:rsid w:val="008473F8"/>
    <w:rsid w:val="00847514"/>
    <w:rsid w:val="0084762D"/>
    <w:rsid w:val="0084787B"/>
    <w:rsid w:val="00847D37"/>
    <w:rsid w:val="008500D2"/>
    <w:rsid w:val="008500FD"/>
    <w:rsid w:val="00850114"/>
    <w:rsid w:val="008501F7"/>
    <w:rsid w:val="008503D8"/>
    <w:rsid w:val="00850F0C"/>
    <w:rsid w:val="00851414"/>
    <w:rsid w:val="00851C1F"/>
    <w:rsid w:val="00851F11"/>
    <w:rsid w:val="0085206B"/>
    <w:rsid w:val="00852248"/>
    <w:rsid w:val="00852721"/>
    <w:rsid w:val="008527A8"/>
    <w:rsid w:val="00852846"/>
    <w:rsid w:val="0085291F"/>
    <w:rsid w:val="00852A3D"/>
    <w:rsid w:val="00852B20"/>
    <w:rsid w:val="00853380"/>
    <w:rsid w:val="008535B4"/>
    <w:rsid w:val="008535F7"/>
    <w:rsid w:val="00853960"/>
    <w:rsid w:val="00853AED"/>
    <w:rsid w:val="00853B59"/>
    <w:rsid w:val="00853C01"/>
    <w:rsid w:val="00853E02"/>
    <w:rsid w:val="008543B6"/>
    <w:rsid w:val="008543C6"/>
    <w:rsid w:val="00854517"/>
    <w:rsid w:val="0085468F"/>
    <w:rsid w:val="00854B27"/>
    <w:rsid w:val="00854E95"/>
    <w:rsid w:val="00854F5E"/>
    <w:rsid w:val="008553F5"/>
    <w:rsid w:val="008555B5"/>
    <w:rsid w:val="00855A06"/>
    <w:rsid w:val="00856085"/>
    <w:rsid w:val="008564AA"/>
    <w:rsid w:val="00856C10"/>
    <w:rsid w:val="0085734A"/>
    <w:rsid w:val="008576A3"/>
    <w:rsid w:val="00860305"/>
    <w:rsid w:val="00860709"/>
    <w:rsid w:val="00860B7B"/>
    <w:rsid w:val="00860DB2"/>
    <w:rsid w:val="00861164"/>
    <w:rsid w:val="0086117E"/>
    <w:rsid w:val="008611F0"/>
    <w:rsid w:val="008616C6"/>
    <w:rsid w:val="00861732"/>
    <w:rsid w:val="00861C98"/>
    <w:rsid w:val="0086229D"/>
    <w:rsid w:val="00862B00"/>
    <w:rsid w:val="00862B90"/>
    <w:rsid w:val="00862BCD"/>
    <w:rsid w:val="00862BF8"/>
    <w:rsid w:val="00862E6E"/>
    <w:rsid w:val="00863042"/>
    <w:rsid w:val="00863502"/>
    <w:rsid w:val="00863E98"/>
    <w:rsid w:val="0086418B"/>
    <w:rsid w:val="008641DA"/>
    <w:rsid w:val="0086453A"/>
    <w:rsid w:val="008645A5"/>
    <w:rsid w:val="00864972"/>
    <w:rsid w:val="008656C1"/>
    <w:rsid w:val="00865882"/>
    <w:rsid w:val="00865ADB"/>
    <w:rsid w:val="00865B20"/>
    <w:rsid w:val="00865CC7"/>
    <w:rsid w:val="00866192"/>
    <w:rsid w:val="008663DC"/>
    <w:rsid w:val="0086661D"/>
    <w:rsid w:val="00866B5F"/>
    <w:rsid w:val="00866C97"/>
    <w:rsid w:val="00866FD7"/>
    <w:rsid w:val="00867705"/>
    <w:rsid w:val="00867D36"/>
    <w:rsid w:val="00867EF1"/>
    <w:rsid w:val="00870483"/>
    <w:rsid w:val="008704D5"/>
    <w:rsid w:val="00870D39"/>
    <w:rsid w:val="008710C9"/>
    <w:rsid w:val="00871145"/>
    <w:rsid w:val="0087138D"/>
    <w:rsid w:val="008713F7"/>
    <w:rsid w:val="00871403"/>
    <w:rsid w:val="00871549"/>
    <w:rsid w:val="008716D6"/>
    <w:rsid w:val="008718C4"/>
    <w:rsid w:val="00871B6B"/>
    <w:rsid w:val="008721CA"/>
    <w:rsid w:val="00872A18"/>
    <w:rsid w:val="00872AAF"/>
    <w:rsid w:val="008732DB"/>
    <w:rsid w:val="0087360C"/>
    <w:rsid w:val="0087364F"/>
    <w:rsid w:val="00873783"/>
    <w:rsid w:val="008737A0"/>
    <w:rsid w:val="00873874"/>
    <w:rsid w:val="00873D39"/>
    <w:rsid w:val="00874671"/>
    <w:rsid w:val="0087483C"/>
    <w:rsid w:val="00874B08"/>
    <w:rsid w:val="00875238"/>
    <w:rsid w:val="00875589"/>
    <w:rsid w:val="008755B7"/>
    <w:rsid w:val="00876836"/>
    <w:rsid w:val="00876EE7"/>
    <w:rsid w:val="00877709"/>
    <w:rsid w:val="00877774"/>
    <w:rsid w:val="00877893"/>
    <w:rsid w:val="008778BD"/>
    <w:rsid w:val="00877937"/>
    <w:rsid w:val="00877942"/>
    <w:rsid w:val="00877B0E"/>
    <w:rsid w:val="00877B2C"/>
    <w:rsid w:val="00880117"/>
    <w:rsid w:val="0088011D"/>
    <w:rsid w:val="008801BF"/>
    <w:rsid w:val="00880329"/>
    <w:rsid w:val="00880594"/>
    <w:rsid w:val="00880C01"/>
    <w:rsid w:val="00881174"/>
    <w:rsid w:val="0088196F"/>
    <w:rsid w:val="00881AE9"/>
    <w:rsid w:val="0088270D"/>
    <w:rsid w:val="008827DD"/>
    <w:rsid w:val="0088281E"/>
    <w:rsid w:val="00882A4F"/>
    <w:rsid w:val="00882AB1"/>
    <w:rsid w:val="00882FCA"/>
    <w:rsid w:val="0088304A"/>
    <w:rsid w:val="0088362C"/>
    <w:rsid w:val="00883637"/>
    <w:rsid w:val="00883A34"/>
    <w:rsid w:val="008840BE"/>
    <w:rsid w:val="008844B8"/>
    <w:rsid w:val="008844DB"/>
    <w:rsid w:val="008846C3"/>
    <w:rsid w:val="00884734"/>
    <w:rsid w:val="00884898"/>
    <w:rsid w:val="008849F5"/>
    <w:rsid w:val="00884E17"/>
    <w:rsid w:val="008854DB"/>
    <w:rsid w:val="0088584E"/>
    <w:rsid w:val="00885989"/>
    <w:rsid w:val="00885B5E"/>
    <w:rsid w:val="00885C7B"/>
    <w:rsid w:val="0088663B"/>
    <w:rsid w:val="008868CE"/>
    <w:rsid w:val="00886924"/>
    <w:rsid w:val="008869CE"/>
    <w:rsid w:val="00886FE0"/>
    <w:rsid w:val="008872A9"/>
    <w:rsid w:val="008873B5"/>
    <w:rsid w:val="00887410"/>
    <w:rsid w:val="0088761C"/>
    <w:rsid w:val="00887851"/>
    <w:rsid w:val="008879DE"/>
    <w:rsid w:val="00887A9A"/>
    <w:rsid w:val="00887C4B"/>
    <w:rsid w:val="00890238"/>
    <w:rsid w:val="008905CF"/>
    <w:rsid w:val="008905E3"/>
    <w:rsid w:val="00890795"/>
    <w:rsid w:val="00890A70"/>
    <w:rsid w:val="00890B02"/>
    <w:rsid w:val="00890EF3"/>
    <w:rsid w:val="008910DC"/>
    <w:rsid w:val="008912A4"/>
    <w:rsid w:val="00891C72"/>
    <w:rsid w:val="008922E8"/>
    <w:rsid w:val="008937FD"/>
    <w:rsid w:val="008938BB"/>
    <w:rsid w:val="00893F71"/>
    <w:rsid w:val="008946FB"/>
    <w:rsid w:val="00894718"/>
    <w:rsid w:val="0089483D"/>
    <w:rsid w:val="008949A3"/>
    <w:rsid w:val="00895059"/>
    <w:rsid w:val="00895223"/>
    <w:rsid w:val="008953D9"/>
    <w:rsid w:val="00895525"/>
    <w:rsid w:val="00895913"/>
    <w:rsid w:val="00895EAA"/>
    <w:rsid w:val="00896185"/>
    <w:rsid w:val="00896220"/>
    <w:rsid w:val="008962DF"/>
    <w:rsid w:val="00896EC0"/>
    <w:rsid w:val="008975B0"/>
    <w:rsid w:val="00897803"/>
    <w:rsid w:val="00897813"/>
    <w:rsid w:val="0089784C"/>
    <w:rsid w:val="00897E77"/>
    <w:rsid w:val="008A007D"/>
    <w:rsid w:val="008A00DA"/>
    <w:rsid w:val="008A0233"/>
    <w:rsid w:val="008A04F1"/>
    <w:rsid w:val="008A115F"/>
    <w:rsid w:val="008A1422"/>
    <w:rsid w:val="008A1853"/>
    <w:rsid w:val="008A1A69"/>
    <w:rsid w:val="008A1DFB"/>
    <w:rsid w:val="008A20A2"/>
    <w:rsid w:val="008A23F9"/>
    <w:rsid w:val="008A2BDE"/>
    <w:rsid w:val="008A2DD9"/>
    <w:rsid w:val="008A2F47"/>
    <w:rsid w:val="008A30DC"/>
    <w:rsid w:val="008A32F9"/>
    <w:rsid w:val="008A3365"/>
    <w:rsid w:val="008A3894"/>
    <w:rsid w:val="008A392C"/>
    <w:rsid w:val="008A3E15"/>
    <w:rsid w:val="008A4374"/>
    <w:rsid w:val="008A4412"/>
    <w:rsid w:val="008A4549"/>
    <w:rsid w:val="008A4760"/>
    <w:rsid w:val="008A4858"/>
    <w:rsid w:val="008A4BF7"/>
    <w:rsid w:val="008A522B"/>
    <w:rsid w:val="008A522C"/>
    <w:rsid w:val="008A524C"/>
    <w:rsid w:val="008A5ADF"/>
    <w:rsid w:val="008A5C9C"/>
    <w:rsid w:val="008A5DBF"/>
    <w:rsid w:val="008A5E09"/>
    <w:rsid w:val="008A625B"/>
    <w:rsid w:val="008A66D1"/>
    <w:rsid w:val="008A673E"/>
    <w:rsid w:val="008A695F"/>
    <w:rsid w:val="008A6F32"/>
    <w:rsid w:val="008A76C0"/>
    <w:rsid w:val="008A78C5"/>
    <w:rsid w:val="008A7FD3"/>
    <w:rsid w:val="008B04A8"/>
    <w:rsid w:val="008B0563"/>
    <w:rsid w:val="008B0573"/>
    <w:rsid w:val="008B09FE"/>
    <w:rsid w:val="008B0BD7"/>
    <w:rsid w:val="008B0D27"/>
    <w:rsid w:val="008B0FEB"/>
    <w:rsid w:val="008B1205"/>
    <w:rsid w:val="008B1265"/>
    <w:rsid w:val="008B1B2A"/>
    <w:rsid w:val="008B1EE2"/>
    <w:rsid w:val="008B20EC"/>
    <w:rsid w:val="008B225E"/>
    <w:rsid w:val="008B2A9D"/>
    <w:rsid w:val="008B2C9A"/>
    <w:rsid w:val="008B2DF2"/>
    <w:rsid w:val="008B2E88"/>
    <w:rsid w:val="008B30E3"/>
    <w:rsid w:val="008B33AB"/>
    <w:rsid w:val="008B3474"/>
    <w:rsid w:val="008B3538"/>
    <w:rsid w:val="008B35E2"/>
    <w:rsid w:val="008B37D0"/>
    <w:rsid w:val="008B399D"/>
    <w:rsid w:val="008B3A8E"/>
    <w:rsid w:val="008B3D35"/>
    <w:rsid w:val="008B3E4E"/>
    <w:rsid w:val="008B3E8F"/>
    <w:rsid w:val="008B3F6A"/>
    <w:rsid w:val="008B4209"/>
    <w:rsid w:val="008B4CC4"/>
    <w:rsid w:val="008B4D3A"/>
    <w:rsid w:val="008B4DCD"/>
    <w:rsid w:val="008B4FCE"/>
    <w:rsid w:val="008B5318"/>
    <w:rsid w:val="008B55F6"/>
    <w:rsid w:val="008B5C6A"/>
    <w:rsid w:val="008B6389"/>
    <w:rsid w:val="008B6ED6"/>
    <w:rsid w:val="008B6F15"/>
    <w:rsid w:val="008B7117"/>
    <w:rsid w:val="008B714D"/>
    <w:rsid w:val="008B7635"/>
    <w:rsid w:val="008B7657"/>
    <w:rsid w:val="008B77DB"/>
    <w:rsid w:val="008B7845"/>
    <w:rsid w:val="008B7EC0"/>
    <w:rsid w:val="008C03E9"/>
    <w:rsid w:val="008C05C6"/>
    <w:rsid w:val="008C069C"/>
    <w:rsid w:val="008C06ED"/>
    <w:rsid w:val="008C0AB0"/>
    <w:rsid w:val="008C0C87"/>
    <w:rsid w:val="008C0CC1"/>
    <w:rsid w:val="008C0E64"/>
    <w:rsid w:val="008C0F3A"/>
    <w:rsid w:val="008C10A9"/>
    <w:rsid w:val="008C1619"/>
    <w:rsid w:val="008C183A"/>
    <w:rsid w:val="008C191D"/>
    <w:rsid w:val="008C1B62"/>
    <w:rsid w:val="008C26FA"/>
    <w:rsid w:val="008C2CC2"/>
    <w:rsid w:val="008C30E4"/>
    <w:rsid w:val="008C35FE"/>
    <w:rsid w:val="008C3D56"/>
    <w:rsid w:val="008C3D62"/>
    <w:rsid w:val="008C3DB1"/>
    <w:rsid w:val="008C42A1"/>
    <w:rsid w:val="008C48CD"/>
    <w:rsid w:val="008C4FDE"/>
    <w:rsid w:val="008C5104"/>
    <w:rsid w:val="008C51F7"/>
    <w:rsid w:val="008C5254"/>
    <w:rsid w:val="008C5390"/>
    <w:rsid w:val="008C53FF"/>
    <w:rsid w:val="008C5549"/>
    <w:rsid w:val="008C5795"/>
    <w:rsid w:val="008C57E4"/>
    <w:rsid w:val="008C5B02"/>
    <w:rsid w:val="008C5EA0"/>
    <w:rsid w:val="008C5FA6"/>
    <w:rsid w:val="008C5FBC"/>
    <w:rsid w:val="008C629A"/>
    <w:rsid w:val="008C65B7"/>
    <w:rsid w:val="008C65CC"/>
    <w:rsid w:val="008C6A7D"/>
    <w:rsid w:val="008C6F29"/>
    <w:rsid w:val="008C6FC7"/>
    <w:rsid w:val="008C711D"/>
    <w:rsid w:val="008C71AB"/>
    <w:rsid w:val="008C7A94"/>
    <w:rsid w:val="008D001B"/>
    <w:rsid w:val="008D0159"/>
    <w:rsid w:val="008D04F7"/>
    <w:rsid w:val="008D06DA"/>
    <w:rsid w:val="008D0792"/>
    <w:rsid w:val="008D14BB"/>
    <w:rsid w:val="008D158D"/>
    <w:rsid w:val="008D1669"/>
    <w:rsid w:val="008D187F"/>
    <w:rsid w:val="008D2158"/>
    <w:rsid w:val="008D2202"/>
    <w:rsid w:val="008D28AC"/>
    <w:rsid w:val="008D2F46"/>
    <w:rsid w:val="008D3117"/>
    <w:rsid w:val="008D3577"/>
    <w:rsid w:val="008D3762"/>
    <w:rsid w:val="008D3BB5"/>
    <w:rsid w:val="008D3F25"/>
    <w:rsid w:val="008D4AB3"/>
    <w:rsid w:val="008D4CD1"/>
    <w:rsid w:val="008D4CD3"/>
    <w:rsid w:val="008D4EFB"/>
    <w:rsid w:val="008D4F7B"/>
    <w:rsid w:val="008D501B"/>
    <w:rsid w:val="008D5544"/>
    <w:rsid w:val="008D584B"/>
    <w:rsid w:val="008D5927"/>
    <w:rsid w:val="008D5E04"/>
    <w:rsid w:val="008D5E3B"/>
    <w:rsid w:val="008D64BE"/>
    <w:rsid w:val="008D7301"/>
    <w:rsid w:val="008D7369"/>
    <w:rsid w:val="008D78F3"/>
    <w:rsid w:val="008D7D7D"/>
    <w:rsid w:val="008D7F1D"/>
    <w:rsid w:val="008D7F5D"/>
    <w:rsid w:val="008E04B9"/>
    <w:rsid w:val="008E06D2"/>
    <w:rsid w:val="008E08C1"/>
    <w:rsid w:val="008E095C"/>
    <w:rsid w:val="008E0FA4"/>
    <w:rsid w:val="008E16E3"/>
    <w:rsid w:val="008E182F"/>
    <w:rsid w:val="008E20EA"/>
    <w:rsid w:val="008E2226"/>
    <w:rsid w:val="008E27A5"/>
    <w:rsid w:val="008E289D"/>
    <w:rsid w:val="008E2A8C"/>
    <w:rsid w:val="008E2F24"/>
    <w:rsid w:val="008E326C"/>
    <w:rsid w:val="008E36A2"/>
    <w:rsid w:val="008E3A4A"/>
    <w:rsid w:val="008E3A7B"/>
    <w:rsid w:val="008E43EB"/>
    <w:rsid w:val="008E4671"/>
    <w:rsid w:val="008E4966"/>
    <w:rsid w:val="008E4BBA"/>
    <w:rsid w:val="008E4BED"/>
    <w:rsid w:val="008E5272"/>
    <w:rsid w:val="008E5588"/>
    <w:rsid w:val="008E5B67"/>
    <w:rsid w:val="008E5EF3"/>
    <w:rsid w:val="008E5FEF"/>
    <w:rsid w:val="008E6012"/>
    <w:rsid w:val="008E62F9"/>
    <w:rsid w:val="008E65C6"/>
    <w:rsid w:val="008E6856"/>
    <w:rsid w:val="008E69B4"/>
    <w:rsid w:val="008E6C79"/>
    <w:rsid w:val="008E737D"/>
    <w:rsid w:val="008E74D1"/>
    <w:rsid w:val="008E754D"/>
    <w:rsid w:val="008E758D"/>
    <w:rsid w:val="008E7958"/>
    <w:rsid w:val="008E7AF3"/>
    <w:rsid w:val="008E7B05"/>
    <w:rsid w:val="008E7B7B"/>
    <w:rsid w:val="008E7D70"/>
    <w:rsid w:val="008F0527"/>
    <w:rsid w:val="008F05DE"/>
    <w:rsid w:val="008F0766"/>
    <w:rsid w:val="008F0AE0"/>
    <w:rsid w:val="008F1B5A"/>
    <w:rsid w:val="008F1D80"/>
    <w:rsid w:val="008F1E87"/>
    <w:rsid w:val="008F24B8"/>
    <w:rsid w:val="008F2745"/>
    <w:rsid w:val="008F2976"/>
    <w:rsid w:val="008F2DC3"/>
    <w:rsid w:val="008F31DE"/>
    <w:rsid w:val="008F32DE"/>
    <w:rsid w:val="008F3CCB"/>
    <w:rsid w:val="008F3DAB"/>
    <w:rsid w:val="008F44BD"/>
    <w:rsid w:val="008F457D"/>
    <w:rsid w:val="008F49A0"/>
    <w:rsid w:val="008F4EC7"/>
    <w:rsid w:val="008F5043"/>
    <w:rsid w:val="008F5054"/>
    <w:rsid w:val="008F55F6"/>
    <w:rsid w:val="008F5645"/>
    <w:rsid w:val="008F56F2"/>
    <w:rsid w:val="008F589E"/>
    <w:rsid w:val="008F5C05"/>
    <w:rsid w:val="008F5F3D"/>
    <w:rsid w:val="008F6058"/>
    <w:rsid w:val="008F6C7E"/>
    <w:rsid w:val="008F7047"/>
    <w:rsid w:val="008F70CF"/>
    <w:rsid w:val="008F7415"/>
    <w:rsid w:val="008F779D"/>
    <w:rsid w:val="008F78A8"/>
    <w:rsid w:val="008F7ADF"/>
    <w:rsid w:val="00900014"/>
    <w:rsid w:val="0090025C"/>
    <w:rsid w:val="00900470"/>
    <w:rsid w:val="00900675"/>
    <w:rsid w:val="00900804"/>
    <w:rsid w:val="00900808"/>
    <w:rsid w:val="00900A71"/>
    <w:rsid w:val="00900BD5"/>
    <w:rsid w:val="00900F90"/>
    <w:rsid w:val="00901075"/>
    <w:rsid w:val="009016D7"/>
    <w:rsid w:val="00901B76"/>
    <w:rsid w:val="00901E1C"/>
    <w:rsid w:val="0090202A"/>
    <w:rsid w:val="00902446"/>
    <w:rsid w:val="00902A55"/>
    <w:rsid w:val="00903065"/>
    <w:rsid w:val="009037F4"/>
    <w:rsid w:val="00903B1C"/>
    <w:rsid w:val="009040AA"/>
    <w:rsid w:val="009040BB"/>
    <w:rsid w:val="0090412D"/>
    <w:rsid w:val="009041A8"/>
    <w:rsid w:val="009045A7"/>
    <w:rsid w:val="00904841"/>
    <w:rsid w:val="00904D38"/>
    <w:rsid w:val="00904E5F"/>
    <w:rsid w:val="009051D0"/>
    <w:rsid w:val="009052F9"/>
    <w:rsid w:val="00905594"/>
    <w:rsid w:val="00905B93"/>
    <w:rsid w:val="00905D70"/>
    <w:rsid w:val="00905EDC"/>
    <w:rsid w:val="0090615C"/>
    <w:rsid w:val="0090623C"/>
    <w:rsid w:val="00906246"/>
    <w:rsid w:val="00906305"/>
    <w:rsid w:val="00906394"/>
    <w:rsid w:val="009063EA"/>
    <w:rsid w:val="00906501"/>
    <w:rsid w:val="00906B13"/>
    <w:rsid w:val="00906DFF"/>
    <w:rsid w:val="009070B3"/>
    <w:rsid w:val="0090739F"/>
    <w:rsid w:val="00907E17"/>
    <w:rsid w:val="00910359"/>
    <w:rsid w:val="00910657"/>
    <w:rsid w:val="00910738"/>
    <w:rsid w:val="009109F9"/>
    <w:rsid w:val="00910B04"/>
    <w:rsid w:val="00910B5D"/>
    <w:rsid w:val="00910BC8"/>
    <w:rsid w:val="00910CF6"/>
    <w:rsid w:val="00911317"/>
    <w:rsid w:val="00911475"/>
    <w:rsid w:val="00911794"/>
    <w:rsid w:val="009123E3"/>
    <w:rsid w:val="00912560"/>
    <w:rsid w:val="00912606"/>
    <w:rsid w:val="00912679"/>
    <w:rsid w:val="009127A7"/>
    <w:rsid w:val="00912BC4"/>
    <w:rsid w:val="00912C38"/>
    <w:rsid w:val="0091338A"/>
    <w:rsid w:val="0091373F"/>
    <w:rsid w:val="00913E50"/>
    <w:rsid w:val="00913E88"/>
    <w:rsid w:val="00913FD1"/>
    <w:rsid w:val="00914309"/>
    <w:rsid w:val="00914543"/>
    <w:rsid w:val="009148E6"/>
    <w:rsid w:val="00914C24"/>
    <w:rsid w:val="00915952"/>
    <w:rsid w:val="00915A29"/>
    <w:rsid w:val="00915A47"/>
    <w:rsid w:val="00915AEF"/>
    <w:rsid w:val="00915C63"/>
    <w:rsid w:val="0091611B"/>
    <w:rsid w:val="009161F0"/>
    <w:rsid w:val="00916645"/>
    <w:rsid w:val="009168A9"/>
    <w:rsid w:val="00916C6F"/>
    <w:rsid w:val="00916F7F"/>
    <w:rsid w:val="00917338"/>
    <w:rsid w:val="00917381"/>
    <w:rsid w:val="0091792F"/>
    <w:rsid w:val="00917CF5"/>
    <w:rsid w:val="009203D1"/>
    <w:rsid w:val="00920D49"/>
    <w:rsid w:val="0092109A"/>
    <w:rsid w:val="00921473"/>
    <w:rsid w:val="00921725"/>
    <w:rsid w:val="009219B8"/>
    <w:rsid w:val="009219CA"/>
    <w:rsid w:val="00921A41"/>
    <w:rsid w:val="00922187"/>
    <w:rsid w:val="009222A5"/>
    <w:rsid w:val="0092232B"/>
    <w:rsid w:val="00922344"/>
    <w:rsid w:val="00922764"/>
    <w:rsid w:val="00922BAA"/>
    <w:rsid w:val="00922E1F"/>
    <w:rsid w:val="00923671"/>
    <w:rsid w:val="00923FEA"/>
    <w:rsid w:val="00924283"/>
    <w:rsid w:val="009244BF"/>
    <w:rsid w:val="0092474B"/>
    <w:rsid w:val="009247A1"/>
    <w:rsid w:val="00924C22"/>
    <w:rsid w:val="00924DED"/>
    <w:rsid w:val="0092501C"/>
    <w:rsid w:val="00925149"/>
    <w:rsid w:val="0092533D"/>
    <w:rsid w:val="009257EA"/>
    <w:rsid w:val="009259C5"/>
    <w:rsid w:val="00925BEB"/>
    <w:rsid w:val="00926320"/>
    <w:rsid w:val="009266C1"/>
    <w:rsid w:val="009267B8"/>
    <w:rsid w:val="00926AED"/>
    <w:rsid w:val="00926BD7"/>
    <w:rsid w:val="00927454"/>
    <w:rsid w:val="009274D1"/>
    <w:rsid w:val="009275B6"/>
    <w:rsid w:val="0092779B"/>
    <w:rsid w:val="009279CC"/>
    <w:rsid w:val="009301F6"/>
    <w:rsid w:val="009303B5"/>
    <w:rsid w:val="00930988"/>
    <w:rsid w:val="00930E75"/>
    <w:rsid w:val="00931127"/>
    <w:rsid w:val="0093152B"/>
    <w:rsid w:val="009315B2"/>
    <w:rsid w:val="00931AC4"/>
    <w:rsid w:val="00931BD2"/>
    <w:rsid w:val="00931EDC"/>
    <w:rsid w:val="009321FA"/>
    <w:rsid w:val="009324DF"/>
    <w:rsid w:val="0093306C"/>
    <w:rsid w:val="009335E7"/>
    <w:rsid w:val="0093376F"/>
    <w:rsid w:val="00933CC5"/>
    <w:rsid w:val="00933DEA"/>
    <w:rsid w:val="009340C1"/>
    <w:rsid w:val="009343D2"/>
    <w:rsid w:val="00934BEA"/>
    <w:rsid w:val="00935072"/>
    <w:rsid w:val="0093536F"/>
    <w:rsid w:val="0093547D"/>
    <w:rsid w:val="009360C8"/>
    <w:rsid w:val="00936632"/>
    <w:rsid w:val="00936ADA"/>
    <w:rsid w:val="00936B47"/>
    <w:rsid w:val="00936B99"/>
    <w:rsid w:val="009372EC"/>
    <w:rsid w:val="00937638"/>
    <w:rsid w:val="0093784D"/>
    <w:rsid w:val="00937867"/>
    <w:rsid w:val="00937EA7"/>
    <w:rsid w:val="009401D1"/>
    <w:rsid w:val="0094020F"/>
    <w:rsid w:val="00940284"/>
    <w:rsid w:val="00940B94"/>
    <w:rsid w:val="00940E11"/>
    <w:rsid w:val="0094101E"/>
    <w:rsid w:val="00941511"/>
    <w:rsid w:val="009415A1"/>
    <w:rsid w:val="00941B14"/>
    <w:rsid w:val="00941C45"/>
    <w:rsid w:val="00941D16"/>
    <w:rsid w:val="00941D62"/>
    <w:rsid w:val="00941FF1"/>
    <w:rsid w:val="009422E9"/>
    <w:rsid w:val="0094298A"/>
    <w:rsid w:val="00942A16"/>
    <w:rsid w:val="00942E22"/>
    <w:rsid w:val="0094360B"/>
    <w:rsid w:val="00943ACF"/>
    <w:rsid w:val="00943CC3"/>
    <w:rsid w:val="00943D08"/>
    <w:rsid w:val="009440A4"/>
    <w:rsid w:val="00944208"/>
    <w:rsid w:val="009446D7"/>
    <w:rsid w:val="00944A68"/>
    <w:rsid w:val="00944C57"/>
    <w:rsid w:val="00944E3B"/>
    <w:rsid w:val="00945127"/>
    <w:rsid w:val="009452AD"/>
    <w:rsid w:val="00945697"/>
    <w:rsid w:val="009456D5"/>
    <w:rsid w:val="00945BBD"/>
    <w:rsid w:val="00945C67"/>
    <w:rsid w:val="00945CA6"/>
    <w:rsid w:val="00945F30"/>
    <w:rsid w:val="00946460"/>
    <w:rsid w:val="00946506"/>
    <w:rsid w:val="00946A6F"/>
    <w:rsid w:val="00946B2A"/>
    <w:rsid w:val="009471DC"/>
    <w:rsid w:val="0094727A"/>
    <w:rsid w:val="009475CD"/>
    <w:rsid w:val="009479D3"/>
    <w:rsid w:val="00947AAB"/>
    <w:rsid w:val="00947BF6"/>
    <w:rsid w:val="00947E0B"/>
    <w:rsid w:val="00950296"/>
    <w:rsid w:val="00950535"/>
    <w:rsid w:val="009505D7"/>
    <w:rsid w:val="0095081D"/>
    <w:rsid w:val="00950AF0"/>
    <w:rsid w:val="00950B1F"/>
    <w:rsid w:val="00950BDE"/>
    <w:rsid w:val="00950F5C"/>
    <w:rsid w:val="00951107"/>
    <w:rsid w:val="00951395"/>
    <w:rsid w:val="0095158E"/>
    <w:rsid w:val="009515CA"/>
    <w:rsid w:val="00951E4A"/>
    <w:rsid w:val="00951EE9"/>
    <w:rsid w:val="00952001"/>
    <w:rsid w:val="0095211D"/>
    <w:rsid w:val="00952192"/>
    <w:rsid w:val="009521F4"/>
    <w:rsid w:val="00952385"/>
    <w:rsid w:val="00952394"/>
    <w:rsid w:val="00952488"/>
    <w:rsid w:val="0095276F"/>
    <w:rsid w:val="00952770"/>
    <w:rsid w:val="0095283A"/>
    <w:rsid w:val="00952B7D"/>
    <w:rsid w:val="009531F0"/>
    <w:rsid w:val="009532D0"/>
    <w:rsid w:val="0095385B"/>
    <w:rsid w:val="00953AAD"/>
    <w:rsid w:val="00953D4A"/>
    <w:rsid w:val="0095440F"/>
    <w:rsid w:val="00954845"/>
    <w:rsid w:val="00954BD3"/>
    <w:rsid w:val="00954E68"/>
    <w:rsid w:val="0095503F"/>
    <w:rsid w:val="00955056"/>
    <w:rsid w:val="009551A0"/>
    <w:rsid w:val="009552C9"/>
    <w:rsid w:val="00955B31"/>
    <w:rsid w:val="00955D97"/>
    <w:rsid w:val="0095612E"/>
    <w:rsid w:val="009562C1"/>
    <w:rsid w:val="0095648C"/>
    <w:rsid w:val="0095653B"/>
    <w:rsid w:val="00956768"/>
    <w:rsid w:val="009567C9"/>
    <w:rsid w:val="00956AE8"/>
    <w:rsid w:val="00957271"/>
    <w:rsid w:val="009572A0"/>
    <w:rsid w:val="009572F8"/>
    <w:rsid w:val="009574C6"/>
    <w:rsid w:val="009575AD"/>
    <w:rsid w:val="00957681"/>
    <w:rsid w:val="009576B3"/>
    <w:rsid w:val="00957B93"/>
    <w:rsid w:val="00957BF9"/>
    <w:rsid w:val="00957C13"/>
    <w:rsid w:val="00957DFA"/>
    <w:rsid w:val="00957F8E"/>
    <w:rsid w:val="00957FE2"/>
    <w:rsid w:val="00960456"/>
    <w:rsid w:val="009606C8"/>
    <w:rsid w:val="009606D4"/>
    <w:rsid w:val="009608FA"/>
    <w:rsid w:val="00960A1A"/>
    <w:rsid w:val="00960C1B"/>
    <w:rsid w:val="00960E32"/>
    <w:rsid w:val="00960E65"/>
    <w:rsid w:val="009612CF"/>
    <w:rsid w:val="009615C9"/>
    <w:rsid w:val="009615D1"/>
    <w:rsid w:val="009616CF"/>
    <w:rsid w:val="0096174F"/>
    <w:rsid w:val="00962137"/>
    <w:rsid w:val="00962156"/>
    <w:rsid w:val="00962179"/>
    <w:rsid w:val="009622F2"/>
    <w:rsid w:val="00962CCA"/>
    <w:rsid w:val="00962F90"/>
    <w:rsid w:val="0096391F"/>
    <w:rsid w:val="00963B1D"/>
    <w:rsid w:val="00963E50"/>
    <w:rsid w:val="00963F2E"/>
    <w:rsid w:val="00963FD2"/>
    <w:rsid w:val="009643E4"/>
    <w:rsid w:val="009645F6"/>
    <w:rsid w:val="009646B6"/>
    <w:rsid w:val="00964729"/>
    <w:rsid w:val="009647AE"/>
    <w:rsid w:val="00964F4B"/>
    <w:rsid w:val="009650A8"/>
    <w:rsid w:val="009651E6"/>
    <w:rsid w:val="00965460"/>
    <w:rsid w:val="00965648"/>
    <w:rsid w:val="0096568B"/>
    <w:rsid w:val="00965725"/>
    <w:rsid w:val="00965793"/>
    <w:rsid w:val="00965B91"/>
    <w:rsid w:val="00966177"/>
    <w:rsid w:val="0096642F"/>
    <w:rsid w:val="00966A7C"/>
    <w:rsid w:val="00967425"/>
    <w:rsid w:val="009674A9"/>
    <w:rsid w:val="00967922"/>
    <w:rsid w:val="00967968"/>
    <w:rsid w:val="00967A75"/>
    <w:rsid w:val="00967B0F"/>
    <w:rsid w:val="0097028F"/>
    <w:rsid w:val="009705CF"/>
    <w:rsid w:val="0097091A"/>
    <w:rsid w:val="0097097C"/>
    <w:rsid w:val="00970B8A"/>
    <w:rsid w:val="00970C1D"/>
    <w:rsid w:val="00970FAA"/>
    <w:rsid w:val="00970FBB"/>
    <w:rsid w:val="009715CB"/>
    <w:rsid w:val="00971C56"/>
    <w:rsid w:val="0097218C"/>
    <w:rsid w:val="0097254F"/>
    <w:rsid w:val="00972568"/>
    <w:rsid w:val="00972755"/>
    <w:rsid w:val="009728B7"/>
    <w:rsid w:val="00972B64"/>
    <w:rsid w:val="00972BA5"/>
    <w:rsid w:val="00972C63"/>
    <w:rsid w:val="00972E82"/>
    <w:rsid w:val="00972E8C"/>
    <w:rsid w:val="009731BB"/>
    <w:rsid w:val="00973499"/>
    <w:rsid w:val="0097359B"/>
    <w:rsid w:val="0097395C"/>
    <w:rsid w:val="00973D79"/>
    <w:rsid w:val="00973D7E"/>
    <w:rsid w:val="00974040"/>
    <w:rsid w:val="009740CA"/>
    <w:rsid w:val="009741A7"/>
    <w:rsid w:val="009745A8"/>
    <w:rsid w:val="00974777"/>
    <w:rsid w:val="009749FF"/>
    <w:rsid w:val="00974C3A"/>
    <w:rsid w:val="00974F62"/>
    <w:rsid w:val="00974FF7"/>
    <w:rsid w:val="009753EB"/>
    <w:rsid w:val="009755A4"/>
    <w:rsid w:val="009758A1"/>
    <w:rsid w:val="009759F7"/>
    <w:rsid w:val="00975CFC"/>
    <w:rsid w:val="0097629C"/>
    <w:rsid w:val="009763EC"/>
    <w:rsid w:val="0097647D"/>
    <w:rsid w:val="00976C94"/>
    <w:rsid w:val="00977077"/>
    <w:rsid w:val="00977194"/>
    <w:rsid w:val="0097741F"/>
    <w:rsid w:val="00977471"/>
    <w:rsid w:val="00977700"/>
    <w:rsid w:val="00977CFD"/>
    <w:rsid w:val="00980072"/>
    <w:rsid w:val="009802F9"/>
    <w:rsid w:val="00980391"/>
    <w:rsid w:val="009805CF"/>
    <w:rsid w:val="00980787"/>
    <w:rsid w:val="009808A8"/>
    <w:rsid w:val="00980B60"/>
    <w:rsid w:val="00980CBA"/>
    <w:rsid w:val="00981299"/>
    <w:rsid w:val="009815CE"/>
    <w:rsid w:val="00981693"/>
    <w:rsid w:val="00981A3C"/>
    <w:rsid w:val="0098292A"/>
    <w:rsid w:val="00982957"/>
    <w:rsid w:val="00982C25"/>
    <w:rsid w:val="009836F6"/>
    <w:rsid w:val="00983BDF"/>
    <w:rsid w:val="00983F36"/>
    <w:rsid w:val="009841F3"/>
    <w:rsid w:val="00984368"/>
    <w:rsid w:val="009843DF"/>
    <w:rsid w:val="00984AAA"/>
    <w:rsid w:val="00984EBD"/>
    <w:rsid w:val="009851AD"/>
    <w:rsid w:val="0098537C"/>
    <w:rsid w:val="00985B90"/>
    <w:rsid w:val="0098606A"/>
    <w:rsid w:val="00986201"/>
    <w:rsid w:val="00986252"/>
    <w:rsid w:val="009862FD"/>
    <w:rsid w:val="00986746"/>
    <w:rsid w:val="00986762"/>
    <w:rsid w:val="009868C0"/>
    <w:rsid w:val="00986977"/>
    <w:rsid w:val="00986EB8"/>
    <w:rsid w:val="0098714D"/>
    <w:rsid w:val="00987C9C"/>
    <w:rsid w:val="00987CBC"/>
    <w:rsid w:val="00987CFF"/>
    <w:rsid w:val="00990571"/>
    <w:rsid w:val="009905AF"/>
    <w:rsid w:val="009906F6"/>
    <w:rsid w:val="009909BD"/>
    <w:rsid w:val="00990A0D"/>
    <w:rsid w:val="00990F59"/>
    <w:rsid w:val="00991165"/>
    <w:rsid w:val="0099144F"/>
    <w:rsid w:val="00991463"/>
    <w:rsid w:val="0099188C"/>
    <w:rsid w:val="009918B2"/>
    <w:rsid w:val="009918E5"/>
    <w:rsid w:val="00991B0A"/>
    <w:rsid w:val="00991EC9"/>
    <w:rsid w:val="0099208F"/>
    <w:rsid w:val="0099211A"/>
    <w:rsid w:val="00992416"/>
    <w:rsid w:val="0099255F"/>
    <w:rsid w:val="0099258C"/>
    <w:rsid w:val="00992866"/>
    <w:rsid w:val="00992AA7"/>
    <w:rsid w:val="00992C74"/>
    <w:rsid w:val="0099310B"/>
    <w:rsid w:val="009934D3"/>
    <w:rsid w:val="00993506"/>
    <w:rsid w:val="0099393A"/>
    <w:rsid w:val="00993B73"/>
    <w:rsid w:val="00993C02"/>
    <w:rsid w:val="0099424B"/>
    <w:rsid w:val="00994282"/>
    <w:rsid w:val="00994303"/>
    <w:rsid w:val="009945FD"/>
    <w:rsid w:val="0099471D"/>
    <w:rsid w:val="009947D6"/>
    <w:rsid w:val="00994821"/>
    <w:rsid w:val="00995708"/>
    <w:rsid w:val="00995A14"/>
    <w:rsid w:val="00995C13"/>
    <w:rsid w:val="00995C46"/>
    <w:rsid w:val="00995C51"/>
    <w:rsid w:val="00995E82"/>
    <w:rsid w:val="00996746"/>
    <w:rsid w:val="00996D8C"/>
    <w:rsid w:val="00996E45"/>
    <w:rsid w:val="009970BD"/>
    <w:rsid w:val="0099768A"/>
    <w:rsid w:val="009976BB"/>
    <w:rsid w:val="009976C3"/>
    <w:rsid w:val="0099798C"/>
    <w:rsid w:val="00997B5D"/>
    <w:rsid w:val="009A0380"/>
    <w:rsid w:val="009A05EE"/>
    <w:rsid w:val="009A133B"/>
    <w:rsid w:val="009A1543"/>
    <w:rsid w:val="009A1BC3"/>
    <w:rsid w:val="009A1C2D"/>
    <w:rsid w:val="009A21BF"/>
    <w:rsid w:val="009A2B13"/>
    <w:rsid w:val="009A2C9B"/>
    <w:rsid w:val="009A2F5A"/>
    <w:rsid w:val="009A3374"/>
    <w:rsid w:val="009A3388"/>
    <w:rsid w:val="009A33C0"/>
    <w:rsid w:val="009A3464"/>
    <w:rsid w:val="009A3659"/>
    <w:rsid w:val="009A3933"/>
    <w:rsid w:val="009A4190"/>
    <w:rsid w:val="009A4203"/>
    <w:rsid w:val="009A4B2A"/>
    <w:rsid w:val="009A57C1"/>
    <w:rsid w:val="009A5893"/>
    <w:rsid w:val="009A5C64"/>
    <w:rsid w:val="009A6121"/>
    <w:rsid w:val="009A65F6"/>
    <w:rsid w:val="009A6837"/>
    <w:rsid w:val="009A6909"/>
    <w:rsid w:val="009A6FC6"/>
    <w:rsid w:val="009A797E"/>
    <w:rsid w:val="009A7D2F"/>
    <w:rsid w:val="009A7EE6"/>
    <w:rsid w:val="009B0573"/>
    <w:rsid w:val="009B0674"/>
    <w:rsid w:val="009B0A24"/>
    <w:rsid w:val="009B1542"/>
    <w:rsid w:val="009B22DE"/>
    <w:rsid w:val="009B24F1"/>
    <w:rsid w:val="009B2C42"/>
    <w:rsid w:val="009B2CD6"/>
    <w:rsid w:val="009B2E59"/>
    <w:rsid w:val="009B2F2E"/>
    <w:rsid w:val="009B33FE"/>
    <w:rsid w:val="009B37E8"/>
    <w:rsid w:val="009B39A2"/>
    <w:rsid w:val="009B3D60"/>
    <w:rsid w:val="009B425A"/>
    <w:rsid w:val="009B429C"/>
    <w:rsid w:val="009B4647"/>
    <w:rsid w:val="009B5026"/>
    <w:rsid w:val="009B5241"/>
    <w:rsid w:val="009B52D0"/>
    <w:rsid w:val="009B5806"/>
    <w:rsid w:val="009B5917"/>
    <w:rsid w:val="009B5A92"/>
    <w:rsid w:val="009B5B02"/>
    <w:rsid w:val="009B5B38"/>
    <w:rsid w:val="009B5C5F"/>
    <w:rsid w:val="009B5C75"/>
    <w:rsid w:val="009B5DBC"/>
    <w:rsid w:val="009B5FDC"/>
    <w:rsid w:val="009B616C"/>
    <w:rsid w:val="009B62D5"/>
    <w:rsid w:val="009B63D3"/>
    <w:rsid w:val="009B6BF0"/>
    <w:rsid w:val="009B6F0D"/>
    <w:rsid w:val="009B7212"/>
    <w:rsid w:val="009B7296"/>
    <w:rsid w:val="009B732B"/>
    <w:rsid w:val="009B749C"/>
    <w:rsid w:val="009B7ABF"/>
    <w:rsid w:val="009B7DB0"/>
    <w:rsid w:val="009B7F91"/>
    <w:rsid w:val="009C05B8"/>
    <w:rsid w:val="009C095C"/>
    <w:rsid w:val="009C0B28"/>
    <w:rsid w:val="009C0EAC"/>
    <w:rsid w:val="009C0FFF"/>
    <w:rsid w:val="009C12DB"/>
    <w:rsid w:val="009C1AC8"/>
    <w:rsid w:val="009C1B18"/>
    <w:rsid w:val="009C1B38"/>
    <w:rsid w:val="009C2834"/>
    <w:rsid w:val="009C28CF"/>
    <w:rsid w:val="009C2A0B"/>
    <w:rsid w:val="009C2B4C"/>
    <w:rsid w:val="009C2C8D"/>
    <w:rsid w:val="009C2C91"/>
    <w:rsid w:val="009C2E41"/>
    <w:rsid w:val="009C2F25"/>
    <w:rsid w:val="009C2F61"/>
    <w:rsid w:val="009C318E"/>
    <w:rsid w:val="009C38A2"/>
    <w:rsid w:val="009C3A3A"/>
    <w:rsid w:val="009C3B49"/>
    <w:rsid w:val="009C3C75"/>
    <w:rsid w:val="009C3ECA"/>
    <w:rsid w:val="009C433E"/>
    <w:rsid w:val="009C487E"/>
    <w:rsid w:val="009C4EA3"/>
    <w:rsid w:val="009C51D0"/>
    <w:rsid w:val="009C51D8"/>
    <w:rsid w:val="009C526D"/>
    <w:rsid w:val="009C535D"/>
    <w:rsid w:val="009C5665"/>
    <w:rsid w:val="009C584F"/>
    <w:rsid w:val="009C58F9"/>
    <w:rsid w:val="009C5A27"/>
    <w:rsid w:val="009C5C16"/>
    <w:rsid w:val="009C5EE5"/>
    <w:rsid w:val="009C62C7"/>
    <w:rsid w:val="009C6312"/>
    <w:rsid w:val="009C6606"/>
    <w:rsid w:val="009C6668"/>
    <w:rsid w:val="009C67F2"/>
    <w:rsid w:val="009C6DEA"/>
    <w:rsid w:val="009C6F90"/>
    <w:rsid w:val="009C7D7B"/>
    <w:rsid w:val="009C7F30"/>
    <w:rsid w:val="009D008C"/>
    <w:rsid w:val="009D0101"/>
    <w:rsid w:val="009D013A"/>
    <w:rsid w:val="009D0227"/>
    <w:rsid w:val="009D042A"/>
    <w:rsid w:val="009D08B2"/>
    <w:rsid w:val="009D0BA1"/>
    <w:rsid w:val="009D0C41"/>
    <w:rsid w:val="009D0C43"/>
    <w:rsid w:val="009D0D4B"/>
    <w:rsid w:val="009D0E2C"/>
    <w:rsid w:val="009D17AB"/>
    <w:rsid w:val="009D1EC2"/>
    <w:rsid w:val="009D2188"/>
    <w:rsid w:val="009D244C"/>
    <w:rsid w:val="009D264F"/>
    <w:rsid w:val="009D26E9"/>
    <w:rsid w:val="009D2976"/>
    <w:rsid w:val="009D2B7E"/>
    <w:rsid w:val="009D2F43"/>
    <w:rsid w:val="009D31FA"/>
    <w:rsid w:val="009D38B9"/>
    <w:rsid w:val="009D3AB0"/>
    <w:rsid w:val="009D3B90"/>
    <w:rsid w:val="009D46F5"/>
    <w:rsid w:val="009D4C59"/>
    <w:rsid w:val="009D4C85"/>
    <w:rsid w:val="009D4CAC"/>
    <w:rsid w:val="009D54BC"/>
    <w:rsid w:val="009D673C"/>
    <w:rsid w:val="009D78F7"/>
    <w:rsid w:val="009D79D1"/>
    <w:rsid w:val="009D7E88"/>
    <w:rsid w:val="009E0600"/>
    <w:rsid w:val="009E0623"/>
    <w:rsid w:val="009E100F"/>
    <w:rsid w:val="009E137B"/>
    <w:rsid w:val="009E13E4"/>
    <w:rsid w:val="009E14BE"/>
    <w:rsid w:val="009E17B5"/>
    <w:rsid w:val="009E1931"/>
    <w:rsid w:val="009E20F9"/>
    <w:rsid w:val="009E20FA"/>
    <w:rsid w:val="009E249E"/>
    <w:rsid w:val="009E26B6"/>
    <w:rsid w:val="009E276E"/>
    <w:rsid w:val="009E2797"/>
    <w:rsid w:val="009E2D7D"/>
    <w:rsid w:val="009E3009"/>
    <w:rsid w:val="009E3222"/>
    <w:rsid w:val="009E341E"/>
    <w:rsid w:val="009E34D6"/>
    <w:rsid w:val="009E353E"/>
    <w:rsid w:val="009E375A"/>
    <w:rsid w:val="009E393A"/>
    <w:rsid w:val="009E3B75"/>
    <w:rsid w:val="009E3BD2"/>
    <w:rsid w:val="009E41DE"/>
    <w:rsid w:val="009E44F3"/>
    <w:rsid w:val="009E4E2F"/>
    <w:rsid w:val="009E4F15"/>
    <w:rsid w:val="009E52AD"/>
    <w:rsid w:val="009E5442"/>
    <w:rsid w:val="009E549A"/>
    <w:rsid w:val="009E57C3"/>
    <w:rsid w:val="009E5A0A"/>
    <w:rsid w:val="009E647B"/>
    <w:rsid w:val="009E68D7"/>
    <w:rsid w:val="009E6DA8"/>
    <w:rsid w:val="009E74C6"/>
    <w:rsid w:val="009E755A"/>
    <w:rsid w:val="009E7E54"/>
    <w:rsid w:val="009F0387"/>
    <w:rsid w:val="009F07A6"/>
    <w:rsid w:val="009F07F8"/>
    <w:rsid w:val="009F0D98"/>
    <w:rsid w:val="009F1BCF"/>
    <w:rsid w:val="009F1E9D"/>
    <w:rsid w:val="009F24D8"/>
    <w:rsid w:val="009F2582"/>
    <w:rsid w:val="009F283B"/>
    <w:rsid w:val="009F2DFA"/>
    <w:rsid w:val="009F2F51"/>
    <w:rsid w:val="009F3367"/>
    <w:rsid w:val="009F3597"/>
    <w:rsid w:val="009F4305"/>
    <w:rsid w:val="009F44F8"/>
    <w:rsid w:val="009F467D"/>
    <w:rsid w:val="009F46FB"/>
    <w:rsid w:val="009F4C90"/>
    <w:rsid w:val="009F4FBA"/>
    <w:rsid w:val="009F5150"/>
    <w:rsid w:val="009F599A"/>
    <w:rsid w:val="009F5FE9"/>
    <w:rsid w:val="009F60B3"/>
    <w:rsid w:val="009F621E"/>
    <w:rsid w:val="009F625D"/>
    <w:rsid w:val="009F6440"/>
    <w:rsid w:val="009F647E"/>
    <w:rsid w:val="009F649B"/>
    <w:rsid w:val="009F6542"/>
    <w:rsid w:val="009F6640"/>
    <w:rsid w:val="009F67C8"/>
    <w:rsid w:val="009F6A72"/>
    <w:rsid w:val="009F6CB5"/>
    <w:rsid w:val="009F7287"/>
    <w:rsid w:val="009F7451"/>
    <w:rsid w:val="009F79F0"/>
    <w:rsid w:val="009F7E51"/>
    <w:rsid w:val="00A001D1"/>
    <w:rsid w:val="00A004B6"/>
    <w:rsid w:val="00A00570"/>
    <w:rsid w:val="00A00729"/>
    <w:rsid w:val="00A008BA"/>
    <w:rsid w:val="00A0093E"/>
    <w:rsid w:val="00A00AE9"/>
    <w:rsid w:val="00A00BA2"/>
    <w:rsid w:val="00A00BFF"/>
    <w:rsid w:val="00A00C24"/>
    <w:rsid w:val="00A0120E"/>
    <w:rsid w:val="00A01578"/>
    <w:rsid w:val="00A015BC"/>
    <w:rsid w:val="00A01F39"/>
    <w:rsid w:val="00A020DA"/>
    <w:rsid w:val="00A02273"/>
    <w:rsid w:val="00A029A2"/>
    <w:rsid w:val="00A02A13"/>
    <w:rsid w:val="00A02CF4"/>
    <w:rsid w:val="00A0306A"/>
    <w:rsid w:val="00A03095"/>
    <w:rsid w:val="00A03205"/>
    <w:rsid w:val="00A035FB"/>
    <w:rsid w:val="00A03BB7"/>
    <w:rsid w:val="00A03FD3"/>
    <w:rsid w:val="00A040A8"/>
    <w:rsid w:val="00A0440B"/>
    <w:rsid w:val="00A045E2"/>
    <w:rsid w:val="00A047F5"/>
    <w:rsid w:val="00A04893"/>
    <w:rsid w:val="00A048E2"/>
    <w:rsid w:val="00A04A10"/>
    <w:rsid w:val="00A04D5D"/>
    <w:rsid w:val="00A04E59"/>
    <w:rsid w:val="00A05ECD"/>
    <w:rsid w:val="00A05FD3"/>
    <w:rsid w:val="00A0618C"/>
    <w:rsid w:val="00A063D7"/>
    <w:rsid w:val="00A067F4"/>
    <w:rsid w:val="00A06A0C"/>
    <w:rsid w:val="00A06A16"/>
    <w:rsid w:val="00A06A26"/>
    <w:rsid w:val="00A06E5D"/>
    <w:rsid w:val="00A073DC"/>
    <w:rsid w:val="00A07498"/>
    <w:rsid w:val="00A07E18"/>
    <w:rsid w:val="00A07E6A"/>
    <w:rsid w:val="00A10110"/>
    <w:rsid w:val="00A10195"/>
    <w:rsid w:val="00A102AA"/>
    <w:rsid w:val="00A1045C"/>
    <w:rsid w:val="00A10697"/>
    <w:rsid w:val="00A108FF"/>
    <w:rsid w:val="00A1091F"/>
    <w:rsid w:val="00A1098E"/>
    <w:rsid w:val="00A10A67"/>
    <w:rsid w:val="00A10E51"/>
    <w:rsid w:val="00A10F24"/>
    <w:rsid w:val="00A11063"/>
    <w:rsid w:val="00A11585"/>
    <w:rsid w:val="00A11678"/>
    <w:rsid w:val="00A1190D"/>
    <w:rsid w:val="00A11980"/>
    <w:rsid w:val="00A11EF5"/>
    <w:rsid w:val="00A1205E"/>
    <w:rsid w:val="00A129F5"/>
    <w:rsid w:val="00A12C5F"/>
    <w:rsid w:val="00A12C6E"/>
    <w:rsid w:val="00A12F80"/>
    <w:rsid w:val="00A12FF1"/>
    <w:rsid w:val="00A1302E"/>
    <w:rsid w:val="00A1315C"/>
    <w:rsid w:val="00A1336A"/>
    <w:rsid w:val="00A134C6"/>
    <w:rsid w:val="00A1352B"/>
    <w:rsid w:val="00A1367D"/>
    <w:rsid w:val="00A136C0"/>
    <w:rsid w:val="00A1371E"/>
    <w:rsid w:val="00A1377E"/>
    <w:rsid w:val="00A137F8"/>
    <w:rsid w:val="00A13891"/>
    <w:rsid w:val="00A13B3B"/>
    <w:rsid w:val="00A13C83"/>
    <w:rsid w:val="00A13E4B"/>
    <w:rsid w:val="00A1451F"/>
    <w:rsid w:val="00A14746"/>
    <w:rsid w:val="00A14809"/>
    <w:rsid w:val="00A1584C"/>
    <w:rsid w:val="00A15998"/>
    <w:rsid w:val="00A15B5F"/>
    <w:rsid w:val="00A16141"/>
    <w:rsid w:val="00A163BB"/>
    <w:rsid w:val="00A16A41"/>
    <w:rsid w:val="00A16C32"/>
    <w:rsid w:val="00A16DBE"/>
    <w:rsid w:val="00A171B0"/>
    <w:rsid w:val="00A17A2A"/>
    <w:rsid w:val="00A17AAA"/>
    <w:rsid w:val="00A17F49"/>
    <w:rsid w:val="00A2014D"/>
    <w:rsid w:val="00A20285"/>
    <w:rsid w:val="00A20805"/>
    <w:rsid w:val="00A20C89"/>
    <w:rsid w:val="00A21335"/>
    <w:rsid w:val="00A21377"/>
    <w:rsid w:val="00A21514"/>
    <w:rsid w:val="00A21B6C"/>
    <w:rsid w:val="00A221CF"/>
    <w:rsid w:val="00A224B7"/>
    <w:rsid w:val="00A227F9"/>
    <w:rsid w:val="00A22F7B"/>
    <w:rsid w:val="00A23049"/>
    <w:rsid w:val="00A2307E"/>
    <w:rsid w:val="00A23625"/>
    <w:rsid w:val="00A23926"/>
    <w:rsid w:val="00A23A45"/>
    <w:rsid w:val="00A23BE2"/>
    <w:rsid w:val="00A23CD1"/>
    <w:rsid w:val="00A244B7"/>
    <w:rsid w:val="00A245BC"/>
    <w:rsid w:val="00A2463A"/>
    <w:rsid w:val="00A250E2"/>
    <w:rsid w:val="00A25107"/>
    <w:rsid w:val="00A25261"/>
    <w:rsid w:val="00A252DE"/>
    <w:rsid w:val="00A25548"/>
    <w:rsid w:val="00A25593"/>
    <w:rsid w:val="00A25725"/>
    <w:rsid w:val="00A25944"/>
    <w:rsid w:val="00A25D67"/>
    <w:rsid w:val="00A2607E"/>
    <w:rsid w:val="00A26488"/>
    <w:rsid w:val="00A264CD"/>
    <w:rsid w:val="00A264D5"/>
    <w:rsid w:val="00A264EF"/>
    <w:rsid w:val="00A26534"/>
    <w:rsid w:val="00A26A4D"/>
    <w:rsid w:val="00A26F30"/>
    <w:rsid w:val="00A27281"/>
    <w:rsid w:val="00A27AA4"/>
    <w:rsid w:val="00A304A7"/>
    <w:rsid w:val="00A30C1F"/>
    <w:rsid w:val="00A30E41"/>
    <w:rsid w:val="00A30FB1"/>
    <w:rsid w:val="00A3122C"/>
    <w:rsid w:val="00A31253"/>
    <w:rsid w:val="00A313A4"/>
    <w:rsid w:val="00A31595"/>
    <w:rsid w:val="00A315B1"/>
    <w:rsid w:val="00A31A0E"/>
    <w:rsid w:val="00A31AA5"/>
    <w:rsid w:val="00A31AD2"/>
    <w:rsid w:val="00A31AD3"/>
    <w:rsid w:val="00A322AD"/>
    <w:rsid w:val="00A32A56"/>
    <w:rsid w:val="00A33A04"/>
    <w:rsid w:val="00A33AE6"/>
    <w:rsid w:val="00A33EA2"/>
    <w:rsid w:val="00A34028"/>
    <w:rsid w:val="00A345E3"/>
    <w:rsid w:val="00A34709"/>
    <w:rsid w:val="00A34840"/>
    <w:rsid w:val="00A34F2E"/>
    <w:rsid w:val="00A3535E"/>
    <w:rsid w:val="00A35914"/>
    <w:rsid w:val="00A35B9D"/>
    <w:rsid w:val="00A35CC4"/>
    <w:rsid w:val="00A35E60"/>
    <w:rsid w:val="00A363B3"/>
    <w:rsid w:val="00A37352"/>
    <w:rsid w:val="00A37AFA"/>
    <w:rsid w:val="00A37B4B"/>
    <w:rsid w:val="00A40E73"/>
    <w:rsid w:val="00A40EE6"/>
    <w:rsid w:val="00A412C2"/>
    <w:rsid w:val="00A41963"/>
    <w:rsid w:val="00A41DE1"/>
    <w:rsid w:val="00A41F67"/>
    <w:rsid w:val="00A41FCE"/>
    <w:rsid w:val="00A420AB"/>
    <w:rsid w:val="00A424EF"/>
    <w:rsid w:val="00A4254E"/>
    <w:rsid w:val="00A42614"/>
    <w:rsid w:val="00A42CAB"/>
    <w:rsid w:val="00A42F2F"/>
    <w:rsid w:val="00A42F7C"/>
    <w:rsid w:val="00A4331A"/>
    <w:rsid w:val="00A43621"/>
    <w:rsid w:val="00A438E0"/>
    <w:rsid w:val="00A43B52"/>
    <w:rsid w:val="00A43EF5"/>
    <w:rsid w:val="00A440D3"/>
    <w:rsid w:val="00A4410C"/>
    <w:rsid w:val="00A4420E"/>
    <w:rsid w:val="00A44785"/>
    <w:rsid w:val="00A44C0D"/>
    <w:rsid w:val="00A44E95"/>
    <w:rsid w:val="00A44E9D"/>
    <w:rsid w:val="00A45743"/>
    <w:rsid w:val="00A45943"/>
    <w:rsid w:val="00A45B71"/>
    <w:rsid w:val="00A45DAD"/>
    <w:rsid w:val="00A45FC8"/>
    <w:rsid w:val="00A46778"/>
    <w:rsid w:val="00A46E49"/>
    <w:rsid w:val="00A46EA4"/>
    <w:rsid w:val="00A47936"/>
    <w:rsid w:val="00A50099"/>
    <w:rsid w:val="00A50319"/>
    <w:rsid w:val="00A50745"/>
    <w:rsid w:val="00A50C6C"/>
    <w:rsid w:val="00A50EFB"/>
    <w:rsid w:val="00A50F27"/>
    <w:rsid w:val="00A51178"/>
    <w:rsid w:val="00A51971"/>
    <w:rsid w:val="00A51B7D"/>
    <w:rsid w:val="00A51D8B"/>
    <w:rsid w:val="00A521BF"/>
    <w:rsid w:val="00A5281A"/>
    <w:rsid w:val="00A52979"/>
    <w:rsid w:val="00A52C03"/>
    <w:rsid w:val="00A52ED7"/>
    <w:rsid w:val="00A532D1"/>
    <w:rsid w:val="00A5361F"/>
    <w:rsid w:val="00A5377E"/>
    <w:rsid w:val="00A537FC"/>
    <w:rsid w:val="00A53895"/>
    <w:rsid w:val="00A538D7"/>
    <w:rsid w:val="00A53A5F"/>
    <w:rsid w:val="00A54500"/>
    <w:rsid w:val="00A54F40"/>
    <w:rsid w:val="00A54F77"/>
    <w:rsid w:val="00A54FC4"/>
    <w:rsid w:val="00A552AA"/>
    <w:rsid w:val="00A5530D"/>
    <w:rsid w:val="00A5577E"/>
    <w:rsid w:val="00A5593A"/>
    <w:rsid w:val="00A55C69"/>
    <w:rsid w:val="00A55EBF"/>
    <w:rsid w:val="00A5616B"/>
    <w:rsid w:val="00A56284"/>
    <w:rsid w:val="00A56A70"/>
    <w:rsid w:val="00A5756D"/>
    <w:rsid w:val="00A579D9"/>
    <w:rsid w:val="00A57CBD"/>
    <w:rsid w:val="00A601D1"/>
    <w:rsid w:val="00A60317"/>
    <w:rsid w:val="00A603E8"/>
    <w:rsid w:val="00A608A6"/>
    <w:rsid w:val="00A60C0A"/>
    <w:rsid w:val="00A60E6E"/>
    <w:rsid w:val="00A60E9B"/>
    <w:rsid w:val="00A60EBC"/>
    <w:rsid w:val="00A6139C"/>
    <w:rsid w:val="00A6194C"/>
    <w:rsid w:val="00A61A67"/>
    <w:rsid w:val="00A61A68"/>
    <w:rsid w:val="00A6203F"/>
    <w:rsid w:val="00A6245D"/>
    <w:rsid w:val="00A62937"/>
    <w:rsid w:val="00A6299E"/>
    <w:rsid w:val="00A62BA0"/>
    <w:rsid w:val="00A62C0F"/>
    <w:rsid w:val="00A62FB6"/>
    <w:rsid w:val="00A6315D"/>
    <w:rsid w:val="00A63AD1"/>
    <w:rsid w:val="00A63F52"/>
    <w:rsid w:val="00A64037"/>
    <w:rsid w:val="00A641FC"/>
    <w:rsid w:val="00A65100"/>
    <w:rsid w:val="00A65360"/>
    <w:rsid w:val="00A65D0A"/>
    <w:rsid w:val="00A65D91"/>
    <w:rsid w:val="00A65DA8"/>
    <w:rsid w:val="00A65F97"/>
    <w:rsid w:val="00A660B2"/>
    <w:rsid w:val="00A66609"/>
    <w:rsid w:val="00A6669C"/>
    <w:rsid w:val="00A666CB"/>
    <w:rsid w:val="00A66747"/>
    <w:rsid w:val="00A66CB1"/>
    <w:rsid w:val="00A66DE1"/>
    <w:rsid w:val="00A66FC3"/>
    <w:rsid w:val="00A67445"/>
    <w:rsid w:val="00A676BB"/>
    <w:rsid w:val="00A679E6"/>
    <w:rsid w:val="00A67ED0"/>
    <w:rsid w:val="00A70037"/>
    <w:rsid w:val="00A701E1"/>
    <w:rsid w:val="00A70305"/>
    <w:rsid w:val="00A7042E"/>
    <w:rsid w:val="00A7074A"/>
    <w:rsid w:val="00A70772"/>
    <w:rsid w:val="00A70913"/>
    <w:rsid w:val="00A709A1"/>
    <w:rsid w:val="00A70B62"/>
    <w:rsid w:val="00A70F09"/>
    <w:rsid w:val="00A712E0"/>
    <w:rsid w:val="00A7158F"/>
    <w:rsid w:val="00A7160C"/>
    <w:rsid w:val="00A7168F"/>
    <w:rsid w:val="00A71837"/>
    <w:rsid w:val="00A71924"/>
    <w:rsid w:val="00A71ACD"/>
    <w:rsid w:val="00A71E61"/>
    <w:rsid w:val="00A71E70"/>
    <w:rsid w:val="00A72334"/>
    <w:rsid w:val="00A7288E"/>
    <w:rsid w:val="00A72C3F"/>
    <w:rsid w:val="00A73113"/>
    <w:rsid w:val="00A7312C"/>
    <w:rsid w:val="00A73412"/>
    <w:rsid w:val="00A73591"/>
    <w:rsid w:val="00A7368E"/>
    <w:rsid w:val="00A73C6A"/>
    <w:rsid w:val="00A73C6D"/>
    <w:rsid w:val="00A7409B"/>
    <w:rsid w:val="00A74A4D"/>
    <w:rsid w:val="00A74C24"/>
    <w:rsid w:val="00A74F16"/>
    <w:rsid w:val="00A75067"/>
    <w:rsid w:val="00A7509D"/>
    <w:rsid w:val="00A75962"/>
    <w:rsid w:val="00A75ABB"/>
    <w:rsid w:val="00A75D46"/>
    <w:rsid w:val="00A76959"/>
    <w:rsid w:val="00A769DD"/>
    <w:rsid w:val="00A76DAF"/>
    <w:rsid w:val="00A76E72"/>
    <w:rsid w:val="00A76EC6"/>
    <w:rsid w:val="00A7718B"/>
    <w:rsid w:val="00A7741C"/>
    <w:rsid w:val="00A77433"/>
    <w:rsid w:val="00A77517"/>
    <w:rsid w:val="00A77550"/>
    <w:rsid w:val="00A77A17"/>
    <w:rsid w:val="00A77C21"/>
    <w:rsid w:val="00A77C43"/>
    <w:rsid w:val="00A77D61"/>
    <w:rsid w:val="00A77E76"/>
    <w:rsid w:val="00A77FAE"/>
    <w:rsid w:val="00A77FCA"/>
    <w:rsid w:val="00A77FD1"/>
    <w:rsid w:val="00A802C9"/>
    <w:rsid w:val="00A805B5"/>
    <w:rsid w:val="00A80628"/>
    <w:rsid w:val="00A80988"/>
    <w:rsid w:val="00A81186"/>
    <w:rsid w:val="00A817ED"/>
    <w:rsid w:val="00A818C2"/>
    <w:rsid w:val="00A825EF"/>
    <w:rsid w:val="00A8291C"/>
    <w:rsid w:val="00A82A01"/>
    <w:rsid w:val="00A82CE6"/>
    <w:rsid w:val="00A82F54"/>
    <w:rsid w:val="00A83436"/>
    <w:rsid w:val="00A8386A"/>
    <w:rsid w:val="00A84249"/>
    <w:rsid w:val="00A84913"/>
    <w:rsid w:val="00A85938"/>
    <w:rsid w:val="00A85B12"/>
    <w:rsid w:val="00A85E67"/>
    <w:rsid w:val="00A861AB"/>
    <w:rsid w:val="00A862D4"/>
    <w:rsid w:val="00A8648B"/>
    <w:rsid w:val="00A86777"/>
    <w:rsid w:val="00A86823"/>
    <w:rsid w:val="00A86937"/>
    <w:rsid w:val="00A86B9D"/>
    <w:rsid w:val="00A86CB1"/>
    <w:rsid w:val="00A86DD5"/>
    <w:rsid w:val="00A86E81"/>
    <w:rsid w:val="00A870EC"/>
    <w:rsid w:val="00A87222"/>
    <w:rsid w:val="00A87335"/>
    <w:rsid w:val="00A87609"/>
    <w:rsid w:val="00A87B63"/>
    <w:rsid w:val="00A87C07"/>
    <w:rsid w:val="00A87C9E"/>
    <w:rsid w:val="00A9013F"/>
    <w:rsid w:val="00A90497"/>
    <w:rsid w:val="00A90AFC"/>
    <w:rsid w:val="00A90C4C"/>
    <w:rsid w:val="00A90C69"/>
    <w:rsid w:val="00A90EA6"/>
    <w:rsid w:val="00A90FDB"/>
    <w:rsid w:val="00A912BC"/>
    <w:rsid w:val="00A913F2"/>
    <w:rsid w:val="00A9147E"/>
    <w:rsid w:val="00A918ED"/>
    <w:rsid w:val="00A9217E"/>
    <w:rsid w:val="00A922F9"/>
    <w:rsid w:val="00A923C1"/>
    <w:rsid w:val="00A92C44"/>
    <w:rsid w:val="00A932B2"/>
    <w:rsid w:val="00A93449"/>
    <w:rsid w:val="00A93561"/>
    <w:rsid w:val="00A93DAA"/>
    <w:rsid w:val="00A94083"/>
    <w:rsid w:val="00A94117"/>
    <w:rsid w:val="00A945BA"/>
    <w:rsid w:val="00A94BFC"/>
    <w:rsid w:val="00A9507C"/>
    <w:rsid w:val="00A9521B"/>
    <w:rsid w:val="00A95237"/>
    <w:rsid w:val="00A9570D"/>
    <w:rsid w:val="00A95A3D"/>
    <w:rsid w:val="00A95E3F"/>
    <w:rsid w:val="00A95F3A"/>
    <w:rsid w:val="00A95FC7"/>
    <w:rsid w:val="00A963D9"/>
    <w:rsid w:val="00A9641F"/>
    <w:rsid w:val="00A964C5"/>
    <w:rsid w:val="00A96577"/>
    <w:rsid w:val="00A968D2"/>
    <w:rsid w:val="00A96D84"/>
    <w:rsid w:val="00A96D9F"/>
    <w:rsid w:val="00A9735D"/>
    <w:rsid w:val="00A976A5"/>
    <w:rsid w:val="00A97935"/>
    <w:rsid w:val="00A97C74"/>
    <w:rsid w:val="00A97D4E"/>
    <w:rsid w:val="00AA03B2"/>
    <w:rsid w:val="00AA0972"/>
    <w:rsid w:val="00AA0A97"/>
    <w:rsid w:val="00AA0BD7"/>
    <w:rsid w:val="00AA0FEA"/>
    <w:rsid w:val="00AA12F0"/>
    <w:rsid w:val="00AA175E"/>
    <w:rsid w:val="00AA1AAD"/>
    <w:rsid w:val="00AA233F"/>
    <w:rsid w:val="00AA23A9"/>
    <w:rsid w:val="00AA23B5"/>
    <w:rsid w:val="00AA2408"/>
    <w:rsid w:val="00AA2A7A"/>
    <w:rsid w:val="00AA2D05"/>
    <w:rsid w:val="00AA304D"/>
    <w:rsid w:val="00AA3092"/>
    <w:rsid w:val="00AA30D9"/>
    <w:rsid w:val="00AA357C"/>
    <w:rsid w:val="00AA3701"/>
    <w:rsid w:val="00AA3803"/>
    <w:rsid w:val="00AA3A31"/>
    <w:rsid w:val="00AA3B28"/>
    <w:rsid w:val="00AA3BE2"/>
    <w:rsid w:val="00AA3CE4"/>
    <w:rsid w:val="00AA3E1F"/>
    <w:rsid w:val="00AA4140"/>
    <w:rsid w:val="00AA43CB"/>
    <w:rsid w:val="00AA45F6"/>
    <w:rsid w:val="00AA4796"/>
    <w:rsid w:val="00AA47F7"/>
    <w:rsid w:val="00AA5110"/>
    <w:rsid w:val="00AA569F"/>
    <w:rsid w:val="00AA6130"/>
    <w:rsid w:val="00AA6213"/>
    <w:rsid w:val="00AA62F8"/>
    <w:rsid w:val="00AA643A"/>
    <w:rsid w:val="00AA6624"/>
    <w:rsid w:val="00AA66AE"/>
    <w:rsid w:val="00AA677E"/>
    <w:rsid w:val="00AA6BCD"/>
    <w:rsid w:val="00AA6C65"/>
    <w:rsid w:val="00AA6C77"/>
    <w:rsid w:val="00AA6CE8"/>
    <w:rsid w:val="00AA6E27"/>
    <w:rsid w:val="00AA7328"/>
    <w:rsid w:val="00AA73EF"/>
    <w:rsid w:val="00AA7509"/>
    <w:rsid w:val="00AA7773"/>
    <w:rsid w:val="00AA7AE4"/>
    <w:rsid w:val="00AB0214"/>
    <w:rsid w:val="00AB02CC"/>
    <w:rsid w:val="00AB08D1"/>
    <w:rsid w:val="00AB0AF9"/>
    <w:rsid w:val="00AB0B7D"/>
    <w:rsid w:val="00AB0C17"/>
    <w:rsid w:val="00AB0D03"/>
    <w:rsid w:val="00AB12F9"/>
    <w:rsid w:val="00AB14B8"/>
    <w:rsid w:val="00AB172B"/>
    <w:rsid w:val="00AB1976"/>
    <w:rsid w:val="00AB1DA8"/>
    <w:rsid w:val="00AB2044"/>
    <w:rsid w:val="00AB2544"/>
    <w:rsid w:val="00AB2597"/>
    <w:rsid w:val="00AB2624"/>
    <w:rsid w:val="00AB33E5"/>
    <w:rsid w:val="00AB3606"/>
    <w:rsid w:val="00AB36C1"/>
    <w:rsid w:val="00AB3E3B"/>
    <w:rsid w:val="00AB3E59"/>
    <w:rsid w:val="00AB3E74"/>
    <w:rsid w:val="00AB408C"/>
    <w:rsid w:val="00AB41B0"/>
    <w:rsid w:val="00AB4705"/>
    <w:rsid w:val="00AB4AAA"/>
    <w:rsid w:val="00AB4CDD"/>
    <w:rsid w:val="00AB4CF6"/>
    <w:rsid w:val="00AB4D10"/>
    <w:rsid w:val="00AB4EC7"/>
    <w:rsid w:val="00AB4F6B"/>
    <w:rsid w:val="00AB5AD3"/>
    <w:rsid w:val="00AB60B4"/>
    <w:rsid w:val="00AB6715"/>
    <w:rsid w:val="00AB6808"/>
    <w:rsid w:val="00AB6829"/>
    <w:rsid w:val="00AB6C10"/>
    <w:rsid w:val="00AB74A6"/>
    <w:rsid w:val="00AB7810"/>
    <w:rsid w:val="00AB784E"/>
    <w:rsid w:val="00AB79F0"/>
    <w:rsid w:val="00AB7CBE"/>
    <w:rsid w:val="00AC0356"/>
    <w:rsid w:val="00AC03C9"/>
    <w:rsid w:val="00AC0727"/>
    <w:rsid w:val="00AC1127"/>
    <w:rsid w:val="00AC1554"/>
    <w:rsid w:val="00AC15BD"/>
    <w:rsid w:val="00AC19C1"/>
    <w:rsid w:val="00AC2155"/>
    <w:rsid w:val="00AC2203"/>
    <w:rsid w:val="00AC222D"/>
    <w:rsid w:val="00AC2247"/>
    <w:rsid w:val="00AC227E"/>
    <w:rsid w:val="00AC2557"/>
    <w:rsid w:val="00AC2610"/>
    <w:rsid w:val="00AC2718"/>
    <w:rsid w:val="00AC2A8A"/>
    <w:rsid w:val="00AC2B0B"/>
    <w:rsid w:val="00AC2C4E"/>
    <w:rsid w:val="00AC3064"/>
    <w:rsid w:val="00AC30E0"/>
    <w:rsid w:val="00AC33B0"/>
    <w:rsid w:val="00AC36F9"/>
    <w:rsid w:val="00AC3802"/>
    <w:rsid w:val="00AC39AD"/>
    <w:rsid w:val="00AC3C4B"/>
    <w:rsid w:val="00AC4073"/>
    <w:rsid w:val="00AC49AC"/>
    <w:rsid w:val="00AC502B"/>
    <w:rsid w:val="00AC55A8"/>
    <w:rsid w:val="00AC5F72"/>
    <w:rsid w:val="00AC609D"/>
    <w:rsid w:val="00AC62D1"/>
    <w:rsid w:val="00AC649A"/>
    <w:rsid w:val="00AC6A0D"/>
    <w:rsid w:val="00AC7672"/>
    <w:rsid w:val="00AC76D3"/>
    <w:rsid w:val="00AC77E8"/>
    <w:rsid w:val="00AC7A6E"/>
    <w:rsid w:val="00AC7C10"/>
    <w:rsid w:val="00AC7F4A"/>
    <w:rsid w:val="00AC7FA3"/>
    <w:rsid w:val="00AD01B4"/>
    <w:rsid w:val="00AD0285"/>
    <w:rsid w:val="00AD0656"/>
    <w:rsid w:val="00AD091F"/>
    <w:rsid w:val="00AD0A27"/>
    <w:rsid w:val="00AD0B88"/>
    <w:rsid w:val="00AD0DAF"/>
    <w:rsid w:val="00AD0E39"/>
    <w:rsid w:val="00AD108C"/>
    <w:rsid w:val="00AD10DB"/>
    <w:rsid w:val="00AD11B1"/>
    <w:rsid w:val="00AD13CD"/>
    <w:rsid w:val="00AD15BD"/>
    <w:rsid w:val="00AD17F7"/>
    <w:rsid w:val="00AD22D2"/>
    <w:rsid w:val="00AD241E"/>
    <w:rsid w:val="00AD2EC6"/>
    <w:rsid w:val="00AD3348"/>
    <w:rsid w:val="00AD3AB5"/>
    <w:rsid w:val="00AD3AEE"/>
    <w:rsid w:val="00AD3C73"/>
    <w:rsid w:val="00AD3CA1"/>
    <w:rsid w:val="00AD3EBA"/>
    <w:rsid w:val="00AD3EBC"/>
    <w:rsid w:val="00AD3ECE"/>
    <w:rsid w:val="00AD41F1"/>
    <w:rsid w:val="00AD4322"/>
    <w:rsid w:val="00AD461C"/>
    <w:rsid w:val="00AD4948"/>
    <w:rsid w:val="00AD4AAA"/>
    <w:rsid w:val="00AD4E4E"/>
    <w:rsid w:val="00AD590B"/>
    <w:rsid w:val="00AD594C"/>
    <w:rsid w:val="00AD5AFF"/>
    <w:rsid w:val="00AD5C44"/>
    <w:rsid w:val="00AD6102"/>
    <w:rsid w:val="00AD6572"/>
    <w:rsid w:val="00AD66D2"/>
    <w:rsid w:val="00AD6C9A"/>
    <w:rsid w:val="00AD6D0F"/>
    <w:rsid w:val="00AD70CC"/>
    <w:rsid w:val="00AD7A08"/>
    <w:rsid w:val="00AD7E02"/>
    <w:rsid w:val="00AD7E3A"/>
    <w:rsid w:val="00AD7EF1"/>
    <w:rsid w:val="00AE006F"/>
    <w:rsid w:val="00AE06D5"/>
    <w:rsid w:val="00AE075B"/>
    <w:rsid w:val="00AE0819"/>
    <w:rsid w:val="00AE0BE6"/>
    <w:rsid w:val="00AE0C20"/>
    <w:rsid w:val="00AE0C27"/>
    <w:rsid w:val="00AE10CC"/>
    <w:rsid w:val="00AE1154"/>
    <w:rsid w:val="00AE1522"/>
    <w:rsid w:val="00AE18CF"/>
    <w:rsid w:val="00AE2029"/>
    <w:rsid w:val="00AE2185"/>
    <w:rsid w:val="00AE268C"/>
    <w:rsid w:val="00AE26FB"/>
    <w:rsid w:val="00AE27CE"/>
    <w:rsid w:val="00AE2E2A"/>
    <w:rsid w:val="00AE2F80"/>
    <w:rsid w:val="00AE351A"/>
    <w:rsid w:val="00AE3573"/>
    <w:rsid w:val="00AE3802"/>
    <w:rsid w:val="00AE3A6C"/>
    <w:rsid w:val="00AE3AFC"/>
    <w:rsid w:val="00AE3FB7"/>
    <w:rsid w:val="00AE41B9"/>
    <w:rsid w:val="00AE43DA"/>
    <w:rsid w:val="00AE4576"/>
    <w:rsid w:val="00AE49B7"/>
    <w:rsid w:val="00AE4EFE"/>
    <w:rsid w:val="00AE5A5E"/>
    <w:rsid w:val="00AE5DF5"/>
    <w:rsid w:val="00AE638E"/>
    <w:rsid w:val="00AE6883"/>
    <w:rsid w:val="00AE6B22"/>
    <w:rsid w:val="00AE6E1A"/>
    <w:rsid w:val="00AE7107"/>
    <w:rsid w:val="00AE719E"/>
    <w:rsid w:val="00AE71EC"/>
    <w:rsid w:val="00AE7456"/>
    <w:rsid w:val="00AE7D4E"/>
    <w:rsid w:val="00AE7F08"/>
    <w:rsid w:val="00AE7F41"/>
    <w:rsid w:val="00AF040B"/>
    <w:rsid w:val="00AF0458"/>
    <w:rsid w:val="00AF08C1"/>
    <w:rsid w:val="00AF0A98"/>
    <w:rsid w:val="00AF0C23"/>
    <w:rsid w:val="00AF0D43"/>
    <w:rsid w:val="00AF0D88"/>
    <w:rsid w:val="00AF1302"/>
    <w:rsid w:val="00AF14EA"/>
    <w:rsid w:val="00AF188A"/>
    <w:rsid w:val="00AF1B3B"/>
    <w:rsid w:val="00AF1DF2"/>
    <w:rsid w:val="00AF1ED1"/>
    <w:rsid w:val="00AF20F4"/>
    <w:rsid w:val="00AF2229"/>
    <w:rsid w:val="00AF2262"/>
    <w:rsid w:val="00AF2975"/>
    <w:rsid w:val="00AF2B63"/>
    <w:rsid w:val="00AF2B84"/>
    <w:rsid w:val="00AF2BB8"/>
    <w:rsid w:val="00AF2DEB"/>
    <w:rsid w:val="00AF2E50"/>
    <w:rsid w:val="00AF2EA5"/>
    <w:rsid w:val="00AF2F03"/>
    <w:rsid w:val="00AF2F95"/>
    <w:rsid w:val="00AF3289"/>
    <w:rsid w:val="00AF334A"/>
    <w:rsid w:val="00AF3356"/>
    <w:rsid w:val="00AF3765"/>
    <w:rsid w:val="00AF3FE6"/>
    <w:rsid w:val="00AF4233"/>
    <w:rsid w:val="00AF42DE"/>
    <w:rsid w:val="00AF45FE"/>
    <w:rsid w:val="00AF4790"/>
    <w:rsid w:val="00AF4CEF"/>
    <w:rsid w:val="00AF4F5C"/>
    <w:rsid w:val="00AF54AD"/>
    <w:rsid w:val="00AF56E5"/>
    <w:rsid w:val="00AF5BB9"/>
    <w:rsid w:val="00AF5DC9"/>
    <w:rsid w:val="00AF61C8"/>
    <w:rsid w:val="00AF6482"/>
    <w:rsid w:val="00AF672C"/>
    <w:rsid w:val="00AF6897"/>
    <w:rsid w:val="00AF6C36"/>
    <w:rsid w:val="00AF6E38"/>
    <w:rsid w:val="00AF6E80"/>
    <w:rsid w:val="00AF6ECC"/>
    <w:rsid w:val="00AF6F16"/>
    <w:rsid w:val="00AF7D5F"/>
    <w:rsid w:val="00AF7E9C"/>
    <w:rsid w:val="00B00399"/>
    <w:rsid w:val="00B004BF"/>
    <w:rsid w:val="00B004F1"/>
    <w:rsid w:val="00B00579"/>
    <w:rsid w:val="00B0065A"/>
    <w:rsid w:val="00B006CE"/>
    <w:rsid w:val="00B0083F"/>
    <w:rsid w:val="00B0092A"/>
    <w:rsid w:val="00B00C3A"/>
    <w:rsid w:val="00B0143C"/>
    <w:rsid w:val="00B016A1"/>
    <w:rsid w:val="00B01917"/>
    <w:rsid w:val="00B019E9"/>
    <w:rsid w:val="00B01B61"/>
    <w:rsid w:val="00B01DA0"/>
    <w:rsid w:val="00B01DDB"/>
    <w:rsid w:val="00B021CC"/>
    <w:rsid w:val="00B0229E"/>
    <w:rsid w:val="00B0264A"/>
    <w:rsid w:val="00B02679"/>
    <w:rsid w:val="00B02885"/>
    <w:rsid w:val="00B02D49"/>
    <w:rsid w:val="00B02E6B"/>
    <w:rsid w:val="00B02E70"/>
    <w:rsid w:val="00B02F4D"/>
    <w:rsid w:val="00B03203"/>
    <w:rsid w:val="00B0331E"/>
    <w:rsid w:val="00B036AE"/>
    <w:rsid w:val="00B036C2"/>
    <w:rsid w:val="00B03970"/>
    <w:rsid w:val="00B03A1A"/>
    <w:rsid w:val="00B03A8F"/>
    <w:rsid w:val="00B03E2A"/>
    <w:rsid w:val="00B0401C"/>
    <w:rsid w:val="00B040C6"/>
    <w:rsid w:val="00B041D4"/>
    <w:rsid w:val="00B044B0"/>
    <w:rsid w:val="00B044E3"/>
    <w:rsid w:val="00B045F3"/>
    <w:rsid w:val="00B048D6"/>
    <w:rsid w:val="00B04910"/>
    <w:rsid w:val="00B04A3C"/>
    <w:rsid w:val="00B0504B"/>
    <w:rsid w:val="00B05203"/>
    <w:rsid w:val="00B052A5"/>
    <w:rsid w:val="00B0534F"/>
    <w:rsid w:val="00B055E6"/>
    <w:rsid w:val="00B05BAB"/>
    <w:rsid w:val="00B0603B"/>
    <w:rsid w:val="00B06511"/>
    <w:rsid w:val="00B06552"/>
    <w:rsid w:val="00B066B9"/>
    <w:rsid w:val="00B068FA"/>
    <w:rsid w:val="00B06DF4"/>
    <w:rsid w:val="00B06FD0"/>
    <w:rsid w:val="00B077BB"/>
    <w:rsid w:val="00B07828"/>
    <w:rsid w:val="00B07BC2"/>
    <w:rsid w:val="00B07F23"/>
    <w:rsid w:val="00B07FF6"/>
    <w:rsid w:val="00B10181"/>
    <w:rsid w:val="00B10AB0"/>
    <w:rsid w:val="00B10F20"/>
    <w:rsid w:val="00B10F7E"/>
    <w:rsid w:val="00B1108C"/>
    <w:rsid w:val="00B11392"/>
    <w:rsid w:val="00B114EE"/>
    <w:rsid w:val="00B114F7"/>
    <w:rsid w:val="00B11693"/>
    <w:rsid w:val="00B11931"/>
    <w:rsid w:val="00B1196B"/>
    <w:rsid w:val="00B11CC4"/>
    <w:rsid w:val="00B11EB8"/>
    <w:rsid w:val="00B11FF5"/>
    <w:rsid w:val="00B124B1"/>
    <w:rsid w:val="00B125CB"/>
    <w:rsid w:val="00B12BFE"/>
    <w:rsid w:val="00B12E56"/>
    <w:rsid w:val="00B12FF4"/>
    <w:rsid w:val="00B133C8"/>
    <w:rsid w:val="00B1380B"/>
    <w:rsid w:val="00B13846"/>
    <w:rsid w:val="00B1395D"/>
    <w:rsid w:val="00B144A2"/>
    <w:rsid w:val="00B14511"/>
    <w:rsid w:val="00B14744"/>
    <w:rsid w:val="00B149E2"/>
    <w:rsid w:val="00B15302"/>
    <w:rsid w:val="00B15438"/>
    <w:rsid w:val="00B15479"/>
    <w:rsid w:val="00B15D1E"/>
    <w:rsid w:val="00B15DCE"/>
    <w:rsid w:val="00B15EC3"/>
    <w:rsid w:val="00B15EF9"/>
    <w:rsid w:val="00B1621D"/>
    <w:rsid w:val="00B16225"/>
    <w:rsid w:val="00B1644B"/>
    <w:rsid w:val="00B16727"/>
    <w:rsid w:val="00B16CF2"/>
    <w:rsid w:val="00B16F04"/>
    <w:rsid w:val="00B17174"/>
    <w:rsid w:val="00B171C5"/>
    <w:rsid w:val="00B174C4"/>
    <w:rsid w:val="00B1773E"/>
    <w:rsid w:val="00B178D7"/>
    <w:rsid w:val="00B17D0C"/>
    <w:rsid w:val="00B17F01"/>
    <w:rsid w:val="00B20006"/>
    <w:rsid w:val="00B2014A"/>
    <w:rsid w:val="00B20268"/>
    <w:rsid w:val="00B20B8F"/>
    <w:rsid w:val="00B2138C"/>
    <w:rsid w:val="00B213C5"/>
    <w:rsid w:val="00B21443"/>
    <w:rsid w:val="00B21475"/>
    <w:rsid w:val="00B216F8"/>
    <w:rsid w:val="00B21C55"/>
    <w:rsid w:val="00B21D2E"/>
    <w:rsid w:val="00B21D59"/>
    <w:rsid w:val="00B21F15"/>
    <w:rsid w:val="00B21F4F"/>
    <w:rsid w:val="00B224AA"/>
    <w:rsid w:val="00B224C5"/>
    <w:rsid w:val="00B227A1"/>
    <w:rsid w:val="00B229D5"/>
    <w:rsid w:val="00B22FB6"/>
    <w:rsid w:val="00B22FC7"/>
    <w:rsid w:val="00B231BF"/>
    <w:rsid w:val="00B231FC"/>
    <w:rsid w:val="00B23404"/>
    <w:rsid w:val="00B23502"/>
    <w:rsid w:val="00B23653"/>
    <w:rsid w:val="00B23785"/>
    <w:rsid w:val="00B248A1"/>
    <w:rsid w:val="00B249EF"/>
    <w:rsid w:val="00B250F1"/>
    <w:rsid w:val="00B25395"/>
    <w:rsid w:val="00B253D6"/>
    <w:rsid w:val="00B2560A"/>
    <w:rsid w:val="00B25855"/>
    <w:rsid w:val="00B25A74"/>
    <w:rsid w:val="00B25EE6"/>
    <w:rsid w:val="00B261A4"/>
    <w:rsid w:val="00B266D1"/>
    <w:rsid w:val="00B268F2"/>
    <w:rsid w:val="00B26B9A"/>
    <w:rsid w:val="00B26D69"/>
    <w:rsid w:val="00B2765B"/>
    <w:rsid w:val="00B2779A"/>
    <w:rsid w:val="00B278D7"/>
    <w:rsid w:val="00B27B46"/>
    <w:rsid w:val="00B302A9"/>
    <w:rsid w:val="00B304DD"/>
    <w:rsid w:val="00B305B3"/>
    <w:rsid w:val="00B3083E"/>
    <w:rsid w:val="00B30F47"/>
    <w:rsid w:val="00B31129"/>
    <w:rsid w:val="00B3128A"/>
    <w:rsid w:val="00B31539"/>
    <w:rsid w:val="00B316BB"/>
    <w:rsid w:val="00B31AA5"/>
    <w:rsid w:val="00B31C19"/>
    <w:rsid w:val="00B31CF7"/>
    <w:rsid w:val="00B32422"/>
    <w:rsid w:val="00B3249F"/>
    <w:rsid w:val="00B3254D"/>
    <w:rsid w:val="00B327A2"/>
    <w:rsid w:val="00B3303A"/>
    <w:rsid w:val="00B330E2"/>
    <w:rsid w:val="00B33425"/>
    <w:rsid w:val="00B33544"/>
    <w:rsid w:val="00B335CC"/>
    <w:rsid w:val="00B33B99"/>
    <w:rsid w:val="00B33DB4"/>
    <w:rsid w:val="00B33F80"/>
    <w:rsid w:val="00B34311"/>
    <w:rsid w:val="00B347F2"/>
    <w:rsid w:val="00B34B4D"/>
    <w:rsid w:val="00B34DB1"/>
    <w:rsid w:val="00B34DF4"/>
    <w:rsid w:val="00B34FF6"/>
    <w:rsid w:val="00B35703"/>
    <w:rsid w:val="00B35C6E"/>
    <w:rsid w:val="00B36012"/>
    <w:rsid w:val="00B36CFF"/>
    <w:rsid w:val="00B36DB9"/>
    <w:rsid w:val="00B37005"/>
    <w:rsid w:val="00B37247"/>
    <w:rsid w:val="00B37285"/>
    <w:rsid w:val="00B37557"/>
    <w:rsid w:val="00B37B35"/>
    <w:rsid w:val="00B37B47"/>
    <w:rsid w:val="00B37B4E"/>
    <w:rsid w:val="00B37D2F"/>
    <w:rsid w:val="00B37E95"/>
    <w:rsid w:val="00B4019D"/>
    <w:rsid w:val="00B40EBD"/>
    <w:rsid w:val="00B4113A"/>
    <w:rsid w:val="00B41243"/>
    <w:rsid w:val="00B41742"/>
    <w:rsid w:val="00B417F2"/>
    <w:rsid w:val="00B41C3A"/>
    <w:rsid w:val="00B41ED7"/>
    <w:rsid w:val="00B4201B"/>
    <w:rsid w:val="00B42970"/>
    <w:rsid w:val="00B42BF4"/>
    <w:rsid w:val="00B42D51"/>
    <w:rsid w:val="00B433AF"/>
    <w:rsid w:val="00B43708"/>
    <w:rsid w:val="00B43965"/>
    <w:rsid w:val="00B43C7B"/>
    <w:rsid w:val="00B44276"/>
    <w:rsid w:val="00B448FE"/>
    <w:rsid w:val="00B44985"/>
    <w:rsid w:val="00B44CD7"/>
    <w:rsid w:val="00B44DC5"/>
    <w:rsid w:val="00B44DD6"/>
    <w:rsid w:val="00B452BB"/>
    <w:rsid w:val="00B452DA"/>
    <w:rsid w:val="00B4596F"/>
    <w:rsid w:val="00B46021"/>
    <w:rsid w:val="00B46094"/>
    <w:rsid w:val="00B46286"/>
    <w:rsid w:val="00B467F2"/>
    <w:rsid w:val="00B46A57"/>
    <w:rsid w:val="00B46C59"/>
    <w:rsid w:val="00B477B5"/>
    <w:rsid w:val="00B477DB"/>
    <w:rsid w:val="00B479B4"/>
    <w:rsid w:val="00B47EF6"/>
    <w:rsid w:val="00B47F2E"/>
    <w:rsid w:val="00B47F78"/>
    <w:rsid w:val="00B50361"/>
    <w:rsid w:val="00B50441"/>
    <w:rsid w:val="00B504B6"/>
    <w:rsid w:val="00B50681"/>
    <w:rsid w:val="00B50996"/>
    <w:rsid w:val="00B50D85"/>
    <w:rsid w:val="00B50E37"/>
    <w:rsid w:val="00B50EE6"/>
    <w:rsid w:val="00B50F78"/>
    <w:rsid w:val="00B515A5"/>
    <w:rsid w:val="00B519F6"/>
    <w:rsid w:val="00B51AE4"/>
    <w:rsid w:val="00B51B35"/>
    <w:rsid w:val="00B52059"/>
    <w:rsid w:val="00B525B1"/>
    <w:rsid w:val="00B529E3"/>
    <w:rsid w:val="00B52BEF"/>
    <w:rsid w:val="00B52CAD"/>
    <w:rsid w:val="00B52D64"/>
    <w:rsid w:val="00B5347F"/>
    <w:rsid w:val="00B53A88"/>
    <w:rsid w:val="00B53C8C"/>
    <w:rsid w:val="00B53CBC"/>
    <w:rsid w:val="00B53E6C"/>
    <w:rsid w:val="00B53F53"/>
    <w:rsid w:val="00B54002"/>
    <w:rsid w:val="00B5445E"/>
    <w:rsid w:val="00B54533"/>
    <w:rsid w:val="00B54DF5"/>
    <w:rsid w:val="00B557F2"/>
    <w:rsid w:val="00B558DB"/>
    <w:rsid w:val="00B55B67"/>
    <w:rsid w:val="00B55C43"/>
    <w:rsid w:val="00B55C5A"/>
    <w:rsid w:val="00B55CAD"/>
    <w:rsid w:val="00B55CD7"/>
    <w:rsid w:val="00B55CE3"/>
    <w:rsid w:val="00B55E07"/>
    <w:rsid w:val="00B562F9"/>
    <w:rsid w:val="00B56308"/>
    <w:rsid w:val="00B56510"/>
    <w:rsid w:val="00B5663A"/>
    <w:rsid w:val="00B568B4"/>
    <w:rsid w:val="00B56E16"/>
    <w:rsid w:val="00B5772D"/>
    <w:rsid w:val="00B57948"/>
    <w:rsid w:val="00B57A59"/>
    <w:rsid w:val="00B57CD1"/>
    <w:rsid w:val="00B57CEB"/>
    <w:rsid w:val="00B57CFA"/>
    <w:rsid w:val="00B60687"/>
    <w:rsid w:val="00B606A7"/>
    <w:rsid w:val="00B6079A"/>
    <w:rsid w:val="00B60FF3"/>
    <w:rsid w:val="00B61D3E"/>
    <w:rsid w:val="00B61D81"/>
    <w:rsid w:val="00B61F15"/>
    <w:rsid w:val="00B62063"/>
    <w:rsid w:val="00B6237F"/>
    <w:rsid w:val="00B6248D"/>
    <w:rsid w:val="00B62EC8"/>
    <w:rsid w:val="00B6354B"/>
    <w:rsid w:val="00B639D6"/>
    <w:rsid w:val="00B645F6"/>
    <w:rsid w:val="00B647D9"/>
    <w:rsid w:val="00B649A5"/>
    <w:rsid w:val="00B64AA3"/>
    <w:rsid w:val="00B64BB8"/>
    <w:rsid w:val="00B652A2"/>
    <w:rsid w:val="00B657AA"/>
    <w:rsid w:val="00B65E5E"/>
    <w:rsid w:val="00B65FE7"/>
    <w:rsid w:val="00B661EE"/>
    <w:rsid w:val="00B669FC"/>
    <w:rsid w:val="00B66DFD"/>
    <w:rsid w:val="00B670A2"/>
    <w:rsid w:val="00B674AC"/>
    <w:rsid w:val="00B674C5"/>
    <w:rsid w:val="00B675D6"/>
    <w:rsid w:val="00B67954"/>
    <w:rsid w:val="00B67DC4"/>
    <w:rsid w:val="00B7003B"/>
    <w:rsid w:val="00B70191"/>
    <w:rsid w:val="00B70453"/>
    <w:rsid w:val="00B704C7"/>
    <w:rsid w:val="00B70632"/>
    <w:rsid w:val="00B70D48"/>
    <w:rsid w:val="00B70D74"/>
    <w:rsid w:val="00B70FFF"/>
    <w:rsid w:val="00B71059"/>
    <w:rsid w:val="00B71245"/>
    <w:rsid w:val="00B712C6"/>
    <w:rsid w:val="00B713BC"/>
    <w:rsid w:val="00B719E0"/>
    <w:rsid w:val="00B71A29"/>
    <w:rsid w:val="00B71F49"/>
    <w:rsid w:val="00B71FA6"/>
    <w:rsid w:val="00B7223A"/>
    <w:rsid w:val="00B7258B"/>
    <w:rsid w:val="00B72606"/>
    <w:rsid w:val="00B72D0E"/>
    <w:rsid w:val="00B72D43"/>
    <w:rsid w:val="00B730CD"/>
    <w:rsid w:val="00B738B3"/>
    <w:rsid w:val="00B73AC1"/>
    <w:rsid w:val="00B73D0C"/>
    <w:rsid w:val="00B73D10"/>
    <w:rsid w:val="00B73EEB"/>
    <w:rsid w:val="00B743EF"/>
    <w:rsid w:val="00B7440D"/>
    <w:rsid w:val="00B74B1E"/>
    <w:rsid w:val="00B75360"/>
    <w:rsid w:val="00B754FC"/>
    <w:rsid w:val="00B75797"/>
    <w:rsid w:val="00B75881"/>
    <w:rsid w:val="00B7599F"/>
    <w:rsid w:val="00B75A20"/>
    <w:rsid w:val="00B75DF7"/>
    <w:rsid w:val="00B763EF"/>
    <w:rsid w:val="00B766DD"/>
    <w:rsid w:val="00B76774"/>
    <w:rsid w:val="00B768A9"/>
    <w:rsid w:val="00B76A01"/>
    <w:rsid w:val="00B76E29"/>
    <w:rsid w:val="00B76E50"/>
    <w:rsid w:val="00B772A1"/>
    <w:rsid w:val="00B7767B"/>
    <w:rsid w:val="00B77791"/>
    <w:rsid w:val="00B800C5"/>
    <w:rsid w:val="00B802F2"/>
    <w:rsid w:val="00B803B5"/>
    <w:rsid w:val="00B80490"/>
    <w:rsid w:val="00B80828"/>
    <w:rsid w:val="00B80883"/>
    <w:rsid w:val="00B80C0D"/>
    <w:rsid w:val="00B80E88"/>
    <w:rsid w:val="00B80F26"/>
    <w:rsid w:val="00B80F28"/>
    <w:rsid w:val="00B80F63"/>
    <w:rsid w:val="00B81065"/>
    <w:rsid w:val="00B8172A"/>
    <w:rsid w:val="00B81819"/>
    <w:rsid w:val="00B81860"/>
    <w:rsid w:val="00B82079"/>
    <w:rsid w:val="00B822A3"/>
    <w:rsid w:val="00B822F1"/>
    <w:rsid w:val="00B8237A"/>
    <w:rsid w:val="00B8274A"/>
    <w:rsid w:val="00B82BEB"/>
    <w:rsid w:val="00B82CED"/>
    <w:rsid w:val="00B82DEB"/>
    <w:rsid w:val="00B8329B"/>
    <w:rsid w:val="00B832D4"/>
    <w:rsid w:val="00B833CE"/>
    <w:rsid w:val="00B83405"/>
    <w:rsid w:val="00B83513"/>
    <w:rsid w:val="00B835CF"/>
    <w:rsid w:val="00B83B71"/>
    <w:rsid w:val="00B83CB9"/>
    <w:rsid w:val="00B840BA"/>
    <w:rsid w:val="00B840DF"/>
    <w:rsid w:val="00B8427E"/>
    <w:rsid w:val="00B8432F"/>
    <w:rsid w:val="00B84B2D"/>
    <w:rsid w:val="00B84D83"/>
    <w:rsid w:val="00B854AB"/>
    <w:rsid w:val="00B85A35"/>
    <w:rsid w:val="00B85C5C"/>
    <w:rsid w:val="00B85FB1"/>
    <w:rsid w:val="00B85FC4"/>
    <w:rsid w:val="00B8618F"/>
    <w:rsid w:val="00B86285"/>
    <w:rsid w:val="00B866FE"/>
    <w:rsid w:val="00B8681E"/>
    <w:rsid w:val="00B868AF"/>
    <w:rsid w:val="00B86A0B"/>
    <w:rsid w:val="00B87672"/>
    <w:rsid w:val="00B878A5"/>
    <w:rsid w:val="00B87ADE"/>
    <w:rsid w:val="00B87B0A"/>
    <w:rsid w:val="00B87B8F"/>
    <w:rsid w:val="00B90170"/>
    <w:rsid w:val="00B90563"/>
    <w:rsid w:val="00B90B7E"/>
    <w:rsid w:val="00B90F04"/>
    <w:rsid w:val="00B9126F"/>
    <w:rsid w:val="00B9139E"/>
    <w:rsid w:val="00B913AE"/>
    <w:rsid w:val="00B914AB"/>
    <w:rsid w:val="00B91541"/>
    <w:rsid w:val="00B918B0"/>
    <w:rsid w:val="00B918FF"/>
    <w:rsid w:val="00B91EDD"/>
    <w:rsid w:val="00B9208D"/>
    <w:rsid w:val="00B920E5"/>
    <w:rsid w:val="00B92473"/>
    <w:rsid w:val="00B92F0F"/>
    <w:rsid w:val="00B93388"/>
    <w:rsid w:val="00B9356F"/>
    <w:rsid w:val="00B93757"/>
    <w:rsid w:val="00B94001"/>
    <w:rsid w:val="00B942AD"/>
    <w:rsid w:val="00B94435"/>
    <w:rsid w:val="00B944E9"/>
    <w:rsid w:val="00B94615"/>
    <w:rsid w:val="00B94BB5"/>
    <w:rsid w:val="00B94FAB"/>
    <w:rsid w:val="00B9598A"/>
    <w:rsid w:val="00B95E14"/>
    <w:rsid w:val="00B96393"/>
    <w:rsid w:val="00B968A5"/>
    <w:rsid w:val="00B96DB2"/>
    <w:rsid w:val="00B97005"/>
    <w:rsid w:val="00B976AE"/>
    <w:rsid w:val="00B9789A"/>
    <w:rsid w:val="00B97A7B"/>
    <w:rsid w:val="00B97CAC"/>
    <w:rsid w:val="00B97F52"/>
    <w:rsid w:val="00BA01DD"/>
    <w:rsid w:val="00BA0275"/>
    <w:rsid w:val="00BA0398"/>
    <w:rsid w:val="00BA0505"/>
    <w:rsid w:val="00BA0A7B"/>
    <w:rsid w:val="00BA0D21"/>
    <w:rsid w:val="00BA111E"/>
    <w:rsid w:val="00BA1322"/>
    <w:rsid w:val="00BA1364"/>
    <w:rsid w:val="00BA14A4"/>
    <w:rsid w:val="00BA1AA6"/>
    <w:rsid w:val="00BA1B29"/>
    <w:rsid w:val="00BA1B55"/>
    <w:rsid w:val="00BA1DBA"/>
    <w:rsid w:val="00BA1ED5"/>
    <w:rsid w:val="00BA27A8"/>
    <w:rsid w:val="00BA2810"/>
    <w:rsid w:val="00BA29F7"/>
    <w:rsid w:val="00BA2EBB"/>
    <w:rsid w:val="00BA3635"/>
    <w:rsid w:val="00BA38FA"/>
    <w:rsid w:val="00BA3A87"/>
    <w:rsid w:val="00BA3F5D"/>
    <w:rsid w:val="00BA469E"/>
    <w:rsid w:val="00BA46B1"/>
    <w:rsid w:val="00BA4BC3"/>
    <w:rsid w:val="00BA4BF5"/>
    <w:rsid w:val="00BA4DB2"/>
    <w:rsid w:val="00BA4FE4"/>
    <w:rsid w:val="00BA5177"/>
    <w:rsid w:val="00BA52B7"/>
    <w:rsid w:val="00BA536C"/>
    <w:rsid w:val="00BA5552"/>
    <w:rsid w:val="00BA5743"/>
    <w:rsid w:val="00BA5869"/>
    <w:rsid w:val="00BA5CF2"/>
    <w:rsid w:val="00BA5D39"/>
    <w:rsid w:val="00BA66C3"/>
    <w:rsid w:val="00BA6998"/>
    <w:rsid w:val="00BA69B1"/>
    <w:rsid w:val="00BA6A85"/>
    <w:rsid w:val="00BA6F78"/>
    <w:rsid w:val="00BA728A"/>
    <w:rsid w:val="00BA753A"/>
    <w:rsid w:val="00BA7D95"/>
    <w:rsid w:val="00BA7FD4"/>
    <w:rsid w:val="00BB0418"/>
    <w:rsid w:val="00BB0677"/>
    <w:rsid w:val="00BB0B07"/>
    <w:rsid w:val="00BB0BD4"/>
    <w:rsid w:val="00BB0EA5"/>
    <w:rsid w:val="00BB1062"/>
    <w:rsid w:val="00BB14E1"/>
    <w:rsid w:val="00BB1CC4"/>
    <w:rsid w:val="00BB1D06"/>
    <w:rsid w:val="00BB1E47"/>
    <w:rsid w:val="00BB1ED8"/>
    <w:rsid w:val="00BB2263"/>
    <w:rsid w:val="00BB2449"/>
    <w:rsid w:val="00BB2567"/>
    <w:rsid w:val="00BB26BA"/>
    <w:rsid w:val="00BB2769"/>
    <w:rsid w:val="00BB2872"/>
    <w:rsid w:val="00BB2966"/>
    <w:rsid w:val="00BB2F63"/>
    <w:rsid w:val="00BB311D"/>
    <w:rsid w:val="00BB3CD9"/>
    <w:rsid w:val="00BB3DA9"/>
    <w:rsid w:val="00BB4185"/>
    <w:rsid w:val="00BB422D"/>
    <w:rsid w:val="00BB42F4"/>
    <w:rsid w:val="00BB449A"/>
    <w:rsid w:val="00BB4751"/>
    <w:rsid w:val="00BB4A90"/>
    <w:rsid w:val="00BB4B3A"/>
    <w:rsid w:val="00BB4C3F"/>
    <w:rsid w:val="00BB4C5E"/>
    <w:rsid w:val="00BB4E4C"/>
    <w:rsid w:val="00BB59F6"/>
    <w:rsid w:val="00BB5C08"/>
    <w:rsid w:val="00BB5E1E"/>
    <w:rsid w:val="00BB5E88"/>
    <w:rsid w:val="00BB5F35"/>
    <w:rsid w:val="00BB6177"/>
    <w:rsid w:val="00BB62FC"/>
    <w:rsid w:val="00BB6901"/>
    <w:rsid w:val="00BB6B72"/>
    <w:rsid w:val="00BB71AA"/>
    <w:rsid w:val="00BB737F"/>
    <w:rsid w:val="00BB73E1"/>
    <w:rsid w:val="00BB73F6"/>
    <w:rsid w:val="00BB756C"/>
    <w:rsid w:val="00BB7C89"/>
    <w:rsid w:val="00BB7CAC"/>
    <w:rsid w:val="00BB7FB4"/>
    <w:rsid w:val="00BC0076"/>
    <w:rsid w:val="00BC015C"/>
    <w:rsid w:val="00BC02B6"/>
    <w:rsid w:val="00BC05AB"/>
    <w:rsid w:val="00BC0761"/>
    <w:rsid w:val="00BC07DC"/>
    <w:rsid w:val="00BC0A6B"/>
    <w:rsid w:val="00BC0C1F"/>
    <w:rsid w:val="00BC0D44"/>
    <w:rsid w:val="00BC119D"/>
    <w:rsid w:val="00BC1409"/>
    <w:rsid w:val="00BC16BA"/>
    <w:rsid w:val="00BC1B74"/>
    <w:rsid w:val="00BC1B8C"/>
    <w:rsid w:val="00BC219B"/>
    <w:rsid w:val="00BC21CC"/>
    <w:rsid w:val="00BC25AB"/>
    <w:rsid w:val="00BC2DE7"/>
    <w:rsid w:val="00BC30D8"/>
    <w:rsid w:val="00BC3318"/>
    <w:rsid w:val="00BC392D"/>
    <w:rsid w:val="00BC3953"/>
    <w:rsid w:val="00BC3FA6"/>
    <w:rsid w:val="00BC4128"/>
    <w:rsid w:val="00BC4164"/>
    <w:rsid w:val="00BC41E6"/>
    <w:rsid w:val="00BC427F"/>
    <w:rsid w:val="00BC4289"/>
    <w:rsid w:val="00BC4ABE"/>
    <w:rsid w:val="00BC4C9F"/>
    <w:rsid w:val="00BC52F6"/>
    <w:rsid w:val="00BC576E"/>
    <w:rsid w:val="00BC589A"/>
    <w:rsid w:val="00BC5AC0"/>
    <w:rsid w:val="00BC5F92"/>
    <w:rsid w:val="00BC6054"/>
    <w:rsid w:val="00BC60CF"/>
    <w:rsid w:val="00BC6179"/>
    <w:rsid w:val="00BC6280"/>
    <w:rsid w:val="00BC6383"/>
    <w:rsid w:val="00BC6392"/>
    <w:rsid w:val="00BC66BA"/>
    <w:rsid w:val="00BC67FB"/>
    <w:rsid w:val="00BC696F"/>
    <w:rsid w:val="00BC6DFD"/>
    <w:rsid w:val="00BC6E56"/>
    <w:rsid w:val="00BC70DA"/>
    <w:rsid w:val="00BC7CAE"/>
    <w:rsid w:val="00BC7DFC"/>
    <w:rsid w:val="00BC7F75"/>
    <w:rsid w:val="00BD052D"/>
    <w:rsid w:val="00BD05C5"/>
    <w:rsid w:val="00BD0CEB"/>
    <w:rsid w:val="00BD0E79"/>
    <w:rsid w:val="00BD11FC"/>
    <w:rsid w:val="00BD12C7"/>
    <w:rsid w:val="00BD1372"/>
    <w:rsid w:val="00BD14F9"/>
    <w:rsid w:val="00BD150D"/>
    <w:rsid w:val="00BD172F"/>
    <w:rsid w:val="00BD1EB2"/>
    <w:rsid w:val="00BD2303"/>
    <w:rsid w:val="00BD2950"/>
    <w:rsid w:val="00BD2B48"/>
    <w:rsid w:val="00BD3B73"/>
    <w:rsid w:val="00BD3DA5"/>
    <w:rsid w:val="00BD3F4F"/>
    <w:rsid w:val="00BD4030"/>
    <w:rsid w:val="00BD4469"/>
    <w:rsid w:val="00BD48EA"/>
    <w:rsid w:val="00BD4943"/>
    <w:rsid w:val="00BD4DE4"/>
    <w:rsid w:val="00BD4EA4"/>
    <w:rsid w:val="00BD52D3"/>
    <w:rsid w:val="00BD53EB"/>
    <w:rsid w:val="00BD550D"/>
    <w:rsid w:val="00BD56E6"/>
    <w:rsid w:val="00BD5740"/>
    <w:rsid w:val="00BD5868"/>
    <w:rsid w:val="00BD5E52"/>
    <w:rsid w:val="00BD6286"/>
    <w:rsid w:val="00BD6749"/>
    <w:rsid w:val="00BD6FBA"/>
    <w:rsid w:val="00BD6FF2"/>
    <w:rsid w:val="00BD72DF"/>
    <w:rsid w:val="00BD731C"/>
    <w:rsid w:val="00BD760D"/>
    <w:rsid w:val="00BD7706"/>
    <w:rsid w:val="00BD7AEB"/>
    <w:rsid w:val="00BD7B27"/>
    <w:rsid w:val="00BD7D44"/>
    <w:rsid w:val="00BE00C7"/>
    <w:rsid w:val="00BE03ED"/>
    <w:rsid w:val="00BE0A4F"/>
    <w:rsid w:val="00BE1333"/>
    <w:rsid w:val="00BE1B70"/>
    <w:rsid w:val="00BE1C2A"/>
    <w:rsid w:val="00BE2640"/>
    <w:rsid w:val="00BE27C4"/>
    <w:rsid w:val="00BE2C82"/>
    <w:rsid w:val="00BE2E0F"/>
    <w:rsid w:val="00BE348E"/>
    <w:rsid w:val="00BE3729"/>
    <w:rsid w:val="00BE37B2"/>
    <w:rsid w:val="00BE4185"/>
    <w:rsid w:val="00BE431C"/>
    <w:rsid w:val="00BE4578"/>
    <w:rsid w:val="00BE49B1"/>
    <w:rsid w:val="00BE5367"/>
    <w:rsid w:val="00BE5938"/>
    <w:rsid w:val="00BE59B2"/>
    <w:rsid w:val="00BE5C5F"/>
    <w:rsid w:val="00BE5D00"/>
    <w:rsid w:val="00BE625E"/>
    <w:rsid w:val="00BE62DA"/>
    <w:rsid w:val="00BE62E4"/>
    <w:rsid w:val="00BE63AD"/>
    <w:rsid w:val="00BE645A"/>
    <w:rsid w:val="00BE65A9"/>
    <w:rsid w:val="00BE65EA"/>
    <w:rsid w:val="00BE69D8"/>
    <w:rsid w:val="00BE6B8D"/>
    <w:rsid w:val="00BE6BC6"/>
    <w:rsid w:val="00BE6FC7"/>
    <w:rsid w:val="00BE7568"/>
    <w:rsid w:val="00BE7727"/>
    <w:rsid w:val="00BE7D57"/>
    <w:rsid w:val="00BF0015"/>
    <w:rsid w:val="00BF01B0"/>
    <w:rsid w:val="00BF022A"/>
    <w:rsid w:val="00BF0A5B"/>
    <w:rsid w:val="00BF0F99"/>
    <w:rsid w:val="00BF0FC9"/>
    <w:rsid w:val="00BF124B"/>
    <w:rsid w:val="00BF199D"/>
    <w:rsid w:val="00BF21E6"/>
    <w:rsid w:val="00BF2C29"/>
    <w:rsid w:val="00BF2D24"/>
    <w:rsid w:val="00BF30A1"/>
    <w:rsid w:val="00BF36B7"/>
    <w:rsid w:val="00BF377B"/>
    <w:rsid w:val="00BF38E4"/>
    <w:rsid w:val="00BF3D63"/>
    <w:rsid w:val="00BF3FE2"/>
    <w:rsid w:val="00BF43CB"/>
    <w:rsid w:val="00BF458F"/>
    <w:rsid w:val="00BF4959"/>
    <w:rsid w:val="00BF4D1B"/>
    <w:rsid w:val="00BF4F0C"/>
    <w:rsid w:val="00BF550D"/>
    <w:rsid w:val="00BF5530"/>
    <w:rsid w:val="00BF5AC1"/>
    <w:rsid w:val="00BF5CB8"/>
    <w:rsid w:val="00BF5DE7"/>
    <w:rsid w:val="00BF636B"/>
    <w:rsid w:val="00BF64F4"/>
    <w:rsid w:val="00BF69DB"/>
    <w:rsid w:val="00BF74CB"/>
    <w:rsid w:val="00BF7BBD"/>
    <w:rsid w:val="00C0023D"/>
    <w:rsid w:val="00C00660"/>
    <w:rsid w:val="00C00831"/>
    <w:rsid w:val="00C00BB6"/>
    <w:rsid w:val="00C012E5"/>
    <w:rsid w:val="00C01728"/>
    <w:rsid w:val="00C017AE"/>
    <w:rsid w:val="00C01958"/>
    <w:rsid w:val="00C019C2"/>
    <w:rsid w:val="00C01A19"/>
    <w:rsid w:val="00C01EA0"/>
    <w:rsid w:val="00C01FAB"/>
    <w:rsid w:val="00C02A3A"/>
    <w:rsid w:val="00C02B9C"/>
    <w:rsid w:val="00C02D46"/>
    <w:rsid w:val="00C02D8E"/>
    <w:rsid w:val="00C02F55"/>
    <w:rsid w:val="00C034ED"/>
    <w:rsid w:val="00C038AB"/>
    <w:rsid w:val="00C03CAC"/>
    <w:rsid w:val="00C03FDB"/>
    <w:rsid w:val="00C0401C"/>
    <w:rsid w:val="00C0423B"/>
    <w:rsid w:val="00C0436C"/>
    <w:rsid w:val="00C0498F"/>
    <w:rsid w:val="00C04A05"/>
    <w:rsid w:val="00C04C3D"/>
    <w:rsid w:val="00C04E9C"/>
    <w:rsid w:val="00C050BE"/>
    <w:rsid w:val="00C056B1"/>
    <w:rsid w:val="00C056E3"/>
    <w:rsid w:val="00C0596F"/>
    <w:rsid w:val="00C06041"/>
    <w:rsid w:val="00C0677A"/>
    <w:rsid w:val="00C06D83"/>
    <w:rsid w:val="00C06EED"/>
    <w:rsid w:val="00C0702C"/>
    <w:rsid w:val="00C07867"/>
    <w:rsid w:val="00C07AF1"/>
    <w:rsid w:val="00C07DAC"/>
    <w:rsid w:val="00C102F1"/>
    <w:rsid w:val="00C10897"/>
    <w:rsid w:val="00C10B7E"/>
    <w:rsid w:val="00C10C59"/>
    <w:rsid w:val="00C10C78"/>
    <w:rsid w:val="00C113D7"/>
    <w:rsid w:val="00C1151A"/>
    <w:rsid w:val="00C117E7"/>
    <w:rsid w:val="00C119B8"/>
    <w:rsid w:val="00C11B76"/>
    <w:rsid w:val="00C11C2F"/>
    <w:rsid w:val="00C11DB0"/>
    <w:rsid w:val="00C120E4"/>
    <w:rsid w:val="00C1212E"/>
    <w:rsid w:val="00C12224"/>
    <w:rsid w:val="00C122FC"/>
    <w:rsid w:val="00C12643"/>
    <w:rsid w:val="00C1266E"/>
    <w:rsid w:val="00C12840"/>
    <w:rsid w:val="00C12F13"/>
    <w:rsid w:val="00C130E0"/>
    <w:rsid w:val="00C13E59"/>
    <w:rsid w:val="00C14243"/>
    <w:rsid w:val="00C1425A"/>
    <w:rsid w:val="00C145CE"/>
    <w:rsid w:val="00C14B29"/>
    <w:rsid w:val="00C15331"/>
    <w:rsid w:val="00C154EB"/>
    <w:rsid w:val="00C1585E"/>
    <w:rsid w:val="00C15B41"/>
    <w:rsid w:val="00C15DC4"/>
    <w:rsid w:val="00C16396"/>
    <w:rsid w:val="00C1655B"/>
    <w:rsid w:val="00C168CC"/>
    <w:rsid w:val="00C17436"/>
    <w:rsid w:val="00C17456"/>
    <w:rsid w:val="00C17501"/>
    <w:rsid w:val="00C17973"/>
    <w:rsid w:val="00C17A91"/>
    <w:rsid w:val="00C17C42"/>
    <w:rsid w:val="00C17CEB"/>
    <w:rsid w:val="00C20137"/>
    <w:rsid w:val="00C2033D"/>
    <w:rsid w:val="00C20806"/>
    <w:rsid w:val="00C20BB4"/>
    <w:rsid w:val="00C20FD3"/>
    <w:rsid w:val="00C21062"/>
    <w:rsid w:val="00C214AA"/>
    <w:rsid w:val="00C218DA"/>
    <w:rsid w:val="00C21BDD"/>
    <w:rsid w:val="00C21D42"/>
    <w:rsid w:val="00C22BB7"/>
    <w:rsid w:val="00C22FA2"/>
    <w:rsid w:val="00C23084"/>
    <w:rsid w:val="00C23236"/>
    <w:rsid w:val="00C2359D"/>
    <w:rsid w:val="00C2396E"/>
    <w:rsid w:val="00C23A30"/>
    <w:rsid w:val="00C23A83"/>
    <w:rsid w:val="00C23B6E"/>
    <w:rsid w:val="00C242A8"/>
    <w:rsid w:val="00C24DF0"/>
    <w:rsid w:val="00C24EA2"/>
    <w:rsid w:val="00C250E4"/>
    <w:rsid w:val="00C2529B"/>
    <w:rsid w:val="00C255EC"/>
    <w:rsid w:val="00C25758"/>
    <w:rsid w:val="00C25857"/>
    <w:rsid w:val="00C25B13"/>
    <w:rsid w:val="00C25B45"/>
    <w:rsid w:val="00C25E9E"/>
    <w:rsid w:val="00C25EB1"/>
    <w:rsid w:val="00C262C9"/>
    <w:rsid w:val="00C26ECA"/>
    <w:rsid w:val="00C27464"/>
    <w:rsid w:val="00C27830"/>
    <w:rsid w:val="00C27C33"/>
    <w:rsid w:val="00C27D7D"/>
    <w:rsid w:val="00C302E5"/>
    <w:rsid w:val="00C30575"/>
    <w:rsid w:val="00C3092F"/>
    <w:rsid w:val="00C30AAB"/>
    <w:rsid w:val="00C30FB8"/>
    <w:rsid w:val="00C317B8"/>
    <w:rsid w:val="00C31848"/>
    <w:rsid w:val="00C31B5D"/>
    <w:rsid w:val="00C31E3D"/>
    <w:rsid w:val="00C321EC"/>
    <w:rsid w:val="00C3306E"/>
    <w:rsid w:val="00C331D4"/>
    <w:rsid w:val="00C3330C"/>
    <w:rsid w:val="00C33400"/>
    <w:rsid w:val="00C33519"/>
    <w:rsid w:val="00C335A8"/>
    <w:rsid w:val="00C336ED"/>
    <w:rsid w:val="00C3370B"/>
    <w:rsid w:val="00C33E7E"/>
    <w:rsid w:val="00C33F60"/>
    <w:rsid w:val="00C343F5"/>
    <w:rsid w:val="00C34571"/>
    <w:rsid w:val="00C34764"/>
    <w:rsid w:val="00C347AF"/>
    <w:rsid w:val="00C34A6B"/>
    <w:rsid w:val="00C34D05"/>
    <w:rsid w:val="00C350EF"/>
    <w:rsid w:val="00C35182"/>
    <w:rsid w:val="00C3534D"/>
    <w:rsid w:val="00C3565F"/>
    <w:rsid w:val="00C35CA6"/>
    <w:rsid w:val="00C362DC"/>
    <w:rsid w:val="00C36372"/>
    <w:rsid w:val="00C365A4"/>
    <w:rsid w:val="00C36822"/>
    <w:rsid w:val="00C368C0"/>
    <w:rsid w:val="00C36950"/>
    <w:rsid w:val="00C36952"/>
    <w:rsid w:val="00C36AD4"/>
    <w:rsid w:val="00C36BBB"/>
    <w:rsid w:val="00C370E0"/>
    <w:rsid w:val="00C3767F"/>
    <w:rsid w:val="00C37890"/>
    <w:rsid w:val="00C4009E"/>
    <w:rsid w:val="00C4087F"/>
    <w:rsid w:val="00C409C0"/>
    <w:rsid w:val="00C414A3"/>
    <w:rsid w:val="00C4166C"/>
    <w:rsid w:val="00C41DA5"/>
    <w:rsid w:val="00C41EB8"/>
    <w:rsid w:val="00C42300"/>
    <w:rsid w:val="00C4236D"/>
    <w:rsid w:val="00C426B3"/>
    <w:rsid w:val="00C426BF"/>
    <w:rsid w:val="00C42A79"/>
    <w:rsid w:val="00C42B1D"/>
    <w:rsid w:val="00C42D2F"/>
    <w:rsid w:val="00C42E3B"/>
    <w:rsid w:val="00C434BB"/>
    <w:rsid w:val="00C4353A"/>
    <w:rsid w:val="00C43826"/>
    <w:rsid w:val="00C4393F"/>
    <w:rsid w:val="00C43DD1"/>
    <w:rsid w:val="00C44083"/>
    <w:rsid w:val="00C441F0"/>
    <w:rsid w:val="00C44321"/>
    <w:rsid w:val="00C44E7C"/>
    <w:rsid w:val="00C45563"/>
    <w:rsid w:val="00C456C2"/>
    <w:rsid w:val="00C45A24"/>
    <w:rsid w:val="00C45D50"/>
    <w:rsid w:val="00C46042"/>
    <w:rsid w:val="00C464AF"/>
    <w:rsid w:val="00C46AB6"/>
    <w:rsid w:val="00C46E74"/>
    <w:rsid w:val="00C46F96"/>
    <w:rsid w:val="00C47081"/>
    <w:rsid w:val="00C4723A"/>
    <w:rsid w:val="00C473C8"/>
    <w:rsid w:val="00C47759"/>
    <w:rsid w:val="00C479EF"/>
    <w:rsid w:val="00C47CB0"/>
    <w:rsid w:val="00C47D73"/>
    <w:rsid w:val="00C50486"/>
    <w:rsid w:val="00C50580"/>
    <w:rsid w:val="00C5061C"/>
    <w:rsid w:val="00C5064B"/>
    <w:rsid w:val="00C506E6"/>
    <w:rsid w:val="00C507F8"/>
    <w:rsid w:val="00C509DC"/>
    <w:rsid w:val="00C50BF6"/>
    <w:rsid w:val="00C50F10"/>
    <w:rsid w:val="00C51436"/>
    <w:rsid w:val="00C515F7"/>
    <w:rsid w:val="00C5180E"/>
    <w:rsid w:val="00C518AF"/>
    <w:rsid w:val="00C518D0"/>
    <w:rsid w:val="00C51C3C"/>
    <w:rsid w:val="00C51C77"/>
    <w:rsid w:val="00C52104"/>
    <w:rsid w:val="00C522E9"/>
    <w:rsid w:val="00C52355"/>
    <w:rsid w:val="00C52A61"/>
    <w:rsid w:val="00C52E51"/>
    <w:rsid w:val="00C5300B"/>
    <w:rsid w:val="00C531AD"/>
    <w:rsid w:val="00C533AD"/>
    <w:rsid w:val="00C5349B"/>
    <w:rsid w:val="00C537DF"/>
    <w:rsid w:val="00C53833"/>
    <w:rsid w:val="00C538B1"/>
    <w:rsid w:val="00C538C5"/>
    <w:rsid w:val="00C53BA9"/>
    <w:rsid w:val="00C53CD6"/>
    <w:rsid w:val="00C54007"/>
    <w:rsid w:val="00C54227"/>
    <w:rsid w:val="00C54331"/>
    <w:rsid w:val="00C54A1B"/>
    <w:rsid w:val="00C54C96"/>
    <w:rsid w:val="00C55223"/>
    <w:rsid w:val="00C55274"/>
    <w:rsid w:val="00C554B6"/>
    <w:rsid w:val="00C55B47"/>
    <w:rsid w:val="00C55CB5"/>
    <w:rsid w:val="00C55F1D"/>
    <w:rsid w:val="00C55F84"/>
    <w:rsid w:val="00C55FF6"/>
    <w:rsid w:val="00C56354"/>
    <w:rsid w:val="00C563B9"/>
    <w:rsid w:val="00C5644A"/>
    <w:rsid w:val="00C56536"/>
    <w:rsid w:val="00C56895"/>
    <w:rsid w:val="00C57199"/>
    <w:rsid w:val="00C577FD"/>
    <w:rsid w:val="00C57915"/>
    <w:rsid w:val="00C57A39"/>
    <w:rsid w:val="00C57EBE"/>
    <w:rsid w:val="00C57F06"/>
    <w:rsid w:val="00C57FF2"/>
    <w:rsid w:val="00C6021F"/>
    <w:rsid w:val="00C6033F"/>
    <w:rsid w:val="00C604C3"/>
    <w:rsid w:val="00C60943"/>
    <w:rsid w:val="00C60B2F"/>
    <w:rsid w:val="00C60E84"/>
    <w:rsid w:val="00C6147B"/>
    <w:rsid w:val="00C617E9"/>
    <w:rsid w:val="00C61C62"/>
    <w:rsid w:val="00C62335"/>
    <w:rsid w:val="00C62517"/>
    <w:rsid w:val="00C63036"/>
    <w:rsid w:val="00C6312A"/>
    <w:rsid w:val="00C63AD7"/>
    <w:rsid w:val="00C63BB7"/>
    <w:rsid w:val="00C63C91"/>
    <w:rsid w:val="00C63E39"/>
    <w:rsid w:val="00C63EF0"/>
    <w:rsid w:val="00C6413E"/>
    <w:rsid w:val="00C64289"/>
    <w:rsid w:val="00C644DD"/>
    <w:rsid w:val="00C647E7"/>
    <w:rsid w:val="00C649FA"/>
    <w:rsid w:val="00C64CA3"/>
    <w:rsid w:val="00C64D1D"/>
    <w:rsid w:val="00C65574"/>
    <w:rsid w:val="00C65C63"/>
    <w:rsid w:val="00C66F13"/>
    <w:rsid w:val="00C67267"/>
    <w:rsid w:val="00C67277"/>
    <w:rsid w:val="00C6735A"/>
    <w:rsid w:val="00C677DE"/>
    <w:rsid w:val="00C67B66"/>
    <w:rsid w:val="00C70293"/>
    <w:rsid w:val="00C70AB7"/>
    <w:rsid w:val="00C70BDB"/>
    <w:rsid w:val="00C71416"/>
    <w:rsid w:val="00C71508"/>
    <w:rsid w:val="00C71E0B"/>
    <w:rsid w:val="00C724CF"/>
    <w:rsid w:val="00C725DE"/>
    <w:rsid w:val="00C72658"/>
    <w:rsid w:val="00C72AC3"/>
    <w:rsid w:val="00C72AF0"/>
    <w:rsid w:val="00C72B0D"/>
    <w:rsid w:val="00C72C41"/>
    <w:rsid w:val="00C72C9D"/>
    <w:rsid w:val="00C72DB0"/>
    <w:rsid w:val="00C73424"/>
    <w:rsid w:val="00C7344F"/>
    <w:rsid w:val="00C7399D"/>
    <w:rsid w:val="00C73B89"/>
    <w:rsid w:val="00C73DB3"/>
    <w:rsid w:val="00C73F5B"/>
    <w:rsid w:val="00C74008"/>
    <w:rsid w:val="00C74229"/>
    <w:rsid w:val="00C74A76"/>
    <w:rsid w:val="00C74C30"/>
    <w:rsid w:val="00C74CCF"/>
    <w:rsid w:val="00C74EE2"/>
    <w:rsid w:val="00C753D1"/>
    <w:rsid w:val="00C75803"/>
    <w:rsid w:val="00C75ABD"/>
    <w:rsid w:val="00C75E89"/>
    <w:rsid w:val="00C7625D"/>
    <w:rsid w:val="00C763A6"/>
    <w:rsid w:val="00C76724"/>
    <w:rsid w:val="00C76886"/>
    <w:rsid w:val="00C76BEE"/>
    <w:rsid w:val="00C76DA6"/>
    <w:rsid w:val="00C76E90"/>
    <w:rsid w:val="00C77128"/>
    <w:rsid w:val="00C77284"/>
    <w:rsid w:val="00C7750E"/>
    <w:rsid w:val="00C77673"/>
    <w:rsid w:val="00C77770"/>
    <w:rsid w:val="00C77AB8"/>
    <w:rsid w:val="00C77B1F"/>
    <w:rsid w:val="00C80339"/>
    <w:rsid w:val="00C80396"/>
    <w:rsid w:val="00C8094E"/>
    <w:rsid w:val="00C80AD9"/>
    <w:rsid w:val="00C80AED"/>
    <w:rsid w:val="00C80AF0"/>
    <w:rsid w:val="00C80C70"/>
    <w:rsid w:val="00C80E3E"/>
    <w:rsid w:val="00C80ED4"/>
    <w:rsid w:val="00C814EE"/>
    <w:rsid w:val="00C815AF"/>
    <w:rsid w:val="00C81D5E"/>
    <w:rsid w:val="00C81EBE"/>
    <w:rsid w:val="00C820D9"/>
    <w:rsid w:val="00C82174"/>
    <w:rsid w:val="00C821EB"/>
    <w:rsid w:val="00C824F9"/>
    <w:rsid w:val="00C82521"/>
    <w:rsid w:val="00C82640"/>
    <w:rsid w:val="00C8285E"/>
    <w:rsid w:val="00C82E0C"/>
    <w:rsid w:val="00C82E3A"/>
    <w:rsid w:val="00C83124"/>
    <w:rsid w:val="00C83827"/>
    <w:rsid w:val="00C838F5"/>
    <w:rsid w:val="00C83904"/>
    <w:rsid w:val="00C83C40"/>
    <w:rsid w:val="00C84653"/>
    <w:rsid w:val="00C848D3"/>
    <w:rsid w:val="00C84D7F"/>
    <w:rsid w:val="00C84E86"/>
    <w:rsid w:val="00C84FE7"/>
    <w:rsid w:val="00C85260"/>
    <w:rsid w:val="00C8528F"/>
    <w:rsid w:val="00C85726"/>
    <w:rsid w:val="00C860E9"/>
    <w:rsid w:val="00C861E5"/>
    <w:rsid w:val="00C86321"/>
    <w:rsid w:val="00C864B4"/>
    <w:rsid w:val="00C864BA"/>
    <w:rsid w:val="00C86530"/>
    <w:rsid w:val="00C8682B"/>
    <w:rsid w:val="00C86B85"/>
    <w:rsid w:val="00C87114"/>
    <w:rsid w:val="00C871C0"/>
    <w:rsid w:val="00C8721B"/>
    <w:rsid w:val="00C876C3"/>
    <w:rsid w:val="00C87843"/>
    <w:rsid w:val="00C87A6E"/>
    <w:rsid w:val="00C87BDB"/>
    <w:rsid w:val="00C90097"/>
    <w:rsid w:val="00C9024A"/>
    <w:rsid w:val="00C90571"/>
    <w:rsid w:val="00C90DBB"/>
    <w:rsid w:val="00C90ED0"/>
    <w:rsid w:val="00C9133F"/>
    <w:rsid w:val="00C9153E"/>
    <w:rsid w:val="00C915DB"/>
    <w:rsid w:val="00C91B72"/>
    <w:rsid w:val="00C91D31"/>
    <w:rsid w:val="00C91D68"/>
    <w:rsid w:val="00C92266"/>
    <w:rsid w:val="00C922D0"/>
    <w:rsid w:val="00C922F9"/>
    <w:rsid w:val="00C9242D"/>
    <w:rsid w:val="00C924E9"/>
    <w:rsid w:val="00C92898"/>
    <w:rsid w:val="00C92A0B"/>
    <w:rsid w:val="00C92A24"/>
    <w:rsid w:val="00C92A3A"/>
    <w:rsid w:val="00C92BC7"/>
    <w:rsid w:val="00C93042"/>
    <w:rsid w:val="00C9345C"/>
    <w:rsid w:val="00C93937"/>
    <w:rsid w:val="00C9395D"/>
    <w:rsid w:val="00C93978"/>
    <w:rsid w:val="00C93A98"/>
    <w:rsid w:val="00C93B65"/>
    <w:rsid w:val="00C940DA"/>
    <w:rsid w:val="00C9447A"/>
    <w:rsid w:val="00C946F0"/>
    <w:rsid w:val="00C9484B"/>
    <w:rsid w:val="00C94958"/>
    <w:rsid w:val="00C949AB"/>
    <w:rsid w:val="00C94A45"/>
    <w:rsid w:val="00C94B57"/>
    <w:rsid w:val="00C94F03"/>
    <w:rsid w:val="00C95364"/>
    <w:rsid w:val="00C9536C"/>
    <w:rsid w:val="00C956E3"/>
    <w:rsid w:val="00C95987"/>
    <w:rsid w:val="00C95D98"/>
    <w:rsid w:val="00C95DE7"/>
    <w:rsid w:val="00C95EA9"/>
    <w:rsid w:val="00C960A1"/>
    <w:rsid w:val="00C96631"/>
    <w:rsid w:val="00C96AA0"/>
    <w:rsid w:val="00C96B42"/>
    <w:rsid w:val="00C96C39"/>
    <w:rsid w:val="00C96C9A"/>
    <w:rsid w:val="00C96F29"/>
    <w:rsid w:val="00C9731A"/>
    <w:rsid w:val="00C97814"/>
    <w:rsid w:val="00C97C17"/>
    <w:rsid w:val="00C97C30"/>
    <w:rsid w:val="00C97C88"/>
    <w:rsid w:val="00CA002D"/>
    <w:rsid w:val="00CA0122"/>
    <w:rsid w:val="00CA08FF"/>
    <w:rsid w:val="00CA0EB8"/>
    <w:rsid w:val="00CA193C"/>
    <w:rsid w:val="00CA1AFF"/>
    <w:rsid w:val="00CA1C1D"/>
    <w:rsid w:val="00CA1C8B"/>
    <w:rsid w:val="00CA2007"/>
    <w:rsid w:val="00CA2057"/>
    <w:rsid w:val="00CA226B"/>
    <w:rsid w:val="00CA232E"/>
    <w:rsid w:val="00CA2974"/>
    <w:rsid w:val="00CA2BB7"/>
    <w:rsid w:val="00CA3C42"/>
    <w:rsid w:val="00CA3E80"/>
    <w:rsid w:val="00CA498F"/>
    <w:rsid w:val="00CA4FAB"/>
    <w:rsid w:val="00CA504A"/>
    <w:rsid w:val="00CA56D8"/>
    <w:rsid w:val="00CA5935"/>
    <w:rsid w:val="00CA5A9A"/>
    <w:rsid w:val="00CA62BA"/>
    <w:rsid w:val="00CA6352"/>
    <w:rsid w:val="00CA6507"/>
    <w:rsid w:val="00CA6A60"/>
    <w:rsid w:val="00CA6B24"/>
    <w:rsid w:val="00CA6C3E"/>
    <w:rsid w:val="00CA75E9"/>
    <w:rsid w:val="00CA78C5"/>
    <w:rsid w:val="00CA794E"/>
    <w:rsid w:val="00CA7B59"/>
    <w:rsid w:val="00CA7CD6"/>
    <w:rsid w:val="00CA7D5A"/>
    <w:rsid w:val="00CB00FE"/>
    <w:rsid w:val="00CB036C"/>
    <w:rsid w:val="00CB10C7"/>
    <w:rsid w:val="00CB112A"/>
    <w:rsid w:val="00CB1348"/>
    <w:rsid w:val="00CB1478"/>
    <w:rsid w:val="00CB1484"/>
    <w:rsid w:val="00CB156A"/>
    <w:rsid w:val="00CB1677"/>
    <w:rsid w:val="00CB173C"/>
    <w:rsid w:val="00CB1C73"/>
    <w:rsid w:val="00CB1DF3"/>
    <w:rsid w:val="00CB2042"/>
    <w:rsid w:val="00CB2350"/>
    <w:rsid w:val="00CB2370"/>
    <w:rsid w:val="00CB2B99"/>
    <w:rsid w:val="00CB2BBA"/>
    <w:rsid w:val="00CB2E5E"/>
    <w:rsid w:val="00CB2E82"/>
    <w:rsid w:val="00CB3893"/>
    <w:rsid w:val="00CB3D09"/>
    <w:rsid w:val="00CB42AB"/>
    <w:rsid w:val="00CB465C"/>
    <w:rsid w:val="00CB4B94"/>
    <w:rsid w:val="00CB4D42"/>
    <w:rsid w:val="00CB4E10"/>
    <w:rsid w:val="00CB50F6"/>
    <w:rsid w:val="00CB5160"/>
    <w:rsid w:val="00CB5316"/>
    <w:rsid w:val="00CB5513"/>
    <w:rsid w:val="00CB555B"/>
    <w:rsid w:val="00CB5627"/>
    <w:rsid w:val="00CB568F"/>
    <w:rsid w:val="00CB5D91"/>
    <w:rsid w:val="00CB5E21"/>
    <w:rsid w:val="00CB6066"/>
    <w:rsid w:val="00CB6782"/>
    <w:rsid w:val="00CB6930"/>
    <w:rsid w:val="00CB6C5F"/>
    <w:rsid w:val="00CB6D85"/>
    <w:rsid w:val="00CB7174"/>
    <w:rsid w:val="00CB726F"/>
    <w:rsid w:val="00CB7586"/>
    <w:rsid w:val="00CB78B3"/>
    <w:rsid w:val="00CB7B66"/>
    <w:rsid w:val="00CC015F"/>
    <w:rsid w:val="00CC05C3"/>
    <w:rsid w:val="00CC0801"/>
    <w:rsid w:val="00CC0BA0"/>
    <w:rsid w:val="00CC154B"/>
    <w:rsid w:val="00CC173A"/>
    <w:rsid w:val="00CC19D8"/>
    <w:rsid w:val="00CC1B18"/>
    <w:rsid w:val="00CC1D72"/>
    <w:rsid w:val="00CC2087"/>
    <w:rsid w:val="00CC2186"/>
    <w:rsid w:val="00CC2814"/>
    <w:rsid w:val="00CC2817"/>
    <w:rsid w:val="00CC2822"/>
    <w:rsid w:val="00CC29F1"/>
    <w:rsid w:val="00CC2B8D"/>
    <w:rsid w:val="00CC2B8F"/>
    <w:rsid w:val="00CC2D68"/>
    <w:rsid w:val="00CC3341"/>
    <w:rsid w:val="00CC3748"/>
    <w:rsid w:val="00CC3C26"/>
    <w:rsid w:val="00CC3E86"/>
    <w:rsid w:val="00CC3EED"/>
    <w:rsid w:val="00CC3F7A"/>
    <w:rsid w:val="00CC40A9"/>
    <w:rsid w:val="00CC448F"/>
    <w:rsid w:val="00CC456D"/>
    <w:rsid w:val="00CC4D23"/>
    <w:rsid w:val="00CC4F80"/>
    <w:rsid w:val="00CC4F92"/>
    <w:rsid w:val="00CC4F93"/>
    <w:rsid w:val="00CC5147"/>
    <w:rsid w:val="00CC5168"/>
    <w:rsid w:val="00CC55ED"/>
    <w:rsid w:val="00CC55F6"/>
    <w:rsid w:val="00CC5CC0"/>
    <w:rsid w:val="00CC5F36"/>
    <w:rsid w:val="00CC666A"/>
    <w:rsid w:val="00CC6F31"/>
    <w:rsid w:val="00CC72CA"/>
    <w:rsid w:val="00CC72FC"/>
    <w:rsid w:val="00CC7AFE"/>
    <w:rsid w:val="00CC7C70"/>
    <w:rsid w:val="00CC7E66"/>
    <w:rsid w:val="00CD042E"/>
    <w:rsid w:val="00CD0536"/>
    <w:rsid w:val="00CD095F"/>
    <w:rsid w:val="00CD0AA9"/>
    <w:rsid w:val="00CD0B3B"/>
    <w:rsid w:val="00CD0FE8"/>
    <w:rsid w:val="00CD1323"/>
    <w:rsid w:val="00CD13D5"/>
    <w:rsid w:val="00CD1638"/>
    <w:rsid w:val="00CD1A7E"/>
    <w:rsid w:val="00CD1C1F"/>
    <w:rsid w:val="00CD1FAA"/>
    <w:rsid w:val="00CD2017"/>
    <w:rsid w:val="00CD20E4"/>
    <w:rsid w:val="00CD20E6"/>
    <w:rsid w:val="00CD2249"/>
    <w:rsid w:val="00CD2497"/>
    <w:rsid w:val="00CD2535"/>
    <w:rsid w:val="00CD27DF"/>
    <w:rsid w:val="00CD2D19"/>
    <w:rsid w:val="00CD3138"/>
    <w:rsid w:val="00CD35C5"/>
    <w:rsid w:val="00CD3A54"/>
    <w:rsid w:val="00CD3FB9"/>
    <w:rsid w:val="00CD420D"/>
    <w:rsid w:val="00CD4496"/>
    <w:rsid w:val="00CD4711"/>
    <w:rsid w:val="00CD490A"/>
    <w:rsid w:val="00CD4C1D"/>
    <w:rsid w:val="00CD4C37"/>
    <w:rsid w:val="00CD4C41"/>
    <w:rsid w:val="00CD4CE1"/>
    <w:rsid w:val="00CD4DA0"/>
    <w:rsid w:val="00CD4EFE"/>
    <w:rsid w:val="00CD4F77"/>
    <w:rsid w:val="00CD5202"/>
    <w:rsid w:val="00CD58D7"/>
    <w:rsid w:val="00CD5B56"/>
    <w:rsid w:val="00CD5F98"/>
    <w:rsid w:val="00CD668F"/>
    <w:rsid w:val="00CD6786"/>
    <w:rsid w:val="00CD685D"/>
    <w:rsid w:val="00CD686B"/>
    <w:rsid w:val="00CD687B"/>
    <w:rsid w:val="00CD6B06"/>
    <w:rsid w:val="00CD6FE8"/>
    <w:rsid w:val="00CD7060"/>
    <w:rsid w:val="00CD70A5"/>
    <w:rsid w:val="00CD7267"/>
    <w:rsid w:val="00CD76E5"/>
    <w:rsid w:val="00CD7BBB"/>
    <w:rsid w:val="00CD7E1C"/>
    <w:rsid w:val="00CE008F"/>
    <w:rsid w:val="00CE0B37"/>
    <w:rsid w:val="00CE0C2B"/>
    <w:rsid w:val="00CE0C3B"/>
    <w:rsid w:val="00CE10A4"/>
    <w:rsid w:val="00CE12F4"/>
    <w:rsid w:val="00CE1592"/>
    <w:rsid w:val="00CE175E"/>
    <w:rsid w:val="00CE1ED1"/>
    <w:rsid w:val="00CE2009"/>
    <w:rsid w:val="00CE2A08"/>
    <w:rsid w:val="00CE2D4C"/>
    <w:rsid w:val="00CE36D8"/>
    <w:rsid w:val="00CE39FB"/>
    <w:rsid w:val="00CE3A84"/>
    <w:rsid w:val="00CE3F04"/>
    <w:rsid w:val="00CE43CF"/>
    <w:rsid w:val="00CE43FD"/>
    <w:rsid w:val="00CE4846"/>
    <w:rsid w:val="00CE48C7"/>
    <w:rsid w:val="00CE48EB"/>
    <w:rsid w:val="00CE4CC3"/>
    <w:rsid w:val="00CE5B05"/>
    <w:rsid w:val="00CE5E5C"/>
    <w:rsid w:val="00CE5EA7"/>
    <w:rsid w:val="00CE6578"/>
    <w:rsid w:val="00CE66E7"/>
    <w:rsid w:val="00CE6B39"/>
    <w:rsid w:val="00CF0167"/>
    <w:rsid w:val="00CF04C1"/>
    <w:rsid w:val="00CF08A3"/>
    <w:rsid w:val="00CF0C02"/>
    <w:rsid w:val="00CF0C76"/>
    <w:rsid w:val="00CF1848"/>
    <w:rsid w:val="00CF1B82"/>
    <w:rsid w:val="00CF1B95"/>
    <w:rsid w:val="00CF1CC0"/>
    <w:rsid w:val="00CF1E50"/>
    <w:rsid w:val="00CF1E66"/>
    <w:rsid w:val="00CF1FF0"/>
    <w:rsid w:val="00CF2171"/>
    <w:rsid w:val="00CF2237"/>
    <w:rsid w:val="00CF2263"/>
    <w:rsid w:val="00CF22F2"/>
    <w:rsid w:val="00CF23C6"/>
    <w:rsid w:val="00CF251B"/>
    <w:rsid w:val="00CF2724"/>
    <w:rsid w:val="00CF277D"/>
    <w:rsid w:val="00CF2AE4"/>
    <w:rsid w:val="00CF313F"/>
    <w:rsid w:val="00CF3627"/>
    <w:rsid w:val="00CF3A18"/>
    <w:rsid w:val="00CF3B95"/>
    <w:rsid w:val="00CF3C51"/>
    <w:rsid w:val="00CF48CC"/>
    <w:rsid w:val="00CF48F5"/>
    <w:rsid w:val="00CF4EF0"/>
    <w:rsid w:val="00CF519B"/>
    <w:rsid w:val="00CF51C6"/>
    <w:rsid w:val="00CF5379"/>
    <w:rsid w:val="00CF538C"/>
    <w:rsid w:val="00CF56D0"/>
    <w:rsid w:val="00CF57DF"/>
    <w:rsid w:val="00CF594A"/>
    <w:rsid w:val="00CF59DD"/>
    <w:rsid w:val="00CF5EAF"/>
    <w:rsid w:val="00CF5FCC"/>
    <w:rsid w:val="00CF6264"/>
    <w:rsid w:val="00CF6291"/>
    <w:rsid w:val="00CF648A"/>
    <w:rsid w:val="00CF64B7"/>
    <w:rsid w:val="00CF6598"/>
    <w:rsid w:val="00CF671D"/>
    <w:rsid w:val="00CF68CB"/>
    <w:rsid w:val="00CF6BF1"/>
    <w:rsid w:val="00CF6F3B"/>
    <w:rsid w:val="00CF71B7"/>
    <w:rsid w:val="00CF72B6"/>
    <w:rsid w:val="00CF7525"/>
    <w:rsid w:val="00CF769C"/>
    <w:rsid w:val="00CF7A03"/>
    <w:rsid w:val="00CF7B4F"/>
    <w:rsid w:val="00CF7D19"/>
    <w:rsid w:val="00CF7DBA"/>
    <w:rsid w:val="00D0012C"/>
    <w:rsid w:val="00D0016E"/>
    <w:rsid w:val="00D00557"/>
    <w:rsid w:val="00D005BA"/>
    <w:rsid w:val="00D007D7"/>
    <w:rsid w:val="00D0090C"/>
    <w:rsid w:val="00D00A08"/>
    <w:rsid w:val="00D013B9"/>
    <w:rsid w:val="00D018CD"/>
    <w:rsid w:val="00D0198A"/>
    <w:rsid w:val="00D01B59"/>
    <w:rsid w:val="00D01E60"/>
    <w:rsid w:val="00D020DE"/>
    <w:rsid w:val="00D0215D"/>
    <w:rsid w:val="00D0245E"/>
    <w:rsid w:val="00D0280F"/>
    <w:rsid w:val="00D02A81"/>
    <w:rsid w:val="00D02C61"/>
    <w:rsid w:val="00D02D08"/>
    <w:rsid w:val="00D031D7"/>
    <w:rsid w:val="00D033BE"/>
    <w:rsid w:val="00D033EC"/>
    <w:rsid w:val="00D0394B"/>
    <w:rsid w:val="00D03C46"/>
    <w:rsid w:val="00D04144"/>
    <w:rsid w:val="00D04162"/>
    <w:rsid w:val="00D043C1"/>
    <w:rsid w:val="00D04442"/>
    <w:rsid w:val="00D045E0"/>
    <w:rsid w:val="00D046DA"/>
    <w:rsid w:val="00D047AC"/>
    <w:rsid w:val="00D04E7A"/>
    <w:rsid w:val="00D050F1"/>
    <w:rsid w:val="00D05112"/>
    <w:rsid w:val="00D055CB"/>
    <w:rsid w:val="00D0565C"/>
    <w:rsid w:val="00D056B0"/>
    <w:rsid w:val="00D057BA"/>
    <w:rsid w:val="00D059E1"/>
    <w:rsid w:val="00D059E4"/>
    <w:rsid w:val="00D05ADB"/>
    <w:rsid w:val="00D05DD2"/>
    <w:rsid w:val="00D0605A"/>
    <w:rsid w:val="00D0631C"/>
    <w:rsid w:val="00D06D81"/>
    <w:rsid w:val="00D07245"/>
    <w:rsid w:val="00D0775D"/>
    <w:rsid w:val="00D0794D"/>
    <w:rsid w:val="00D079F4"/>
    <w:rsid w:val="00D07C31"/>
    <w:rsid w:val="00D10921"/>
    <w:rsid w:val="00D10B31"/>
    <w:rsid w:val="00D1107D"/>
    <w:rsid w:val="00D111B1"/>
    <w:rsid w:val="00D114D4"/>
    <w:rsid w:val="00D11E07"/>
    <w:rsid w:val="00D1258C"/>
    <w:rsid w:val="00D12714"/>
    <w:rsid w:val="00D12878"/>
    <w:rsid w:val="00D12CB9"/>
    <w:rsid w:val="00D12E95"/>
    <w:rsid w:val="00D12F7E"/>
    <w:rsid w:val="00D13069"/>
    <w:rsid w:val="00D1331B"/>
    <w:rsid w:val="00D133DA"/>
    <w:rsid w:val="00D134E8"/>
    <w:rsid w:val="00D136DB"/>
    <w:rsid w:val="00D13C0E"/>
    <w:rsid w:val="00D13E81"/>
    <w:rsid w:val="00D14041"/>
    <w:rsid w:val="00D14235"/>
    <w:rsid w:val="00D14524"/>
    <w:rsid w:val="00D14616"/>
    <w:rsid w:val="00D14617"/>
    <w:rsid w:val="00D14754"/>
    <w:rsid w:val="00D149F3"/>
    <w:rsid w:val="00D14A9F"/>
    <w:rsid w:val="00D151D6"/>
    <w:rsid w:val="00D155AB"/>
    <w:rsid w:val="00D155CA"/>
    <w:rsid w:val="00D1574C"/>
    <w:rsid w:val="00D15B3B"/>
    <w:rsid w:val="00D15CAA"/>
    <w:rsid w:val="00D15EBA"/>
    <w:rsid w:val="00D15F20"/>
    <w:rsid w:val="00D162DA"/>
    <w:rsid w:val="00D1674D"/>
    <w:rsid w:val="00D16DB7"/>
    <w:rsid w:val="00D16E69"/>
    <w:rsid w:val="00D1700C"/>
    <w:rsid w:val="00D1700F"/>
    <w:rsid w:val="00D1729D"/>
    <w:rsid w:val="00D17394"/>
    <w:rsid w:val="00D175BE"/>
    <w:rsid w:val="00D176F8"/>
    <w:rsid w:val="00D1777C"/>
    <w:rsid w:val="00D20024"/>
    <w:rsid w:val="00D20348"/>
    <w:rsid w:val="00D207DF"/>
    <w:rsid w:val="00D20A3D"/>
    <w:rsid w:val="00D20E4E"/>
    <w:rsid w:val="00D214FC"/>
    <w:rsid w:val="00D217A0"/>
    <w:rsid w:val="00D21DC8"/>
    <w:rsid w:val="00D2201C"/>
    <w:rsid w:val="00D22F0A"/>
    <w:rsid w:val="00D23211"/>
    <w:rsid w:val="00D23951"/>
    <w:rsid w:val="00D23BAA"/>
    <w:rsid w:val="00D23BE5"/>
    <w:rsid w:val="00D240C5"/>
    <w:rsid w:val="00D2411D"/>
    <w:rsid w:val="00D24501"/>
    <w:rsid w:val="00D247F2"/>
    <w:rsid w:val="00D2490B"/>
    <w:rsid w:val="00D24FDE"/>
    <w:rsid w:val="00D25133"/>
    <w:rsid w:val="00D2568D"/>
    <w:rsid w:val="00D25962"/>
    <w:rsid w:val="00D25C93"/>
    <w:rsid w:val="00D25D77"/>
    <w:rsid w:val="00D268AF"/>
    <w:rsid w:val="00D26E75"/>
    <w:rsid w:val="00D26FB9"/>
    <w:rsid w:val="00D279F2"/>
    <w:rsid w:val="00D27B0B"/>
    <w:rsid w:val="00D27BCB"/>
    <w:rsid w:val="00D27F13"/>
    <w:rsid w:val="00D300F1"/>
    <w:rsid w:val="00D30273"/>
    <w:rsid w:val="00D30726"/>
    <w:rsid w:val="00D30732"/>
    <w:rsid w:val="00D3095C"/>
    <w:rsid w:val="00D30AF1"/>
    <w:rsid w:val="00D30CE8"/>
    <w:rsid w:val="00D30D8A"/>
    <w:rsid w:val="00D30F4D"/>
    <w:rsid w:val="00D30F7F"/>
    <w:rsid w:val="00D316AB"/>
    <w:rsid w:val="00D31859"/>
    <w:rsid w:val="00D319EE"/>
    <w:rsid w:val="00D31AC5"/>
    <w:rsid w:val="00D31D6E"/>
    <w:rsid w:val="00D31ECF"/>
    <w:rsid w:val="00D32096"/>
    <w:rsid w:val="00D321FF"/>
    <w:rsid w:val="00D326AD"/>
    <w:rsid w:val="00D328C8"/>
    <w:rsid w:val="00D328CC"/>
    <w:rsid w:val="00D329BF"/>
    <w:rsid w:val="00D32AD2"/>
    <w:rsid w:val="00D32F47"/>
    <w:rsid w:val="00D33230"/>
    <w:rsid w:val="00D3368E"/>
    <w:rsid w:val="00D339FA"/>
    <w:rsid w:val="00D33E6A"/>
    <w:rsid w:val="00D33EBB"/>
    <w:rsid w:val="00D33EE0"/>
    <w:rsid w:val="00D3442B"/>
    <w:rsid w:val="00D34472"/>
    <w:rsid w:val="00D349ED"/>
    <w:rsid w:val="00D34C41"/>
    <w:rsid w:val="00D35792"/>
    <w:rsid w:val="00D357BE"/>
    <w:rsid w:val="00D35904"/>
    <w:rsid w:val="00D359C0"/>
    <w:rsid w:val="00D35E58"/>
    <w:rsid w:val="00D35F5F"/>
    <w:rsid w:val="00D36394"/>
    <w:rsid w:val="00D364FC"/>
    <w:rsid w:val="00D368A9"/>
    <w:rsid w:val="00D36F8E"/>
    <w:rsid w:val="00D37114"/>
    <w:rsid w:val="00D375E1"/>
    <w:rsid w:val="00D37673"/>
    <w:rsid w:val="00D376B0"/>
    <w:rsid w:val="00D37B23"/>
    <w:rsid w:val="00D37D8F"/>
    <w:rsid w:val="00D401FB"/>
    <w:rsid w:val="00D406A1"/>
    <w:rsid w:val="00D40749"/>
    <w:rsid w:val="00D40DC7"/>
    <w:rsid w:val="00D4122F"/>
    <w:rsid w:val="00D41828"/>
    <w:rsid w:val="00D418B4"/>
    <w:rsid w:val="00D419B5"/>
    <w:rsid w:val="00D42ABC"/>
    <w:rsid w:val="00D42DDC"/>
    <w:rsid w:val="00D42F83"/>
    <w:rsid w:val="00D43044"/>
    <w:rsid w:val="00D4373F"/>
    <w:rsid w:val="00D439FF"/>
    <w:rsid w:val="00D43AAD"/>
    <w:rsid w:val="00D43AE1"/>
    <w:rsid w:val="00D4413E"/>
    <w:rsid w:val="00D4427D"/>
    <w:rsid w:val="00D44A00"/>
    <w:rsid w:val="00D44A18"/>
    <w:rsid w:val="00D44A89"/>
    <w:rsid w:val="00D44AB7"/>
    <w:rsid w:val="00D44B1F"/>
    <w:rsid w:val="00D44BEF"/>
    <w:rsid w:val="00D44C28"/>
    <w:rsid w:val="00D44D93"/>
    <w:rsid w:val="00D44E7C"/>
    <w:rsid w:val="00D454CC"/>
    <w:rsid w:val="00D455CB"/>
    <w:rsid w:val="00D4573F"/>
    <w:rsid w:val="00D45823"/>
    <w:rsid w:val="00D459B7"/>
    <w:rsid w:val="00D46135"/>
    <w:rsid w:val="00D46471"/>
    <w:rsid w:val="00D46A19"/>
    <w:rsid w:val="00D46EC3"/>
    <w:rsid w:val="00D46FD1"/>
    <w:rsid w:val="00D47079"/>
    <w:rsid w:val="00D47266"/>
    <w:rsid w:val="00D474FE"/>
    <w:rsid w:val="00D47966"/>
    <w:rsid w:val="00D47D75"/>
    <w:rsid w:val="00D50030"/>
    <w:rsid w:val="00D50123"/>
    <w:rsid w:val="00D506EA"/>
    <w:rsid w:val="00D5073E"/>
    <w:rsid w:val="00D50EB0"/>
    <w:rsid w:val="00D50EB7"/>
    <w:rsid w:val="00D50EE8"/>
    <w:rsid w:val="00D51DFC"/>
    <w:rsid w:val="00D51FB8"/>
    <w:rsid w:val="00D52B37"/>
    <w:rsid w:val="00D52BCB"/>
    <w:rsid w:val="00D53071"/>
    <w:rsid w:val="00D53179"/>
    <w:rsid w:val="00D534E7"/>
    <w:rsid w:val="00D5357D"/>
    <w:rsid w:val="00D535E2"/>
    <w:rsid w:val="00D53684"/>
    <w:rsid w:val="00D537C4"/>
    <w:rsid w:val="00D537D2"/>
    <w:rsid w:val="00D53F8E"/>
    <w:rsid w:val="00D5482E"/>
    <w:rsid w:val="00D54BAD"/>
    <w:rsid w:val="00D54D81"/>
    <w:rsid w:val="00D54D84"/>
    <w:rsid w:val="00D54D8B"/>
    <w:rsid w:val="00D54FA4"/>
    <w:rsid w:val="00D54FC9"/>
    <w:rsid w:val="00D557B7"/>
    <w:rsid w:val="00D558C5"/>
    <w:rsid w:val="00D55C9A"/>
    <w:rsid w:val="00D55D10"/>
    <w:rsid w:val="00D55D69"/>
    <w:rsid w:val="00D55E0B"/>
    <w:rsid w:val="00D55EE1"/>
    <w:rsid w:val="00D56049"/>
    <w:rsid w:val="00D56116"/>
    <w:rsid w:val="00D56268"/>
    <w:rsid w:val="00D567BA"/>
    <w:rsid w:val="00D56904"/>
    <w:rsid w:val="00D56999"/>
    <w:rsid w:val="00D56D16"/>
    <w:rsid w:val="00D56D88"/>
    <w:rsid w:val="00D573C1"/>
    <w:rsid w:val="00D57546"/>
    <w:rsid w:val="00D57737"/>
    <w:rsid w:val="00D57B0E"/>
    <w:rsid w:val="00D57C9D"/>
    <w:rsid w:val="00D57DEA"/>
    <w:rsid w:val="00D57F96"/>
    <w:rsid w:val="00D607BC"/>
    <w:rsid w:val="00D60826"/>
    <w:rsid w:val="00D60A1F"/>
    <w:rsid w:val="00D60C5C"/>
    <w:rsid w:val="00D610EC"/>
    <w:rsid w:val="00D611B0"/>
    <w:rsid w:val="00D611BB"/>
    <w:rsid w:val="00D614B5"/>
    <w:rsid w:val="00D61535"/>
    <w:rsid w:val="00D616F0"/>
    <w:rsid w:val="00D61702"/>
    <w:rsid w:val="00D617EA"/>
    <w:rsid w:val="00D618A7"/>
    <w:rsid w:val="00D61978"/>
    <w:rsid w:val="00D61A13"/>
    <w:rsid w:val="00D61A45"/>
    <w:rsid w:val="00D61AEC"/>
    <w:rsid w:val="00D61BED"/>
    <w:rsid w:val="00D61CB5"/>
    <w:rsid w:val="00D61D57"/>
    <w:rsid w:val="00D61E08"/>
    <w:rsid w:val="00D61E1C"/>
    <w:rsid w:val="00D61E75"/>
    <w:rsid w:val="00D61F1D"/>
    <w:rsid w:val="00D6248E"/>
    <w:rsid w:val="00D62FA7"/>
    <w:rsid w:val="00D63104"/>
    <w:rsid w:val="00D633AB"/>
    <w:rsid w:val="00D638FD"/>
    <w:rsid w:val="00D63C13"/>
    <w:rsid w:val="00D63DB6"/>
    <w:rsid w:val="00D64176"/>
    <w:rsid w:val="00D643EC"/>
    <w:rsid w:val="00D645B8"/>
    <w:rsid w:val="00D6483E"/>
    <w:rsid w:val="00D64C47"/>
    <w:rsid w:val="00D64EE6"/>
    <w:rsid w:val="00D64F59"/>
    <w:rsid w:val="00D650EB"/>
    <w:rsid w:val="00D652C1"/>
    <w:rsid w:val="00D65350"/>
    <w:rsid w:val="00D65915"/>
    <w:rsid w:val="00D65C11"/>
    <w:rsid w:val="00D65F59"/>
    <w:rsid w:val="00D66442"/>
    <w:rsid w:val="00D66A3A"/>
    <w:rsid w:val="00D66FE6"/>
    <w:rsid w:val="00D670DB"/>
    <w:rsid w:val="00D67663"/>
    <w:rsid w:val="00D678A9"/>
    <w:rsid w:val="00D67A72"/>
    <w:rsid w:val="00D67A8B"/>
    <w:rsid w:val="00D70217"/>
    <w:rsid w:val="00D70388"/>
    <w:rsid w:val="00D704FB"/>
    <w:rsid w:val="00D705C9"/>
    <w:rsid w:val="00D705CD"/>
    <w:rsid w:val="00D705EC"/>
    <w:rsid w:val="00D708A0"/>
    <w:rsid w:val="00D715ED"/>
    <w:rsid w:val="00D71614"/>
    <w:rsid w:val="00D719B1"/>
    <w:rsid w:val="00D72156"/>
    <w:rsid w:val="00D7246E"/>
    <w:rsid w:val="00D72712"/>
    <w:rsid w:val="00D72B0F"/>
    <w:rsid w:val="00D72C6E"/>
    <w:rsid w:val="00D72C95"/>
    <w:rsid w:val="00D72EB5"/>
    <w:rsid w:val="00D72F70"/>
    <w:rsid w:val="00D7332D"/>
    <w:rsid w:val="00D73711"/>
    <w:rsid w:val="00D7397F"/>
    <w:rsid w:val="00D73EC1"/>
    <w:rsid w:val="00D747F5"/>
    <w:rsid w:val="00D74BB1"/>
    <w:rsid w:val="00D74C7F"/>
    <w:rsid w:val="00D74FD6"/>
    <w:rsid w:val="00D75066"/>
    <w:rsid w:val="00D754FC"/>
    <w:rsid w:val="00D757D6"/>
    <w:rsid w:val="00D7585B"/>
    <w:rsid w:val="00D7598A"/>
    <w:rsid w:val="00D75B42"/>
    <w:rsid w:val="00D7605D"/>
    <w:rsid w:val="00D765EC"/>
    <w:rsid w:val="00D766D2"/>
    <w:rsid w:val="00D76BEF"/>
    <w:rsid w:val="00D76EA1"/>
    <w:rsid w:val="00D7713F"/>
    <w:rsid w:val="00D77822"/>
    <w:rsid w:val="00D77A22"/>
    <w:rsid w:val="00D77AC7"/>
    <w:rsid w:val="00D77DF4"/>
    <w:rsid w:val="00D8019E"/>
    <w:rsid w:val="00D8053E"/>
    <w:rsid w:val="00D808EC"/>
    <w:rsid w:val="00D80937"/>
    <w:rsid w:val="00D80EC4"/>
    <w:rsid w:val="00D81627"/>
    <w:rsid w:val="00D81A89"/>
    <w:rsid w:val="00D81EBC"/>
    <w:rsid w:val="00D81EFF"/>
    <w:rsid w:val="00D82163"/>
    <w:rsid w:val="00D821D2"/>
    <w:rsid w:val="00D826F9"/>
    <w:rsid w:val="00D8296A"/>
    <w:rsid w:val="00D82B19"/>
    <w:rsid w:val="00D82DD7"/>
    <w:rsid w:val="00D82DFA"/>
    <w:rsid w:val="00D82E65"/>
    <w:rsid w:val="00D82F0A"/>
    <w:rsid w:val="00D830F2"/>
    <w:rsid w:val="00D8331B"/>
    <w:rsid w:val="00D83322"/>
    <w:rsid w:val="00D83475"/>
    <w:rsid w:val="00D8365A"/>
    <w:rsid w:val="00D83769"/>
    <w:rsid w:val="00D83CD8"/>
    <w:rsid w:val="00D83CE5"/>
    <w:rsid w:val="00D83EC3"/>
    <w:rsid w:val="00D84548"/>
    <w:rsid w:val="00D845F1"/>
    <w:rsid w:val="00D8484C"/>
    <w:rsid w:val="00D84885"/>
    <w:rsid w:val="00D84B87"/>
    <w:rsid w:val="00D84BF4"/>
    <w:rsid w:val="00D85B2B"/>
    <w:rsid w:val="00D86C44"/>
    <w:rsid w:val="00D86ECB"/>
    <w:rsid w:val="00D87644"/>
    <w:rsid w:val="00D878C1"/>
    <w:rsid w:val="00D87A09"/>
    <w:rsid w:val="00D87CCC"/>
    <w:rsid w:val="00D87D0F"/>
    <w:rsid w:val="00D87EBC"/>
    <w:rsid w:val="00D90194"/>
    <w:rsid w:val="00D903EC"/>
    <w:rsid w:val="00D906D5"/>
    <w:rsid w:val="00D907C6"/>
    <w:rsid w:val="00D9081B"/>
    <w:rsid w:val="00D90B98"/>
    <w:rsid w:val="00D91699"/>
    <w:rsid w:val="00D91705"/>
    <w:rsid w:val="00D91FC0"/>
    <w:rsid w:val="00D9206D"/>
    <w:rsid w:val="00D922F5"/>
    <w:rsid w:val="00D92945"/>
    <w:rsid w:val="00D92B18"/>
    <w:rsid w:val="00D92DB9"/>
    <w:rsid w:val="00D92E80"/>
    <w:rsid w:val="00D9337E"/>
    <w:rsid w:val="00D933A9"/>
    <w:rsid w:val="00D9389E"/>
    <w:rsid w:val="00D93B75"/>
    <w:rsid w:val="00D93C6B"/>
    <w:rsid w:val="00D93F40"/>
    <w:rsid w:val="00D94318"/>
    <w:rsid w:val="00D947A8"/>
    <w:rsid w:val="00D94A3D"/>
    <w:rsid w:val="00D94EE3"/>
    <w:rsid w:val="00D9530B"/>
    <w:rsid w:val="00D9546A"/>
    <w:rsid w:val="00D95947"/>
    <w:rsid w:val="00D959B6"/>
    <w:rsid w:val="00D95E31"/>
    <w:rsid w:val="00D960B4"/>
    <w:rsid w:val="00D96132"/>
    <w:rsid w:val="00D961A5"/>
    <w:rsid w:val="00D963A8"/>
    <w:rsid w:val="00D969E4"/>
    <w:rsid w:val="00D96E82"/>
    <w:rsid w:val="00D970A1"/>
    <w:rsid w:val="00D97582"/>
    <w:rsid w:val="00D97831"/>
    <w:rsid w:val="00D97D10"/>
    <w:rsid w:val="00D97D39"/>
    <w:rsid w:val="00DA0459"/>
    <w:rsid w:val="00DA0F7A"/>
    <w:rsid w:val="00DA130C"/>
    <w:rsid w:val="00DA1653"/>
    <w:rsid w:val="00DA209A"/>
    <w:rsid w:val="00DA2801"/>
    <w:rsid w:val="00DA29C8"/>
    <w:rsid w:val="00DA2B67"/>
    <w:rsid w:val="00DA2E18"/>
    <w:rsid w:val="00DA2EE0"/>
    <w:rsid w:val="00DA2F94"/>
    <w:rsid w:val="00DA350B"/>
    <w:rsid w:val="00DA36FF"/>
    <w:rsid w:val="00DA38D8"/>
    <w:rsid w:val="00DA3BB4"/>
    <w:rsid w:val="00DA3C8C"/>
    <w:rsid w:val="00DA4357"/>
    <w:rsid w:val="00DA455E"/>
    <w:rsid w:val="00DA4582"/>
    <w:rsid w:val="00DA4591"/>
    <w:rsid w:val="00DA4981"/>
    <w:rsid w:val="00DA4ABA"/>
    <w:rsid w:val="00DA4D05"/>
    <w:rsid w:val="00DA4EEF"/>
    <w:rsid w:val="00DA50C3"/>
    <w:rsid w:val="00DA5119"/>
    <w:rsid w:val="00DA51CE"/>
    <w:rsid w:val="00DA51DF"/>
    <w:rsid w:val="00DA5701"/>
    <w:rsid w:val="00DA5939"/>
    <w:rsid w:val="00DA5C56"/>
    <w:rsid w:val="00DA5F6F"/>
    <w:rsid w:val="00DA6487"/>
    <w:rsid w:val="00DA64A3"/>
    <w:rsid w:val="00DA681C"/>
    <w:rsid w:val="00DA6C6E"/>
    <w:rsid w:val="00DA6EE3"/>
    <w:rsid w:val="00DA707E"/>
    <w:rsid w:val="00DA7115"/>
    <w:rsid w:val="00DA74EB"/>
    <w:rsid w:val="00DA75B7"/>
    <w:rsid w:val="00DA7C6F"/>
    <w:rsid w:val="00DB017A"/>
    <w:rsid w:val="00DB0540"/>
    <w:rsid w:val="00DB05D7"/>
    <w:rsid w:val="00DB0763"/>
    <w:rsid w:val="00DB0873"/>
    <w:rsid w:val="00DB0F6D"/>
    <w:rsid w:val="00DB0FF1"/>
    <w:rsid w:val="00DB10FF"/>
    <w:rsid w:val="00DB145A"/>
    <w:rsid w:val="00DB1765"/>
    <w:rsid w:val="00DB17CE"/>
    <w:rsid w:val="00DB1A02"/>
    <w:rsid w:val="00DB1C5B"/>
    <w:rsid w:val="00DB1D45"/>
    <w:rsid w:val="00DB1FB8"/>
    <w:rsid w:val="00DB2144"/>
    <w:rsid w:val="00DB217D"/>
    <w:rsid w:val="00DB2357"/>
    <w:rsid w:val="00DB28F3"/>
    <w:rsid w:val="00DB2979"/>
    <w:rsid w:val="00DB2B2E"/>
    <w:rsid w:val="00DB31B5"/>
    <w:rsid w:val="00DB33AE"/>
    <w:rsid w:val="00DB33B4"/>
    <w:rsid w:val="00DB3875"/>
    <w:rsid w:val="00DB394D"/>
    <w:rsid w:val="00DB39A6"/>
    <w:rsid w:val="00DB3DD4"/>
    <w:rsid w:val="00DB3F19"/>
    <w:rsid w:val="00DB3F8D"/>
    <w:rsid w:val="00DB3F8E"/>
    <w:rsid w:val="00DB4169"/>
    <w:rsid w:val="00DB4394"/>
    <w:rsid w:val="00DB47E7"/>
    <w:rsid w:val="00DB483A"/>
    <w:rsid w:val="00DB4972"/>
    <w:rsid w:val="00DB49D8"/>
    <w:rsid w:val="00DB4A4F"/>
    <w:rsid w:val="00DB4A89"/>
    <w:rsid w:val="00DB55E2"/>
    <w:rsid w:val="00DB5671"/>
    <w:rsid w:val="00DB5676"/>
    <w:rsid w:val="00DB57B2"/>
    <w:rsid w:val="00DB5C02"/>
    <w:rsid w:val="00DB60D1"/>
    <w:rsid w:val="00DB6729"/>
    <w:rsid w:val="00DB71CF"/>
    <w:rsid w:val="00DB72FD"/>
    <w:rsid w:val="00DB736A"/>
    <w:rsid w:val="00DB741A"/>
    <w:rsid w:val="00DB7943"/>
    <w:rsid w:val="00DB7E56"/>
    <w:rsid w:val="00DB7E8A"/>
    <w:rsid w:val="00DC03AC"/>
    <w:rsid w:val="00DC0423"/>
    <w:rsid w:val="00DC0519"/>
    <w:rsid w:val="00DC06FC"/>
    <w:rsid w:val="00DC0E2B"/>
    <w:rsid w:val="00DC0F65"/>
    <w:rsid w:val="00DC119A"/>
    <w:rsid w:val="00DC12E9"/>
    <w:rsid w:val="00DC14E3"/>
    <w:rsid w:val="00DC1783"/>
    <w:rsid w:val="00DC1957"/>
    <w:rsid w:val="00DC1CB5"/>
    <w:rsid w:val="00DC1CDD"/>
    <w:rsid w:val="00DC1E76"/>
    <w:rsid w:val="00DC20FC"/>
    <w:rsid w:val="00DC2113"/>
    <w:rsid w:val="00DC2B21"/>
    <w:rsid w:val="00DC2CB7"/>
    <w:rsid w:val="00DC3453"/>
    <w:rsid w:val="00DC3532"/>
    <w:rsid w:val="00DC357A"/>
    <w:rsid w:val="00DC3640"/>
    <w:rsid w:val="00DC3717"/>
    <w:rsid w:val="00DC38FC"/>
    <w:rsid w:val="00DC3914"/>
    <w:rsid w:val="00DC3D1C"/>
    <w:rsid w:val="00DC3F41"/>
    <w:rsid w:val="00DC43FF"/>
    <w:rsid w:val="00DC4833"/>
    <w:rsid w:val="00DC49AF"/>
    <w:rsid w:val="00DC4A71"/>
    <w:rsid w:val="00DC4EE2"/>
    <w:rsid w:val="00DC52FE"/>
    <w:rsid w:val="00DC54B1"/>
    <w:rsid w:val="00DC55B4"/>
    <w:rsid w:val="00DC5662"/>
    <w:rsid w:val="00DC572D"/>
    <w:rsid w:val="00DC5767"/>
    <w:rsid w:val="00DC593C"/>
    <w:rsid w:val="00DC5A77"/>
    <w:rsid w:val="00DC5C21"/>
    <w:rsid w:val="00DC5C26"/>
    <w:rsid w:val="00DC5D92"/>
    <w:rsid w:val="00DC6BDF"/>
    <w:rsid w:val="00DC6D11"/>
    <w:rsid w:val="00DC6F5A"/>
    <w:rsid w:val="00DC70A5"/>
    <w:rsid w:val="00DC7343"/>
    <w:rsid w:val="00DC74C1"/>
    <w:rsid w:val="00DC777B"/>
    <w:rsid w:val="00DC78F9"/>
    <w:rsid w:val="00DC7AC7"/>
    <w:rsid w:val="00DD0F0C"/>
    <w:rsid w:val="00DD1161"/>
    <w:rsid w:val="00DD11DB"/>
    <w:rsid w:val="00DD14FD"/>
    <w:rsid w:val="00DD1654"/>
    <w:rsid w:val="00DD1905"/>
    <w:rsid w:val="00DD1AA6"/>
    <w:rsid w:val="00DD1B1E"/>
    <w:rsid w:val="00DD1C5B"/>
    <w:rsid w:val="00DD234F"/>
    <w:rsid w:val="00DD2BB4"/>
    <w:rsid w:val="00DD3059"/>
    <w:rsid w:val="00DD30C6"/>
    <w:rsid w:val="00DD3526"/>
    <w:rsid w:val="00DD3584"/>
    <w:rsid w:val="00DD3A78"/>
    <w:rsid w:val="00DD3A89"/>
    <w:rsid w:val="00DD3ECF"/>
    <w:rsid w:val="00DD41D7"/>
    <w:rsid w:val="00DD4253"/>
    <w:rsid w:val="00DD44B2"/>
    <w:rsid w:val="00DD499B"/>
    <w:rsid w:val="00DD524D"/>
    <w:rsid w:val="00DD5446"/>
    <w:rsid w:val="00DD564E"/>
    <w:rsid w:val="00DD5653"/>
    <w:rsid w:val="00DD5812"/>
    <w:rsid w:val="00DD5996"/>
    <w:rsid w:val="00DD5AA1"/>
    <w:rsid w:val="00DD5D5B"/>
    <w:rsid w:val="00DD5F7C"/>
    <w:rsid w:val="00DD5F9A"/>
    <w:rsid w:val="00DD6DA9"/>
    <w:rsid w:val="00DD6EDE"/>
    <w:rsid w:val="00DD6EE7"/>
    <w:rsid w:val="00DD7417"/>
    <w:rsid w:val="00DD75C8"/>
    <w:rsid w:val="00DD7A97"/>
    <w:rsid w:val="00DD7F6C"/>
    <w:rsid w:val="00DE04AD"/>
    <w:rsid w:val="00DE0D17"/>
    <w:rsid w:val="00DE0E96"/>
    <w:rsid w:val="00DE110A"/>
    <w:rsid w:val="00DE17A6"/>
    <w:rsid w:val="00DE18A2"/>
    <w:rsid w:val="00DE1C85"/>
    <w:rsid w:val="00DE20AB"/>
    <w:rsid w:val="00DE211C"/>
    <w:rsid w:val="00DE220B"/>
    <w:rsid w:val="00DE24FB"/>
    <w:rsid w:val="00DE268F"/>
    <w:rsid w:val="00DE2FCC"/>
    <w:rsid w:val="00DE330F"/>
    <w:rsid w:val="00DE33B1"/>
    <w:rsid w:val="00DE35F6"/>
    <w:rsid w:val="00DE3C2C"/>
    <w:rsid w:val="00DE3F4D"/>
    <w:rsid w:val="00DE513B"/>
    <w:rsid w:val="00DE52CF"/>
    <w:rsid w:val="00DE568A"/>
    <w:rsid w:val="00DE5893"/>
    <w:rsid w:val="00DE5BBF"/>
    <w:rsid w:val="00DE5BF3"/>
    <w:rsid w:val="00DE5D00"/>
    <w:rsid w:val="00DE5D35"/>
    <w:rsid w:val="00DE60AF"/>
    <w:rsid w:val="00DE6237"/>
    <w:rsid w:val="00DE63B5"/>
    <w:rsid w:val="00DE64E8"/>
    <w:rsid w:val="00DE68C8"/>
    <w:rsid w:val="00DE6C93"/>
    <w:rsid w:val="00DE748C"/>
    <w:rsid w:val="00DE74D5"/>
    <w:rsid w:val="00DE7553"/>
    <w:rsid w:val="00DF062D"/>
    <w:rsid w:val="00DF06EB"/>
    <w:rsid w:val="00DF0927"/>
    <w:rsid w:val="00DF0A84"/>
    <w:rsid w:val="00DF0D8D"/>
    <w:rsid w:val="00DF1436"/>
    <w:rsid w:val="00DF1708"/>
    <w:rsid w:val="00DF1902"/>
    <w:rsid w:val="00DF1B3A"/>
    <w:rsid w:val="00DF1BB0"/>
    <w:rsid w:val="00DF1DAB"/>
    <w:rsid w:val="00DF1FDB"/>
    <w:rsid w:val="00DF26B8"/>
    <w:rsid w:val="00DF2C12"/>
    <w:rsid w:val="00DF2C86"/>
    <w:rsid w:val="00DF31A8"/>
    <w:rsid w:val="00DF3C5F"/>
    <w:rsid w:val="00DF42CB"/>
    <w:rsid w:val="00DF4920"/>
    <w:rsid w:val="00DF4A8F"/>
    <w:rsid w:val="00DF4C01"/>
    <w:rsid w:val="00DF4D1A"/>
    <w:rsid w:val="00DF4D98"/>
    <w:rsid w:val="00DF508B"/>
    <w:rsid w:val="00DF5126"/>
    <w:rsid w:val="00DF5257"/>
    <w:rsid w:val="00DF5319"/>
    <w:rsid w:val="00DF5368"/>
    <w:rsid w:val="00DF5811"/>
    <w:rsid w:val="00DF5ADA"/>
    <w:rsid w:val="00DF66B2"/>
    <w:rsid w:val="00DF67D5"/>
    <w:rsid w:val="00DF6812"/>
    <w:rsid w:val="00DF72A9"/>
    <w:rsid w:val="00DF77BC"/>
    <w:rsid w:val="00DF7950"/>
    <w:rsid w:val="00DF7DC1"/>
    <w:rsid w:val="00DF7FFE"/>
    <w:rsid w:val="00E00090"/>
    <w:rsid w:val="00E000B9"/>
    <w:rsid w:val="00E000BB"/>
    <w:rsid w:val="00E0016F"/>
    <w:rsid w:val="00E001C9"/>
    <w:rsid w:val="00E0087A"/>
    <w:rsid w:val="00E00982"/>
    <w:rsid w:val="00E009A5"/>
    <w:rsid w:val="00E00FDB"/>
    <w:rsid w:val="00E010B0"/>
    <w:rsid w:val="00E01B00"/>
    <w:rsid w:val="00E01FCA"/>
    <w:rsid w:val="00E01FDE"/>
    <w:rsid w:val="00E02128"/>
    <w:rsid w:val="00E021E7"/>
    <w:rsid w:val="00E02345"/>
    <w:rsid w:val="00E02355"/>
    <w:rsid w:val="00E0280A"/>
    <w:rsid w:val="00E02B6D"/>
    <w:rsid w:val="00E031BA"/>
    <w:rsid w:val="00E03A44"/>
    <w:rsid w:val="00E03C27"/>
    <w:rsid w:val="00E03C86"/>
    <w:rsid w:val="00E04513"/>
    <w:rsid w:val="00E045EA"/>
    <w:rsid w:val="00E04853"/>
    <w:rsid w:val="00E0514F"/>
    <w:rsid w:val="00E051A6"/>
    <w:rsid w:val="00E05329"/>
    <w:rsid w:val="00E054C0"/>
    <w:rsid w:val="00E0565A"/>
    <w:rsid w:val="00E058C9"/>
    <w:rsid w:val="00E05B4B"/>
    <w:rsid w:val="00E05C97"/>
    <w:rsid w:val="00E05D70"/>
    <w:rsid w:val="00E06BB3"/>
    <w:rsid w:val="00E07187"/>
    <w:rsid w:val="00E073EC"/>
    <w:rsid w:val="00E0793A"/>
    <w:rsid w:val="00E07C1A"/>
    <w:rsid w:val="00E07D0A"/>
    <w:rsid w:val="00E07DA8"/>
    <w:rsid w:val="00E1006A"/>
    <w:rsid w:val="00E10214"/>
    <w:rsid w:val="00E1047B"/>
    <w:rsid w:val="00E1054D"/>
    <w:rsid w:val="00E105EB"/>
    <w:rsid w:val="00E109D4"/>
    <w:rsid w:val="00E10ACE"/>
    <w:rsid w:val="00E10DE6"/>
    <w:rsid w:val="00E1115F"/>
    <w:rsid w:val="00E115E4"/>
    <w:rsid w:val="00E117D3"/>
    <w:rsid w:val="00E11C0C"/>
    <w:rsid w:val="00E120E7"/>
    <w:rsid w:val="00E12163"/>
    <w:rsid w:val="00E1239B"/>
    <w:rsid w:val="00E12C9B"/>
    <w:rsid w:val="00E12D7C"/>
    <w:rsid w:val="00E13071"/>
    <w:rsid w:val="00E13334"/>
    <w:rsid w:val="00E1338F"/>
    <w:rsid w:val="00E134B3"/>
    <w:rsid w:val="00E1351B"/>
    <w:rsid w:val="00E14682"/>
    <w:rsid w:val="00E146CA"/>
    <w:rsid w:val="00E14FAF"/>
    <w:rsid w:val="00E15002"/>
    <w:rsid w:val="00E150C6"/>
    <w:rsid w:val="00E15526"/>
    <w:rsid w:val="00E1575B"/>
    <w:rsid w:val="00E15964"/>
    <w:rsid w:val="00E159CB"/>
    <w:rsid w:val="00E15DD6"/>
    <w:rsid w:val="00E1615B"/>
    <w:rsid w:val="00E163C7"/>
    <w:rsid w:val="00E163C8"/>
    <w:rsid w:val="00E1665A"/>
    <w:rsid w:val="00E16A5B"/>
    <w:rsid w:val="00E16CF5"/>
    <w:rsid w:val="00E17201"/>
    <w:rsid w:val="00E179B1"/>
    <w:rsid w:val="00E17A20"/>
    <w:rsid w:val="00E20438"/>
    <w:rsid w:val="00E2049C"/>
    <w:rsid w:val="00E2053F"/>
    <w:rsid w:val="00E20958"/>
    <w:rsid w:val="00E20ABC"/>
    <w:rsid w:val="00E2109D"/>
    <w:rsid w:val="00E21620"/>
    <w:rsid w:val="00E21BAF"/>
    <w:rsid w:val="00E22375"/>
    <w:rsid w:val="00E223CE"/>
    <w:rsid w:val="00E2260C"/>
    <w:rsid w:val="00E22A5B"/>
    <w:rsid w:val="00E22BEE"/>
    <w:rsid w:val="00E22CA6"/>
    <w:rsid w:val="00E22DEA"/>
    <w:rsid w:val="00E234D0"/>
    <w:rsid w:val="00E234D5"/>
    <w:rsid w:val="00E23652"/>
    <w:rsid w:val="00E237F4"/>
    <w:rsid w:val="00E23861"/>
    <w:rsid w:val="00E23A5D"/>
    <w:rsid w:val="00E23D30"/>
    <w:rsid w:val="00E23E01"/>
    <w:rsid w:val="00E23E5F"/>
    <w:rsid w:val="00E241EA"/>
    <w:rsid w:val="00E2435C"/>
    <w:rsid w:val="00E2444D"/>
    <w:rsid w:val="00E24567"/>
    <w:rsid w:val="00E24893"/>
    <w:rsid w:val="00E248C5"/>
    <w:rsid w:val="00E249E3"/>
    <w:rsid w:val="00E24BA6"/>
    <w:rsid w:val="00E24D32"/>
    <w:rsid w:val="00E25147"/>
    <w:rsid w:val="00E25661"/>
    <w:rsid w:val="00E25961"/>
    <w:rsid w:val="00E25A65"/>
    <w:rsid w:val="00E25B29"/>
    <w:rsid w:val="00E25C8D"/>
    <w:rsid w:val="00E25CD9"/>
    <w:rsid w:val="00E26086"/>
    <w:rsid w:val="00E260DA"/>
    <w:rsid w:val="00E26301"/>
    <w:rsid w:val="00E2637C"/>
    <w:rsid w:val="00E26403"/>
    <w:rsid w:val="00E2651D"/>
    <w:rsid w:val="00E26AA0"/>
    <w:rsid w:val="00E26B97"/>
    <w:rsid w:val="00E26E98"/>
    <w:rsid w:val="00E2776C"/>
    <w:rsid w:val="00E27B1F"/>
    <w:rsid w:val="00E27CDC"/>
    <w:rsid w:val="00E27E2B"/>
    <w:rsid w:val="00E303C3"/>
    <w:rsid w:val="00E307A9"/>
    <w:rsid w:val="00E309C4"/>
    <w:rsid w:val="00E30B8F"/>
    <w:rsid w:val="00E30C05"/>
    <w:rsid w:val="00E30D0B"/>
    <w:rsid w:val="00E30D90"/>
    <w:rsid w:val="00E30E5A"/>
    <w:rsid w:val="00E310AC"/>
    <w:rsid w:val="00E311D8"/>
    <w:rsid w:val="00E319AB"/>
    <w:rsid w:val="00E31AB5"/>
    <w:rsid w:val="00E31D80"/>
    <w:rsid w:val="00E31F82"/>
    <w:rsid w:val="00E31FE2"/>
    <w:rsid w:val="00E321E6"/>
    <w:rsid w:val="00E324E4"/>
    <w:rsid w:val="00E3255D"/>
    <w:rsid w:val="00E325DC"/>
    <w:rsid w:val="00E32A75"/>
    <w:rsid w:val="00E32D37"/>
    <w:rsid w:val="00E32DF0"/>
    <w:rsid w:val="00E32E08"/>
    <w:rsid w:val="00E32FF4"/>
    <w:rsid w:val="00E332A4"/>
    <w:rsid w:val="00E33480"/>
    <w:rsid w:val="00E334E6"/>
    <w:rsid w:val="00E3370D"/>
    <w:rsid w:val="00E33DAD"/>
    <w:rsid w:val="00E33E27"/>
    <w:rsid w:val="00E340B3"/>
    <w:rsid w:val="00E3436C"/>
    <w:rsid w:val="00E34AF5"/>
    <w:rsid w:val="00E34B23"/>
    <w:rsid w:val="00E35536"/>
    <w:rsid w:val="00E355C9"/>
    <w:rsid w:val="00E35B48"/>
    <w:rsid w:val="00E35CD2"/>
    <w:rsid w:val="00E369BE"/>
    <w:rsid w:val="00E36D08"/>
    <w:rsid w:val="00E36F28"/>
    <w:rsid w:val="00E36FC1"/>
    <w:rsid w:val="00E37035"/>
    <w:rsid w:val="00E373B4"/>
    <w:rsid w:val="00E3751F"/>
    <w:rsid w:val="00E37605"/>
    <w:rsid w:val="00E37E60"/>
    <w:rsid w:val="00E37FC5"/>
    <w:rsid w:val="00E4003F"/>
    <w:rsid w:val="00E40079"/>
    <w:rsid w:val="00E40120"/>
    <w:rsid w:val="00E4012E"/>
    <w:rsid w:val="00E40141"/>
    <w:rsid w:val="00E40186"/>
    <w:rsid w:val="00E40398"/>
    <w:rsid w:val="00E405B2"/>
    <w:rsid w:val="00E40629"/>
    <w:rsid w:val="00E40752"/>
    <w:rsid w:val="00E40779"/>
    <w:rsid w:val="00E40861"/>
    <w:rsid w:val="00E40A43"/>
    <w:rsid w:val="00E41238"/>
    <w:rsid w:val="00E41D29"/>
    <w:rsid w:val="00E4235F"/>
    <w:rsid w:val="00E42399"/>
    <w:rsid w:val="00E4275D"/>
    <w:rsid w:val="00E42801"/>
    <w:rsid w:val="00E42C16"/>
    <w:rsid w:val="00E42C5A"/>
    <w:rsid w:val="00E42C87"/>
    <w:rsid w:val="00E42CB7"/>
    <w:rsid w:val="00E42D75"/>
    <w:rsid w:val="00E430CF"/>
    <w:rsid w:val="00E43535"/>
    <w:rsid w:val="00E43686"/>
    <w:rsid w:val="00E439AD"/>
    <w:rsid w:val="00E43A6A"/>
    <w:rsid w:val="00E43AA0"/>
    <w:rsid w:val="00E43C2B"/>
    <w:rsid w:val="00E43DE8"/>
    <w:rsid w:val="00E43E1D"/>
    <w:rsid w:val="00E43EAC"/>
    <w:rsid w:val="00E440B2"/>
    <w:rsid w:val="00E44203"/>
    <w:rsid w:val="00E445A2"/>
    <w:rsid w:val="00E44724"/>
    <w:rsid w:val="00E44801"/>
    <w:rsid w:val="00E44925"/>
    <w:rsid w:val="00E44BEF"/>
    <w:rsid w:val="00E44C7A"/>
    <w:rsid w:val="00E45BA1"/>
    <w:rsid w:val="00E45BF0"/>
    <w:rsid w:val="00E46438"/>
    <w:rsid w:val="00E46597"/>
    <w:rsid w:val="00E465E9"/>
    <w:rsid w:val="00E46667"/>
    <w:rsid w:val="00E46A70"/>
    <w:rsid w:val="00E470B5"/>
    <w:rsid w:val="00E472CD"/>
    <w:rsid w:val="00E4765F"/>
    <w:rsid w:val="00E478CF"/>
    <w:rsid w:val="00E47A11"/>
    <w:rsid w:val="00E47D0B"/>
    <w:rsid w:val="00E47D73"/>
    <w:rsid w:val="00E47DCC"/>
    <w:rsid w:val="00E47FC3"/>
    <w:rsid w:val="00E50099"/>
    <w:rsid w:val="00E5043B"/>
    <w:rsid w:val="00E50BD4"/>
    <w:rsid w:val="00E50E9D"/>
    <w:rsid w:val="00E511C7"/>
    <w:rsid w:val="00E512C0"/>
    <w:rsid w:val="00E51476"/>
    <w:rsid w:val="00E51522"/>
    <w:rsid w:val="00E51BCB"/>
    <w:rsid w:val="00E51CE9"/>
    <w:rsid w:val="00E51FE8"/>
    <w:rsid w:val="00E5241C"/>
    <w:rsid w:val="00E526BB"/>
    <w:rsid w:val="00E52798"/>
    <w:rsid w:val="00E527E4"/>
    <w:rsid w:val="00E52988"/>
    <w:rsid w:val="00E52EB5"/>
    <w:rsid w:val="00E534A0"/>
    <w:rsid w:val="00E53AAD"/>
    <w:rsid w:val="00E5402C"/>
    <w:rsid w:val="00E543A4"/>
    <w:rsid w:val="00E5475C"/>
    <w:rsid w:val="00E54C6D"/>
    <w:rsid w:val="00E54E24"/>
    <w:rsid w:val="00E54ECB"/>
    <w:rsid w:val="00E54EF1"/>
    <w:rsid w:val="00E55073"/>
    <w:rsid w:val="00E550E1"/>
    <w:rsid w:val="00E55145"/>
    <w:rsid w:val="00E551D2"/>
    <w:rsid w:val="00E55425"/>
    <w:rsid w:val="00E5557D"/>
    <w:rsid w:val="00E55C07"/>
    <w:rsid w:val="00E55C41"/>
    <w:rsid w:val="00E5604F"/>
    <w:rsid w:val="00E562C2"/>
    <w:rsid w:val="00E5654D"/>
    <w:rsid w:val="00E567E7"/>
    <w:rsid w:val="00E569A4"/>
    <w:rsid w:val="00E57115"/>
    <w:rsid w:val="00E57138"/>
    <w:rsid w:val="00E579D9"/>
    <w:rsid w:val="00E57C7E"/>
    <w:rsid w:val="00E57CFA"/>
    <w:rsid w:val="00E57DA8"/>
    <w:rsid w:val="00E57F24"/>
    <w:rsid w:val="00E57FFB"/>
    <w:rsid w:val="00E60594"/>
    <w:rsid w:val="00E607BA"/>
    <w:rsid w:val="00E60A04"/>
    <w:rsid w:val="00E60A6E"/>
    <w:rsid w:val="00E60E60"/>
    <w:rsid w:val="00E61152"/>
    <w:rsid w:val="00E615AD"/>
    <w:rsid w:val="00E61656"/>
    <w:rsid w:val="00E61726"/>
    <w:rsid w:val="00E61BF3"/>
    <w:rsid w:val="00E61C3F"/>
    <w:rsid w:val="00E61C48"/>
    <w:rsid w:val="00E6224B"/>
    <w:rsid w:val="00E62938"/>
    <w:rsid w:val="00E62EF6"/>
    <w:rsid w:val="00E63319"/>
    <w:rsid w:val="00E63B3A"/>
    <w:rsid w:val="00E63BFD"/>
    <w:rsid w:val="00E63C9A"/>
    <w:rsid w:val="00E64556"/>
    <w:rsid w:val="00E64AF9"/>
    <w:rsid w:val="00E64BA6"/>
    <w:rsid w:val="00E64C6C"/>
    <w:rsid w:val="00E64EE1"/>
    <w:rsid w:val="00E64F3E"/>
    <w:rsid w:val="00E65018"/>
    <w:rsid w:val="00E650FD"/>
    <w:rsid w:val="00E653E8"/>
    <w:rsid w:val="00E6565B"/>
    <w:rsid w:val="00E65868"/>
    <w:rsid w:val="00E65C86"/>
    <w:rsid w:val="00E65F19"/>
    <w:rsid w:val="00E65F67"/>
    <w:rsid w:val="00E6749B"/>
    <w:rsid w:val="00E70641"/>
    <w:rsid w:val="00E70679"/>
    <w:rsid w:val="00E7073F"/>
    <w:rsid w:val="00E70AE3"/>
    <w:rsid w:val="00E70BB5"/>
    <w:rsid w:val="00E70D3D"/>
    <w:rsid w:val="00E70F3F"/>
    <w:rsid w:val="00E7109B"/>
    <w:rsid w:val="00E71486"/>
    <w:rsid w:val="00E714FB"/>
    <w:rsid w:val="00E717A2"/>
    <w:rsid w:val="00E7183E"/>
    <w:rsid w:val="00E71DE1"/>
    <w:rsid w:val="00E71F9E"/>
    <w:rsid w:val="00E72384"/>
    <w:rsid w:val="00E723B6"/>
    <w:rsid w:val="00E728F7"/>
    <w:rsid w:val="00E72D14"/>
    <w:rsid w:val="00E73055"/>
    <w:rsid w:val="00E73297"/>
    <w:rsid w:val="00E73397"/>
    <w:rsid w:val="00E736E9"/>
    <w:rsid w:val="00E73928"/>
    <w:rsid w:val="00E7399C"/>
    <w:rsid w:val="00E73B10"/>
    <w:rsid w:val="00E73FBC"/>
    <w:rsid w:val="00E743C0"/>
    <w:rsid w:val="00E74650"/>
    <w:rsid w:val="00E74719"/>
    <w:rsid w:val="00E74816"/>
    <w:rsid w:val="00E74F71"/>
    <w:rsid w:val="00E751D1"/>
    <w:rsid w:val="00E753D1"/>
    <w:rsid w:val="00E7551B"/>
    <w:rsid w:val="00E75654"/>
    <w:rsid w:val="00E75F7A"/>
    <w:rsid w:val="00E76687"/>
    <w:rsid w:val="00E7684D"/>
    <w:rsid w:val="00E768EC"/>
    <w:rsid w:val="00E769E9"/>
    <w:rsid w:val="00E76ACC"/>
    <w:rsid w:val="00E76D5C"/>
    <w:rsid w:val="00E76F07"/>
    <w:rsid w:val="00E77461"/>
    <w:rsid w:val="00E77539"/>
    <w:rsid w:val="00E776DD"/>
    <w:rsid w:val="00E77B95"/>
    <w:rsid w:val="00E77EA2"/>
    <w:rsid w:val="00E77ED4"/>
    <w:rsid w:val="00E77FB3"/>
    <w:rsid w:val="00E8006E"/>
    <w:rsid w:val="00E801E5"/>
    <w:rsid w:val="00E80242"/>
    <w:rsid w:val="00E803AE"/>
    <w:rsid w:val="00E805C0"/>
    <w:rsid w:val="00E80A69"/>
    <w:rsid w:val="00E80D2B"/>
    <w:rsid w:val="00E8119D"/>
    <w:rsid w:val="00E813D6"/>
    <w:rsid w:val="00E81516"/>
    <w:rsid w:val="00E8163E"/>
    <w:rsid w:val="00E81788"/>
    <w:rsid w:val="00E81F0E"/>
    <w:rsid w:val="00E82084"/>
    <w:rsid w:val="00E82216"/>
    <w:rsid w:val="00E82588"/>
    <w:rsid w:val="00E825DD"/>
    <w:rsid w:val="00E82761"/>
    <w:rsid w:val="00E827AD"/>
    <w:rsid w:val="00E82B83"/>
    <w:rsid w:val="00E82C5D"/>
    <w:rsid w:val="00E82DC6"/>
    <w:rsid w:val="00E82FE3"/>
    <w:rsid w:val="00E83175"/>
    <w:rsid w:val="00E83259"/>
    <w:rsid w:val="00E8325A"/>
    <w:rsid w:val="00E83856"/>
    <w:rsid w:val="00E839CE"/>
    <w:rsid w:val="00E83D7A"/>
    <w:rsid w:val="00E83E58"/>
    <w:rsid w:val="00E84217"/>
    <w:rsid w:val="00E84256"/>
    <w:rsid w:val="00E8429F"/>
    <w:rsid w:val="00E845E4"/>
    <w:rsid w:val="00E84817"/>
    <w:rsid w:val="00E84AB6"/>
    <w:rsid w:val="00E84C5B"/>
    <w:rsid w:val="00E84EBD"/>
    <w:rsid w:val="00E84EC7"/>
    <w:rsid w:val="00E84F1C"/>
    <w:rsid w:val="00E85261"/>
    <w:rsid w:val="00E85583"/>
    <w:rsid w:val="00E8581B"/>
    <w:rsid w:val="00E8581E"/>
    <w:rsid w:val="00E859C6"/>
    <w:rsid w:val="00E85AB1"/>
    <w:rsid w:val="00E85B4B"/>
    <w:rsid w:val="00E85CA2"/>
    <w:rsid w:val="00E85EF4"/>
    <w:rsid w:val="00E867DA"/>
    <w:rsid w:val="00E868E1"/>
    <w:rsid w:val="00E86E10"/>
    <w:rsid w:val="00E8741E"/>
    <w:rsid w:val="00E874BF"/>
    <w:rsid w:val="00E874D0"/>
    <w:rsid w:val="00E8760B"/>
    <w:rsid w:val="00E876F2"/>
    <w:rsid w:val="00E87A0E"/>
    <w:rsid w:val="00E87AD0"/>
    <w:rsid w:val="00E87D60"/>
    <w:rsid w:val="00E900B8"/>
    <w:rsid w:val="00E902D5"/>
    <w:rsid w:val="00E909C8"/>
    <w:rsid w:val="00E90AAC"/>
    <w:rsid w:val="00E90BB5"/>
    <w:rsid w:val="00E90C9B"/>
    <w:rsid w:val="00E90CAE"/>
    <w:rsid w:val="00E90D53"/>
    <w:rsid w:val="00E90F2A"/>
    <w:rsid w:val="00E9120F"/>
    <w:rsid w:val="00E91282"/>
    <w:rsid w:val="00E912C4"/>
    <w:rsid w:val="00E91649"/>
    <w:rsid w:val="00E91726"/>
    <w:rsid w:val="00E91984"/>
    <w:rsid w:val="00E91A1C"/>
    <w:rsid w:val="00E91E6A"/>
    <w:rsid w:val="00E92736"/>
    <w:rsid w:val="00E92843"/>
    <w:rsid w:val="00E92D85"/>
    <w:rsid w:val="00E92E72"/>
    <w:rsid w:val="00E93B25"/>
    <w:rsid w:val="00E93CCD"/>
    <w:rsid w:val="00E93EFA"/>
    <w:rsid w:val="00E943AD"/>
    <w:rsid w:val="00E944BC"/>
    <w:rsid w:val="00E94B7C"/>
    <w:rsid w:val="00E94CB1"/>
    <w:rsid w:val="00E94DF8"/>
    <w:rsid w:val="00E95397"/>
    <w:rsid w:val="00E9582B"/>
    <w:rsid w:val="00E95915"/>
    <w:rsid w:val="00E95B1D"/>
    <w:rsid w:val="00E95BE0"/>
    <w:rsid w:val="00E96109"/>
    <w:rsid w:val="00E963DC"/>
    <w:rsid w:val="00E964C2"/>
    <w:rsid w:val="00E967D7"/>
    <w:rsid w:val="00E9703B"/>
    <w:rsid w:val="00E972AB"/>
    <w:rsid w:val="00E972C4"/>
    <w:rsid w:val="00E9749E"/>
    <w:rsid w:val="00E9762C"/>
    <w:rsid w:val="00EA0132"/>
    <w:rsid w:val="00EA06CE"/>
    <w:rsid w:val="00EA158B"/>
    <w:rsid w:val="00EA163B"/>
    <w:rsid w:val="00EA16F4"/>
    <w:rsid w:val="00EA1A40"/>
    <w:rsid w:val="00EA1D93"/>
    <w:rsid w:val="00EA1DB5"/>
    <w:rsid w:val="00EA265F"/>
    <w:rsid w:val="00EA3040"/>
    <w:rsid w:val="00EA31D4"/>
    <w:rsid w:val="00EA380C"/>
    <w:rsid w:val="00EA3E3F"/>
    <w:rsid w:val="00EA44DB"/>
    <w:rsid w:val="00EA4549"/>
    <w:rsid w:val="00EA49ED"/>
    <w:rsid w:val="00EA4CF5"/>
    <w:rsid w:val="00EA4EDF"/>
    <w:rsid w:val="00EA5443"/>
    <w:rsid w:val="00EA55C2"/>
    <w:rsid w:val="00EA5697"/>
    <w:rsid w:val="00EA5AF6"/>
    <w:rsid w:val="00EA5D16"/>
    <w:rsid w:val="00EA63DD"/>
    <w:rsid w:val="00EA6B24"/>
    <w:rsid w:val="00EA6BC9"/>
    <w:rsid w:val="00EA6C32"/>
    <w:rsid w:val="00EA6E9F"/>
    <w:rsid w:val="00EA6FD6"/>
    <w:rsid w:val="00EA7203"/>
    <w:rsid w:val="00EA778C"/>
    <w:rsid w:val="00EA7C8C"/>
    <w:rsid w:val="00EA7FCA"/>
    <w:rsid w:val="00EA7FCB"/>
    <w:rsid w:val="00EB028D"/>
    <w:rsid w:val="00EB043C"/>
    <w:rsid w:val="00EB04AD"/>
    <w:rsid w:val="00EB05B8"/>
    <w:rsid w:val="00EB0661"/>
    <w:rsid w:val="00EB0B9F"/>
    <w:rsid w:val="00EB105F"/>
    <w:rsid w:val="00EB112B"/>
    <w:rsid w:val="00EB1156"/>
    <w:rsid w:val="00EB14E8"/>
    <w:rsid w:val="00EB1B31"/>
    <w:rsid w:val="00EB1FA4"/>
    <w:rsid w:val="00EB22CF"/>
    <w:rsid w:val="00EB236D"/>
    <w:rsid w:val="00EB27F1"/>
    <w:rsid w:val="00EB2AE3"/>
    <w:rsid w:val="00EB33E9"/>
    <w:rsid w:val="00EB34C8"/>
    <w:rsid w:val="00EB36F4"/>
    <w:rsid w:val="00EB3E94"/>
    <w:rsid w:val="00EB3EFE"/>
    <w:rsid w:val="00EB3EFF"/>
    <w:rsid w:val="00EB4007"/>
    <w:rsid w:val="00EB4059"/>
    <w:rsid w:val="00EB42B8"/>
    <w:rsid w:val="00EB4AF0"/>
    <w:rsid w:val="00EB4CE3"/>
    <w:rsid w:val="00EB4D60"/>
    <w:rsid w:val="00EB518F"/>
    <w:rsid w:val="00EB55CC"/>
    <w:rsid w:val="00EB5609"/>
    <w:rsid w:val="00EB5768"/>
    <w:rsid w:val="00EB5961"/>
    <w:rsid w:val="00EB5AFF"/>
    <w:rsid w:val="00EB638E"/>
    <w:rsid w:val="00EB6B54"/>
    <w:rsid w:val="00EB6C1E"/>
    <w:rsid w:val="00EB6C7C"/>
    <w:rsid w:val="00EB6E98"/>
    <w:rsid w:val="00EB7222"/>
    <w:rsid w:val="00EB749F"/>
    <w:rsid w:val="00EB754A"/>
    <w:rsid w:val="00EB77F8"/>
    <w:rsid w:val="00EB783E"/>
    <w:rsid w:val="00EB7887"/>
    <w:rsid w:val="00EB78A6"/>
    <w:rsid w:val="00EB795B"/>
    <w:rsid w:val="00EC0369"/>
    <w:rsid w:val="00EC0628"/>
    <w:rsid w:val="00EC07E8"/>
    <w:rsid w:val="00EC0A02"/>
    <w:rsid w:val="00EC0A71"/>
    <w:rsid w:val="00EC0B7C"/>
    <w:rsid w:val="00EC10BC"/>
    <w:rsid w:val="00EC12F7"/>
    <w:rsid w:val="00EC151A"/>
    <w:rsid w:val="00EC1737"/>
    <w:rsid w:val="00EC18A7"/>
    <w:rsid w:val="00EC1E7F"/>
    <w:rsid w:val="00EC1EB8"/>
    <w:rsid w:val="00EC20DB"/>
    <w:rsid w:val="00EC251F"/>
    <w:rsid w:val="00EC25BF"/>
    <w:rsid w:val="00EC29D5"/>
    <w:rsid w:val="00EC33CC"/>
    <w:rsid w:val="00EC3614"/>
    <w:rsid w:val="00EC3C48"/>
    <w:rsid w:val="00EC3CAF"/>
    <w:rsid w:val="00EC3E07"/>
    <w:rsid w:val="00EC3EA3"/>
    <w:rsid w:val="00EC4256"/>
    <w:rsid w:val="00EC4714"/>
    <w:rsid w:val="00EC47D3"/>
    <w:rsid w:val="00EC497C"/>
    <w:rsid w:val="00EC514A"/>
    <w:rsid w:val="00EC53B3"/>
    <w:rsid w:val="00EC5494"/>
    <w:rsid w:val="00EC5642"/>
    <w:rsid w:val="00EC5A5D"/>
    <w:rsid w:val="00EC5C1C"/>
    <w:rsid w:val="00EC5CA2"/>
    <w:rsid w:val="00EC5FAE"/>
    <w:rsid w:val="00EC60A8"/>
    <w:rsid w:val="00EC6307"/>
    <w:rsid w:val="00EC6634"/>
    <w:rsid w:val="00EC675D"/>
    <w:rsid w:val="00EC6A75"/>
    <w:rsid w:val="00EC6C02"/>
    <w:rsid w:val="00EC6D0B"/>
    <w:rsid w:val="00EC728C"/>
    <w:rsid w:val="00EC7318"/>
    <w:rsid w:val="00EC746A"/>
    <w:rsid w:val="00EC74E8"/>
    <w:rsid w:val="00EC7525"/>
    <w:rsid w:val="00EC7BA5"/>
    <w:rsid w:val="00EC7C9B"/>
    <w:rsid w:val="00EC7E1E"/>
    <w:rsid w:val="00ED01C9"/>
    <w:rsid w:val="00ED02B2"/>
    <w:rsid w:val="00ED03B4"/>
    <w:rsid w:val="00ED050F"/>
    <w:rsid w:val="00ED0750"/>
    <w:rsid w:val="00ED09F7"/>
    <w:rsid w:val="00ED0A38"/>
    <w:rsid w:val="00ED0B6C"/>
    <w:rsid w:val="00ED0B8E"/>
    <w:rsid w:val="00ED0D5D"/>
    <w:rsid w:val="00ED0DE3"/>
    <w:rsid w:val="00ED15B4"/>
    <w:rsid w:val="00ED1658"/>
    <w:rsid w:val="00ED1B3F"/>
    <w:rsid w:val="00ED1C2C"/>
    <w:rsid w:val="00ED1D94"/>
    <w:rsid w:val="00ED2101"/>
    <w:rsid w:val="00ED24C4"/>
    <w:rsid w:val="00ED27E9"/>
    <w:rsid w:val="00ED2E34"/>
    <w:rsid w:val="00ED2F12"/>
    <w:rsid w:val="00ED3006"/>
    <w:rsid w:val="00ED3177"/>
    <w:rsid w:val="00ED3AB3"/>
    <w:rsid w:val="00ED3BD4"/>
    <w:rsid w:val="00ED3CB6"/>
    <w:rsid w:val="00ED3D45"/>
    <w:rsid w:val="00ED3E39"/>
    <w:rsid w:val="00ED4120"/>
    <w:rsid w:val="00ED4330"/>
    <w:rsid w:val="00ED44E1"/>
    <w:rsid w:val="00ED450D"/>
    <w:rsid w:val="00ED47B7"/>
    <w:rsid w:val="00ED4B47"/>
    <w:rsid w:val="00ED527A"/>
    <w:rsid w:val="00ED530C"/>
    <w:rsid w:val="00ED551E"/>
    <w:rsid w:val="00ED558E"/>
    <w:rsid w:val="00ED5897"/>
    <w:rsid w:val="00ED5EFB"/>
    <w:rsid w:val="00ED5FBE"/>
    <w:rsid w:val="00ED6045"/>
    <w:rsid w:val="00ED6805"/>
    <w:rsid w:val="00ED6A19"/>
    <w:rsid w:val="00ED6B02"/>
    <w:rsid w:val="00ED6BC8"/>
    <w:rsid w:val="00ED6CFC"/>
    <w:rsid w:val="00ED734C"/>
    <w:rsid w:val="00ED751A"/>
    <w:rsid w:val="00ED764E"/>
    <w:rsid w:val="00ED7688"/>
    <w:rsid w:val="00EE035D"/>
    <w:rsid w:val="00EE04DF"/>
    <w:rsid w:val="00EE0785"/>
    <w:rsid w:val="00EE078F"/>
    <w:rsid w:val="00EE0B1B"/>
    <w:rsid w:val="00EE10EC"/>
    <w:rsid w:val="00EE122F"/>
    <w:rsid w:val="00EE124F"/>
    <w:rsid w:val="00EE136A"/>
    <w:rsid w:val="00EE14C9"/>
    <w:rsid w:val="00EE1567"/>
    <w:rsid w:val="00EE1584"/>
    <w:rsid w:val="00EE2169"/>
    <w:rsid w:val="00EE273D"/>
    <w:rsid w:val="00EE2F7D"/>
    <w:rsid w:val="00EE321E"/>
    <w:rsid w:val="00EE374E"/>
    <w:rsid w:val="00EE37EB"/>
    <w:rsid w:val="00EE3B78"/>
    <w:rsid w:val="00EE3E5C"/>
    <w:rsid w:val="00EE40CE"/>
    <w:rsid w:val="00EE42A6"/>
    <w:rsid w:val="00EE4441"/>
    <w:rsid w:val="00EE4592"/>
    <w:rsid w:val="00EE4777"/>
    <w:rsid w:val="00EE4AE3"/>
    <w:rsid w:val="00EE4BB6"/>
    <w:rsid w:val="00EE4D25"/>
    <w:rsid w:val="00EE4D73"/>
    <w:rsid w:val="00EE4E7E"/>
    <w:rsid w:val="00EE4FBB"/>
    <w:rsid w:val="00EE5349"/>
    <w:rsid w:val="00EE5791"/>
    <w:rsid w:val="00EE5971"/>
    <w:rsid w:val="00EE5A14"/>
    <w:rsid w:val="00EE5A35"/>
    <w:rsid w:val="00EE62FB"/>
    <w:rsid w:val="00EE68F7"/>
    <w:rsid w:val="00EE6944"/>
    <w:rsid w:val="00EE69C5"/>
    <w:rsid w:val="00EE6B0D"/>
    <w:rsid w:val="00EE6B9A"/>
    <w:rsid w:val="00EE722B"/>
    <w:rsid w:val="00EE774F"/>
    <w:rsid w:val="00EE7BA8"/>
    <w:rsid w:val="00EE7D3B"/>
    <w:rsid w:val="00EF0501"/>
    <w:rsid w:val="00EF0BC7"/>
    <w:rsid w:val="00EF12D3"/>
    <w:rsid w:val="00EF12F1"/>
    <w:rsid w:val="00EF1408"/>
    <w:rsid w:val="00EF14C8"/>
    <w:rsid w:val="00EF14EE"/>
    <w:rsid w:val="00EF151E"/>
    <w:rsid w:val="00EF1547"/>
    <w:rsid w:val="00EF19AD"/>
    <w:rsid w:val="00EF1AD4"/>
    <w:rsid w:val="00EF1F81"/>
    <w:rsid w:val="00EF22DD"/>
    <w:rsid w:val="00EF24A0"/>
    <w:rsid w:val="00EF289A"/>
    <w:rsid w:val="00EF29B2"/>
    <w:rsid w:val="00EF2D28"/>
    <w:rsid w:val="00EF2E21"/>
    <w:rsid w:val="00EF3016"/>
    <w:rsid w:val="00EF31AD"/>
    <w:rsid w:val="00EF33E7"/>
    <w:rsid w:val="00EF33FF"/>
    <w:rsid w:val="00EF395E"/>
    <w:rsid w:val="00EF3A81"/>
    <w:rsid w:val="00EF3DFA"/>
    <w:rsid w:val="00EF40CE"/>
    <w:rsid w:val="00EF4621"/>
    <w:rsid w:val="00EF4738"/>
    <w:rsid w:val="00EF4A0B"/>
    <w:rsid w:val="00EF4D1B"/>
    <w:rsid w:val="00EF5E0F"/>
    <w:rsid w:val="00EF5F0A"/>
    <w:rsid w:val="00EF5FCD"/>
    <w:rsid w:val="00EF6491"/>
    <w:rsid w:val="00EF6B49"/>
    <w:rsid w:val="00EF7434"/>
    <w:rsid w:val="00EF7485"/>
    <w:rsid w:val="00EF755D"/>
    <w:rsid w:val="00EF757C"/>
    <w:rsid w:val="00EF767C"/>
    <w:rsid w:val="00EF7821"/>
    <w:rsid w:val="00EF787E"/>
    <w:rsid w:val="00EF78E0"/>
    <w:rsid w:val="00EF7AA8"/>
    <w:rsid w:val="00F0050D"/>
    <w:rsid w:val="00F00770"/>
    <w:rsid w:val="00F00C60"/>
    <w:rsid w:val="00F01C46"/>
    <w:rsid w:val="00F021D6"/>
    <w:rsid w:val="00F0220E"/>
    <w:rsid w:val="00F022F2"/>
    <w:rsid w:val="00F024AA"/>
    <w:rsid w:val="00F029FC"/>
    <w:rsid w:val="00F02F08"/>
    <w:rsid w:val="00F03093"/>
    <w:rsid w:val="00F031C1"/>
    <w:rsid w:val="00F0343B"/>
    <w:rsid w:val="00F036DC"/>
    <w:rsid w:val="00F03766"/>
    <w:rsid w:val="00F03FE1"/>
    <w:rsid w:val="00F04141"/>
    <w:rsid w:val="00F04151"/>
    <w:rsid w:val="00F04603"/>
    <w:rsid w:val="00F04C6A"/>
    <w:rsid w:val="00F04DFA"/>
    <w:rsid w:val="00F0526B"/>
    <w:rsid w:val="00F05346"/>
    <w:rsid w:val="00F053D2"/>
    <w:rsid w:val="00F0586A"/>
    <w:rsid w:val="00F05AC2"/>
    <w:rsid w:val="00F05AFC"/>
    <w:rsid w:val="00F063B6"/>
    <w:rsid w:val="00F0694E"/>
    <w:rsid w:val="00F06B5F"/>
    <w:rsid w:val="00F07204"/>
    <w:rsid w:val="00F07327"/>
    <w:rsid w:val="00F07487"/>
    <w:rsid w:val="00F079CC"/>
    <w:rsid w:val="00F07AD6"/>
    <w:rsid w:val="00F07B66"/>
    <w:rsid w:val="00F07D03"/>
    <w:rsid w:val="00F07D49"/>
    <w:rsid w:val="00F1015B"/>
    <w:rsid w:val="00F1026B"/>
    <w:rsid w:val="00F107FE"/>
    <w:rsid w:val="00F10B9B"/>
    <w:rsid w:val="00F10C0C"/>
    <w:rsid w:val="00F10FA3"/>
    <w:rsid w:val="00F111A1"/>
    <w:rsid w:val="00F112BD"/>
    <w:rsid w:val="00F11858"/>
    <w:rsid w:val="00F11D57"/>
    <w:rsid w:val="00F12025"/>
    <w:rsid w:val="00F121B8"/>
    <w:rsid w:val="00F1235D"/>
    <w:rsid w:val="00F1251D"/>
    <w:rsid w:val="00F1341D"/>
    <w:rsid w:val="00F13583"/>
    <w:rsid w:val="00F13850"/>
    <w:rsid w:val="00F13BC4"/>
    <w:rsid w:val="00F14263"/>
    <w:rsid w:val="00F14297"/>
    <w:rsid w:val="00F144E4"/>
    <w:rsid w:val="00F14648"/>
    <w:rsid w:val="00F148FE"/>
    <w:rsid w:val="00F14AED"/>
    <w:rsid w:val="00F14F0B"/>
    <w:rsid w:val="00F150AC"/>
    <w:rsid w:val="00F1518D"/>
    <w:rsid w:val="00F15804"/>
    <w:rsid w:val="00F15CE6"/>
    <w:rsid w:val="00F15DF0"/>
    <w:rsid w:val="00F15F11"/>
    <w:rsid w:val="00F16324"/>
    <w:rsid w:val="00F16330"/>
    <w:rsid w:val="00F1646F"/>
    <w:rsid w:val="00F166AA"/>
    <w:rsid w:val="00F1698C"/>
    <w:rsid w:val="00F16A32"/>
    <w:rsid w:val="00F16D40"/>
    <w:rsid w:val="00F17379"/>
    <w:rsid w:val="00F173CB"/>
    <w:rsid w:val="00F1743F"/>
    <w:rsid w:val="00F179BA"/>
    <w:rsid w:val="00F17DEE"/>
    <w:rsid w:val="00F202B6"/>
    <w:rsid w:val="00F2066B"/>
    <w:rsid w:val="00F2121A"/>
    <w:rsid w:val="00F21781"/>
    <w:rsid w:val="00F21E55"/>
    <w:rsid w:val="00F21EAC"/>
    <w:rsid w:val="00F21F63"/>
    <w:rsid w:val="00F2266C"/>
    <w:rsid w:val="00F22713"/>
    <w:rsid w:val="00F22726"/>
    <w:rsid w:val="00F2288E"/>
    <w:rsid w:val="00F22978"/>
    <w:rsid w:val="00F229B0"/>
    <w:rsid w:val="00F22B2E"/>
    <w:rsid w:val="00F22EF4"/>
    <w:rsid w:val="00F230DF"/>
    <w:rsid w:val="00F2334A"/>
    <w:rsid w:val="00F23688"/>
    <w:rsid w:val="00F2398F"/>
    <w:rsid w:val="00F23E2B"/>
    <w:rsid w:val="00F240C3"/>
    <w:rsid w:val="00F241F5"/>
    <w:rsid w:val="00F24269"/>
    <w:rsid w:val="00F24B07"/>
    <w:rsid w:val="00F25038"/>
    <w:rsid w:val="00F25262"/>
    <w:rsid w:val="00F258B4"/>
    <w:rsid w:val="00F25C08"/>
    <w:rsid w:val="00F25D12"/>
    <w:rsid w:val="00F25EF3"/>
    <w:rsid w:val="00F26135"/>
    <w:rsid w:val="00F26327"/>
    <w:rsid w:val="00F269DD"/>
    <w:rsid w:val="00F26A8B"/>
    <w:rsid w:val="00F26DE6"/>
    <w:rsid w:val="00F26EDC"/>
    <w:rsid w:val="00F273F0"/>
    <w:rsid w:val="00F27446"/>
    <w:rsid w:val="00F27624"/>
    <w:rsid w:val="00F279C1"/>
    <w:rsid w:val="00F27AFC"/>
    <w:rsid w:val="00F27E2D"/>
    <w:rsid w:val="00F27F60"/>
    <w:rsid w:val="00F30602"/>
    <w:rsid w:val="00F306F8"/>
    <w:rsid w:val="00F3094B"/>
    <w:rsid w:val="00F311A0"/>
    <w:rsid w:val="00F313B4"/>
    <w:rsid w:val="00F3152C"/>
    <w:rsid w:val="00F31676"/>
    <w:rsid w:val="00F317E3"/>
    <w:rsid w:val="00F31D35"/>
    <w:rsid w:val="00F320D3"/>
    <w:rsid w:val="00F322D3"/>
    <w:rsid w:val="00F32768"/>
    <w:rsid w:val="00F32E3F"/>
    <w:rsid w:val="00F32F2E"/>
    <w:rsid w:val="00F33937"/>
    <w:rsid w:val="00F33A25"/>
    <w:rsid w:val="00F33A5A"/>
    <w:rsid w:val="00F33B4A"/>
    <w:rsid w:val="00F3411B"/>
    <w:rsid w:val="00F344CE"/>
    <w:rsid w:val="00F3458A"/>
    <w:rsid w:val="00F34836"/>
    <w:rsid w:val="00F3519D"/>
    <w:rsid w:val="00F35A87"/>
    <w:rsid w:val="00F35C4A"/>
    <w:rsid w:val="00F35D7B"/>
    <w:rsid w:val="00F35F59"/>
    <w:rsid w:val="00F3600C"/>
    <w:rsid w:val="00F3604B"/>
    <w:rsid w:val="00F360D7"/>
    <w:rsid w:val="00F36C97"/>
    <w:rsid w:val="00F36F6A"/>
    <w:rsid w:val="00F37164"/>
    <w:rsid w:val="00F37532"/>
    <w:rsid w:val="00F37584"/>
    <w:rsid w:val="00F37A34"/>
    <w:rsid w:val="00F37F2B"/>
    <w:rsid w:val="00F40250"/>
    <w:rsid w:val="00F40885"/>
    <w:rsid w:val="00F40943"/>
    <w:rsid w:val="00F40AD1"/>
    <w:rsid w:val="00F40D36"/>
    <w:rsid w:val="00F40D95"/>
    <w:rsid w:val="00F40D9C"/>
    <w:rsid w:val="00F40FDC"/>
    <w:rsid w:val="00F41135"/>
    <w:rsid w:val="00F411C8"/>
    <w:rsid w:val="00F4134B"/>
    <w:rsid w:val="00F4157B"/>
    <w:rsid w:val="00F417A7"/>
    <w:rsid w:val="00F4199E"/>
    <w:rsid w:val="00F41CDA"/>
    <w:rsid w:val="00F427E2"/>
    <w:rsid w:val="00F42C43"/>
    <w:rsid w:val="00F42C53"/>
    <w:rsid w:val="00F42E7E"/>
    <w:rsid w:val="00F43684"/>
    <w:rsid w:val="00F43A97"/>
    <w:rsid w:val="00F43C9B"/>
    <w:rsid w:val="00F44374"/>
    <w:rsid w:val="00F4476A"/>
    <w:rsid w:val="00F4499F"/>
    <w:rsid w:val="00F449F9"/>
    <w:rsid w:val="00F44A2B"/>
    <w:rsid w:val="00F44E1C"/>
    <w:rsid w:val="00F45045"/>
    <w:rsid w:val="00F451E0"/>
    <w:rsid w:val="00F45969"/>
    <w:rsid w:val="00F45BE3"/>
    <w:rsid w:val="00F45D47"/>
    <w:rsid w:val="00F45DA5"/>
    <w:rsid w:val="00F462B2"/>
    <w:rsid w:val="00F46471"/>
    <w:rsid w:val="00F46C4A"/>
    <w:rsid w:val="00F46E7E"/>
    <w:rsid w:val="00F47234"/>
    <w:rsid w:val="00F473E3"/>
    <w:rsid w:val="00F47545"/>
    <w:rsid w:val="00F476A9"/>
    <w:rsid w:val="00F47749"/>
    <w:rsid w:val="00F47A20"/>
    <w:rsid w:val="00F47C12"/>
    <w:rsid w:val="00F47DB3"/>
    <w:rsid w:val="00F5023F"/>
    <w:rsid w:val="00F502BD"/>
    <w:rsid w:val="00F50386"/>
    <w:rsid w:val="00F506FA"/>
    <w:rsid w:val="00F50823"/>
    <w:rsid w:val="00F50BF7"/>
    <w:rsid w:val="00F50E49"/>
    <w:rsid w:val="00F51224"/>
    <w:rsid w:val="00F51786"/>
    <w:rsid w:val="00F517AC"/>
    <w:rsid w:val="00F51F5F"/>
    <w:rsid w:val="00F520CC"/>
    <w:rsid w:val="00F52133"/>
    <w:rsid w:val="00F5269C"/>
    <w:rsid w:val="00F52A20"/>
    <w:rsid w:val="00F52A64"/>
    <w:rsid w:val="00F52BBB"/>
    <w:rsid w:val="00F52F92"/>
    <w:rsid w:val="00F53334"/>
    <w:rsid w:val="00F53A48"/>
    <w:rsid w:val="00F53CE6"/>
    <w:rsid w:val="00F53F67"/>
    <w:rsid w:val="00F53FD9"/>
    <w:rsid w:val="00F542A8"/>
    <w:rsid w:val="00F54799"/>
    <w:rsid w:val="00F548A0"/>
    <w:rsid w:val="00F54BC4"/>
    <w:rsid w:val="00F54CC3"/>
    <w:rsid w:val="00F54DF8"/>
    <w:rsid w:val="00F54E23"/>
    <w:rsid w:val="00F54EBA"/>
    <w:rsid w:val="00F552C7"/>
    <w:rsid w:val="00F55871"/>
    <w:rsid w:val="00F56059"/>
    <w:rsid w:val="00F5658E"/>
    <w:rsid w:val="00F56653"/>
    <w:rsid w:val="00F56DE6"/>
    <w:rsid w:val="00F5709B"/>
    <w:rsid w:val="00F570AA"/>
    <w:rsid w:val="00F57843"/>
    <w:rsid w:val="00F57852"/>
    <w:rsid w:val="00F57920"/>
    <w:rsid w:val="00F57CF6"/>
    <w:rsid w:val="00F57DD2"/>
    <w:rsid w:val="00F57FC2"/>
    <w:rsid w:val="00F60524"/>
    <w:rsid w:val="00F606FD"/>
    <w:rsid w:val="00F6070E"/>
    <w:rsid w:val="00F6073A"/>
    <w:rsid w:val="00F6098F"/>
    <w:rsid w:val="00F60BD3"/>
    <w:rsid w:val="00F60F77"/>
    <w:rsid w:val="00F6108E"/>
    <w:rsid w:val="00F611AC"/>
    <w:rsid w:val="00F612C7"/>
    <w:rsid w:val="00F61347"/>
    <w:rsid w:val="00F61B85"/>
    <w:rsid w:val="00F6248D"/>
    <w:rsid w:val="00F62D7C"/>
    <w:rsid w:val="00F62E6B"/>
    <w:rsid w:val="00F62EA5"/>
    <w:rsid w:val="00F63279"/>
    <w:rsid w:val="00F6333D"/>
    <w:rsid w:val="00F63544"/>
    <w:rsid w:val="00F63660"/>
    <w:rsid w:val="00F637F4"/>
    <w:rsid w:val="00F63895"/>
    <w:rsid w:val="00F63AF5"/>
    <w:rsid w:val="00F63C9E"/>
    <w:rsid w:val="00F64196"/>
    <w:rsid w:val="00F642D1"/>
    <w:rsid w:val="00F6442D"/>
    <w:rsid w:val="00F64537"/>
    <w:rsid w:val="00F652AC"/>
    <w:rsid w:val="00F65910"/>
    <w:rsid w:val="00F65B38"/>
    <w:rsid w:val="00F6645C"/>
    <w:rsid w:val="00F6648F"/>
    <w:rsid w:val="00F665A5"/>
    <w:rsid w:val="00F666C2"/>
    <w:rsid w:val="00F66702"/>
    <w:rsid w:val="00F667F5"/>
    <w:rsid w:val="00F668D2"/>
    <w:rsid w:val="00F66E08"/>
    <w:rsid w:val="00F67054"/>
    <w:rsid w:val="00F67149"/>
    <w:rsid w:val="00F67265"/>
    <w:rsid w:val="00F67602"/>
    <w:rsid w:val="00F67A36"/>
    <w:rsid w:val="00F67ABC"/>
    <w:rsid w:val="00F707E1"/>
    <w:rsid w:val="00F71179"/>
    <w:rsid w:val="00F71786"/>
    <w:rsid w:val="00F717EC"/>
    <w:rsid w:val="00F718B4"/>
    <w:rsid w:val="00F71964"/>
    <w:rsid w:val="00F71CC2"/>
    <w:rsid w:val="00F7227E"/>
    <w:rsid w:val="00F72629"/>
    <w:rsid w:val="00F72637"/>
    <w:rsid w:val="00F72838"/>
    <w:rsid w:val="00F7308B"/>
    <w:rsid w:val="00F73094"/>
    <w:rsid w:val="00F733D8"/>
    <w:rsid w:val="00F73988"/>
    <w:rsid w:val="00F739F5"/>
    <w:rsid w:val="00F73D5B"/>
    <w:rsid w:val="00F73D7B"/>
    <w:rsid w:val="00F73DA5"/>
    <w:rsid w:val="00F73DD0"/>
    <w:rsid w:val="00F74097"/>
    <w:rsid w:val="00F741A7"/>
    <w:rsid w:val="00F74231"/>
    <w:rsid w:val="00F74A8A"/>
    <w:rsid w:val="00F74CDC"/>
    <w:rsid w:val="00F74CEC"/>
    <w:rsid w:val="00F74F6B"/>
    <w:rsid w:val="00F75376"/>
    <w:rsid w:val="00F757B0"/>
    <w:rsid w:val="00F75B45"/>
    <w:rsid w:val="00F75C23"/>
    <w:rsid w:val="00F75ED1"/>
    <w:rsid w:val="00F75F36"/>
    <w:rsid w:val="00F7639C"/>
    <w:rsid w:val="00F7641F"/>
    <w:rsid w:val="00F765EB"/>
    <w:rsid w:val="00F76650"/>
    <w:rsid w:val="00F7668C"/>
    <w:rsid w:val="00F771CD"/>
    <w:rsid w:val="00F7724C"/>
    <w:rsid w:val="00F77354"/>
    <w:rsid w:val="00F773E9"/>
    <w:rsid w:val="00F77571"/>
    <w:rsid w:val="00F77827"/>
    <w:rsid w:val="00F779E4"/>
    <w:rsid w:val="00F77EC3"/>
    <w:rsid w:val="00F80143"/>
    <w:rsid w:val="00F806AB"/>
    <w:rsid w:val="00F810B2"/>
    <w:rsid w:val="00F81200"/>
    <w:rsid w:val="00F81579"/>
    <w:rsid w:val="00F81B3F"/>
    <w:rsid w:val="00F81D97"/>
    <w:rsid w:val="00F821FD"/>
    <w:rsid w:val="00F82567"/>
    <w:rsid w:val="00F8264D"/>
    <w:rsid w:val="00F826FF"/>
    <w:rsid w:val="00F8283C"/>
    <w:rsid w:val="00F82BB4"/>
    <w:rsid w:val="00F82BCD"/>
    <w:rsid w:val="00F82E36"/>
    <w:rsid w:val="00F82E9D"/>
    <w:rsid w:val="00F830D5"/>
    <w:rsid w:val="00F8382D"/>
    <w:rsid w:val="00F83B82"/>
    <w:rsid w:val="00F8413F"/>
    <w:rsid w:val="00F84844"/>
    <w:rsid w:val="00F84D73"/>
    <w:rsid w:val="00F84ECB"/>
    <w:rsid w:val="00F853E6"/>
    <w:rsid w:val="00F85604"/>
    <w:rsid w:val="00F862C6"/>
    <w:rsid w:val="00F86553"/>
    <w:rsid w:val="00F865CB"/>
    <w:rsid w:val="00F86DEE"/>
    <w:rsid w:val="00F870F3"/>
    <w:rsid w:val="00F87228"/>
    <w:rsid w:val="00F87593"/>
    <w:rsid w:val="00F875CF"/>
    <w:rsid w:val="00F87C06"/>
    <w:rsid w:val="00F87E4A"/>
    <w:rsid w:val="00F90025"/>
    <w:rsid w:val="00F90085"/>
    <w:rsid w:val="00F90205"/>
    <w:rsid w:val="00F9038A"/>
    <w:rsid w:val="00F90554"/>
    <w:rsid w:val="00F90A5C"/>
    <w:rsid w:val="00F90C7B"/>
    <w:rsid w:val="00F90DA7"/>
    <w:rsid w:val="00F90DAD"/>
    <w:rsid w:val="00F9136C"/>
    <w:rsid w:val="00F9179E"/>
    <w:rsid w:val="00F919DA"/>
    <w:rsid w:val="00F91D68"/>
    <w:rsid w:val="00F920FA"/>
    <w:rsid w:val="00F924C9"/>
    <w:rsid w:val="00F9260E"/>
    <w:rsid w:val="00F92A3C"/>
    <w:rsid w:val="00F92A73"/>
    <w:rsid w:val="00F93AFB"/>
    <w:rsid w:val="00F93B11"/>
    <w:rsid w:val="00F93C32"/>
    <w:rsid w:val="00F93FA9"/>
    <w:rsid w:val="00F9419A"/>
    <w:rsid w:val="00F9459B"/>
    <w:rsid w:val="00F946CD"/>
    <w:rsid w:val="00F947B3"/>
    <w:rsid w:val="00F94E23"/>
    <w:rsid w:val="00F94EE2"/>
    <w:rsid w:val="00F95039"/>
    <w:rsid w:val="00F951F6"/>
    <w:rsid w:val="00F95381"/>
    <w:rsid w:val="00F953A1"/>
    <w:rsid w:val="00F95F53"/>
    <w:rsid w:val="00F95FC7"/>
    <w:rsid w:val="00F9658B"/>
    <w:rsid w:val="00F96CE9"/>
    <w:rsid w:val="00F96DD9"/>
    <w:rsid w:val="00F96E1B"/>
    <w:rsid w:val="00F9711A"/>
    <w:rsid w:val="00F976DB"/>
    <w:rsid w:val="00FA053B"/>
    <w:rsid w:val="00FA0673"/>
    <w:rsid w:val="00FA0AFB"/>
    <w:rsid w:val="00FA0AFC"/>
    <w:rsid w:val="00FA0C74"/>
    <w:rsid w:val="00FA0CD1"/>
    <w:rsid w:val="00FA127F"/>
    <w:rsid w:val="00FA1384"/>
    <w:rsid w:val="00FA13AE"/>
    <w:rsid w:val="00FA1407"/>
    <w:rsid w:val="00FA16C8"/>
    <w:rsid w:val="00FA1CD7"/>
    <w:rsid w:val="00FA1D03"/>
    <w:rsid w:val="00FA2057"/>
    <w:rsid w:val="00FA20D0"/>
    <w:rsid w:val="00FA2308"/>
    <w:rsid w:val="00FA23D2"/>
    <w:rsid w:val="00FA244E"/>
    <w:rsid w:val="00FA24A6"/>
    <w:rsid w:val="00FA24BA"/>
    <w:rsid w:val="00FA24D0"/>
    <w:rsid w:val="00FA2783"/>
    <w:rsid w:val="00FA2A74"/>
    <w:rsid w:val="00FA2FFB"/>
    <w:rsid w:val="00FA3020"/>
    <w:rsid w:val="00FA30A9"/>
    <w:rsid w:val="00FA3735"/>
    <w:rsid w:val="00FA38EC"/>
    <w:rsid w:val="00FA4253"/>
    <w:rsid w:val="00FA46D8"/>
    <w:rsid w:val="00FA4815"/>
    <w:rsid w:val="00FA484B"/>
    <w:rsid w:val="00FA497B"/>
    <w:rsid w:val="00FA49AB"/>
    <w:rsid w:val="00FA4B4D"/>
    <w:rsid w:val="00FA5838"/>
    <w:rsid w:val="00FA5C0A"/>
    <w:rsid w:val="00FA5C49"/>
    <w:rsid w:val="00FA6B0C"/>
    <w:rsid w:val="00FA6B21"/>
    <w:rsid w:val="00FA6C7F"/>
    <w:rsid w:val="00FA6CE5"/>
    <w:rsid w:val="00FA6D53"/>
    <w:rsid w:val="00FA6E82"/>
    <w:rsid w:val="00FA6F95"/>
    <w:rsid w:val="00FA703E"/>
    <w:rsid w:val="00FA72FF"/>
    <w:rsid w:val="00FA772F"/>
    <w:rsid w:val="00FA7F59"/>
    <w:rsid w:val="00FB0229"/>
    <w:rsid w:val="00FB0718"/>
    <w:rsid w:val="00FB0798"/>
    <w:rsid w:val="00FB07A2"/>
    <w:rsid w:val="00FB0AF7"/>
    <w:rsid w:val="00FB0E39"/>
    <w:rsid w:val="00FB13DE"/>
    <w:rsid w:val="00FB147E"/>
    <w:rsid w:val="00FB164B"/>
    <w:rsid w:val="00FB1828"/>
    <w:rsid w:val="00FB1B68"/>
    <w:rsid w:val="00FB23CF"/>
    <w:rsid w:val="00FB269D"/>
    <w:rsid w:val="00FB2BFC"/>
    <w:rsid w:val="00FB3253"/>
    <w:rsid w:val="00FB36B5"/>
    <w:rsid w:val="00FB3AAE"/>
    <w:rsid w:val="00FB4026"/>
    <w:rsid w:val="00FB42C2"/>
    <w:rsid w:val="00FB4535"/>
    <w:rsid w:val="00FB45E2"/>
    <w:rsid w:val="00FB485F"/>
    <w:rsid w:val="00FB495E"/>
    <w:rsid w:val="00FB4A09"/>
    <w:rsid w:val="00FB5878"/>
    <w:rsid w:val="00FB5C68"/>
    <w:rsid w:val="00FB6594"/>
    <w:rsid w:val="00FB65EA"/>
    <w:rsid w:val="00FB69A0"/>
    <w:rsid w:val="00FB71BF"/>
    <w:rsid w:val="00FB71F2"/>
    <w:rsid w:val="00FB7740"/>
    <w:rsid w:val="00FB79B1"/>
    <w:rsid w:val="00FB7A32"/>
    <w:rsid w:val="00FC0049"/>
    <w:rsid w:val="00FC0396"/>
    <w:rsid w:val="00FC05F5"/>
    <w:rsid w:val="00FC0EFA"/>
    <w:rsid w:val="00FC0F35"/>
    <w:rsid w:val="00FC1203"/>
    <w:rsid w:val="00FC1489"/>
    <w:rsid w:val="00FC1578"/>
    <w:rsid w:val="00FC1D1F"/>
    <w:rsid w:val="00FC23BE"/>
    <w:rsid w:val="00FC292B"/>
    <w:rsid w:val="00FC2AFF"/>
    <w:rsid w:val="00FC32A9"/>
    <w:rsid w:val="00FC387B"/>
    <w:rsid w:val="00FC3905"/>
    <w:rsid w:val="00FC4662"/>
    <w:rsid w:val="00FC46E4"/>
    <w:rsid w:val="00FC4D38"/>
    <w:rsid w:val="00FC4E6B"/>
    <w:rsid w:val="00FC5016"/>
    <w:rsid w:val="00FC551E"/>
    <w:rsid w:val="00FC56BC"/>
    <w:rsid w:val="00FC56D9"/>
    <w:rsid w:val="00FC632E"/>
    <w:rsid w:val="00FC67C7"/>
    <w:rsid w:val="00FC6871"/>
    <w:rsid w:val="00FC6889"/>
    <w:rsid w:val="00FC6B65"/>
    <w:rsid w:val="00FC6B6D"/>
    <w:rsid w:val="00FC6FE3"/>
    <w:rsid w:val="00FC71F4"/>
    <w:rsid w:val="00FC761D"/>
    <w:rsid w:val="00FC794D"/>
    <w:rsid w:val="00FC79E7"/>
    <w:rsid w:val="00FC7C59"/>
    <w:rsid w:val="00FD0499"/>
    <w:rsid w:val="00FD085B"/>
    <w:rsid w:val="00FD09FC"/>
    <w:rsid w:val="00FD0F77"/>
    <w:rsid w:val="00FD18ED"/>
    <w:rsid w:val="00FD18F2"/>
    <w:rsid w:val="00FD1D0E"/>
    <w:rsid w:val="00FD1DDA"/>
    <w:rsid w:val="00FD204E"/>
    <w:rsid w:val="00FD2563"/>
    <w:rsid w:val="00FD2692"/>
    <w:rsid w:val="00FD2824"/>
    <w:rsid w:val="00FD2EA1"/>
    <w:rsid w:val="00FD31C8"/>
    <w:rsid w:val="00FD4816"/>
    <w:rsid w:val="00FD4B7C"/>
    <w:rsid w:val="00FD4D6C"/>
    <w:rsid w:val="00FD5197"/>
    <w:rsid w:val="00FD58F0"/>
    <w:rsid w:val="00FD5BC1"/>
    <w:rsid w:val="00FD5DF2"/>
    <w:rsid w:val="00FD5EA7"/>
    <w:rsid w:val="00FD618A"/>
    <w:rsid w:val="00FD644E"/>
    <w:rsid w:val="00FD69EF"/>
    <w:rsid w:val="00FD6DB7"/>
    <w:rsid w:val="00FD7564"/>
    <w:rsid w:val="00FD7589"/>
    <w:rsid w:val="00FD76D0"/>
    <w:rsid w:val="00FD76EB"/>
    <w:rsid w:val="00FD78F3"/>
    <w:rsid w:val="00FD7A03"/>
    <w:rsid w:val="00FD7DA6"/>
    <w:rsid w:val="00FD7E12"/>
    <w:rsid w:val="00FD7F12"/>
    <w:rsid w:val="00FE0375"/>
    <w:rsid w:val="00FE063D"/>
    <w:rsid w:val="00FE072F"/>
    <w:rsid w:val="00FE0857"/>
    <w:rsid w:val="00FE0D78"/>
    <w:rsid w:val="00FE0F18"/>
    <w:rsid w:val="00FE10C0"/>
    <w:rsid w:val="00FE177E"/>
    <w:rsid w:val="00FE1949"/>
    <w:rsid w:val="00FE1AF3"/>
    <w:rsid w:val="00FE230C"/>
    <w:rsid w:val="00FE2739"/>
    <w:rsid w:val="00FE2770"/>
    <w:rsid w:val="00FE27FC"/>
    <w:rsid w:val="00FE2B7E"/>
    <w:rsid w:val="00FE2D5D"/>
    <w:rsid w:val="00FE2E0D"/>
    <w:rsid w:val="00FE3009"/>
    <w:rsid w:val="00FE30A9"/>
    <w:rsid w:val="00FE30AD"/>
    <w:rsid w:val="00FE3238"/>
    <w:rsid w:val="00FE3700"/>
    <w:rsid w:val="00FE3711"/>
    <w:rsid w:val="00FE3B53"/>
    <w:rsid w:val="00FE3B77"/>
    <w:rsid w:val="00FE3B8B"/>
    <w:rsid w:val="00FE3B91"/>
    <w:rsid w:val="00FE3EFA"/>
    <w:rsid w:val="00FE3F7A"/>
    <w:rsid w:val="00FE4189"/>
    <w:rsid w:val="00FE41DC"/>
    <w:rsid w:val="00FE41F5"/>
    <w:rsid w:val="00FE46F7"/>
    <w:rsid w:val="00FE471F"/>
    <w:rsid w:val="00FE49CD"/>
    <w:rsid w:val="00FE4A03"/>
    <w:rsid w:val="00FE50ED"/>
    <w:rsid w:val="00FE514F"/>
    <w:rsid w:val="00FE54D7"/>
    <w:rsid w:val="00FE54FC"/>
    <w:rsid w:val="00FE5746"/>
    <w:rsid w:val="00FE5764"/>
    <w:rsid w:val="00FE5A5A"/>
    <w:rsid w:val="00FE6827"/>
    <w:rsid w:val="00FE68D5"/>
    <w:rsid w:val="00FE6934"/>
    <w:rsid w:val="00FE761B"/>
    <w:rsid w:val="00FE776A"/>
    <w:rsid w:val="00FE7C5A"/>
    <w:rsid w:val="00FE7C8B"/>
    <w:rsid w:val="00FE7D0C"/>
    <w:rsid w:val="00FF067B"/>
    <w:rsid w:val="00FF071F"/>
    <w:rsid w:val="00FF0B35"/>
    <w:rsid w:val="00FF15D2"/>
    <w:rsid w:val="00FF16DF"/>
    <w:rsid w:val="00FF1819"/>
    <w:rsid w:val="00FF1850"/>
    <w:rsid w:val="00FF1907"/>
    <w:rsid w:val="00FF192F"/>
    <w:rsid w:val="00FF1B2F"/>
    <w:rsid w:val="00FF1C11"/>
    <w:rsid w:val="00FF203E"/>
    <w:rsid w:val="00FF207C"/>
    <w:rsid w:val="00FF29D3"/>
    <w:rsid w:val="00FF2A12"/>
    <w:rsid w:val="00FF2F1B"/>
    <w:rsid w:val="00FF2FDC"/>
    <w:rsid w:val="00FF33EC"/>
    <w:rsid w:val="00FF3444"/>
    <w:rsid w:val="00FF3A19"/>
    <w:rsid w:val="00FF3C1A"/>
    <w:rsid w:val="00FF3C44"/>
    <w:rsid w:val="00FF3D16"/>
    <w:rsid w:val="00FF42C3"/>
    <w:rsid w:val="00FF44DB"/>
    <w:rsid w:val="00FF45B6"/>
    <w:rsid w:val="00FF4772"/>
    <w:rsid w:val="00FF4C18"/>
    <w:rsid w:val="00FF4F7F"/>
    <w:rsid w:val="00FF521C"/>
    <w:rsid w:val="00FF53AC"/>
    <w:rsid w:val="00FF540B"/>
    <w:rsid w:val="00FF609B"/>
    <w:rsid w:val="00FF634D"/>
    <w:rsid w:val="00FF672C"/>
    <w:rsid w:val="00FF6828"/>
    <w:rsid w:val="00FF68E8"/>
    <w:rsid w:val="00FF6CB7"/>
    <w:rsid w:val="00FF709B"/>
    <w:rsid w:val="00FF735C"/>
    <w:rsid w:val="00FF740C"/>
    <w:rsid w:val="00FF7519"/>
    <w:rsid w:val="00FF7CEC"/>
    <w:rsid w:val="00FF7D6F"/>
    <w:rsid w:val="00FF7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2060"/>
  <w15:docId w15:val="{30B92362-4282-45F3-B70A-716C5329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E1"/>
    <w:pPr>
      <w:spacing w:after="160" w:line="259" w:lineRule="auto"/>
    </w:pPr>
  </w:style>
  <w:style w:type="paragraph" w:styleId="Heading1">
    <w:name w:val="heading 1"/>
    <w:basedOn w:val="Normal"/>
    <w:next w:val="BodyText"/>
    <w:link w:val="Heading1Char"/>
    <w:uiPriority w:val="9"/>
    <w:qFormat/>
    <w:rsid w:val="00344436"/>
    <w:pPr>
      <w:keepNext/>
      <w:keepLines/>
      <w:spacing w:after="460"/>
      <w:outlineLvl w:val="0"/>
    </w:pPr>
    <w:rPr>
      <w:rFonts w:asciiTheme="majorHAnsi" w:hAnsiTheme="majorHAnsi"/>
      <w:b/>
      <w:color w:val="5F5F5F" w:themeColor="text2"/>
      <w:sz w:val="60"/>
      <w:szCs w:val="60"/>
    </w:rPr>
  </w:style>
  <w:style w:type="paragraph" w:styleId="Heading2">
    <w:name w:val="heading 2"/>
    <w:basedOn w:val="Normal"/>
    <w:next w:val="BodyText"/>
    <w:link w:val="Heading2Char"/>
    <w:uiPriority w:val="9"/>
    <w:unhideWhenUsed/>
    <w:qFormat/>
    <w:rsid w:val="00344436"/>
    <w:pPr>
      <w:keepNext/>
      <w:keepLines/>
      <w:spacing w:before="480" w:after="240"/>
      <w:outlineLvl w:val="1"/>
    </w:pPr>
    <w:rPr>
      <w:rFonts w:asciiTheme="majorHAnsi" w:eastAsiaTheme="majorEastAsia" w:hAnsiTheme="majorHAnsi" w:cstheme="majorBidi"/>
      <w:b/>
      <w:color w:val="5F5F5F" w:themeColor="text2"/>
      <w:sz w:val="40"/>
      <w:szCs w:val="40"/>
    </w:rPr>
  </w:style>
  <w:style w:type="paragraph" w:styleId="Heading3">
    <w:name w:val="heading 3"/>
    <w:basedOn w:val="Normal"/>
    <w:next w:val="BodyText"/>
    <w:link w:val="Heading3Char"/>
    <w:uiPriority w:val="9"/>
    <w:unhideWhenUsed/>
    <w:qFormat/>
    <w:rsid w:val="00344436"/>
    <w:pPr>
      <w:keepNext/>
      <w:keepLines/>
      <w:spacing w:before="240" w:line="240" w:lineRule="auto"/>
      <w:outlineLvl w:val="2"/>
    </w:pPr>
    <w:rPr>
      <w:rFonts w:asciiTheme="majorHAnsi" w:eastAsiaTheme="majorEastAsia" w:hAnsiTheme="majorHAnsi" w:cstheme="majorBidi"/>
      <w:color w:val="5F5F5F" w:themeColor="text2"/>
      <w:sz w:val="30"/>
      <w:szCs w:val="30"/>
    </w:rPr>
  </w:style>
  <w:style w:type="paragraph" w:styleId="Heading4">
    <w:name w:val="heading 4"/>
    <w:basedOn w:val="BodyText"/>
    <w:next w:val="BodyText"/>
    <w:link w:val="Heading4Char"/>
    <w:uiPriority w:val="9"/>
    <w:qFormat/>
    <w:rsid w:val="00344436"/>
    <w:pPr>
      <w:spacing w:before="240"/>
      <w:outlineLvl w:val="3"/>
    </w:pPr>
    <w:rPr>
      <w:rFonts w:asciiTheme="majorHAnsi" w:hAnsiTheme="majorHAnsi"/>
      <w:color w:val="5F5F5F" w:themeColor="text2"/>
      <w:sz w:val="24"/>
      <w:szCs w:val="24"/>
    </w:rPr>
  </w:style>
  <w:style w:type="paragraph" w:styleId="Heading5">
    <w:name w:val="heading 5"/>
    <w:basedOn w:val="HeadingBase"/>
    <w:next w:val="Normal"/>
    <w:link w:val="Heading5Char"/>
    <w:rsid w:val="00F02F08"/>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F02F08"/>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rsid w:val="002277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77E1"/>
  </w:style>
  <w:style w:type="paragraph" w:styleId="EnvelopeAddress">
    <w:name w:val="envelope address"/>
    <w:basedOn w:val="Normal"/>
    <w:uiPriority w:val="99"/>
    <w:semiHidden/>
    <w:unhideWhenUsed/>
    <w:rsid w:val="00C52355"/>
    <w:pPr>
      <w:framePr w:w="7920" w:h="1980" w:hRule="exact" w:hSpace="180" w:wrap="auto" w:hAnchor="page" w:xAlign="center" w:yAlign="bottom"/>
      <w:spacing w:after="0"/>
      <w:ind w:left="2880"/>
    </w:pPr>
    <w:rPr>
      <w:rFonts w:ascii="Garamond" w:eastAsiaTheme="majorEastAsia" w:hAnsi="Garamond" w:cstheme="majorBidi"/>
      <w:b/>
      <w:sz w:val="24"/>
      <w:szCs w:val="24"/>
    </w:rPr>
  </w:style>
  <w:style w:type="paragraph" w:styleId="Title">
    <w:name w:val="Title"/>
    <w:basedOn w:val="Normal"/>
    <w:next w:val="Normal"/>
    <w:link w:val="TitleChar"/>
    <w:qFormat/>
    <w:rsid w:val="00F02F08"/>
    <w:pPr>
      <w:spacing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rsid w:val="00F02F08"/>
    <w:rPr>
      <w:rFonts w:ascii="Calibri Light" w:eastAsiaTheme="majorEastAsia" w:hAnsi="Calibri Light" w:cstheme="majorBidi"/>
      <w:b/>
      <w:color w:val="FFFFFF" w:themeColor="background1"/>
      <w:spacing w:val="5"/>
      <w:kern w:val="28"/>
      <w:sz w:val="72"/>
      <w:szCs w:val="52"/>
      <w:lang w:eastAsia="en-AU"/>
    </w:rPr>
  </w:style>
  <w:style w:type="character" w:customStyle="1" w:styleId="Heading1Char">
    <w:name w:val="Heading 1 Char"/>
    <w:basedOn w:val="DefaultParagraphFont"/>
    <w:link w:val="Heading1"/>
    <w:uiPriority w:val="9"/>
    <w:rsid w:val="00F02F08"/>
    <w:rPr>
      <w:rFonts w:asciiTheme="majorHAnsi" w:hAnsiTheme="majorHAnsi"/>
      <w:b/>
      <w:color w:val="5F5F5F" w:themeColor="text2"/>
      <w:sz w:val="60"/>
      <w:szCs w:val="60"/>
    </w:rPr>
  </w:style>
  <w:style w:type="paragraph" w:styleId="TOCHeading">
    <w:name w:val="TOC Heading"/>
    <w:basedOn w:val="Heading1"/>
    <w:next w:val="Normal"/>
    <w:uiPriority w:val="39"/>
    <w:semiHidden/>
    <w:unhideWhenUsed/>
    <w:qFormat/>
    <w:rsid w:val="00E551D2"/>
    <w:pPr>
      <w:outlineLvl w:val="9"/>
    </w:pPr>
    <w:rPr>
      <w:lang w:val="en-US" w:eastAsia="ja-JP"/>
    </w:rPr>
  </w:style>
  <w:style w:type="paragraph" w:styleId="TOC1">
    <w:name w:val="toc 1"/>
    <w:basedOn w:val="Normal"/>
    <w:next w:val="Normal"/>
    <w:uiPriority w:val="39"/>
    <w:rsid w:val="00F02F08"/>
    <w:pPr>
      <w:keepNext/>
      <w:tabs>
        <w:tab w:val="right" w:leader="dot" w:pos="9072"/>
      </w:tabs>
      <w:spacing w:before="180" w:after="0"/>
      <w:ind w:right="-2"/>
    </w:pPr>
    <w:rPr>
      <w:b/>
      <w:noProof/>
      <w:color w:val="2C384A" w:themeColor="accent1"/>
    </w:rPr>
  </w:style>
  <w:style w:type="character" w:styleId="Hyperlink">
    <w:name w:val="Hyperlink"/>
    <w:basedOn w:val="DefaultParagraphFont"/>
    <w:uiPriority w:val="99"/>
    <w:unhideWhenUsed/>
    <w:rsid w:val="00344436"/>
    <w:rPr>
      <w:color w:val="3A6FAF" w:themeColor="hyperlink"/>
      <w:u w:val="single"/>
    </w:rPr>
  </w:style>
  <w:style w:type="paragraph" w:styleId="BalloonText">
    <w:name w:val="Balloon Text"/>
    <w:basedOn w:val="Normal"/>
    <w:link w:val="BalloonTextChar"/>
    <w:uiPriority w:val="99"/>
    <w:unhideWhenUsed/>
    <w:rsid w:val="00344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02F08"/>
    <w:rPr>
      <w:rFonts w:ascii="Segoe UI" w:hAnsi="Segoe UI" w:cs="Segoe UI"/>
      <w:sz w:val="18"/>
      <w:szCs w:val="18"/>
    </w:rPr>
  </w:style>
  <w:style w:type="paragraph" w:customStyle="1" w:styleId="Bullet">
    <w:name w:val="Bullet"/>
    <w:aliases w:val="Body,Bullet + line,b,b + line,b1,bulleted,level 1,BodyNum,Bullet Char1,Bullet Char1 Char Char Char Char,b1 Char Char Char,Bullet Char1 Char Char Char Char Char,Bullet Char1 Char Char Char"/>
    <w:basedOn w:val="Normal"/>
    <w:link w:val="BulletChar"/>
    <w:autoRedefine/>
    <w:qFormat/>
    <w:rsid w:val="00C44083"/>
    <w:pPr>
      <w:numPr>
        <w:numId w:val="2"/>
      </w:numPr>
      <w:tabs>
        <w:tab w:val="left" w:pos="720"/>
      </w:tabs>
      <w:spacing w:line="276" w:lineRule="auto"/>
    </w:pPr>
  </w:style>
  <w:style w:type="character" w:customStyle="1" w:styleId="BulletChar">
    <w:name w:val="Bullet Char"/>
    <w:basedOn w:val="DefaultParagraphFont"/>
    <w:link w:val="Bullet"/>
    <w:rsid w:val="00C44083"/>
  </w:style>
  <w:style w:type="paragraph" w:customStyle="1" w:styleId="Dash">
    <w:name w:val="Dash"/>
    <w:basedOn w:val="Normal"/>
    <w:link w:val="DashChar"/>
    <w:qFormat/>
    <w:rsid w:val="006728C2"/>
    <w:pPr>
      <w:numPr>
        <w:ilvl w:val="1"/>
        <w:numId w:val="2"/>
      </w:numPr>
    </w:pPr>
  </w:style>
  <w:style w:type="character" w:customStyle="1" w:styleId="DashChar">
    <w:name w:val="Dash Char"/>
    <w:basedOn w:val="DefaultParagraphFont"/>
    <w:link w:val="Dash"/>
    <w:rsid w:val="006728C2"/>
  </w:style>
  <w:style w:type="paragraph" w:customStyle="1" w:styleId="DoubleDot">
    <w:name w:val="Double Dot"/>
    <w:basedOn w:val="Normal"/>
    <w:link w:val="DoubleDotChar"/>
    <w:qFormat/>
    <w:rsid w:val="006728C2"/>
    <w:pPr>
      <w:numPr>
        <w:ilvl w:val="2"/>
        <w:numId w:val="2"/>
      </w:numPr>
    </w:pPr>
  </w:style>
  <w:style w:type="character" w:customStyle="1" w:styleId="DoubleDotChar">
    <w:name w:val="Double Dot Char"/>
    <w:basedOn w:val="DefaultParagraphFont"/>
    <w:link w:val="DoubleDot"/>
    <w:rsid w:val="006728C2"/>
  </w:style>
  <w:style w:type="paragraph" w:customStyle="1" w:styleId="Singleparagraph">
    <w:name w:val="Single paragraph"/>
    <w:basedOn w:val="Normal"/>
    <w:qFormat/>
    <w:rsid w:val="007C6D12"/>
    <w:pPr>
      <w:spacing w:after="0"/>
    </w:pPr>
  </w:style>
  <w:style w:type="paragraph" w:styleId="Header">
    <w:name w:val="header"/>
    <w:basedOn w:val="Normal"/>
    <w:link w:val="HeaderChar"/>
    <w:uiPriority w:val="99"/>
    <w:rsid w:val="00344436"/>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F02F08"/>
    <w:rPr>
      <w:rFonts w:asciiTheme="majorHAnsi" w:hAnsiTheme="majorHAnsi"/>
      <w:b/>
      <w:color w:val="FFFFFF" w:themeColor="background1"/>
      <w:szCs w:val="18"/>
    </w:rPr>
  </w:style>
  <w:style w:type="paragraph" w:styleId="Footer">
    <w:name w:val="footer"/>
    <w:basedOn w:val="Normal"/>
    <w:link w:val="FooterChar"/>
    <w:uiPriority w:val="99"/>
    <w:rsid w:val="00344436"/>
    <w:pPr>
      <w:tabs>
        <w:tab w:val="center" w:pos="4513"/>
        <w:tab w:val="right" w:pos="9026"/>
      </w:tabs>
      <w:spacing w:after="0" w:line="240" w:lineRule="auto"/>
      <w:jc w:val="right"/>
    </w:pPr>
    <w:rPr>
      <w:rFonts w:asciiTheme="majorHAnsi" w:hAnsiTheme="majorHAnsi"/>
      <w:b/>
      <w:caps/>
      <w:color w:val="5F5F5F" w:themeColor="text2"/>
    </w:rPr>
  </w:style>
  <w:style w:type="character" w:customStyle="1" w:styleId="FooterChar">
    <w:name w:val="Footer Char"/>
    <w:basedOn w:val="DefaultParagraphFont"/>
    <w:link w:val="Footer"/>
    <w:uiPriority w:val="99"/>
    <w:rsid w:val="00F02F08"/>
    <w:rPr>
      <w:rFonts w:asciiTheme="majorHAnsi" w:hAnsiTheme="majorHAnsi"/>
      <w:b/>
      <w:caps/>
      <w:color w:val="5F5F5F" w:themeColor="text2"/>
    </w:rPr>
  </w:style>
  <w:style w:type="character" w:customStyle="1" w:styleId="Heading2Char">
    <w:name w:val="Heading 2 Char"/>
    <w:basedOn w:val="DefaultParagraphFont"/>
    <w:link w:val="Heading2"/>
    <w:uiPriority w:val="9"/>
    <w:rsid w:val="00F02F08"/>
    <w:rPr>
      <w:rFonts w:asciiTheme="majorHAnsi" w:eastAsiaTheme="majorEastAsia" w:hAnsiTheme="majorHAnsi" w:cstheme="majorBidi"/>
      <w:b/>
      <w:color w:val="5F5F5F" w:themeColor="text2"/>
      <w:sz w:val="40"/>
      <w:szCs w:val="40"/>
    </w:rPr>
  </w:style>
  <w:style w:type="paragraph" w:styleId="FootnoteText">
    <w:name w:val="footnote text"/>
    <w:basedOn w:val="Normal"/>
    <w:link w:val="FootnoteTextChar"/>
    <w:uiPriority w:val="99"/>
    <w:rsid w:val="00344436"/>
    <w:pPr>
      <w:spacing w:after="0" w:line="240" w:lineRule="auto"/>
    </w:pPr>
  </w:style>
  <w:style w:type="character" w:customStyle="1" w:styleId="Heading3Char">
    <w:name w:val="Heading 3 Char"/>
    <w:basedOn w:val="DefaultParagraphFont"/>
    <w:link w:val="Heading3"/>
    <w:uiPriority w:val="9"/>
    <w:rsid w:val="00F02F08"/>
    <w:rPr>
      <w:rFonts w:asciiTheme="majorHAnsi" w:eastAsiaTheme="majorEastAsia" w:hAnsiTheme="majorHAnsi" w:cstheme="majorBidi"/>
      <w:color w:val="5F5F5F" w:themeColor="text2"/>
      <w:sz w:val="30"/>
      <w:szCs w:val="30"/>
    </w:rPr>
  </w:style>
  <w:style w:type="character" w:customStyle="1" w:styleId="FootnoteTextChar">
    <w:name w:val="Footnote Text Char"/>
    <w:basedOn w:val="DefaultParagraphFont"/>
    <w:link w:val="FootnoteText"/>
    <w:uiPriority w:val="99"/>
    <w:rsid w:val="00F02F08"/>
  </w:style>
  <w:style w:type="paragraph" w:styleId="Subtitle">
    <w:name w:val="Subtitle"/>
    <w:basedOn w:val="Normal"/>
    <w:next w:val="Normal"/>
    <w:link w:val="SubtitleChar"/>
    <w:uiPriority w:val="1"/>
    <w:qFormat/>
    <w:rsid w:val="00F02F08"/>
    <w:pPr>
      <w:numPr>
        <w:ilvl w:val="1"/>
      </w:numPr>
      <w:ind w:hanging="357"/>
    </w:pPr>
    <w:rPr>
      <w:rFonts w:eastAsiaTheme="majorEastAsia" w:cstheme="majorBidi"/>
      <w:iCs/>
      <w:color w:val="EEEEEE"/>
      <w:sz w:val="44"/>
      <w:szCs w:val="44"/>
    </w:rPr>
  </w:style>
  <w:style w:type="character" w:customStyle="1" w:styleId="SubtitleChar">
    <w:name w:val="Subtitle Char"/>
    <w:basedOn w:val="DefaultParagraphFont"/>
    <w:link w:val="Subtitle"/>
    <w:uiPriority w:val="1"/>
    <w:rsid w:val="00F02F08"/>
    <w:rPr>
      <w:rFonts w:eastAsiaTheme="majorEastAsia" w:cstheme="majorBidi"/>
      <w:iCs/>
      <w:color w:val="EEEEEE"/>
      <w:sz w:val="44"/>
      <w:szCs w:val="44"/>
    </w:rPr>
  </w:style>
  <w:style w:type="paragraph" w:styleId="TOC2">
    <w:name w:val="toc 2"/>
    <w:basedOn w:val="Normal"/>
    <w:next w:val="Normal"/>
    <w:uiPriority w:val="39"/>
    <w:rsid w:val="00F02F08"/>
    <w:pPr>
      <w:keepNext/>
      <w:tabs>
        <w:tab w:val="right" w:leader="dot" w:pos="9072"/>
      </w:tabs>
      <w:spacing w:before="40" w:after="20"/>
      <w:ind w:right="-2"/>
    </w:pPr>
    <w:rPr>
      <w:noProof/>
      <w:color w:val="5D779D" w:themeColor="accent3"/>
    </w:rPr>
  </w:style>
  <w:style w:type="paragraph" w:customStyle="1" w:styleId="AlphaParagraph">
    <w:name w:val="Alpha Paragraph"/>
    <w:basedOn w:val="Normal"/>
    <w:qFormat/>
    <w:rsid w:val="00F02F08"/>
    <w:pPr>
      <w:numPr>
        <w:ilvl w:val="1"/>
        <w:numId w:val="4"/>
      </w:numPr>
      <w:ind w:left="1134" w:hanging="369"/>
    </w:pPr>
  </w:style>
  <w:style w:type="paragraph" w:customStyle="1" w:styleId="HeadingBase">
    <w:name w:val="Heading Base"/>
    <w:rsid w:val="00F02F08"/>
    <w:pPr>
      <w:keepNext/>
      <w:spacing w:after="120" w:line="240" w:lineRule="auto"/>
    </w:pPr>
    <w:rPr>
      <w:rFonts w:ascii="Calibri" w:eastAsia="Times New Roman" w:hAnsi="Calibri" w:cs="Arial"/>
      <w:bCs/>
      <w:color w:val="002C4A"/>
      <w:kern w:val="32"/>
      <w:sz w:val="48"/>
      <w:szCs w:val="36"/>
      <w:lang w:eastAsia="en-AU"/>
    </w:rPr>
  </w:style>
  <w:style w:type="paragraph" w:customStyle="1" w:styleId="AppendixHeading">
    <w:name w:val="Appendix Heading"/>
    <w:basedOn w:val="Heading1"/>
    <w:next w:val="Normal"/>
    <w:rsid w:val="00F02F08"/>
  </w:style>
  <w:style w:type="paragraph" w:customStyle="1" w:styleId="Boxbullet">
    <w:name w:val="Box bullet"/>
    <w:basedOn w:val="Bullet"/>
    <w:rsid w:val="00F02F08"/>
    <w:pPr>
      <w:tabs>
        <w:tab w:val="num" w:pos="284"/>
      </w:tabs>
      <w:spacing w:before="60"/>
      <w:ind w:left="170" w:hanging="170"/>
    </w:pPr>
    <w:rPr>
      <w:color w:val="0D0D0D" w:themeColor="text1" w:themeTint="F2"/>
    </w:rPr>
  </w:style>
  <w:style w:type="numbering" w:customStyle="1" w:styleId="BoxBulletedList">
    <w:name w:val="Box Bulleted List"/>
    <w:uiPriority w:val="99"/>
    <w:rsid w:val="00F02F08"/>
    <w:pPr>
      <w:numPr>
        <w:numId w:val="5"/>
      </w:numPr>
    </w:pPr>
  </w:style>
  <w:style w:type="paragraph" w:customStyle="1" w:styleId="Boxdash">
    <w:name w:val="Box dash"/>
    <w:basedOn w:val="Dash"/>
    <w:rsid w:val="00F02F08"/>
    <w:pPr>
      <w:spacing w:before="60" w:after="0" w:line="276" w:lineRule="auto"/>
      <w:ind w:left="454" w:hanging="170"/>
    </w:pPr>
    <w:rPr>
      <w:color w:val="0D0D0D" w:themeColor="text1" w:themeTint="F2"/>
    </w:rPr>
  </w:style>
  <w:style w:type="paragraph" w:customStyle="1" w:styleId="Boxdoubledot">
    <w:name w:val="Box double dot"/>
    <w:basedOn w:val="DoubleDot"/>
    <w:rsid w:val="00F02F08"/>
    <w:pPr>
      <w:tabs>
        <w:tab w:val="left" w:pos="567"/>
      </w:tabs>
      <w:spacing w:before="60" w:after="0" w:line="276" w:lineRule="auto"/>
      <w:ind w:left="567" w:hanging="142"/>
    </w:pPr>
    <w:rPr>
      <w:color w:val="0D0D0D" w:themeColor="text1" w:themeTint="F2"/>
    </w:rPr>
  </w:style>
  <w:style w:type="paragraph" w:customStyle="1" w:styleId="BoxHeading">
    <w:name w:val="Box Heading"/>
    <w:basedOn w:val="Normal"/>
    <w:next w:val="Normal"/>
    <w:rsid w:val="00F02F08"/>
    <w:pPr>
      <w:keepNext/>
      <w:spacing w:before="240"/>
    </w:pPr>
    <w:rPr>
      <w:b/>
      <w:color w:val="2C384A" w:themeColor="accent1"/>
      <w:sz w:val="26"/>
      <w:szCs w:val="26"/>
    </w:rPr>
  </w:style>
  <w:style w:type="paragraph" w:customStyle="1" w:styleId="BoxText">
    <w:name w:val="Box Text"/>
    <w:basedOn w:val="Normal"/>
    <w:link w:val="BoxTextChar"/>
    <w:rsid w:val="00F02F08"/>
  </w:style>
  <w:style w:type="character" w:customStyle="1" w:styleId="BoxTextChar">
    <w:name w:val="Box Text Char"/>
    <w:basedOn w:val="DefaultParagraphFont"/>
    <w:link w:val="BoxText"/>
    <w:locked/>
    <w:rsid w:val="00F02F08"/>
    <w:rPr>
      <w:rFonts w:ascii="Calibri Light" w:eastAsia="Times New Roman" w:hAnsi="Calibri Light" w:cs="Times New Roman"/>
      <w:szCs w:val="20"/>
      <w:lang w:eastAsia="en-AU"/>
    </w:rPr>
  </w:style>
  <w:style w:type="numbering" w:customStyle="1" w:styleId="BulletedList">
    <w:name w:val="Bulleted List"/>
    <w:uiPriority w:val="99"/>
    <w:rsid w:val="00F02F08"/>
    <w:pPr>
      <w:numPr>
        <w:numId w:val="6"/>
      </w:numPr>
    </w:pPr>
  </w:style>
  <w:style w:type="paragraph" w:customStyle="1" w:styleId="ChartandTableFootnoteAlpha">
    <w:name w:val="Chart and Table Footnote Alpha"/>
    <w:rsid w:val="00F02F08"/>
    <w:pPr>
      <w:numPr>
        <w:numId w:val="10"/>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F02F08"/>
    <w:pPr>
      <w:keepNext/>
      <w:spacing w:after="0"/>
      <w:jc w:val="center"/>
    </w:pPr>
    <w:rPr>
      <w:color w:val="004A7F"/>
    </w:rPr>
  </w:style>
  <w:style w:type="paragraph" w:customStyle="1" w:styleId="TableMainHeading">
    <w:name w:val="Table Main Heading"/>
    <w:basedOn w:val="Heading3"/>
    <w:next w:val="Normal"/>
    <w:rsid w:val="00F02F08"/>
    <w:pPr>
      <w:spacing w:before="120"/>
    </w:pPr>
    <w:rPr>
      <w:b/>
      <w:sz w:val="26"/>
    </w:rPr>
  </w:style>
  <w:style w:type="paragraph" w:customStyle="1" w:styleId="ChartMainHeading">
    <w:name w:val="Chart Main Heading"/>
    <w:basedOn w:val="TableMainHeading"/>
    <w:next w:val="ChartGraphic"/>
    <w:rsid w:val="00F02F08"/>
    <w:pPr>
      <w:jc w:val="center"/>
    </w:pPr>
  </w:style>
  <w:style w:type="paragraph" w:customStyle="1" w:styleId="ChartorTableNote">
    <w:name w:val="Chart or Table Note"/>
    <w:next w:val="Normal"/>
    <w:rsid w:val="00F02F08"/>
    <w:pPr>
      <w:spacing w:after="0" w:line="240" w:lineRule="auto"/>
      <w:jc w:val="both"/>
    </w:pPr>
    <w:rPr>
      <w:rFonts w:ascii="Calibri" w:eastAsia="Times New Roman" w:hAnsi="Calibri" w:cs="Times New Roman"/>
      <w:color w:val="000000"/>
      <w:sz w:val="18"/>
      <w:szCs w:val="20"/>
      <w:lang w:eastAsia="en-AU"/>
    </w:rPr>
  </w:style>
  <w:style w:type="paragraph" w:customStyle="1" w:styleId="TableSecondHeading">
    <w:name w:val="Table Second Heading"/>
    <w:basedOn w:val="Normal"/>
    <w:next w:val="Normal"/>
    <w:rsid w:val="00F02F08"/>
    <w:pPr>
      <w:keepNext/>
      <w:spacing w:after="20"/>
    </w:pPr>
    <w:rPr>
      <w:b/>
      <w:color w:val="004A7F"/>
    </w:rPr>
  </w:style>
  <w:style w:type="paragraph" w:customStyle="1" w:styleId="ChartSecondHeading">
    <w:name w:val="Chart Second Heading"/>
    <w:basedOn w:val="TableSecondHeading"/>
    <w:next w:val="ChartGraphic"/>
    <w:rsid w:val="00F02F08"/>
    <w:pPr>
      <w:jc w:val="center"/>
    </w:pPr>
    <w:rPr>
      <w:b w:val="0"/>
      <w:bCs/>
    </w:rPr>
  </w:style>
  <w:style w:type="numbering" w:customStyle="1" w:styleId="ChartandTableFootnoteAlphaList">
    <w:name w:val="ChartandTableFootnoteAlphaList"/>
    <w:uiPriority w:val="99"/>
    <w:rsid w:val="00F02F08"/>
    <w:pPr>
      <w:numPr>
        <w:numId w:val="21"/>
      </w:numPr>
    </w:pPr>
  </w:style>
  <w:style w:type="character" w:styleId="CommentReference">
    <w:name w:val="annotation reference"/>
    <w:basedOn w:val="DefaultParagraphFont"/>
    <w:uiPriority w:val="99"/>
    <w:unhideWhenUsed/>
    <w:rsid w:val="00F02F08"/>
    <w:rPr>
      <w:sz w:val="16"/>
      <w:szCs w:val="16"/>
    </w:rPr>
  </w:style>
  <w:style w:type="paragraph" w:styleId="CommentText">
    <w:name w:val="annotation text"/>
    <w:basedOn w:val="Normal"/>
    <w:link w:val="CommentTextChar"/>
    <w:uiPriority w:val="99"/>
    <w:unhideWhenUsed/>
    <w:rsid w:val="00F02F08"/>
    <w:rPr>
      <w:rFonts w:ascii="Calibri" w:hAnsi="Calibri"/>
    </w:rPr>
  </w:style>
  <w:style w:type="character" w:customStyle="1" w:styleId="CommentTextChar">
    <w:name w:val="Comment Text Char"/>
    <w:basedOn w:val="DefaultParagraphFont"/>
    <w:link w:val="CommentText"/>
    <w:uiPriority w:val="99"/>
    <w:rsid w:val="00F02F08"/>
    <w:rPr>
      <w:rFonts w:ascii="Calibri" w:hAnsi="Calibri"/>
    </w:rPr>
  </w:style>
  <w:style w:type="paragraph" w:customStyle="1" w:styleId="FooterEven">
    <w:name w:val="Footer Even"/>
    <w:basedOn w:val="Footer"/>
    <w:rsid w:val="00F02F08"/>
    <w:pPr>
      <w:keepNext/>
      <w:tabs>
        <w:tab w:val="clear" w:pos="4513"/>
        <w:tab w:val="clear" w:pos="9026"/>
      </w:tabs>
      <w:jc w:val="left"/>
    </w:pPr>
    <w:rPr>
      <w:noProof/>
      <w:color w:val="2C384A" w:themeColor="accent1"/>
    </w:rPr>
  </w:style>
  <w:style w:type="paragraph" w:customStyle="1" w:styleId="FooterOdd">
    <w:name w:val="Footer Odd"/>
    <w:basedOn w:val="Footer"/>
    <w:rsid w:val="00F02F08"/>
    <w:pPr>
      <w:keepNext/>
      <w:tabs>
        <w:tab w:val="clear" w:pos="4513"/>
        <w:tab w:val="clear" w:pos="9026"/>
      </w:tabs>
    </w:pPr>
    <w:rPr>
      <w:color w:val="2C384A" w:themeColor="accent1"/>
    </w:rPr>
  </w:style>
  <w:style w:type="character" w:styleId="FootnoteReference">
    <w:name w:val="footnote reference"/>
    <w:basedOn w:val="DefaultParagraphFont"/>
    <w:uiPriority w:val="99"/>
    <w:rsid w:val="00344436"/>
    <w:rPr>
      <w:vertAlign w:val="superscript"/>
    </w:rPr>
  </w:style>
  <w:style w:type="paragraph" w:customStyle="1" w:styleId="HeaderEven">
    <w:name w:val="Header Even"/>
    <w:basedOn w:val="Header"/>
    <w:qFormat/>
    <w:rsid w:val="00F02F08"/>
    <w:rPr>
      <w:color w:val="002C47"/>
    </w:rPr>
  </w:style>
  <w:style w:type="paragraph" w:customStyle="1" w:styleId="HeaderOdd">
    <w:name w:val="Header Odd"/>
    <w:basedOn w:val="Header"/>
    <w:qFormat/>
    <w:rsid w:val="00F02F08"/>
    <w:rPr>
      <w:color w:val="002C47"/>
    </w:rPr>
  </w:style>
  <w:style w:type="paragraph" w:customStyle="1" w:styleId="Heading1Numbered">
    <w:name w:val="Heading 1 Numbered"/>
    <w:basedOn w:val="Heading1"/>
    <w:next w:val="Normal"/>
    <w:rsid w:val="00F02F08"/>
    <w:pPr>
      <w:tabs>
        <w:tab w:val="num" w:pos="283"/>
      </w:tabs>
      <w:ind w:left="360" w:hanging="360"/>
    </w:pPr>
  </w:style>
  <w:style w:type="paragraph" w:customStyle="1" w:styleId="Heading2Numbered">
    <w:name w:val="Heading 2 Numbered"/>
    <w:basedOn w:val="Heading2"/>
    <w:next w:val="Normal"/>
    <w:rsid w:val="00F02F08"/>
    <w:pPr>
      <w:ind w:left="720" w:hanging="360"/>
    </w:pPr>
  </w:style>
  <w:style w:type="paragraph" w:customStyle="1" w:styleId="Heading3Numbered">
    <w:name w:val="Heading 3 Numbered"/>
    <w:basedOn w:val="Heading3"/>
    <w:rsid w:val="00F02F08"/>
    <w:pPr>
      <w:ind w:left="1080" w:hanging="360"/>
    </w:pPr>
  </w:style>
  <w:style w:type="character" w:customStyle="1" w:styleId="Heading4Char">
    <w:name w:val="Heading 4 Char"/>
    <w:basedOn w:val="DefaultParagraphFont"/>
    <w:link w:val="Heading4"/>
    <w:uiPriority w:val="9"/>
    <w:rsid w:val="00F02F08"/>
    <w:rPr>
      <w:rFonts w:asciiTheme="majorHAnsi" w:hAnsiTheme="majorHAnsi"/>
      <w:color w:val="5F5F5F" w:themeColor="text2"/>
      <w:sz w:val="24"/>
      <w:szCs w:val="24"/>
    </w:rPr>
  </w:style>
  <w:style w:type="character" w:customStyle="1" w:styleId="Heading5Char">
    <w:name w:val="Heading 5 Char"/>
    <w:basedOn w:val="DefaultParagraphFont"/>
    <w:link w:val="Heading5"/>
    <w:rsid w:val="00F02F08"/>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F02F08"/>
    <w:rPr>
      <w:rFonts w:ascii="Calibri Light" w:eastAsia="Times New Roman" w:hAnsi="Calibri Light" w:cs="Arial"/>
      <w:color w:val="000000" w:themeColor="text1"/>
      <w:kern w:val="32"/>
      <w:lang w:eastAsia="en-AU"/>
    </w:rPr>
  </w:style>
  <w:style w:type="paragraph" w:customStyle="1" w:styleId="Instructions">
    <w:name w:val="Instructions"/>
    <w:basedOn w:val="Normal"/>
    <w:uiPriority w:val="1"/>
    <w:qFormat/>
    <w:rsid w:val="00F02F08"/>
    <w:pPr>
      <w:shd w:val="clear" w:color="auto" w:fill="FFFF00"/>
      <w:ind w:left="170" w:hanging="170"/>
    </w:pPr>
    <w:rPr>
      <w:szCs w:val="24"/>
    </w:rPr>
  </w:style>
  <w:style w:type="paragraph" w:styleId="ListParagraph">
    <w:name w:val="List Paragraph"/>
    <w:basedOn w:val="Normal"/>
    <w:uiPriority w:val="34"/>
    <w:qFormat/>
    <w:rsid w:val="00F02F08"/>
    <w:pPr>
      <w:ind w:left="720"/>
      <w:contextualSpacing/>
    </w:pPr>
  </w:style>
  <w:style w:type="paragraph" w:customStyle="1" w:styleId="NotesHeading">
    <w:name w:val="Notes Heading"/>
    <w:basedOn w:val="Normal"/>
    <w:rsid w:val="00F02F08"/>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F02F08"/>
    <w:pPr>
      <w:numPr>
        <w:numId w:val="29"/>
      </w:numPr>
    </w:pPr>
  </w:style>
  <w:style w:type="paragraph" w:customStyle="1" w:styleId="OutlineNumbered1">
    <w:name w:val="Outline Numbered 1"/>
    <w:basedOn w:val="Normal"/>
    <w:rsid w:val="00F02F08"/>
    <w:pPr>
      <w:numPr>
        <w:numId w:val="75"/>
      </w:numPr>
    </w:pPr>
  </w:style>
  <w:style w:type="paragraph" w:customStyle="1" w:styleId="OutlineNumbered2">
    <w:name w:val="Outline Numbered 2"/>
    <w:basedOn w:val="Normal"/>
    <w:rsid w:val="00F02F08"/>
    <w:pPr>
      <w:numPr>
        <w:ilvl w:val="1"/>
        <w:numId w:val="70"/>
      </w:numPr>
    </w:pPr>
  </w:style>
  <w:style w:type="paragraph" w:customStyle="1" w:styleId="OutlineNumbered3">
    <w:name w:val="Outline Numbered 3"/>
    <w:basedOn w:val="Normal"/>
    <w:rsid w:val="00F02F08"/>
    <w:pPr>
      <w:numPr>
        <w:ilvl w:val="2"/>
        <w:numId w:val="70"/>
      </w:numPr>
    </w:pPr>
  </w:style>
  <w:style w:type="numbering" w:customStyle="1" w:styleId="OutlineList">
    <w:name w:val="OutlineList"/>
    <w:uiPriority w:val="99"/>
    <w:rsid w:val="00F02F08"/>
    <w:pPr>
      <w:numPr>
        <w:numId w:val="32"/>
      </w:numPr>
    </w:pPr>
  </w:style>
  <w:style w:type="character" w:styleId="PlaceholderText">
    <w:name w:val="Placeholder Text"/>
    <w:basedOn w:val="DefaultParagraphFont"/>
    <w:uiPriority w:val="99"/>
    <w:semiHidden/>
    <w:rsid w:val="00F02F08"/>
    <w:rPr>
      <w:color w:val="808080"/>
    </w:rPr>
  </w:style>
  <w:style w:type="paragraph" w:customStyle="1" w:styleId="ReportDate">
    <w:name w:val="Report Date"/>
    <w:basedOn w:val="Normal"/>
    <w:link w:val="ReportDateChar"/>
    <w:rsid w:val="00AA5110"/>
    <w:pPr>
      <w:keepNext/>
      <w:spacing w:after="360"/>
    </w:pPr>
    <w:rPr>
      <w:color w:val="2C384A" w:themeColor="accent1"/>
      <w:sz w:val="32"/>
    </w:rPr>
  </w:style>
  <w:style w:type="character" w:customStyle="1" w:styleId="ReportDateChar">
    <w:name w:val="Report Date Char"/>
    <w:basedOn w:val="DefaultParagraphFont"/>
    <w:link w:val="ReportDate"/>
    <w:rsid w:val="00AA5110"/>
    <w:rPr>
      <w:color w:val="2C384A" w:themeColor="accent1"/>
      <w:sz w:val="32"/>
    </w:rPr>
  </w:style>
  <w:style w:type="paragraph" w:customStyle="1" w:styleId="SingleParagraph0">
    <w:name w:val="Single Paragraph"/>
    <w:basedOn w:val="Normal"/>
    <w:link w:val="SingleParagraphChar"/>
    <w:rsid w:val="00F02F08"/>
    <w:pPr>
      <w:spacing w:after="0"/>
    </w:pPr>
  </w:style>
  <w:style w:type="character" w:customStyle="1" w:styleId="SingleParagraphChar">
    <w:name w:val="Single Paragraph Char"/>
    <w:basedOn w:val="DefaultParagraphFont"/>
    <w:link w:val="SingleParagraph0"/>
    <w:rsid w:val="00F02F08"/>
  </w:style>
  <w:style w:type="paragraph" w:customStyle="1" w:styleId="TableTextRight">
    <w:name w:val="Table Text Right"/>
    <w:basedOn w:val="Normal"/>
    <w:rsid w:val="00F02F08"/>
    <w:pPr>
      <w:spacing w:before="40" w:after="40"/>
      <w:jc w:val="right"/>
    </w:pPr>
    <w:rPr>
      <w:color w:val="000000"/>
      <w:sz w:val="18"/>
    </w:rPr>
  </w:style>
  <w:style w:type="paragraph" w:customStyle="1" w:styleId="TableTextLeft">
    <w:name w:val="Table Text Left"/>
    <w:basedOn w:val="TableTextRight"/>
    <w:rsid w:val="00F02F08"/>
    <w:pPr>
      <w:jc w:val="left"/>
    </w:pPr>
  </w:style>
  <w:style w:type="paragraph" w:customStyle="1" w:styleId="TableColumnHeadingCentred">
    <w:name w:val="Table Column Heading Centred"/>
    <w:basedOn w:val="TableTextLeft"/>
    <w:rsid w:val="00F02F08"/>
    <w:pPr>
      <w:jc w:val="center"/>
    </w:pPr>
    <w:rPr>
      <w:b/>
      <w:color w:val="2C384A" w:themeColor="accent1"/>
      <w:sz w:val="20"/>
    </w:rPr>
  </w:style>
  <w:style w:type="paragraph" w:customStyle="1" w:styleId="TableColumnHeadingLeft">
    <w:name w:val="Table Column Heading Left"/>
    <w:basedOn w:val="TableTextLeft"/>
    <w:rsid w:val="00F02F08"/>
    <w:rPr>
      <w:b/>
      <w:color w:val="2C384A" w:themeColor="accent1"/>
      <w:sz w:val="20"/>
    </w:rPr>
  </w:style>
  <w:style w:type="paragraph" w:customStyle="1" w:styleId="TableColumnHeadingRight">
    <w:name w:val="Table Column Heading Right"/>
    <w:basedOn w:val="TableTextLeft"/>
    <w:rsid w:val="00F02F08"/>
    <w:pPr>
      <w:jc w:val="right"/>
    </w:pPr>
    <w:rPr>
      <w:b/>
      <w:color w:val="2C384A" w:themeColor="accent1"/>
      <w:sz w:val="20"/>
    </w:rPr>
  </w:style>
  <w:style w:type="paragraph" w:customStyle="1" w:styleId="TableGraphic">
    <w:name w:val="Table Graphic"/>
    <w:basedOn w:val="HeadingBase"/>
    <w:next w:val="Normal"/>
    <w:rsid w:val="00F02F08"/>
    <w:pPr>
      <w:spacing w:after="0"/>
    </w:pPr>
  </w:style>
  <w:style w:type="table" w:styleId="TableGrid">
    <w:name w:val="Table Grid"/>
    <w:basedOn w:val="TableNormal"/>
    <w:uiPriority w:val="39"/>
    <w:rsid w:val="00344436"/>
    <w:pPr>
      <w:spacing w:after="0" w:line="240" w:lineRule="auto"/>
    </w:pPr>
    <w:rPr>
      <w:color w:val="262626" w:themeColor="text1" w:themeTint="D9"/>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ntinued">
    <w:name w:val="Table Heading Continued"/>
    <w:basedOn w:val="TableMainHeading"/>
    <w:next w:val="TableGraphic"/>
    <w:rsid w:val="00F02F08"/>
  </w:style>
  <w:style w:type="paragraph" w:customStyle="1" w:styleId="TableTextCentered">
    <w:name w:val="Table Text Centered"/>
    <w:basedOn w:val="TableTextRight"/>
    <w:rsid w:val="00F02F08"/>
    <w:pPr>
      <w:jc w:val="center"/>
    </w:pPr>
  </w:style>
  <w:style w:type="paragraph" w:customStyle="1" w:styleId="TableTextIndented">
    <w:name w:val="Table Text Indented"/>
    <w:basedOn w:val="TableTextLeft"/>
    <w:rsid w:val="00F02F08"/>
    <w:pPr>
      <w:ind w:left="284"/>
    </w:pPr>
  </w:style>
  <w:style w:type="paragraph" w:styleId="TOC3">
    <w:name w:val="toc 3"/>
    <w:basedOn w:val="Normal"/>
    <w:next w:val="Normal"/>
    <w:uiPriority w:val="39"/>
    <w:rsid w:val="00F02F08"/>
    <w:pPr>
      <w:tabs>
        <w:tab w:val="right" w:leader="dot" w:pos="9072"/>
      </w:tabs>
      <w:spacing w:before="20" w:after="0"/>
      <w:ind w:left="284" w:right="-2"/>
    </w:pPr>
    <w:rPr>
      <w:rFonts w:cs="Calibri"/>
      <w:noProof/>
    </w:rPr>
  </w:style>
  <w:style w:type="paragraph" w:customStyle="1" w:styleId="CoverDate">
    <w:name w:val="Cover Date"/>
    <w:basedOn w:val="Normal"/>
    <w:rsid w:val="00C725DE"/>
    <w:pPr>
      <w:keepNext/>
      <w:spacing w:before="840" w:after="0"/>
      <w:jc w:val="right"/>
    </w:pPr>
    <w:rPr>
      <w:color w:val="2C384A" w:themeColor="accent1"/>
      <w:sz w:val="28"/>
    </w:rPr>
  </w:style>
  <w:style w:type="paragraph" w:customStyle="1" w:styleId="CoverTitleMain">
    <w:name w:val="Cover Title Main"/>
    <w:basedOn w:val="Normal"/>
    <w:next w:val="Normal"/>
    <w:autoRedefine/>
    <w:qFormat/>
    <w:rsid w:val="002838B1"/>
    <w:pPr>
      <w:keepNext/>
      <w:spacing w:before="3360" w:after="720" w:line="300" w:lineRule="auto"/>
      <w:jc w:val="right"/>
    </w:pPr>
    <w:rPr>
      <w:rFonts w:ascii="Calibri" w:hAnsi="Calibri"/>
      <w:color w:val="2C384A" w:themeColor="accent1"/>
      <w:sz w:val="56"/>
      <w:szCs w:val="40"/>
    </w:rPr>
  </w:style>
  <w:style w:type="paragraph" w:customStyle="1" w:styleId="CoverTitleSub">
    <w:name w:val="Cover Title Sub"/>
    <w:basedOn w:val="Normal"/>
    <w:rsid w:val="00647528"/>
    <w:pPr>
      <w:keepNext/>
      <w:jc w:val="right"/>
    </w:pPr>
    <w:rPr>
      <w:rFonts w:ascii="Calibri" w:hAnsi="Calibri"/>
      <w:color w:val="2C384A" w:themeColor="accent1"/>
      <w:sz w:val="40"/>
    </w:rPr>
  </w:style>
  <w:style w:type="character" w:styleId="FollowedHyperlink">
    <w:name w:val="FollowedHyperlink"/>
    <w:basedOn w:val="DefaultParagraphFont"/>
    <w:uiPriority w:val="99"/>
    <w:semiHidden/>
    <w:unhideWhenUsed/>
    <w:rsid w:val="00E02B6D"/>
    <w:rPr>
      <w:color w:val="844D9E" w:themeColor="followedHyperlink"/>
      <w:u w:val="single"/>
    </w:rPr>
  </w:style>
  <w:style w:type="character" w:styleId="UnresolvedMention">
    <w:name w:val="Unresolved Mention"/>
    <w:basedOn w:val="DefaultParagraphFont"/>
    <w:uiPriority w:val="99"/>
    <w:semiHidden/>
    <w:unhideWhenUsed/>
    <w:rsid w:val="006351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2F1"/>
    <w:rPr>
      <w:rFonts w:ascii="Calibri Light" w:hAnsi="Calibri Light"/>
      <w:b/>
      <w:bCs/>
    </w:rPr>
  </w:style>
  <w:style w:type="character" w:customStyle="1" w:styleId="CommentSubjectChar">
    <w:name w:val="Comment Subject Char"/>
    <w:basedOn w:val="CommentTextChar"/>
    <w:link w:val="CommentSubject"/>
    <w:uiPriority w:val="99"/>
    <w:semiHidden/>
    <w:rsid w:val="00C102F1"/>
    <w:rPr>
      <w:rFonts w:ascii="Calibri Light" w:eastAsia="Times New Roman" w:hAnsi="Calibri Light" w:cs="Times New Roman"/>
      <w:b/>
      <w:bCs/>
      <w:sz w:val="20"/>
      <w:szCs w:val="20"/>
      <w:lang w:eastAsia="en-AU"/>
    </w:rPr>
  </w:style>
  <w:style w:type="paragraph" w:styleId="Revision">
    <w:name w:val="Revision"/>
    <w:hidden/>
    <w:uiPriority w:val="99"/>
    <w:semiHidden/>
    <w:rsid w:val="000E1172"/>
    <w:pPr>
      <w:spacing w:after="0" w:line="240" w:lineRule="auto"/>
    </w:pPr>
    <w:rPr>
      <w:rFonts w:ascii="Calibri Light" w:eastAsia="Times New Roman" w:hAnsi="Calibri Light" w:cs="Times New Roman"/>
      <w:szCs w:val="20"/>
      <w:lang w:eastAsia="en-AU"/>
    </w:rPr>
  </w:style>
  <w:style w:type="table" w:customStyle="1" w:styleId="PMCDefaultTableStyle">
    <w:name w:val="PMC Default Table Style"/>
    <w:basedOn w:val="TableNormal"/>
    <w:uiPriority w:val="99"/>
    <w:rsid w:val="00E10ACE"/>
    <w:pPr>
      <w:spacing w:before="60" w:after="60" w:line="264" w:lineRule="auto"/>
    </w:pPr>
    <w:rPr>
      <w:color w:val="262626" w:themeColor="text1" w:themeTint="D9"/>
      <w:sz w:val="18"/>
      <w:szCs w:val="20"/>
    </w:rPr>
    <w:tblPr>
      <w:tblStyleRowBandSize w:val="1"/>
      <w:tblBorders>
        <w:bottom w:val="single" w:sz="18" w:space="0" w:color="EEEEEE" w:themeColor="background2"/>
        <w:insideH w:val="single" w:sz="4" w:space="0" w:color="EEEEEE"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EEE"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E10ACE"/>
    <w:pPr>
      <w:numPr>
        <w:numId w:val="50"/>
      </w:numPr>
      <w:spacing w:before="40" w:after="40"/>
      <w:contextualSpacing w:val="0"/>
    </w:pPr>
    <w:rPr>
      <w:sz w:val="18"/>
    </w:rPr>
  </w:style>
  <w:style w:type="paragraph" w:customStyle="1" w:styleId="NumberedListlvl1">
    <w:name w:val="Numbered List lvl1"/>
    <w:basedOn w:val="ListParagraph"/>
    <w:uiPriority w:val="9"/>
    <w:qFormat/>
    <w:rsid w:val="00E10ACE"/>
    <w:pPr>
      <w:spacing w:after="0"/>
      <w:ind w:left="567" w:hanging="283"/>
      <w:contextualSpacing w:val="0"/>
    </w:pPr>
  </w:style>
  <w:style w:type="paragraph" w:customStyle="1" w:styleId="BulletedListlvl1">
    <w:name w:val="Bulleted List lvl1"/>
    <w:uiPriority w:val="10"/>
    <w:qFormat/>
    <w:rsid w:val="00E10ACE"/>
    <w:pPr>
      <w:numPr>
        <w:numId w:val="32"/>
      </w:numPr>
      <w:spacing w:after="0" w:line="264" w:lineRule="auto"/>
    </w:pPr>
    <w:rPr>
      <w:color w:val="262626" w:themeColor="text1" w:themeTint="D9"/>
      <w:sz w:val="20"/>
      <w:szCs w:val="20"/>
    </w:rPr>
  </w:style>
  <w:style w:type="paragraph" w:customStyle="1" w:styleId="NumberedListlvl2">
    <w:name w:val="Numbered List lvl2"/>
    <w:basedOn w:val="NumberedListlvl1"/>
    <w:uiPriority w:val="9"/>
    <w:rsid w:val="00E10ACE"/>
    <w:pPr>
      <w:ind w:left="720" w:hanging="360"/>
    </w:pPr>
  </w:style>
  <w:style w:type="paragraph" w:styleId="BodyText">
    <w:name w:val="Body Text"/>
    <w:aliases w:val="Body Text Cab,CAB - Body Text,CAB Body Text"/>
    <w:basedOn w:val="Normal"/>
    <w:link w:val="BodyTextChar"/>
    <w:qFormat/>
    <w:rsid w:val="00E10ACE"/>
  </w:style>
  <w:style w:type="character" w:customStyle="1" w:styleId="BodyTextChar">
    <w:name w:val="Body Text Char"/>
    <w:aliases w:val="Body Text Cab Char,CAB - Body Text Char,CAB Body Text Char"/>
    <w:basedOn w:val="DefaultParagraphFont"/>
    <w:link w:val="BodyText"/>
    <w:rsid w:val="00E10ACE"/>
  </w:style>
  <w:style w:type="paragraph" w:customStyle="1" w:styleId="BulletedListlvl2">
    <w:name w:val="Bulleted List lvl2"/>
    <w:basedOn w:val="BulletedListlvl1"/>
    <w:uiPriority w:val="10"/>
    <w:rsid w:val="00E10ACE"/>
    <w:pPr>
      <w:numPr>
        <w:ilvl w:val="1"/>
      </w:numPr>
    </w:pPr>
  </w:style>
  <w:style w:type="paragraph" w:customStyle="1" w:styleId="TableBody">
    <w:name w:val="Table Body"/>
    <w:basedOn w:val="Normal"/>
    <w:uiPriority w:val="11"/>
    <w:qFormat/>
    <w:rsid w:val="00E10ACE"/>
    <w:pPr>
      <w:spacing w:before="40" w:after="40"/>
    </w:pPr>
    <w:rPr>
      <w:color w:val="000000" w:themeColor="text1"/>
      <w:sz w:val="18"/>
    </w:rPr>
  </w:style>
  <w:style w:type="paragraph" w:customStyle="1" w:styleId="NumberedListlvl3">
    <w:name w:val="Numbered List lvl3"/>
    <w:basedOn w:val="NumberedListlvl1"/>
    <w:uiPriority w:val="9"/>
    <w:rsid w:val="00E10ACE"/>
    <w:pPr>
      <w:ind w:left="1080" w:hanging="360"/>
    </w:pPr>
  </w:style>
  <w:style w:type="paragraph" w:customStyle="1" w:styleId="BasicParagraph">
    <w:name w:val="[Basic Paragraph]"/>
    <w:basedOn w:val="Normal"/>
    <w:uiPriority w:val="99"/>
    <w:semiHidden/>
    <w:rsid w:val="00E10ACE"/>
    <w:pPr>
      <w:autoSpaceDE w:val="0"/>
      <w:autoSpaceDN w:val="0"/>
      <w:adjustRightInd w:val="0"/>
      <w:spacing w:after="0" w:line="288" w:lineRule="auto"/>
      <w:textAlignment w:val="center"/>
    </w:pPr>
    <w:rPr>
      <w:rFonts w:cs="Minion Pro"/>
      <w:color w:val="000000"/>
      <w:lang w:val="en-GB"/>
    </w:rPr>
  </w:style>
  <w:style w:type="paragraph" w:customStyle="1" w:styleId="TableHeading">
    <w:name w:val="Table Heading"/>
    <w:basedOn w:val="Normal"/>
    <w:uiPriority w:val="11"/>
    <w:qFormat/>
    <w:rsid w:val="00E10ACE"/>
    <w:rPr>
      <w:rFonts w:asciiTheme="majorHAnsi" w:hAnsiTheme="majorHAnsi"/>
      <w:bCs/>
      <w:color w:val="FFFFFF" w:themeColor="background1"/>
      <w:sz w:val="18"/>
    </w:rPr>
  </w:style>
  <w:style w:type="paragraph" w:customStyle="1" w:styleId="ProtectiveMarking">
    <w:name w:val="Protective Marking"/>
    <w:basedOn w:val="Normal"/>
    <w:link w:val="ProtectiveMarkingChar"/>
    <w:uiPriority w:val="13"/>
    <w:qFormat/>
    <w:rsid w:val="00E10ACE"/>
    <w:pPr>
      <w:spacing w:after="0"/>
      <w:jc w:val="center"/>
    </w:pPr>
    <w:rPr>
      <w:rFonts w:asciiTheme="majorHAnsi" w:hAnsiTheme="majorHAnsi"/>
      <w:caps/>
      <w:noProof/>
      <w:color w:val="CD1719"/>
      <w:sz w:val="16"/>
    </w:rPr>
  </w:style>
  <w:style w:type="table" w:customStyle="1" w:styleId="PMCTableStyle2">
    <w:name w:val="PMC Table Style 2"/>
    <w:basedOn w:val="TableNormal"/>
    <w:uiPriority w:val="99"/>
    <w:rsid w:val="00E10ACE"/>
    <w:pPr>
      <w:spacing w:before="60" w:after="60" w:line="264" w:lineRule="auto"/>
    </w:pPr>
    <w:rPr>
      <w:color w:val="262626" w:themeColor="text1" w:themeTint="D9"/>
      <w:sz w:val="20"/>
      <w:szCs w:val="20"/>
    </w:rPr>
    <w:tblPr>
      <w:tblStyleRowBandSize w:val="1"/>
      <w:tblBorders>
        <w:top w:val="single" w:sz="4" w:space="0" w:color="E5E9F0" w:themeColor="accent1" w:themeTint="1A"/>
        <w:left w:val="single" w:sz="4" w:space="0" w:color="E5E9F0" w:themeColor="accent1" w:themeTint="1A"/>
        <w:bottom w:val="single" w:sz="12" w:space="0" w:color="5F5F5F" w:themeColor="text2"/>
        <w:right w:val="single" w:sz="4" w:space="0" w:color="E5E9F0" w:themeColor="accent1" w:themeTint="1A"/>
        <w:insideH w:val="single" w:sz="4" w:space="0" w:color="E5E9F0" w:themeColor="accent1" w:themeTint="1A"/>
        <w:insideV w:val="single" w:sz="4" w:space="0" w:color="E5E9F0"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5F5F5F"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E10ACE"/>
    <w:pPr>
      <w:ind w:left="567" w:right="567"/>
    </w:pPr>
    <w:rPr>
      <w:rFonts w:asciiTheme="majorHAnsi" w:hAnsiTheme="majorHAnsi"/>
      <w:color w:val="5F5F5F" w:themeColor="text2"/>
      <w:sz w:val="24"/>
      <w:szCs w:val="24"/>
    </w:rPr>
  </w:style>
  <w:style w:type="character" w:customStyle="1" w:styleId="QuoteChar">
    <w:name w:val="Quote Char"/>
    <w:basedOn w:val="DefaultParagraphFont"/>
    <w:link w:val="Quote"/>
    <w:uiPriority w:val="29"/>
    <w:rsid w:val="00E10ACE"/>
    <w:rPr>
      <w:rFonts w:asciiTheme="majorHAnsi" w:hAnsiTheme="majorHAnsi"/>
      <w:color w:val="5F5F5F" w:themeColor="text2"/>
      <w:sz w:val="24"/>
      <w:szCs w:val="24"/>
    </w:rPr>
  </w:style>
  <w:style w:type="paragraph" w:styleId="NoSpacing">
    <w:name w:val="No Spacing"/>
    <w:basedOn w:val="BodyText"/>
    <w:link w:val="NoSpacingChar"/>
    <w:uiPriority w:val="1"/>
    <w:rsid w:val="00E10ACE"/>
    <w:pPr>
      <w:contextualSpacing/>
    </w:pPr>
  </w:style>
  <w:style w:type="character" w:customStyle="1" w:styleId="NoSpacingChar">
    <w:name w:val="No Spacing Char"/>
    <w:basedOn w:val="DefaultParagraphFont"/>
    <w:link w:val="NoSpacing"/>
    <w:uiPriority w:val="1"/>
    <w:rsid w:val="00E10ACE"/>
  </w:style>
  <w:style w:type="paragraph" w:customStyle="1" w:styleId="CoverTitle">
    <w:name w:val="Cover Title"/>
    <w:basedOn w:val="NoSpacing"/>
    <w:uiPriority w:val="11"/>
    <w:qFormat/>
    <w:rsid w:val="00E10ACE"/>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E10ACE"/>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E10ACE"/>
    <w:pPr>
      <w:spacing w:after="240"/>
    </w:pPr>
    <w:rPr>
      <w:color w:val="FFFFFF" w:themeColor="background1"/>
      <w:sz w:val="24"/>
      <w:szCs w:val="28"/>
    </w:rPr>
  </w:style>
  <w:style w:type="paragraph" w:customStyle="1" w:styleId="Footerline">
    <w:name w:val="Footer line"/>
    <w:uiPriority w:val="11"/>
    <w:qFormat/>
    <w:rsid w:val="00E10ACE"/>
    <w:pPr>
      <w:spacing w:before="20" w:after="240" w:line="264" w:lineRule="auto"/>
    </w:pPr>
    <w:rPr>
      <w:caps/>
      <w:noProof/>
      <w:color w:val="2C384A" w:themeColor="accent1"/>
      <w:sz w:val="20"/>
      <w:szCs w:val="20"/>
    </w:rPr>
  </w:style>
  <w:style w:type="paragraph" w:customStyle="1" w:styleId="TableNumbering">
    <w:name w:val="Table Numbering"/>
    <w:uiPriority w:val="11"/>
    <w:qFormat/>
    <w:rsid w:val="00E10ACE"/>
    <w:pPr>
      <w:numPr>
        <w:numId w:val="51"/>
      </w:numPr>
      <w:spacing w:before="40" w:after="40" w:line="264" w:lineRule="auto"/>
    </w:pPr>
    <w:rPr>
      <w:color w:val="000000" w:themeColor="text1"/>
      <w:sz w:val="18"/>
      <w:szCs w:val="20"/>
    </w:rPr>
  </w:style>
  <w:style w:type="paragraph" w:styleId="Caption">
    <w:name w:val="caption"/>
    <w:basedOn w:val="Normal"/>
    <w:next w:val="Normal"/>
    <w:uiPriority w:val="35"/>
    <w:unhideWhenUsed/>
    <w:qFormat/>
    <w:rsid w:val="00E10ACE"/>
    <w:pPr>
      <w:keepNext/>
      <w:tabs>
        <w:tab w:val="left" w:pos="851"/>
        <w:tab w:val="left" w:pos="1017"/>
      </w:tabs>
      <w:ind w:left="851" w:hanging="851"/>
    </w:pPr>
    <w:rPr>
      <w:rFonts w:asciiTheme="majorHAnsi" w:hAnsiTheme="majorHAnsi"/>
      <w:b/>
      <w:iCs/>
      <w:color w:val="5F5F5F" w:themeColor="text2"/>
      <w:szCs w:val="18"/>
    </w:rPr>
  </w:style>
  <w:style w:type="paragraph" w:styleId="List">
    <w:name w:val="List"/>
    <w:uiPriority w:val="4"/>
    <w:semiHidden/>
    <w:rsid w:val="00E10ACE"/>
    <w:pPr>
      <w:numPr>
        <w:numId w:val="25"/>
      </w:numPr>
      <w:tabs>
        <w:tab w:val="num" w:pos="360"/>
        <w:tab w:val="num" w:pos="851"/>
      </w:tabs>
      <w:spacing w:after="120" w:line="324" w:lineRule="auto"/>
      <w:ind w:left="0" w:firstLine="0"/>
    </w:pPr>
    <w:rPr>
      <w:color w:val="464E52"/>
      <w:sz w:val="18"/>
      <w:szCs w:val="18"/>
    </w:rPr>
  </w:style>
  <w:style w:type="paragraph" w:customStyle="1" w:styleId="EmphasisPanelHeading">
    <w:name w:val="Emphasis Panel Heading"/>
    <w:basedOn w:val="Normal"/>
    <w:uiPriority w:val="11"/>
    <w:qFormat/>
    <w:rsid w:val="00E10ACE"/>
    <w:pPr>
      <w:keepLines/>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before="60" w:after="60" w:line="240" w:lineRule="atLeast"/>
      <w:ind w:left="198" w:right="215"/>
    </w:pPr>
    <w:rPr>
      <w:rFonts w:asciiTheme="majorHAnsi" w:hAnsiTheme="majorHAnsi"/>
      <w:b/>
      <w:color w:val="5F5F5F" w:themeColor="text2"/>
      <w:sz w:val="24"/>
      <w:szCs w:val="24"/>
      <w:lang w:val="en-US"/>
    </w:rPr>
  </w:style>
  <w:style w:type="paragraph" w:customStyle="1" w:styleId="EmphasisPanelBody">
    <w:name w:val="Emphasis Panel Body"/>
    <w:basedOn w:val="Normal"/>
    <w:uiPriority w:val="11"/>
    <w:qFormat/>
    <w:rsid w:val="00E10ACE"/>
    <w:pPr>
      <w:keepLines/>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ind w:left="198" w:right="215"/>
    </w:pPr>
    <w:rPr>
      <w:rFonts w:cstheme="minorHAnsi"/>
      <w:lang w:val="en-US"/>
    </w:rPr>
  </w:style>
  <w:style w:type="paragraph" w:customStyle="1" w:styleId="EmphasisPanelBullet">
    <w:name w:val="Emphasis Panel Bullet"/>
    <w:uiPriority w:val="11"/>
    <w:qFormat/>
    <w:rsid w:val="00E10ACE"/>
    <w:pPr>
      <w:keepLines/>
      <w:pBdr>
        <w:top w:val="single" w:sz="4" w:space="8" w:color="EEEEEE" w:themeColor="background2"/>
        <w:left w:val="single" w:sz="4" w:space="8" w:color="EEEEEE" w:themeColor="background2"/>
        <w:bottom w:val="single" w:sz="4" w:space="8" w:color="EEEEEE" w:themeColor="background2"/>
        <w:right w:val="single" w:sz="4" w:space="8" w:color="EEEEEE" w:themeColor="background2"/>
      </w:pBdr>
      <w:shd w:val="clear" w:color="auto" w:fill="EEEEEE" w:themeFill="background2"/>
      <w:spacing w:before="120" w:after="120" w:line="264" w:lineRule="auto"/>
      <w:ind w:left="567" w:right="215" w:hanging="369"/>
    </w:pPr>
    <w:rPr>
      <w:rFonts w:eastAsia="Times New Roman" w:cstheme="minorHAnsi"/>
      <w:color w:val="262626" w:themeColor="text1" w:themeTint="D9"/>
      <w:sz w:val="20"/>
      <w:lang w:val="en-US"/>
    </w:rPr>
  </w:style>
  <w:style w:type="paragraph" w:customStyle="1" w:styleId="BulletedListlvl3">
    <w:name w:val="Bulleted List lvl3"/>
    <w:basedOn w:val="BulletedListlvl2"/>
    <w:uiPriority w:val="10"/>
    <w:rsid w:val="00E10ACE"/>
    <w:pPr>
      <w:numPr>
        <w:ilvl w:val="2"/>
      </w:numPr>
    </w:pPr>
    <w:rPr>
      <w:sz w:val="19"/>
      <w:szCs w:val="19"/>
    </w:rPr>
  </w:style>
  <w:style w:type="table" w:customStyle="1" w:styleId="Clear">
    <w:name w:val="Clear"/>
    <w:basedOn w:val="TableNormal"/>
    <w:uiPriority w:val="99"/>
    <w:rsid w:val="00E10ACE"/>
    <w:pPr>
      <w:spacing w:after="0" w:line="240" w:lineRule="auto"/>
    </w:pPr>
    <w:rPr>
      <w:color w:val="5F5F5F" w:themeColor="text2"/>
      <w:sz w:val="20"/>
      <w:szCs w:val="18"/>
    </w:rPr>
    <w:tblPr>
      <w:tblCellMar>
        <w:left w:w="0" w:type="dxa"/>
        <w:right w:w="0" w:type="dxa"/>
      </w:tblCellMar>
    </w:tblPr>
  </w:style>
  <w:style w:type="paragraph" w:customStyle="1" w:styleId="CABBodyTextBold">
    <w:name w:val="CAB Body Text Bold"/>
    <w:basedOn w:val="BodyText"/>
    <w:qFormat/>
    <w:rsid w:val="007F2614"/>
    <w:pPr>
      <w:spacing w:before="120" w:after="0" w:line="240" w:lineRule="auto"/>
    </w:pPr>
    <w:rPr>
      <w:rFonts w:ascii="Arial" w:hAnsi="Arial"/>
      <w:b/>
      <w:bCs/>
    </w:rPr>
  </w:style>
  <w:style w:type="paragraph" w:customStyle="1" w:styleId="CABRecommendationsList">
    <w:name w:val="CAB Recommendations List"/>
    <w:uiPriority w:val="98"/>
    <w:rsid w:val="00DA29C8"/>
    <w:pPr>
      <w:numPr>
        <w:numId w:val="53"/>
      </w:numPr>
      <w:spacing w:before="120" w:line="240" w:lineRule="auto"/>
      <w:jc w:val="both"/>
    </w:pPr>
    <w:rPr>
      <w:rFonts w:ascii="Arial" w:hAnsi="Arial"/>
    </w:rPr>
  </w:style>
  <w:style w:type="paragraph" w:customStyle="1" w:styleId="CABNETParagraph">
    <w:name w:val="CABNET Paragraph."/>
    <w:basedOn w:val="Normal"/>
    <w:link w:val="CABNETParagraphChar"/>
    <w:uiPriority w:val="98"/>
    <w:qFormat/>
    <w:rsid w:val="00904E5F"/>
    <w:pPr>
      <w:spacing w:before="120" w:after="120" w:line="240" w:lineRule="auto"/>
    </w:pPr>
    <w:rPr>
      <w:rFonts w:ascii="Arial" w:hAnsi="Arial" w:cstheme="minorHAnsi"/>
    </w:rPr>
  </w:style>
  <w:style w:type="character" w:customStyle="1" w:styleId="CABNETParagraphChar">
    <w:name w:val="CABNET Paragraph. Char"/>
    <w:basedOn w:val="DefaultParagraphFont"/>
    <w:link w:val="CABNETParagraph"/>
    <w:uiPriority w:val="98"/>
    <w:rsid w:val="00904E5F"/>
    <w:rPr>
      <w:rFonts w:ascii="Arial" w:hAnsi="Arial" w:cstheme="minorHAnsi"/>
    </w:rPr>
  </w:style>
  <w:style w:type="character" w:styleId="Strong">
    <w:name w:val="Strong"/>
    <w:basedOn w:val="DefaultParagraphFont"/>
    <w:uiPriority w:val="22"/>
    <w:qFormat/>
    <w:rsid w:val="00640207"/>
    <w:rPr>
      <w:b/>
      <w:bCs/>
    </w:rPr>
  </w:style>
  <w:style w:type="paragraph" w:styleId="NormalWeb">
    <w:name w:val="Normal (Web)"/>
    <w:basedOn w:val="Normal"/>
    <w:uiPriority w:val="99"/>
    <w:unhideWhenUsed/>
    <w:rsid w:val="00006C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035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035E0"/>
  </w:style>
  <w:style w:type="character" w:customStyle="1" w:styleId="eop">
    <w:name w:val="eop"/>
    <w:basedOn w:val="DefaultParagraphFont"/>
    <w:rsid w:val="000035E0"/>
  </w:style>
  <w:style w:type="paragraph" w:customStyle="1" w:styleId="Default">
    <w:name w:val="Default"/>
    <w:rsid w:val="00232761"/>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E07D0A"/>
    <w:pPr>
      <w:numPr>
        <w:numId w:val="1"/>
      </w:numPr>
      <w:spacing w:line="276" w:lineRule="auto"/>
    </w:pPr>
    <w:rPr>
      <w:rFonts w:ascii="Arial" w:hAnsi="Arial" w:cs="Arial"/>
    </w:rPr>
  </w:style>
  <w:style w:type="paragraph" w:styleId="ListBullet2">
    <w:name w:val="List Bullet 2"/>
    <w:basedOn w:val="Normal"/>
    <w:uiPriority w:val="99"/>
    <w:unhideWhenUsed/>
    <w:rsid w:val="00D43044"/>
    <w:pPr>
      <w:numPr>
        <w:ilvl w:val="1"/>
        <w:numId w:val="1"/>
      </w:numPr>
      <w:spacing w:line="276" w:lineRule="auto"/>
    </w:pPr>
    <w:rPr>
      <w:rFonts w:ascii="Arial" w:hAnsi="Arial" w:cs="Arial"/>
    </w:rPr>
  </w:style>
  <w:style w:type="paragraph" w:styleId="ListBullet3">
    <w:name w:val="List Bullet 3"/>
    <w:basedOn w:val="Normal"/>
    <w:uiPriority w:val="99"/>
    <w:unhideWhenUsed/>
    <w:rsid w:val="00D43044"/>
    <w:pPr>
      <w:numPr>
        <w:ilvl w:val="2"/>
        <w:numId w:val="1"/>
      </w:numPr>
      <w:spacing w:line="276" w:lineRule="auto"/>
    </w:pPr>
    <w:rPr>
      <w:rFonts w:ascii="Arial" w:hAnsi="Arial" w:cs="Arial"/>
    </w:rPr>
  </w:style>
  <w:style w:type="paragraph" w:styleId="ListBullet4">
    <w:name w:val="List Bullet 4"/>
    <w:basedOn w:val="Normal"/>
    <w:uiPriority w:val="99"/>
    <w:semiHidden/>
    <w:unhideWhenUsed/>
    <w:rsid w:val="00D43044"/>
    <w:pPr>
      <w:numPr>
        <w:ilvl w:val="3"/>
        <w:numId w:val="1"/>
      </w:numPr>
      <w:spacing w:line="276" w:lineRule="auto"/>
    </w:pPr>
    <w:rPr>
      <w:rFonts w:ascii="Arial" w:hAnsi="Arial" w:cs="Arial"/>
    </w:rPr>
  </w:style>
  <w:style w:type="paragraph" w:styleId="ListBullet5">
    <w:name w:val="List Bullet 5"/>
    <w:basedOn w:val="Normal"/>
    <w:uiPriority w:val="99"/>
    <w:semiHidden/>
    <w:unhideWhenUsed/>
    <w:rsid w:val="00D43044"/>
    <w:pPr>
      <w:numPr>
        <w:ilvl w:val="4"/>
        <w:numId w:val="1"/>
      </w:numPr>
      <w:spacing w:line="276" w:lineRule="auto"/>
    </w:pPr>
    <w:rPr>
      <w:rFonts w:ascii="Arial" w:hAnsi="Arial" w:cs="Arial"/>
    </w:rPr>
  </w:style>
  <w:style w:type="paragraph" w:customStyle="1" w:styleId="BulletedList-Level1">
    <w:name w:val="Bulleted List - Level 1"/>
    <w:basedOn w:val="ListParagraph"/>
    <w:uiPriority w:val="1"/>
    <w:qFormat/>
    <w:rsid w:val="009F6A72"/>
    <w:pPr>
      <w:numPr>
        <w:numId w:val="122"/>
      </w:numPr>
      <w:spacing w:after="120" w:line="288" w:lineRule="auto"/>
    </w:pPr>
    <w:rPr>
      <w:rFonts w:eastAsiaTheme="minorEastAsia"/>
      <w:szCs w:val="21"/>
    </w:rPr>
  </w:style>
  <w:style w:type="paragraph" w:customStyle="1" w:styleId="TableText">
    <w:name w:val="TableText"/>
    <w:basedOn w:val="Normal"/>
    <w:rsid w:val="00353B20"/>
    <w:pPr>
      <w:spacing w:before="120" w:after="120" w:line="240" w:lineRule="auto"/>
    </w:pPr>
    <w:rPr>
      <w:rFonts w:ascii="Century Gothic" w:hAnsi="Century Gothic" w:cs="Calibri"/>
      <w:sz w:val="20"/>
      <w:szCs w:val="20"/>
    </w:rPr>
  </w:style>
  <w:style w:type="paragraph" w:customStyle="1" w:styleId="TableName">
    <w:name w:val="TableName"/>
    <w:basedOn w:val="Normal"/>
    <w:rsid w:val="00353B20"/>
    <w:pPr>
      <w:keepNext/>
      <w:spacing w:after="120" w:line="240" w:lineRule="auto"/>
    </w:pPr>
    <w:rPr>
      <w:rFonts w:ascii="Arial" w:hAnsi="Arial" w:cs="Arial"/>
    </w:rPr>
  </w:style>
  <w:style w:type="paragraph" w:customStyle="1" w:styleId="SecurityClassificationHeader">
    <w:name w:val="Security Classification Header"/>
    <w:link w:val="SecurityClassificationHeaderChar"/>
    <w:rsid w:val="00BC6280"/>
    <w:pPr>
      <w:spacing w:before="360" w:after="60"/>
      <w:jc w:val="center"/>
    </w:pPr>
    <w:rPr>
      <w:rFonts w:ascii="Calibri" w:hAnsi="Calibri" w:cs="Calibri"/>
      <w:b/>
      <w:noProof/>
      <w:color w:val="CD1719"/>
      <w:sz w:val="24"/>
    </w:rPr>
  </w:style>
  <w:style w:type="character" w:customStyle="1" w:styleId="ProtectiveMarkingChar">
    <w:name w:val="Protective Marking Char"/>
    <w:basedOn w:val="DefaultParagraphFont"/>
    <w:link w:val="ProtectiveMarking"/>
    <w:uiPriority w:val="13"/>
    <w:rsid w:val="00BC6280"/>
    <w:rPr>
      <w:rFonts w:asciiTheme="majorHAnsi" w:hAnsiTheme="majorHAnsi"/>
      <w:caps/>
      <w:noProof/>
      <w:color w:val="CD1719"/>
      <w:sz w:val="16"/>
    </w:rPr>
  </w:style>
  <w:style w:type="character" w:customStyle="1" w:styleId="SecurityClassificationHeaderChar">
    <w:name w:val="Security Classification Header Char"/>
    <w:basedOn w:val="ProtectiveMarkingChar"/>
    <w:link w:val="SecurityClassificationHeader"/>
    <w:rsid w:val="00BC6280"/>
    <w:rPr>
      <w:rFonts w:ascii="Calibri" w:hAnsi="Calibri" w:cs="Calibri"/>
      <w:b/>
      <w:caps w:val="0"/>
      <w:noProof/>
      <w:color w:val="CD1719"/>
      <w:sz w:val="24"/>
    </w:rPr>
  </w:style>
  <w:style w:type="paragraph" w:customStyle="1" w:styleId="SecurityClassificationFooter">
    <w:name w:val="Security Classification Footer"/>
    <w:link w:val="SecurityClassificationFooterChar"/>
    <w:rsid w:val="00BC6280"/>
    <w:pPr>
      <w:spacing w:before="240" w:after="60"/>
      <w:jc w:val="center"/>
    </w:pPr>
    <w:rPr>
      <w:rFonts w:ascii="Calibri" w:hAnsi="Calibri" w:cs="Calibri"/>
      <w:b/>
      <w:noProof/>
      <w:color w:val="CD1719"/>
      <w:sz w:val="24"/>
    </w:rPr>
  </w:style>
  <w:style w:type="character" w:customStyle="1" w:styleId="SecurityClassificationFooterChar">
    <w:name w:val="Security Classification Footer Char"/>
    <w:basedOn w:val="ProtectiveMarkingChar"/>
    <w:link w:val="SecurityClassificationFooter"/>
    <w:rsid w:val="00BC6280"/>
    <w:rPr>
      <w:rFonts w:ascii="Calibri" w:hAnsi="Calibri" w:cs="Calibri"/>
      <w:b/>
      <w:caps w:val="0"/>
      <w:noProof/>
      <w:color w:val="CD1719"/>
      <w:sz w:val="24"/>
    </w:rPr>
  </w:style>
  <w:style w:type="paragraph" w:customStyle="1" w:styleId="DLMSecurityHeader">
    <w:name w:val="DLM Security Header"/>
    <w:link w:val="DLMSecurityHeaderChar"/>
    <w:rsid w:val="00BC6280"/>
    <w:pPr>
      <w:spacing w:before="360" w:after="60"/>
      <w:jc w:val="center"/>
    </w:pPr>
    <w:rPr>
      <w:rFonts w:ascii="Calibri" w:hAnsi="Calibri" w:cs="Calibri"/>
      <w:b/>
      <w:noProof/>
      <w:color w:val="CD1719"/>
      <w:sz w:val="24"/>
    </w:rPr>
  </w:style>
  <w:style w:type="character" w:customStyle="1" w:styleId="DLMSecurityHeaderChar">
    <w:name w:val="DLM Security Header Char"/>
    <w:basedOn w:val="ProtectiveMarkingChar"/>
    <w:link w:val="DLMSecurityHeader"/>
    <w:rsid w:val="00BC6280"/>
    <w:rPr>
      <w:rFonts w:ascii="Calibri" w:hAnsi="Calibri" w:cs="Calibri"/>
      <w:b/>
      <w:caps w:val="0"/>
      <w:noProof/>
      <w:color w:val="CD1719"/>
      <w:sz w:val="24"/>
    </w:rPr>
  </w:style>
  <w:style w:type="paragraph" w:customStyle="1" w:styleId="DLMSecurityFooter">
    <w:name w:val="DLM Security Footer"/>
    <w:link w:val="DLMSecurityFooterChar"/>
    <w:rsid w:val="00BC6280"/>
    <w:pPr>
      <w:spacing w:before="360" w:after="60"/>
      <w:jc w:val="center"/>
    </w:pPr>
    <w:rPr>
      <w:rFonts w:ascii="Calibri" w:hAnsi="Calibri" w:cs="Calibri"/>
      <w:b/>
      <w:noProof/>
      <w:color w:val="CD1719"/>
      <w:sz w:val="24"/>
    </w:rPr>
  </w:style>
  <w:style w:type="character" w:customStyle="1" w:styleId="DLMSecurityFooterChar">
    <w:name w:val="DLM Security Footer Char"/>
    <w:basedOn w:val="ProtectiveMarkingChar"/>
    <w:link w:val="DLMSecurityFooter"/>
    <w:rsid w:val="00BC6280"/>
    <w:rPr>
      <w:rFonts w:ascii="Calibri" w:hAnsi="Calibri" w:cs="Calibri"/>
      <w:b/>
      <w:caps w:val="0"/>
      <w:noProof/>
      <w:color w:val="CD1719"/>
      <w:sz w:val="24"/>
    </w:rPr>
  </w:style>
  <w:style w:type="paragraph" w:customStyle="1" w:styleId="xmsolistparagraph">
    <w:name w:val="x_msolistparagraph"/>
    <w:basedOn w:val="Normal"/>
    <w:rsid w:val="001572BC"/>
    <w:pPr>
      <w:spacing w:after="0" w:line="240" w:lineRule="auto"/>
      <w:ind w:left="720"/>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839">
      <w:bodyDiv w:val="1"/>
      <w:marLeft w:val="0"/>
      <w:marRight w:val="0"/>
      <w:marTop w:val="0"/>
      <w:marBottom w:val="0"/>
      <w:divBdr>
        <w:top w:val="none" w:sz="0" w:space="0" w:color="auto"/>
        <w:left w:val="none" w:sz="0" w:space="0" w:color="auto"/>
        <w:bottom w:val="none" w:sz="0" w:space="0" w:color="auto"/>
        <w:right w:val="none" w:sz="0" w:space="0" w:color="auto"/>
      </w:divBdr>
    </w:div>
    <w:div w:id="96490898">
      <w:bodyDiv w:val="1"/>
      <w:marLeft w:val="0"/>
      <w:marRight w:val="0"/>
      <w:marTop w:val="0"/>
      <w:marBottom w:val="0"/>
      <w:divBdr>
        <w:top w:val="none" w:sz="0" w:space="0" w:color="auto"/>
        <w:left w:val="none" w:sz="0" w:space="0" w:color="auto"/>
        <w:bottom w:val="none" w:sz="0" w:space="0" w:color="auto"/>
        <w:right w:val="none" w:sz="0" w:space="0" w:color="auto"/>
      </w:divBdr>
    </w:div>
    <w:div w:id="97603438">
      <w:bodyDiv w:val="1"/>
      <w:marLeft w:val="0"/>
      <w:marRight w:val="0"/>
      <w:marTop w:val="0"/>
      <w:marBottom w:val="0"/>
      <w:divBdr>
        <w:top w:val="none" w:sz="0" w:space="0" w:color="auto"/>
        <w:left w:val="none" w:sz="0" w:space="0" w:color="auto"/>
        <w:bottom w:val="none" w:sz="0" w:space="0" w:color="auto"/>
        <w:right w:val="none" w:sz="0" w:space="0" w:color="auto"/>
      </w:divBdr>
    </w:div>
    <w:div w:id="147209707">
      <w:bodyDiv w:val="1"/>
      <w:marLeft w:val="0"/>
      <w:marRight w:val="0"/>
      <w:marTop w:val="0"/>
      <w:marBottom w:val="0"/>
      <w:divBdr>
        <w:top w:val="none" w:sz="0" w:space="0" w:color="auto"/>
        <w:left w:val="none" w:sz="0" w:space="0" w:color="auto"/>
        <w:bottom w:val="none" w:sz="0" w:space="0" w:color="auto"/>
        <w:right w:val="none" w:sz="0" w:space="0" w:color="auto"/>
      </w:divBdr>
    </w:div>
    <w:div w:id="241794379">
      <w:bodyDiv w:val="1"/>
      <w:marLeft w:val="0"/>
      <w:marRight w:val="0"/>
      <w:marTop w:val="0"/>
      <w:marBottom w:val="0"/>
      <w:divBdr>
        <w:top w:val="none" w:sz="0" w:space="0" w:color="auto"/>
        <w:left w:val="none" w:sz="0" w:space="0" w:color="auto"/>
        <w:bottom w:val="none" w:sz="0" w:space="0" w:color="auto"/>
        <w:right w:val="none" w:sz="0" w:space="0" w:color="auto"/>
      </w:divBdr>
    </w:div>
    <w:div w:id="249852716">
      <w:bodyDiv w:val="1"/>
      <w:marLeft w:val="0"/>
      <w:marRight w:val="0"/>
      <w:marTop w:val="0"/>
      <w:marBottom w:val="0"/>
      <w:divBdr>
        <w:top w:val="none" w:sz="0" w:space="0" w:color="auto"/>
        <w:left w:val="none" w:sz="0" w:space="0" w:color="auto"/>
        <w:bottom w:val="none" w:sz="0" w:space="0" w:color="auto"/>
        <w:right w:val="none" w:sz="0" w:space="0" w:color="auto"/>
      </w:divBdr>
    </w:div>
    <w:div w:id="260266087">
      <w:bodyDiv w:val="1"/>
      <w:marLeft w:val="0"/>
      <w:marRight w:val="0"/>
      <w:marTop w:val="0"/>
      <w:marBottom w:val="0"/>
      <w:divBdr>
        <w:top w:val="none" w:sz="0" w:space="0" w:color="auto"/>
        <w:left w:val="none" w:sz="0" w:space="0" w:color="auto"/>
        <w:bottom w:val="none" w:sz="0" w:space="0" w:color="auto"/>
        <w:right w:val="none" w:sz="0" w:space="0" w:color="auto"/>
      </w:divBdr>
    </w:div>
    <w:div w:id="305399679">
      <w:bodyDiv w:val="1"/>
      <w:marLeft w:val="0"/>
      <w:marRight w:val="0"/>
      <w:marTop w:val="0"/>
      <w:marBottom w:val="0"/>
      <w:divBdr>
        <w:top w:val="none" w:sz="0" w:space="0" w:color="auto"/>
        <w:left w:val="none" w:sz="0" w:space="0" w:color="auto"/>
        <w:bottom w:val="none" w:sz="0" w:space="0" w:color="auto"/>
        <w:right w:val="none" w:sz="0" w:space="0" w:color="auto"/>
      </w:divBdr>
    </w:div>
    <w:div w:id="366563415">
      <w:bodyDiv w:val="1"/>
      <w:marLeft w:val="0"/>
      <w:marRight w:val="0"/>
      <w:marTop w:val="0"/>
      <w:marBottom w:val="0"/>
      <w:divBdr>
        <w:top w:val="none" w:sz="0" w:space="0" w:color="auto"/>
        <w:left w:val="none" w:sz="0" w:space="0" w:color="auto"/>
        <w:bottom w:val="none" w:sz="0" w:space="0" w:color="auto"/>
        <w:right w:val="none" w:sz="0" w:space="0" w:color="auto"/>
      </w:divBdr>
    </w:div>
    <w:div w:id="402145974">
      <w:bodyDiv w:val="1"/>
      <w:marLeft w:val="0"/>
      <w:marRight w:val="0"/>
      <w:marTop w:val="0"/>
      <w:marBottom w:val="0"/>
      <w:divBdr>
        <w:top w:val="none" w:sz="0" w:space="0" w:color="auto"/>
        <w:left w:val="none" w:sz="0" w:space="0" w:color="auto"/>
        <w:bottom w:val="none" w:sz="0" w:space="0" w:color="auto"/>
        <w:right w:val="none" w:sz="0" w:space="0" w:color="auto"/>
      </w:divBdr>
    </w:div>
    <w:div w:id="413934261">
      <w:bodyDiv w:val="1"/>
      <w:marLeft w:val="0"/>
      <w:marRight w:val="0"/>
      <w:marTop w:val="0"/>
      <w:marBottom w:val="0"/>
      <w:divBdr>
        <w:top w:val="none" w:sz="0" w:space="0" w:color="auto"/>
        <w:left w:val="none" w:sz="0" w:space="0" w:color="auto"/>
        <w:bottom w:val="none" w:sz="0" w:space="0" w:color="auto"/>
        <w:right w:val="none" w:sz="0" w:space="0" w:color="auto"/>
      </w:divBdr>
    </w:div>
    <w:div w:id="457185727">
      <w:bodyDiv w:val="1"/>
      <w:marLeft w:val="0"/>
      <w:marRight w:val="0"/>
      <w:marTop w:val="0"/>
      <w:marBottom w:val="0"/>
      <w:divBdr>
        <w:top w:val="none" w:sz="0" w:space="0" w:color="auto"/>
        <w:left w:val="none" w:sz="0" w:space="0" w:color="auto"/>
        <w:bottom w:val="none" w:sz="0" w:space="0" w:color="auto"/>
        <w:right w:val="none" w:sz="0" w:space="0" w:color="auto"/>
      </w:divBdr>
    </w:div>
    <w:div w:id="457724429">
      <w:bodyDiv w:val="1"/>
      <w:marLeft w:val="0"/>
      <w:marRight w:val="0"/>
      <w:marTop w:val="0"/>
      <w:marBottom w:val="0"/>
      <w:divBdr>
        <w:top w:val="none" w:sz="0" w:space="0" w:color="auto"/>
        <w:left w:val="none" w:sz="0" w:space="0" w:color="auto"/>
        <w:bottom w:val="none" w:sz="0" w:space="0" w:color="auto"/>
        <w:right w:val="none" w:sz="0" w:space="0" w:color="auto"/>
      </w:divBdr>
    </w:div>
    <w:div w:id="465975802">
      <w:bodyDiv w:val="1"/>
      <w:marLeft w:val="0"/>
      <w:marRight w:val="0"/>
      <w:marTop w:val="0"/>
      <w:marBottom w:val="0"/>
      <w:divBdr>
        <w:top w:val="none" w:sz="0" w:space="0" w:color="auto"/>
        <w:left w:val="none" w:sz="0" w:space="0" w:color="auto"/>
        <w:bottom w:val="none" w:sz="0" w:space="0" w:color="auto"/>
        <w:right w:val="none" w:sz="0" w:space="0" w:color="auto"/>
      </w:divBdr>
    </w:div>
    <w:div w:id="479347722">
      <w:bodyDiv w:val="1"/>
      <w:marLeft w:val="0"/>
      <w:marRight w:val="0"/>
      <w:marTop w:val="0"/>
      <w:marBottom w:val="0"/>
      <w:divBdr>
        <w:top w:val="none" w:sz="0" w:space="0" w:color="auto"/>
        <w:left w:val="none" w:sz="0" w:space="0" w:color="auto"/>
        <w:bottom w:val="none" w:sz="0" w:space="0" w:color="auto"/>
        <w:right w:val="none" w:sz="0" w:space="0" w:color="auto"/>
      </w:divBdr>
    </w:div>
    <w:div w:id="479737715">
      <w:bodyDiv w:val="1"/>
      <w:marLeft w:val="0"/>
      <w:marRight w:val="0"/>
      <w:marTop w:val="0"/>
      <w:marBottom w:val="0"/>
      <w:divBdr>
        <w:top w:val="none" w:sz="0" w:space="0" w:color="auto"/>
        <w:left w:val="none" w:sz="0" w:space="0" w:color="auto"/>
        <w:bottom w:val="none" w:sz="0" w:space="0" w:color="auto"/>
        <w:right w:val="none" w:sz="0" w:space="0" w:color="auto"/>
      </w:divBdr>
    </w:div>
    <w:div w:id="486822053">
      <w:bodyDiv w:val="1"/>
      <w:marLeft w:val="0"/>
      <w:marRight w:val="0"/>
      <w:marTop w:val="0"/>
      <w:marBottom w:val="0"/>
      <w:divBdr>
        <w:top w:val="none" w:sz="0" w:space="0" w:color="auto"/>
        <w:left w:val="none" w:sz="0" w:space="0" w:color="auto"/>
        <w:bottom w:val="none" w:sz="0" w:space="0" w:color="auto"/>
        <w:right w:val="none" w:sz="0" w:space="0" w:color="auto"/>
      </w:divBdr>
    </w:div>
    <w:div w:id="537470251">
      <w:bodyDiv w:val="1"/>
      <w:marLeft w:val="0"/>
      <w:marRight w:val="0"/>
      <w:marTop w:val="0"/>
      <w:marBottom w:val="0"/>
      <w:divBdr>
        <w:top w:val="none" w:sz="0" w:space="0" w:color="auto"/>
        <w:left w:val="none" w:sz="0" w:space="0" w:color="auto"/>
        <w:bottom w:val="none" w:sz="0" w:space="0" w:color="auto"/>
        <w:right w:val="none" w:sz="0" w:space="0" w:color="auto"/>
      </w:divBdr>
    </w:div>
    <w:div w:id="551887694">
      <w:bodyDiv w:val="1"/>
      <w:marLeft w:val="0"/>
      <w:marRight w:val="0"/>
      <w:marTop w:val="0"/>
      <w:marBottom w:val="0"/>
      <w:divBdr>
        <w:top w:val="none" w:sz="0" w:space="0" w:color="auto"/>
        <w:left w:val="none" w:sz="0" w:space="0" w:color="auto"/>
        <w:bottom w:val="none" w:sz="0" w:space="0" w:color="auto"/>
        <w:right w:val="none" w:sz="0" w:space="0" w:color="auto"/>
      </w:divBdr>
    </w:div>
    <w:div w:id="575088934">
      <w:bodyDiv w:val="1"/>
      <w:marLeft w:val="0"/>
      <w:marRight w:val="0"/>
      <w:marTop w:val="0"/>
      <w:marBottom w:val="0"/>
      <w:divBdr>
        <w:top w:val="none" w:sz="0" w:space="0" w:color="auto"/>
        <w:left w:val="none" w:sz="0" w:space="0" w:color="auto"/>
        <w:bottom w:val="none" w:sz="0" w:space="0" w:color="auto"/>
        <w:right w:val="none" w:sz="0" w:space="0" w:color="auto"/>
      </w:divBdr>
    </w:div>
    <w:div w:id="587620081">
      <w:bodyDiv w:val="1"/>
      <w:marLeft w:val="0"/>
      <w:marRight w:val="0"/>
      <w:marTop w:val="0"/>
      <w:marBottom w:val="0"/>
      <w:divBdr>
        <w:top w:val="none" w:sz="0" w:space="0" w:color="auto"/>
        <w:left w:val="none" w:sz="0" w:space="0" w:color="auto"/>
        <w:bottom w:val="none" w:sz="0" w:space="0" w:color="auto"/>
        <w:right w:val="none" w:sz="0" w:space="0" w:color="auto"/>
      </w:divBdr>
    </w:div>
    <w:div w:id="591352881">
      <w:bodyDiv w:val="1"/>
      <w:marLeft w:val="0"/>
      <w:marRight w:val="0"/>
      <w:marTop w:val="0"/>
      <w:marBottom w:val="0"/>
      <w:divBdr>
        <w:top w:val="none" w:sz="0" w:space="0" w:color="auto"/>
        <w:left w:val="none" w:sz="0" w:space="0" w:color="auto"/>
        <w:bottom w:val="none" w:sz="0" w:space="0" w:color="auto"/>
        <w:right w:val="none" w:sz="0" w:space="0" w:color="auto"/>
      </w:divBdr>
    </w:div>
    <w:div w:id="662440278">
      <w:bodyDiv w:val="1"/>
      <w:marLeft w:val="0"/>
      <w:marRight w:val="0"/>
      <w:marTop w:val="0"/>
      <w:marBottom w:val="0"/>
      <w:divBdr>
        <w:top w:val="none" w:sz="0" w:space="0" w:color="auto"/>
        <w:left w:val="none" w:sz="0" w:space="0" w:color="auto"/>
        <w:bottom w:val="none" w:sz="0" w:space="0" w:color="auto"/>
        <w:right w:val="none" w:sz="0" w:space="0" w:color="auto"/>
      </w:divBdr>
    </w:div>
    <w:div w:id="681203329">
      <w:bodyDiv w:val="1"/>
      <w:marLeft w:val="0"/>
      <w:marRight w:val="0"/>
      <w:marTop w:val="0"/>
      <w:marBottom w:val="0"/>
      <w:divBdr>
        <w:top w:val="none" w:sz="0" w:space="0" w:color="auto"/>
        <w:left w:val="none" w:sz="0" w:space="0" w:color="auto"/>
        <w:bottom w:val="none" w:sz="0" w:space="0" w:color="auto"/>
        <w:right w:val="none" w:sz="0" w:space="0" w:color="auto"/>
      </w:divBdr>
    </w:div>
    <w:div w:id="687298154">
      <w:bodyDiv w:val="1"/>
      <w:marLeft w:val="0"/>
      <w:marRight w:val="0"/>
      <w:marTop w:val="0"/>
      <w:marBottom w:val="0"/>
      <w:divBdr>
        <w:top w:val="none" w:sz="0" w:space="0" w:color="auto"/>
        <w:left w:val="none" w:sz="0" w:space="0" w:color="auto"/>
        <w:bottom w:val="none" w:sz="0" w:space="0" w:color="auto"/>
        <w:right w:val="none" w:sz="0" w:space="0" w:color="auto"/>
      </w:divBdr>
    </w:div>
    <w:div w:id="715393811">
      <w:bodyDiv w:val="1"/>
      <w:marLeft w:val="0"/>
      <w:marRight w:val="0"/>
      <w:marTop w:val="0"/>
      <w:marBottom w:val="0"/>
      <w:divBdr>
        <w:top w:val="none" w:sz="0" w:space="0" w:color="auto"/>
        <w:left w:val="none" w:sz="0" w:space="0" w:color="auto"/>
        <w:bottom w:val="none" w:sz="0" w:space="0" w:color="auto"/>
        <w:right w:val="none" w:sz="0" w:space="0" w:color="auto"/>
      </w:divBdr>
    </w:div>
    <w:div w:id="775904473">
      <w:bodyDiv w:val="1"/>
      <w:marLeft w:val="0"/>
      <w:marRight w:val="0"/>
      <w:marTop w:val="0"/>
      <w:marBottom w:val="0"/>
      <w:divBdr>
        <w:top w:val="none" w:sz="0" w:space="0" w:color="auto"/>
        <w:left w:val="none" w:sz="0" w:space="0" w:color="auto"/>
        <w:bottom w:val="none" w:sz="0" w:space="0" w:color="auto"/>
        <w:right w:val="none" w:sz="0" w:space="0" w:color="auto"/>
      </w:divBdr>
    </w:div>
    <w:div w:id="784079132">
      <w:bodyDiv w:val="1"/>
      <w:marLeft w:val="0"/>
      <w:marRight w:val="0"/>
      <w:marTop w:val="0"/>
      <w:marBottom w:val="0"/>
      <w:divBdr>
        <w:top w:val="none" w:sz="0" w:space="0" w:color="auto"/>
        <w:left w:val="none" w:sz="0" w:space="0" w:color="auto"/>
        <w:bottom w:val="none" w:sz="0" w:space="0" w:color="auto"/>
        <w:right w:val="none" w:sz="0" w:space="0" w:color="auto"/>
      </w:divBdr>
    </w:div>
    <w:div w:id="838352642">
      <w:bodyDiv w:val="1"/>
      <w:marLeft w:val="0"/>
      <w:marRight w:val="0"/>
      <w:marTop w:val="0"/>
      <w:marBottom w:val="0"/>
      <w:divBdr>
        <w:top w:val="none" w:sz="0" w:space="0" w:color="auto"/>
        <w:left w:val="none" w:sz="0" w:space="0" w:color="auto"/>
        <w:bottom w:val="none" w:sz="0" w:space="0" w:color="auto"/>
        <w:right w:val="none" w:sz="0" w:space="0" w:color="auto"/>
      </w:divBdr>
    </w:div>
    <w:div w:id="922421157">
      <w:bodyDiv w:val="1"/>
      <w:marLeft w:val="0"/>
      <w:marRight w:val="0"/>
      <w:marTop w:val="0"/>
      <w:marBottom w:val="0"/>
      <w:divBdr>
        <w:top w:val="none" w:sz="0" w:space="0" w:color="auto"/>
        <w:left w:val="none" w:sz="0" w:space="0" w:color="auto"/>
        <w:bottom w:val="none" w:sz="0" w:space="0" w:color="auto"/>
        <w:right w:val="none" w:sz="0" w:space="0" w:color="auto"/>
      </w:divBdr>
    </w:div>
    <w:div w:id="1033388895">
      <w:bodyDiv w:val="1"/>
      <w:marLeft w:val="0"/>
      <w:marRight w:val="0"/>
      <w:marTop w:val="0"/>
      <w:marBottom w:val="0"/>
      <w:divBdr>
        <w:top w:val="none" w:sz="0" w:space="0" w:color="auto"/>
        <w:left w:val="none" w:sz="0" w:space="0" w:color="auto"/>
        <w:bottom w:val="none" w:sz="0" w:space="0" w:color="auto"/>
        <w:right w:val="none" w:sz="0" w:space="0" w:color="auto"/>
      </w:divBdr>
    </w:div>
    <w:div w:id="1076709592">
      <w:bodyDiv w:val="1"/>
      <w:marLeft w:val="0"/>
      <w:marRight w:val="0"/>
      <w:marTop w:val="0"/>
      <w:marBottom w:val="0"/>
      <w:divBdr>
        <w:top w:val="none" w:sz="0" w:space="0" w:color="auto"/>
        <w:left w:val="none" w:sz="0" w:space="0" w:color="auto"/>
        <w:bottom w:val="none" w:sz="0" w:space="0" w:color="auto"/>
        <w:right w:val="none" w:sz="0" w:space="0" w:color="auto"/>
      </w:divBdr>
    </w:div>
    <w:div w:id="1097408305">
      <w:bodyDiv w:val="1"/>
      <w:marLeft w:val="0"/>
      <w:marRight w:val="0"/>
      <w:marTop w:val="0"/>
      <w:marBottom w:val="0"/>
      <w:divBdr>
        <w:top w:val="none" w:sz="0" w:space="0" w:color="auto"/>
        <w:left w:val="none" w:sz="0" w:space="0" w:color="auto"/>
        <w:bottom w:val="none" w:sz="0" w:space="0" w:color="auto"/>
        <w:right w:val="none" w:sz="0" w:space="0" w:color="auto"/>
      </w:divBdr>
    </w:div>
    <w:div w:id="1115099956">
      <w:bodyDiv w:val="1"/>
      <w:marLeft w:val="0"/>
      <w:marRight w:val="0"/>
      <w:marTop w:val="0"/>
      <w:marBottom w:val="0"/>
      <w:divBdr>
        <w:top w:val="none" w:sz="0" w:space="0" w:color="auto"/>
        <w:left w:val="none" w:sz="0" w:space="0" w:color="auto"/>
        <w:bottom w:val="none" w:sz="0" w:space="0" w:color="auto"/>
        <w:right w:val="none" w:sz="0" w:space="0" w:color="auto"/>
      </w:divBdr>
    </w:div>
    <w:div w:id="1152521089">
      <w:bodyDiv w:val="1"/>
      <w:marLeft w:val="0"/>
      <w:marRight w:val="0"/>
      <w:marTop w:val="0"/>
      <w:marBottom w:val="0"/>
      <w:divBdr>
        <w:top w:val="none" w:sz="0" w:space="0" w:color="auto"/>
        <w:left w:val="none" w:sz="0" w:space="0" w:color="auto"/>
        <w:bottom w:val="none" w:sz="0" w:space="0" w:color="auto"/>
        <w:right w:val="none" w:sz="0" w:space="0" w:color="auto"/>
      </w:divBdr>
    </w:div>
    <w:div w:id="1248463152">
      <w:bodyDiv w:val="1"/>
      <w:marLeft w:val="0"/>
      <w:marRight w:val="0"/>
      <w:marTop w:val="0"/>
      <w:marBottom w:val="0"/>
      <w:divBdr>
        <w:top w:val="none" w:sz="0" w:space="0" w:color="auto"/>
        <w:left w:val="none" w:sz="0" w:space="0" w:color="auto"/>
        <w:bottom w:val="none" w:sz="0" w:space="0" w:color="auto"/>
        <w:right w:val="none" w:sz="0" w:space="0" w:color="auto"/>
      </w:divBdr>
      <w:divsChild>
        <w:div w:id="1552115337">
          <w:marLeft w:val="360"/>
          <w:marRight w:val="0"/>
          <w:marTop w:val="0"/>
          <w:marBottom w:val="120"/>
          <w:divBdr>
            <w:top w:val="none" w:sz="0" w:space="0" w:color="auto"/>
            <w:left w:val="none" w:sz="0" w:space="0" w:color="auto"/>
            <w:bottom w:val="none" w:sz="0" w:space="0" w:color="auto"/>
            <w:right w:val="none" w:sz="0" w:space="0" w:color="auto"/>
          </w:divBdr>
        </w:div>
        <w:div w:id="1752576536">
          <w:marLeft w:val="360"/>
          <w:marRight w:val="0"/>
          <w:marTop w:val="0"/>
          <w:marBottom w:val="120"/>
          <w:divBdr>
            <w:top w:val="none" w:sz="0" w:space="0" w:color="auto"/>
            <w:left w:val="none" w:sz="0" w:space="0" w:color="auto"/>
            <w:bottom w:val="none" w:sz="0" w:space="0" w:color="auto"/>
            <w:right w:val="none" w:sz="0" w:space="0" w:color="auto"/>
          </w:divBdr>
        </w:div>
      </w:divsChild>
    </w:div>
    <w:div w:id="1280333553">
      <w:bodyDiv w:val="1"/>
      <w:marLeft w:val="0"/>
      <w:marRight w:val="0"/>
      <w:marTop w:val="0"/>
      <w:marBottom w:val="0"/>
      <w:divBdr>
        <w:top w:val="none" w:sz="0" w:space="0" w:color="auto"/>
        <w:left w:val="none" w:sz="0" w:space="0" w:color="auto"/>
        <w:bottom w:val="none" w:sz="0" w:space="0" w:color="auto"/>
        <w:right w:val="none" w:sz="0" w:space="0" w:color="auto"/>
      </w:divBdr>
    </w:div>
    <w:div w:id="1288661720">
      <w:bodyDiv w:val="1"/>
      <w:marLeft w:val="0"/>
      <w:marRight w:val="0"/>
      <w:marTop w:val="0"/>
      <w:marBottom w:val="0"/>
      <w:divBdr>
        <w:top w:val="none" w:sz="0" w:space="0" w:color="auto"/>
        <w:left w:val="none" w:sz="0" w:space="0" w:color="auto"/>
        <w:bottom w:val="none" w:sz="0" w:space="0" w:color="auto"/>
        <w:right w:val="none" w:sz="0" w:space="0" w:color="auto"/>
      </w:divBdr>
    </w:div>
    <w:div w:id="1394423863">
      <w:bodyDiv w:val="1"/>
      <w:marLeft w:val="0"/>
      <w:marRight w:val="0"/>
      <w:marTop w:val="0"/>
      <w:marBottom w:val="0"/>
      <w:divBdr>
        <w:top w:val="none" w:sz="0" w:space="0" w:color="auto"/>
        <w:left w:val="none" w:sz="0" w:space="0" w:color="auto"/>
        <w:bottom w:val="none" w:sz="0" w:space="0" w:color="auto"/>
        <w:right w:val="none" w:sz="0" w:space="0" w:color="auto"/>
      </w:divBdr>
    </w:div>
    <w:div w:id="1430735270">
      <w:bodyDiv w:val="1"/>
      <w:marLeft w:val="0"/>
      <w:marRight w:val="0"/>
      <w:marTop w:val="0"/>
      <w:marBottom w:val="0"/>
      <w:divBdr>
        <w:top w:val="none" w:sz="0" w:space="0" w:color="auto"/>
        <w:left w:val="none" w:sz="0" w:space="0" w:color="auto"/>
        <w:bottom w:val="none" w:sz="0" w:space="0" w:color="auto"/>
        <w:right w:val="none" w:sz="0" w:space="0" w:color="auto"/>
      </w:divBdr>
    </w:div>
    <w:div w:id="1449666989">
      <w:bodyDiv w:val="1"/>
      <w:marLeft w:val="0"/>
      <w:marRight w:val="0"/>
      <w:marTop w:val="0"/>
      <w:marBottom w:val="0"/>
      <w:divBdr>
        <w:top w:val="none" w:sz="0" w:space="0" w:color="auto"/>
        <w:left w:val="none" w:sz="0" w:space="0" w:color="auto"/>
        <w:bottom w:val="none" w:sz="0" w:space="0" w:color="auto"/>
        <w:right w:val="none" w:sz="0" w:space="0" w:color="auto"/>
      </w:divBdr>
    </w:div>
    <w:div w:id="1479758791">
      <w:bodyDiv w:val="1"/>
      <w:marLeft w:val="0"/>
      <w:marRight w:val="0"/>
      <w:marTop w:val="0"/>
      <w:marBottom w:val="0"/>
      <w:divBdr>
        <w:top w:val="none" w:sz="0" w:space="0" w:color="auto"/>
        <w:left w:val="none" w:sz="0" w:space="0" w:color="auto"/>
        <w:bottom w:val="none" w:sz="0" w:space="0" w:color="auto"/>
        <w:right w:val="none" w:sz="0" w:space="0" w:color="auto"/>
      </w:divBdr>
    </w:div>
    <w:div w:id="1486311771">
      <w:bodyDiv w:val="1"/>
      <w:marLeft w:val="0"/>
      <w:marRight w:val="0"/>
      <w:marTop w:val="0"/>
      <w:marBottom w:val="0"/>
      <w:divBdr>
        <w:top w:val="none" w:sz="0" w:space="0" w:color="auto"/>
        <w:left w:val="none" w:sz="0" w:space="0" w:color="auto"/>
        <w:bottom w:val="none" w:sz="0" w:space="0" w:color="auto"/>
        <w:right w:val="none" w:sz="0" w:space="0" w:color="auto"/>
      </w:divBdr>
    </w:div>
    <w:div w:id="1503737548">
      <w:bodyDiv w:val="1"/>
      <w:marLeft w:val="0"/>
      <w:marRight w:val="0"/>
      <w:marTop w:val="0"/>
      <w:marBottom w:val="0"/>
      <w:divBdr>
        <w:top w:val="none" w:sz="0" w:space="0" w:color="auto"/>
        <w:left w:val="none" w:sz="0" w:space="0" w:color="auto"/>
        <w:bottom w:val="none" w:sz="0" w:space="0" w:color="auto"/>
        <w:right w:val="none" w:sz="0" w:space="0" w:color="auto"/>
      </w:divBdr>
    </w:div>
    <w:div w:id="1516457617">
      <w:bodyDiv w:val="1"/>
      <w:marLeft w:val="0"/>
      <w:marRight w:val="0"/>
      <w:marTop w:val="0"/>
      <w:marBottom w:val="0"/>
      <w:divBdr>
        <w:top w:val="none" w:sz="0" w:space="0" w:color="auto"/>
        <w:left w:val="none" w:sz="0" w:space="0" w:color="auto"/>
        <w:bottom w:val="none" w:sz="0" w:space="0" w:color="auto"/>
        <w:right w:val="none" w:sz="0" w:space="0" w:color="auto"/>
      </w:divBdr>
    </w:div>
    <w:div w:id="1542011090">
      <w:bodyDiv w:val="1"/>
      <w:marLeft w:val="0"/>
      <w:marRight w:val="0"/>
      <w:marTop w:val="0"/>
      <w:marBottom w:val="0"/>
      <w:divBdr>
        <w:top w:val="none" w:sz="0" w:space="0" w:color="auto"/>
        <w:left w:val="none" w:sz="0" w:space="0" w:color="auto"/>
        <w:bottom w:val="none" w:sz="0" w:space="0" w:color="auto"/>
        <w:right w:val="none" w:sz="0" w:space="0" w:color="auto"/>
      </w:divBdr>
    </w:div>
    <w:div w:id="1552155769">
      <w:bodyDiv w:val="1"/>
      <w:marLeft w:val="0"/>
      <w:marRight w:val="0"/>
      <w:marTop w:val="0"/>
      <w:marBottom w:val="0"/>
      <w:divBdr>
        <w:top w:val="none" w:sz="0" w:space="0" w:color="auto"/>
        <w:left w:val="none" w:sz="0" w:space="0" w:color="auto"/>
        <w:bottom w:val="none" w:sz="0" w:space="0" w:color="auto"/>
        <w:right w:val="none" w:sz="0" w:space="0" w:color="auto"/>
      </w:divBdr>
    </w:div>
    <w:div w:id="1616136995">
      <w:bodyDiv w:val="1"/>
      <w:marLeft w:val="0"/>
      <w:marRight w:val="0"/>
      <w:marTop w:val="0"/>
      <w:marBottom w:val="0"/>
      <w:divBdr>
        <w:top w:val="none" w:sz="0" w:space="0" w:color="auto"/>
        <w:left w:val="none" w:sz="0" w:space="0" w:color="auto"/>
        <w:bottom w:val="none" w:sz="0" w:space="0" w:color="auto"/>
        <w:right w:val="none" w:sz="0" w:space="0" w:color="auto"/>
      </w:divBdr>
    </w:div>
    <w:div w:id="1683386571">
      <w:bodyDiv w:val="1"/>
      <w:marLeft w:val="0"/>
      <w:marRight w:val="0"/>
      <w:marTop w:val="0"/>
      <w:marBottom w:val="0"/>
      <w:divBdr>
        <w:top w:val="none" w:sz="0" w:space="0" w:color="auto"/>
        <w:left w:val="none" w:sz="0" w:space="0" w:color="auto"/>
        <w:bottom w:val="none" w:sz="0" w:space="0" w:color="auto"/>
        <w:right w:val="none" w:sz="0" w:space="0" w:color="auto"/>
      </w:divBdr>
    </w:div>
    <w:div w:id="1686663931">
      <w:bodyDiv w:val="1"/>
      <w:marLeft w:val="0"/>
      <w:marRight w:val="0"/>
      <w:marTop w:val="0"/>
      <w:marBottom w:val="0"/>
      <w:divBdr>
        <w:top w:val="none" w:sz="0" w:space="0" w:color="auto"/>
        <w:left w:val="none" w:sz="0" w:space="0" w:color="auto"/>
        <w:bottom w:val="none" w:sz="0" w:space="0" w:color="auto"/>
        <w:right w:val="none" w:sz="0" w:space="0" w:color="auto"/>
      </w:divBdr>
    </w:div>
    <w:div w:id="1738671561">
      <w:bodyDiv w:val="1"/>
      <w:marLeft w:val="0"/>
      <w:marRight w:val="0"/>
      <w:marTop w:val="0"/>
      <w:marBottom w:val="0"/>
      <w:divBdr>
        <w:top w:val="none" w:sz="0" w:space="0" w:color="auto"/>
        <w:left w:val="none" w:sz="0" w:space="0" w:color="auto"/>
        <w:bottom w:val="none" w:sz="0" w:space="0" w:color="auto"/>
        <w:right w:val="none" w:sz="0" w:space="0" w:color="auto"/>
      </w:divBdr>
    </w:div>
    <w:div w:id="1749035753">
      <w:bodyDiv w:val="1"/>
      <w:marLeft w:val="0"/>
      <w:marRight w:val="0"/>
      <w:marTop w:val="0"/>
      <w:marBottom w:val="0"/>
      <w:divBdr>
        <w:top w:val="none" w:sz="0" w:space="0" w:color="auto"/>
        <w:left w:val="none" w:sz="0" w:space="0" w:color="auto"/>
        <w:bottom w:val="none" w:sz="0" w:space="0" w:color="auto"/>
        <w:right w:val="none" w:sz="0" w:space="0" w:color="auto"/>
      </w:divBdr>
    </w:div>
    <w:div w:id="1882858582">
      <w:bodyDiv w:val="1"/>
      <w:marLeft w:val="0"/>
      <w:marRight w:val="0"/>
      <w:marTop w:val="0"/>
      <w:marBottom w:val="0"/>
      <w:divBdr>
        <w:top w:val="none" w:sz="0" w:space="0" w:color="auto"/>
        <w:left w:val="none" w:sz="0" w:space="0" w:color="auto"/>
        <w:bottom w:val="none" w:sz="0" w:space="0" w:color="auto"/>
        <w:right w:val="none" w:sz="0" w:space="0" w:color="auto"/>
      </w:divBdr>
    </w:div>
    <w:div w:id="1998875390">
      <w:bodyDiv w:val="1"/>
      <w:marLeft w:val="0"/>
      <w:marRight w:val="0"/>
      <w:marTop w:val="0"/>
      <w:marBottom w:val="0"/>
      <w:divBdr>
        <w:top w:val="none" w:sz="0" w:space="0" w:color="auto"/>
        <w:left w:val="none" w:sz="0" w:space="0" w:color="auto"/>
        <w:bottom w:val="none" w:sz="0" w:space="0" w:color="auto"/>
        <w:right w:val="none" w:sz="0" w:space="0" w:color="auto"/>
      </w:divBdr>
    </w:div>
    <w:div w:id="2059430851">
      <w:bodyDiv w:val="1"/>
      <w:marLeft w:val="0"/>
      <w:marRight w:val="0"/>
      <w:marTop w:val="0"/>
      <w:marBottom w:val="0"/>
      <w:divBdr>
        <w:top w:val="none" w:sz="0" w:space="0" w:color="auto"/>
        <w:left w:val="none" w:sz="0" w:space="0" w:color="auto"/>
        <w:bottom w:val="none" w:sz="0" w:space="0" w:color="auto"/>
        <w:right w:val="none" w:sz="0" w:space="0" w:color="auto"/>
      </w:divBdr>
    </w:div>
    <w:div w:id="20878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cid:image007.png@01D8F82A.9AC5836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oter" Target="footer5.xml"/><Relationship Id="rId30" Type="http://schemas.openxmlformats.org/officeDocument/2006/relationships/image" Target="media/image8.png"/><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retail-markets/authorisations/public-register-of-authorised-retailers-authorisation-applications?f%5B0%5D=field_accc_aer_sector%3A5&amp;f%5B1%5D=field_accc_aer_status%3A7" TargetMode="External"/><Relationship Id="rId2" Type="http://schemas.openxmlformats.org/officeDocument/2006/relationships/hyperlink" Target="https://oia.pmc.gov.au/published-impact-analyses-and-reports/adgsm-refining-australian-domestic-gas-security-mechanism" TargetMode="External"/><Relationship Id="rId1" Type="http://schemas.openxmlformats.org/officeDocument/2006/relationships/hyperlink" Target="http://www.acc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2A7D2C52C14AFE95D08653E35DDE9B"/>
        <w:category>
          <w:name w:val="General"/>
          <w:gallery w:val="placeholder"/>
        </w:category>
        <w:types>
          <w:type w:val="bbPlcHdr"/>
        </w:types>
        <w:behaviors>
          <w:behavior w:val="content"/>
        </w:behaviors>
        <w:guid w:val="{832889FC-A6BF-4805-B6B5-EE3209F408BE}"/>
      </w:docPartPr>
      <w:docPartBody>
        <w:p w:rsidR="0094190F" w:rsidRDefault="0094190F">
          <w:pPr>
            <w:pStyle w:val="B42A7D2C52C14AFE95D08653E35DDE9B"/>
          </w:pPr>
          <w:r w:rsidRPr="006923DF">
            <w:rPr>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altName w:val="Cambria Math"/>
    <w:charset w:val="00"/>
    <w:family w:val="auto"/>
    <w:pitch w:val="variable"/>
    <w:sig w:usb0="6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0F"/>
    <w:rsid w:val="00027DB0"/>
    <w:rsid w:val="000D0EE8"/>
    <w:rsid w:val="000F5A4D"/>
    <w:rsid w:val="001612C1"/>
    <w:rsid w:val="002155D3"/>
    <w:rsid w:val="002E578F"/>
    <w:rsid w:val="00330BDA"/>
    <w:rsid w:val="0033276F"/>
    <w:rsid w:val="003F4CB4"/>
    <w:rsid w:val="00425583"/>
    <w:rsid w:val="00440B89"/>
    <w:rsid w:val="004639AA"/>
    <w:rsid w:val="00481CBE"/>
    <w:rsid w:val="00521536"/>
    <w:rsid w:val="0053685C"/>
    <w:rsid w:val="006D33A0"/>
    <w:rsid w:val="00716AA1"/>
    <w:rsid w:val="00723C58"/>
    <w:rsid w:val="007B0803"/>
    <w:rsid w:val="0085345D"/>
    <w:rsid w:val="0094190F"/>
    <w:rsid w:val="0098068A"/>
    <w:rsid w:val="009E07CD"/>
    <w:rsid w:val="00AB7CF1"/>
    <w:rsid w:val="00AC4DF7"/>
    <w:rsid w:val="00AE6FFE"/>
    <w:rsid w:val="00CC2CD4"/>
    <w:rsid w:val="00D619B0"/>
    <w:rsid w:val="00E25EBF"/>
    <w:rsid w:val="00E462B6"/>
    <w:rsid w:val="00E658FC"/>
    <w:rsid w:val="00F422EE"/>
    <w:rsid w:val="00FA1C29"/>
    <w:rsid w:val="00FA5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2A7D2C52C14AFE95D08653E35DDE9B">
    <w:name w:val="B42A7D2C52C14AFE95D08653E35DDE9B"/>
  </w:style>
  <w:style w:type="character" w:styleId="PlaceholderText">
    <w:name w:val="Placeholder Text"/>
    <w:basedOn w:val="DefaultParagraphFont"/>
    <w:uiPriority w:val="99"/>
    <w:semiHidden/>
    <w:rsid w:val="009E07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DOCID-322795542-25214</_dlc_DocId>
    <_dlc_DocIdUrl xmlns="4195ad5f-cdf2-4c4a-8d9b-b7944a108e98">
      <Url>https://pmc01.sharepoint.com/sites/CRMOBPR/_layouts/15/DocIdRedir.aspx?ID=DOCID-322795542-25214</Url>
      <Description>DOCID-322795542-25214</Description>
    </_dlc_DocIdUrl>
    <TaxCatchAll xmlns="4195ad5f-cdf2-4c4a-8d9b-b7944a108e98" xsi:nil="true"/>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8CE158-175A-42E4-A4EE-71D231898D52}"/>
</file>

<file path=customXml/itemProps2.xml><?xml version="1.0" encoding="utf-8"?>
<ds:datastoreItem xmlns:ds="http://schemas.openxmlformats.org/officeDocument/2006/customXml" ds:itemID="{8753D9CE-4F16-4C37-8805-D593B796DE0A}">
  <ds:schemaRefs>
    <ds:schemaRef ds:uri="http://schemas.openxmlformats.org/officeDocument/2006/bibliography"/>
  </ds:schemaRefs>
</ds:datastoreItem>
</file>

<file path=customXml/itemProps3.xml><?xml version="1.0" encoding="utf-8"?>
<ds:datastoreItem xmlns:ds="http://schemas.openxmlformats.org/officeDocument/2006/customXml" ds:itemID="{A99ECAC9-780F-4FDE-8AAE-CFDC9301C3C6}">
  <ds:schemaRefs>
    <ds:schemaRef ds:uri="http://schemas.microsoft.com/sharepoint/v3/contenttype/forms"/>
  </ds:schemaRefs>
</ds:datastoreItem>
</file>

<file path=customXml/itemProps4.xml><?xml version="1.0" encoding="utf-8"?>
<ds:datastoreItem xmlns:ds="http://schemas.openxmlformats.org/officeDocument/2006/customXml" ds:itemID="{9A630EFA-60BA-43EA-B0A4-DA111016284E}"/>
</file>

<file path=customXml/itemProps5.xml><?xml version="1.0" encoding="utf-8"?>
<ds:datastoreItem xmlns:ds="http://schemas.openxmlformats.org/officeDocument/2006/customXml" ds:itemID="{26FB62F2-EC4B-4539-BB25-DA0017EBD204}">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0f563589-9cf9-4143-b1eb-fb0534803d3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53</Pages>
  <Words>18630</Words>
  <Characters>106193</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Regulation impact statement</vt:lpstr>
    </vt:vector>
  </TitlesOfParts>
  <Company>Australian Government - The Treasury</Company>
  <LinksUpToDate>false</LinksUpToDate>
  <CharactersWithSpaces>124574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impact statement</dc:title>
  <dc:creator>Ferguson, Naomi</dc:creator>
  <cp:lastModifiedBy>Quinlivan, Ciaron</cp:lastModifiedBy>
  <cp:revision>24</cp:revision>
  <dcterms:created xsi:type="dcterms:W3CDTF">2022-12-08T04:24:00Z</dcterms:created>
  <dcterms:modified xsi:type="dcterms:W3CDTF">2022-12-08T05:07:00Z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ff0be98d-71f1-4808-ae32-39edc57e7628</vt:lpwstr>
  </property>
  <property fmtid="{D5CDD505-2E9C-101B-9397-08002B2CF9AE}" pid="4" name="_NewReviewCycle">
    <vt:lpwstr/>
  </property>
  <property fmtid="{D5CDD505-2E9C-101B-9397-08002B2CF9AE}" pid="5" name="Language">
    <vt:lpwstr>English</vt:lpwstr>
  </property>
  <property fmtid="{D5CDD505-2E9C-101B-9397-08002B2CF9AE}" pid="6" name="Sector">
    <vt:lpwstr/>
  </property>
  <property fmtid="{D5CDD505-2E9C-101B-9397-08002B2CF9AE}" pid="7" name="eActivity">
    <vt:lpwstr>74;#Policy Development|3c21fa22-a311-4c7a-a8b0-1d9dee90bb01</vt:lpwstr>
  </property>
  <property fmtid="{D5CDD505-2E9C-101B-9397-08002B2CF9AE}" pid="8" name="eDocument Type">
    <vt:lpwstr>181;#Regulation Impact Statement|3aebfa41-609f-4053-89bf-d50c80b1e781</vt:lpwstr>
  </property>
  <property fmtid="{D5CDD505-2E9C-101B-9397-08002B2CF9AE}" pid="9" name="eDocument_x0020_Type">
    <vt:lpwstr>181;#Regulation Impact Statement|3aebfa41-609f-4053-89bf-d50c80b1e781</vt:lpwstr>
  </property>
  <property fmtid="{D5CDD505-2E9C-101B-9397-08002B2CF9AE}" pid="10" name="eTheme/Activity/Document Type">
    <vt:lpwstr>1243;#Regulation Impact Statement|f5cf2f0d-27b0-4138-94bc-fac9ef4d752c</vt:lpwstr>
  </property>
  <property fmtid="{D5CDD505-2E9C-101B-9397-08002B2CF9AE}" pid="11" name="Stakeholders">
    <vt:lpwstr/>
  </property>
  <property fmtid="{D5CDD505-2E9C-101B-9397-08002B2CF9AE}" pid="12" name="Input">
    <vt:lpwstr/>
  </property>
  <property fmtid="{D5CDD505-2E9C-101B-9397-08002B2CF9AE}" pid="13" name="eTheme">
    <vt:lpwstr>31;#Taxation|e53aff8a-4a1a-4486-a4fc-f40489d68897</vt:lpwstr>
  </property>
  <property fmtid="{D5CDD505-2E9C-101B-9397-08002B2CF9AE}" pid="14" name="International Forum">
    <vt:lpwstr/>
  </property>
  <property fmtid="{D5CDD505-2E9C-101B-9397-08002B2CF9AE}" pid="15" name="eTheme/Topic">
    <vt:lpwstr>1093;#Corporate Tax Applications|0477fe38-78e1-4384-abbb-e32c6f33cd12</vt:lpwstr>
  </property>
  <property fmtid="{D5CDD505-2E9C-101B-9397-08002B2CF9AE}" pid="16" name="eTopic">
    <vt:lpwstr>399;#Corporate Tax Applications|f39977f1-5fb6-4ab0-a524-83ac12a83a56</vt:lpwstr>
  </property>
  <property fmtid="{D5CDD505-2E9C-101B-9397-08002B2CF9AE}" pid="17" name="Exchange of Information">
    <vt:lpwstr/>
  </property>
  <property fmtid="{D5CDD505-2E9C-101B-9397-08002B2CF9AE}" pid="18" name="Concessions and Incentives">
    <vt:lpwstr/>
  </property>
  <property fmtid="{D5CDD505-2E9C-101B-9397-08002B2CF9AE}" pid="19" name="ceb8c4f4647046198a38a633d14483c1">
    <vt:lpwstr>Taxation|e53aff8a-4a1a-4486-a4fc-f40489d68897</vt:lpwstr>
  </property>
  <property fmtid="{D5CDD505-2E9C-101B-9397-08002B2CF9AE}" pid="20" name="aec7340661804c61a5c6d3d18e9a3b44">
    <vt:lpwstr>Corporate Tax Applications|f39977f1-5fb6-4ab0-a524-83ac12a83a56</vt:lpwstr>
  </property>
  <property fmtid="{D5CDD505-2E9C-101B-9397-08002B2CF9AE}" pid="21" name="n0adeebb38644e3a8c7de3f8fea0418e">
    <vt:lpwstr>Regulation Impact Statement|3aebfa41-609f-4053-89bf-d50c80b1e781</vt:lpwstr>
  </property>
  <property fmtid="{D5CDD505-2E9C-101B-9397-08002B2CF9AE}" pid="22" name="n5b5f1cefb2e4f15823921d1c3115a95">
    <vt:lpwstr>Policy Development|3c21fa22-a311-4c7a-a8b0-1d9dee90bb01</vt:lpwstr>
  </property>
  <property fmtid="{D5CDD505-2E9C-101B-9397-08002B2CF9AE}" pid="23" name="SecurityClassification">
    <vt:lpwstr/>
  </property>
  <property fmtid="{D5CDD505-2E9C-101B-9397-08002B2CF9AE}" pid="24" name="DLMSecurityClassification">
    <vt:lpwstr/>
  </property>
</Properties>
</file>